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9682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96826" w:rsidP="00596826">
            <w:pPr>
              <w:jc w:val="right"/>
            </w:pPr>
            <w:r w:rsidRPr="00596826">
              <w:rPr>
                <w:sz w:val="40"/>
              </w:rPr>
              <w:t>CAT</w:t>
            </w:r>
            <w:r>
              <w:t>/C/URY/4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96826" w:rsidP="00A704A8">
            <w:pPr>
              <w:spacing w:before="240"/>
            </w:pPr>
            <w:r>
              <w:t>Distr. générale</w:t>
            </w:r>
          </w:p>
          <w:p w:rsidR="00596826" w:rsidRDefault="00596826" w:rsidP="00596826">
            <w:pPr>
              <w:spacing w:line="240" w:lineRule="exact"/>
            </w:pPr>
            <w:r>
              <w:t>2 janvier 2019</w:t>
            </w:r>
          </w:p>
          <w:p w:rsidR="00596826" w:rsidRDefault="00596826" w:rsidP="00596826">
            <w:pPr>
              <w:spacing w:line="240" w:lineRule="exact"/>
            </w:pPr>
            <w:r>
              <w:t>Français</w:t>
            </w:r>
          </w:p>
          <w:p w:rsidR="00596826" w:rsidRDefault="00596826" w:rsidP="00596826">
            <w:pPr>
              <w:spacing w:line="240" w:lineRule="exact"/>
            </w:pPr>
            <w:r>
              <w:t>Original : espagnol</w:t>
            </w:r>
          </w:p>
          <w:p w:rsidR="00691AD9" w:rsidRPr="00DB58B5" w:rsidRDefault="00691AD9" w:rsidP="00596826">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96826" w:rsidRPr="008D4A7D" w:rsidRDefault="00596826" w:rsidP="00596826">
      <w:pPr>
        <w:pStyle w:val="HMG"/>
        <w:rPr>
          <w:noProof/>
          <w:vertAlign w:val="superscript"/>
          <w:lang w:val="fr-FR"/>
        </w:rPr>
      </w:pPr>
      <w:r w:rsidRPr="00411326">
        <w:rPr>
          <w:color w:val="000000"/>
        </w:rPr>
        <w:tab/>
      </w:r>
      <w:r w:rsidRPr="00411326">
        <w:rPr>
          <w:color w:val="000000"/>
        </w:rPr>
        <w:tab/>
      </w:r>
      <w:r w:rsidR="00001AFD">
        <w:rPr>
          <w:noProof/>
          <w:spacing w:val="2"/>
          <w:lang w:val="fr-FR"/>
        </w:rPr>
        <w:t xml:space="preserve">Quatrième rapport périodique </w:t>
      </w:r>
      <w:r w:rsidRPr="00596826">
        <w:rPr>
          <w:noProof/>
          <w:spacing w:val="2"/>
          <w:lang w:val="fr-FR"/>
        </w:rPr>
        <w:t>soumis par l</w:t>
      </w:r>
      <w:r w:rsidR="00607CA3">
        <w:rPr>
          <w:noProof/>
          <w:spacing w:val="2"/>
          <w:lang w:val="fr-FR"/>
        </w:rPr>
        <w:t>’</w:t>
      </w:r>
      <w:r w:rsidRPr="00596826">
        <w:rPr>
          <w:noProof/>
          <w:spacing w:val="2"/>
          <w:lang w:val="fr-FR"/>
        </w:rPr>
        <w:t>Uruguay en application de l</w:t>
      </w:r>
      <w:r w:rsidR="00607CA3">
        <w:rPr>
          <w:noProof/>
          <w:spacing w:val="2"/>
          <w:lang w:val="fr-FR"/>
        </w:rPr>
        <w:t>’</w:t>
      </w:r>
      <w:r w:rsidRPr="00596826">
        <w:rPr>
          <w:noProof/>
          <w:spacing w:val="2"/>
          <w:lang w:val="fr-FR"/>
        </w:rPr>
        <w:t xml:space="preserve">article 19 de </w:t>
      </w:r>
      <w:r w:rsidRPr="00001AFD">
        <w:rPr>
          <w:noProof/>
          <w:spacing w:val="-2"/>
          <w:lang w:val="fr-FR"/>
        </w:rPr>
        <w:t>la Convention selon la procédure facultative</w:t>
      </w:r>
      <w:r w:rsidRPr="008D4A7D">
        <w:rPr>
          <w:noProof/>
          <w:lang w:val="fr-FR"/>
        </w:rPr>
        <w:t xml:space="preserve"> d</w:t>
      </w:r>
      <w:r w:rsidR="00607CA3">
        <w:rPr>
          <w:noProof/>
          <w:lang w:val="fr-FR"/>
        </w:rPr>
        <w:t>’</w:t>
      </w:r>
      <w:r w:rsidRPr="008D4A7D">
        <w:rPr>
          <w:noProof/>
          <w:lang w:val="fr-FR"/>
        </w:rPr>
        <w:t xml:space="preserve">établissement des rapports, attendu </w:t>
      </w:r>
      <w:r>
        <w:rPr>
          <w:noProof/>
          <w:lang w:val="fr-FR"/>
        </w:rPr>
        <w:br/>
      </w:r>
      <w:r w:rsidRPr="008D4A7D">
        <w:rPr>
          <w:noProof/>
          <w:lang w:val="fr-FR"/>
        </w:rPr>
        <w:t xml:space="preserve">en </w:t>
      </w:r>
      <w:r>
        <w:rPr>
          <w:noProof/>
          <w:lang w:val="fr-FR"/>
        </w:rPr>
        <w:t>2018</w:t>
      </w:r>
      <w:r w:rsidR="00366663" w:rsidRPr="00366663">
        <w:rPr>
          <w:rStyle w:val="Appelnotedebasdep"/>
          <w:b w:val="0"/>
          <w:noProof/>
          <w:sz w:val="20"/>
          <w:vertAlign w:val="baseline"/>
        </w:rPr>
        <w:footnoteReference w:customMarkFollows="1" w:id="2"/>
        <w:t>*</w:t>
      </w:r>
      <w:r w:rsidRPr="008D4A7D">
        <w:rPr>
          <w:b w:val="0"/>
          <w:noProof/>
          <w:position w:val="4"/>
          <w:sz w:val="20"/>
          <w:lang w:val="fr-FR"/>
        </w:rPr>
        <w:t>,</w:t>
      </w:r>
      <w:r w:rsidRPr="008D4A7D">
        <w:rPr>
          <w:b w:val="0"/>
          <w:noProof/>
          <w:sz w:val="20"/>
          <w:lang w:val="fr-FR"/>
        </w:rPr>
        <w:t xml:space="preserve"> </w:t>
      </w:r>
      <w:r w:rsidRPr="008D4A7D">
        <w:rPr>
          <w:b w:val="0"/>
          <w:noProof/>
          <w:sz w:val="20"/>
          <w:lang w:val="fr-FR"/>
        </w:rPr>
        <w:footnoteReference w:customMarkFollows="1" w:id="3"/>
        <w:t>**</w:t>
      </w:r>
      <w:r w:rsidRPr="008D4A7D">
        <w:rPr>
          <w:b w:val="0"/>
          <w:noProof/>
          <w:position w:val="4"/>
          <w:sz w:val="20"/>
          <w:lang w:val="fr-FR"/>
        </w:rPr>
        <w:t xml:space="preserve">, </w:t>
      </w:r>
      <w:r w:rsidRPr="008D4A7D">
        <w:rPr>
          <w:b w:val="0"/>
          <w:noProof/>
          <w:sz w:val="20"/>
          <w:lang w:val="fr-FR"/>
        </w:rPr>
        <w:footnoteReference w:customMarkFollows="1" w:id="4"/>
        <w:t>***</w:t>
      </w:r>
    </w:p>
    <w:p w:rsidR="00596826" w:rsidRPr="008D4A7D" w:rsidRDefault="00596826" w:rsidP="00596826">
      <w:pPr>
        <w:pStyle w:val="SingleTxtG"/>
        <w:jc w:val="right"/>
        <w:rPr>
          <w:noProof/>
          <w:lang w:val="fr-FR"/>
        </w:rPr>
      </w:pPr>
      <w:r w:rsidRPr="008D4A7D">
        <w:rPr>
          <w:noProof/>
          <w:lang w:val="fr-FR"/>
        </w:rPr>
        <w:t>[Date de réception</w:t>
      </w:r>
      <w:r>
        <w:rPr>
          <w:noProof/>
          <w:lang w:val="fr-FR"/>
        </w:rPr>
        <w:t> :</w:t>
      </w:r>
      <w:r w:rsidRPr="008D4A7D">
        <w:rPr>
          <w:noProof/>
          <w:lang w:val="fr-FR"/>
        </w:rPr>
        <w:t xml:space="preserve"> 9 juillet 2018]</w:t>
      </w:r>
    </w:p>
    <w:p w:rsidR="00596826" w:rsidRPr="007C04CE" w:rsidRDefault="00596826" w:rsidP="00596826">
      <w:pPr>
        <w:spacing w:after="120"/>
        <w:rPr>
          <w:noProof/>
          <w:sz w:val="28"/>
          <w:lang w:val="fr-FR"/>
        </w:rPr>
      </w:pPr>
      <w:r w:rsidRPr="008D4A7D">
        <w:rPr>
          <w:noProof/>
          <w:lang w:val="fr-FR"/>
        </w:rPr>
        <w:br w:type="page"/>
      </w:r>
      <w:r w:rsidRPr="007C04CE">
        <w:rPr>
          <w:noProof/>
          <w:sz w:val="28"/>
          <w:lang w:val="fr-FR"/>
        </w:rPr>
        <w:lastRenderedPageBreak/>
        <w:t>Table des matières</w:t>
      </w:r>
    </w:p>
    <w:p w:rsidR="00596826" w:rsidRPr="007C04CE" w:rsidRDefault="00596826" w:rsidP="00596826">
      <w:pPr>
        <w:tabs>
          <w:tab w:val="right" w:pos="8929"/>
          <w:tab w:val="right" w:pos="9638"/>
        </w:tabs>
        <w:spacing w:after="120"/>
        <w:ind w:left="283"/>
        <w:rPr>
          <w:noProof/>
          <w:lang w:val="fr-FR"/>
        </w:rPr>
      </w:pPr>
      <w:r w:rsidRPr="007C04CE">
        <w:rPr>
          <w:i/>
          <w:noProof/>
          <w:sz w:val="18"/>
          <w:lang w:val="fr-FR"/>
        </w:rPr>
        <w:tab/>
      </w:r>
      <w:r w:rsidRPr="007C04CE">
        <w:rPr>
          <w:i/>
          <w:noProof/>
          <w:sz w:val="18"/>
          <w:lang w:val="fr-FR"/>
        </w:rPr>
        <w:tab/>
        <w:t>Page</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Pr>
          <w:noProof/>
          <w:lang w:val="fr-FR"/>
        </w:rPr>
        <w:t>Abréviations</w:t>
      </w:r>
      <w:r w:rsidRPr="007C04CE">
        <w:rPr>
          <w:noProof/>
          <w:lang w:val="fr-FR"/>
        </w:rPr>
        <w:tab/>
      </w:r>
      <w:r w:rsidRPr="007C04CE">
        <w:rPr>
          <w:noProof/>
          <w:lang w:val="fr-FR"/>
        </w:rPr>
        <w:tab/>
      </w:r>
      <w:r w:rsidR="000730D1">
        <w:rPr>
          <w:noProof/>
          <w:lang w:val="fr-FR"/>
        </w:rPr>
        <w:t>3</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t>I.</w:t>
      </w:r>
      <w:r w:rsidRPr="007C04CE">
        <w:rPr>
          <w:noProof/>
          <w:lang w:val="fr-FR"/>
        </w:rPr>
        <w:tab/>
      </w:r>
      <w:r w:rsidRPr="00001AFD">
        <w:t>Introduction</w:t>
      </w:r>
      <w:r w:rsidRPr="007C04CE">
        <w:rPr>
          <w:noProof/>
          <w:lang w:val="fr-FR"/>
        </w:rPr>
        <w:tab/>
      </w:r>
      <w:r w:rsidR="00001AFD">
        <w:rPr>
          <w:noProof/>
          <w:lang w:val="fr-FR"/>
        </w:rPr>
        <w:tab/>
      </w:r>
      <w:r w:rsidR="000730D1">
        <w:rPr>
          <w:noProof/>
          <w:lang w:val="fr-FR"/>
        </w:rPr>
        <w:t>4</w:t>
      </w:r>
    </w:p>
    <w:p w:rsidR="00596826" w:rsidRPr="00C03967"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t>II.</w:t>
      </w:r>
      <w:r w:rsidRPr="007C04CE">
        <w:rPr>
          <w:noProof/>
          <w:lang w:val="fr-FR"/>
        </w:rPr>
        <w:tab/>
      </w:r>
      <w:r w:rsidRPr="00C03967">
        <w:rPr>
          <w:noProof/>
          <w:lang w:val="fr-FR"/>
        </w:rPr>
        <w:t xml:space="preserve">Cadre juridique concernant la lutte contre la torture et autres peines ou traitements cruels, </w:t>
      </w:r>
      <w:r w:rsidR="00001AFD">
        <w:rPr>
          <w:noProof/>
          <w:lang w:val="fr-FR"/>
        </w:rPr>
        <w:br/>
      </w:r>
      <w:r w:rsidRPr="00C03967">
        <w:rPr>
          <w:noProof/>
          <w:lang w:val="fr-FR"/>
        </w:rPr>
        <w:t xml:space="preserve">inhumains ou </w:t>
      </w:r>
      <w:r w:rsidRPr="00001AFD">
        <w:t>dégradants</w:t>
      </w:r>
      <w:r w:rsidRPr="00C03967">
        <w:rPr>
          <w:noProof/>
          <w:lang w:val="fr-FR"/>
        </w:rPr>
        <w:tab/>
      </w:r>
      <w:r w:rsidR="00001AFD">
        <w:rPr>
          <w:noProof/>
          <w:lang w:val="fr-FR"/>
        </w:rPr>
        <w:tab/>
      </w:r>
      <w:r w:rsidR="000730D1">
        <w:rPr>
          <w:noProof/>
          <w:lang w:val="fr-FR"/>
        </w:rPr>
        <w:t>4</w:t>
      </w:r>
    </w:p>
    <w:p w:rsidR="00596826" w:rsidRPr="007C04CE" w:rsidRDefault="00596826" w:rsidP="00001AFD">
      <w:pPr>
        <w:tabs>
          <w:tab w:val="right" w:pos="850"/>
          <w:tab w:val="right" w:leader="dot" w:pos="8787"/>
          <w:tab w:val="right" w:pos="9638"/>
        </w:tabs>
        <w:spacing w:after="120"/>
        <w:ind w:left="1134" w:hanging="1134"/>
        <w:rPr>
          <w:noProof/>
          <w:lang w:val="fr-FR"/>
        </w:rPr>
      </w:pPr>
      <w:r w:rsidRPr="00C03967">
        <w:rPr>
          <w:noProof/>
          <w:lang w:val="fr-FR"/>
        </w:rPr>
        <w:tab/>
        <w:t>III.</w:t>
      </w:r>
      <w:r w:rsidRPr="00C03967">
        <w:rPr>
          <w:noProof/>
          <w:lang w:val="fr-FR"/>
        </w:rPr>
        <w:tab/>
      </w:r>
      <w:r w:rsidRPr="00001AFD">
        <w:t>Réponses</w:t>
      </w:r>
      <w:r w:rsidRPr="00C03967">
        <w:rPr>
          <w:noProof/>
          <w:lang w:val="fr-FR"/>
        </w:rPr>
        <w:t xml:space="preserve"> aux questions spécifiquement formulées par le Comité</w:t>
      </w:r>
      <w:r w:rsidRPr="007C04CE">
        <w:rPr>
          <w:noProof/>
          <w:lang w:val="fr-FR"/>
        </w:rPr>
        <w:tab/>
      </w:r>
      <w:r w:rsidR="00001AFD">
        <w:rPr>
          <w:noProof/>
          <w:lang w:val="fr-FR"/>
        </w:rPr>
        <w:tab/>
      </w:r>
      <w:r w:rsidR="000730D1">
        <w:rPr>
          <w:noProof/>
          <w:lang w:val="fr-FR"/>
        </w:rPr>
        <w:t>5</w:t>
      </w:r>
    </w:p>
    <w:p w:rsidR="00596826" w:rsidRPr="000E3AAF" w:rsidRDefault="00596826" w:rsidP="00596826">
      <w:pPr>
        <w:tabs>
          <w:tab w:val="right" w:pos="850"/>
          <w:tab w:val="left" w:pos="1134"/>
          <w:tab w:val="left" w:pos="1559"/>
          <w:tab w:val="left" w:pos="1984"/>
          <w:tab w:val="left" w:leader="dot" w:pos="8931"/>
          <w:tab w:val="right" w:pos="9638"/>
        </w:tabs>
        <w:spacing w:after="120"/>
        <w:ind w:left="1134"/>
        <w:rPr>
          <w:noProof/>
          <w:lang w:val="fr-FR"/>
        </w:rPr>
      </w:pPr>
      <w:r w:rsidRPr="000E3AAF">
        <w:rPr>
          <w:noProof/>
          <w:lang w:val="fr-FR"/>
        </w:rPr>
        <w:t xml:space="preserve">Renseignements sur la suite donnée à certaines des recommandations figurant dans </w:t>
      </w:r>
      <w:r w:rsidR="00001AFD">
        <w:rPr>
          <w:noProof/>
          <w:lang w:val="fr-FR"/>
        </w:rPr>
        <w:br/>
      </w:r>
      <w:r w:rsidRPr="000E3AAF">
        <w:rPr>
          <w:noProof/>
          <w:lang w:val="fr-FR"/>
        </w:rPr>
        <w:t>les précédentes observations finales</w:t>
      </w:r>
      <w:r w:rsidRPr="000E3AAF">
        <w:rPr>
          <w:noProof/>
          <w:lang w:val="fr-FR"/>
        </w:rPr>
        <w:tab/>
      </w:r>
      <w:r w:rsidR="00001AFD">
        <w:rPr>
          <w:noProof/>
          <w:lang w:val="fr-FR"/>
        </w:rPr>
        <w:tab/>
      </w:r>
      <w:r w:rsidR="000730D1">
        <w:rPr>
          <w:noProof/>
          <w:lang w:val="fr-FR"/>
        </w:rPr>
        <w:t>5</w:t>
      </w:r>
    </w:p>
    <w:p w:rsidR="00596826" w:rsidRPr="007C04CE" w:rsidRDefault="00596826" w:rsidP="00001AFD">
      <w:pPr>
        <w:tabs>
          <w:tab w:val="right" w:pos="850"/>
          <w:tab w:val="right" w:leader="dot" w:pos="8787"/>
          <w:tab w:val="right" w:pos="9638"/>
        </w:tabs>
        <w:spacing w:after="120"/>
        <w:ind w:left="1134" w:hanging="1134"/>
        <w:rPr>
          <w:noProof/>
          <w:lang w:val="fr-FR"/>
        </w:rPr>
      </w:pPr>
      <w:r>
        <w:rPr>
          <w:noProof/>
          <w:lang w:val="fr-FR"/>
        </w:rPr>
        <w:tab/>
      </w:r>
      <w:r>
        <w:rPr>
          <w:noProof/>
          <w:lang w:val="fr-FR"/>
        </w:rPr>
        <w:tab/>
      </w:r>
      <w:r w:rsidRPr="00001AFD">
        <w:t>Article</w:t>
      </w:r>
      <w:r>
        <w:rPr>
          <w:noProof/>
          <w:lang w:val="fr-FR"/>
        </w:rPr>
        <w:t xml:space="preserve"> premier</w:t>
      </w:r>
      <w:r w:rsidRPr="007C04CE">
        <w:rPr>
          <w:noProof/>
          <w:lang w:val="fr-FR"/>
        </w:rPr>
        <w:tab/>
      </w:r>
      <w:r w:rsidRPr="007C04CE">
        <w:rPr>
          <w:noProof/>
          <w:lang w:val="fr-FR"/>
        </w:rPr>
        <w:tab/>
      </w:r>
      <w:r w:rsidR="000730D1">
        <w:rPr>
          <w:noProof/>
          <w:lang w:val="fr-FR"/>
        </w:rPr>
        <w:t>7</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Pr>
          <w:noProof/>
          <w:lang w:val="fr-FR"/>
        </w:rPr>
        <w:t xml:space="preserve"> </w:t>
      </w:r>
      <w:r w:rsidRPr="007C04CE">
        <w:rPr>
          <w:noProof/>
          <w:lang w:val="fr-FR"/>
        </w:rPr>
        <w:t>2</w:t>
      </w:r>
      <w:r w:rsidRPr="007C04CE">
        <w:rPr>
          <w:noProof/>
          <w:lang w:val="fr-FR"/>
        </w:rPr>
        <w:tab/>
      </w:r>
      <w:r w:rsidRPr="007C04CE">
        <w:rPr>
          <w:noProof/>
          <w:lang w:val="fr-FR"/>
        </w:rPr>
        <w:tab/>
      </w:r>
      <w:r w:rsidR="000730D1">
        <w:rPr>
          <w:noProof/>
          <w:lang w:val="fr-FR"/>
        </w:rPr>
        <w:t>8</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sidRPr="007C04CE">
        <w:rPr>
          <w:noProof/>
          <w:lang w:val="fr-FR"/>
        </w:rPr>
        <w:t xml:space="preserve"> 3</w:t>
      </w:r>
      <w:r w:rsidRPr="007C04CE">
        <w:rPr>
          <w:noProof/>
          <w:lang w:val="fr-FR"/>
        </w:rPr>
        <w:tab/>
      </w:r>
      <w:r w:rsidRPr="007C04CE">
        <w:rPr>
          <w:noProof/>
          <w:lang w:val="fr-FR"/>
        </w:rPr>
        <w:tab/>
      </w:r>
      <w:r w:rsidR="000730D1">
        <w:rPr>
          <w:noProof/>
          <w:lang w:val="fr-FR"/>
        </w:rPr>
        <w:t>15</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Articles</w:t>
      </w:r>
      <w:r w:rsidRPr="007C04CE">
        <w:rPr>
          <w:noProof/>
          <w:lang w:val="fr-FR"/>
        </w:rPr>
        <w:t xml:space="preserve"> 5 </w:t>
      </w:r>
      <w:r>
        <w:rPr>
          <w:noProof/>
          <w:lang w:val="fr-FR"/>
        </w:rPr>
        <w:t>à</w:t>
      </w:r>
      <w:r w:rsidRPr="007C04CE">
        <w:rPr>
          <w:noProof/>
          <w:lang w:val="fr-FR"/>
        </w:rPr>
        <w:t xml:space="preserve"> 9</w:t>
      </w:r>
      <w:r w:rsidRPr="007C04CE">
        <w:rPr>
          <w:noProof/>
          <w:lang w:val="fr-FR"/>
        </w:rPr>
        <w:tab/>
      </w:r>
      <w:r w:rsidR="00001AFD">
        <w:rPr>
          <w:noProof/>
          <w:lang w:val="fr-FR"/>
        </w:rPr>
        <w:tab/>
      </w:r>
      <w:r w:rsidR="000730D1">
        <w:rPr>
          <w:noProof/>
          <w:lang w:val="fr-FR"/>
        </w:rPr>
        <w:t>17</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Pr>
          <w:noProof/>
          <w:lang w:val="fr-FR"/>
        </w:rPr>
        <w:t xml:space="preserve"> 10</w:t>
      </w:r>
      <w:r w:rsidRPr="007C04CE">
        <w:rPr>
          <w:noProof/>
          <w:lang w:val="fr-FR"/>
        </w:rPr>
        <w:tab/>
      </w:r>
      <w:r w:rsidR="00001AFD">
        <w:rPr>
          <w:noProof/>
          <w:lang w:val="fr-FR"/>
        </w:rPr>
        <w:tab/>
      </w:r>
      <w:r w:rsidR="000730D1">
        <w:rPr>
          <w:noProof/>
          <w:lang w:val="fr-FR"/>
        </w:rPr>
        <w:t>17</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sidRPr="007C04CE">
        <w:rPr>
          <w:noProof/>
          <w:lang w:val="fr-FR"/>
        </w:rPr>
        <w:t xml:space="preserve"> 11</w:t>
      </w:r>
      <w:r w:rsidRPr="007C04CE">
        <w:rPr>
          <w:noProof/>
          <w:lang w:val="fr-FR"/>
        </w:rPr>
        <w:tab/>
      </w:r>
      <w:r w:rsidR="00001AFD">
        <w:rPr>
          <w:noProof/>
          <w:lang w:val="fr-FR"/>
        </w:rPr>
        <w:tab/>
      </w:r>
      <w:r w:rsidR="000730D1">
        <w:rPr>
          <w:noProof/>
          <w:lang w:val="fr-FR"/>
        </w:rPr>
        <w:t>19</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Articles</w:t>
      </w:r>
      <w:r w:rsidRPr="007C04CE">
        <w:rPr>
          <w:noProof/>
          <w:lang w:val="fr-FR"/>
        </w:rPr>
        <w:t xml:space="preserve"> 12 </w:t>
      </w:r>
      <w:r>
        <w:rPr>
          <w:noProof/>
          <w:lang w:val="fr-FR"/>
        </w:rPr>
        <w:t>et</w:t>
      </w:r>
      <w:r w:rsidRPr="007C04CE">
        <w:rPr>
          <w:noProof/>
          <w:lang w:val="fr-FR"/>
        </w:rPr>
        <w:t xml:space="preserve"> 13</w:t>
      </w:r>
      <w:r w:rsidRPr="007C04CE">
        <w:rPr>
          <w:noProof/>
          <w:lang w:val="fr-FR"/>
        </w:rPr>
        <w:tab/>
      </w:r>
      <w:r w:rsidR="00001AFD">
        <w:rPr>
          <w:noProof/>
          <w:lang w:val="fr-FR"/>
        </w:rPr>
        <w:tab/>
      </w:r>
      <w:r w:rsidR="000730D1">
        <w:rPr>
          <w:noProof/>
          <w:lang w:val="fr-FR"/>
        </w:rPr>
        <w:t>29</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sidRPr="007C04CE">
        <w:rPr>
          <w:noProof/>
          <w:lang w:val="fr-FR"/>
        </w:rPr>
        <w:t xml:space="preserve"> 14</w:t>
      </w:r>
      <w:r w:rsidRPr="007C04CE">
        <w:rPr>
          <w:noProof/>
          <w:lang w:val="fr-FR"/>
        </w:rPr>
        <w:tab/>
      </w:r>
      <w:r w:rsidR="00001AFD">
        <w:rPr>
          <w:noProof/>
          <w:lang w:val="fr-FR"/>
        </w:rPr>
        <w:tab/>
      </w:r>
      <w:r w:rsidR="000730D1">
        <w:rPr>
          <w:noProof/>
          <w:lang w:val="fr-FR"/>
        </w:rPr>
        <w:t>32</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sidRPr="007C04CE">
        <w:rPr>
          <w:noProof/>
          <w:lang w:val="fr-FR"/>
        </w:rPr>
        <w:t xml:space="preserve"> 15</w:t>
      </w:r>
      <w:r w:rsidRPr="007C04CE">
        <w:rPr>
          <w:noProof/>
          <w:lang w:val="fr-FR"/>
        </w:rPr>
        <w:tab/>
      </w:r>
      <w:r w:rsidR="00001AFD">
        <w:rPr>
          <w:noProof/>
          <w:lang w:val="fr-FR"/>
        </w:rPr>
        <w:tab/>
      </w:r>
      <w:r w:rsidR="000730D1">
        <w:rPr>
          <w:noProof/>
          <w:lang w:val="fr-FR"/>
        </w:rPr>
        <w:t>32</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Article</w:t>
      </w:r>
      <w:r w:rsidRPr="007C04CE">
        <w:rPr>
          <w:noProof/>
          <w:lang w:val="fr-FR"/>
        </w:rPr>
        <w:t xml:space="preserve"> 16</w:t>
      </w:r>
      <w:r w:rsidRPr="007C04CE">
        <w:rPr>
          <w:noProof/>
          <w:lang w:val="fr-FR"/>
        </w:rPr>
        <w:tab/>
      </w:r>
      <w:r w:rsidR="00001AFD">
        <w:rPr>
          <w:noProof/>
          <w:lang w:val="fr-FR"/>
        </w:rPr>
        <w:tab/>
      </w:r>
      <w:r w:rsidR="000730D1">
        <w:rPr>
          <w:noProof/>
          <w:lang w:val="fr-FR"/>
        </w:rPr>
        <w:t>32</w:t>
      </w:r>
    </w:p>
    <w:p w:rsidR="00596826" w:rsidRPr="007C04CE" w:rsidRDefault="00596826" w:rsidP="00001AFD">
      <w:pPr>
        <w:tabs>
          <w:tab w:val="right" w:pos="850"/>
          <w:tab w:val="right" w:leader="dot" w:pos="8787"/>
          <w:tab w:val="right" w:pos="9638"/>
        </w:tabs>
        <w:spacing w:after="120"/>
        <w:ind w:left="1134" w:hanging="1134"/>
        <w:rPr>
          <w:noProof/>
          <w:lang w:val="fr-FR"/>
        </w:rPr>
      </w:pPr>
      <w:r w:rsidRPr="007C04CE">
        <w:rPr>
          <w:noProof/>
          <w:lang w:val="fr-FR"/>
        </w:rPr>
        <w:tab/>
      </w:r>
      <w:r w:rsidRPr="007C04CE">
        <w:rPr>
          <w:noProof/>
          <w:lang w:val="fr-FR"/>
        </w:rPr>
        <w:tab/>
      </w:r>
      <w:r w:rsidRPr="00001AFD">
        <w:t>Autres</w:t>
      </w:r>
      <w:r>
        <w:rPr>
          <w:noProof/>
          <w:lang w:val="fr-FR"/>
        </w:rPr>
        <w:t xml:space="preserve"> questions</w:t>
      </w:r>
      <w:r w:rsidRPr="007C04CE">
        <w:rPr>
          <w:noProof/>
          <w:lang w:val="fr-FR"/>
        </w:rPr>
        <w:tab/>
      </w:r>
      <w:r w:rsidR="00001AFD">
        <w:rPr>
          <w:noProof/>
          <w:lang w:val="fr-FR"/>
        </w:rPr>
        <w:tab/>
      </w:r>
      <w:r w:rsidR="000730D1">
        <w:rPr>
          <w:noProof/>
          <w:lang w:val="fr-FR"/>
        </w:rPr>
        <w:t>34</w:t>
      </w:r>
    </w:p>
    <w:p w:rsidR="00596826" w:rsidRPr="000E3AAF" w:rsidRDefault="00596826" w:rsidP="00001AFD">
      <w:pPr>
        <w:tabs>
          <w:tab w:val="right" w:pos="850"/>
          <w:tab w:val="left" w:pos="1134"/>
          <w:tab w:val="left" w:pos="1559"/>
          <w:tab w:val="left" w:pos="1984"/>
          <w:tab w:val="left" w:leader="dot" w:pos="8931"/>
          <w:tab w:val="right" w:pos="9638"/>
        </w:tabs>
        <w:spacing w:after="120"/>
        <w:ind w:left="1134"/>
        <w:rPr>
          <w:rFonts w:eastAsia="Calibri"/>
          <w:noProof/>
          <w:lang w:val="fr-FR"/>
        </w:rPr>
      </w:pPr>
      <w:r w:rsidRPr="000E3AAF">
        <w:rPr>
          <w:noProof/>
          <w:lang w:val="fr-FR"/>
        </w:rPr>
        <w:t>Renseignements d</w:t>
      </w:r>
      <w:r w:rsidR="00607CA3">
        <w:rPr>
          <w:noProof/>
          <w:lang w:val="fr-FR"/>
        </w:rPr>
        <w:t>’</w:t>
      </w:r>
      <w:r w:rsidRPr="000E3AAF">
        <w:rPr>
          <w:noProof/>
          <w:lang w:val="fr-FR"/>
        </w:rPr>
        <w:t xml:space="preserve">ordre général sur les autres mesures et faits nouveaux concernant la mise </w:t>
      </w:r>
      <w:r w:rsidR="00001AFD">
        <w:rPr>
          <w:noProof/>
          <w:lang w:val="fr-FR"/>
        </w:rPr>
        <w:br/>
      </w:r>
      <w:r w:rsidRPr="000E3AAF">
        <w:rPr>
          <w:noProof/>
          <w:lang w:val="fr-FR"/>
        </w:rPr>
        <w:t xml:space="preserve">en œuvre de la </w:t>
      </w:r>
      <w:r w:rsidRPr="00001AFD">
        <w:t>Convention</w:t>
      </w:r>
      <w:r w:rsidRPr="000E3AAF">
        <w:rPr>
          <w:noProof/>
          <w:lang w:val="fr-FR"/>
        </w:rPr>
        <w:t xml:space="preserve"> dans l</w:t>
      </w:r>
      <w:r w:rsidR="00607CA3">
        <w:rPr>
          <w:noProof/>
          <w:lang w:val="fr-FR"/>
        </w:rPr>
        <w:t>’</w:t>
      </w:r>
      <w:r w:rsidRPr="000E3AAF">
        <w:rPr>
          <w:noProof/>
          <w:lang w:val="fr-FR"/>
        </w:rPr>
        <w:t>État partie</w:t>
      </w:r>
      <w:r w:rsidRPr="000E3AAF">
        <w:rPr>
          <w:rFonts w:eastAsia="Calibri"/>
          <w:noProof/>
          <w:lang w:val="fr-FR"/>
        </w:rPr>
        <w:tab/>
      </w:r>
      <w:r w:rsidR="00001AFD">
        <w:rPr>
          <w:rFonts w:eastAsia="Calibri"/>
          <w:noProof/>
          <w:lang w:val="fr-FR"/>
        </w:rPr>
        <w:tab/>
      </w:r>
      <w:r w:rsidR="000730D1">
        <w:rPr>
          <w:rFonts w:eastAsia="Calibri"/>
          <w:noProof/>
          <w:lang w:val="fr-FR"/>
        </w:rPr>
        <w:t>35</w:t>
      </w:r>
    </w:p>
    <w:p w:rsidR="00596826" w:rsidRPr="006574CB" w:rsidRDefault="00596826" w:rsidP="00001AFD">
      <w:pPr>
        <w:pStyle w:val="HChG"/>
        <w:rPr>
          <w:noProof/>
          <w:lang w:val="fr-FR"/>
        </w:rPr>
      </w:pPr>
      <w:r w:rsidRPr="00411326">
        <w:rPr>
          <w:rFonts w:ascii="Calibri" w:hAnsi="Calibri"/>
          <w:sz w:val="22"/>
          <w:szCs w:val="22"/>
        </w:rPr>
        <w:br w:type="page"/>
      </w:r>
      <w:r w:rsidRPr="00411326">
        <w:lastRenderedPageBreak/>
        <w:tab/>
      </w:r>
      <w:r w:rsidRPr="00411326">
        <w:tab/>
      </w:r>
      <w:r w:rsidRPr="006574CB">
        <w:rPr>
          <w:noProof/>
          <w:lang w:val="fr-FR"/>
        </w:rPr>
        <w:t xml:space="preserve">Abréviations </w:t>
      </w:r>
    </w:p>
    <w:p w:rsidR="00596826" w:rsidRPr="006574CB" w:rsidRDefault="00596826" w:rsidP="00596826">
      <w:pPr>
        <w:pStyle w:val="SingleTxtG"/>
        <w:ind w:left="2835" w:hanging="1701"/>
        <w:rPr>
          <w:rFonts w:eastAsia="Calibri"/>
          <w:noProof/>
          <w:lang w:val="fr-FR"/>
        </w:rPr>
      </w:pPr>
      <w:r w:rsidRPr="006574CB">
        <w:rPr>
          <w:rFonts w:eastAsia="Calibri"/>
          <w:noProof/>
          <w:lang w:val="fr-FR"/>
        </w:rPr>
        <w:t>FNUAP</w:t>
      </w:r>
      <w:r w:rsidRPr="006574CB">
        <w:rPr>
          <w:rFonts w:eastAsia="Calibri"/>
          <w:noProof/>
          <w:lang w:val="fr-FR"/>
        </w:rPr>
        <w:tab/>
      </w:r>
      <w:r w:rsidRPr="006574CB">
        <w:rPr>
          <w:rFonts w:eastAsia="Calibri"/>
          <w:noProof/>
          <w:lang w:val="fr-FR"/>
        </w:rPr>
        <w:tab/>
        <w:t xml:space="preserve">Fonds des Nations Unies pour la population </w:t>
      </w:r>
    </w:p>
    <w:p w:rsidR="00596826" w:rsidRPr="006574CB" w:rsidRDefault="00596826" w:rsidP="00596826">
      <w:pPr>
        <w:pStyle w:val="SingleTxtG"/>
        <w:ind w:left="2835" w:hanging="1701"/>
        <w:rPr>
          <w:rFonts w:eastAsia="Calibri"/>
          <w:noProof/>
          <w:lang w:val="fr-FR"/>
        </w:rPr>
      </w:pPr>
      <w:r w:rsidRPr="006574CB">
        <w:rPr>
          <w:rFonts w:eastAsia="Calibri"/>
          <w:noProof/>
          <w:lang w:val="fr-FR"/>
        </w:rPr>
        <w:t>HCR</w:t>
      </w:r>
      <w:r w:rsidRPr="006574CB">
        <w:rPr>
          <w:rFonts w:eastAsia="Calibri"/>
          <w:noProof/>
          <w:lang w:val="fr-FR"/>
        </w:rPr>
        <w:tab/>
      </w:r>
      <w:r w:rsidRPr="006574CB">
        <w:rPr>
          <w:rFonts w:eastAsia="Calibri"/>
          <w:noProof/>
          <w:lang w:val="fr-FR"/>
        </w:rPr>
        <w:tab/>
        <w:t xml:space="preserve">Haut-Commissariat des Nations Unies pour les réfugiés </w:t>
      </w:r>
    </w:p>
    <w:p w:rsidR="00596826" w:rsidRPr="006574CB" w:rsidRDefault="00596826" w:rsidP="00596826">
      <w:pPr>
        <w:pStyle w:val="SingleTxtG"/>
        <w:rPr>
          <w:rFonts w:eastAsia="Calibri"/>
          <w:noProof/>
          <w:lang w:val="fr-FR"/>
        </w:rPr>
      </w:pPr>
      <w:r w:rsidRPr="006574CB">
        <w:rPr>
          <w:rFonts w:eastAsia="Calibri"/>
          <w:noProof/>
          <w:lang w:val="fr-FR"/>
        </w:rPr>
        <w:t>MERCOSUR</w:t>
      </w:r>
      <w:r w:rsidR="00001AFD">
        <w:rPr>
          <w:rFonts w:eastAsia="Calibri"/>
          <w:noProof/>
          <w:lang w:val="fr-FR"/>
        </w:rPr>
        <w:tab/>
      </w:r>
      <w:r w:rsidRPr="006574CB">
        <w:rPr>
          <w:rFonts w:eastAsia="Calibri"/>
          <w:noProof/>
          <w:lang w:val="fr-FR"/>
        </w:rPr>
        <w:tab/>
        <w:t xml:space="preserve">Marché commun du Sud </w:t>
      </w:r>
    </w:p>
    <w:p w:rsidR="00596826" w:rsidRPr="006574CB" w:rsidRDefault="00596826" w:rsidP="00596826">
      <w:pPr>
        <w:pStyle w:val="SingleTxtG"/>
        <w:rPr>
          <w:rFonts w:eastAsia="Calibri"/>
          <w:noProof/>
          <w:lang w:val="fr-FR"/>
        </w:rPr>
      </w:pPr>
      <w:r w:rsidRPr="006574CB">
        <w:rPr>
          <w:rFonts w:eastAsia="Calibri"/>
          <w:noProof/>
          <w:lang w:val="fr-FR"/>
        </w:rPr>
        <w:t>OIM</w:t>
      </w:r>
      <w:r w:rsidRPr="006574CB">
        <w:rPr>
          <w:rFonts w:eastAsia="Calibri"/>
          <w:noProof/>
          <w:lang w:val="fr-FR"/>
        </w:rPr>
        <w:tab/>
      </w:r>
      <w:r w:rsidRPr="006574CB">
        <w:rPr>
          <w:rFonts w:eastAsia="Calibri"/>
          <w:noProof/>
          <w:lang w:val="fr-FR"/>
        </w:rPr>
        <w:tab/>
      </w:r>
      <w:r w:rsidRPr="006574CB">
        <w:rPr>
          <w:rFonts w:eastAsia="Calibri"/>
          <w:noProof/>
          <w:lang w:val="fr-FR"/>
        </w:rPr>
        <w:tab/>
        <w:t xml:space="preserve">Organisation internationale pour les migrations </w:t>
      </w:r>
    </w:p>
    <w:p w:rsidR="00596826" w:rsidRPr="006574CB" w:rsidRDefault="00596826" w:rsidP="00596826">
      <w:pPr>
        <w:pStyle w:val="SingleTxtG"/>
        <w:rPr>
          <w:rFonts w:eastAsia="Calibri"/>
          <w:noProof/>
          <w:lang w:val="fr-FR"/>
        </w:rPr>
      </w:pPr>
      <w:r w:rsidRPr="006574CB">
        <w:rPr>
          <w:rFonts w:eastAsia="Calibri"/>
          <w:noProof/>
          <w:lang w:val="fr-FR"/>
        </w:rPr>
        <w:t>ONUDC</w:t>
      </w:r>
      <w:r w:rsidRPr="006574CB">
        <w:rPr>
          <w:rFonts w:eastAsia="Calibri"/>
          <w:noProof/>
          <w:lang w:val="fr-FR"/>
        </w:rPr>
        <w:tab/>
      </w:r>
      <w:r w:rsidRPr="006574CB">
        <w:rPr>
          <w:rFonts w:eastAsia="Calibri"/>
          <w:noProof/>
          <w:lang w:val="fr-FR"/>
        </w:rPr>
        <w:tab/>
        <w:t xml:space="preserve">Office des Nations Unies contre la drogue et le crime </w:t>
      </w:r>
    </w:p>
    <w:p w:rsidR="00596826" w:rsidRPr="00411326" w:rsidRDefault="00596826" w:rsidP="00596826">
      <w:pPr>
        <w:pStyle w:val="SingleTxtG"/>
        <w:rPr>
          <w:rFonts w:eastAsia="Calibri"/>
        </w:rPr>
      </w:pPr>
      <w:r w:rsidRPr="00411326">
        <w:rPr>
          <w:rFonts w:eastAsia="Calibri"/>
        </w:rPr>
        <w:t>SIMORE</w:t>
      </w:r>
      <w:r w:rsidRPr="00411326">
        <w:rPr>
          <w:rFonts w:eastAsia="Calibri"/>
        </w:rPr>
        <w:tab/>
      </w:r>
      <w:r w:rsidRPr="00411326">
        <w:rPr>
          <w:rFonts w:eastAsia="Calibri"/>
        </w:rPr>
        <w:tab/>
      </w:r>
      <w:r>
        <w:rPr>
          <w:noProof/>
          <w:lang w:val="fr-FR"/>
        </w:rPr>
        <w:t>s</w:t>
      </w:r>
      <w:r w:rsidRPr="00B76F9D">
        <w:rPr>
          <w:noProof/>
          <w:lang w:val="fr-FR"/>
        </w:rPr>
        <w:t>ystème de suivi des recommandations</w:t>
      </w:r>
    </w:p>
    <w:p w:rsidR="00596826" w:rsidRPr="006574CB" w:rsidRDefault="00596826" w:rsidP="00596826">
      <w:pPr>
        <w:pStyle w:val="SingleTxtG"/>
        <w:rPr>
          <w:rFonts w:eastAsia="Calibri"/>
          <w:noProof/>
          <w:lang w:val="fr-FR"/>
        </w:rPr>
      </w:pPr>
      <w:r w:rsidRPr="006574CB">
        <w:rPr>
          <w:rFonts w:eastAsia="Calibri"/>
          <w:noProof/>
          <w:lang w:val="fr-FR"/>
        </w:rPr>
        <w:t>UNICEF</w:t>
      </w:r>
      <w:r w:rsidRPr="006574CB">
        <w:rPr>
          <w:rFonts w:eastAsia="Calibri"/>
          <w:noProof/>
          <w:lang w:val="fr-FR"/>
        </w:rPr>
        <w:tab/>
      </w:r>
      <w:r w:rsidRPr="006574CB">
        <w:rPr>
          <w:rFonts w:eastAsia="Calibri"/>
          <w:noProof/>
          <w:lang w:val="fr-FR"/>
        </w:rPr>
        <w:tab/>
        <w:t>Fonds des Nations Unies pour l</w:t>
      </w:r>
      <w:r w:rsidR="00607CA3">
        <w:rPr>
          <w:rFonts w:eastAsia="Calibri"/>
          <w:noProof/>
          <w:lang w:val="fr-FR"/>
        </w:rPr>
        <w:t>’</w:t>
      </w:r>
      <w:r w:rsidRPr="006574CB">
        <w:rPr>
          <w:rFonts w:eastAsia="Calibri"/>
          <w:noProof/>
          <w:lang w:val="fr-FR"/>
        </w:rPr>
        <w:t xml:space="preserve">enfance </w:t>
      </w:r>
    </w:p>
    <w:p w:rsidR="00596826" w:rsidRPr="00D60F4E" w:rsidRDefault="00596826" w:rsidP="00001AFD">
      <w:pPr>
        <w:pStyle w:val="HChG"/>
        <w:rPr>
          <w:noProof/>
          <w:lang w:val="fr-FR"/>
        </w:rPr>
      </w:pPr>
      <w:r w:rsidRPr="00411326">
        <w:br w:type="page"/>
      </w:r>
      <w:r w:rsidRPr="00411326">
        <w:lastRenderedPageBreak/>
        <w:tab/>
        <w:t>I.</w:t>
      </w:r>
      <w:r w:rsidRPr="00411326">
        <w:tab/>
      </w:r>
      <w:r w:rsidRPr="00D60F4E">
        <w:rPr>
          <w:noProof/>
          <w:lang w:val="fr-FR"/>
        </w:rPr>
        <w:t>Introduction</w:t>
      </w:r>
    </w:p>
    <w:p w:rsidR="00596826" w:rsidRPr="00D60F4E" w:rsidRDefault="00596826" w:rsidP="00596826">
      <w:pPr>
        <w:pStyle w:val="SingleTxtG"/>
        <w:rPr>
          <w:rFonts w:eastAsia="Calibri"/>
          <w:noProof/>
          <w:lang w:val="fr-FR"/>
        </w:rPr>
      </w:pPr>
      <w:r w:rsidRPr="00D60F4E">
        <w:rPr>
          <w:rFonts w:eastAsia="Calibri"/>
          <w:noProof/>
          <w:lang w:val="fr-FR"/>
        </w:rPr>
        <w:t>1.</w:t>
      </w:r>
      <w:r w:rsidRPr="00D60F4E">
        <w:rPr>
          <w:rFonts w:eastAsia="Calibri"/>
          <w:noProof/>
          <w:lang w:val="fr-FR"/>
        </w:rPr>
        <w:tab/>
        <w:t xml:space="preserve">Le présent document </w:t>
      </w:r>
      <w:r>
        <w:rPr>
          <w:rFonts w:eastAsia="Calibri"/>
          <w:noProof/>
          <w:lang w:val="fr-FR"/>
        </w:rPr>
        <w:t>reproduit le quatrième rapport périodique</w:t>
      </w:r>
      <w:r w:rsidR="00C43E89" w:rsidRPr="00C43E89">
        <w:rPr>
          <w:rStyle w:val="Appelnotedebasdep"/>
        </w:rPr>
        <w:footnoteReference w:id="5"/>
      </w:r>
      <w:r w:rsidRPr="00D60F4E">
        <w:rPr>
          <w:rFonts w:eastAsia="Calibri"/>
          <w:noProof/>
          <w:lang w:val="fr-FR"/>
        </w:rPr>
        <w:t xml:space="preserve"> </w:t>
      </w:r>
      <w:r>
        <w:rPr>
          <w:rFonts w:eastAsia="Calibri"/>
          <w:noProof/>
          <w:lang w:val="fr-FR"/>
        </w:rPr>
        <w:t xml:space="preserve">soumis au </w:t>
      </w:r>
      <w:r w:rsidRPr="00D60F4E">
        <w:rPr>
          <w:rFonts w:eastAsia="Calibri"/>
          <w:noProof/>
          <w:lang w:val="fr-FR"/>
        </w:rPr>
        <w:t>Comité contr</w:t>
      </w:r>
      <w:r>
        <w:rPr>
          <w:rFonts w:eastAsia="Calibri"/>
          <w:noProof/>
          <w:lang w:val="fr-FR"/>
        </w:rPr>
        <w:t>e</w:t>
      </w:r>
      <w:r w:rsidRPr="00D60F4E">
        <w:rPr>
          <w:rFonts w:eastAsia="Calibri"/>
          <w:noProof/>
          <w:lang w:val="fr-FR"/>
        </w:rPr>
        <w:t xml:space="preserve"> la </w:t>
      </w:r>
      <w:r>
        <w:rPr>
          <w:rFonts w:eastAsia="Calibri"/>
          <w:noProof/>
          <w:lang w:val="fr-FR"/>
        </w:rPr>
        <w:t>t</w:t>
      </w:r>
      <w:r w:rsidRPr="00D60F4E">
        <w:rPr>
          <w:rFonts w:eastAsia="Calibri"/>
          <w:noProof/>
          <w:lang w:val="fr-FR"/>
        </w:rPr>
        <w:t>ortur</w:t>
      </w:r>
      <w:r>
        <w:rPr>
          <w:rFonts w:eastAsia="Calibri"/>
          <w:noProof/>
          <w:lang w:val="fr-FR"/>
        </w:rPr>
        <w:t>e sur l</w:t>
      </w:r>
      <w:r w:rsidR="00607CA3">
        <w:rPr>
          <w:rFonts w:eastAsia="Calibri"/>
          <w:noProof/>
          <w:lang w:val="fr-FR"/>
        </w:rPr>
        <w:t>’</w:t>
      </w:r>
      <w:r>
        <w:rPr>
          <w:rFonts w:eastAsia="Calibri"/>
          <w:noProof/>
          <w:lang w:val="fr-FR"/>
        </w:rPr>
        <w:t xml:space="preserve">application </w:t>
      </w:r>
      <w:r w:rsidRPr="00D60F4E">
        <w:rPr>
          <w:rFonts w:eastAsia="Calibri"/>
          <w:noProof/>
          <w:lang w:val="fr-FR"/>
        </w:rPr>
        <w:t>de la Conven</w:t>
      </w:r>
      <w:r>
        <w:rPr>
          <w:rFonts w:eastAsia="Calibri"/>
          <w:noProof/>
          <w:lang w:val="fr-FR"/>
        </w:rPr>
        <w:t>tion contre</w:t>
      </w:r>
      <w:r w:rsidRPr="00D60F4E">
        <w:rPr>
          <w:rFonts w:eastAsia="Calibri"/>
          <w:noProof/>
          <w:lang w:val="fr-FR"/>
        </w:rPr>
        <w:t xml:space="preserve"> la </w:t>
      </w:r>
      <w:r>
        <w:rPr>
          <w:rFonts w:eastAsia="Calibri"/>
          <w:noProof/>
          <w:lang w:val="fr-FR"/>
        </w:rPr>
        <w:t xml:space="preserve">torture, et a été élaboré selon la procédure facultative adoptée par le </w:t>
      </w:r>
      <w:r w:rsidRPr="00D60F4E">
        <w:rPr>
          <w:rFonts w:eastAsia="Calibri"/>
          <w:noProof/>
          <w:lang w:val="fr-FR"/>
        </w:rPr>
        <w:t xml:space="preserve">Comité </w:t>
      </w:r>
      <w:r>
        <w:rPr>
          <w:rFonts w:eastAsia="Calibri"/>
          <w:noProof/>
          <w:lang w:val="fr-FR"/>
        </w:rPr>
        <w:t xml:space="preserve">au cours de sa </w:t>
      </w:r>
      <w:r w:rsidR="00691AD9">
        <w:rPr>
          <w:rFonts w:eastAsia="Calibri"/>
          <w:noProof/>
          <w:lang w:val="fr-FR"/>
        </w:rPr>
        <w:t xml:space="preserve">trente-huitième </w:t>
      </w:r>
      <w:r>
        <w:rPr>
          <w:rFonts w:eastAsia="Calibri"/>
          <w:noProof/>
          <w:lang w:val="fr-FR"/>
        </w:rPr>
        <w:t xml:space="preserve">session, tenue en mai </w:t>
      </w:r>
      <w:r w:rsidRPr="00D60F4E">
        <w:rPr>
          <w:rFonts w:eastAsia="Calibri"/>
          <w:noProof/>
          <w:lang w:val="fr-FR"/>
        </w:rPr>
        <w:t xml:space="preserve">2007 (A/62/44, </w:t>
      </w:r>
      <w:r w:rsidR="00001AFD">
        <w:rPr>
          <w:rFonts w:eastAsia="Calibri"/>
          <w:noProof/>
          <w:lang w:val="fr-FR"/>
        </w:rPr>
        <w:t>par. </w:t>
      </w:r>
      <w:r w:rsidRPr="00D60F4E">
        <w:rPr>
          <w:rFonts w:eastAsia="Calibri"/>
          <w:noProof/>
          <w:lang w:val="fr-FR"/>
        </w:rPr>
        <w:t xml:space="preserve">23 </w:t>
      </w:r>
      <w:r>
        <w:rPr>
          <w:rFonts w:eastAsia="Calibri"/>
          <w:noProof/>
          <w:lang w:val="fr-FR"/>
        </w:rPr>
        <w:t>et</w:t>
      </w:r>
      <w:r w:rsidRPr="00D60F4E">
        <w:rPr>
          <w:rFonts w:eastAsia="Calibri"/>
          <w:noProof/>
          <w:lang w:val="fr-FR"/>
        </w:rPr>
        <w:t xml:space="preserve"> 24).</w:t>
      </w:r>
    </w:p>
    <w:p w:rsidR="00596826" w:rsidRPr="00D60F4E" w:rsidRDefault="00596826" w:rsidP="00596826">
      <w:pPr>
        <w:pStyle w:val="SingleTxtG"/>
        <w:rPr>
          <w:rFonts w:eastAsia="Calibri"/>
          <w:noProof/>
          <w:lang w:val="fr-FR"/>
        </w:rPr>
      </w:pPr>
      <w:r w:rsidRPr="00D60F4E">
        <w:rPr>
          <w:rFonts w:eastAsia="Calibri"/>
          <w:noProof/>
          <w:lang w:val="fr-FR"/>
        </w:rPr>
        <w:t>2.</w:t>
      </w:r>
      <w:r w:rsidRPr="00D60F4E">
        <w:rPr>
          <w:rFonts w:eastAsia="Calibri"/>
          <w:noProof/>
          <w:lang w:val="fr-FR"/>
        </w:rPr>
        <w:tab/>
      </w:r>
      <w:r>
        <w:rPr>
          <w:rFonts w:eastAsia="Calibri"/>
          <w:noProof/>
          <w:lang w:val="fr-FR"/>
        </w:rPr>
        <w:t xml:space="preserve">Dans ce contexte, le rapport répond à la liste de points que le Comité a communiquée précédemment à la </w:t>
      </w:r>
      <w:r w:rsidRPr="00D60F4E">
        <w:rPr>
          <w:rFonts w:eastAsia="Calibri"/>
          <w:noProof/>
          <w:lang w:val="fr-FR"/>
        </w:rPr>
        <w:t>R</w:t>
      </w:r>
      <w:r>
        <w:rPr>
          <w:rFonts w:eastAsia="Calibri"/>
          <w:noProof/>
          <w:lang w:val="fr-FR"/>
        </w:rPr>
        <w:t>é</w:t>
      </w:r>
      <w:r w:rsidRPr="00D60F4E">
        <w:rPr>
          <w:rFonts w:eastAsia="Calibri"/>
          <w:noProof/>
          <w:lang w:val="fr-FR"/>
        </w:rPr>
        <w:t>p</w:t>
      </w:r>
      <w:r>
        <w:rPr>
          <w:rFonts w:eastAsia="Calibri"/>
          <w:noProof/>
          <w:lang w:val="fr-FR"/>
        </w:rPr>
        <w:t>ublique o</w:t>
      </w:r>
      <w:r w:rsidRPr="00D60F4E">
        <w:rPr>
          <w:rFonts w:eastAsia="Calibri"/>
          <w:noProof/>
          <w:lang w:val="fr-FR"/>
        </w:rPr>
        <w:t>riental</w:t>
      </w:r>
      <w:r>
        <w:rPr>
          <w:rFonts w:eastAsia="Calibri"/>
          <w:noProof/>
          <w:lang w:val="fr-FR"/>
        </w:rPr>
        <w:t>e</w:t>
      </w:r>
      <w:r w:rsidRPr="00D60F4E">
        <w:rPr>
          <w:rFonts w:eastAsia="Calibri"/>
          <w:noProof/>
          <w:lang w:val="fr-FR"/>
        </w:rPr>
        <w:t xml:space="preserve"> de</w:t>
      </w:r>
      <w:r>
        <w:rPr>
          <w:rFonts w:eastAsia="Calibri"/>
          <w:noProof/>
          <w:lang w:val="fr-FR"/>
        </w:rPr>
        <w:t xml:space="preserve"> </w:t>
      </w:r>
      <w:r w:rsidRPr="00D60F4E">
        <w:rPr>
          <w:rFonts w:eastAsia="Calibri"/>
          <w:noProof/>
          <w:lang w:val="fr-FR"/>
        </w:rPr>
        <w:t>l</w:t>
      </w:r>
      <w:r w:rsidR="00607CA3">
        <w:rPr>
          <w:rFonts w:eastAsia="Calibri"/>
          <w:noProof/>
          <w:lang w:val="fr-FR"/>
        </w:rPr>
        <w:t>’</w:t>
      </w:r>
      <w:r w:rsidRPr="00D60F4E">
        <w:rPr>
          <w:rFonts w:eastAsia="Calibri"/>
          <w:noProof/>
          <w:lang w:val="fr-FR"/>
        </w:rPr>
        <w:t xml:space="preserve">Uruguay, </w:t>
      </w:r>
      <w:r>
        <w:rPr>
          <w:rFonts w:eastAsia="Calibri"/>
          <w:noProof/>
          <w:lang w:val="fr-FR"/>
        </w:rPr>
        <w:t>le</w:t>
      </w:r>
      <w:r w:rsidRPr="00D60F4E">
        <w:rPr>
          <w:rFonts w:eastAsia="Calibri"/>
          <w:noProof/>
          <w:lang w:val="fr-FR"/>
        </w:rPr>
        <w:t xml:space="preserve"> 1</w:t>
      </w:r>
      <w:r w:rsidRPr="00DA24F4">
        <w:rPr>
          <w:rFonts w:eastAsia="Calibri"/>
          <w:noProof/>
          <w:vertAlign w:val="superscript"/>
          <w:lang w:val="fr-FR"/>
        </w:rPr>
        <w:t>er</w:t>
      </w:r>
      <w:r w:rsidR="00001AFD">
        <w:rPr>
          <w:rFonts w:eastAsia="Calibri"/>
          <w:noProof/>
          <w:lang w:val="fr-FR"/>
        </w:rPr>
        <w:t> </w:t>
      </w:r>
      <w:r>
        <w:rPr>
          <w:rFonts w:eastAsia="Calibri"/>
          <w:noProof/>
          <w:lang w:val="fr-FR"/>
        </w:rPr>
        <w:t xml:space="preserve">juin </w:t>
      </w:r>
      <w:r w:rsidRPr="00D60F4E">
        <w:rPr>
          <w:rFonts w:eastAsia="Calibri"/>
          <w:noProof/>
          <w:lang w:val="fr-FR"/>
        </w:rPr>
        <w:t>2016 (CAT/C/URY/QPR/4).</w:t>
      </w:r>
    </w:p>
    <w:p w:rsidR="00596826" w:rsidRPr="00D60F4E" w:rsidRDefault="00596826" w:rsidP="00596826">
      <w:pPr>
        <w:pStyle w:val="SingleTxtG"/>
        <w:rPr>
          <w:rFonts w:eastAsia="Calibri"/>
          <w:noProof/>
          <w:lang w:val="fr-FR"/>
        </w:rPr>
      </w:pPr>
      <w:r w:rsidRPr="00D60F4E">
        <w:rPr>
          <w:rFonts w:eastAsia="Calibri"/>
          <w:noProof/>
          <w:lang w:val="fr-FR"/>
        </w:rPr>
        <w:t>3.</w:t>
      </w:r>
      <w:r w:rsidRPr="00D60F4E">
        <w:rPr>
          <w:rFonts w:eastAsia="Calibri"/>
          <w:noProof/>
          <w:lang w:val="fr-FR"/>
        </w:rPr>
        <w:tab/>
      </w:r>
      <w:r>
        <w:rPr>
          <w:rFonts w:eastAsia="Calibri"/>
          <w:noProof/>
          <w:lang w:val="fr-FR"/>
        </w:rPr>
        <w:t xml:space="preserve">Le présent rapport a été élaboré par le </w:t>
      </w:r>
      <w:r w:rsidRPr="000F6095">
        <w:rPr>
          <w:noProof/>
          <w:lang w:val="fr-FR"/>
        </w:rPr>
        <w:t xml:space="preserve">mécanisme national </w:t>
      </w:r>
      <w:r>
        <w:rPr>
          <w:noProof/>
          <w:lang w:val="fr-FR"/>
        </w:rPr>
        <w:t xml:space="preserve">uruguayen </w:t>
      </w:r>
      <w:r w:rsidRPr="000F6095">
        <w:rPr>
          <w:noProof/>
          <w:lang w:val="fr-FR"/>
        </w:rPr>
        <w:t>d</w:t>
      </w:r>
      <w:r w:rsidR="00607CA3">
        <w:rPr>
          <w:noProof/>
          <w:lang w:val="fr-FR"/>
        </w:rPr>
        <w:t>’</w:t>
      </w:r>
      <w:r w:rsidRPr="000F6095">
        <w:rPr>
          <w:noProof/>
          <w:lang w:val="fr-FR"/>
        </w:rPr>
        <w:t>établissement de rapports et de suivi des recommandations</w:t>
      </w:r>
      <w:r>
        <w:rPr>
          <w:noProof/>
          <w:lang w:val="fr-FR"/>
        </w:rPr>
        <w:t xml:space="preserve"> relatives aux droits de l</w:t>
      </w:r>
      <w:r w:rsidR="00607CA3">
        <w:rPr>
          <w:noProof/>
          <w:lang w:val="fr-FR"/>
        </w:rPr>
        <w:t>’</w:t>
      </w:r>
      <w:r>
        <w:rPr>
          <w:noProof/>
          <w:lang w:val="fr-FR"/>
        </w:rPr>
        <w:t>homme</w:t>
      </w:r>
      <w:r w:rsidRPr="00691AD9">
        <w:rPr>
          <w:rStyle w:val="Appelnotedebasdep"/>
        </w:rPr>
        <w:footnoteReference w:id="6"/>
      </w:r>
      <w:r w:rsidRPr="00D60F4E">
        <w:rPr>
          <w:rFonts w:eastAsia="Calibri"/>
          <w:noProof/>
          <w:lang w:val="fr-FR"/>
        </w:rPr>
        <w:t>, qu</w:t>
      </w:r>
      <w:r>
        <w:rPr>
          <w:rFonts w:eastAsia="Calibri"/>
          <w:noProof/>
          <w:lang w:val="fr-FR"/>
        </w:rPr>
        <w:t>i a notamment pour fonction de coordonner la préparation des rapports périodiques que l</w:t>
      </w:r>
      <w:r w:rsidR="00607CA3">
        <w:rPr>
          <w:rFonts w:eastAsia="Calibri"/>
          <w:noProof/>
          <w:lang w:val="fr-FR"/>
        </w:rPr>
        <w:t>’</w:t>
      </w:r>
      <w:r>
        <w:rPr>
          <w:rFonts w:eastAsia="Calibri"/>
          <w:noProof/>
          <w:lang w:val="fr-FR"/>
        </w:rPr>
        <w:t xml:space="preserve">État </w:t>
      </w:r>
      <w:r w:rsidRPr="00D60F4E">
        <w:rPr>
          <w:rFonts w:eastAsia="Calibri"/>
          <w:noProof/>
          <w:lang w:val="fr-FR"/>
        </w:rPr>
        <w:t>uruguay</w:t>
      </w:r>
      <w:r>
        <w:rPr>
          <w:rFonts w:eastAsia="Calibri"/>
          <w:noProof/>
          <w:lang w:val="fr-FR"/>
        </w:rPr>
        <w:t>en</w:t>
      </w:r>
      <w:r w:rsidRPr="00D60F4E">
        <w:rPr>
          <w:rFonts w:eastAsia="Calibri"/>
          <w:noProof/>
          <w:lang w:val="fr-FR"/>
        </w:rPr>
        <w:t xml:space="preserve"> </w:t>
      </w:r>
      <w:r>
        <w:rPr>
          <w:rFonts w:eastAsia="Calibri"/>
          <w:noProof/>
          <w:lang w:val="fr-FR"/>
        </w:rPr>
        <w:t xml:space="preserve">doit soumettre aux </w:t>
      </w:r>
      <w:r w:rsidRPr="000F6095">
        <w:rPr>
          <w:noProof/>
          <w:lang w:val="fr-FR"/>
        </w:rPr>
        <w:t>organes de l</w:t>
      </w:r>
      <w:r w:rsidR="00607CA3">
        <w:rPr>
          <w:noProof/>
          <w:lang w:val="fr-FR"/>
        </w:rPr>
        <w:t>’</w:t>
      </w:r>
      <w:r w:rsidRPr="000F6095">
        <w:rPr>
          <w:noProof/>
          <w:lang w:val="fr-FR"/>
        </w:rPr>
        <w:t>ONU chargés de surveiller l</w:t>
      </w:r>
      <w:r w:rsidR="00607CA3">
        <w:rPr>
          <w:noProof/>
          <w:lang w:val="fr-FR"/>
        </w:rPr>
        <w:t>’</w:t>
      </w:r>
      <w:r w:rsidRPr="000F6095">
        <w:rPr>
          <w:noProof/>
          <w:lang w:val="fr-FR"/>
        </w:rPr>
        <w:t xml:space="preserve">application des instruments internationaux relatifs aux </w:t>
      </w:r>
      <w:r>
        <w:rPr>
          <w:noProof/>
          <w:lang w:val="fr-FR"/>
        </w:rPr>
        <w:t>droits de l</w:t>
      </w:r>
      <w:r w:rsidR="00607CA3">
        <w:rPr>
          <w:noProof/>
          <w:lang w:val="fr-FR"/>
        </w:rPr>
        <w:t>’</w:t>
      </w:r>
      <w:r>
        <w:rPr>
          <w:noProof/>
          <w:lang w:val="fr-FR"/>
        </w:rPr>
        <w:t>homme.</w:t>
      </w:r>
    </w:p>
    <w:p w:rsidR="00596826" w:rsidRPr="00D60F4E" w:rsidRDefault="00596826" w:rsidP="00596826">
      <w:pPr>
        <w:pStyle w:val="SingleTxtG"/>
        <w:rPr>
          <w:rFonts w:eastAsia="Calibri"/>
          <w:noProof/>
          <w:lang w:val="fr-FR"/>
        </w:rPr>
      </w:pPr>
      <w:r w:rsidRPr="00D60F4E">
        <w:rPr>
          <w:rFonts w:eastAsia="Calibri"/>
          <w:noProof/>
          <w:lang w:val="fr-FR"/>
        </w:rPr>
        <w:t>4.</w:t>
      </w:r>
      <w:r w:rsidRPr="00D60F4E">
        <w:rPr>
          <w:rFonts w:eastAsia="Calibri"/>
          <w:noProof/>
          <w:lang w:val="fr-FR"/>
        </w:rPr>
        <w:tab/>
      </w:r>
      <w:r>
        <w:rPr>
          <w:rFonts w:eastAsia="Calibri"/>
          <w:noProof/>
          <w:lang w:val="fr-FR"/>
        </w:rPr>
        <w:t xml:space="preserve">Avant la soumission du présent rapport, le Ministère des relations extérieures, agissant en sa qualité de coordonnateur du </w:t>
      </w:r>
      <w:r w:rsidRPr="000F6095">
        <w:rPr>
          <w:noProof/>
          <w:lang w:val="fr-FR"/>
        </w:rPr>
        <w:t>mécanisme national d</w:t>
      </w:r>
      <w:r w:rsidR="00607CA3">
        <w:rPr>
          <w:noProof/>
          <w:lang w:val="fr-FR"/>
        </w:rPr>
        <w:t>’</w:t>
      </w:r>
      <w:r w:rsidRPr="000F6095">
        <w:rPr>
          <w:noProof/>
          <w:lang w:val="fr-FR"/>
        </w:rPr>
        <w:t>établissement de rapports et de suivi des recommandations</w:t>
      </w:r>
      <w:r>
        <w:rPr>
          <w:rFonts w:eastAsia="Calibri"/>
          <w:noProof/>
          <w:lang w:val="fr-FR"/>
        </w:rPr>
        <w:t>, a fait appel aux organisations de la société civile s</w:t>
      </w:r>
      <w:r w:rsidR="00607CA3">
        <w:rPr>
          <w:rFonts w:eastAsia="Calibri"/>
          <w:noProof/>
          <w:lang w:val="fr-FR"/>
        </w:rPr>
        <w:t>’</w:t>
      </w:r>
      <w:r>
        <w:rPr>
          <w:rFonts w:eastAsia="Calibri"/>
          <w:noProof/>
          <w:lang w:val="fr-FR"/>
        </w:rPr>
        <w:t>occupant des questions qui y sont abordées</w:t>
      </w:r>
      <w:r>
        <w:rPr>
          <w:noProof/>
          <w:lang w:val="fr-FR"/>
        </w:rPr>
        <w:t xml:space="preserve">, conformément aux dispositions du décret </w:t>
      </w:r>
      <w:r w:rsidR="00001AFD" w:rsidRPr="00001AFD">
        <w:rPr>
          <w:rFonts w:eastAsia="MS Mincho"/>
          <w:noProof/>
          <w:szCs w:val="22"/>
          <w:lang w:val="fr-FR"/>
        </w:rPr>
        <w:t>n</w:t>
      </w:r>
      <w:r w:rsidR="00001AFD" w:rsidRPr="00001AFD">
        <w:rPr>
          <w:rFonts w:eastAsia="MS Mincho"/>
          <w:noProof/>
          <w:szCs w:val="22"/>
          <w:vertAlign w:val="superscript"/>
          <w:lang w:val="fr-FR"/>
        </w:rPr>
        <w:t>o</w:t>
      </w:r>
      <w:r w:rsidR="00001AFD">
        <w:rPr>
          <w:noProof/>
          <w:lang w:val="fr-FR"/>
        </w:rPr>
        <w:t> </w:t>
      </w:r>
      <w:r w:rsidRPr="00D60F4E">
        <w:rPr>
          <w:rFonts w:eastAsia="Calibri"/>
          <w:noProof/>
          <w:lang w:val="fr-FR"/>
        </w:rPr>
        <w:t>89/2018 d</w:t>
      </w:r>
      <w:r>
        <w:rPr>
          <w:rFonts w:eastAsia="Calibri"/>
          <w:noProof/>
          <w:lang w:val="fr-FR"/>
        </w:rPr>
        <w:t xml:space="preserve">u </w:t>
      </w:r>
      <w:r w:rsidRPr="00D60F4E">
        <w:rPr>
          <w:rFonts w:eastAsia="Calibri"/>
          <w:noProof/>
          <w:lang w:val="fr-FR"/>
        </w:rPr>
        <w:t>9</w:t>
      </w:r>
      <w:r w:rsidR="00001AFD">
        <w:rPr>
          <w:rFonts w:eastAsia="Calibri"/>
          <w:noProof/>
          <w:lang w:val="fr-FR"/>
        </w:rPr>
        <w:t> </w:t>
      </w:r>
      <w:r>
        <w:rPr>
          <w:rFonts w:eastAsia="Calibri"/>
          <w:noProof/>
          <w:lang w:val="fr-FR"/>
        </w:rPr>
        <w:t xml:space="preserve">avril </w:t>
      </w:r>
      <w:r w:rsidRPr="00D60F4E">
        <w:rPr>
          <w:rFonts w:eastAsia="Calibri"/>
          <w:noProof/>
          <w:lang w:val="fr-FR"/>
        </w:rPr>
        <w:t>2018.</w:t>
      </w:r>
    </w:p>
    <w:p w:rsidR="00596826" w:rsidRPr="00D60F4E" w:rsidRDefault="00596826" w:rsidP="00596826">
      <w:pPr>
        <w:pStyle w:val="SingleTxtG"/>
        <w:rPr>
          <w:rFonts w:eastAsia="Calibri"/>
          <w:noProof/>
          <w:lang w:val="fr-FR"/>
        </w:rPr>
      </w:pPr>
      <w:r w:rsidRPr="00D60F4E">
        <w:rPr>
          <w:rFonts w:eastAsia="Calibri"/>
          <w:noProof/>
          <w:lang w:val="fr-FR"/>
        </w:rPr>
        <w:t>5.</w:t>
      </w:r>
      <w:r w:rsidRPr="00D60F4E">
        <w:rPr>
          <w:rFonts w:eastAsia="Calibri"/>
          <w:noProof/>
          <w:lang w:val="fr-FR"/>
        </w:rPr>
        <w:tab/>
      </w:r>
      <w:r>
        <w:rPr>
          <w:rFonts w:eastAsia="Calibri"/>
          <w:noProof/>
          <w:lang w:val="fr-FR"/>
        </w:rPr>
        <w:t>Dans le cadre du processus de rédaction,</w:t>
      </w:r>
      <w:r w:rsidRPr="00D60F4E">
        <w:rPr>
          <w:rFonts w:eastAsia="Calibri"/>
          <w:noProof/>
          <w:lang w:val="fr-FR"/>
        </w:rPr>
        <w:t xml:space="preserve"> </w:t>
      </w:r>
      <w:r w:rsidRPr="001B5F3E">
        <w:rPr>
          <w:noProof/>
          <w:lang w:val="fr-FR"/>
        </w:rPr>
        <w:t>l</w:t>
      </w:r>
      <w:r w:rsidR="00607CA3">
        <w:rPr>
          <w:noProof/>
          <w:lang w:val="fr-FR"/>
        </w:rPr>
        <w:t>’</w:t>
      </w:r>
      <w:r w:rsidRPr="001B5F3E">
        <w:rPr>
          <w:noProof/>
          <w:lang w:val="fr-FR"/>
        </w:rPr>
        <w:t xml:space="preserve">Institution nationale des </w:t>
      </w:r>
      <w:r>
        <w:rPr>
          <w:noProof/>
          <w:lang w:val="fr-FR"/>
        </w:rPr>
        <w:t>droits de l</w:t>
      </w:r>
      <w:r w:rsidR="00607CA3">
        <w:rPr>
          <w:noProof/>
          <w:lang w:val="fr-FR"/>
        </w:rPr>
        <w:t>’</w:t>
      </w:r>
      <w:r>
        <w:rPr>
          <w:noProof/>
          <w:lang w:val="fr-FR"/>
        </w:rPr>
        <w:t>homme</w:t>
      </w:r>
      <w:r w:rsidRPr="001B5F3E">
        <w:rPr>
          <w:noProof/>
          <w:lang w:val="fr-FR"/>
        </w:rPr>
        <w:t xml:space="preserve"> </w:t>
      </w:r>
      <w:r w:rsidRPr="001B5F3E">
        <w:rPr>
          <w:rFonts w:eastAsia="Calibri"/>
          <w:noProof/>
          <w:lang w:val="fr-FR"/>
        </w:rPr>
        <w:t xml:space="preserve">et le </w:t>
      </w:r>
      <w:r>
        <w:rPr>
          <w:rFonts w:eastAsia="Calibri"/>
          <w:noProof/>
          <w:lang w:val="fr-FR"/>
        </w:rPr>
        <w:t>d</w:t>
      </w:r>
      <w:r>
        <w:rPr>
          <w:noProof/>
          <w:lang w:val="fr-FR"/>
        </w:rPr>
        <w:t>élégué parlementaire aux affaires pénitentiaires</w:t>
      </w:r>
      <w:r w:rsidRPr="00D60F4E">
        <w:rPr>
          <w:rFonts w:eastAsia="Calibri"/>
          <w:noProof/>
          <w:lang w:val="fr-FR"/>
        </w:rPr>
        <w:t xml:space="preserve"> </w:t>
      </w:r>
      <w:r>
        <w:rPr>
          <w:rFonts w:eastAsia="Calibri"/>
          <w:noProof/>
          <w:lang w:val="fr-FR"/>
        </w:rPr>
        <w:t>ont été consultés</w:t>
      </w:r>
      <w:r w:rsidRPr="00D60F4E">
        <w:rPr>
          <w:rFonts w:eastAsia="Calibri"/>
          <w:noProof/>
          <w:lang w:val="fr-FR"/>
        </w:rPr>
        <w:t xml:space="preserve">. </w:t>
      </w:r>
    </w:p>
    <w:p w:rsidR="00596826" w:rsidRPr="00D60F4E" w:rsidRDefault="00596826" w:rsidP="00001AFD">
      <w:pPr>
        <w:pStyle w:val="HChG"/>
        <w:rPr>
          <w:rFonts w:eastAsia="Calibri"/>
          <w:noProof/>
          <w:lang w:val="fr-FR"/>
        </w:rPr>
      </w:pPr>
      <w:r w:rsidRPr="00D60F4E">
        <w:rPr>
          <w:noProof/>
          <w:lang w:val="fr-FR"/>
        </w:rPr>
        <w:tab/>
        <w:t>II.</w:t>
      </w:r>
      <w:r w:rsidRPr="00D60F4E">
        <w:rPr>
          <w:noProof/>
          <w:lang w:val="fr-FR"/>
        </w:rPr>
        <w:tab/>
      </w:r>
      <w:r w:rsidRPr="00001AFD">
        <w:rPr>
          <w:noProof/>
          <w:spacing w:val="-2"/>
          <w:lang w:val="fr-FR"/>
        </w:rPr>
        <w:t>Cadre juridique concernant la lutte contre la torture et autres</w:t>
      </w:r>
      <w:r w:rsidRPr="00C03967">
        <w:rPr>
          <w:noProof/>
          <w:lang w:val="fr-FR"/>
        </w:rPr>
        <w:t xml:space="preserve"> peines ou traitements cruels, inhumains ou dégradants</w:t>
      </w:r>
    </w:p>
    <w:p w:rsidR="00596826" w:rsidRPr="00710E23" w:rsidRDefault="00596826" w:rsidP="00596826">
      <w:pPr>
        <w:pStyle w:val="SingleTxtG"/>
        <w:rPr>
          <w:rFonts w:eastAsia="Calibri"/>
          <w:noProof/>
          <w:lang w:val="fr-FR"/>
        </w:rPr>
      </w:pPr>
      <w:r w:rsidRPr="00D60F4E">
        <w:rPr>
          <w:noProof/>
          <w:lang w:val="fr-FR"/>
        </w:rPr>
        <w:t>6.</w:t>
      </w:r>
      <w:r w:rsidRPr="00D60F4E">
        <w:rPr>
          <w:noProof/>
          <w:lang w:val="fr-FR"/>
        </w:rPr>
        <w:tab/>
      </w:r>
      <w:r w:rsidRPr="00710E23">
        <w:rPr>
          <w:noProof/>
          <w:lang w:val="fr-FR"/>
        </w:rPr>
        <w:t xml:space="preserve">La loi </w:t>
      </w:r>
      <w:r w:rsidR="00001AFD" w:rsidRPr="00001AFD">
        <w:rPr>
          <w:rFonts w:eastAsia="MS Mincho"/>
          <w:noProof/>
          <w:szCs w:val="22"/>
          <w:lang w:val="fr-FR"/>
        </w:rPr>
        <w:t>n</w:t>
      </w:r>
      <w:r w:rsidR="00001AFD" w:rsidRPr="00001AFD">
        <w:rPr>
          <w:rFonts w:eastAsia="MS Mincho"/>
          <w:noProof/>
          <w:szCs w:val="22"/>
          <w:vertAlign w:val="superscript"/>
          <w:lang w:val="fr-FR"/>
        </w:rPr>
        <w:t>o</w:t>
      </w:r>
      <w:r w:rsidR="00001AFD">
        <w:rPr>
          <w:noProof/>
          <w:lang w:val="fr-FR"/>
        </w:rPr>
        <w:t> </w:t>
      </w:r>
      <w:r w:rsidRPr="00710E23">
        <w:rPr>
          <w:noProof/>
          <w:lang w:val="fr-FR"/>
        </w:rPr>
        <w:t>15798 du 27</w:t>
      </w:r>
      <w:r w:rsidR="00001AFD">
        <w:rPr>
          <w:noProof/>
          <w:lang w:val="fr-FR"/>
        </w:rPr>
        <w:t> </w:t>
      </w:r>
      <w:r w:rsidRPr="00710E23">
        <w:rPr>
          <w:noProof/>
          <w:lang w:val="fr-FR"/>
        </w:rPr>
        <w:t>décembre 1985 a porté adoption de la Convention contre la torture et autres peines ou traitements cruels, inhumains ou dégradants</w:t>
      </w:r>
      <w:r w:rsidRPr="00710E23">
        <w:rPr>
          <w:rFonts w:eastAsia="Calibri"/>
          <w:noProof/>
          <w:lang w:val="fr-FR"/>
        </w:rPr>
        <w:t xml:space="preserve">. </w:t>
      </w:r>
    </w:p>
    <w:p w:rsidR="00596826" w:rsidRPr="00710E23" w:rsidRDefault="00596826" w:rsidP="00596826">
      <w:pPr>
        <w:pStyle w:val="SingleTxtG"/>
        <w:rPr>
          <w:rFonts w:eastAsia="Calibri"/>
          <w:noProof/>
          <w:lang w:val="fr-FR"/>
        </w:rPr>
      </w:pPr>
      <w:r w:rsidRPr="00710E23">
        <w:rPr>
          <w:rFonts w:eastAsia="Calibri"/>
          <w:noProof/>
          <w:lang w:val="fr-FR"/>
        </w:rPr>
        <w:t>7.</w:t>
      </w:r>
      <w:r w:rsidRPr="00710E23">
        <w:rPr>
          <w:rFonts w:eastAsia="Calibri"/>
          <w:noProof/>
          <w:lang w:val="fr-FR"/>
        </w:rPr>
        <w:tab/>
      </w:r>
      <w:r w:rsidRPr="00710E23">
        <w:rPr>
          <w:noProof/>
          <w:lang w:val="fr-FR"/>
        </w:rPr>
        <w:t>L</w:t>
      </w:r>
      <w:r w:rsidR="00607CA3">
        <w:rPr>
          <w:noProof/>
          <w:lang w:val="fr-FR"/>
        </w:rPr>
        <w:t>’</w:t>
      </w:r>
      <w:r w:rsidRPr="00710E23">
        <w:rPr>
          <w:noProof/>
          <w:lang w:val="fr-FR"/>
        </w:rPr>
        <w:t>Uruguay a ainsi transposé dans son droit interne</w:t>
      </w:r>
      <w:r>
        <w:rPr>
          <w:noProof/>
          <w:lang w:val="fr-FR"/>
        </w:rPr>
        <w:t>,</w:t>
      </w:r>
      <w:r w:rsidRPr="00710E23">
        <w:rPr>
          <w:noProof/>
          <w:lang w:val="fr-FR"/>
        </w:rPr>
        <w:t xml:space="preserve"> </w:t>
      </w:r>
      <w:r>
        <w:rPr>
          <w:noProof/>
          <w:lang w:val="fr-FR"/>
        </w:rPr>
        <w:t>en vue</w:t>
      </w:r>
      <w:r w:rsidRPr="00710E23">
        <w:rPr>
          <w:noProof/>
          <w:lang w:val="fr-FR"/>
        </w:rPr>
        <w:t xml:space="preserve"> d</w:t>
      </w:r>
      <w:r>
        <w:rPr>
          <w:noProof/>
          <w:lang w:val="fr-FR"/>
        </w:rPr>
        <w:t>e l</w:t>
      </w:r>
      <w:r w:rsidR="00607CA3">
        <w:rPr>
          <w:noProof/>
          <w:lang w:val="fr-FR"/>
        </w:rPr>
        <w:t>’</w:t>
      </w:r>
      <w:r w:rsidRPr="00710E23">
        <w:rPr>
          <w:noProof/>
          <w:lang w:val="fr-FR"/>
        </w:rPr>
        <w:t>adoption de mesures législatives, administratives, judiciaires ou autres,</w:t>
      </w:r>
      <w:r>
        <w:rPr>
          <w:noProof/>
          <w:lang w:val="fr-FR"/>
        </w:rPr>
        <w:t xml:space="preserve"> </w:t>
      </w:r>
      <w:r w:rsidRPr="00710E23">
        <w:rPr>
          <w:noProof/>
          <w:lang w:val="fr-FR"/>
        </w:rPr>
        <w:t>un instr</w:t>
      </w:r>
      <w:r>
        <w:rPr>
          <w:noProof/>
          <w:lang w:val="fr-FR"/>
        </w:rPr>
        <w:t>ument international fondamental</w:t>
      </w:r>
      <w:r w:rsidRPr="00710E23">
        <w:rPr>
          <w:noProof/>
          <w:lang w:val="fr-FR"/>
        </w:rPr>
        <w:t xml:space="preserve"> qui vise à prévenir tous actes de torture sur le territoire national</w:t>
      </w:r>
      <w:r w:rsidRPr="00710E23">
        <w:rPr>
          <w:rFonts w:eastAsia="Calibri"/>
          <w:noProof/>
          <w:lang w:val="fr-FR"/>
        </w:rPr>
        <w:t>.</w:t>
      </w:r>
    </w:p>
    <w:p w:rsidR="00596826" w:rsidRPr="00710E23" w:rsidRDefault="00596826" w:rsidP="00596826">
      <w:pPr>
        <w:pStyle w:val="SingleTxtG"/>
        <w:rPr>
          <w:rFonts w:eastAsia="Calibri"/>
          <w:noProof/>
          <w:lang w:val="fr-FR"/>
        </w:rPr>
      </w:pPr>
      <w:r w:rsidRPr="00710E23">
        <w:rPr>
          <w:rFonts w:eastAsia="Calibri"/>
          <w:noProof/>
          <w:lang w:val="fr-FR"/>
        </w:rPr>
        <w:t>8.</w:t>
      </w:r>
      <w:r w:rsidRPr="00710E23">
        <w:rPr>
          <w:rFonts w:eastAsia="Calibri"/>
          <w:noProof/>
          <w:lang w:val="fr-FR"/>
        </w:rPr>
        <w:tab/>
      </w:r>
      <w:r w:rsidRPr="00710E23">
        <w:rPr>
          <w:noProof/>
          <w:lang w:val="fr-FR"/>
        </w:rPr>
        <w:t>En outre, le 27</w:t>
      </w:r>
      <w:r w:rsidR="00001AFD">
        <w:rPr>
          <w:noProof/>
          <w:lang w:val="fr-FR"/>
        </w:rPr>
        <w:t> </w:t>
      </w:r>
      <w:r w:rsidRPr="00710E23">
        <w:rPr>
          <w:noProof/>
          <w:lang w:val="fr-FR"/>
        </w:rPr>
        <w:t>juillet 1988, l</w:t>
      </w:r>
      <w:r w:rsidR="00607CA3">
        <w:rPr>
          <w:noProof/>
          <w:lang w:val="fr-FR"/>
        </w:rPr>
        <w:t>’</w:t>
      </w:r>
      <w:r w:rsidRPr="00710E23">
        <w:rPr>
          <w:noProof/>
          <w:lang w:val="fr-FR"/>
        </w:rPr>
        <w:t>Uruguay a, par une note adressée au Secrétaire général de l</w:t>
      </w:r>
      <w:r w:rsidR="00607CA3">
        <w:rPr>
          <w:noProof/>
          <w:lang w:val="fr-FR"/>
        </w:rPr>
        <w:t>’</w:t>
      </w:r>
      <w:r w:rsidRPr="00710E23">
        <w:rPr>
          <w:noProof/>
          <w:lang w:val="fr-FR"/>
        </w:rPr>
        <w:t>Organisation des Nations Unies et conformément à l</w:t>
      </w:r>
      <w:r w:rsidR="00607CA3">
        <w:rPr>
          <w:noProof/>
          <w:lang w:val="fr-FR"/>
        </w:rPr>
        <w:t>’</w:t>
      </w:r>
      <w:r w:rsidRPr="00710E23">
        <w:rPr>
          <w:noProof/>
          <w:lang w:val="fr-FR"/>
        </w:rPr>
        <w:t>article 21 de la Convention, reconnu la compétence du Comité pour recevoir et examiner les communications dans lesquelles un État partie prétend qu</w:t>
      </w:r>
      <w:r w:rsidR="00607CA3">
        <w:rPr>
          <w:noProof/>
          <w:lang w:val="fr-FR"/>
        </w:rPr>
        <w:t>’</w:t>
      </w:r>
      <w:r w:rsidRPr="00710E23">
        <w:rPr>
          <w:noProof/>
          <w:lang w:val="fr-FR"/>
        </w:rPr>
        <w:t>un autre État partie ne s</w:t>
      </w:r>
      <w:r w:rsidR="00607CA3">
        <w:rPr>
          <w:noProof/>
          <w:lang w:val="fr-FR"/>
        </w:rPr>
        <w:t>’</w:t>
      </w:r>
      <w:r w:rsidRPr="00710E23">
        <w:rPr>
          <w:noProof/>
          <w:lang w:val="fr-FR"/>
        </w:rPr>
        <w:t>acquitte pas de ses obligations au titre de la Convention</w:t>
      </w:r>
      <w:r w:rsidRPr="00710E23">
        <w:rPr>
          <w:rFonts w:eastAsia="Calibri"/>
          <w:noProof/>
          <w:lang w:val="fr-FR"/>
        </w:rPr>
        <w:t>.</w:t>
      </w:r>
    </w:p>
    <w:p w:rsidR="00596826" w:rsidRPr="00710E23" w:rsidRDefault="00596826" w:rsidP="00596826">
      <w:pPr>
        <w:pStyle w:val="SingleTxtG"/>
        <w:rPr>
          <w:rFonts w:eastAsia="Calibri"/>
          <w:noProof/>
          <w:lang w:val="fr-FR"/>
        </w:rPr>
      </w:pPr>
      <w:r w:rsidRPr="00710E23">
        <w:rPr>
          <w:rFonts w:eastAsia="Calibri"/>
          <w:noProof/>
          <w:lang w:val="fr-FR"/>
        </w:rPr>
        <w:t>9.</w:t>
      </w:r>
      <w:r w:rsidRPr="00710E23">
        <w:rPr>
          <w:rFonts w:eastAsia="Calibri"/>
          <w:noProof/>
          <w:lang w:val="fr-FR"/>
        </w:rPr>
        <w:tab/>
      </w:r>
      <w:r w:rsidRPr="00710E23">
        <w:rPr>
          <w:noProof/>
          <w:lang w:val="fr-FR"/>
        </w:rPr>
        <w:t>Dans la même note et en vertu de l</w:t>
      </w:r>
      <w:r w:rsidR="00607CA3">
        <w:rPr>
          <w:noProof/>
          <w:lang w:val="fr-FR"/>
        </w:rPr>
        <w:t>’</w:t>
      </w:r>
      <w:r w:rsidRPr="00710E23">
        <w:rPr>
          <w:noProof/>
          <w:lang w:val="fr-FR"/>
        </w:rPr>
        <w:t>article 22 de la Convention, l</w:t>
      </w:r>
      <w:r w:rsidR="00607CA3">
        <w:rPr>
          <w:noProof/>
          <w:lang w:val="fr-FR"/>
        </w:rPr>
        <w:t>’</w:t>
      </w:r>
      <w:r w:rsidRPr="00710E23">
        <w:rPr>
          <w:noProof/>
          <w:lang w:val="fr-FR"/>
        </w:rPr>
        <w:t>Uruguay a reconnu la compétence du Comité pour recevoir et examiner des communications présentées par des particuliers ou pour leur compte soumis à sa juridiction qui prétendent être victimes d</w:t>
      </w:r>
      <w:r w:rsidR="00607CA3">
        <w:rPr>
          <w:noProof/>
          <w:lang w:val="fr-FR"/>
        </w:rPr>
        <w:t>’</w:t>
      </w:r>
      <w:r w:rsidRPr="00710E23">
        <w:rPr>
          <w:noProof/>
          <w:lang w:val="fr-FR"/>
        </w:rPr>
        <w:t>une violation, par un État partie, des dispositions de la Convention</w:t>
      </w:r>
      <w:r w:rsidRPr="00710E23">
        <w:rPr>
          <w:rFonts w:eastAsia="Calibri"/>
          <w:noProof/>
          <w:lang w:val="fr-FR"/>
        </w:rPr>
        <w:t>.</w:t>
      </w:r>
    </w:p>
    <w:p w:rsidR="00596826" w:rsidRPr="00710E23" w:rsidRDefault="00596826" w:rsidP="00596826">
      <w:pPr>
        <w:pStyle w:val="SingleTxtG"/>
        <w:rPr>
          <w:rFonts w:eastAsia="Calibri"/>
          <w:noProof/>
          <w:sz w:val="24"/>
          <w:szCs w:val="24"/>
          <w:lang w:val="fr-FR"/>
        </w:rPr>
      </w:pPr>
      <w:r w:rsidRPr="00710E23">
        <w:rPr>
          <w:rFonts w:eastAsia="Calibri"/>
          <w:noProof/>
          <w:lang w:val="fr-FR"/>
        </w:rPr>
        <w:t>10.</w:t>
      </w:r>
      <w:r w:rsidRPr="00710E23">
        <w:rPr>
          <w:rFonts w:eastAsia="Calibri"/>
          <w:noProof/>
          <w:sz w:val="24"/>
          <w:szCs w:val="24"/>
          <w:lang w:val="fr-FR"/>
        </w:rPr>
        <w:tab/>
      </w:r>
      <w:r w:rsidRPr="00710E23">
        <w:rPr>
          <w:rFonts w:eastAsia="Calibri"/>
          <w:noProof/>
          <w:lang w:val="fr-FR"/>
        </w:rPr>
        <w:t>En ce qui concerne la qualification de l</w:t>
      </w:r>
      <w:r w:rsidR="00607CA3">
        <w:rPr>
          <w:rFonts w:eastAsia="Calibri"/>
          <w:noProof/>
          <w:lang w:val="fr-FR"/>
        </w:rPr>
        <w:t>’</w:t>
      </w:r>
      <w:r w:rsidRPr="00710E23">
        <w:rPr>
          <w:rFonts w:eastAsia="Calibri"/>
          <w:noProof/>
          <w:lang w:val="fr-FR"/>
        </w:rPr>
        <w:t>infraction de torture, l</w:t>
      </w:r>
      <w:r w:rsidR="00607CA3">
        <w:rPr>
          <w:rFonts w:eastAsia="Calibri"/>
          <w:noProof/>
          <w:lang w:val="fr-FR"/>
        </w:rPr>
        <w:t>’</w:t>
      </w:r>
      <w:r w:rsidRPr="00710E23">
        <w:rPr>
          <w:rFonts w:eastAsia="Calibri"/>
          <w:noProof/>
          <w:lang w:val="fr-FR"/>
        </w:rPr>
        <w:t xml:space="preserve">adoption de la loi </w:t>
      </w:r>
      <w:r w:rsidR="00001AFD" w:rsidRPr="00001AFD">
        <w:rPr>
          <w:rFonts w:eastAsia="MS Mincho"/>
          <w:noProof/>
          <w:szCs w:val="22"/>
          <w:lang w:val="fr-FR"/>
        </w:rPr>
        <w:t>n</w:t>
      </w:r>
      <w:r w:rsidR="00001AFD" w:rsidRPr="00001AFD">
        <w:rPr>
          <w:rFonts w:eastAsia="MS Mincho"/>
          <w:noProof/>
          <w:szCs w:val="22"/>
          <w:vertAlign w:val="superscript"/>
          <w:lang w:val="fr-FR"/>
        </w:rPr>
        <w:t>o</w:t>
      </w:r>
      <w:r w:rsidR="00001AFD">
        <w:rPr>
          <w:rFonts w:eastAsia="Calibri"/>
          <w:noProof/>
          <w:lang w:val="fr-FR"/>
        </w:rPr>
        <w:t> </w:t>
      </w:r>
      <w:r w:rsidRPr="00710E23">
        <w:rPr>
          <w:rFonts w:eastAsia="Calibri"/>
          <w:noProof/>
          <w:lang w:val="fr-FR"/>
        </w:rPr>
        <w:t>18026 de décembre 2006 sur la coopération avec la Cour pénale internationale en matière de lutte contre le génocide, les crimes de guerre et les crimes contre l</w:t>
      </w:r>
      <w:r w:rsidR="00607CA3">
        <w:rPr>
          <w:rFonts w:eastAsia="Calibri"/>
          <w:noProof/>
          <w:lang w:val="fr-FR"/>
        </w:rPr>
        <w:t>’</w:t>
      </w:r>
      <w:r w:rsidRPr="00710E23">
        <w:rPr>
          <w:rFonts w:eastAsia="Calibri"/>
          <w:noProof/>
          <w:lang w:val="fr-FR"/>
        </w:rPr>
        <w:t xml:space="preserve">humanité a </w:t>
      </w:r>
      <w:r>
        <w:rPr>
          <w:rFonts w:eastAsia="Calibri"/>
          <w:noProof/>
          <w:lang w:val="fr-FR"/>
        </w:rPr>
        <w:t>permis d</w:t>
      </w:r>
      <w:r w:rsidR="00607CA3">
        <w:rPr>
          <w:rFonts w:eastAsia="Calibri"/>
          <w:noProof/>
          <w:lang w:val="fr-FR"/>
        </w:rPr>
        <w:t>’</w:t>
      </w:r>
      <w:r w:rsidRPr="00710E23">
        <w:rPr>
          <w:rFonts w:eastAsia="Calibri"/>
          <w:noProof/>
          <w:lang w:val="fr-FR"/>
        </w:rPr>
        <w:t>incorpor</w:t>
      </w:r>
      <w:r>
        <w:rPr>
          <w:rFonts w:eastAsia="Calibri"/>
          <w:noProof/>
          <w:lang w:val="fr-FR"/>
        </w:rPr>
        <w:t>er</w:t>
      </w:r>
      <w:r w:rsidRPr="00710E23">
        <w:rPr>
          <w:rFonts w:eastAsia="Calibri"/>
          <w:noProof/>
          <w:lang w:val="fr-FR"/>
        </w:rPr>
        <w:t xml:space="preserve"> cette infraction dans l</w:t>
      </w:r>
      <w:r w:rsidR="00607CA3">
        <w:rPr>
          <w:rFonts w:eastAsia="Calibri"/>
          <w:noProof/>
          <w:lang w:val="fr-FR"/>
        </w:rPr>
        <w:t>’</w:t>
      </w:r>
      <w:r w:rsidRPr="00710E23">
        <w:rPr>
          <w:rFonts w:eastAsia="Calibri"/>
          <w:noProof/>
          <w:lang w:val="fr-FR"/>
        </w:rPr>
        <w:t>ordre juridique interne (art</w:t>
      </w:r>
      <w:r w:rsidR="00001AFD">
        <w:rPr>
          <w:rFonts w:eastAsia="Calibri"/>
          <w:noProof/>
          <w:lang w:val="fr-FR"/>
        </w:rPr>
        <w:t>. </w:t>
      </w:r>
      <w:r w:rsidRPr="00710E23">
        <w:rPr>
          <w:rFonts w:eastAsia="Calibri"/>
          <w:noProof/>
          <w:lang w:val="fr-FR"/>
        </w:rPr>
        <w:t>22).</w:t>
      </w:r>
    </w:p>
    <w:p w:rsidR="00596826" w:rsidRPr="00D60F4E" w:rsidRDefault="00596826" w:rsidP="00596826">
      <w:pPr>
        <w:pStyle w:val="SingleTxtG"/>
        <w:rPr>
          <w:rFonts w:eastAsia="Calibri"/>
          <w:noProof/>
          <w:lang w:val="fr-FR"/>
        </w:rPr>
      </w:pPr>
      <w:r w:rsidRPr="00710E23">
        <w:rPr>
          <w:rFonts w:eastAsia="Calibri"/>
          <w:noProof/>
          <w:lang w:val="fr-FR"/>
        </w:rPr>
        <w:t>11.</w:t>
      </w:r>
      <w:r w:rsidRPr="00710E23">
        <w:rPr>
          <w:rFonts w:eastAsia="Calibri"/>
          <w:noProof/>
          <w:lang w:val="fr-FR"/>
        </w:rPr>
        <w:tab/>
      </w:r>
      <w:r w:rsidRPr="00710E23">
        <w:rPr>
          <w:noProof/>
          <w:lang w:val="fr-FR"/>
        </w:rPr>
        <w:t>L</w:t>
      </w:r>
      <w:r w:rsidR="00607CA3">
        <w:rPr>
          <w:noProof/>
          <w:lang w:val="fr-FR"/>
        </w:rPr>
        <w:t>’</w:t>
      </w:r>
      <w:r w:rsidRPr="00710E23">
        <w:rPr>
          <w:noProof/>
          <w:lang w:val="fr-FR"/>
        </w:rPr>
        <w:t xml:space="preserve">Uruguay a, par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710E23">
        <w:rPr>
          <w:noProof/>
          <w:lang w:val="fr-FR"/>
        </w:rPr>
        <w:t>17914 d</w:t>
      </w:r>
      <w:r w:rsidR="00607CA3">
        <w:rPr>
          <w:noProof/>
          <w:lang w:val="fr-FR"/>
        </w:rPr>
        <w:t>’</w:t>
      </w:r>
      <w:r w:rsidRPr="00710E23">
        <w:rPr>
          <w:noProof/>
          <w:lang w:val="fr-FR"/>
        </w:rPr>
        <w:t>octobre 2004, ratifié le Protocole facultatif se rapportant à la Convention, inscrivant ainsi dans son ordre interne un instrument qui habilite un organe international indépendant à effectuer des visites périodiques de lieux où se trouvent des personnes privées de liberté et prévoit l</w:t>
      </w:r>
      <w:r w:rsidR="00607CA3">
        <w:rPr>
          <w:noProof/>
          <w:lang w:val="fr-FR"/>
        </w:rPr>
        <w:t>’</w:t>
      </w:r>
      <w:r w:rsidRPr="00710E23">
        <w:rPr>
          <w:noProof/>
          <w:lang w:val="fr-FR"/>
        </w:rPr>
        <w:t xml:space="preserve">obligation de mettre en place un </w:t>
      </w:r>
      <w:r w:rsidRPr="00710E23">
        <w:rPr>
          <w:noProof/>
          <w:lang w:val="fr-FR"/>
        </w:rPr>
        <w:lastRenderedPageBreak/>
        <w:t>mécanisme national afin de prévenir des actes de torture et autres peines ou traitements cruels, inhumains ou dégradants</w:t>
      </w:r>
      <w:r w:rsidRPr="00D60F4E">
        <w:rPr>
          <w:rFonts w:eastAsia="Calibri"/>
          <w:noProof/>
          <w:lang w:val="fr-FR"/>
        </w:rPr>
        <w:t>.</w:t>
      </w:r>
    </w:p>
    <w:p w:rsidR="00596826" w:rsidRPr="00D60F4E" w:rsidRDefault="00596826" w:rsidP="00596826">
      <w:pPr>
        <w:pStyle w:val="SingleTxtG"/>
        <w:rPr>
          <w:rFonts w:eastAsia="Calibri"/>
          <w:noProof/>
          <w:lang w:val="fr-FR"/>
        </w:rPr>
      </w:pPr>
      <w:r w:rsidRPr="00D60F4E">
        <w:rPr>
          <w:rFonts w:eastAsia="Calibri"/>
          <w:noProof/>
          <w:lang w:val="fr-FR"/>
        </w:rPr>
        <w:t>12.</w:t>
      </w:r>
      <w:r w:rsidRPr="00D60F4E">
        <w:rPr>
          <w:rFonts w:eastAsia="Calibri"/>
          <w:noProof/>
          <w:lang w:val="fr-FR"/>
        </w:rPr>
        <w:tab/>
      </w:r>
      <w:r w:rsidRPr="00710E23">
        <w:rPr>
          <w:noProof/>
          <w:lang w:val="fr-FR"/>
        </w:rPr>
        <w:t>Dans le cadre du système interaméricain, l</w:t>
      </w:r>
      <w:r w:rsidR="00607CA3">
        <w:rPr>
          <w:noProof/>
          <w:lang w:val="fr-FR"/>
        </w:rPr>
        <w:t>’</w:t>
      </w:r>
      <w:r w:rsidRPr="00710E23">
        <w:rPr>
          <w:noProof/>
          <w:lang w:val="fr-FR"/>
        </w:rPr>
        <w:t>Uruguay est également partie à la Convention interaméricaine pour la prévention et la répression de la torture qu</w:t>
      </w:r>
      <w:r w:rsidR="00607CA3">
        <w:rPr>
          <w:noProof/>
          <w:lang w:val="fr-FR"/>
        </w:rPr>
        <w:t>’</w:t>
      </w:r>
      <w:r w:rsidRPr="00710E23">
        <w:rPr>
          <w:noProof/>
          <w:lang w:val="fr-FR"/>
        </w:rPr>
        <w:t xml:space="preserve">il a ratifiée par la </w:t>
      </w:r>
      <w:r w:rsidR="00607CA3" w:rsidRPr="00710E23">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710E23">
        <w:rPr>
          <w:noProof/>
          <w:lang w:val="fr-FR"/>
        </w:rPr>
        <w:t>16294 d</w:t>
      </w:r>
      <w:r w:rsidR="00607CA3">
        <w:rPr>
          <w:noProof/>
          <w:lang w:val="fr-FR"/>
        </w:rPr>
        <w:t>’</w:t>
      </w:r>
      <w:r w:rsidRPr="00710E23">
        <w:rPr>
          <w:noProof/>
          <w:lang w:val="fr-FR"/>
        </w:rPr>
        <w:t>août 1992</w:t>
      </w:r>
      <w:r w:rsidR="00691AD9">
        <w:rPr>
          <w:noProof/>
          <w:lang w:val="fr-FR"/>
        </w:rPr>
        <w:t> </w:t>
      </w:r>
      <w:r w:rsidRPr="00710E23">
        <w:rPr>
          <w:noProof/>
          <w:lang w:val="fr-FR"/>
        </w:rPr>
        <w:t>; le principal instrument contraignant interaméricain est ainsi intégré dans l</w:t>
      </w:r>
      <w:r w:rsidR="00607CA3">
        <w:rPr>
          <w:noProof/>
          <w:lang w:val="fr-FR"/>
        </w:rPr>
        <w:t>’</w:t>
      </w:r>
      <w:r w:rsidRPr="00710E23">
        <w:rPr>
          <w:noProof/>
          <w:lang w:val="fr-FR"/>
        </w:rPr>
        <w:t>ordre juridique interne pour prévenir et réprimer la torture conformément aux dispositions de ladite Convention</w:t>
      </w:r>
      <w:r w:rsidRPr="00D60F4E">
        <w:rPr>
          <w:rFonts w:eastAsia="Calibri"/>
          <w:noProof/>
          <w:lang w:val="fr-FR"/>
        </w:rPr>
        <w:t xml:space="preserve">. </w:t>
      </w:r>
    </w:p>
    <w:p w:rsidR="00596826" w:rsidRPr="00A117E8" w:rsidRDefault="00596826" w:rsidP="00596826">
      <w:pPr>
        <w:pStyle w:val="HChG"/>
        <w:rPr>
          <w:rFonts w:eastAsia="Calibri"/>
          <w:noProof/>
          <w:lang w:val="fr-FR"/>
        </w:rPr>
      </w:pPr>
      <w:r w:rsidRPr="00411326">
        <w:rPr>
          <w:rFonts w:eastAsia="Calibri"/>
        </w:rPr>
        <w:tab/>
        <w:t>III.</w:t>
      </w:r>
      <w:r w:rsidRPr="00411326">
        <w:rPr>
          <w:rFonts w:eastAsia="Calibri"/>
        </w:rPr>
        <w:tab/>
      </w:r>
      <w:r w:rsidRPr="00A117E8">
        <w:rPr>
          <w:noProof/>
          <w:lang w:val="fr-FR"/>
        </w:rPr>
        <w:t xml:space="preserve">Réponses aux questions spécifiquement formulées </w:t>
      </w:r>
      <w:r w:rsidR="00607CA3">
        <w:rPr>
          <w:noProof/>
          <w:lang w:val="fr-FR"/>
        </w:rPr>
        <w:br/>
      </w:r>
      <w:r w:rsidRPr="00A117E8">
        <w:rPr>
          <w:noProof/>
          <w:lang w:val="fr-FR"/>
        </w:rPr>
        <w:t>par le Comité</w:t>
      </w:r>
    </w:p>
    <w:p w:rsidR="00596826" w:rsidRPr="00A117E8" w:rsidRDefault="00596826" w:rsidP="00596826">
      <w:pPr>
        <w:pStyle w:val="H1G"/>
        <w:rPr>
          <w:rFonts w:eastAsia="Calibri"/>
          <w:noProof/>
          <w:lang w:val="fr-FR"/>
        </w:rPr>
      </w:pPr>
      <w:r w:rsidRPr="00A117E8">
        <w:rPr>
          <w:rFonts w:eastAsia="Calibri"/>
          <w:noProof/>
          <w:lang w:val="fr-FR"/>
        </w:rPr>
        <w:tab/>
      </w:r>
      <w:r w:rsidRPr="00A117E8">
        <w:rPr>
          <w:rFonts w:eastAsia="Calibri"/>
          <w:noProof/>
          <w:lang w:val="fr-FR"/>
        </w:rPr>
        <w:tab/>
      </w:r>
      <w:r w:rsidRPr="00A117E8">
        <w:rPr>
          <w:noProof/>
          <w:lang w:val="fr-FR"/>
        </w:rPr>
        <w:t>Renseignements sur la suite donnée à certaines des recommandations figurant dans les précédentes observations finales</w:t>
      </w:r>
    </w:p>
    <w:p w:rsidR="00596826" w:rsidRPr="00A117E8" w:rsidRDefault="00596826" w:rsidP="00596826">
      <w:pPr>
        <w:pStyle w:val="SingleTxtG"/>
        <w:rPr>
          <w:rFonts w:eastAsia="Calibri"/>
          <w:noProof/>
          <w:lang w:val="fr-FR"/>
        </w:rPr>
      </w:pPr>
      <w:r w:rsidRPr="00A117E8">
        <w:rPr>
          <w:rFonts w:eastAsia="Calibri"/>
          <w:noProof/>
          <w:lang w:val="fr-FR"/>
        </w:rPr>
        <w:t>13.</w:t>
      </w:r>
      <w:r w:rsidRPr="00A117E8">
        <w:rPr>
          <w:rFonts w:eastAsia="Calibri"/>
          <w:noProof/>
          <w:lang w:val="fr-FR"/>
        </w:rPr>
        <w:tab/>
        <w:t>L</w:t>
      </w:r>
      <w:r w:rsidR="00607CA3">
        <w:rPr>
          <w:rFonts w:eastAsia="Calibri"/>
          <w:noProof/>
          <w:lang w:val="fr-FR"/>
        </w:rPr>
        <w:t>’</w:t>
      </w:r>
      <w:r w:rsidRPr="00A117E8">
        <w:rPr>
          <w:rFonts w:eastAsia="Calibri"/>
          <w:noProof/>
          <w:lang w:val="fr-FR"/>
        </w:rPr>
        <w:t>État uruguay</w:t>
      </w:r>
      <w:r>
        <w:rPr>
          <w:rFonts w:eastAsia="Calibri"/>
          <w:noProof/>
          <w:lang w:val="fr-FR"/>
        </w:rPr>
        <w:t>en</w:t>
      </w:r>
      <w:r w:rsidRPr="00A117E8">
        <w:rPr>
          <w:rFonts w:eastAsia="Calibri"/>
          <w:noProof/>
          <w:lang w:val="fr-FR"/>
        </w:rPr>
        <w:t xml:space="preserve"> </w:t>
      </w:r>
      <w:r>
        <w:rPr>
          <w:rFonts w:eastAsia="Calibri"/>
          <w:noProof/>
          <w:lang w:val="fr-FR"/>
        </w:rPr>
        <w:t>a ratifié tous les instruments fondamentaux relatifs aux droits de l</w:t>
      </w:r>
      <w:r w:rsidR="00607CA3">
        <w:rPr>
          <w:rFonts w:eastAsia="Calibri"/>
          <w:noProof/>
          <w:lang w:val="fr-FR"/>
        </w:rPr>
        <w:t>’</w:t>
      </w:r>
      <w:r>
        <w:rPr>
          <w:rFonts w:eastAsia="Calibri"/>
          <w:noProof/>
          <w:lang w:val="fr-FR"/>
        </w:rPr>
        <w:t xml:space="preserve">homme et leurs protocoles facultatifs en vigueur, notamment le </w:t>
      </w:r>
      <w:r w:rsidRPr="00710E23">
        <w:rPr>
          <w:noProof/>
          <w:lang w:val="fr-FR"/>
        </w:rPr>
        <w:t>Protocole facultatif se rapportant à la Convention</w:t>
      </w:r>
      <w:r w:rsidRPr="00A117E8">
        <w:rPr>
          <w:rFonts w:eastAsia="Calibri"/>
          <w:noProof/>
          <w:lang w:val="fr-FR"/>
        </w:rPr>
        <w:t xml:space="preserve"> </w:t>
      </w:r>
      <w:r w:rsidRPr="00710E23">
        <w:rPr>
          <w:noProof/>
          <w:lang w:val="fr-FR"/>
        </w:rPr>
        <w:t>contre la torture et autres peines ou traitements cruels, inhumains ou dégradants</w:t>
      </w:r>
      <w:r w:rsidRPr="00A117E8">
        <w:rPr>
          <w:rFonts w:eastAsia="Calibri"/>
          <w:noProof/>
          <w:lang w:val="fr-FR"/>
        </w:rPr>
        <w:t xml:space="preserve">, </w:t>
      </w:r>
      <w:r>
        <w:rPr>
          <w:rFonts w:eastAsia="Calibri"/>
          <w:noProof/>
          <w:lang w:val="fr-FR"/>
        </w:rPr>
        <w:t xml:space="preserve">ou y a adhéré et, en adoptant la </w:t>
      </w:r>
      <w:r w:rsidR="00607CA3" w:rsidRPr="00710E23">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A117E8">
        <w:rPr>
          <w:rFonts w:eastAsia="Calibri"/>
          <w:noProof/>
          <w:lang w:val="fr-FR"/>
        </w:rPr>
        <w:t>18026</w:t>
      </w:r>
      <w:r>
        <w:rPr>
          <w:rFonts w:eastAsia="Calibri"/>
          <w:noProof/>
          <w:lang w:val="fr-FR"/>
        </w:rPr>
        <w:t>, s</w:t>
      </w:r>
      <w:r w:rsidR="00607CA3">
        <w:rPr>
          <w:rFonts w:eastAsia="Calibri"/>
          <w:noProof/>
          <w:lang w:val="fr-FR"/>
        </w:rPr>
        <w:t>’</w:t>
      </w:r>
      <w:r>
        <w:rPr>
          <w:rFonts w:eastAsia="Calibri"/>
          <w:noProof/>
          <w:lang w:val="fr-FR"/>
        </w:rPr>
        <w:t xml:space="preserve">est également acquitté des obligations découlant du Statut de Rome </w:t>
      </w:r>
      <w:r w:rsidRPr="00A117E8">
        <w:rPr>
          <w:rFonts w:eastAsia="Calibri"/>
          <w:noProof/>
          <w:lang w:val="fr-FR"/>
        </w:rPr>
        <w:t>(a</w:t>
      </w:r>
      <w:r>
        <w:rPr>
          <w:rFonts w:eastAsia="Calibri"/>
          <w:noProof/>
          <w:lang w:val="fr-FR"/>
        </w:rPr>
        <w:t xml:space="preserve">dopté par la </w:t>
      </w:r>
      <w:r w:rsidR="00607CA3" w:rsidRPr="00710E23">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A117E8">
        <w:rPr>
          <w:rFonts w:eastAsia="Calibri"/>
          <w:noProof/>
          <w:lang w:val="fr-FR"/>
        </w:rPr>
        <w:t xml:space="preserve">17510 de </w:t>
      </w:r>
      <w:r>
        <w:rPr>
          <w:rFonts w:eastAsia="Calibri"/>
          <w:noProof/>
          <w:lang w:val="fr-FR"/>
        </w:rPr>
        <w:t xml:space="preserve">juin </w:t>
      </w:r>
      <w:r w:rsidRPr="00A117E8">
        <w:rPr>
          <w:rFonts w:eastAsia="Calibri"/>
          <w:noProof/>
          <w:lang w:val="fr-FR"/>
        </w:rPr>
        <w:t>2002).</w:t>
      </w:r>
    </w:p>
    <w:p w:rsidR="00596826" w:rsidRPr="00A117E8" w:rsidRDefault="00596826" w:rsidP="00607CA3">
      <w:pPr>
        <w:pStyle w:val="H23G"/>
        <w:rPr>
          <w:noProof/>
          <w:lang w:val="fr-FR"/>
        </w:rPr>
      </w:pPr>
      <w:r w:rsidRPr="00A117E8">
        <w:rPr>
          <w:noProof/>
          <w:lang w:val="fr-FR"/>
        </w:rPr>
        <w:tab/>
      </w:r>
      <w:r w:rsidRPr="00A117E8">
        <w:rPr>
          <w:noProof/>
          <w:lang w:val="fr-FR"/>
        </w:rPr>
        <w:tab/>
        <w:t>S</w:t>
      </w:r>
      <w:r>
        <w:rPr>
          <w:noProof/>
          <w:lang w:val="fr-FR"/>
        </w:rPr>
        <w:t xml:space="preserve">ystème de justice pénale pour adultes </w:t>
      </w:r>
    </w:p>
    <w:p w:rsidR="00596826" w:rsidRPr="00A117E8" w:rsidRDefault="00596826" w:rsidP="00596826">
      <w:pPr>
        <w:pStyle w:val="SingleTxtG"/>
        <w:rPr>
          <w:rFonts w:eastAsia="Calibri"/>
          <w:noProof/>
          <w:lang w:val="fr-FR"/>
        </w:rPr>
      </w:pPr>
      <w:r w:rsidRPr="00A117E8">
        <w:rPr>
          <w:rFonts w:eastAsia="Calibri"/>
          <w:noProof/>
          <w:lang w:val="fr-FR"/>
        </w:rPr>
        <w:t>14.</w:t>
      </w:r>
      <w:r w:rsidRPr="00A117E8">
        <w:rPr>
          <w:rFonts w:eastAsia="Calibri"/>
          <w:noProof/>
          <w:lang w:val="fr-FR"/>
        </w:rPr>
        <w:tab/>
      </w:r>
      <w:r>
        <w:rPr>
          <w:rFonts w:eastAsia="Calibri"/>
          <w:noProof/>
          <w:lang w:val="fr-FR"/>
        </w:rPr>
        <w:t>Au cours de la période considérée, six actes apparemment délictueux susceptibles d</w:t>
      </w:r>
      <w:r w:rsidR="00607CA3">
        <w:rPr>
          <w:rFonts w:eastAsia="Calibri"/>
          <w:noProof/>
          <w:lang w:val="fr-FR"/>
        </w:rPr>
        <w:t>’</w:t>
      </w:r>
      <w:r>
        <w:rPr>
          <w:rFonts w:eastAsia="Calibri"/>
          <w:noProof/>
          <w:lang w:val="fr-FR"/>
        </w:rPr>
        <w:t>être qualifiés de torture ont été signalés</w:t>
      </w:r>
      <w:r w:rsidRPr="00A117E8">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un d</w:t>
      </w:r>
      <w:r w:rsidR="00607CA3">
        <w:rPr>
          <w:rFonts w:eastAsia="Calibri"/>
          <w:noProof/>
          <w:lang w:val="fr-FR"/>
        </w:rPr>
        <w:t>’</w:t>
      </w:r>
      <w:r>
        <w:rPr>
          <w:rFonts w:eastAsia="Calibri"/>
          <w:noProof/>
          <w:lang w:val="fr-FR"/>
        </w:rPr>
        <w:t>eux concernait l</w:t>
      </w:r>
      <w:r w:rsidR="00607CA3">
        <w:rPr>
          <w:rFonts w:eastAsia="Calibri"/>
          <w:noProof/>
          <w:lang w:val="fr-FR"/>
        </w:rPr>
        <w:t>’</w:t>
      </w:r>
      <w:r>
        <w:rPr>
          <w:rFonts w:eastAsia="Calibri"/>
          <w:noProof/>
          <w:lang w:val="fr-FR"/>
        </w:rPr>
        <w:t xml:space="preserve">opération répressive menée </w:t>
      </w:r>
      <w:r w:rsidRPr="00A0244A">
        <w:rPr>
          <w:noProof/>
          <w:lang w:val="fr-FR"/>
        </w:rPr>
        <w:t xml:space="preserve">dans </w:t>
      </w:r>
      <w:r>
        <w:rPr>
          <w:noProof/>
          <w:lang w:val="fr-FR"/>
        </w:rPr>
        <w:t>le centre pénitentiaire</w:t>
      </w:r>
      <w:r w:rsidRPr="00A0244A">
        <w:rPr>
          <w:noProof/>
          <w:lang w:val="fr-FR"/>
        </w:rPr>
        <w:t xml:space="preserve"> Libertad</w:t>
      </w:r>
      <w:r w:rsidRPr="00A117E8">
        <w:rPr>
          <w:rFonts w:eastAsia="Calibri"/>
          <w:noProof/>
          <w:lang w:val="fr-FR"/>
        </w:rPr>
        <w:t xml:space="preserve"> </w:t>
      </w:r>
      <w:r>
        <w:rPr>
          <w:rFonts w:eastAsia="Calibri"/>
          <w:noProof/>
          <w:lang w:val="fr-FR"/>
        </w:rPr>
        <w:t>en</w:t>
      </w:r>
      <w:r w:rsidRPr="00A117E8">
        <w:rPr>
          <w:rFonts w:eastAsia="Calibri"/>
          <w:noProof/>
          <w:lang w:val="fr-FR"/>
        </w:rPr>
        <w:t xml:space="preserve"> 2016. L</w:t>
      </w:r>
      <w:r>
        <w:rPr>
          <w:rFonts w:eastAsia="Calibri"/>
          <w:noProof/>
          <w:lang w:val="fr-FR"/>
        </w:rPr>
        <w:t>e</w:t>
      </w:r>
      <w:r w:rsidRPr="00A117E8">
        <w:rPr>
          <w:rFonts w:eastAsia="Calibri"/>
          <w:noProof/>
          <w:lang w:val="fr-FR"/>
        </w:rPr>
        <w:t xml:space="preserve">s </w:t>
      </w:r>
      <w:r>
        <w:rPr>
          <w:rFonts w:eastAsia="Calibri"/>
          <w:noProof/>
          <w:lang w:val="fr-FR"/>
        </w:rPr>
        <w:t>autres signalements ont fait état d</w:t>
      </w:r>
      <w:r w:rsidR="00607CA3">
        <w:rPr>
          <w:rFonts w:eastAsia="Calibri"/>
          <w:noProof/>
          <w:lang w:val="fr-FR"/>
        </w:rPr>
        <w:t>’</w:t>
      </w:r>
      <w:r>
        <w:rPr>
          <w:rFonts w:eastAsia="Calibri"/>
          <w:noProof/>
          <w:lang w:val="fr-FR"/>
        </w:rPr>
        <w:t>actes de violence ponctuels qui s</w:t>
      </w:r>
      <w:r w:rsidR="00607CA3">
        <w:rPr>
          <w:rFonts w:eastAsia="Calibri"/>
          <w:noProof/>
          <w:lang w:val="fr-FR"/>
        </w:rPr>
        <w:t>’</w:t>
      </w:r>
      <w:r>
        <w:rPr>
          <w:rFonts w:eastAsia="Calibri"/>
          <w:noProof/>
          <w:lang w:val="fr-FR"/>
        </w:rPr>
        <w:t xml:space="preserve">étaient produits en dehors de la chaîne de commandement des établissements considérés </w:t>
      </w:r>
      <w:r w:rsidR="00607CA3">
        <w:rPr>
          <w:rFonts w:eastAsia="Calibri"/>
          <w:noProof/>
          <w:lang w:val="fr-FR"/>
        </w:rPr>
        <w:t>−</w:t>
      </w:r>
      <w:r>
        <w:rPr>
          <w:rFonts w:eastAsia="Calibri"/>
          <w:noProof/>
          <w:lang w:val="fr-FR"/>
        </w:rPr>
        <w:t xml:space="preserve"> centre pénitentiaire </w:t>
      </w:r>
      <w:r w:rsidRPr="00A117E8">
        <w:rPr>
          <w:rFonts w:eastAsia="Calibri"/>
          <w:noProof/>
          <w:lang w:val="fr-FR"/>
        </w:rPr>
        <w:t>COMCAR</w:t>
      </w:r>
      <w:r>
        <w:rPr>
          <w:rFonts w:eastAsia="Calibri"/>
          <w:noProof/>
          <w:lang w:val="fr-FR"/>
        </w:rPr>
        <w:t xml:space="preserve">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Pr>
          <w:rFonts w:eastAsia="Calibri"/>
          <w:noProof/>
          <w:lang w:val="fr-FR"/>
        </w:rPr>
        <w:t>4)</w:t>
      </w:r>
      <w:r w:rsidR="00607CA3">
        <w:rPr>
          <w:rFonts w:eastAsia="Calibri"/>
          <w:noProof/>
          <w:lang w:val="fr-FR"/>
        </w:rPr>
        <w:t> </w:t>
      </w:r>
      <w:r w:rsidRPr="00A117E8">
        <w:rPr>
          <w:rFonts w:eastAsia="Calibri"/>
          <w:noProof/>
          <w:lang w:val="fr-FR"/>
        </w:rPr>
        <w:t xml:space="preserve">; </w:t>
      </w:r>
      <w:r w:rsidRPr="00FC0266">
        <w:rPr>
          <w:noProof/>
          <w:lang w:val="fr-FR"/>
        </w:rPr>
        <w:t>centre pénitentiaire pour femmes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00691AD9">
        <w:rPr>
          <w:noProof/>
          <w:lang w:val="fr-FR"/>
        </w:rPr>
        <w:t>5</w:t>
      </w:r>
      <w:r w:rsidRPr="00411326">
        <w:t>)</w:t>
      </w:r>
      <w:r w:rsidR="00607CA3">
        <w:t> </w:t>
      </w:r>
      <w:r w:rsidRPr="00A117E8">
        <w:rPr>
          <w:rFonts w:eastAsia="Calibri"/>
          <w:noProof/>
          <w:lang w:val="fr-FR"/>
        </w:rPr>
        <w:t xml:space="preserve">; </w:t>
      </w:r>
      <w:r>
        <w:rPr>
          <w:rFonts w:eastAsia="Calibri"/>
          <w:noProof/>
          <w:lang w:val="fr-FR"/>
        </w:rPr>
        <w:t>centre</w:t>
      </w:r>
      <w:r w:rsidRPr="00A117E8">
        <w:rPr>
          <w:rFonts w:eastAsia="Calibri"/>
          <w:noProof/>
          <w:lang w:val="fr-FR"/>
        </w:rPr>
        <w:t xml:space="preserve"> Canelones</w:t>
      </w:r>
      <w:r>
        <w:rPr>
          <w:rFonts w:eastAsia="Calibri"/>
          <w:noProof/>
          <w:lang w:val="fr-FR"/>
        </w:rPr>
        <w:t xml:space="preserve">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Pr>
          <w:rFonts w:eastAsia="Calibri"/>
          <w:noProof/>
          <w:lang w:val="fr-FR"/>
        </w:rPr>
        <w:t xml:space="preserve">7) </w:t>
      </w:r>
      <w:r w:rsidR="00607CA3">
        <w:rPr>
          <w:rFonts w:eastAsia="Calibri"/>
          <w:noProof/>
          <w:lang w:val="fr-FR"/>
        </w:rPr>
        <w:t>−</w:t>
      </w:r>
      <w:r>
        <w:rPr>
          <w:rFonts w:eastAsia="Calibri"/>
          <w:noProof/>
          <w:lang w:val="fr-FR"/>
        </w:rPr>
        <w:t>, dans lesquels des souffrances et des mauvais traitements avaient été infligés pour punir les détenus ou leur faire peur</w:t>
      </w:r>
      <w:r w:rsidRPr="00A117E8">
        <w:rPr>
          <w:rFonts w:eastAsia="Calibri"/>
          <w:noProof/>
          <w:lang w:val="fr-FR"/>
        </w:rPr>
        <w:t xml:space="preserve">. </w:t>
      </w:r>
      <w:r>
        <w:rPr>
          <w:rFonts w:eastAsia="Calibri"/>
          <w:noProof/>
          <w:lang w:val="fr-FR"/>
        </w:rPr>
        <w:t>Portées devant la justice pénale, ces affaires n</w:t>
      </w:r>
      <w:r w:rsidR="00607CA3">
        <w:rPr>
          <w:rFonts w:eastAsia="Calibri"/>
          <w:noProof/>
          <w:lang w:val="fr-FR"/>
        </w:rPr>
        <w:t>’</w:t>
      </w:r>
      <w:r>
        <w:rPr>
          <w:rFonts w:eastAsia="Calibri"/>
          <w:noProof/>
          <w:lang w:val="fr-FR"/>
        </w:rPr>
        <w:t>avaient pas encore été jugées a</w:t>
      </w:r>
      <w:r w:rsidRPr="00411326">
        <w:t xml:space="preserve">u </w:t>
      </w:r>
      <w:r w:rsidRPr="00C370F8">
        <w:rPr>
          <w:noProof/>
          <w:lang w:val="fr-FR"/>
        </w:rPr>
        <w:t>moment de l</w:t>
      </w:r>
      <w:r w:rsidR="00607CA3">
        <w:rPr>
          <w:noProof/>
          <w:lang w:val="fr-FR"/>
        </w:rPr>
        <w:t>’</w:t>
      </w:r>
      <w:r w:rsidRPr="00C370F8">
        <w:rPr>
          <w:noProof/>
          <w:lang w:val="fr-FR"/>
        </w:rPr>
        <w:t>achèvement du présent rapport</w:t>
      </w:r>
      <w:r w:rsidRPr="00A117E8">
        <w:rPr>
          <w:rFonts w:eastAsia="Calibri"/>
          <w:noProof/>
          <w:lang w:val="fr-FR"/>
        </w:rPr>
        <w:t>.</w:t>
      </w:r>
    </w:p>
    <w:p w:rsidR="00596826" w:rsidRPr="00A117E8" w:rsidRDefault="00596826" w:rsidP="00596826">
      <w:pPr>
        <w:pStyle w:val="SingleTxtG"/>
        <w:rPr>
          <w:rFonts w:eastAsia="Calibri"/>
          <w:noProof/>
          <w:lang w:val="fr-FR"/>
        </w:rPr>
      </w:pPr>
      <w:r w:rsidRPr="00A117E8">
        <w:rPr>
          <w:rFonts w:eastAsia="Calibri"/>
          <w:noProof/>
          <w:lang w:val="fr-FR"/>
        </w:rPr>
        <w:t>15.</w:t>
      </w:r>
      <w:r w:rsidRPr="00A117E8">
        <w:rPr>
          <w:rFonts w:eastAsia="Calibri"/>
          <w:noProof/>
          <w:lang w:val="fr-FR"/>
        </w:rPr>
        <w:tab/>
        <w:t>En c</w:t>
      </w:r>
      <w:r>
        <w:rPr>
          <w:rFonts w:eastAsia="Calibri"/>
          <w:noProof/>
          <w:lang w:val="fr-FR"/>
        </w:rPr>
        <w:t>e qui concerne le renforcement des garanties à offrir aux personnes privées de liberté, il importe de souligner que l</w:t>
      </w:r>
      <w:r w:rsidR="00607CA3">
        <w:rPr>
          <w:rFonts w:eastAsia="Calibri"/>
          <w:noProof/>
          <w:lang w:val="fr-FR"/>
        </w:rPr>
        <w:t>’</w:t>
      </w:r>
      <w:r>
        <w:rPr>
          <w:rFonts w:eastAsia="Calibri"/>
          <w:noProof/>
          <w:lang w:val="fr-FR"/>
        </w:rPr>
        <w:t xml:space="preserve">admission dans un centre pénitentiaire ne peut se faire que </w:t>
      </w:r>
      <w:r w:rsidRPr="00C370F8">
        <w:rPr>
          <w:noProof/>
          <w:lang w:val="fr-FR"/>
        </w:rPr>
        <w:t>sur ordre écrit du juge compétent</w:t>
      </w:r>
      <w:r>
        <w:rPr>
          <w:noProof/>
          <w:lang w:val="fr-FR"/>
        </w:rPr>
        <w:t>, ordre sur lequel doivent figurer les données relatives à la personne détenue avec indication de l</w:t>
      </w:r>
      <w:r w:rsidR="00607CA3">
        <w:rPr>
          <w:noProof/>
          <w:lang w:val="fr-FR"/>
        </w:rPr>
        <w:t>’</w:t>
      </w:r>
      <w:r>
        <w:rPr>
          <w:noProof/>
          <w:lang w:val="fr-FR"/>
        </w:rPr>
        <w:t>infraction dont elle est accusée</w:t>
      </w:r>
      <w:r w:rsidRPr="00A117E8">
        <w:rPr>
          <w:rFonts w:eastAsia="Calibri"/>
          <w:noProof/>
          <w:lang w:val="fr-FR"/>
        </w:rPr>
        <w:t xml:space="preserve">. </w:t>
      </w:r>
      <w:r>
        <w:rPr>
          <w:rFonts w:eastAsia="Calibri"/>
          <w:noProof/>
          <w:lang w:val="fr-FR"/>
        </w:rPr>
        <w:t>Toutes les personnes admises dans le système pénitentiaire passent d</w:t>
      </w:r>
      <w:r w:rsidR="00607CA3">
        <w:rPr>
          <w:rFonts w:eastAsia="Calibri"/>
          <w:noProof/>
          <w:lang w:val="fr-FR"/>
        </w:rPr>
        <w:t>’</w:t>
      </w:r>
      <w:r>
        <w:rPr>
          <w:rFonts w:eastAsia="Calibri"/>
          <w:noProof/>
          <w:lang w:val="fr-FR"/>
        </w:rPr>
        <w:t>abord par le</w:t>
      </w:r>
      <w:r w:rsidRPr="00A117E8">
        <w:rPr>
          <w:rFonts w:eastAsia="Calibri"/>
          <w:noProof/>
          <w:lang w:val="fr-FR"/>
        </w:rPr>
        <w:t xml:space="preserve"> </w:t>
      </w:r>
      <w:r w:rsidRPr="00C370F8">
        <w:rPr>
          <w:noProof/>
          <w:lang w:val="fr-FR"/>
        </w:rPr>
        <w:t>Centre d</w:t>
      </w:r>
      <w:r w:rsidR="00607CA3">
        <w:rPr>
          <w:noProof/>
          <w:lang w:val="fr-FR"/>
        </w:rPr>
        <w:t>’</w:t>
      </w:r>
      <w:r w:rsidRPr="00C370F8">
        <w:rPr>
          <w:noProof/>
          <w:lang w:val="fr-FR"/>
        </w:rPr>
        <w:t>admission, de diagnostic et d</w:t>
      </w:r>
      <w:r w:rsidR="00607CA3">
        <w:rPr>
          <w:noProof/>
          <w:lang w:val="fr-FR"/>
        </w:rPr>
        <w:t>’</w:t>
      </w:r>
      <w:r w:rsidRPr="00C370F8">
        <w:rPr>
          <w:noProof/>
          <w:lang w:val="fr-FR"/>
        </w:rPr>
        <w:t>orientation</w:t>
      </w:r>
      <w:r w:rsidRPr="00A117E8">
        <w:rPr>
          <w:rFonts w:eastAsia="Calibri"/>
          <w:noProof/>
          <w:lang w:val="fr-FR"/>
        </w:rPr>
        <w:t xml:space="preserve">, </w:t>
      </w:r>
      <w:r>
        <w:rPr>
          <w:rFonts w:eastAsia="Calibri"/>
          <w:noProof/>
          <w:lang w:val="fr-FR"/>
        </w:rPr>
        <w:t>qui procède à un profilage et à une classification primaire des détenus</w:t>
      </w:r>
      <w:r w:rsidRPr="00A117E8">
        <w:rPr>
          <w:rFonts w:eastAsia="Calibri"/>
          <w:noProof/>
          <w:lang w:val="fr-FR"/>
        </w:rPr>
        <w:t xml:space="preserve">. </w:t>
      </w:r>
      <w:r>
        <w:rPr>
          <w:rFonts w:eastAsia="Calibri"/>
          <w:noProof/>
          <w:lang w:val="fr-FR"/>
        </w:rPr>
        <w:t>Ces derniers y reçoivent des informations sur le système pénitentiaire et sur leurs droits et obligations</w:t>
      </w:r>
      <w:r w:rsidRPr="00A117E8">
        <w:rPr>
          <w:rFonts w:eastAsia="Calibri"/>
          <w:noProof/>
          <w:lang w:val="fr-FR"/>
        </w:rPr>
        <w:t xml:space="preserve">, </w:t>
      </w:r>
      <w:r>
        <w:rPr>
          <w:rFonts w:eastAsia="Calibri"/>
          <w:noProof/>
          <w:lang w:val="fr-FR"/>
        </w:rPr>
        <w:t>et peuvent prendre contact avec leur famille</w:t>
      </w:r>
      <w:r w:rsidRPr="00A117E8">
        <w:rPr>
          <w:rFonts w:eastAsia="Calibri"/>
          <w:noProof/>
          <w:lang w:val="fr-FR"/>
        </w:rPr>
        <w:t xml:space="preserve">. </w:t>
      </w:r>
      <w:r>
        <w:rPr>
          <w:rFonts w:eastAsia="Calibri"/>
          <w:noProof/>
          <w:lang w:val="fr-FR"/>
        </w:rPr>
        <w:t>Le Code de procédure pénale nouvellement adopté prévoit la surveillance de l</w:t>
      </w:r>
      <w:r w:rsidR="00607CA3">
        <w:rPr>
          <w:rFonts w:eastAsia="Calibri"/>
          <w:noProof/>
          <w:lang w:val="fr-FR"/>
        </w:rPr>
        <w:t>’</w:t>
      </w:r>
      <w:r>
        <w:rPr>
          <w:rFonts w:eastAsia="Calibri"/>
          <w:noProof/>
          <w:lang w:val="fr-FR"/>
        </w:rPr>
        <w:t>exécution de la peine, ainsi que les mécanismes de mise en œuvre des garanties que le juge du tribunal de première instance chargé de cette surveillance doit faire respecter</w:t>
      </w:r>
      <w:r w:rsidRPr="00A117E8">
        <w:rPr>
          <w:rFonts w:eastAsia="Calibri"/>
          <w:noProof/>
          <w:lang w:val="fr-FR"/>
        </w:rPr>
        <w:t xml:space="preserve">. </w:t>
      </w:r>
      <w:r>
        <w:rPr>
          <w:rFonts w:eastAsia="Calibri"/>
          <w:noProof/>
          <w:lang w:val="fr-FR"/>
        </w:rPr>
        <w:t>Dans le système actuel, il est interdit aux membres du personnel de l</w:t>
      </w:r>
      <w:r w:rsidR="00607CA3">
        <w:rPr>
          <w:rFonts w:eastAsia="Calibri"/>
          <w:noProof/>
          <w:lang w:val="fr-FR"/>
        </w:rPr>
        <w:t>’</w:t>
      </w:r>
      <w:r>
        <w:rPr>
          <w:rFonts w:eastAsia="Calibri"/>
          <w:noProof/>
          <w:lang w:val="fr-FR"/>
        </w:rPr>
        <w:t>autre sexe de remplir des fonctions dans les dortoirs de prison et de réaliser des fouilles corporelles, des inspections et autres procédures portant atteinte à l</w:t>
      </w:r>
      <w:r w:rsidR="00607CA3">
        <w:rPr>
          <w:rFonts w:eastAsia="Calibri"/>
          <w:noProof/>
          <w:lang w:val="fr-FR"/>
        </w:rPr>
        <w:t>’</w:t>
      </w:r>
      <w:r>
        <w:rPr>
          <w:rFonts w:eastAsia="Calibri"/>
          <w:noProof/>
          <w:lang w:val="fr-FR"/>
        </w:rPr>
        <w:t>intimité des personnes fouillées</w:t>
      </w:r>
      <w:r w:rsidRPr="00A117E8">
        <w:rPr>
          <w:rFonts w:eastAsia="Calibri"/>
          <w:noProof/>
          <w:lang w:val="fr-FR"/>
        </w:rPr>
        <w:t>.</w:t>
      </w:r>
    </w:p>
    <w:p w:rsidR="00596826" w:rsidRPr="00A117E8" w:rsidRDefault="00596826" w:rsidP="00596826">
      <w:pPr>
        <w:pStyle w:val="SingleTxtG"/>
        <w:rPr>
          <w:rFonts w:eastAsia="Calibri"/>
          <w:noProof/>
          <w:lang w:val="fr-FR"/>
        </w:rPr>
      </w:pPr>
      <w:r w:rsidRPr="00A117E8">
        <w:rPr>
          <w:rFonts w:eastAsia="Calibri"/>
          <w:noProof/>
          <w:lang w:val="fr-FR"/>
        </w:rPr>
        <w:t>16.</w:t>
      </w:r>
      <w:r w:rsidRPr="00A117E8">
        <w:rPr>
          <w:rFonts w:eastAsia="Calibri"/>
          <w:noProof/>
          <w:lang w:val="fr-FR"/>
        </w:rPr>
        <w:tab/>
        <w:t xml:space="preserve">En </w:t>
      </w:r>
      <w:r>
        <w:rPr>
          <w:rFonts w:eastAsia="Calibri"/>
          <w:noProof/>
          <w:lang w:val="fr-FR"/>
        </w:rPr>
        <w:t>outre</w:t>
      </w:r>
      <w:r w:rsidRPr="00A117E8">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 xml:space="preserve">Institut national de réinsertion a mis en place le système de gestion pénitentiaire, qui enregistre les </w:t>
      </w:r>
      <w:r w:rsidRPr="00A117E8">
        <w:rPr>
          <w:rFonts w:eastAsia="Calibri"/>
          <w:noProof/>
          <w:lang w:val="fr-FR"/>
        </w:rPr>
        <w:t>informa</w:t>
      </w:r>
      <w:r>
        <w:rPr>
          <w:rFonts w:eastAsia="Calibri"/>
          <w:noProof/>
          <w:lang w:val="fr-FR"/>
        </w:rPr>
        <w:t>tions concernant les personnes privées de liberté et celles qui purgent une peine de substitution à l</w:t>
      </w:r>
      <w:r w:rsidR="00607CA3">
        <w:rPr>
          <w:rFonts w:eastAsia="Calibri"/>
          <w:noProof/>
          <w:lang w:val="fr-FR"/>
        </w:rPr>
        <w:t>’</w:t>
      </w:r>
      <w:r>
        <w:rPr>
          <w:rFonts w:eastAsia="Calibri"/>
          <w:noProof/>
          <w:lang w:val="fr-FR"/>
        </w:rPr>
        <w:t>emprisonnement</w:t>
      </w:r>
      <w:r w:rsidRPr="00A117E8">
        <w:rPr>
          <w:rFonts w:eastAsia="Calibri"/>
          <w:noProof/>
          <w:lang w:val="fr-FR"/>
        </w:rPr>
        <w:t xml:space="preserve">. </w:t>
      </w:r>
      <w:r>
        <w:rPr>
          <w:rFonts w:eastAsia="Calibri"/>
          <w:noProof/>
          <w:lang w:val="fr-FR"/>
        </w:rPr>
        <w:t>Dans ce domaine</w:t>
      </w:r>
      <w:r w:rsidRPr="00A117E8">
        <w:rPr>
          <w:rFonts w:eastAsia="Calibri"/>
          <w:noProof/>
          <w:lang w:val="fr-FR"/>
        </w:rPr>
        <w:t xml:space="preserve">, </w:t>
      </w:r>
      <w:r>
        <w:rPr>
          <w:rFonts w:eastAsia="Calibri"/>
          <w:noProof/>
          <w:lang w:val="fr-FR"/>
        </w:rPr>
        <w:t xml:space="preserve">il est toujours possible de porter plainte anonymement devant la </w:t>
      </w:r>
      <w:r w:rsidRPr="00A117E8">
        <w:rPr>
          <w:rFonts w:eastAsia="Calibri"/>
          <w:noProof/>
          <w:lang w:val="fr-FR"/>
        </w:rPr>
        <w:t>Direc</w:t>
      </w:r>
      <w:r>
        <w:rPr>
          <w:rFonts w:eastAsia="Calibri"/>
          <w:noProof/>
          <w:lang w:val="fr-FR"/>
        </w:rPr>
        <w:t xml:space="preserve">tion des affaires internes et en appelant gratuitement le Service </w:t>
      </w:r>
      <w:r w:rsidRPr="00A117E8">
        <w:rPr>
          <w:rFonts w:eastAsia="Calibri"/>
          <w:noProof/>
          <w:lang w:val="fr-FR"/>
        </w:rPr>
        <w:t xml:space="preserve">de </w:t>
      </w:r>
      <w:r>
        <w:rPr>
          <w:rFonts w:eastAsia="Calibri"/>
          <w:noProof/>
          <w:lang w:val="fr-FR"/>
        </w:rPr>
        <w:t>gestion de la qualité (</w:t>
      </w:r>
      <w:r w:rsidRPr="00A117E8">
        <w:rPr>
          <w:rFonts w:eastAsia="Calibri"/>
          <w:noProof/>
          <w:lang w:val="fr-FR"/>
        </w:rPr>
        <w:t>0800-5000</w:t>
      </w:r>
      <w:r>
        <w:rPr>
          <w:rFonts w:eastAsia="Calibri"/>
          <w:noProof/>
          <w:lang w:val="fr-FR"/>
        </w:rPr>
        <w:t>)</w:t>
      </w:r>
      <w:r w:rsidRPr="00A117E8">
        <w:rPr>
          <w:rFonts w:eastAsia="Calibri"/>
          <w:noProof/>
          <w:lang w:val="fr-FR"/>
        </w:rPr>
        <w:t xml:space="preserve">. </w:t>
      </w:r>
      <w:r>
        <w:rPr>
          <w:rFonts w:eastAsia="Calibri"/>
          <w:noProof/>
          <w:lang w:val="fr-FR"/>
        </w:rPr>
        <w:t>E</w:t>
      </w:r>
      <w:r w:rsidRPr="00A117E8">
        <w:rPr>
          <w:rFonts w:eastAsia="Calibri"/>
          <w:noProof/>
          <w:lang w:val="fr-FR"/>
        </w:rPr>
        <w:t xml:space="preserve">ntre </w:t>
      </w:r>
      <w:r>
        <w:rPr>
          <w:rFonts w:eastAsia="Calibri"/>
          <w:noProof/>
          <w:lang w:val="fr-FR"/>
        </w:rPr>
        <w:t>le</w:t>
      </w:r>
      <w:r w:rsidRPr="00A117E8">
        <w:rPr>
          <w:rFonts w:eastAsia="Calibri"/>
          <w:noProof/>
          <w:lang w:val="fr-FR"/>
        </w:rPr>
        <w:t xml:space="preserve"> 1</w:t>
      </w:r>
      <w:r w:rsidRPr="00A61037">
        <w:rPr>
          <w:rFonts w:eastAsia="Calibri"/>
          <w:noProof/>
          <w:vertAlign w:val="superscript"/>
          <w:lang w:val="fr-FR"/>
        </w:rPr>
        <w:t>er</w:t>
      </w:r>
      <w:r w:rsidR="00607CA3">
        <w:rPr>
          <w:rFonts w:eastAsia="Calibri"/>
          <w:noProof/>
          <w:lang w:val="fr-FR"/>
        </w:rPr>
        <w:t> </w:t>
      </w:r>
      <w:r>
        <w:rPr>
          <w:rFonts w:eastAsia="Calibri"/>
          <w:noProof/>
          <w:lang w:val="fr-FR"/>
        </w:rPr>
        <w:t xml:space="preserve">juin </w:t>
      </w:r>
      <w:r w:rsidRPr="00A117E8">
        <w:rPr>
          <w:rFonts w:eastAsia="Calibri"/>
          <w:noProof/>
          <w:lang w:val="fr-FR"/>
        </w:rPr>
        <w:t xml:space="preserve">2016 </w:t>
      </w:r>
      <w:r>
        <w:rPr>
          <w:rFonts w:eastAsia="Calibri"/>
          <w:noProof/>
          <w:lang w:val="fr-FR"/>
        </w:rPr>
        <w:t xml:space="preserve">et le </w:t>
      </w:r>
      <w:r w:rsidRPr="00A117E8">
        <w:rPr>
          <w:rFonts w:eastAsia="Calibri"/>
          <w:noProof/>
          <w:lang w:val="fr-FR"/>
        </w:rPr>
        <w:t>24</w:t>
      </w:r>
      <w:r w:rsidR="00607CA3">
        <w:rPr>
          <w:rFonts w:eastAsia="Calibri"/>
          <w:noProof/>
          <w:lang w:val="fr-FR"/>
        </w:rPr>
        <w:t> </w:t>
      </w:r>
      <w:r>
        <w:rPr>
          <w:rFonts w:eastAsia="Calibri"/>
          <w:noProof/>
          <w:lang w:val="fr-FR"/>
        </w:rPr>
        <w:t xml:space="preserve">juillet </w:t>
      </w:r>
      <w:r w:rsidRPr="00A117E8">
        <w:rPr>
          <w:rFonts w:eastAsia="Calibri"/>
          <w:noProof/>
          <w:lang w:val="fr-FR"/>
        </w:rPr>
        <w:t xml:space="preserve">2017, </w:t>
      </w:r>
      <w:r>
        <w:rPr>
          <w:rFonts w:eastAsia="Calibri"/>
          <w:noProof/>
          <w:lang w:val="fr-FR"/>
        </w:rPr>
        <w:t xml:space="preserve">ce Service a reçu </w:t>
      </w:r>
      <w:r w:rsidRPr="00A117E8">
        <w:rPr>
          <w:rFonts w:eastAsia="Calibri"/>
          <w:noProof/>
          <w:lang w:val="fr-FR"/>
        </w:rPr>
        <w:t>837</w:t>
      </w:r>
      <w:r>
        <w:rPr>
          <w:rFonts w:eastAsia="Calibri"/>
          <w:noProof/>
          <w:lang w:val="fr-FR"/>
        </w:rPr>
        <w:t xml:space="preserve"> plaintes</w:t>
      </w:r>
      <w:r w:rsidRPr="00A117E8">
        <w:rPr>
          <w:rFonts w:eastAsia="Calibri"/>
          <w:noProof/>
          <w:lang w:val="fr-FR"/>
        </w:rPr>
        <w:t xml:space="preserve">. </w:t>
      </w:r>
      <w:r>
        <w:rPr>
          <w:rFonts w:eastAsia="Calibri"/>
          <w:noProof/>
          <w:lang w:val="fr-FR"/>
        </w:rPr>
        <w:t>Cent six d</w:t>
      </w:r>
      <w:r w:rsidR="00607CA3">
        <w:rPr>
          <w:rFonts w:eastAsia="Calibri"/>
          <w:noProof/>
          <w:lang w:val="fr-FR"/>
        </w:rPr>
        <w:t>’</w:t>
      </w:r>
      <w:r>
        <w:rPr>
          <w:rFonts w:eastAsia="Calibri"/>
          <w:noProof/>
          <w:lang w:val="fr-FR"/>
        </w:rPr>
        <w:t>entre elles émanaient de femmes détenues dans 10 centres pénitentiaires</w:t>
      </w:r>
      <w:r w:rsidRPr="00F607EB">
        <w:rPr>
          <w:rFonts w:eastAsia="Calibri"/>
          <w:b/>
          <w:noProof/>
          <w:lang w:val="fr-FR"/>
        </w:rPr>
        <w:t>,</w:t>
      </w:r>
      <w:r w:rsidRPr="00A117E8">
        <w:rPr>
          <w:rFonts w:eastAsia="Calibri"/>
          <w:noProof/>
          <w:lang w:val="fr-FR"/>
        </w:rPr>
        <w:t xml:space="preserve"> </w:t>
      </w:r>
      <w:r>
        <w:rPr>
          <w:rFonts w:eastAsia="Calibri"/>
          <w:noProof/>
          <w:lang w:val="fr-FR"/>
        </w:rPr>
        <w:t xml:space="preserve">dont </w:t>
      </w:r>
      <w:r w:rsidR="00691AD9">
        <w:rPr>
          <w:rFonts w:eastAsia="Calibri"/>
          <w:noProof/>
          <w:lang w:val="fr-FR"/>
        </w:rPr>
        <w:t>3</w:t>
      </w:r>
      <w:r>
        <w:rPr>
          <w:rFonts w:eastAsia="Calibri"/>
          <w:noProof/>
          <w:lang w:val="fr-FR"/>
        </w:rPr>
        <w:t xml:space="preserve"> citoyennes brésiliennes, et </w:t>
      </w:r>
      <w:r w:rsidRPr="00A117E8">
        <w:rPr>
          <w:rFonts w:eastAsia="Calibri"/>
          <w:noProof/>
          <w:lang w:val="fr-FR"/>
        </w:rPr>
        <w:t>731</w:t>
      </w:r>
      <w:r w:rsidR="00691AD9">
        <w:rPr>
          <w:rFonts w:eastAsia="Calibri"/>
          <w:noProof/>
          <w:lang w:val="fr-FR"/>
        </w:rPr>
        <w:t> </w:t>
      </w:r>
      <w:r>
        <w:rPr>
          <w:rFonts w:eastAsia="Calibri"/>
          <w:noProof/>
          <w:lang w:val="fr-FR"/>
        </w:rPr>
        <w:t>d</w:t>
      </w:r>
      <w:r w:rsidR="00607CA3">
        <w:rPr>
          <w:rFonts w:eastAsia="Calibri"/>
          <w:noProof/>
          <w:lang w:val="fr-FR"/>
        </w:rPr>
        <w:t>’</w:t>
      </w:r>
      <w:r>
        <w:rPr>
          <w:rFonts w:eastAsia="Calibri"/>
          <w:noProof/>
          <w:lang w:val="fr-FR"/>
        </w:rPr>
        <w:t xml:space="preserve">hommes détenus dans </w:t>
      </w:r>
      <w:r w:rsidRPr="00A117E8">
        <w:rPr>
          <w:rFonts w:eastAsia="Calibri"/>
          <w:noProof/>
          <w:lang w:val="fr-FR"/>
        </w:rPr>
        <w:t xml:space="preserve">22 </w:t>
      </w:r>
      <w:r>
        <w:rPr>
          <w:rFonts w:eastAsia="Calibri"/>
          <w:noProof/>
          <w:lang w:val="fr-FR"/>
        </w:rPr>
        <w:t>centres</w:t>
      </w:r>
      <w:r w:rsidRPr="00A117E8">
        <w:rPr>
          <w:rFonts w:eastAsia="Calibri"/>
          <w:noProof/>
          <w:lang w:val="fr-FR"/>
        </w:rPr>
        <w:t xml:space="preserve">, </w:t>
      </w:r>
      <w:r>
        <w:rPr>
          <w:rFonts w:eastAsia="Calibri"/>
          <w:noProof/>
          <w:lang w:val="fr-FR"/>
        </w:rPr>
        <w:t xml:space="preserve">dont </w:t>
      </w:r>
      <w:r w:rsidR="00691AD9">
        <w:rPr>
          <w:rFonts w:eastAsia="Calibri"/>
          <w:noProof/>
          <w:lang w:val="fr-FR"/>
        </w:rPr>
        <w:t>1</w:t>
      </w:r>
      <w:r>
        <w:rPr>
          <w:rFonts w:eastAsia="Calibri"/>
          <w:noProof/>
          <w:lang w:val="fr-FR"/>
        </w:rPr>
        <w:t xml:space="preserve"> citoyen paraguayen et </w:t>
      </w:r>
      <w:r w:rsidR="00691AD9">
        <w:rPr>
          <w:rFonts w:eastAsia="Calibri"/>
          <w:noProof/>
          <w:lang w:val="fr-FR"/>
        </w:rPr>
        <w:t>1</w:t>
      </w:r>
      <w:r>
        <w:rPr>
          <w:rFonts w:eastAsia="Calibri"/>
          <w:noProof/>
          <w:lang w:val="fr-FR"/>
        </w:rPr>
        <w:t xml:space="preserve"> citoyen argentin</w:t>
      </w:r>
      <w:r w:rsidRPr="00A117E8">
        <w:rPr>
          <w:rFonts w:eastAsia="Calibri"/>
          <w:noProof/>
          <w:lang w:val="fr-FR"/>
        </w:rPr>
        <w:t xml:space="preserve">. </w:t>
      </w:r>
      <w:r>
        <w:rPr>
          <w:rFonts w:eastAsia="Calibri"/>
          <w:noProof/>
          <w:lang w:val="fr-FR"/>
        </w:rPr>
        <w:t xml:space="preserve">Quatre-vingt-quinze pourcent des plaignants étaient </w:t>
      </w:r>
      <w:r w:rsidRPr="00A117E8">
        <w:rPr>
          <w:rFonts w:eastAsia="Calibri"/>
          <w:noProof/>
          <w:lang w:val="fr-FR"/>
        </w:rPr>
        <w:t xml:space="preserve">de </w:t>
      </w:r>
      <w:r>
        <w:rPr>
          <w:rFonts w:eastAsia="Calibri"/>
          <w:noProof/>
          <w:lang w:val="fr-FR"/>
        </w:rPr>
        <w:t>race blanche</w:t>
      </w:r>
      <w:r w:rsidRPr="00A117E8">
        <w:rPr>
          <w:rFonts w:eastAsia="Calibri"/>
          <w:noProof/>
          <w:lang w:val="fr-FR"/>
        </w:rPr>
        <w:t>. L</w:t>
      </w:r>
      <w:r>
        <w:rPr>
          <w:rFonts w:eastAsia="Calibri"/>
          <w:noProof/>
          <w:lang w:val="fr-FR"/>
        </w:rPr>
        <w:t>e</w:t>
      </w:r>
      <w:r w:rsidRPr="00A117E8">
        <w:rPr>
          <w:rFonts w:eastAsia="Calibri"/>
          <w:noProof/>
          <w:lang w:val="fr-FR"/>
        </w:rPr>
        <w:t xml:space="preserve">s </w:t>
      </w:r>
      <w:r>
        <w:rPr>
          <w:rFonts w:eastAsia="Calibri"/>
          <w:noProof/>
          <w:lang w:val="fr-FR"/>
        </w:rPr>
        <w:t>plaintes sont transmises à l</w:t>
      </w:r>
      <w:r w:rsidR="00607CA3">
        <w:rPr>
          <w:rFonts w:eastAsia="Calibri"/>
          <w:noProof/>
          <w:lang w:val="fr-FR"/>
        </w:rPr>
        <w:t>’</w:t>
      </w:r>
      <w:r>
        <w:rPr>
          <w:rFonts w:eastAsia="Calibri"/>
          <w:noProof/>
          <w:lang w:val="fr-FR"/>
        </w:rPr>
        <w:t>Institut national de réinsertion pour enquête et suite à donner</w:t>
      </w:r>
      <w:r w:rsidRPr="00A117E8">
        <w:rPr>
          <w:rFonts w:eastAsia="Calibri"/>
          <w:noProof/>
          <w:lang w:val="fr-FR"/>
        </w:rPr>
        <w:t xml:space="preserve">. </w:t>
      </w:r>
      <w:r>
        <w:rPr>
          <w:rFonts w:eastAsia="Calibri"/>
          <w:noProof/>
          <w:lang w:val="fr-FR"/>
        </w:rPr>
        <w:t xml:space="preserve">Entre le </w:t>
      </w:r>
      <w:r w:rsidRPr="00A117E8">
        <w:rPr>
          <w:rFonts w:eastAsia="Calibri"/>
          <w:noProof/>
          <w:lang w:val="fr-FR"/>
        </w:rPr>
        <w:lastRenderedPageBreak/>
        <w:t>1</w:t>
      </w:r>
      <w:r w:rsidRPr="00300644">
        <w:rPr>
          <w:rFonts w:eastAsia="Calibri"/>
          <w:noProof/>
          <w:vertAlign w:val="superscript"/>
          <w:lang w:val="fr-FR"/>
        </w:rPr>
        <w:t>er</w:t>
      </w:r>
      <w:r w:rsidR="00607CA3">
        <w:rPr>
          <w:rFonts w:eastAsia="Calibri"/>
          <w:noProof/>
          <w:lang w:val="fr-FR"/>
        </w:rPr>
        <w:t> </w:t>
      </w:r>
      <w:r>
        <w:rPr>
          <w:rFonts w:eastAsia="Calibri"/>
          <w:noProof/>
          <w:lang w:val="fr-FR"/>
        </w:rPr>
        <w:t xml:space="preserve">octobre </w:t>
      </w:r>
      <w:r w:rsidRPr="00A117E8">
        <w:rPr>
          <w:rFonts w:eastAsia="Calibri"/>
          <w:noProof/>
          <w:lang w:val="fr-FR"/>
        </w:rPr>
        <w:t xml:space="preserve">2017 </w:t>
      </w:r>
      <w:r>
        <w:rPr>
          <w:rFonts w:eastAsia="Calibri"/>
          <w:noProof/>
          <w:lang w:val="fr-FR"/>
        </w:rPr>
        <w:t xml:space="preserve">et le </w:t>
      </w:r>
      <w:r w:rsidRPr="00A117E8">
        <w:rPr>
          <w:rFonts w:eastAsia="Calibri"/>
          <w:noProof/>
          <w:lang w:val="fr-FR"/>
        </w:rPr>
        <w:t>28</w:t>
      </w:r>
      <w:r w:rsidR="00607CA3">
        <w:rPr>
          <w:rFonts w:eastAsia="Calibri"/>
          <w:noProof/>
          <w:lang w:val="fr-FR"/>
        </w:rPr>
        <w:t> </w:t>
      </w:r>
      <w:r w:rsidRPr="00A117E8">
        <w:rPr>
          <w:rFonts w:eastAsia="Calibri"/>
          <w:noProof/>
          <w:lang w:val="fr-FR"/>
        </w:rPr>
        <w:t>f</w:t>
      </w:r>
      <w:r>
        <w:rPr>
          <w:rFonts w:eastAsia="Calibri"/>
          <w:noProof/>
          <w:lang w:val="fr-FR"/>
        </w:rPr>
        <w:t xml:space="preserve">évrier </w:t>
      </w:r>
      <w:r w:rsidRPr="00A117E8">
        <w:rPr>
          <w:rFonts w:eastAsia="Calibri"/>
          <w:noProof/>
          <w:lang w:val="fr-FR"/>
        </w:rPr>
        <w:t xml:space="preserve">2018, </w:t>
      </w:r>
      <w:r>
        <w:rPr>
          <w:rFonts w:eastAsia="Calibri"/>
          <w:noProof/>
          <w:lang w:val="fr-FR"/>
        </w:rPr>
        <w:t xml:space="preserve">le Service </w:t>
      </w:r>
      <w:r w:rsidRPr="00A117E8">
        <w:rPr>
          <w:rFonts w:eastAsia="Calibri"/>
          <w:noProof/>
          <w:lang w:val="fr-FR"/>
        </w:rPr>
        <w:t xml:space="preserve">de </w:t>
      </w:r>
      <w:r>
        <w:rPr>
          <w:rFonts w:eastAsia="Calibri"/>
          <w:noProof/>
          <w:lang w:val="fr-FR"/>
        </w:rPr>
        <w:t xml:space="preserve">gestion de la qualité a reçu </w:t>
      </w:r>
      <w:r w:rsidRPr="00A117E8">
        <w:rPr>
          <w:rFonts w:eastAsia="Calibri"/>
          <w:noProof/>
          <w:lang w:val="fr-FR"/>
        </w:rPr>
        <w:t xml:space="preserve">497 </w:t>
      </w:r>
      <w:r>
        <w:rPr>
          <w:rFonts w:eastAsia="Calibri"/>
          <w:noProof/>
          <w:lang w:val="fr-FR"/>
        </w:rPr>
        <w:t xml:space="preserve">plaintes déposées au nom de personnes détenues dans </w:t>
      </w:r>
      <w:r w:rsidRPr="00A117E8">
        <w:rPr>
          <w:rFonts w:eastAsia="Calibri"/>
          <w:noProof/>
          <w:lang w:val="fr-FR"/>
        </w:rPr>
        <w:t xml:space="preserve">18 </w:t>
      </w:r>
      <w:r>
        <w:rPr>
          <w:rFonts w:eastAsia="Calibri"/>
          <w:noProof/>
          <w:lang w:val="fr-FR"/>
        </w:rPr>
        <w:t xml:space="preserve">centres pénitentiaires. Quatre-vingt-quinze pourcent de ces personnes étaient </w:t>
      </w:r>
      <w:r w:rsidRPr="00A117E8">
        <w:rPr>
          <w:rFonts w:eastAsia="Calibri"/>
          <w:noProof/>
          <w:lang w:val="fr-FR"/>
        </w:rPr>
        <w:t xml:space="preserve">de </w:t>
      </w:r>
      <w:r>
        <w:rPr>
          <w:rFonts w:eastAsia="Calibri"/>
          <w:noProof/>
          <w:lang w:val="fr-FR"/>
        </w:rPr>
        <w:t>race blanche</w:t>
      </w:r>
      <w:r w:rsidRPr="00A117E8">
        <w:rPr>
          <w:rFonts w:eastAsia="Calibri"/>
          <w:noProof/>
          <w:lang w:val="fr-FR"/>
        </w:rPr>
        <w:t xml:space="preserve">. </w:t>
      </w:r>
      <w:r>
        <w:rPr>
          <w:rFonts w:eastAsia="Calibri"/>
          <w:noProof/>
          <w:lang w:val="fr-FR"/>
        </w:rPr>
        <w:t>Tous les cas ont été renvoyés à l</w:t>
      </w:r>
      <w:r w:rsidR="00607CA3">
        <w:rPr>
          <w:rFonts w:eastAsia="Calibri"/>
          <w:noProof/>
          <w:lang w:val="fr-FR"/>
        </w:rPr>
        <w:t>’</w:t>
      </w:r>
      <w:r>
        <w:rPr>
          <w:rFonts w:eastAsia="Calibri"/>
          <w:noProof/>
          <w:lang w:val="fr-FR"/>
        </w:rPr>
        <w:t>Institut national de réinsertion</w:t>
      </w:r>
      <w:r w:rsidRPr="00A117E8">
        <w:rPr>
          <w:rFonts w:eastAsia="Calibri"/>
          <w:noProof/>
          <w:lang w:val="fr-FR"/>
        </w:rPr>
        <w:t>.</w:t>
      </w:r>
    </w:p>
    <w:p w:rsidR="00596826" w:rsidRPr="00A117E8" w:rsidRDefault="00596826" w:rsidP="00596826">
      <w:pPr>
        <w:pStyle w:val="SingleTxtG"/>
        <w:rPr>
          <w:rFonts w:eastAsia="Calibri"/>
          <w:noProof/>
          <w:lang w:val="fr-FR"/>
        </w:rPr>
      </w:pPr>
      <w:r w:rsidRPr="00A117E8">
        <w:rPr>
          <w:rFonts w:eastAsia="Calibri"/>
          <w:noProof/>
          <w:lang w:val="fr-FR"/>
        </w:rPr>
        <w:t>17.</w:t>
      </w:r>
      <w:r w:rsidRPr="00A117E8">
        <w:rPr>
          <w:rFonts w:eastAsia="Calibri"/>
          <w:noProof/>
          <w:lang w:val="fr-FR"/>
        </w:rPr>
        <w:tab/>
      </w:r>
      <w:r>
        <w:rPr>
          <w:rFonts w:eastAsia="Calibri"/>
          <w:noProof/>
          <w:lang w:val="fr-FR"/>
        </w:rPr>
        <w:t>D</w:t>
      </w:r>
      <w:r w:rsidR="00607CA3">
        <w:rPr>
          <w:rFonts w:eastAsia="Calibri"/>
          <w:noProof/>
          <w:lang w:val="fr-FR"/>
        </w:rPr>
        <w:t>’</w:t>
      </w:r>
      <w:r>
        <w:rPr>
          <w:rFonts w:eastAsia="Calibri"/>
          <w:noProof/>
          <w:lang w:val="fr-FR"/>
        </w:rPr>
        <w:t xml:space="preserve">autre part, la </w:t>
      </w:r>
      <w:r w:rsidR="00607CA3" w:rsidRPr="00710E23">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A117E8">
        <w:rPr>
          <w:rFonts w:eastAsia="Calibri"/>
          <w:noProof/>
          <w:lang w:val="fr-FR"/>
        </w:rPr>
        <w:t>19355, de d</w:t>
      </w:r>
      <w:r>
        <w:rPr>
          <w:rFonts w:eastAsia="Calibri"/>
          <w:noProof/>
          <w:lang w:val="fr-FR"/>
        </w:rPr>
        <w:t>é</w:t>
      </w:r>
      <w:r w:rsidRPr="00A117E8">
        <w:rPr>
          <w:rFonts w:eastAsia="Calibri"/>
          <w:noProof/>
          <w:lang w:val="fr-FR"/>
        </w:rPr>
        <w:t>cembre 2015</w:t>
      </w:r>
      <w:r>
        <w:rPr>
          <w:rFonts w:eastAsia="Calibri"/>
          <w:noProof/>
          <w:lang w:val="fr-FR"/>
        </w:rPr>
        <w:t>, a créé, au sein du Ministère de l</w:t>
      </w:r>
      <w:r w:rsidR="00607CA3">
        <w:rPr>
          <w:rFonts w:eastAsia="Calibri"/>
          <w:noProof/>
          <w:lang w:val="fr-FR"/>
        </w:rPr>
        <w:t>’</w:t>
      </w:r>
      <w:r>
        <w:rPr>
          <w:rFonts w:eastAsia="Calibri"/>
          <w:noProof/>
          <w:lang w:val="fr-FR"/>
        </w:rPr>
        <w:t>intérieur, l</w:t>
      </w:r>
      <w:r w:rsidR="00607CA3">
        <w:rPr>
          <w:rFonts w:eastAsia="Calibri"/>
          <w:noProof/>
          <w:lang w:val="fr-FR"/>
        </w:rPr>
        <w:t>’</w:t>
      </w:r>
      <w:r>
        <w:rPr>
          <w:rFonts w:eastAsia="Calibri"/>
          <w:noProof/>
          <w:lang w:val="fr-FR"/>
        </w:rPr>
        <w:t>Équipe d</w:t>
      </w:r>
      <w:r w:rsidR="00607CA3">
        <w:rPr>
          <w:rFonts w:eastAsia="Calibri"/>
          <w:noProof/>
          <w:lang w:val="fr-FR"/>
        </w:rPr>
        <w:t>’</w:t>
      </w:r>
      <w:r>
        <w:rPr>
          <w:rFonts w:eastAsia="Calibri"/>
          <w:noProof/>
          <w:lang w:val="fr-FR"/>
        </w:rPr>
        <w:t>auxiliaires de justice chargée des crimes contre l</w:t>
      </w:r>
      <w:r w:rsidR="00607CA3">
        <w:rPr>
          <w:rFonts w:eastAsia="Calibri"/>
          <w:noProof/>
          <w:lang w:val="fr-FR"/>
        </w:rPr>
        <w:t>’</w:t>
      </w:r>
      <w:r>
        <w:rPr>
          <w:rFonts w:eastAsia="Calibri"/>
          <w:noProof/>
          <w:lang w:val="fr-FR"/>
        </w:rPr>
        <w:t xml:space="preserve">humanité </w:t>
      </w:r>
      <w:r w:rsidRPr="00A117E8">
        <w:rPr>
          <w:rFonts w:eastAsia="Calibri"/>
          <w:noProof/>
          <w:lang w:val="fr-FR"/>
        </w:rPr>
        <w:t>(art.</w:t>
      </w:r>
      <w:r w:rsidR="00607CA3">
        <w:rPr>
          <w:rFonts w:eastAsia="Calibri"/>
          <w:noProof/>
          <w:lang w:val="fr-FR"/>
        </w:rPr>
        <w:t> </w:t>
      </w:r>
      <w:r w:rsidRPr="00A117E8">
        <w:rPr>
          <w:rFonts w:eastAsia="Calibri"/>
          <w:noProof/>
          <w:lang w:val="fr-FR"/>
        </w:rPr>
        <w:t xml:space="preserve">165), </w:t>
      </w:r>
      <w:r>
        <w:rPr>
          <w:rFonts w:eastAsia="Calibri"/>
          <w:noProof/>
          <w:lang w:val="fr-FR"/>
        </w:rPr>
        <w:t>avec pour mission de collaborer directement avec les membres du pouvoir judiciaire et du Bureau du Procureur général de la Nation aux enquêtes sur les violations des droits de l</w:t>
      </w:r>
      <w:r w:rsidR="00607CA3">
        <w:rPr>
          <w:rFonts w:eastAsia="Calibri"/>
          <w:noProof/>
          <w:lang w:val="fr-FR"/>
        </w:rPr>
        <w:t>’</w:t>
      </w:r>
      <w:r>
        <w:rPr>
          <w:rFonts w:eastAsia="Calibri"/>
          <w:noProof/>
          <w:lang w:val="fr-FR"/>
        </w:rPr>
        <w:t>homme ayant accompagné la transgression de l</w:t>
      </w:r>
      <w:r w:rsidR="00607CA3">
        <w:rPr>
          <w:rFonts w:eastAsia="Calibri"/>
          <w:noProof/>
          <w:lang w:val="fr-FR"/>
        </w:rPr>
        <w:t>’</w:t>
      </w:r>
      <w:r>
        <w:rPr>
          <w:rFonts w:eastAsia="Calibri"/>
          <w:noProof/>
          <w:lang w:val="fr-FR"/>
        </w:rPr>
        <w:t xml:space="preserve">état de droit qui a caractérisé la période écoulée entre le </w:t>
      </w:r>
      <w:r w:rsidRPr="00A117E8">
        <w:rPr>
          <w:rFonts w:eastAsia="Calibri"/>
          <w:noProof/>
          <w:lang w:val="fr-FR"/>
        </w:rPr>
        <w:t>13</w:t>
      </w:r>
      <w:r w:rsidR="00607CA3">
        <w:rPr>
          <w:rFonts w:eastAsia="Calibri"/>
          <w:noProof/>
          <w:lang w:val="fr-FR"/>
        </w:rPr>
        <w:t> </w:t>
      </w:r>
      <w:r w:rsidRPr="00A117E8">
        <w:rPr>
          <w:rFonts w:eastAsia="Calibri"/>
          <w:noProof/>
          <w:lang w:val="fr-FR"/>
        </w:rPr>
        <w:t>ju</w:t>
      </w:r>
      <w:r>
        <w:rPr>
          <w:rFonts w:eastAsia="Calibri"/>
          <w:noProof/>
          <w:lang w:val="fr-FR"/>
        </w:rPr>
        <w:t xml:space="preserve">in </w:t>
      </w:r>
      <w:r w:rsidRPr="00A117E8">
        <w:rPr>
          <w:rFonts w:eastAsia="Calibri"/>
          <w:noProof/>
          <w:lang w:val="fr-FR"/>
        </w:rPr>
        <w:t xml:space="preserve">1968 </w:t>
      </w:r>
      <w:r>
        <w:rPr>
          <w:rFonts w:eastAsia="Calibri"/>
          <w:noProof/>
          <w:lang w:val="fr-FR"/>
        </w:rPr>
        <w:t xml:space="preserve">et le </w:t>
      </w:r>
      <w:r w:rsidRPr="00A117E8">
        <w:rPr>
          <w:rFonts w:eastAsia="Calibri"/>
          <w:noProof/>
          <w:lang w:val="fr-FR"/>
        </w:rPr>
        <w:t>28</w:t>
      </w:r>
      <w:r w:rsidR="00607CA3">
        <w:rPr>
          <w:rFonts w:eastAsia="Calibri"/>
          <w:noProof/>
          <w:lang w:val="fr-FR"/>
        </w:rPr>
        <w:t> </w:t>
      </w:r>
      <w:r>
        <w:rPr>
          <w:rFonts w:eastAsia="Calibri"/>
          <w:noProof/>
          <w:lang w:val="fr-FR"/>
        </w:rPr>
        <w:t xml:space="preserve">février </w:t>
      </w:r>
      <w:r w:rsidRPr="00A117E8">
        <w:rPr>
          <w:rFonts w:eastAsia="Calibri"/>
          <w:noProof/>
          <w:lang w:val="fr-FR"/>
        </w:rPr>
        <w:t>1985.</w:t>
      </w:r>
    </w:p>
    <w:p w:rsidR="00596826" w:rsidRPr="00A117E8" w:rsidRDefault="00596826" w:rsidP="00596826">
      <w:pPr>
        <w:pStyle w:val="SingleTxtG"/>
        <w:rPr>
          <w:rFonts w:eastAsia="Calibri"/>
          <w:noProof/>
          <w:lang w:val="fr-FR"/>
        </w:rPr>
      </w:pPr>
      <w:r w:rsidRPr="00A117E8">
        <w:rPr>
          <w:rFonts w:eastAsia="Calibri"/>
          <w:noProof/>
          <w:lang w:val="fr-FR"/>
        </w:rPr>
        <w:t>18.</w:t>
      </w:r>
      <w:r w:rsidRPr="00A117E8">
        <w:rPr>
          <w:rFonts w:eastAsia="Calibri"/>
          <w:noProof/>
          <w:lang w:val="fr-FR"/>
        </w:rPr>
        <w:tab/>
      </w:r>
      <w:r>
        <w:rPr>
          <w:rFonts w:eastAsia="Calibri"/>
          <w:noProof/>
          <w:lang w:val="fr-FR"/>
        </w:rPr>
        <w:t>En vertu de l</w:t>
      </w:r>
      <w:r w:rsidR="00607CA3">
        <w:rPr>
          <w:rFonts w:eastAsia="Calibri"/>
          <w:noProof/>
          <w:lang w:val="fr-FR"/>
        </w:rPr>
        <w:t>’</w:t>
      </w:r>
      <w:r>
        <w:rPr>
          <w:rFonts w:eastAsia="Calibri"/>
          <w:noProof/>
          <w:lang w:val="fr-FR"/>
        </w:rPr>
        <w:t xml:space="preserve">article </w:t>
      </w:r>
      <w:r w:rsidRPr="00A117E8">
        <w:rPr>
          <w:rFonts w:eastAsia="Calibri"/>
          <w:noProof/>
          <w:lang w:val="fr-FR"/>
        </w:rPr>
        <w:t xml:space="preserve">288 </w:t>
      </w:r>
      <w:r>
        <w:rPr>
          <w:rFonts w:eastAsia="Calibri"/>
          <w:noProof/>
          <w:lang w:val="fr-FR"/>
        </w:rPr>
        <w:t>du nouveau Code de procédure pénale</w:t>
      </w:r>
      <w:r w:rsidRPr="00691AD9">
        <w:rPr>
          <w:rStyle w:val="Appelnotedebasdep"/>
        </w:rPr>
        <w:footnoteReference w:id="7"/>
      </w:r>
      <w:r w:rsidRPr="00A117E8">
        <w:rPr>
          <w:rFonts w:eastAsia="Calibri"/>
          <w:noProof/>
          <w:lang w:val="fr-FR"/>
        </w:rPr>
        <w:t xml:space="preserve">, </w:t>
      </w:r>
      <w:r>
        <w:rPr>
          <w:rFonts w:eastAsia="Calibri"/>
          <w:noProof/>
          <w:lang w:val="fr-FR"/>
        </w:rPr>
        <w:t xml:space="preserve">qui est entré en vigueur le </w:t>
      </w:r>
      <w:r w:rsidRPr="00A117E8">
        <w:rPr>
          <w:rFonts w:eastAsia="Calibri"/>
          <w:noProof/>
          <w:lang w:val="fr-FR"/>
        </w:rPr>
        <w:t>1</w:t>
      </w:r>
      <w:r w:rsidRPr="005F3F96">
        <w:rPr>
          <w:rFonts w:eastAsia="Calibri"/>
          <w:noProof/>
          <w:vertAlign w:val="superscript"/>
          <w:lang w:val="fr-FR"/>
        </w:rPr>
        <w:t>er</w:t>
      </w:r>
      <w:r w:rsidR="00607CA3">
        <w:rPr>
          <w:rFonts w:eastAsia="Calibri"/>
          <w:noProof/>
          <w:lang w:val="fr-FR"/>
        </w:rPr>
        <w:t> </w:t>
      </w:r>
      <w:r>
        <w:rPr>
          <w:rFonts w:eastAsia="Calibri"/>
          <w:noProof/>
          <w:lang w:val="fr-FR"/>
        </w:rPr>
        <w:t xml:space="preserve">novembre </w:t>
      </w:r>
      <w:r w:rsidRPr="00A117E8">
        <w:rPr>
          <w:rFonts w:eastAsia="Calibri"/>
          <w:noProof/>
          <w:lang w:val="fr-FR"/>
        </w:rPr>
        <w:t xml:space="preserve">2017, </w:t>
      </w:r>
      <w:r>
        <w:rPr>
          <w:rFonts w:eastAsia="Calibri"/>
          <w:noProof/>
          <w:lang w:val="fr-FR"/>
        </w:rPr>
        <w:t>le juge du tribunal de première instance chargé de la surveillance de l</w:t>
      </w:r>
      <w:r w:rsidR="00607CA3">
        <w:rPr>
          <w:rFonts w:eastAsia="Calibri"/>
          <w:noProof/>
          <w:lang w:val="fr-FR"/>
        </w:rPr>
        <w:t>’</w:t>
      </w:r>
      <w:r>
        <w:rPr>
          <w:rFonts w:eastAsia="Calibri"/>
          <w:noProof/>
          <w:lang w:val="fr-FR"/>
        </w:rPr>
        <w:t>exécution de la peine (juge de l</w:t>
      </w:r>
      <w:r w:rsidR="00607CA3">
        <w:rPr>
          <w:rFonts w:eastAsia="Calibri"/>
          <w:noProof/>
          <w:lang w:val="fr-FR"/>
        </w:rPr>
        <w:t>’</w:t>
      </w:r>
      <w:r>
        <w:rPr>
          <w:rFonts w:eastAsia="Calibri"/>
          <w:noProof/>
          <w:lang w:val="fr-FR"/>
        </w:rPr>
        <w:t xml:space="preserve">application des peines) a compétence pour « protéger les droits des détenus </w:t>
      </w:r>
      <w:r w:rsidRPr="00A117E8">
        <w:rPr>
          <w:rFonts w:eastAsia="Calibri"/>
          <w:noProof/>
          <w:lang w:val="fr-FR"/>
        </w:rPr>
        <w:t>...</w:t>
      </w:r>
      <w:r>
        <w:rPr>
          <w:rFonts w:eastAsia="Calibri"/>
          <w:noProof/>
          <w:lang w:val="fr-FR"/>
        </w:rPr>
        <w:t xml:space="preserve"> contre </w:t>
      </w:r>
      <w:r w:rsidRPr="00A117E8">
        <w:rPr>
          <w:rFonts w:eastAsia="Calibri"/>
          <w:noProof/>
          <w:lang w:val="fr-FR"/>
        </w:rPr>
        <w:t>l</w:t>
      </w:r>
      <w:r>
        <w:rPr>
          <w:rFonts w:eastAsia="Calibri"/>
          <w:noProof/>
          <w:lang w:val="fr-FR"/>
        </w:rPr>
        <w:t>e</w:t>
      </w:r>
      <w:r w:rsidRPr="00A117E8">
        <w:rPr>
          <w:rFonts w:eastAsia="Calibri"/>
          <w:noProof/>
          <w:lang w:val="fr-FR"/>
        </w:rPr>
        <w:t xml:space="preserve">s </w:t>
      </w:r>
      <w:r>
        <w:rPr>
          <w:rFonts w:eastAsia="Calibri"/>
          <w:noProof/>
          <w:lang w:val="fr-FR"/>
        </w:rPr>
        <w:t>fautes ou abus »</w:t>
      </w:r>
      <w:r w:rsidRPr="00A117E8">
        <w:rPr>
          <w:rFonts w:eastAsia="Calibri"/>
          <w:noProof/>
          <w:lang w:val="fr-FR"/>
        </w:rPr>
        <w:t xml:space="preserve">. </w:t>
      </w:r>
      <w:r>
        <w:rPr>
          <w:rFonts w:eastAsia="Calibri"/>
          <w:noProof/>
          <w:lang w:val="fr-FR"/>
        </w:rPr>
        <w:t xml:space="preserve">De même, les articles </w:t>
      </w:r>
      <w:r w:rsidRPr="00A117E8">
        <w:rPr>
          <w:rFonts w:eastAsia="Calibri"/>
          <w:noProof/>
          <w:lang w:val="fr-FR"/>
        </w:rPr>
        <w:t xml:space="preserve">351 </w:t>
      </w:r>
      <w:r>
        <w:rPr>
          <w:rFonts w:eastAsia="Calibri"/>
          <w:noProof/>
          <w:lang w:val="fr-FR"/>
        </w:rPr>
        <w:t>et suivants instituent la garantie de l</w:t>
      </w:r>
      <w:r w:rsidR="00607CA3">
        <w:rPr>
          <w:rFonts w:eastAsia="Calibri"/>
          <w:noProof/>
          <w:lang w:val="fr-FR"/>
        </w:rPr>
        <w:t>’</w:t>
      </w:r>
      <w:r w:rsidRPr="00A927AD">
        <w:rPr>
          <w:rFonts w:eastAsia="Calibri"/>
          <w:i/>
          <w:noProof/>
          <w:lang w:val="fr-FR"/>
        </w:rPr>
        <w:t>habeas corpus</w:t>
      </w:r>
      <w:r w:rsidRPr="00A117E8">
        <w:rPr>
          <w:rFonts w:eastAsia="Calibri"/>
          <w:noProof/>
          <w:lang w:val="fr-FR"/>
        </w:rPr>
        <w:t xml:space="preserve"> </w:t>
      </w:r>
      <w:r>
        <w:rPr>
          <w:rFonts w:eastAsia="Calibri"/>
          <w:noProof/>
          <w:lang w:val="fr-FR"/>
        </w:rPr>
        <w:t>« </w:t>
      </w:r>
      <w:r w:rsidRPr="00A117E8">
        <w:rPr>
          <w:rFonts w:eastAsia="Calibri"/>
          <w:noProof/>
          <w:lang w:val="fr-FR"/>
        </w:rPr>
        <w:t>contr</w:t>
      </w:r>
      <w:r w:rsidR="00691AD9">
        <w:rPr>
          <w:rFonts w:eastAsia="Calibri"/>
          <w:noProof/>
          <w:lang w:val="fr-FR"/>
        </w:rPr>
        <w:t>e</w:t>
      </w:r>
      <w:r w:rsidRPr="00A117E8">
        <w:rPr>
          <w:rFonts w:eastAsia="Calibri"/>
          <w:noProof/>
          <w:lang w:val="fr-FR"/>
        </w:rPr>
        <w:t xml:space="preserve"> </w:t>
      </w:r>
      <w:r>
        <w:rPr>
          <w:rFonts w:eastAsia="Calibri"/>
          <w:noProof/>
          <w:lang w:val="fr-FR"/>
        </w:rPr>
        <w:t>les torture</w:t>
      </w:r>
      <w:r w:rsidRPr="00A117E8">
        <w:rPr>
          <w:rFonts w:eastAsia="Calibri"/>
          <w:noProof/>
          <w:lang w:val="fr-FR"/>
        </w:rPr>
        <w:t xml:space="preserve">s </w:t>
      </w:r>
      <w:r>
        <w:rPr>
          <w:rFonts w:eastAsia="Calibri"/>
          <w:noProof/>
          <w:lang w:val="fr-FR"/>
        </w:rPr>
        <w:t>et autres traitements cruel</w:t>
      </w:r>
      <w:r w:rsidRPr="00A117E8">
        <w:rPr>
          <w:rFonts w:eastAsia="Calibri"/>
          <w:noProof/>
          <w:lang w:val="fr-FR"/>
        </w:rPr>
        <w:t>s o</w:t>
      </w:r>
      <w:r>
        <w:rPr>
          <w:rFonts w:eastAsia="Calibri"/>
          <w:noProof/>
          <w:lang w:val="fr-FR"/>
        </w:rPr>
        <w:t>u</w:t>
      </w:r>
      <w:r w:rsidRPr="00A117E8">
        <w:rPr>
          <w:rFonts w:eastAsia="Calibri"/>
          <w:noProof/>
          <w:lang w:val="fr-FR"/>
        </w:rPr>
        <w:t xml:space="preserve"> </w:t>
      </w:r>
      <w:r>
        <w:rPr>
          <w:rFonts w:eastAsia="Calibri"/>
          <w:noProof/>
          <w:lang w:val="fr-FR"/>
        </w:rPr>
        <w:t xml:space="preserve">les conditions de détention attentatoires à la </w:t>
      </w:r>
      <w:r w:rsidRPr="00A117E8">
        <w:rPr>
          <w:rFonts w:eastAsia="Calibri"/>
          <w:noProof/>
          <w:lang w:val="fr-FR"/>
        </w:rPr>
        <w:t>digni</w:t>
      </w:r>
      <w:r>
        <w:rPr>
          <w:rFonts w:eastAsia="Calibri"/>
          <w:noProof/>
          <w:lang w:val="fr-FR"/>
        </w:rPr>
        <w:t>té de la personne</w:t>
      </w:r>
      <w:r w:rsidRPr="00A117E8">
        <w:rPr>
          <w:rFonts w:eastAsia="Calibri"/>
          <w:noProof/>
          <w:lang w:val="fr-FR"/>
        </w:rPr>
        <w:t xml:space="preserve"> huma</w:t>
      </w:r>
      <w:r>
        <w:rPr>
          <w:rFonts w:eastAsia="Calibri"/>
          <w:noProof/>
          <w:lang w:val="fr-FR"/>
        </w:rPr>
        <w:t>ine »</w:t>
      </w:r>
      <w:r w:rsidRPr="00A117E8">
        <w:rPr>
          <w:rFonts w:eastAsia="Calibri"/>
          <w:noProof/>
          <w:lang w:val="fr-FR"/>
        </w:rPr>
        <w:t xml:space="preserve">. </w:t>
      </w:r>
      <w:r>
        <w:rPr>
          <w:rFonts w:eastAsia="Calibri"/>
          <w:noProof/>
          <w:lang w:val="fr-FR"/>
        </w:rPr>
        <w:t>De son côté, le ministère public est, en vertu de l</w:t>
      </w:r>
      <w:r w:rsidR="00607CA3">
        <w:rPr>
          <w:rFonts w:eastAsia="Calibri"/>
          <w:noProof/>
          <w:lang w:val="fr-FR"/>
        </w:rPr>
        <w:t>’</w:t>
      </w:r>
      <w:r>
        <w:rPr>
          <w:rFonts w:eastAsia="Calibri"/>
          <w:noProof/>
          <w:lang w:val="fr-FR"/>
        </w:rPr>
        <w:t xml:space="preserve">article </w:t>
      </w:r>
      <w:r w:rsidRPr="00A117E8">
        <w:rPr>
          <w:rFonts w:eastAsia="Calibri"/>
          <w:noProof/>
          <w:lang w:val="fr-FR"/>
        </w:rPr>
        <w:t xml:space="preserve">49.3 </w:t>
      </w:r>
      <w:r>
        <w:rPr>
          <w:rFonts w:eastAsia="Calibri"/>
          <w:noProof/>
          <w:lang w:val="fr-FR"/>
        </w:rPr>
        <w:t>du même Code, habilité à</w:t>
      </w:r>
      <w:r w:rsidRPr="00A117E8">
        <w:rPr>
          <w:rFonts w:eastAsia="Calibri"/>
          <w:noProof/>
          <w:lang w:val="fr-FR"/>
        </w:rPr>
        <w:t xml:space="preserve"> </w:t>
      </w:r>
      <w:r>
        <w:rPr>
          <w:rFonts w:eastAsia="Calibri"/>
          <w:noProof/>
          <w:lang w:val="fr-FR"/>
        </w:rPr>
        <w:t>« </w:t>
      </w:r>
      <w:r w:rsidRPr="00A117E8">
        <w:rPr>
          <w:rFonts w:eastAsia="Calibri"/>
          <w:noProof/>
          <w:lang w:val="fr-FR"/>
        </w:rPr>
        <w:t>...</w:t>
      </w:r>
      <w:r>
        <w:rPr>
          <w:rFonts w:eastAsia="Calibri"/>
          <w:noProof/>
          <w:lang w:val="fr-FR"/>
        </w:rPr>
        <w:t xml:space="preserve"> donner des directives à l</w:t>
      </w:r>
      <w:r w:rsidR="00607CA3">
        <w:rPr>
          <w:rFonts w:eastAsia="Calibri"/>
          <w:noProof/>
          <w:lang w:val="fr-FR"/>
        </w:rPr>
        <w:t>’</w:t>
      </w:r>
      <w:r w:rsidRPr="00A117E8">
        <w:rPr>
          <w:rFonts w:eastAsia="Calibri"/>
          <w:noProof/>
          <w:lang w:val="fr-FR"/>
        </w:rPr>
        <w:t>autori</w:t>
      </w:r>
      <w:r>
        <w:rPr>
          <w:rFonts w:eastAsia="Calibri"/>
          <w:noProof/>
          <w:lang w:val="fr-FR"/>
        </w:rPr>
        <w:t>té de tutelle des centres aux fins des enquêtes à mener sur des actes commis à l</w:t>
      </w:r>
      <w:r w:rsidR="00607CA3">
        <w:rPr>
          <w:rFonts w:eastAsia="Calibri"/>
          <w:noProof/>
          <w:lang w:val="fr-FR"/>
        </w:rPr>
        <w:t>’</w:t>
      </w:r>
      <w:r>
        <w:rPr>
          <w:rFonts w:eastAsia="Calibri"/>
          <w:noProof/>
          <w:lang w:val="fr-FR"/>
        </w:rPr>
        <w:t xml:space="preserve">intérieur de ces centres </w:t>
      </w:r>
      <w:r w:rsidRPr="00A117E8">
        <w:rPr>
          <w:rFonts w:eastAsia="Calibri"/>
          <w:noProof/>
          <w:lang w:val="fr-FR"/>
        </w:rPr>
        <w:t>...</w:t>
      </w:r>
      <w:r w:rsidRPr="00691AD9">
        <w:rPr>
          <w:rStyle w:val="Appelnotedebasdep"/>
        </w:rPr>
        <w:footnoteReference w:id="8"/>
      </w:r>
      <w:r>
        <w:rPr>
          <w:rFonts w:eastAsia="Calibri"/>
          <w:noProof/>
          <w:lang w:val="fr-FR"/>
        </w:rPr>
        <w:t> »</w:t>
      </w:r>
      <w:r w:rsidRPr="00A117E8">
        <w:rPr>
          <w:rFonts w:eastAsia="Calibri"/>
          <w:noProof/>
          <w:lang w:val="fr-FR"/>
        </w:rPr>
        <w:t>.</w:t>
      </w:r>
    </w:p>
    <w:p w:rsidR="00596826" w:rsidRPr="00A117E8" w:rsidRDefault="00596826" w:rsidP="00607CA3">
      <w:pPr>
        <w:pStyle w:val="H23G"/>
        <w:rPr>
          <w:noProof/>
          <w:lang w:val="fr-FR"/>
        </w:rPr>
      </w:pPr>
      <w:r w:rsidRPr="00A117E8">
        <w:rPr>
          <w:noProof/>
          <w:lang w:val="fr-FR"/>
        </w:rPr>
        <w:tab/>
      </w:r>
      <w:r w:rsidRPr="00A117E8">
        <w:rPr>
          <w:noProof/>
          <w:lang w:val="fr-FR"/>
        </w:rPr>
        <w:tab/>
        <w:t>S</w:t>
      </w:r>
      <w:r>
        <w:rPr>
          <w:noProof/>
          <w:lang w:val="fr-FR"/>
        </w:rPr>
        <w:t>ystème de justice pénale des mineurs</w:t>
      </w:r>
    </w:p>
    <w:p w:rsidR="00596826" w:rsidRPr="00A117E8" w:rsidRDefault="00596826" w:rsidP="00596826">
      <w:pPr>
        <w:pStyle w:val="SingleTxtG"/>
        <w:rPr>
          <w:iCs/>
          <w:noProof/>
          <w:lang w:val="fr-FR" w:eastAsia="es-UY"/>
        </w:rPr>
      </w:pPr>
      <w:r w:rsidRPr="00A117E8">
        <w:rPr>
          <w:rFonts w:eastAsia="Calibri"/>
          <w:noProof/>
          <w:lang w:val="fr-FR"/>
        </w:rPr>
        <w:t>19.</w:t>
      </w:r>
      <w:r w:rsidRPr="00A117E8">
        <w:rPr>
          <w:rFonts w:eastAsia="Calibri"/>
          <w:noProof/>
          <w:lang w:val="fr-FR"/>
        </w:rPr>
        <w:tab/>
        <w:t xml:space="preserve">En </w:t>
      </w:r>
      <w:r>
        <w:rPr>
          <w:rFonts w:eastAsia="Calibri"/>
          <w:noProof/>
          <w:lang w:val="fr-FR"/>
        </w:rPr>
        <w:t xml:space="preserve">ce qui concerne le système de justice pénale des mineurs,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sidRPr="00A117E8">
        <w:rPr>
          <w:rFonts w:eastAsia="Calibri"/>
          <w:noProof/>
          <w:lang w:val="fr-FR"/>
        </w:rPr>
        <w:t xml:space="preserve"> </w:t>
      </w:r>
      <w:r>
        <w:rPr>
          <w:rFonts w:eastAsia="Calibri"/>
          <w:noProof/>
          <w:lang w:val="fr-FR"/>
        </w:rPr>
        <w:t xml:space="preserve">dispose de mécanismes </w:t>
      </w:r>
      <w:r w:rsidRPr="00A117E8">
        <w:rPr>
          <w:rFonts w:eastAsia="Calibri"/>
          <w:noProof/>
          <w:lang w:val="fr-FR"/>
        </w:rPr>
        <w:t xml:space="preserve">de </w:t>
      </w:r>
      <w:r>
        <w:rPr>
          <w:rFonts w:eastAsia="Calibri"/>
          <w:noProof/>
          <w:lang w:val="fr-FR"/>
        </w:rPr>
        <w:t>dépôt de plaintes qui sont notamment les suivants</w:t>
      </w:r>
      <w:r w:rsidR="00607CA3">
        <w:rPr>
          <w:rFonts w:eastAsia="Calibri"/>
          <w:noProof/>
          <w:lang w:val="fr-FR"/>
        </w:rPr>
        <w:t> </w:t>
      </w:r>
      <w:r w:rsidRPr="00A117E8">
        <w:rPr>
          <w:rFonts w:eastAsia="Calibri"/>
          <w:noProof/>
          <w:lang w:val="fr-FR"/>
        </w:rPr>
        <w:t xml:space="preserve">: i) </w:t>
      </w:r>
      <w:r>
        <w:rPr>
          <w:rFonts w:eastAsia="Calibri"/>
          <w:noProof/>
          <w:lang w:val="fr-FR"/>
        </w:rPr>
        <w:t>des équipes techniques dans chacun de ses centres, au sein desquelles des professionnels</w:t>
      </w:r>
      <w:r w:rsidRPr="00A117E8">
        <w:rPr>
          <w:iCs/>
          <w:noProof/>
          <w:lang w:val="fr-FR" w:eastAsia="es-UY"/>
        </w:rPr>
        <w:t xml:space="preserve"> (ps</w:t>
      </w:r>
      <w:r>
        <w:rPr>
          <w:iCs/>
          <w:noProof/>
          <w:lang w:val="fr-FR" w:eastAsia="es-UY"/>
        </w:rPr>
        <w:t>ychologues</w:t>
      </w:r>
      <w:r w:rsidRPr="00A117E8">
        <w:rPr>
          <w:iCs/>
          <w:noProof/>
          <w:lang w:val="fr-FR" w:eastAsia="es-UY"/>
        </w:rPr>
        <w:t xml:space="preserve">, </w:t>
      </w:r>
      <w:r>
        <w:rPr>
          <w:iCs/>
          <w:noProof/>
          <w:lang w:val="fr-FR" w:eastAsia="es-UY"/>
        </w:rPr>
        <w:t>travailleurs sociaux</w:t>
      </w:r>
      <w:r w:rsidRPr="00A117E8">
        <w:rPr>
          <w:iCs/>
          <w:noProof/>
          <w:lang w:val="fr-FR" w:eastAsia="es-UY"/>
        </w:rPr>
        <w:t xml:space="preserve">, </w:t>
      </w:r>
      <w:r>
        <w:rPr>
          <w:iCs/>
          <w:noProof/>
          <w:lang w:val="fr-FR" w:eastAsia="es-UY"/>
        </w:rPr>
        <w:t>enseignants et</w:t>
      </w:r>
      <w:r w:rsidRPr="00A117E8">
        <w:rPr>
          <w:iCs/>
          <w:noProof/>
          <w:lang w:val="fr-FR" w:eastAsia="es-UY"/>
        </w:rPr>
        <w:t xml:space="preserve"> procur</w:t>
      </w:r>
      <w:r>
        <w:rPr>
          <w:iCs/>
          <w:noProof/>
          <w:lang w:val="fr-FR" w:eastAsia="es-UY"/>
        </w:rPr>
        <w:t>eurs</w:t>
      </w:r>
      <w:r w:rsidRPr="00A117E8">
        <w:rPr>
          <w:iCs/>
          <w:noProof/>
          <w:lang w:val="fr-FR" w:eastAsia="es-UY"/>
        </w:rPr>
        <w:t>) tra</w:t>
      </w:r>
      <w:r>
        <w:rPr>
          <w:iCs/>
          <w:noProof/>
          <w:lang w:val="fr-FR" w:eastAsia="es-UY"/>
        </w:rPr>
        <w:t>n</w:t>
      </w:r>
      <w:r w:rsidRPr="00A117E8">
        <w:rPr>
          <w:iCs/>
          <w:noProof/>
          <w:lang w:val="fr-FR" w:eastAsia="es-UY"/>
        </w:rPr>
        <w:t>s</w:t>
      </w:r>
      <w:r>
        <w:rPr>
          <w:iCs/>
          <w:noProof/>
          <w:lang w:val="fr-FR" w:eastAsia="es-UY"/>
        </w:rPr>
        <w:t>mettent au département juridique de l</w:t>
      </w:r>
      <w:r w:rsidR="00607CA3">
        <w:rPr>
          <w:iCs/>
          <w:noProof/>
          <w:lang w:val="fr-FR" w:eastAsia="es-UY"/>
        </w:rPr>
        <w:t>’</w:t>
      </w:r>
      <w:r>
        <w:rPr>
          <w:iCs/>
          <w:noProof/>
          <w:lang w:val="fr-FR" w:eastAsia="es-UY"/>
        </w:rPr>
        <w:t>Institut les signalements d</w:t>
      </w:r>
      <w:r w:rsidR="00607CA3">
        <w:rPr>
          <w:iCs/>
          <w:noProof/>
          <w:lang w:val="fr-FR" w:eastAsia="es-UY"/>
        </w:rPr>
        <w:t>’</w:t>
      </w:r>
      <w:r>
        <w:rPr>
          <w:iCs/>
          <w:noProof/>
          <w:lang w:val="fr-FR" w:eastAsia="es-UY"/>
        </w:rPr>
        <w:t>actes faits auprès d</w:t>
      </w:r>
      <w:r w:rsidR="00607CA3">
        <w:rPr>
          <w:iCs/>
          <w:noProof/>
          <w:lang w:val="fr-FR" w:eastAsia="es-UY"/>
        </w:rPr>
        <w:t>’</w:t>
      </w:r>
      <w:r>
        <w:rPr>
          <w:iCs/>
          <w:noProof/>
          <w:lang w:val="fr-FR" w:eastAsia="es-UY"/>
        </w:rPr>
        <w:t>eux en respectant le secret professionnel le plus strict</w:t>
      </w:r>
      <w:r w:rsidR="00607CA3">
        <w:rPr>
          <w:iCs/>
          <w:noProof/>
          <w:lang w:val="fr-FR" w:eastAsia="es-UY"/>
        </w:rPr>
        <w:t> </w:t>
      </w:r>
      <w:r w:rsidRPr="00A117E8">
        <w:rPr>
          <w:iCs/>
          <w:noProof/>
          <w:lang w:val="fr-FR" w:eastAsia="es-UY"/>
        </w:rPr>
        <w:t>; ii) l</w:t>
      </w:r>
      <w:r>
        <w:rPr>
          <w:iCs/>
          <w:noProof/>
          <w:lang w:val="fr-FR" w:eastAsia="es-UY"/>
        </w:rPr>
        <w:t>e</w:t>
      </w:r>
      <w:r w:rsidRPr="00A117E8">
        <w:rPr>
          <w:iCs/>
          <w:noProof/>
          <w:lang w:val="fr-FR" w:eastAsia="es-UY"/>
        </w:rPr>
        <w:t xml:space="preserve">s </w:t>
      </w:r>
      <w:r>
        <w:rPr>
          <w:iCs/>
          <w:noProof/>
          <w:lang w:val="fr-FR" w:eastAsia="es-UY"/>
        </w:rPr>
        <w:t xml:space="preserve">bureaux </w:t>
      </w:r>
      <w:r w:rsidRPr="00A117E8">
        <w:rPr>
          <w:iCs/>
          <w:noProof/>
          <w:lang w:val="fr-FR" w:eastAsia="es-UY"/>
        </w:rPr>
        <w:t>centra</w:t>
      </w:r>
      <w:r>
        <w:rPr>
          <w:iCs/>
          <w:noProof/>
          <w:lang w:val="fr-FR" w:eastAsia="es-UY"/>
        </w:rPr>
        <w:t xml:space="preserve">ux </w:t>
      </w:r>
      <w:r w:rsidRPr="00A117E8">
        <w:rPr>
          <w:iCs/>
          <w:noProof/>
          <w:lang w:val="fr-FR" w:eastAsia="es-UY"/>
        </w:rPr>
        <w:t xml:space="preserve">de </w:t>
      </w:r>
      <w:r>
        <w:rPr>
          <w:iCs/>
          <w:noProof/>
          <w:lang w:val="fr-FR" w:eastAsia="es-UY"/>
        </w:rPr>
        <w:t>l</w:t>
      </w:r>
      <w:r w:rsidR="00607CA3">
        <w:rPr>
          <w:iCs/>
          <w:noProof/>
          <w:lang w:val="fr-FR" w:eastAsia="es-UY"/>
        </w:rPr>
        <w:t>’</w:t>
      </w:r>
      <w:r>
        <w:rPr>
          <w:iCs/>
          <w:noProof/>
          <w:lang w:val="fr-FR" w:eastAsia="es-UY"/>
        </w:rPr>
        <w:t xml:space="preserve">Institut, qui sont </w:t>
      </w:r>
      <w:r w:rsidRPr="00A117E8">
        <w:rPr>
          <w:iCs/>
          <w:noProof/>
          <w:lang w:val="fr-FR" w:eastAsia="es-UY"/>
        </w:rPr>
        <w:t>disponibles p</w:t>
      </w:r>
      <w:r>
        <w:rPr>
          <w:iCs/>
          <w:noProof/>
          <w:lang w:val="fr-FR" w:eastAsia="es-UY"/>
        </w:rPr>
        <w:t>our recevoir des plaintes pendant un horaire d</w:t>
      </w:r>
      <w:r w:rsidR="00607CA3">
        <w:rPr>
          <w:iCs/>
          <w:noProof/>
          <w:lang w:val="fr-FR" w:eastAsia="es-UY"/>
        </w:rPr>
        <w:t>’</w:t>
      </w:r>
      <w:r>
        <w:rPr>
          <w:iCs/>
          <w:noProof/>
          <w:lang w:val="fr-FR" w:eastAsia="es-UY"/>
        </w:rPr>
        <w:t>ouverture prolongé et par l</w:t>
      </w:r>
      <w:r w:rsidR="00607CA3">
        <w:rPr>
          <w:iCs/>
          <w:noProof/>
          <w:lang w:val="fr-FR" w:eastAsia="es-UY"/>
        </w:rPr>
        <w:t>’</w:t>
      </w:r>
      <w:r>
        <w:rPr>
          <w:iCs/>
          <w:noProof/>
          <w:lang w:val="fr-FR" w:eastAsia="es-UY"/>
        </w:rPr>
        <w:t>intermédiaire du personnel spécialisé du département juridique</w:t>
      </w:r>
      <w:r w:rsidR="00607CA3">
        <w:rPr>
          <w:iCs/>
          <w:noProof/>
          <w:lang w:val="fr-FR" w:eastAsia="es-UY"/>
        </w:rPr>
        <w:t> </w:t>
      </w:r>
      <w:r w:rsidRPr="00A117E8">
        <w:rPr>
          <w:iCs/>
          <w:noProof/>
          <w:lang w:val="fr-FR" w:eastAsia="es-UY"/>
        </w:rPr>
        <w:t>; iii) la po</w:t>
      </w:r>
      <w:r>
        <w:rPr>
          <w:iCs/>
          <w:noProof/>
          <w:lang w:val="fr-FR" w:eastAsia="es-UY"/>
        </w:rPr>
        <w:t>s</w:t>
      </w:r>
      <w:r w:rsidRPr="00A117E8">
        <w:rPr>
          <w:iCs/>
          <w:noProof/>
          <w:lang w:val="fr-FR" w:eastAsia="es-UY"/>
        </w:rPr>
        <w:t>sibili</w:t>
      </w:r>
      <w:r>
        <w:rPr>
          <w:iCs/>
          <w:noProof/>
          <w:lang w:val="fr-FR" w:eastAsia="es-UY"/>
        </w:rPr>
        <w:t>té de porter plainte anonymement sur la page Web de l</w:t>
      </w:r>
      <w:r w:rsidR="00607CA3">
        <w:rPr>
          <w:iCs/>
          <w:noProof/>
          <w:lang w:val="fr-FR" w:eastAsia="es-UY"/>
        </w:rPr>
        <w:t>’</w:t>
      </w:r>
      <w:r>
        <w:rPr>
          <w:iCs/>
          <w:noProof/>
          <w:lang w:val="fr-FR" w:eastAsia="es-UY"/>
        </w:rPr>
        <w:t>institution</w:t>
      </w:r>
      <w:r w:rsidR="00607CA3">
        <w:rPr>
          <w:iCs/>
          <w:noProof/>
          <w:lang w:val="fr-FR" w:eastAsia="es-UY"/>
        </w:rPr>
        <w:t> </w:t>
      </w:r>
      <w:r w:rsidRPr="00A117E8">
        <w:rPr>
          <w:iCs/>
          <w:noProof/>
          <w:lang w:val="fr-FR" w:eastAsia="es-UY"/>
        </w:rPr>
        <w:t xml:space="preserve">; iv) la </w:t>
      </w:r>
      <w:r>
        <w:rPr>
          <w:iCs/>
          <w:noProof/>
          <w:lang w:val="fr-FR" w:eastAsia="es-UY"/>
        </w:rPr>
        <w:t>tenue de réunions périodiques et privées entre la direction et les délégués des mineurs de chaque centre</w:t>
      </w:r>
      <w:r w:rsidRPr="00A117E8">
        <w:rPr>
          <w:iCs/>
          <w:noProof/>
          <w:lang w:val="fr-FR" w:eastAsia="es-UY"/>
        </w:rPr>
        <w:t>.</w:t>
      </w:r>
    </w:p>
    <w:p w:rsidR="00596826" w:rsidRPr="00A117E8" w:rsidRDefault="00596826" w:rsidP="00596826">
      <w:pPr>
        <w:pStyle w:val="SingleTxtG"/>
        <w:rPr>
          <w:noProof/>
          <w:lang w:val="fr-FR" w:eastAsia="es-UY"/>
        </w:rPr>
      </w:pPr>
      <w:r w:rsidRPr="00A117E8">
        <w:rPr>
          <w:noProof/>
          <w:lang w:val="fr-FR" w:eastAsia="es-UY"/>
        </w:rPr>
        <w:t>20.</w:t>
      </w:r>
      <w:r w:rsidRPr="00A117E8">
        <w:rPr>
          <w:noProof/>
          <w:lang w:val="fr-FR" w:eastAsia="es-UY"/>
        </w:rPr>
        <w:tab/>
      </w:r>
      <w:r>
        <w:rPr>
          <w:noProof/>
          <w:lang w:val="fr-FR" w:eastAsia="es-UY"/>
        </w:rPr>
        <w:t>À l</w:t>
      </w:r>
      <w:r w:rsidR="00607CA3">
        <w:rPr>
          <w:noProof/>
          <w:lang w:val="fr-FR" w:eastAsia="es-UY"/>
        </w:rPr>
        <w:t>’</w:t>
      </w:r>
      <w:r>
        <w:rPr>
          <w:noProof/>
          <w:lang w:val="fr-FR" w:eastAsia="es-UY"/>
        </w:rPr>
        <w:t xml:space="preserve">heure actuelle,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rFonts w:eastAsia="Calibri"/>
          <w:noProof/>
          <w:lang w:val="fr-FR"/>
        </w:rPr>
        <w:t xml:space="preserve"> envisage de créer un groupe d</w:t>
      </w:r>
      <w:r w:rsidR="00607CA3">
        <w:rPr>
          <w:rFonts w:eastAsia="Calibri"/>
          <w:noProof/>
          <w:lang w:val="fr-FR"/>
        </w:rPr>
        <w:t>’</w:t>
      </w:r>
      <w:r>
        <w:rPr>
          <w:rFonts w:eastAsia="Calibri"/>
          <w:noProof/>
          <w:lang w:val="fr-FR"/>
        </w:rPr>
        <w:t xml:space="preserve">avocats et/ou de procureurs </w:t>
      </w:r>
      <w:r>
        <w:rPr>
          <w:noProof/>
          <w:lang w:val="fr-FR" w:eastAsia="es-UY"/>
        </w:rPr>
        <w:t xml:space="preserve">pour exécuter les procédures préliminaires visant à </w:t>
      </w:r>
      <w:r w:rsidRPr="00A117E8">
        <w:rPr>
          <w:noProof/>
          <w:lang w:val="fr-FR" w:eastAsia="es-UY"/>
        </w:rPr>
        <w:t>d</w:t>
      </w:r>
      <w:r>
        <w:rPr>
          <w:noProof/>
          <w:lang w:val="fr-FR" w:eastAsia="es-UY"/>
        </w:rPr>
        <w:t>é</w:t>
      </w:r>
      <w:r w:rsidRPr="00A117E8">
        <w:rPr>
          <w:noProof/>
          <w:lang w:val="fr-FR" w:eastAsia="es-UY"/>
        </w:rPr>
        <w:t>tect</w:t>
      </w:r>
      <w:r>
        <w:rPr>
          <w:noProof/>
          <w:lang w:val="fr-FR" w:eastAsia="es-UY"/>
        </w:rPr>
        <w:t>e</w:t>
      </w:r>
      <w:r w:rsidRPr="00A117E8">
        <w:rPr>
          <w:noProof/>
          <w:lang w:val="fr-FR" w:eastAsia="es-UY"/>
        </w:rPr>
        <w:t>r l</w:t>
      </w:r>
      <w:r>
        <w:rPr>
          <w:noProof/>
          <w:lang w:val="fr-FR" w:eastAsia="es-UY"/>
        </w:rPr>
        <w:t>es irré</w:t>
      </w:r>
      <w:r w:rsidRPr="00A117E8">
        <w:rPr>
          <w:noProof/>
          <w:lang w:val="fr-FR" w:eastAsia="es-UY"/>
        </w:rPr>
        <w:t>gulari</w:t>
      </w:r>
      <w:r>
        <w:rPr>
          <w:noProof/>
          <w:lang w:val="fr-FR" w:eastAsia="es-UY"/>
        </w:rPr>
        <w:t>tés</w:t>
      </w:r>
      <w:r w:rsidRPr="00A117E8">
        <w:rPr>
          <w:noProof/>
          <w:lang w:val="fr-FR" w:eastAsia="es-UY"/>
        </w:rPr>
        <w:t xml:space="preserve">, </w:t>
      </w:r>
      <w:r>
        <w:rPr>
          <w:noProof/>
          <w:lang w:val="fr-FR" w:eastAsia="es-UY"/>
        </w:rPr>
        <w:t>à conserver les éléments de preuve et à recueillir les déclarations des victimes et des témoins</w:t>
      </w:r>
      <w:r w:rsidRPr="00A117E8">
        <w:rPr>
          <w:noProof/>
          <w:lang w:val="fr-FR" w:eastAsia="es-UY"/>
        </w:rPr>
        <w:t xml:space="preserve">, </w:t>
      </w:r>
      <w:r>
        <w:rPr>
          <w:noProof/>
          <w:lang w:val="fr-FR" w:eastAsia="es-UY"/>
        </w:rPr>
        <w:t>en améliorant les procédures existantes et en offrant les meilleures garanties à ces personnes.</w:t>
      </w:r>
    </w:p>
    <w:p w:rsidR="00596826" w:rsidRPr="00A117E8" w:rsidRDefault="00596826" w:rsidP="00596826">
      <w:pPr>
        <w:pStyle w:val="SingleTxtG"/>
        <w:rPr>
          <w:noProof/>
          <w:lang w:val="fr-FR" w:eastAsia="es-UY"/>
        </w:rPr>
      </w:pPr>
      <w:r w:rsidRPr="00A117E8">
        <w:rPr>
          <w:noProof/>
          <w:lang w:val="fr-FR" w:eastAsia="es-UY"/>
        </w:rPr>
        <w:t>21.</w:t>
      </w:r>
      <w:r w:rsidRPr="00A117E8">
        <w:rPr>
          <w:noProof/>
          <w:lang w:val="fr-FR" w:eastAsia="es-UY"/>
        </w:rPr>
        <w:tab/>
      </w:r>
      <w:r>
        <w:rPr>
          <w:noProof/>
          <w:lang w:val="fr-FR" w:eastAsia="es-UY"/>
        </w:rPr>
        <w:t>S</w:t>
      </w:r>
      <w:r w:rsidR="00607CA3">
        <w:rPr>
          <w:noProof/>
          <w:lang w:val="fr-FR" w:eastAsia="es-UY"/>
        </w:rPr>
        <w:t>’</w:t>
      </w:r>
      <w:r>
        <w:rPr>
          <w:noProof/>
          <w:lang w:val="fr-FR" w:eastAsia="es-UY"/>
        </w:rPr>
        <w:t xml:space="preserve">agissant des enquêtes diligentes, impartiales et efficaces à mener, une unique procédure est actuellement engagée devant le </w:t>
      </w:r>
      <w:r w:rsidRPr="00C370F8">
        <w:rPr>
          <w:noProof/>
          <w:lang w:val="fr-FR"/>
        </w:rPr>
        <w:t>Centre d</w:t>
      </w:r>
      <w:r w:rsidR="00607CA3">
        <w:rPr>
          <w:noProof/>
          <w:lang w:val="fr-FR"/>
        </w:rPr>
        <w:t>’</w:t>
      </w:r>
      <w:r w:rsidRPr="00C370F8">
        <w:rPr>
          <w:noProof/>
          <w:lang w:val="fr-FR"/>
        </w:rPr>
        <w:t xml:space="preserve">admission, </w:t>
      </w:r>
      <w:r>
        <w:rPr>
          <w:noProof/>
          <w:lang w:val="fr-FR"/>
        </w:rPr>
        <w:t>d</w:t>
      </w:r>
      <w:r w:rsidR="00607CA3">
        <w:rPr>
          <w:noProof/>
          <w:lang w:val="fr-FR"/>
        </w:rPr>
        <w:t>’</w:t>
      </w:r>
      <w:r>
        <w:rPr>
          <w:noProof/>
          <w:lang w:val="fr-FR"/>
        </w:rPr>
        <w:t xml:space="preserve">étude, </w:t>
      </w:r>
      <w:r w:rsidRPr="00C370F8">
        <w:rPr>
          <w:noProof/>
          <w:lang w:val="fr-FR"/>
        </w:rPr>
        <w:t>de diagnostic et d</w:t>
      </w:r>
      <w:r w:rsidR="00607CA3">
        <w:rPr>
          <w:noProof/>
          <w:lang w:val="fr-FR"/>
        </w:rPr>
        <w:t>’</w:t>
      </w:r>
      <w:r w:rsidRPr="00C370F8">
        <w:rPr>
          <w:noProof/>
          <w:lang w:val="fr-FR"/>
        </w:rPr>
        <w:t>orientation</w:t>
      </w:r>
      <w:r w:rsidRPr="00A117E8">
        <w:rPr>
          <w:noProof/>
          <w:lang w:val="fr-FR" w:eastAsia="es-UY"/>
        </w:rPr>
        <w:t xml:space="preserve">, </w:t>
      </w:r>
      <w:r>
        <w:rPr>
          <w:noProof/>
          <w:lang w:val="fr-FR" w:eastAsia="es-UY"/>
        </w:rPr>
        <w:t>dont le département juridique a recommandé aux autorités d</w:t>
      </w:r>
      <w:r w:rsidR="00607CA3">
        <w:rPr>
          <w:noProof/>
          <w:lang w:val="fr-FR" w:eastAsia="es-UY"/>
        </w:rPr>
        <w:t>’</w:t>
      </w:r>
      <w:r>
        <w:rPr>
          <w:noProof/>
          <w:lang w:val="fr-FR" w:eastAsia="es-UY"/>
        </w:rPr>
        <w:t>infliger une sanction à une fonctionnaire</w:t>
      </w:r>
      <w:r w:rsidRPr="00A117E8">
        <w:rPr>
          <w:noProof/>
          <w:lang w:val="fr-FR" w:eastAsia="es-UY"/>
        </w:rPr>
        <w:t xml:space="preserve">. </w:t>
      </w:r>
      <w:r>
        <w:rPr>
          <w:noProof/>
          <w:lang w:val="fr-FR" w:eastAsia="es-UY"/>
        </w:rPr>
        <w:t>À ce jour, cette dernière a fait valoir ses moyens de défense compte tenu du principe d</w:t>
      </w:r>
      <w:r w:rsidR="00607CA3">
        <w:rPr>
          <w:noProof/>
          <w:lang w:val="fr-FR" w:eastAsia="es-UY"/>
        </w:rPr>
        <w:t>’</w:t>
      </w:r>
      <w:r>
        <w:rPr>
          <w:noProof/>
          <w:lang w:val="fr-FR" w:eastAsia="es-UY"/>
        </w:rPr>
        <w:t>une procédure régulière</w:t>
      </w:r>
      <w:r w:rsidRPr="00A117E8">
        <w:rPr>
          <w:noProof/>
          <w:lang w:val="fr-FR" w:eastAsia="es-UY"/>
        </w:rPr>
        <w:t>. En 2016</w:t>
      </w:r>
      <w:r>
        <w:rPr>
          <w:noProof/>
          <w:lang w:val="fr-FR" w:eastAsia="es-UY"/>
        </w:rPr>
        <w:t>,</w:t>
      </w:r>
      <w:r w:rsidRPr="00A117E8">
        <w:rPr>
          <w:noProof/>
          <w:lang w:val="fr-FR" w:eastAsia="es-UY"/>
        </w:rPr>
        <w:t xml:space="preserve"> </w:t>
      </w:r>
      <w:r>
        <w:rPr>
          <w:noProof/>
          <w:lang w:val="fr-FR" w:eastAsia="es-UY"/>
        </w:rPr>
        <w:t xml:space="preserve">on a repéré au </w:t>
      </w:r>
      <w:r w:rsidRPr="00A117E8">
        <w:rPr>
          <w:noProof/>
          <w:lang w:val="fr-FR" w:eastAsia="es-UY"/>
        </w:rPr>
        <w:t>Centr</w:t>
      </w:r>
      <w:r>
        <w:rPr>
          <w:noProof/>
          <w:lang w:val="fr-FR" w:eastAsia="es-UY"/>
        </w:rPr>
        <w:t>e</w:t>
      </w:r>
      <w:r w:rsidRPr="00A117E8">
        <w:rPr>
          <w:noProof/>
          <w:lang w:val="fr-FR" w:eastAsia="es-UY"/>
        </w:rPr>
        <w:t xml:space="preserve"> Hornero</w:t>
      </w:r>
      <w:r>
        <w:rPr>
          <w:noProof/>
          <w:lang w:val="fr-FR" w:eastAsia="es-UY"/>
        </w:rPr>
        <w:t xml:space="preserve"> une autre situation concernant la fourniture de médicaments, dont a été saisi le département chargé des enquêtes</w:t>
      </w:r>
      <w:r w:rsidRPr="00A117E8">
        <w:rPr>
          <w:noProof/>
          <w:lang w:val="fr-FR" w:eastAsia="es-UY"/>
        </w:rPr>
        <w:t>.</w:t>
      </w:r>
    </w:p>
    <w:p w:rsidR="00596826" w:rsidRPr="00A117E8" w:rsidRDefault="00596826" w:rsidP="00596826">
      <w:pPr>
        <w:pStyle w:val="SingleTxtG"/>
        <w:rPr>
          <w:noProof/>
          <w:lang w:val="fr-FR" w:eastAsia="es-UY"/>
        </w:rPr>
      </w:pPr>
      <w:r w:rsidRPr="00A117E8">
        <w:rPr>
          <w:noProof/>
          <w:lang w:val="fr-FR" w:eastAsia="es-UY"/>
        </w:rPr>
        <w:t>22.</w:t>
      </w:r>
      <w:r w:rsidRPr="00A117E8">
        <w:rPr>
          <w:noProof/>
          <w:lang w:val="fr-FR" w:eastAsia="es-UY"/>
        </w:rPr>
        <w:tab/>
      </w:r>
      <w:r>
        <w:rPr>
          <w:noProof/>
          <w:lang w:val="fr-FR" w:eastAsia="es-UY"/>
        </w:rPr>
        <w:t xml:space="preserve">Avec la création de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noProof/>
          <w:lang w:val="fr-FR"/>
        </w:rPr>
        <w:t xml:space="preserve">, qui est un service décentralisé, on a mis en place une Direction nationale de la santé, </w:t>
      </w:r>
      <w:r>
        <w:rPr>
          <w:rFonts w:eastAsia="Calibri"/>
          <w:noProof/>
          <w:lang w:val="fr-FR"/>
        </w:rPr>
        <w:t>que l</w:t>
      </w:r>
      <w:r w:rsidR="00607CA3">
        <w:rPr>
          <w:rFonts w:eastAsia="Calibri"/>
          <w:noProof/>
          <w:lang w:val="fr-FR"/>
        </w:rPr>
        <w:t>’</w:t>
      </w:r>
      <w:r>
        <w:rPr>
          <w:rFonts w:eastAsia="Calibri"/>
          <w:noProof/>
          <w:lang w:val="fr-FR"/>
        </w:rPr>
        <w:t>on a cherché à doter d</w:t>
      </w:r>
      <w:r w:rsidR="00607CA3">
        <w:rPr>
          <w:rFonts w:eastAsia="Calibri"/>
          <w:noProof/>
          <w:lang w:val="fr-FR"/>
        </w:rPr>
        <w:t>’</w:t>
      </w:r>
      <w:r>
        <w:rPr>
          <w:rFonts w:eastAsia="Calibri"/>
          <w:noProof/>
          <w:lang w:val="fr-FR"/>
        </w:rPr>
        <w:t>un personnel le plus nombreux possible, en y titularisant les agents contractuels</w:t>
      </w:r>
      <w:r w:rsidRPr="00A117E8">
        <w:rPr>
          <w:noProof/>
          <w:lang w:val="fr-FR" w:eastAsia="es-UY"/>
        </w:rPr>
        <w:t xml:space="preserve">. </w:t>
      </w:r>
      <w:r>
        <w:rPr>
          <w:noProof/>
          <w:lang w:val="fr-FR" w:eastAsia="es-UY"/>
        </w:rPr>
        <w:t>Des concours publics et ouverts ont été organisés</w:t>
      </w:r>
      <w:r w:rsidRPr="00A117E8">
        <w:rPr>
          <w:noProof/>
          <w:lang w:val="fr-FR" w:eastAsia="es-UY"/>
        </w:rPr>
        <w:t xml:space="preserve">. </w:t>
      </w:r>
      <w:r>
        <w:rPr>
          <w:noProof/>
          <w:lang w:val="fr-FR" w:eastAsia="es-UY"/>
        </w:rPr>
        <w:t>Des réformes législatives ont été encouragées pour permettre au personnel de santé de cumuler deux emplois publics</w:t>
      </w:r>
      <w:r w:rsidRPr="00A117E8">
        <w:rPr>
          <w:noProof/>
          <w:lang w:val="fr-FR" w:eastAsia="es-UY"/>
        </w:rPr>
        <w:t xml:space="preserve">, de </w:t>
      </w:r>
      <w:r>
        <w:rPr>
          <w:noProof/>
          <w:lang w:val="fr-FR" w:eastAsia="es-UY"/>
        </w:rPr>
        <w:t>manière à ne pas perdre des ressources humaines et techniques de qualité</w:t>
      </w:r>
      <w:r w:rsidRPr="00A117E8">
        <w:rPr>
          <w:noProof/>
          <w:lang w:val="fr-FR" w:eastAsia="es-UY"/>
        </w:rPr>
        <w:t xml:space="preserve">. </w:t>
      </w:r>
      <w:r>
        <w:rPr>
          <w:noProof/>
          <w:lang w:val="fr-FR" w:eastAsia="es-UY"/>
        </w:rPr>
        <w:t>Le traitement des dossiers cliniques a fait l</w:t>
      </w:r>
      <w:r w:rsidR="00607CA3">
        <w:rPr>
          <w:noProof/>
          <w:lang w:val="fr-FR" w:eastAsia="es-UY"/>
        </w:rPr>
        <w:t>’</w:t>
      </w:r>
      <w:r>
        <w:rPr>
          <w:noProof/>
          <w:lang w:val="fr-FR" w:eastAsia="es-UY"/>
        </w:rPr>
        <w:t>objet d</w:t>
      </w:r>
      <w:r w:rsidR="00607CA3">
        <w:rPr>
          <w:noProof/>
          <w:lang w:val="fr-FR" w:eastAsia="es-UY"/>
        </w:rPr>
        <w:t>’</w:t>
      </w:r>
      <w:r>
        <w:rPr>
          <w:noProof/>
          <w:lang w:val="fr-FR" w:eastAsia="es-UY"/>
        </w:rPr>
        <w:t>une systématisation et ils seront bientôt informatisés</w:t>
      </w:r>
      <w:r w:rsidRPr="00A117E8">
        <w:rPr>
          <w:noProof/>
          <w:lang w:val="fr-FR" w:eastAsia="es-UY"/>
        </w:rPr>
        <w:t>.</w:t>
      </w:r>
    </w:p>
    <w:p w:rsidR="00596826" w:rsidRPr="00A117E8" w:rsidRDefault="00596826" w:rsidP="00596826">
      <w:pPr>
        <w:pStyle w:val="SingleTxtG"/>
        <w:rPr>
          <w:noProof/>
          <w:lang w:val="fr-FR" w:eastAsia="es-UY"/>
        </w:rPr>
      </w:pPr>
      <w:r w:rsidRPr="00A117E8">
        <w:rPr>
          <w:noProof/>
          <w:lang w:val="fr-FR" w:eastAsia="es-UY"/>
        </w:rPr>
        <w:lastRenderedPageBreak/>
        <w:t>23.</w:t>
      </w:r>
      <w:r w:rsidRPr="00A117E8">
        <w:rPr>
          <w:noProof/>
          <w:lang w:val="fr-FR" w:eastAsia="es-UY"/>
        </w:rPr>
        <w:tab/>
      </w:r>
      <w:r>
        <w:rPr>
          <w:noProof/>
          <w:lang w:val="fr-FR" w:eastAsia="es-UY"/>
        </w:rPr>
        <w:t xml:space="preserve">Il importe de souligner </w:t>
      </w:r>
      <w:r w:rsidRPr="00A117E8">
        <w:rPr>
          <w:noProof/>
          <w:lang w:val="fr-FR" w:eastAsia="es-UY"/>
        </w:rPr>
        <w:t xml:space="preserve">que </w:t>
      </w:r>
      <w:r>
        <w:rPr>
          <w:noProof/>
          <w:lang w:val="fr-FR" w:eastAsia="es-UY"/>
        </w:rPr>
        <w:t xml:space="preserve">la direction actuelle de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rFonts w:eastAsia="Calibri"/>
          <w:noProof/>
          <w:lang w:val="fr-FR"/>
        </w:rPr>
        <w:t xml:space="preserve"> a régulièrement qualifié les cas de mauvais traitements de fautes graves, d</w:t>
      </w:r>
      <w:r w:rsidR="00607CA3">
        <w:rPr>
          <w:rFonts w:eastAsia="Calibri"/>
          <w:noProof/>
          <w:lang w:val="fr-FR"/>
        </w:rPr>
        <w:t>’</w:t>
      </w:r>
      <w:r>
        <w:rPr>
          <w:rFonts w:eastAsia="Calibri"/>
          <w:noProof/>
          <w:lang w:val="fr-FR"/>
        </w:rPr>
        <w:t>où l</w:t>
      </w:r>
      <w:r w:rsidR="00607CA3">
        <w:rPr>
          <w:rFonts w:eastAsia="Calibri"/>
          <w:noProof/>
          <w:lang w:val="fr-FR"/>
        </w:rPr>
        <w:t>’</w:t>
      </w:r>
      <w:r>
        <w:rPr>
          <w:rFonts w:eastAsia="Calibri"/>
          <w:noProof/>
          <w:lang w:val="fr-FR"/>
        </w:rPr>
        <w:t xml:space="preserve">application de </w:t>
      </w:r>
      <w:r>
        <w:rPr>
          <w:noProof/>
          <w:lang w:val="fr-FR" w:eastAsia="es-UY"/>
        </w:rPr>
        <w:t>l</w:t>
      </w:r>
      <w:r w:rsidR="00607CA3">
        <w:rPr>
          <w:noProof/>
          <w:lang w:val="fr-FR" w:eastAsia="es-UY"/>
        </w:rPr>
        <w:t>’</w:t>
      </w:r>
      <w:r w:rsidRPr="00A117E8">
        <w:rPr>
          <w:noProof/>
          <w:lang w:val="fr-FR" w:eastAsia="es-UY"/>
        </w:rPr>
        <w:t>art</w:t>
      </w:r>
      <w:r>
        <w:rPr>
          <w:noProof/>
          <w:lang w:val="fr-FR" w:eastAsia="es-UY"/>
        </w:rPr>
        <w:t xml:space="preserve">icle </w:t>
      </w:r>
      <w:r w:rsidRPr="00A117E8">
        <w:rPr>
          <w:noProof/>
          <w:lang w:val="fr-FR" w:eastAsia="es-UY"/>
        </w:rPr>
        <w:t xml:space="preserve">187 </w:t>
      </w:r>
      <w:r>
        <w:rPr>
          <w:noProof/>
          <w:lang w:val="fr-FR" w:eastAsia="es-UY"/>
        </w:rPr>
        <w:t xml:space="preserve">du décret </w:t>
      </w:r>
      <w:r w:rsidR="00607CA3" w:rsidRPr="00607CA3">
        <w:rPr>
          <w:rFonts w:eastAsia="MS Mincho"/>
          <w:noProof/>
          <w:szCs w:val="22"/>
          <w:lang w:val="fr-FR" w:eastAsia="es-UY"/>
        </w:rPr>
        <w:t>n</w:t>
      </w:r>
      <w:r w:rsidR="00607CA3" w:rsidRPr="00607CA3">
        <w:rPr>
          <w:rFonts w:eastAsia="MS Mincho"/>
          <w:noProof/>
          <w:szCs w:val="22"/>
          <w:vertAlign w:val="superscript"/>
          <w:lang w:val="fr-FR" w:eastAsia="es-UY"/>
        </w:rPr>
        <w:t>o</w:t>
      </w:r>
      <w:r w:rsidR="00607CA3">
        <w:rPr>
          <w:noProof/>
          <w:lang w:val="fr-FR" w:eastAsia="es-UY"/>
        </w:rPr>
        <w:t> </w:t>
      </w:r>
      <w:r w:rsidRPr="00A117E8">
        <w:rPr>
          <w:noProof/>
          <w:lang w:val="fr-FR" w:eastAsia="es-UY"/>
        </w:rPr>
        <w:t>500/991</w:t>
      </w:r>
      <w:r>
        <w:rPr>
          <w:noProof/>
          <w:lang w:val="fr-FR" w:eastAsia="es-UY"/>
        </w:rPr>
        <w:t>, aux termes duquel « (l)</w:t>
      </w:r>
      <w:r w:rsidRPr="00A117E8">
        <w:rPr>
          <w:noProof/>
          <w:lang w:val="fr-FR" w:eastAsia="es-UY"/>
        </w:rPr>
        <w:t>a suspensi</w:t>
      </w:r>
      <w:r>
        <w:rPr>
          <w:noProof/>
          <w:lang w:val="fr-FR" w:eastAsia="es-UY"/>
        </w:rPr>
        <w:t>o</w:t>
      </w:r>
      <w:r w:rsidRPr="00A117E8">
        <w:rPr>
          <w:noProof/>
          <w:lang w:val="fr-FR" w:eastAsia="es-UY"/>
        </w:rPr>
        <w:t xml:space="preserve">n </w:t>
      </w:r>
      <w:r>
        <w:rPr>
          <w:noProof/>
          <w:lang w:val="fr-FR" w:eastAsia="es-UY"/>
        </w:rPr>
        <w:t>des fonctionnaires poursuivis</w:t>
      </w:r>
      <w:r w:rsidRPr="00A117E8">
        <w:rPr>
          <w:noProof/>
          <w:lang w:val="fr-FR" w:eastAsia="es-UY"/>
        </w:rPr>
        <w:t xml:space="preserve"> es</w:t>
      </w:r>
      <w:r>
        <w:rPr>
          <w:noProof/>
          <w:lang w:val="fr-FR" w:eastAsia="es-UY"/>
        </w:rPr>
        <w:t>t obligatoire lorsque les actes qui motivent l</w:t>
      </w:r>
      <w:r w:rsidR="00607CA3">
        <w:rPr>
          <w:noProof/>
          <w:lang w:val="fr-FR" w:eastAsia="es-UY"/>
        </w:rPr>
        <w:t>’</w:t>
      </w:r>
      <w:r w:rsidRPr="00A117E8">
        <w:rPr>
          <w:noProof/>
          <w:lang w:val="fr-FR" w:eastAsia="es-UY"/>
        </w:rPr>
        <w:t>informa</w:t>
      </w:r>
      <w:r>
        <w:rPr>
          <w:noProof/>
          <w:lang w:val="fr-FR" w:eastAsia="es-UY"/>
        </w:rPr>
        <w:t>tion</w:t>
      </w:r>
      <w:r w:rsidRPr="00A117E8">
        <w:rPr>
          <w:noProof/>
          <w:lang w:val="fr-FR" w:eastAsia="es-UY"/>
        </w:rPr>
        <w:t xml:space="preserve"> </w:t>
      </w:r>
      <w:r>
        <w:rPr>
          <w:noProof/>
          <w:lang w:val="fr-FR" w:eastAsia="es-UY"/>
        </w:rPr>
        <w:t>sont constitutifs d</w:t>
      </w:r>
      <w:r w:rsidR="00607CA3">
        <w:rPr>
          <w:noProof/>
          <w:lang w:val="fr-FR" w:eastAsia="es-UY"/>
        </w:rPr>
        <w:t>’</w:t>
      </w:r>
      <w:r>
        <w:rPr>
          <w:noProof/>
          <w:lang w:val="fr-FR" w:eastAsia="es-UY"/>
        </w:rPr>
        <w:t>une faute grave</w:t>
      </w:r>
      <w:r w:rsidRPr="00A117E8">
        <w:rPr>
          <w:noProof/>
          <w:lang w:val="fr-FR" w:eastAsia="es-UY"/>
        </w:rPr>
        <w:t xml:space="preserve">. </w:t>
      </w:r>
      <w:r>
        <w:rPr>
          <w:noProof/>
          <w:lang w:val="fr-FR" w:eastAsia="es-UY"/>
        </w:rPr>
        <w:t>Elle devra figurer dans la décision d</w:t>
      </w:r>
      <w:r w:rsidR="00607CA3">
        <w:rPr>
          <w:noProof/>
          <w:lang w:val="fr-FR" w:eastAsia="es-UY"/>
        </w:rPr>
        <w:t>’</w:t>
      </w:r>
      <w:r>
        <w:rPr>
          <w:noProof/>
          <w:lang w:val="fr-FR" w:eastAsia="es-UY"/>
        </w:rPr>
        <w:t>engager la procédure d</w:t>
      </w:r>
      <w:r w:rsidR="00607CA3">
        <w:rPr>
          <w:noProof/>
          <w:lang w:val="fr-FR" w:eastAsia="es-UY"/>
        </w:rPr>
        <w:t>’</w:t>
      </w:r>
      <w:r>
        <w:rPr>
          <w:noProof/>
          <w:lang w:val="fr-FR" w:eastAsia="es-UY"/>
        </w:rPr>
        <w:t>instruction et entraîne la retenue de la moitié du traitement. »</w:t>
      </w:r>
      <w:r w:rsidR="00607CA3">
        <w:rPr>
          <w:noProof/>
          <w:lang w:val="fr-FR" w:eastAsia="es-UY"/>
        </w:rPr>
        <w:t>.</w:t>
      </w:r>
    </w:p>
    <w:p w:rsidR="00596826" w:rsidRPr="00A117E8" w:rsidRDefault="00596826" w:rsidP="00596826">
      <w:pPr>
        <w:pStyle w:val="SingleTxtG"/>
        <w:rPr>
          <w:noProof/>
          <w:lang w:val="fr-FR" w:eastAsia="es-UY"/>
        </w:rPr>
      </w:pPr>
      <w:r w:rsidRPr="00A117E8">
        <w:rPr>
          <w:noProof/>
          <w:lang w:val="fr-FR" w:eastAsia="es-UY"/>
        </w:rPr>
        <w:t>24.</w:t>
      </w:r>
      <w:r w:rsidRPr="00A117E8">
        <w:rPr>
          <w:noProof/>
          <w:lang w:val="fr-FR" w:eastAsia="es-UY"/>
        </w:rPr>
        <w:tab/>
      </w:r>
      <w:r>
        <w:rPr>
          <w:noProof/>
          <w:lang w:val="fr-FR" w:eastAsia="es-UY"/>
        </w:rPr>
        <w:t xml:space="preserve">Étant donné que la </w:t>
      </w:r>
      <w:r w:rsidRPr="00A117E8">
        <w:rPr>
          <w:noProof/>
          <w:lang w:val="fr-FR" w:eastAsia="es-UY"/>
        </w:rPr>
        <w:t>suspensi</w:t>
      </w:r>
      <w:r>
        <w:rPr>
          <w:noProof/>
          <w:lang w:val="fr-FR" w:eastAsia="es-UY"/>
        </w:rPr>
        <w:t>o</w:t>
      </w:r>
      <w:r w:rsidRPr="00A117E8">
        <w:rPr>
          <w:noProof/>
          <w:lang w:val="fr-FR" w:eastAsia="es-UY"/>
        </w:rPr>
        <w:t xml:space="preserve">n </w:t>
      </w:r>
      <w:r>
        <w:rPr>
          <w:noProof/>
          <w:lang w:val="fr-FR" w:eastAsia="es-UY"/>
        </w:rPr>
        <w:t>ne peut durer plus de six mois, le service chargé des enquêtes du département juridique a, pour compléter l</w:t>
      </w:r>
      <w:r w:rsidR="00607CA3">
        <w:rPr>
          <w:noProof/>
          <w:lang w:val="fr-FR" w:eastAsia="es-UY"/>
        </w:rPr>
        <w:t>’</w:t>
      </w:r>
      <w:r>
        <w:rPr>
          <w:noProof/>
          <w:lang w:val="fr-FR" w:eastAsia="es-UY"/>
        </w:rPr>
        <w:t>efficacité de la mesure, redoublé d</w:t>
      </w:r>
      <w:r w:rsidR="00607CA3">
        <w:rPr>
          <w:noProof/>
          <w:lang w:val="fr-FR" w:eastAsia="es-UY"/>
        </w:rPr>
        <w:t>’</w:t>
      </w:r>
      <w:r>
        <w:rPr>
          <w:noProof/>
          <w:lang w:val="fr-FR" w:eastAsia="es-UY"/>
        </w:rPr>
        <w:t>efforts pour achever rapidement les procédures</w:t>
      </w:r>
      <w:r w:rsidRPr="00A117E8">
        <w:rPr>
          <w:noProof/>
          <w:lang w:val="fr-FR" w:eastAsia="es-UY"/>
        </w:rPr>
        <w:t xml:space="preserve">. </w:t>
      </w:r>
      <w:r>
        <w:rPr>
          <w:noProof/>
          <w:lang w:val="fr-FR" w:eastAsia="es-UY"/>
        </w:rPr>
        <w:t>Il est prévu de recruter du personnel pour atteindre l</w:t>
      </w:r>
      <w:r w:rsidR="00607CA3">
        <w:rPr>
          <w:noProof/>
          <w:lang w:val="fr-FR" w:eastAsia="es-UY"/>
        </w:rPr>
        <w:t>’</w:t>
      </w:r>
      <w:r>
        <w:rPr>
          <w:noProof/>
          <w:lang w:val="fr-FR" w:eastAsia="es-UY"/>
        </w:rPr>
        <w:t>objectif consistant à faire en sorte que la durée des procédures n</w:t>
      </w:r>
      <w:r w:rsidR="00607CA3">
        <w:rPr>
          <w:noProof/>
          <w:lang w:val="fr-FR" w:eastAsia="es-UY"/>
        </w:rPr>
        <w:t>’</w:t>
      </w:r>
      <w:r>
        <w:rPr>
          <w:noProof/>
          <w:lang w:val="fr-FR" w:eastAsia="es-UY"/>
        </w:rPr>
        <w:t>excède pas la durée maximale de la suspension prévue par la réglementation</w:t>
      </w:r>
      <w:r w:rsidRPr="00A117E8">
        <w:rPr>
          <w:noProof/>
          <w:lang w:val="fr-FR" w:eastAsia="es-UY"/>
        </w:rPr>
        <w:t xml:space="preserve">. </w:t>
      </w:r>
      <w:r>
        <w:rPr>
          <w:noProof/>
          <w:lang w:val="fr-FR" w:eastAsia="es-UY"/>
        </w:rPr>
        <w:t>Il convient de souligner qu</w:t>
      </w:r>
      <w:r w:rsidR="00607CA3">
        <w:rPr>
          <w:noProof/>
          <w:lang w:val="fr-FR" w:eastAsia="es-UY"/>
        </w:rPr>
        <w:t>’</w:t>
      </w:r>
      <w:r>
        <w:rPr>
          <w:noProof/>
          <w:lang w:val="fr-FR" w:eastAsia="es-UY"/>
        </w:rPr>
        <w:t>aucun cas de représailles n</w:t>
      </w:r>
      <w:r w:rsidR="00607CA3">
        <w:rPr>
          <w:noProof/>
          <w:lang w:val="fr-FR" w:eastAsia="es-UY"/>
        </w:rPr>
        <w:t>’</w:t>
      </w:r>
      <w:r>
        <w:rPr>
          <w:noProof/>
          <w:lang w:val="fr-FR" w:eastAsia="es-UY"/>
        </w:rPr>
        <w:t xml:space="preserve">a été constaté depuis 2016 </w:t>
      </w:r>
      <w:r w:rsidRPr="00A117E8">
        <w:rPr>
          <w:noProof/>
          <w:lang w:val="fr-FR" w:eastAsia="es-UY"/>
        </w:rPr>
        <w:t>(</w:t>
      </w:r>
      <w:r>
        <w:rPr>
          <w:noProof/>
          <w:lang w:val="fr-FR" w:eastAsia="es-UY"/>
        </w:rPr>
        <w:t>année où l</w:t>
      </w:r>
      <w:r w:rsidR="00607CA3">
        <w:rPr>
          <w:noProof/>
          <w:lang w:val="fr-FR" w:eastAsia="es-UY"/>
        </w:rPr>
        <w:t>’</w:t>
      </w:r>
      <w:r>
        <w:rPr>
          <w:noProof/>
          <w:lang w:val="fr-FR" w:eastAsia="es-UY"/>
        </w:rPr>
        <w:t xml:space="preserve">on a commencé à </w:t>
      </w:r>
      <w:r w:rsidRPr="00A117E8">
        <w:rPr>
          <w:noProof/>
          <w:lang w:val="fr-FR" w:eastAsia="es-UY"/>
        </w:rPr>
        <w:t>s</w:t>
      </w:r>
      <w:r>
        <w:rPr>
          <w:noProof/>
          <w:lang w:val="fr-FR" w:eastAsia="es-UY"/>
        </w:rPr>
        <w:t>ystématiser les informations correspondantes</w:t>
      </w:r>
      <w:r w:rsidRPr="00A117E8">
        <w:rPr>
          <w:noProof/>
          <w:lang w:val="fr-FR" w:eastAsia="es-UY"/>
        </w:rPr>
        <w:t>). N</w:t>
      </w:r>
      <w:r>
        <w:rPr>
          <w:noProof/>
          <w:lang w:val="fr-FR" w:eastAsia="es-UY"/>
        </w:rPr>
        <w:t xml:space="preserve">éanmoins, les autorités et les équipes techniques de chacun des centres </w:t>
      </w:r>
      <w:r w:rsidRPr="00A117E8">
        <w:rPr>
          <w:noProof/>
          <w:lang w:val="fr-FR" w:eastAsia="es-UY"/>
        </w:rPr>
        <w:t>o</w:t>
      </w:r>
      <w:r>
        <w:rPr>
          <w:noProof/>
          <w:lang w:val="fr-FR" w:eastAsia="es-UY"/>
        </w:rPr>
        <w:t>nt la possibilité d</w:t>
      </w:r>
      <w:r w:rsidR="00607CA3">
        <w:rPr>
          <w:noProof/>
          <w:lang w:val="fr-FR" w:eastAsia="es-UY"/>
        </w:rPr>
        <w:t>’</w:t>
      </w:r>
      <w:r>
        <w:rPr>
          <w:noProof/>
          <w:lang w:val="fr-FR" w:eastAsia="es-UY"/>
        </w:rPr>
        <w:t>évaluer les victimes ou les plaignants et de proposer et décider leur transfert vers d</w:t>
      </w:r>
      <w:r w:rsidR="00607CA3">
        <w:rPr>
          <w:noProof/>
          <w:lang w:val="fr-FR" w:eastAsia="es-UY"/>
        </w:rPr>
        <w:t>’</w:t>
      </w:r>
      <w:r>
        <w:rPr>
          <w:noProof/>
          <w:lang w:val="fr-FR" w:eastAsia="es-UY"/>
        </w:rPr>
        <w:t>autres centres</w:t>
      </w:r>
      <w:r w:rsidRPr="00A117E8">
        <w:rPr>
          <w:noProof/>
          <w:lang w:val="fr-FR" w:eastAsia="es-UY"/>
        </w:rPr>
        <w:t>.</w:t>
      </w:r>
    </w:p>
    <w:p w:rsidR="00596826" w:rsidRPr="00A117E8" w:rsidRDefault="00596826" w:rsidP="00596826">
      <w:pPr>
        <w:pStyle w:val="SingleTxtG"/>
        <w:rPr>
          <w:noProof/>
          <w:lang w:val="fr-FR" w:eastAsia="es-UY"/>
        </w:rPr>
      </w:pPr>
      <w:r w:rsidRPr="00A117E8">
        <w:rPr>
          <w:noProof/>
          <w:lang w:val="fr-FR" w:eastAsia="es-UY"/>
        </w:rPr>
        <w:t>25.</w:t>
      </w:r>
      <w:r w:rsidRPr="00A117E8">
        <w:rPr>
          <w:noProof/>
          <w:lang w:val="fr-FR" w:eastAsia="es-UY"/>
        </w:rPr>
        <w:tab/>
      </w:r>
      <w:r>
        <w:rPr>
          <w:noProof/>
          <w:lang w:val="fr-FR" w:eastAsia="es-UY"/>
        </w:rPr>
        <w:t>L</w:t>
      </w:r>
      <w:r w:rsidR="00607CA3">
        <w:rPr>
          <w:noProof/>
          <w:lang w:val="fr-FR" w:eastAsia="es-UY"/>
        </w:rPr>
        <w:t>’</w:t>
      </w:r>
      <w:r w:rsidRPr="00897E42">
        <w:rPr>
          <w:noProof/>
          <w:lang w:val="fr-FR"/>
        </w:rPr>
        <w:t>Institut national pour l</w:t>
      </w:r>
      <w:r w:rsidR="00607CA3">
        <w:rPr>
          <w:noProof/>
          <w:lang w:val="fr-FR"/>
        </w:rPr>
        <w:t>’</w:t>
      </w:r>
      <w:r w:rsidRPr="00897E42">
        <w:rPr>
          <w:noProof/>
          <w:lang w:val="fr-FR"/>
        </w:rPr>
        <w:t>insertion sociale des adolescents</w:t>
      </w:r>
      <w:r>
        <w:rPr>
          <w:rFonts w:eastAsia="Calibri"/>
          <w:noProof/>
          <w:lang w:val="fr-FR"/>
        </w:rPr>
        <w:t xml:space="preserve"> ne dispose ni des crédits budgétaires ni du pouvoir juridique </w:t>
      </w:r>
      <w:r w:rsidRPr="00A117E8">
        <w:rPr>
          <w:noProof/>
          <w:lang w:val="fr-FR" w:eastAsia="es-UY"/>
        </w:rPr>
        <w:t>qu</w:t>
      </w:r>
      <w:r>
        <w:rPr>
          <w:noProof/>
          <w:lang w:val="fr-FR" w:eastAsia="es-UY"/>
        </w:rPr>
        <w:t>i lui permettraient d</w:t>
      </w:r>
      <w:r w:rsidR="00607CA3">
        <w:rPr>
          <w:noProof/>
          <w:lang w:val="fr-FR" w:eastAsia="es-UY"/>
        </w:rPr>
        <w:t>’</w:t>
      </w:r>
      <w:r>
        <w:rPr>
          <w:noProof/>
          <w:lang w:val="fr-FR" w:eastAsia="es-UY"/>
        </w:rPr>
        <w:t xml:space="preserve">accorder réparation, une indemnisation et des moyens de réadaptation aux victimes de </w:t>
      </w:r>
      <w:r w:rsidRPr="00A117E8">
        <w:rPr>
          <w:noProof/>
          <w:lang w:val="fr-FR" w:eastAsia="es-UY"/>
        </w:rPr>
        <w:t>tortur</w:t>
      </w:r>
      <w:r>
        <w:rPr>
          <w:noProof/>
          <w:lang w:val="fr-FR" w:eastAsia="es-UY"/>
        </w:rPr>
        <w:t>e et de mauvais traitements</w:t>
      </w:r>
      <w:r w:rsidRPr="00A117E8">
        <w:rPr>
          <w:noProof/>
          <w:lang w:val="fr-FR" w:eastAsia="es-UY"/>
        </w:rPr>
        <w:t>. L</w:t>
      </w:r>
      <w:r>
        <w:rPr>
          <w:noProof/>
          <w:lang w:val="fr-FR" w:eastAsia="es-UY"/>
        </w:rPr>
        <w:t>e</w:t>
      </w:r>
      <w:r w:rsidRPr="00A117E8">
        <w:rPr>
          <w:noProof/>
          <w:lang w:val="fr-FR" w:eastAsia="es-UY"/>
        </w:rPr>
        <w:t>s victim</w:t>
      </w:r>
      <w:r>
        <w:rPr>
          <w:noProof/>
          <w:lang w:val="fr-FR" w:eastAsia="es-UY"/>
        </w:rPr>
        <w:t>e</w:t>
      </w:r>
      <w:r w:rsidRPr="00A117E8">
        <w:rPr>
          <w:noProof/>
          <w:lang w:val="fr-FR" w:eastAsia="es-UY"/>
        </w:rPr>
        <w:t xml:space="preserve">s </w:t>
      </w:r>
      <w:r>
        <w:rPr>
          <w:noProof/>
          <w:lang w:val="fr-FR" w:eastAsia="es-UY"/>
        </w:rPr>
        <w:t>déposent leurs réclamations devant l</w:t>
      </w:r>
      <w:r w:rsidR="00607CA3">
        <w:rPr>
          <w:noProof/>
          <w:lang w:val="fr-FR" w:eastAsia="es-UY"/>
        </w:rPr>
        <w:t>’</w:t>
      </w:r>
      <w:r>
        <w:rPr>
          <w:noProof/>
          <w:lang w:val="fr-FR" w:eastAsia="es-UY"/>
        </w:rPr>
        <w:t>appareil judiciaire, qui, en définitive, s</w:t>
      </w:r>
      <w:r w:rsidR="00607CA3">
        <w:rPr>
          <w:noProof/>
          <w:lang w:val="fr-FR" w:eastAsia="es-UY"/>
        </w:rPr>
        <w:t>’</w:t>
      </w:r>
      <w:r>
        <w:rPr>
          <w:noProof/>
          <w:lang w:val="fr-FR" w:eastAsia="es-UY"/>
        </w:rPr>
        <w:t>il reconnaît la culpabilité de l</w:t>
      </w:r>
      <w:r w:rsidR="00607CA3">
        <w:rPr>
          <w:noProof/>
          <w:lang w:val="fr-FR" w:eastAsia="es-UY"/>
        </w:rPr>
        <w:t>’</w:t>
      </w:r>
      <w:r>
        <w:rPr>
          <w:noProof/>
          <w:lang w:val="fr-FR" w:eastAsia="es-UY"/>
        </w:rPr>
        <w:t>Institut, décide du montant de l</w:t>
      </w:r>
      <w:r w:rsidR="00607CA3">
        <w:rPr>
          <w:noProof/>
          <w:lang w:val="fr-FR" w:eastAsia="es-UY"/>
        </w:rPr>
        <w:t>’</w:t>
      </w:r>
      <w:r>
        <w:rPr>
          <w:noProof/>
          <w:lang w:val="fr-FR" w:eastAsia="es-UY"/>
        </w:rPr>
        <w:t>indemnisation à leur verser</w:t>
      </w:r>
      <w:r w:rsidRPr="00A117E8">
        <w:rPr>
          <w:noProof/>
          <w:lang w:val="fr-FR" w:eastAsia="es-UY"/>
        </w:rPr>
        <w:t>.</w:t>
      </w:r>
    </w:p>
    <w:p w:rsidR="00596826" w:rsidRPr="00A117E8" w:rsidRDefault="00596826" w:rsidP="00596826">
      <w:pPr>
        <w:pStyle w:val="H4G"/>
        <w:rPr>
          <w:rFonts w:eastAsia="Calibri"/>
          <w:b/>
          <w:i w:val="0"/>
          <w:noProof/>
          <w:lang w:val="fr-FR"/>
        </w:rPr>
      </w:pPr>
      <w:r w:rsidRPr="00A117E8">
        <w:rPr>
          <w:rFonts w:eastAsia="Calibri"/>
          <w:noProof/>
          <w:lang w:val="fr-FR"/>
        </w:rPr>
        <w:tab/>
      </w:r>
      <w:r w:rsidRPr="00A117E8">
        <w:rPr>
          <w:rFonts w:eastAsia="Calibri"/>
          <w:b/>
          <w:i w:val="0"/>
          <w:noProof/>
          <w:lang w:val="fr-FR"/>
        </w:rPr>
        <w:tab/>
        <w:t>M</w:t>
      </w:r>
      <w:r>
        <w:rPr>
          <w:rFonts w:eastAsia="Calibri"/>
          <w:b/>
          <w:i w:val="0"/>
          <w:noProof/>
          <w:lang w:val="fr-FR"/>
        </w:rPr>
        <w:t>é</w:t>
      </w:r>
      <w:r w:rsidRPr="00A117E8">
        <w:rPr>
          <w:rFonts w:eastAsia="Calibri"/>
          <w:b/>
          <w:i w:val="0"/>
          <w:noProof/>
          <w:lang w:val="fr-FR"/>
        </w:rPr>
        <w:t>canism</w:t>
      </w:r>
      <w:r>
        <w:rPr>
          <w:rFonts w:eastAsia="Calibri"/>
          <w:b/>
          <w:i w:val="0"/>
          <w:noProof/>
          <w:lang w:val="fr-FR"/>
        </w:rPr>
        <w:t>e</w:t>
      </w:r>
      <w:r w:rsidRPr="00A117E8">
        <w:rPr>
          <w:rFonts w:eastAsia="Calibri"/>
          <w:b/>
          <w:i w:val="0"/>
          <w:noProof/>
          <w:lang w:val="fr-FR"/>
        </w:rPr>
        <w:t xml:space="preserve">s de </w:t>
      </w:r>
      <w:r>
        <w:rPr>
          <w:rFonts w:eastAsia="Calibri"/>
          <w:b/>
          <w:i w:val="0"/>
          <w:noProof/>
          <w:lang w:val="fr-FR"/>
        </w:rPr>
        <w:t>contrôle externe</w:t>
      </w:r>
    </w:p>
    <w:p w:rsidR="00596826" w:rsidRPr="00411326" w:rsidRDefault="00596826" w:rsidP="00596826">
      <w:pPr>
        <w:pStyle w:val="SingleTxtG"/>
        <w:rPr>
          <w:rFonts w:eastAsia="Calibri"/>
        </w:rPr>
      </w:pPr>
      <w:r w:rsidRPr="00A117E8">
        <w:rPr>
          <w:rFonts w:eastAsia="Calibri"/>
          <w:noProof/>
          <w:lang w:val="fr-FR"/>
        </w:rPr>
        <w:t>26.</w:t>
      </w:r>
      <w:r w:rsidRPr="00A117E8">
        <w:rPr>
          <w:rFonts w:eastAsia="Calibri"/>
          <w:noProof/>
          <w:lang w:val="fr-FR"/>
        </w:rPr>
        <w:tab/>
      </w:r>
      <w:r>
        <w:rPr>
          <w:rFonts w:eastAsia="Calibri"/>
          <w:noProof/>
          <w:lang w:val="fr-FR"/>
        </w:rPr>
        <w:t xml:space="preserve">Le contrôle externe des centres de privation de liberté est du ressort du </w:t>
      </w:r>
      <w:r>
        <w:rPr>
          <w:noProof/>
          <w:lang w:val="fr-FR"/>
        </w:rPr>
        <w:t>délégué parlementaire aux affaires pénitentiaires</w:t>
      </w:r>
      <w:r w:rsidRPr="001B5F3E">
        <w:rPr>
          <w:noProof/>
          <w:lang w:val="fr-FR"/>
        </w:rPr>
        <w:t xml:space="preserve"> </w:t>
      </w:r>
      <w:r>
        <w:rPr>
          <w:noProof/>
          <w:lang w:val="fr-FR"/>
        </w:rPr>
        <w:t xml:space="preserve">et de </w:t>
      </w:r>
      <w:r w:rsidRPr="001B5F3E">
        <w:rPr>
          <w:noProof/>
          <w:lang w:val="fr-FR"/>
        </w:rPr>
        <w:t>l</w:t>
      </w:r>
      <w:r w:rsidR="00607CA3">
        <w:rPr>
          <w:noProof/>
          <w:lang w:val="fr-FR"/>
        </w:rPr>
        <w:t>’</w:t>
      </w:r>
      <w:r w:rsidRPr="001B5F3E">
        <w:rPr>
          <w:noProof/>
          <w:lang w:val="fr-FR"/>
        </w:rPr>
        <w:t xml:space="preserve">Institution nationale des </w:t>
      </w:r>
      <w:r>
        <w:rPr>
          <w:noProof/>
          <w:lang w:val="fr-FR"/>
        </w:rPr>
        <w:t>droits de l</w:t>
      </w:r>
      <w:r w:rsidR="00607CA3">
        <w:rPr>
          <w:noProof/>
          <w:lang w:val="fr-FR"/>
        </w:rPr>
        <w:t>’</w:t>
      </w:r>
      <w:r>
        <w:rPr>
          <w:noProof/>
          <w:lang w:val="fr-FR"/>
        </w:rPr>
        <w:t xml:space="preserve">homme, laquelle exerce </w:t>
      </w:r>
      <w:r>
        <w:rPr>
          <w:lang w:val="fr-FR" w:eastAsia="fr-FR"/>
        </w:rPr>
        <w:t>les fonctions de mécanisme national de prévention</w:t>
      </w:r>
      <w:r w:rsidRPr="00A117E8">
        <w:rPr>
          <w:rFonts w:eastAsia="Calibri"/>
          <w:noProof/>
          <w:lang w:val="fr-FR"/>
        </w:rPr>
        <w:t xml:space="preserve">. </w:t>
      </w:r>
      <w:r>
        <w:rPr>
          <w:rFonts w:eastAsia="Calibri"/>
          <w:noProof/>
          <w:lang w:val="fr-FR"/>
        </w:rPr>
        <w:t xml:space="preserve">De même, les organisations de la </w:t>
      </w:r>
      <w:r w:rsidRPr="00A117E8">
        <w:rPr>
          <w:rFonts w:eastAsia="Calibri"/>
          <w:noProof/>
          <w:lang w:val="fr-FR"/>
        </w:rPr>
        <w:t>soci</w:t>
      </w:r>
      <w:r>
        <w:rPr>
          <w:rFonts w:eastAsia="Calibri"/>
          <w:noProof/>
          <w:lang w:val="fr-FR"/>
        </w:rPr>
        <w:t xml:space="preserve">été </w:t>
      </w:r>
      <w:r w:rsidRPr="00A117E8">
        <w:rPr>
          <w:rFonts w:eastAsia="Calibri"/>
          <w:noProof/>
          <w:lang w:val="fr-FR"/>
        </w:rPr>
        <w:t>civil</w:t>
      </w:r>
      <w:r>
        <w:rPr>
          <w:rFonts w:eastAsia="Calibri"/>
          <w:noProof/>
          <w:lang w:val="fr-FR"/>
        </w:rPr>
        <w:t>e</w:t>
      </w:r>
      <w:r w:rsidRPr="00A117E8">
        <w:rPr>
          <w:rFonts w:eastAsia="Calibri"/>
          <w:noProof/>
          <w:lang w:val="fr-FR"/>
        </w:rPr>
        <w:t xml:space="preserve"> </w:t>
      </w:r>
      <w:r>
        <w:rPr>
          <w:rFonts w:eastAsia="Calibri"/>
          <w:noProof/>
          <w:lang w:val="fr-FR"/>
        </w:rPr>
        <w:t>mènent des inspections et des visites dans les centres pénitentiaires</w:t>
      </w:r>
      <w:r w:rsidRPr="00411326">
        <w:rPr>
          <w:rFonts w:eastAsia="Calibri"/>
        </w:rPr>
        <w:t xml:space="preserve">. </w:t>
      </w:r>
    </w:p>
    <w:p w:rsidR="00596826" w:rsidRPr="00DE2A76" w:rsidRDefault="00596826" w:rsidP="00607CA3">
      <w:pPr>
        <w:pStyle w:val="H1G"/>
        <w:rPr>
          <w:noProof/>
          <w:lang w:val="fr-FR"/>
        </w:rPr>
      </w:pPr>
      <w:r w:rsidRPr="00411326">
        <w:tab/>
      </w:r>
      <w:r w:rsidRPr="00411326">
        <w:tab/>
      </w:r>
      <w:r w:rsidRPr="00DE2A76">
        <w:rPr>
          <w:noProof/>
          <w:lang w:val="fr-FR"/>
        </w:rPr>
        <w:t>Article premier</w:t>
      </w:r>
    </w:p>
    <w:p w:rsidR="00596826" w:rsidRPr="00DE2A76" w:rsidRDefault="00596826" w:rsidP="00596826">
      <w:pPr>
        <w:pStyle w:val="SingleTxtG"/>
        <w:rPr>
          <w:rFonts w:eastAsia="Calibri"/>
          <w:noProof/>
          <w:lang w:val="fr-FR"/>
        </w:rPr>
      </w:pPr>
      <w:r w:rsidRPr="00DE2A76">
        <w:rPr>
          <w:rFonts w:eastAsia="Calibri"/>
          <w:noProof/>
          <w:lang w:val="fr-FR"/>
        </w:rPr>
        <w:t>27.</w:t>
      </w:r>
      <w:r w:rsidRPr="00DE2A76">
        <w:rPr>
          <w:rFonts w:eastAsia="Calibri"/>
          <w:noProof/>
          <w:lang w:val="fr-FR"/>
        </w:rPr>
        <w:tab/>
        <w:t xml:space="preserve">Si </w:t>
      </w:r>
      <w:r>
        <w:rPr>
          <w:rFonts w:eastAsia="Calibri"/>
          <w:noProof/>
          <w:lang w:val="fr-FR"/>
        </w:rPr>
        <w:t>le Code pénal u</w:t>
      </w:r>
      <w:r w:rsidRPr="00DE2A76">
        <w:rPr>
          <w:rFonts w:eastAsia="Calibri"/>
          <w:noProof/>
          <w:lang w:val="fr-FR"/>
        </w:rPr>
        <w:t>ruguay</w:t>
      </w:r>
      <w:r>
        <w:rPr>
          <w:rFonts w:eastAsia="Calibri"/>
          <w:noProof/>
          <w:lang w:val="fr-FR"/>
        </w:rPr>
        <w:t>en</w:t>
      </w:r>
      <w:r w:rsidRPr="00DE2A76">
        <w:rPr>
          <w:rFonts w:eastAsia="Calibri"/>
          <w:noProof/>
          <w:lang w:val="fr-FR"/>
        </w:rPr>
        <w:t xml:space="preserve"> </w:t>
      </w:r>
      <w:r>
        <w:rPr>
          <w:rFonts w:eastAsia="Calibri"/>
          <w:noProof/>
          <w:lang w:val="fr-FR"/>
        </w:rPr>
        <w:t xml:space="preserve">ne définit pas la torture comme une infraction à part entière, au sens que lui donne la </w:t>
      </w:r>
      <w:r w:rsidRPr="00710E23">
        <w:rPr>
          <w:noProof/>
          <w:lang w:val="fr-FR"/>
        </w:rPr>
        <w:t>Convention contre la torture et autres peines ou traitements cruels, inhumains ou dégradants</w:t>
      </w:r>
      <w:r>
        <w:rPr>
          <w:rFonts w:eastAsia="Calibri"/>
          <w:noProof/>
          <w:lang w:val="fr-FR"/>
        </w:rPr>
        <w:t>, l</w:t>
      </w:r>
      <w:r w:rsidR="00607CA3">
        <w:rPr>
          <w:rFonts w:eastAsia="Calibri"/>
          <w:noProof/>
          <w:lang w:val="fr-FR"/>
        </w:rPr>
        <w:t>’</w:t>
      </w:r>
      <w:r>
        <w:rPr>
          <w:rFonts w:eastAsia="Calibri"/>
          <w:noProof/>
          <w:lang w:val="fr-FR"/>
        </w:rPr>
        <w:t xml:space="preserve">adoption de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sidRPr="00DE2A76">
        <w:rPr>
          <w:rFonts w:eastAsia="Calibri"/>
          <w:noProof/>
          <w:lang w:val="fr-FR"/>
        </w:rPr>
        <w:t xml:space="preserve">18026 </w:t>
      </w:r>
      <w:r>
        <w:rPr>
          <w:rFonts w:eastAsia="Calibri"/>
          <w:noProof/>
          <w:lang w:val="fr-FR"/>
        </w:rPr>
        <w:t xml:space="preserve">sur la coopération avec </w:t>
      </w:r>
      <w:r w:rsidRPr="00DE2A76">
        <w:rPr>
          <w:rFonts w:eastAsia="Calibri"/>
          <w:noProof/>
          <w:lang w:val="fr-FR"/>
        </w:rPr>
        <w:t>la Co</w:t>
      </w:r>
      <w:r>
        <w:rPr>
          <w:rFonts w:eastAsia="Calibri"/>
          <w:noProof/>
          <w:lang w:val="fr-FR"/>
        </w:rPr>
        <w:t>u</w:t>
      </w:r>
      <w:r w:rsidRPr="00DE2A76">
        <w:rPr>
          <w:rFonts w:eastAsia="Calibri"/>
          <w:noProof/>
          <w:lang w:val="fr-FR"/>
        </w:rPr>
        <w:t>r</w:t>
      </w:r>
      <w:r>
        <w:rPr>
          <w:rFonts w:eastAsia="Calibri"/>
          <w:noProof/>
          <w:lang w:val="fr-FR"/>
        </w:rPr>
        <w:t xml:space="preserve"> pé</w:t>
      </w:r>
      <w:r w:rsidRPr="00DE2A76">
        <w:rPr>
          <w:rFonts w:eastAsia="Calibri"/>
          <w:noProof/>
          <w:lang w:val="fr-FR"/>
        </w:rPr>
        <w:t>nal</w:t>
      </w:r>
      <w:r>
        <w:rPr>
          <w:rFonts w:eastAsia="Calibri"/>
          <w:noProof/>
          <w:lang w:val="fr-FR"/>
        </w:rPr>
        <w:t>e</w:t>
      </w:r>
      <w:r w:rsidRPr="00DE2A76">
        <w:rPr>
          <w:rFonts w:eastAsia="Calibri"/>
          <w:noProof/>
          <w:lang w:val="fr-FR"/>
        </w:rPr>
        <w:t xml:space="preserve"> </w:t>
      </w:r>
      <w:r>
        <w:rPr>
          <w:rFonts w:eastAsia="Calibri"/>
          <w:noProof/>
          <w:lang w:val="fr-FR"/>
        </w:rPr>
        <w:t>i</w:t>
      </w:r>
      <w:r w:rsidRPr="00DE2A76">
        <w:rPr>
          <w:rFonts w:eastAsia="Calibri"/>
          <w:noProof/>
          <w:lang w:val="fr-FR"/>
        </w:rPr>
        <w:t>nterna</w:t>
      </w:r>
      <w:r>
        <w:rPr>
          <w:rFonts w:eastAsia="Calibri"/>
          <w:noProof/>
          <w:lang w:val="fr-FR"/>
        </w:rPr>
        <w:t xml:space="preserve">tionale </w:t>
      </w:r>
      <w:r w:rsidRPr="00DE2A76">
        <w:rPr>
          <w:rFonts w:eastAsia="Calibri"/>
          <w:noProof/>
          <w:lang w:val="fr-FR"/>
        </w:rPr>
        <w:t>en mat</w:t>
      </w:r>
      <w:r>
        <w:rPr>
          <w:rFonts w:eastAsia="Calibri"/>
          <w:noProof/>
          <w:lang w:val="fr-FR"/>
        </w:rPr>
        <w:t>ière de lutte contre le gé</w:t>
      </w:r>
      <w:r w:rsidRPr="00DE2A76">
        <w:rPr>
          <w:rFonts w:eastAsia="Calibri"/>
          <w:noProof/>
          <w:lang w:val="fr-FR"/>
        </w:rPr>
        <w:t>nocid</w:t>
      </w:r>
      <w:r>
        <w:rPr>
          <w:rFonts w:eastAsia="Calibri"/>
          <w:noProof/>
          <w:lang w:val="fr-FR"/>
        </w:rPr>
        <w:t>e</w:t>
      </w:r>
      <w:r w:rsidRPr="00DE2A76">
        <w:rPr>
          <w:rFonts w:eastAsia="Calibri"/>
          <w:noProof/>
          <w:lang w:val="fr-FR"/>
        </w:rPr>
        <w:t>, l</w:t>
      </w:r>
      <w:r>
        <w:rPr>
          <w:rFonts w:eastAsia="Calibri"/>
          <w:noProof/>
          <w:lang w:val="fr-FR"/>
        </w:rPr>
        <w:t>e</w:t>
      </w:r>
      <w:r w:rsidRPr="00DE2A76">
        <w:rPr>
          <w:rFonts w:eastAsia="Calibri"/>
          <w:noProof/>
          <w:lang w:val="fr-FR"/>
        </w:rPr>
        <w:t xml:space="preserve">s </w:t>
      </w:r>
      <w:r>
        <w:rPr>
          <w:rFonts w:eastAsia="Calibri"/>
          <w:noProof/>
          <w:lang w:val="fr-FR"/>
        </w:rPr>
        <w:t>c</w:t>
      </w:r>
      <w:r w:rsidRPr="00DE2A76">
        <w:rPr>
          <w:rFonts w:eastAsia="Calibri"/>
          <w:noProof/>
          <w:lang w:val="fr-FR"/>
        </w:rPr>
        <w:t xml:space="preserve">rímes de </w:t>
      </w:r>
      <w:r>
        <w:rPr>
          <w:rFonts w:eastAsia="Calibri"/>
          <w:noProof/>
          <w:lang w:val="fr-FR"/>
        </w:rPr>
        <w:t>g</w:t>
      </w:r>
      <w:r w:rsidRPr="00DE2A76">
        <w:rPr>
          <w:rFonts w:eastAsia="Calibri"/>
          <w:noProof/>
          <w:lang w:val="fr-FR"/>
        </w:rPr>
        <w:t>uerr</w:t>
      </w:r>
      <w:r>
        <w:rPr>
          <w:rFonts w:eastAsia="Calibri"/>
          <w:noProof/>
          <w:lang w:val="fr-FR"/>
        </w:rPr>
        <w:t>e</w:t>
      </w:r>
      <w:r w:rsidRPr="00DE2A76">
        <w:rPr>
          <w:rFonts w:eastAsia="Calibri"/>
          <w:noProof/>
          <w:lang w:val="fr-FR"/>
        </w:rPr>
        <w:t xml:space="preserve"> </w:t>
      </w:r>
      <w:r>
        <w:rPr>
          <w:rFonts w:eastAsia="Calibri"/>
          <w:noProof/>
          <w:lang w:val="fr-FR"/>
        </w:rPr>
        <w:t>et les crimes contre l</w:t>
      </w:r>
      <w:r w:rsidR="00607CA3">
        <w:rPr>
          <w:rFonts w:eastAsia="Calibri"/>
          <w:noProof/>
          <w:lang w:val="fr-FR"/>
        </w:rPr>
        <w:t>’</w:t>
      </w:r>
      <w:r>
        <w:rPr>
          <w:rFonts w:eastAsia="Calibri"/>
          <w:noProof/>
          <w:lang w:val="fr-FR"/>
        </w:rPr>
        <w:t>humanité a permis d</w:t>
      </w:r>
      <w:r w:rsidR="00607CA3">
        <w:rPr>
          <w:rFonts w:eastAsia="Calibri"/>
          <w:noProof/>
          <w:lang w:val="fr-FR"/>
        </w:rPr>
        <w:t>’</w:t>
      </w:r>
      <w:r>
        <w:rPr>
          <w:rFonts w:eastAsia="Calibri"/>
          <w:noProof/>
          <w:lang w:val="fr-FR"/>
        </w:rPr>
        <w:t>incorporer l</w:t>
      </w:r>
      <w:r w:rsidR="00607CA3">
        <w:rPr>
          <w:rFonts w:eastAsia="Calibri"/>
          <w:noProof/>
          <w:lang w:val="fr-FR"/>
        </w:rPr>
        <w:t>’</w:t>
      </w:r>
      <w:r>
        <w:rPr>
          <w:rFonts w:eastAsia="Calibri"/>
          <w:noProof/>
          <w:lang w:val="fr-FR"/>
        </w:rPr>
        <w:t>infraction de torture dans l</w:t>
      </w:r>
      <w:r w:rsidR="00607CA3">
        <w:rPr>
          <w:rFonts w:eastAsia="Calibri"/>
          <w:noProof/>
          <w:lang w:val="fr-FR"/>
        </w:rPr>
        <w:t>’</w:t>
      </w:r>
      <w:r>
        <w:rPr>
          <w:rFonts w:eastAsia="Calibri"/>
          <w:noProof/>
          <w:lang w:val="fr-FR"/>
        </w:rPr>
        <w:t>ordre juridique interne (art.</w:t>
      </w:r>
      <w:r w:rsidR="00607CA3">
        <w:rPr>
          <w:rFonts w:eastAsia="Calibri"/>
          <w:noProof/>
          <w:lang w:val="fr-FR"/>
        </w:rPr>
        <w:t> </w:t>
      </w:r>
      <w:r>
        <w:rPr>
          <w:rFonts w:eastAsia="Calibri"/>
          <w:noProof/>
          <w:lang w:val="fr-FR"/>
        </w:rPr>
        <w:t>22 de cette loi)</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28.</w:t>
      </w:r>
      <w:r w:rsidRPr="00DE2A76">
        <w:rPr>
          <w:rFonts w:eastAsia="Calibri"/>
          <w:noProof/>
          <w:lang w:val="fr-FR"/>
        </w:rPr>
        <w:tab/>
      </w:r>
      <w:r>
        <w:rPr>
          <w:rFonts w:eastAsia="Calibri"/>
          <w:noProof/>
          <w:lang w:val="fr-FR"/>
        </w:rPr>
        <w:t>Le paragraphe 1 de l</w:t>
      </w:r>
      <w:r w:rsidR="00607CA3">
        <w:rPr>
          <w:rFonts w:eastAsia="Calibri"/>
          <w:noProof/>
          <w:lang w:val="fr-FR"/>
        </w:rPr>
        <w:t>’</w:t>
      </w:r>
      <w:r w:rsidRPr="00DE2A76">
        <w:rPr>
          <w:rFonts w:eastAsia="Calibri"/>
          <w:noProof/>
          <w:lang w:val="fr-FR"/>
        </w:rPr>
        <w:t>art</w:t>
      </w:r>
      <w:r>
        <w:rPr>
          <w:rFonts w:eastAsia="Calibri"/>
          <w:noProof/>
          <w:lang w:val="fr-FR"/>
        </w:rPr>
        <w:t>icle de la loi susvisée se lit comme suit :</w:t>
      </w:r>
      <w:r w:rsidRPr="00DE2A76">
        <w:rPr>
          <w:rFonts w:eastAsia="Calibri"/>
          <w:noProof/>
          <w:lang w:val="fr-FR"/>
        </w:rPr>
        <w:t xml:space="preserve"> </w:t>
      </w:r>
      <w:r>
        <w:rPr>
          <w:rFonts w:eastAsia="Calibri"/>
          <w:noProof/>
          <w:lang w:val="fr-FR"/>
        </w:rPr>
        <w:t xml:space="preserve">« Quiconque, de quelque manière </w:t>
      </w:r>
      <w:r>
        <w:rPr>
          <w:lang w:val="fr-FR" w:eastAsia="fr-FR"/>
        </w:rPr>
        <w:t>et pour quelque motif que ce soit, étant un agent de l</w:t>
      </w:r>
      <w:r w:rsidR="00607CA3">
        <w:rPr>
          <w:lang w:val="fr-FR" w:eastAsia="fr-FR"/>
        </w:rPr>
        <w:t>’</w:t>
      </w:r>
      <w:r>
        <w:rPr>
          <w:lang w:val="fr-FR" w:eastAsia="fr-FR"/>
        </w:rPr>
        <w:t>État ou, sinon, avec</w:t>
      </w:r>
      <w:r w:rsidRPr="00DE2A76">
        <w:rPr>
          <w:rFonts w:eastAsia="Calibri"/>
          <w:noProof/>
          <w:lang w:val="fr-FR"/>
        </w:rPr>
        <w:t xml:space="preserve"> </w:t>
      </w:r>
      <w:r>
        <w:rPr>
          <w:lang w:val="fr-FR" w:eastAsia="fr-FR"/>
        </w:rPr>
        <w:t>l</w:t>
      </w:r>
      <w:r w:rsidR="00607CA3">
        <w:rPr>
          <w:lang w:val="fr-FR" w:eastAsia="fr-FR"/>
        </w:rPr>
        <w:t>’</w:t>
      </w:r>
      <w:r>
        <w:rPr>
          <w:lang w:val="fr-FR" w:eastAsia="fr-FR"/>
        </w:rPr>
        <w:t>autorisation, l</w:t>
      </w:r>
      <w:r w:rsidR="00607CA3">
        <w:rPr>
          <w:lang w:val="fr-FR" w:eastAsia="fr-FR"/>
        </w:rPr>
        <w:t>’</w:t>
      </w:r>
      <w:r>
        <w:rPr>
          <w:lang w:val="fr-FR" w:eastAsia="fr-FR"/>
        </w:rPr>
        <w:t>appui ou l</w:t>
      </w:r>
      <w:r w:rsidR="00607CA3">
        <w:rPr>
          <w:lang w:val="fr-FR" w:eastAsia="fr-FR"/>
        </w:rPr>
        <w:t>’</w:t>
      </w:r>
      <w:r>
        <w:rPr>
          <w:lang w:val="fr-FR" w:eastAsia="fr-FR"/>
        </w:rPr>
        <w:t>assentiment d</w:t>
      </w:r>
      <w:r w:rsidR="00607CA3">
        <w:rPr>
          <w:lang w:val="fr-FR" w:eastAsia="fr-FR"/>
        </w:rPr>
        <w:t>’</w:t>
      </w:r>
      <w:r>
        <w:rPr>
          <w:lang w:val="fr-FR" w:eastAsia="fr-FR"/>
        </w:rPr>
        <w:t>un ou plusieurs agents de l</w:t>
      </w:r>
      <w:r w:rsidR="00607CA3">
        <w:rPr>
          <w:lang w:val="fr-FR" w:eastAsia="fr-FR"/>
        </w:rPr>
        <w:t>’</w:t>
      </w:r>
      <w:r>
        <w:rPr>
          <w:lang w:val="fr-FR" w:eastAsia="fr-FR"/>
        </w:rPr>
        <w:t>État, impose toute</w:t>
      </w:r>
      <w:r w:rsidRPr="00DE2A76">
        <w:rPr>
          <w:rFonts w:eastAsia="Calibri"/>
          <w:noProof/>
          <w:lang w:val="fr-FR"/>
        </w:rPr>
        <w:t xml:space="preserve"> </w:t>
      </w:r>
      <w:r>
        <w:rPr>
          <w:lang w:val="fr-FR" w:eastAsia="fr-FR"/>
        </w:rPr>
        <w:t>forme de torture à une personne privée de liberté ou placée sous sa garde ou surveillance,</w:t>
      </w:r>
      <w:r w:rsidRPr="00DE2A76">
        <w:rPr>
          <w:rFonts w:eastAsia="Calibri"/>
          <w:noProof/>
          <w:lang w:val="fr-FR"/>
        </w:rPr>
        <w:t xml:space="preserve"> </w:t>
      </w:r>
      <w:r>
        <w:rPr>
          <w:lang w:val="fr-FR" w:eastAsia="fr-FR"/>
        </w:rPr>
        <w:t>ou à une personne qui comparaît en justice en qualité de témoin, d</w:t>
      </w:r>
      <w:r w:rsidR="00607CA3">
        <w:rPr>
          <w:lang w:val="fr-FR" w:eastAsia="fr-FR"/>
        </w:rPr>
        <w:t>’</w:t>
      </w:r>
      <w:r>
        <w:rPr>
          <w:lang w:val="fr-FR" w:eastAsia="fr-FR"/>
        </w:rPr>
        <w:t>expert ou analogue, est</w:t>
      </w:r>
      <w:r>
        <w:rPr>
          <w:rFonts w:eastAsia="Calibri"/>
          <w:noProof/>
          <w:lang w:val="fr-FR"/>
        </w:rPr>
        <w:t xml:space="preserve"> </w:t>
      </w:r>
      <w:r>
        <w:rPr>
          <w:lang w:val="fr-FR" w:eastAsia="fr-FR"/>
        </w:rPr>
        <w:t>passible d</w:t>
      </w:r>
      <w:r w:rsidR="00607CA3">
        <w:rPr>
          <w:lang w:val="fr-FR" w:eastAsia="fr-FR"/>
        </w:rPr>
        <w:t>’</w:t>
      </w:r>
      <w:r>
        <w:rPr>
          <w:lang w:val="fr-FR" w:eastAsia="fr-FR"/>
        </w:rPr>
        <w:t xml:space="preserve">une peine de </w:t>
      </w:r>
      <w:r w:rsidR="00607CA3">
        <w:rPr>
          <w:lang w:val="fr-FR" w:eastAsia="fr-FR"/>
        </w:rPr>
        <w:t>vingt</w:t>
      </w:r>
      <w:r>
        <w:rPr>
          <w:lang w:val="fr-FR" w:eastAsia="fr-FR"/>
        </w:rPr>
        <w:t xml:space="preserve"> mois à huit ans de réclusion criminelle</w:t>
      </w:r>
      <w:r w:rsidR="00691AD9">
        <w:rPr>
          <w:lang w:val="fr-FR" w:eastAsia="fr-FR"/>
        </w:rPr>
        <w:t>.</w:t>
      </w:r>
      <w:r w:rsidR="00607CA3">
        <w:rPr>
          <w:lang w:val="fr-FR" w:eastAsia="fr-FR"/>
        </w:rPr>
        <w:t> </w:t>
      </w:r>
      <w:r>
        <w:rPr>
          <w:lang w:val="fr-FR" w:eastAsia="fr-FR"/>
        </w:rPr>
        <w:t>».</w:t>
      </w:r>
    </w:p>
    <w:p w:rsidR="00596826" w:rsidRPr="00DE2A76" w:rsidRDefault="00596826" w:rsidP="00596826">
      <w:pPr>
        <w:pStyle w:val="SingleTxtG"/>
        <w:rPr>
          <w:rFonts w:eastAsia="Calibri"/>
          <w:noProof/>
          <w:lang w:val="fr-FR"/>
        </w:rPr>
      </w:pPr>
      <w:r w:rsidRPr="00DE2A76">
        <w:rPr>
          <w:rFonts w:eastAsia="Calibri"/>
          <w:noProof/>
          <w:lang w:val="fr-FR"/>
        </w:rPr>
        <w:t>29.</w:t>
      </w:r>
      <w:r w:rsidRPr="00DE2A76">
        <w:rPr>
          <w:rFonts w:eastAsia="Calibri"/>
          <w:noProof/>
          <w:lang w:val="fr-FR"/>
        </w:rPr>
        <w:tab/>
      </w:r>
      <w:r>
        <w:rPr>
          <w:lang w:val="fr-FR" w:eastAsia="fr-FR"/>
        </w:rPr>
        <w:t>Selon le paragraphe 2 du même article, «</w:t>
      </w:r>
      <w:r w:rsidR="00607CA3">
        <w:rPr>
          <w:lang w:val="fr-FR" w:eastAsia="fr-FR"/>
        </w:rPr>
        <w:t> </w:t>
      </w:r>
      <w:r>
        <w:rPr>
          <w:lang w:val="fr-FR" w:eastAsia="fr-FR"/>
        </w:rPr>
        <w:t>le terme torture désigne</w:t>
      </w:r>
      <w:r w:rsidR="00607CA3">
        <w:rPr>
          <w:lang w:val="fr-FR" w:eastAsia="fr-FR"/>
        </w:rPr>
        <w:t> </w:t>
      </w:r>
      <w:r>
        <w:rPr>
          <w:lang w:val="fr-FR" w:eastAsia="fr-FR"/>
        </w:rPr>
        <w:t>: a) tout acte par</w:t>
      </w:r>
      <w:r w:rsidRPr="00DE2A76">
        <w:rPr>
          <w:rFonts w:eastAsia="Calibri"/>
          <w:noProof/>
          <w:lang w:val="fr-FR"/>
        </w:rPr>
        <w:t xml:space="preserve"> </w:t>
      </w:r>
      <w:r>
        <w:rPr>
          <w:lang w:val="fr-FR" w:eastAsia="fr-FR"/>
        </w:rPr>
        <w:t>lequel une douleur ou des souffrances aiguës, physiques ou mentales, sont infligées</w:t>
      </w:r>
      <w:r w:rsidR="00607CA3">
        <w:rPr>
          <w:lang w:val="fr-FR" w:eastAsia="fr-FR"/>
        </w:rPr>
        <w:t> ;</w:t>
      </w:r>
      <w:r>
        <w:rPr>
          <w:lang w:val="fr-FR" w:eastAsia="fr-FR"/>
        </w:rPr>
        <w:t xml:space="preserve"> b) la</w:t>
      </w:r>
      <w:r w:rsidRPr="00DE2A76">
        <w:rPr>
          <w:rFonts w:eastAsia="Calibri"/>
          <w:noProof/>
          <w:lang w:val="fr-FR"/>
        </w:rPr>
        <w:t xml:space="preserve"> </w:t>
      </w:r>
      <w:r>
        <w:rPr>
          <w:lang w:val="fr-FR" w:eastAsia="fr-FR"/>
        </w:rPr>
        <w:t>soumission à des peines ou traitements cruels, inhumains ou dégradants</w:t>
      </w:r>
      <w:r w:rsidR="00607CA3">
        <w:rPr>
          <w:lang w:val="fr-FR" w:eastAsia="fr-FR"/>
        </w:rPr>
        <w:t> ;</w:t>
      </w:r>
      <w:r>
        <w:rPr>
          <w:lang w:val="fr-FR" w:eastAsia="fr-FR"/>
        </w:rPr>
        <w:t xml:space="preserve"> c) tout acte tendant</w:t>
      </w:r>
      <w:r w:rsidRPr="00DE2A76">
        <w:rPr>
          <w:rFonts w:eastAsia="Calibri"/>
          <w:noProof/>
          <w:lang w:val="fr-FR"/>
        </w:rPr>
        <w:t xml:space="preserve"> </w:t>
      </w:r>
      <w:r>
        <w:rPr>
          <w:lang w:val="fr-FR" w:eastAsia="fr-FR"/>
        </w:rPr>
        <w:t>à anéantir la personnalité ou diminuer la capacité physique ou mentale sans pour autant</w:t>
      </w:r>
      <w:r w:rsidRPr="00DE2A76">
        <w:rPr>
          <w:rFonts w:eastAsia="Calibri"/>
          <w:noProof/>
          <w:lang w:val="fr-FR"/>
        </w:rPr>
        <w:t xml:space="preserve"> </w:t>
      </w:r>
      <w:r>
        <w:rPr>
          <w:lang w:val="fr-FR" w:eastAsia="fr-FR"/>
        </w:rPr>
        <w:t>provoquer de douleurs ou d</w:t>
      </w:r>
      <w:r w:rsidR="00607CA3">
        <w:rPr>
          <w:lang w:val="fr-FR" w:eastAsia="fr-FR"/>
        </w:rPr>
        <w:t>’</w:t>
      </w:r>
      <w:r>
        <w:rPr>
          <w:lang w:val="fr-FR" w:eastAsia="fr-FR"/>
        </w:rPr>
        <w:t>angoisse d</w:t>
      </w:r>
      <w:r w:rsidR="00607CA3">
        <w:rPr>
          <w:lang w:val="fr-FR" w:eastAsia="fr-FR"/>
        </w:rPr>
        <w:t>’</w:t>
      </w:r>
      <w:r>
        <w:rPr>
          <w:lang w:val="fr-FR" w:eastAsia="fr-FR"/>
        </w:rPr>
        <w:t>ordre physique, ou tout acte prévu à l</w:t>
      </w:r>
      <w:r w:rsidR="00607CA3">
        <w:rPr>
          <w:lang w:val="fr-FR" w:eastAsia="fr-FR"/>
        </w:rPr>
        <w:t>’</w:t>
      </w:r>
      <w:r>
        <w:rPr>
          <w:lang w:val="fr-FR" w:eastAsia="fr-FR"/>
        </w:rPr>
        <w:t>article</w:t>
      </w:r>
      <w:r w:rsidR="00691AD9">
        <w:rPr>
          <w:lang w:val="fr-FR" w:eastAsia="fr-FR"/>
        </w:rPr>
        <w:t> </w:t>
      </w:r>
      <w:r>
        <w:rPr>
          <w:lang w:val="fr-FR" w:eastAsia="fr-FR"/>
        </w:rPr>
        <w:t>291 du</w:t>
      </w:r>
      <w:r w:rsidRPr="00DE2A76">
        <w:rPr>
          <w:rFonts w:eastAsia="Calibri"/>
          <w:noProof/>
          <w:lang w:val="fr-FR"/>
        </w:rPr>
        <w:t xml:space="preserve"> </w:t>
      </w:r>
      <w:r>
        <w:rPr>
          <w:lang w:val="fr-FR" w:eastAsia="fr-FR"/>
        </w:rPr>
        <w:t>Code pénal accompli aux fins d</w:t>
      </w:r>
      <w:r w:rsidR="00607CA3">
        <w:rPr>
          <w:lang w:val="fr-FR" w:eastAsia="fr-FR"/>
        </w:rPr>
        <w:t>’</w:t>
      </w:r>
      <w:r>
        <w:rPr>
          <w:lang w:val="fr-FR" w:eastAsia="fr-FR"/>
        </w:rPr>
        <w:t>enquête, de sanction ou d</w:t>
      </w:r>
      <w:r w:rsidR="00607CA3">
        <w:rPr>
          <w:lang w:val="fr-FR" w:eastAsia="fr-FR"/>
        </w:rPr>
        <w:t>’</w:t>
      </w:r>
      <w:r>
        <w:rPr>
          <w:lang w:val="fr-FR" w:eastAsia="fr-FR"/>
        </w:rPr>
        <w:t>intimidation.</w:t>
      </w:r>
      <w:r w:rsidR="00607CA3">
        <w:rPr>
          <w:lang w:val="fr-FR" w:eastAsia="fr-FR"/>
        </w:rPr>
        <w:t> </w:t>
      </w:r>
      <w:r>
        <w:rPr>
          <w:lang w:val="fr-FR" w:eastAsia="fr-FR"/>
        </w:rPr>
        <w:t>»</w:t>
      </w:r>
      <w:r w:rsidR="00607CA3">
        <w:rPr>
          <w:lang w:val="fr-FR" w:eastAsia="fr-FR"/>
        </w:rPr>
        <w:t>.</w:t>
      </w:r>
    </w:p>
    <w:p w:rsidR="00596826" w:rsidRPr="00DE2A76" w:rsidRDefault="00596826" w:rsidP="00596826">
      <w:pPr>
        <w:pStyle w:val="SingleTxtG"/>
        <w:rPr>
          <w:rFonts w:eastAsia="Calibri"/>
          <w:noProof/>
          <w:lang w:val="fr-FR"/>
        </w:rPr>
      </w:pPr>
      <w:r w:rsidRPr="00DE2A76">
        <w:rPr>
          <w:noProof/>
          <w:lang w:val="fr-FR"/>
        </w:rPr>
        <w:t>30.</w:t>
      </w:r>
      <w:r w:rsidRPr="00DE2A76">
        <w:rPr>
          <w:noProof/>
          <w:lang w:val="fr-FR"/>
        </w:rPr>
        <w:tab/>
      </w:r>
      <w:r>
        <w:rPr>
          <w:noProof/>
          <w:lang w:val="fr-FR"/>
        </w:rPr>
        <w:t>En outre, en prévision d</w:t>
      </w:r>
      <w:r w:rsidR="00607CA3">
        <w:rPr>
          <w:noProof/>
          <w:lang w:val="fr-FR"/>
        </w:rPr>
        <w:t>’</w:t>
      </w:r>
      <w:r>
        <w:rPr>
          <w:noProof/>
          <w:lang w:val="fr-FR"/>
        </w:rPr>
        <w:t>une loi future</w:t>
      </w:r>
      <w:r w:rsidRPr="00DE2A76">
        <w:rPr>
          <w:noProof/>
          <w:lang w:val="fr-FR"/>
        </w:rPr>
        <w:t xml:space="preserve">, </w:t>
      </w:r>
      <w:r>
        <w:rPr>
          <w:noProof/>
          <w:lang w:val="fr-FR"/>
        </w:rPr>
        <w:t>il faudra garder présentes à l</w:t>
      </w:r>
      <w:r w:rsidR="00607CA3">
        <w:rPr>
          <w:noProof/>
          <w:lang w:val="fr-FR"/>
        </w:rPr>
        <w:t>’</w:t>
      </w:r>
      <w:r>
        <w:rPr>
          <w:noProof/>
          <w:lang w:val="fr-FR"/>
        </w:rPr>
        <w:t>esprit les définitions de la torture</w:t>
      </w:r>
      <w:r w:rsidRPr="00DE2A76">
        <w:rPr>
          <w:noProof/>
          <w:lang w:val="fr-FR"/>
        </w:rPr>
        <w:t xml:space="preserve"> </w:t>
      </w:r>
      <w:r>
        <w:rPr>
          <w:noProof/>
          <w:lang w:val="fr-FR"/>
        </w:rPr>
        <w:t>figurant dans les instruments ratifiés par l</w:t>
      </w:r>
      <w:r w:rsidR="00607CA3">
        <w:rPr>
          <w:noProof/>
          <w:lang w:val="fr-FR"/>
        </w:rPr>
        <w:t>’</w:t>
      </w:r>
      <w:r>
        <w:rPr>
          <w:noProof/>
          <w:lang w:val="fr-FR"/>
        </w:rPr>
        <w:t xml:space="preserve">Uruguay, comme la </w:t>
      </w:r>
      <w:r>
        <w:rPr>
          <w:lang w:val="fr-FR" w:eastAsia="fr-FR"/>
        </w:rPr>
        <w:t>Convention interaméricaine pour la prévention et la répression de la torture</w:t>
      </w:r>
      <w:r w:rsidRPr="00DE2A76">
        <w:rPr>
          <w:noProof/>
          <w:lang w:val="fr-FR"/>
        </w:rPr>
        <w:t xml:space="preserve"> </w:t>
      </w:r>
      <w:r>
        <w:rPr>
          <w:noProof/>
          <w:lang w:val="fr-FR"/>
        </w:rPr>
        <w:t xml:space="preserve">du </w:t>
      </w:r>
      <w:r w:rsidRPr="00DE2A76">
        <w:rPr>
          <w:noProof/>
          <w:lang w:val="fr-FR"/>
        </w:rPr>
        <w:t>6</w:t>
      </w:r>
      <w:r w:rsidR="00607CA3">
        <w:rPr>
          <w:noProof/>
          <w:lang w:val="fr-FR"/>
        </w:rPr>
        <w:t> </w:t>
      </w:r>
      <w:r w:rsidRPr="00DE2A76">
        <w:rPr>
          <w:noProof/>
          <w:lang w:val="fr-FR"/>
        </w:rPr>
        <w:t>d</w:t>
      </w:r>
      <w:r>
        <w:rPr>
          <w:noProof/>
          <w:lang w:val="fr-FR"/>
        </w:rPr>
        <w:t>é</w:t>
      </w:r>
      <w:r w:rsidRPr="00DE2A76">
        <w:rPr>
          <w:noProof/>
          <w:lang w:val="fr-FR"/>
        </w:rPr>
        <w:t>cembre 1985 (</w:t>
      </w:r>
      <w:r>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DE2A76">
        <w:rPr>
          <w:noProof/>
          <w:lang w:val="fr-FR"/>
        </w:rPr>
        <w:t>16294</w:t>
      </w:r>
      <w:r>
        <w:rPr>
          <w:noProof/>
          <w:lang w:val="fr-FR"/>
        </w:rPr>
        <w:t xml:space="preserve"> du </w:t>
      </w:r>
      <w:r w:rsidRPr="00DE2A76">
        <w:rPr>
          <w:noProof/>
          <w:lang w:val="fr-FR"/>
        </w:rPr>
        <w:t>11</w:t>
      </w:r>
      <w:r w:rsidR="00607CA3">
        <w:rPr>
          <w:noProof/>
          <w:lang w:val="fr-FR"/>
        </w:rPr>
        <w:t> </w:t>
      </w:r>
      <w:r>
        <w:rPr>
          <w:noProof/>
          <w:lang w:val="fr-FR"/>
        </w:rPr>
        <w:t xml:space="preserve">août </w:t>
      </w:r>
      <w:r w:rsidRPr="00DE2A76">
        <w:rPr>
          <w:noProof/>
          <w:lang w:val="fr-FR"/>
        </w:rPr>
        <w:t xml:space="preserve">1992), </w:t>
      </w:r>
      <w:r>
        <w:rPr>
          <w:noProof/>
          <w:lang w:val="fr-FR"/>
        </w:rPr>
        <w:t>et celle qu</w:t>
      </w:r>
      <w:r w:rsidR="00607CA3">
        <w:rPr>
          <w:noProof/>
          <w:lang w:val="fr-FR"/>
        </w:rPr>
        <w:t>’</w:t>
      </w:r>
      <w:r>
        <w:rPr>
          <w:noProof/>
          <w:lang w:val="fr-FR"/>
        </w:rPr>
        <w:t>en donne le Statut de Rome de 1998 lui</w:t>
      </w:r>
      <w:r w:rsidR="00332CC9">
        <w:rPr>
          <w:noProof/>
          <w:lang w:val="fr-FR"/>
        </w:rPr>
        <w:noBreakHyphen/>
      </w:r>
      <w:r>
        <w:rPr>
          <w:noProof/>
          <w:lang w:val="fr-FR"/>
        </w:rPr>
        <w:t>même</w:t>
      </w:r>
      <w:r w:rsidRPr="00DE2A76">
        <w:rPr>
          <w:noProof/>
          <w:lang w:val="fr-FR"/>
        </w:rPr>
        <w:t xml:space="preserve"> (</w:t>
      </w:r>
      <w:r>
        <w:rPr>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DE2A76">
        <w:rPr>
          <w:noProof/>
          <w:lang w:val="fr-FR"/>
        </w:rPr>
        <w:t>17510</w:t>
      </w:r>
      <w:r>
        <w:rPr>
          <w:noProof/>
          <w:lang w:val="fr-FR"/>
        </w:rPr>
        <w:t xml:space="preserve"> du </w:t>
      </w:r>
      <w:r w:rsidRPr="00DE2A76">
        <w:rPr>
          <w:noProof/>
          <w:lang w:val="fr-FR"/>
        </w:rPr>
        <w:t>27</w:t>
      </w:r>
      <w:r w:rsidR="00607CA3">
        <w:rPr>
          <w:noProof/>
          <w:lang w:val="fr-FR"/>
        </w:rPr>
        <w:t> </w:t>
      </w:r>
      <w:r>
        <w:rPr>
          <w:noProof/>
          <w:lang w:val="fr-FR"/>
        </w:rPr>
        <w:t xml:space="preserve">juin </w:t>
      </w:r>
      <w:r w:rsidRPr="00DE2A76">
        <w:rPr>
          <w:noProof/>
          <w:lang w:val="fr-FR"/>
        </w:rPr>
        <w:t>2002)</w:t>
      </w:r>
      <w:r>
        <w:rPr>
          <w:noProof/>
          <w:lang w:val="fr-FR"/>
        </w:rPr>
        <w:t>, en tenant compte également du paragraphe 2 de l</w:t>
      </w:r>
      <w:r w:rsidR="00607CA3">
        <w:rPr>
          <w:noProof/>
          <w:lang w:val="fr-FR"/>
        </w:rPr>
        <w:t>’</w:t>
      </w:r>
      <w:r>
        <w:rPr>
          <w:noProof/>
          <w:lang w:val="fr-FR"/>
        </w:rPr>
        <w:t xml:space="preserve">article premier </w:t>
      </w:r>
      <w:r w:rsidRPr="00DE2A76">
        <w:rPr>
          <w:noProof/>
          <w:lang w:val="fr-FR"/>
        </w:rPr>
        <w:t>de la</w:t>
      </w:r>
      <w:r>
        <w:rPr>
          <w:noProof/>
          <w:lang w:val="fr-FR"/>
        </w:rPr>
        <w:t xml:space="preserve"> Convention contre</w:t>
      </w:r>
      <w:r w:rsidRPr="00DE2A76">
        <w:rPr>
          <w:noProof/>
          <w:lang w:val="fr-FR"/>
        </w:rPr>
        <w:t xml:space="preserve"> la</w:t>
      </w:r>
      <w:r>
        <w:rPr>
          <w:noProof/>
          <w:lang w:val="fr-FR"/>
        </w:rPr>
        <w:t xml:space="preserve"> torture</w:t>
      </w:r>
      <w:r w:rsidRPr="00DE2A76">
        <w:rPr>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lastRenderedPageBreak/>
        <w:t>31.</w:t>
      </w:r>
      <w:r w:rsidRPr="00DE2A76">
        <w:rPr>
          <w:rFonts w:eastAsia="Calibri"/>
          <w:noProof/>
          <w:lang w:val="fr-FR"/>
        </w:rPr>
        <w:tab/>
      </w:r>
      <w:r w:rsidRPr="00411326">
        <w:t xml:space="preserve">Une </w:t>
      </w:r>
      <w:r w:rsidRPr="005641EE">
        <w:rPr>
          <w:noProof/>
          <w:lang w:val="fr-FR"/>
        </w:rPr>
        <w:t>partie de la jurisprudence estime</w:t>
      </w:r>
      <w:r w:rsidRPr="00411326">
        <w:t xml:space="preserve"> </w:t>
      </w:r>
      <w:r w:rsidRPr="005641EE">
        <w:rPr>
          <w:noProof/>
          <w:lang w:val="fr-FR"/>
        </w:rPr>
        <w:t>que l</w:t>
      </w:r>
      <w:r w:rsidR="00607CA3">
        <w:rPr>
          <w:noProof/>
          <w:lang w:val="fr-FR"/>
        </w:rPr>
        <w:t>’</w:t>
      </w:r>
      <w:r w:rsidRPr="005641EE">
        <w:rPr>
          <w:noProof/>
          <w:lang w:val="fr-FR"/>
        </w:rPr>
        <w:t xml:space="preserve">infraction </w:t>
      </w:r>
      <w:r>
        <w:rPr>
          <w:noProof/>
          <w:lang w:val="fr-FR"/>
        </w:rPr>
        <w:t xml:space="preserve">de torture </w:t>
      </w:r>
      <w:r w:rsidRPr="005641EE">
        <w:rPr>
          <w:rFonts w:eastAsia="Calibri"/>
          <w:noProof/>
          <w:lang w:val="fr-FR"/>
        </w:rPr>
        <w:t>(art</w:t>
      </w:r>
      <w:r w:rsidR="00691AD9">
        <w:rPr>
          <w:rFonts w:eastAsia="Calibri"/>
          <w:noProof/>
          <w:lang w:val="fr-FR"/>
        </w:rPr>
        <w:t>.</w:t>
      </w:r>
      <w:r w:rsidR="00607CA3">
        <w:rPr>
          <w:rFonts w:eastAsia="Calibri"/>
          <w:noProof/>
          <w:lang w:val="fr-FR"/>
        </w:rPr>
        <w:t> </w:t>
      </w:r>
      <w:r w:rsidRPr="005641EE">
        <w:rPr>
          <w:rFonts w:eastAsia="Calibri"/>
          <w:noProof/>
          <w:lang w:val="fr-FR"/>
        </w:rPr>
        <w:t>22), consa</w:t>
      </w:r>
      <w:r>
        <w:rPr>
          <w:rFonts w:eastAsia="Calibri"/>
          <w:noProof/>
          <w:lang w:val="fr-FR"/>
        </w:rPr>
        <w:t xml:space="preserve">crée par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sidRPr="005641EE">
        <w:rPr>
          <w:rFonts w:eastAsia="Calibri"/>
          <w:noProof/>
          <w:lang w:val="fr-FR"/>
        </w:rPr>
        <w:t xml:space="preserve">18026, </w:t>
      </w:r>
      <w:r>
        <w:rPr>
          <w:rFonts w:eastAsia="Calibri"/>
          <w:noProof/>
          <w:lang w:val="fr-FR"/>
        </w:rPr>
        <w:t>ne s</w:t>
      </w:r>
      <w:r w:rsidR="00607CA3">
        <w:rPr>
          <w:rFonts w:eastAsia="Calibri"/>
          <w:noProof/>
          <w:lang w:val="fr-FR"/>
        </w:rPr>
        <w:t>’</w:t>
      </w:r>
      <w:r>
        <w:rPr>
          <w:rFonts w:eastAsia="Calibri"/>
          <w:noProof/>
          <w:lang w:val="fr-FR"/>
        </w:rPr>
        <w:t xml:space="preserve">applique pas </w:t>
      </w:r>
      <w:r w:rsidRPr="005641EE">
        <w:rPr>
          <w:rFonts w:eastAsia="Calibri"/>
          <w:noProof/>
          <w:lang w:val="fr-FR"/>
        </w:rPr>
        <w:t>a</w:t>
      </w:r>
      <w:r>
        <w:rPr>
          <w:rFonts w:eastAsia="Calibri"/>
          <w:noProof/>
          <w:lang w:val="fr-FR"/>
        </w:rPr>
        <w:t xml:space="preserve">ux </w:t>
      </w:r>
      <w:r w:rsidRPr="005641EE">
        <w:rPr>
          <w:rFonts w:eastAsia="Calibri"/>
          <w:noProof/>
          <w:lang w:val="fr-FR"/>
        </w:rPr>
        <w:t>agents de</w:t>
      </w:r>
      <w:r>
        <w:rPr>
          <w:rFonts w:eastAsia="Calibri"/>
          <w:noProof/>
          <w:lang w:val="fr-FR"/>
        </w:rPr>
        <w:t xml:space="preserve"> </w:t>
      </w:r>
      <w:r w:rsidRPr="005641EE">
        <w:rPr>
          <w:rFonts w:eastAsia="Calibri"/>
          <w:noProof/>
          <w:lang w:val="fr-FR"/>
        </w:rPr>
        <w:t>l</w:t>
      </w:r>
      <w:r w:rsidR="00607CA3">
        <w:rPr>
          <w:rFonts w:eastAsia="Calibri"/>
          <w:noProof/>
          <w:lang w:val="fr-FR"/>
        </w:rPr>
        <w:t>’</w:t>
      </w:r>
      <w:r>
        <w:rPr>
          <w:rFonts w:eastAsia="Calibri"/>
          <w:noProof/>
          <w:lang w:val="fr-FR"/>
        </w:rPr>
        <w:t xml:space="preserve">État qui </w:t>
      </w:r>
      <w:r>
        <w:rPr>
          <w:lang w:val="fr-FR" w:eastAsia="fr-FR"/>
        </w:rPr>
        <w:t>imposent une</w:t>
      </w:r>
      <w:r w:rsidRPr="00DE2A76">
        <w:rPr>
          <w:rFonts w:eastAsia="Calibri"/>
          <w:noProof/>
          <w:lang w:val="fr-FR"/>
        </w:rPr>
        <w:t xml:space="preserve"> </w:t>
      </w:r>
      <w:r>
        <w:rPr>
          <w:lang w:val="fr-FR" w:eastAsia="fr-FR"/>
        </w:rPr>
        <w:t>forme quelconque de torture ou de mauvais traitements à une personne privée de liberté, car l</w:t>
      </w:r>
      <w:r w:rsidR="00607CA3">
        <w:rPr>
          <w:lang w:val="fr-FR" w:eastAsia="fr-FR"/>
        </w:rPr>
        <w:t>’</w:t>
      </w:r>
      <w:r>
        <w:rPr>
          <w:lang w:val="fr-FR" w:eastAsia="fr-FR"/>
        </w:rPr>
        <w:t xml:space="preserve">article </w:t>
      </w:r>
      <w:r w:rsidRPr="00DE2A76">
        <w:rPr>
          <w:rFonts w:eastAsia="Calibri"/>
          <w:noProof/>
          <w:lang w:val="fr-FR"/>
        </w:rPr>
        <w:t>19 de la</w:t>
      </w:r>
      <w:r>
        <w:rPr>
          <w:rFonts w:eastAsia="Calibri"/>
          <w:noProof/>
          <w:lang w:val="fr-FR"/>
        </w:rPr>
        <w:t>dite loi dispose</w:t>
      </w:r>
      <w:r w:rsidRPr="00DE2A76">
        <w:rPr>
          <w:rFonts w:eastAsia="Calibri"/>
          <w:noProof/>
          <w:lang w:val="fr-FR"/>
        </w:rPr>
        <w:t xml:space="preserve">, </w:t>
      </w:r>
      <w:r>
        <w:rPr>
          <w:rFonts w:eastAsia="Calibri"/>
          <w:noProof/>
          <w:lang w:val="fr-FR"/>
        </w:rPr>
        <w:t>sous le titre d</w:t>
      </w:r>
      <w:r w:rsidR="00607CA3">
        <w:rPr>
          <w:rFonts w:eastAsia="Calibri"/>
          <w:noProof/>
          <w:lang w:val="fr-FR"/>
        </w:rPr>
        <w:t>’</w:t>
      </w:r>
      <w:r>
        <w:rPr>
          <w:rFonts w:eastAsia="Calibri"/>
          <w:noProof/>
          <w:lang w:val="fr-FR"/>
        </w:rPr>
        <w:t>extension des principes généraux</w:t>
      </w:r>
      <w:r w:rsidRPr="00DE2A76">
        <w:rPr>
          <w:rFonts w:eastAsia="Calibri"/>
          <w:noProof/>
          <w:lang w:val="fr-FR"/>
        </w:rPr>
        <w:t>, que s</w:t>
      </w:r>
      <w:r>
        <w:rPr>
          <w:rFonts w:eastAsia="Calibri"/>
          <w:noProof/>
          <w:lang w:val="fr-FR"/>
        </w:rPr>
        <w:t>ont considérés comme des crimes contre l</w:t>
      </w:r>
      <w:r w:rsidR="00607CA3">
        <w:rPr>
          <w:rFonts w:eastAsia="Calibri"/>
          <w:noProof/>
          <w:lang w:val="fr-FR"/>
        </w:rPr>
        <w:t>’</w:t>
      </w:r>
      <w:r>
        <w:rPr>
          <w:rFonts w:eastAsia="Calibri"/>
          <w:noProof/>
          <w:lang w:val="fr-FR"/>
        </w:rPr>
        <w:t>humanité les infractions définies au chapitre 2, dont fait partie l</w:t>
      </w:r>
      <w:r w:rsidR="00607CA3">
        <w:rPr>
          <w:rFonts w:eastAsia="Calibri"/>
          <w:noProof/>
          <w:lang w:val="fr-FR"/>
        </w:rPr>
        <w:t>’</w:t>
      </w:r>
      <w:r>
        <w:rPr>
          <w:rFonts w:eastAsia="Calibri"/>
          <w:noProof/>
          <w:lang w:val="fr-FR"/>
        </w:rPr>
        <w:t>article 22 susvisé, et le crime contre l</w:t>
      </w:r>
      <w:r w:rsidR="00607CA3">
        <w:rPr>
          <w:rFonts w:eastAsia="Calibri"/>
          <w:noProof/>
          <w:lang w:val="fr-FR"/>
        </w:rPr>
        <w:t>’</w:t>
      </w:r>
      <w:r>
        <w:rPr>
          <w:rFonts w:eastAsia="Calibri"/>
          <w:noProof/>
          <w:lang w:val="fr-FR"/>
        </w:rPr>
        <w:t>humanité, qui relève de l</w:t>
      </w:r>
      <w:r w:rsidR="00607CA3">
        <w:rPr>
          <w:rFonts w:eastAsia="Calibri"/>
          <w:noProof/>
          <w:lang w:val="fr-FR"/>
        </w:rPr>
        <w:t>’</w:t>
      </w:r>
      <w:r>
        <w:rPr>
          <w:rFonts w:eastAsia="Calibri"/>
          <w:noProof/>
          <w:lang w:val="fr-FR"/>
        </w:rPr>
        <w:t xml:space="preserve">article 7 du Statut de Rome de la Cour pénale internationale </w:t>
      </w:r>
      <w:r w:rsidRPr="00DE2A76">
        <w:rPr>
          <w:rFonts w:eastAsia="Calibri"/>
          <w:noProof/>
          <w:lang w:val="fr-FR"/>
        </w:rPr>
        <w:t>(a</w:t>
      </w:r>
      <w:r>
        <w:rPr>
          <w:rFonts w:eastAsia="Calibri"/>
          <w:noProof/>
          <w:lang w:val="fr-FR"/>
        </w:rPr>
        <w:t xml:space="preserve">dopté par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sidRPr="00DE2A76">
        <w:rPr>
          <w:rFonts w:eastAsia="Calibri"/>
          <w:noProof/>
          <w:lang w:val="fr-FR"/>
        </w:rPr>
        <w:t>17510).</w:t>
      </w:r>
    </w:p>
    <w:p w:rsidR="00596826" w:rsidRPr="00DE2A76" w:rsidRDefault="00596826" w:rsidP="00596826">
      <w:pPr>
        <w:pStyle w:val="SingleTxtG"/>
        <w:rPr>
          <w:noProof/>
          <w:lang w:val="fr-FR"/>
        </w:rPr>
      </w:pPr>
      <w:r w:rsidRPr="00DE2A76">
        <w:rPr>
          <w:noProof/>
          <w:lang w:val="fr-FR"/>
        </w:rPr>
        <w:t>32.</w:t>
      </w:r>
      <w:r w:rsidRPr="00DE2A76">
        <w:rPr>
          <w:noProof/>
          <w:lang w:val="fr-FR"/>
        </w:rPr>
        <w:tab/>
      </w:r>
      <w:r>
        <w:rPr>
          <w:noProof/>
          <w:lang w:val="fr-FR"/>
        </w:rPr>
        <w:t>Cependant, il est opportun de souligner que même sans registre statistique des procédures engagées pour infraction de torture, on peut dire</w:t>
      </w:r>
      <w:r w:rsidRPr="00DE2A76">
        <w:rPr>
          <w:noProof/>
          <w:lang w:val="fr-FR"/>
        </w:rPr>
        <w:t xml:space="preserve">, </w:t>
      </w:r>
      <w:r>
        <w:rPr>
          <w:noProof/>
          <w:lang w:val="fr-FR"/>
        </w:rPr>
        <w:t>avec une quasi-certitude</w:t>
      </w:r>
      <w:r w:rsidRPr="00DE2A76">
        <w:rPr>
          <w:noProof/>
          <w:lang w:val="fr-FR"/>
        </w:rPr>
        <w:t xml:space="preserve">, que </w:t>
      </w:r>
      <w:r>
        <w:rPr>
          <w:noProof/>
          <w:lang w:val="fr-FR"/>
        </w:rPr>
        <w:t>cette infraction n</w:t>
      </w:r>
      <w:r w:rsidR="00607CA3">
        <w:rPr>
          <w:noProof/>
          <w:lang w:val="fr-FR"/>
        </w:rPr>
        <w:t>’</w:t>
      </w:r>
      <w:r>
        <w:rPr>
          <w:noProof/>
          <w:lang w:val="fr-FR"/>
        </w:rPr>
        <w:t>a donné lieu à aucun jugement de condamnation depuis que la torture a été érigée en infraction pénale</w:t>
      </w:r>
      <w:r w:rsidRPr="00DE2A76">
        <w:rPr>
          <w:noProof/>
          <w:lang w:val="fr-FR"/>
        </w:rPr>
        <w:t xml:space="preserve">. </w:t>
      </w:r>
      <w:r>
        <w:rPr>
          <w:noProof/>
          <w:lang w:val="fr-FR"/>
        </w:rPr>
        <w:t>Cela ne signifie toutefois pas que demeurent impunis des comportements qui, sans correspondre exactement à cette infraction, impliquent aussi une agression commise sur la personne d</w:t>
      </w:r>
      <w:r w:rsidR="00607CA3">
        <w:rPr>
          <w:noProof/>
          <w:lang w:val="fr-FR"/>
        </w:rPr>
        <w:t>’</w:t>
      </w:r>
      <w:r>
        <w:rPr>
          <w:noProof/>
          <w:lang w:val="fr-FR"/>
        </w:rPr>
        <w:t>autrui.</w:t>
      </w:r>
      <w:r w:rsidRPr="00DE2A76">
        <w:rPr>
          <w:noProof/>
          <w:lang w:val="fr-FR"/>
        </w:rPr>
        <w:t xml:space="preserve"> A</w:t>
      </w:r>
      <w:r>
        <w:rPr>
          <w:noProof/>
          <w:lang w:val="fr-FR"/>
        </w:rPr>
        <w:t xml:space="preserve">insi, des comportements analogues peuvent </w:t>
      </w:r>
      <w:r w:rsidRPr="00DE2A76">
        <w:rPr>
          <w:noProof/>
          <w:lang w:val="fr-FR"/>
        </w:rPr>
        <w:t xml:space="preserve"> </w:t>
      </w:r>
      <w:r>
        <w:rPr>
          <w:noProof/>
          <w:lang w:val="fr-FR"/>
        </w:rPr>
        <w:t>être assimilés à l</w:t>
      </w:r>
      <w:r w:rsidR="00607CA3">
        <w:rPr>
          <w:noProof/>
          <w:lang w:val="fr-FR"/>
        </w:rPr>
        <w:t>’</w:t>
      </w:r>
      <w:r>
        <w:rPr>
          <w:noProof/>
          <w:lang w:val="fr-FR"/>
        </w:rPr>
        <w:t>infraction de dommages corporels (graves ou très graves) ou d</w:t>
      </w:r>
      <w:r w:rsidR="00607CA3">
        <w:rPr>
          <w:noProof/>
          <w:lang w:val="fr-FR"/>
        </w:rPr>
        <w:t>’</w:t>
      </w:r>
      <w:r>
        <w:rPr>
          <w:noProof/>
          <w:lang w:val="fr-FR"/>
        </w:rPr>
        <w:t>actes de violence privée</w:t>
      </w:r>
      <w:r w:rsidRPr="00DE2A76">
        <w:rPr>
          <w:noProof/>
          <w:lang w:val="fr-FR"/>
        </w:rPr>
        <w:t xml:space="preserve">. </w:t>
      </w:r>
      <w:r>
        <w:rPr>
          <w:rFonts w:eastAsia="Calibri"/>
          <w:noProof/>
          <w:lang w:val="fr-FR"/>
        </w:rPr>
        <w:t>L</w:t>
      </w:r>
      <w:r w:rsidR="00607CA3">
        <w:rPr>
          <w:rFonts w:eastAsia="Calibri"/>
          <w:noProof/>
          <w:lang w:val="fr-FR"/>
        </w:rPr>
        <w:t>’</w:t>
      </w:r>
      <w:r>
        <w:rPr>
          <w:rFonts w:eastAsia="Calibri"/>
          <w:noProof/>
          <w:lang w:val="fr-FR"/>
        </w:rPr>
        <w:t>Institution nationale des droits de l</w:t>
      </w:r>
      <w:r w:rsidR="00607CA3">
        <w:rPr>
          <w:rFonts w:eastAsia="Calibri"/>
          <w:noProof/>
          <w:lang w:val="fr-FR"/>
        </w:rPr>
        <w:t>’</w:t>
      </w:r>
      <w:r>
        <w:rPr>
          <w:rFonts w:eastAsia="Calibri"/>
          <w:noProof/>
          <w:lang w:val="fr-FR"/>
        </w:rPr>
        <w:t>homme a recommandé</w:t>
      </w:r>
      <w:r w:rsidRPr="00691AD9">
        <w:rPr>
          <w:rStyle w:val="Appelnotedebasdep"/>
        </w:rPr>
        <w:footnoteReference w:id="9"/>
      </w:r>
      <w:r w:rsidRPr="00DE2A76">
        <w:rPr>
          <w:rFonts w:eastAsia="Calibri"/>
          <w:noProof/>
          <w:lang w:val="fr-FR"/>
        </w:rPr>
        <w:t xml:space="preserve"> </w:t>
      </w:r>
      <w:r>
        <w:rPr>
          <w:rFonts w:eastAsia="Calibri"/>
          <w:noProof/>
          <w:lang w:val="fr-FR"/>
        </w:rPr>
        <w:t>d</w:t>
      </w:r>
      <w:r w:rsidR="00607CA3">
        <w:rPr>
          <w:rFonts w:eastAsia="Calibri"/>
          <w:noProof/>
          <w:lang w:val="fr-FR"/>
        </w:rPr>
        <w:t>’</w:t>
      </w:r>
      <w:r>
        <w:rPr>
          <w:rFonts w:eastAsia="Calibri"/>
          <w:noProof/>
          <w:lang w:val="fr-FR"/>
        </w:rPr>
        <w:t>insérer cette infraction, compte tenu du travail d</w:t>
      </w:r>
      <w:r w:rsidR="00607CA3">
        <w:rPr>
          <w:rFonts w:eastAsia="Calibri"/>
          <w:noProof/>
          <w:lang w:val="fr-FR"/>
        </w:rPr>
        <w:t>’</w:t>
      </w:r>
      <w:r>
        <w:rPr>
          <w:rFonts w:eastAsia="Calibri"/>
          <w:noProof/>
          <w:lang w:val="fr-FR"/>
        </w:rPr>
        <w:t>harmonisation proposé, dans le projet de réforme du Code pénal</w:t>
      </w:r>
      <w:r w:rsidRPr="00DE2A76">
        <w:rPr>
          <w:rFonts w:eastAsia="Calibri"/>
          <w:noProof/>
          <w:lang w:val="fr-FR"/>
        </w:rPr>
        <w:t xml:space="preserve"> </w:t>
      </w:r>
      <w:r>
        <w:rPr>
          <w:rFonts w:eastAsia="Calibri"/>
          <w:noProof/>
          <w:lang w:val="fr-FR"/>
        </w:rPr>
        <w:t>en cours d</w:t>
      </w:r>
      <w:r w:rsidR="00607CA3">
        <w:rPr>
          <w:rFonts w:eastAsia="Calibri"/>
          <w:noProof/>
          <w:lang w:val="fr-FR"/>
        </w:rPr>
        <w:t>’</w:t>
      </w:r>
      <w:r>
        <w:rPr>
          <w:rFonts w:eastAsia="Calibri"/>
          <w:noProof/>
          <w:lang w:val="fr-FR"/>
        </w:rPr>
        <w:t xml:space="preserve">examen à la </w:t>
      </w:r>
      <w:r w:rsidRPr="00DE2A76">
        <w:rPr>
          <w:rFonts w:eastAsia="Calibri"/>
          <w:noProof/>
          <w:lang w:val="fr-FR"/>
        </w:rPr>
        <w:t>C</w:t>
      </w:r>
      <w:r>
        <w:rPr>
          <w:rFonts w:eastAsia="Calibri"/>
          <w:noProof/>
          <w:lang w:val="fr-FR"/>
        </w:rPr>
        <w:t>hambre des r</w:t>
      </w:r>
      <w:r w:rsidRPr="00DE2A76">
        <w:rPr>
          <w:rFonts w:eastAsia="Calibri"/>
          <w:noProof/>
          <w:lang w:val="fr-FR"/>
        </w:rPr>
        <w:t>epr</w:t>
      </w:r>
      <w:r>
        <w:rPr>
          <w:rFonts w:eastAsia="Calibri"/>
          <w:noProof/>
          <w:lang w:val="fr-FR"/>
        </w:rPr>
        <w:t>ésentant</w:t>
      </w:r>
      <w:r w:rsidRPr="00DE2A76">
        <w:rPr>
          <w:rFonts w:eastAsia="Calibri"/>
          <w:noProof/>
          <w:lang w:val="fr-FR"/>
        </w:rPr>
        <w:t>s.</w:t>
      </w:r>
    </w:p>
    <w:p w:rsidR="00596826" w:rsidRPr="00DE2A76" w:rsidRDefault="00596826" w:rsidP="00607CA3">
      <w:pPr>
        <w:pStyle w:val="H1G"/>
        <w:rPr>
          <w:noProof/>
          <w:lang w:val="fr-FR"/>
        </w:rPr>
      </w:pPr>
      <w:r w:rsidRPr="00DE2A76">
        <w:rPr>
          <w:noProof/>
          <w:lang w:val="fr-FR"/>
        </w:rPr>
        <w:tab/>
      </w:r>
      <w:r w:rsidRPr="00DE2A76">
        <w:rPr>
          <w:noProof/>
          <w:lang w:val="fr-FR"/>
        </w:rPr>
        <w:tab/>
        <w:t>Art</w:t>
      </w:r>
      <w:r>
        <w:rPr>
          <w:noProof/>
          <w:lang w:val="fr-FR"/>
        </w:rPr>
        <w:t xml:space="preserve">icle </w:t>
      </w:r>
      <w:r w:rsidRPr="00DE2A76">
        <w:rPr>
          <w:noProof/>
          <w:lang w:val="fr-FR"/>
        </w:rPr>
        <w:t xml:space="preserve">2 </w:t>
      </w:r>
    </w:p>
    <w:p w:rsidR="00596826" w:rsidRPr="00DE2A76" w:rsidRDefault="00596826" w:rsidP="00596826">
      <w:pPr>
        <w:pStyle w:val="SingleTxtG"/>
        <w:rPr>
          <w:rFonts w:eastAsia="Calibri"/>
          <w:noProof/>
          <w:lang w:val="fr-FR"/>
        </w:rPr>
      </w:pPr>
      <w:r w:rsidRPr="00DE2A76">
        <w:rPr>
          <w:rFonts w:eastAsia="Calibri"/>
          <w:noProof/>
          <w:lang w:val="fr-FR"/>
        </w:rPr>
        <w:t>33.</w:t>
      </w:r>
      <w:r w:rsidRPr="00DE2A76">
        <w:rPr>
          <w:rFonts w:eastAsia="Calibri"/>
          <w:noProof/>
          <w:lang w:val="fr-FR"/>
        </w:rPr>
        <w:tab/>
      </w:r>
      <w:r>
        <w:rPr>
          <w:rFonts w:eastAsia="Calibri"/>
          <w:noProof/>
          <w:lang w:val="fr-FR"/>
        </w:rPr>
        <w:t>Voir la réponse donnée au paragraphe 15 plus haut</w:t>
      </w:r>
      <w:r w:rsidRPr="00DE2A76">
        <w:rPr>
          <w:rFonts w:eastAsia="Calibri"/>
          <w:noProof/>
          <w:lang w:val="fr-FR"/>
        </w:rPr>
        <w:t xml:space="preserve">. </w:t>
      </w:r>
    </w:p>
    <w:p w:rsidR="00596826" w:rsidRPr="00DE2A76" w:rsidRDefault="00596826" w:rsidP="00596826">
      <w:pPr>
        <w:pStyle w:val="SingleTxtG"/>
        <w:rPr>
          <w:rFonts w:eastAsia="Calibri"/>
          <w:noProof/>
          <w:lang w:val="fr-FR"/>
        </w:rPr>
      </w:pPr>
      <w:r w:rsidRPr="00DE2A76">
        <w:rPr>
          <w:rFonts w:eastAsia="Calibri"/>
          <w:noProof/>
          <w:lang w:val="fr-FR"/>
        </w:rPr>
        <w:t>34.</w:t>
      </w:r>
      <w:r w:rsidRPr="00DE2A76">
        <w:rPr>
          <w:rFonts w:eastAsia="Calibri"/>
          <w:noProof/>
          <w:lang w:val="fr-FR"/>
        </w:rPr>
        <w:tab/>
        <w:t xml:space="preserve">En </w:t>
      </w:r>
      <w:r>
        <w:rPr>
          <w:rFonts w:eastAsia="Calibri"/>
          <w:noProof/>
          <w:lang w:val="fr-FR"/>
        </w:rPr>
        <w:t>ce qui concerne le système de justice pénale des mineurs, le</w:t>
      </w:r>
      <w:r w:rsidRPr="00DE2A76">
        <w:rPr>
          <w:rFonts w:eastAsia="Calibri"/>
          <w:noProof/>
          <w:lang w:val="fr-FR"/>
        </w:rPr>
        <w:t xml:space="preserve">s adolescents </w:t>
      </w:r>
      <w:r>
        <w:rPr>
          <w:rFonts w:eastAsia="Calibri"/>
          <w:noProof/>
          <w:lang w:val="fr-FR"/>
        </w:rPr>
        <w:t xml:space="preserve">admis à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noProof/>
          <w:lang w:val="fr-FR"/>
        </w:rPr>
        <w:t xml:space="preserve"> n</w:t>
      </w:r>
      <w:r w:rsidR="00607CA3">
        <w:rPr>
          <w:noProof/>
          <w:lang w:val="fr-FR"/>
        </w:rPr>
        <w:t>’</w:t>
      </w:r>
      <w:r>
        <w:rPr>
          <w:noProof/>
          <w:lang w:val="fr-FR"/>
        </w:rPr>
        <w:t>y entrent qu</w:t>
      </w:r>
      <w:r w:rsidR="00607CA3">
        <w:rPr>
          <w:noProof/>
          <w:lang w:val="fr-FR"/>
        </w:rPr>
        <w:t>’</w:t>
      </w:r>
      <w:r>
        <w:rPr>
          <w:noProof/>
          <w:lang w:val="fr-FR"/>
        </w:rPr>
        <w:t>en application d</w:t>
      </w:r>
      <w:r w:rsidR="00607CA3">
        <w:rPr>
          <w:noProof/>
          <w:lang w:val="fr-FR"/>
        </w:rPr>
        <w:t>’</w:t>
      </w:r>
      <w:r>
        <w:rPr>
          <w:noProof/>
          <w:lang w:val="fr-FR"/>
        </w:rPr>
        <w:t>une ordonnance judiciaire et sont pris en charge par le Programme d</w:t>
      </w:r>
      <w:r w:rsidR="00607CA3">
        <w:rPr>
          <w:noProof/>
          <w:lang w:val="fr-FR"/>
        </w:rPr>
        <w:t>’</w:t>
      </w:r>
      <w:r>
        <w:rPr>
          <w:noProof/>
          <w:lang w:val="fr-FR"/>
        </w:rPr>
        <w:t>admission, d</w:t>
      </w:r>
      <w:r w:rsidR="00607CA3">
        <w:rPr>
          <w:noProof/>
          <w:lang w:val="fr-FR"/>
        </w:rPr>
        <w:t>’</w:t>
      </w:r>
      <w:r>
        <w:rPr>
          <w:noProof/>
          <w:lang w:val="fr-FR"/>
        </w:rPr>
        <w:t>étude et d</w:t>
      </w:r>
      <w:r w:rsidR="00607CA3">
        <w:rPr>
          <w:noProof/>
          <w:lang w:val="fr-FR"/>
        </w:rPr>
        <w:t>’</w:t>
      </w:r>
      <w:r>
        <w:rPr>
          <w:noProof/>
          <w:lang w:val="fr-FR"/>
        </w:rPr>
        <w:t>orientation, où elles ou ils font l</w:t>
      </w:r>
      <w:r w:rsidR="00607CA3">
        <w:rPr>
          <w:noProof/>
          <w:lang w:val="fr-FR"/>
        </w:rPr>
        <w:t>’</w:t>
      </w:r>
      <w:r>
        <w:rPr>
          <w:noProof/>
          <w:lang w:val="fr-FR"/>
        </w:rPr>
        <w:t>objet d</w:t>
      </w:r>
      <w:r w:rsidR="00607CA3">
        <w:rPr>
          <w:noProof/>
          <w:lang w:val="fr-FR"/>
        </w:rPr>
        <w:t>’</w:t>
      </w:r>
      <w:r>
        <w:rPr>
          <w:noProof/>
          <w:lang w:val="fr-FR"/>
        </w:rPr>
        <w:t>un diagnostic multidisciplinaire</w:t>
      </w:r>
      <w:r w:rsidRPr="00DE2A76">
        <w:rPr>
          <w:rFonts w:eastAsia="Calibri"/>
          <w:noProof/>
          <w:lang w:val="fr-FR"/>
        </w:rPr>
        <w:t xml:space="preserve">. </w:t>
      </w:r>
      <w:r>
        <w:rPr>
          <w:rFonts w:eastAsia="Calibri"/>
          <w:noProof/>
          <w:lang w:val="fr-FR"/>
        </w:rPr>
        <w:t xml:space="preserve">Par ailleurs, on a créé le Conseil de transfert, </w:t>
      </w:r>
      <w:r w:rsidRPr="00DE2A76">
        <w:rPr>
          <w:rFonts w:eastAsia="Calibri"/>
          <w:noProof/>
          <w:lang w:val="fr-FR"/>
        </w:rPr>
        <w:t>qu</w:t>
      </w:r>
      <w:r>
        <w:rPr>
          <w:rFonts w:eastAsia="Calibri"/>
          <w:noProof/>
          <w:lang w:val="fr-FR"/>
        </w:rPr>
        <w:t>i détermine le lieu où sera mise en œuvre la mesure socioéducative conformément au profil de chaque adolescent et au projet de chaque centre</w:t>
      </w:r>
      <w:r w:rsidRPr="00DE2A76">
        <w:rPr>
          <w:rFonts w:eastAsia="Calibri"/>
          <w:noProof/>
          <w:lang w:val="fr-FR"/>
        </w:rPr>
        <w:t xml:space="preserve">. </w:t>
      </w:r>
      <w:r>
        <w:rPr>
          <w:rFonts w:eastAsia="Calibri"/>
          <w:noProof/>
          <w:lang w:val="fr-FR"/>
        </w:rPr>
        <w:t>Chaque adolescent a accès à des informations sur l</w:t>
      </w:r>
      <w:r w:rsidR="00607CA3">
        <w:rPr>
          <w:rFonts w:eastAsia="Calibri"/>
          <w:noProof/>
          <w:lang w:val="fr-FR"/>
        </w:rPr>
        <w:t>’</w:t>
      </w:r>
      <w:r w:rsidRPr="00DE2A76">
        <w:rPr>
          <w:rFonts w:eastAsia="Calibri"/>
          <w:noProof/>
          <w:lang w:val="fr-FR"/>
        </w:rPr>
        <w:t>Institu</w:t>
      </w:r>
      <w:r>
        <w:rPr>
          <w:rFonts w:eastAsia="Calibri"/>
          <w:noProof/>
          <w:lang w:val="fr-FR"/>
        </w:rPr>
        <w:t>t et sur ses droits et obligations, et elle ou il peut prendre contact avec sa famille et ses responsables</w:t>
      </w:r>
      <w:r w:rsidRPr="00DE2A76">
        <w:rPr>
          <w:rFonts w:eastAsia="Calibri"/>
          <w:noProof/>
          <w:lang w:val="fr-FR"/>
        </w:rPr>
        <w:t>. A</w:t>
      </w:r>
      <w:r>
        <w:rPr>
          <w:rFonts w:eastAsia="Calibri"/>
          <w:noProof/>
          <w:lang w:val="fr-FR"/>
        </w:rPr>
        <w:t>ux fins susmentionnées</w:t>
      </w:r>
      <w:r w:rsidRPr="00DE2A76">
        <w:rPr>
          <w:rFonts w:eastAsia="Calibri"/>
          <w:noProof/>
          <w:lang w:val="fr-FR"/>
        </w:rPr>
        <w:t xml:space="preserve">, </w:t>
      </w:r>
      <w:r>
        <w:rPr>
          <w:rFonts w:eastAsia="Calibri"/>
          <w:noProof/>
          <w:lang w:val="fr-FR"/>
        </w:rPr>
        <w:t>on lui remet le Règlement d</w:t>
      </w:r>
      <w:r w:rsidRPr="00DE2A76">
        <w:rPr>
          <w:rFonts w:eastAsia="Calibri"/>
          <w:noProof/>
          <w:lang w:val="fr-FR"/>
        </w:rPr>
        <w:t>isciplina</w:t>
      </w:r>
      <w:r>
        <w:rPr>
          <w:rFonts w:eastAsia="Calibri"/>
          <w:noProof/>
          <w:lang w:val="fr-FR"/>
        </w:rPr>
        <w:t xml:space="preserve">ire et, pour les membres de sa famille, </w:t>
      </w:r>
      <w:r w:rsidRPr="00DE2A76">
        <w:rPr>
          <w:rFonts w:eastAsia="Calibri"/>
          <w:noProof/>
          <w:lang w:val="fr-FR"/>
        </w:rPr>
        <w:t xml:space="preserve">la </w:t>
      </w:r>
      <w:r>
        <w:rPr>
          <w:rFonts w:eastAsia="Calibri"/>
          <w:noProof/>
          <w:lang w:val="fr-FR"/>
        </w:rPr>
        <w:t>carte de visiteur</w:t>
      </w:r>
      <w:r w:rsidRPr="00DE2A76">
        <w:rPr>
          <w:rFonts w:eastAsia="Calibri"/>
          <w:noProof/>
          <w:lang w:val="fr-FR"/>
        </w:rPr>
        <w:t xml:space="preserve">. </w:t>
      </w:r>
      <w:r>
        <w:rPr>
          <w:rFonts w:eastAsia="Calibri"/>
          <w:noProof/>
          <w:lang w:val="fr-FR"/>
        </w:rPr>
        <w:t>À cet égard</w:t>
      </w:r>
      <w:r w:rsidRPr="00DE2A76">
        <w:rPr>
          <w:rFonts w:eastAsia="Calibri"/>
          <w:noProof/>
          <w:lang w:val="fr-FR"/>
        </w:rPr>
        <w:t>, c</w:t>
      </w:r>
      <w:r>
        <w:rPr>
          <w:rFonts w:eastAsia="Calibri"/>
          <w:noProof/>
          <w:lang w:val="fr-FR"/>
        </w:rPr>
        <w:t>haque centre dispose d</w:t>
      </w:r>
      <w:r w:rsidR="00607CA3">
        <w:rPr>
          <w:rFonts w:eastAsia="Calibri"/>
          <w:noProof/>
          <w:lang w:val="fr-FR"/>
        </w:rPr>
        <w:t>’</w:t>
      </w:r>
      <w:r>
        <w:rPr>
          <w:rFonts w:eastAsia="Calibri"/>
          <w:noProof/>
          <w:lang w:val="fr-FR"/>
        </w:rPr>
        <w:t>une équipe technique qui reçoit les plaintes à titre confidentiel, et le département juridique reçoit les plaignants dans les bureaux centraux en plus des procédures d</w:t>
      </w:r>
      <w:r w:rsidR="00607CA3">
        <w:rPr>
          <w:rFonts w:eastAsia="Calibri"/>
          <w:noProof/>
          <w:lang w:val="fr-FR"/>
        </w:rPr>
        <w:t>’</w:t>
      </w:r>
      <w:r>
        <w:rPr>
          <w:rFonts w:eastAsia="Calibri"/>
          <w:noProof/>
          <w:lang w:val="fr-FR"/>
        </w:rPr>
        <w:t>informations d</w:t>
      </w:r>
      <w:r w:rsidR="00607CA3">
        <w:rPr>
          <w:rFonts w:eastAsia="Calibri"/>
          <w:noProof/>
          <w:lang w:val="fr-FR"/>
        </w:rPr>
        <w:t>’</w:t>
      </w:r>
      <w:r>
        <w:rPr>
          <w:rFonts w:eastAsia="Calibri"/>
          <w:noProof/>
          <w:lang w:val="fr-FR"/>
        </w:rPr>
        <w:t>urgence menées dans chaque service</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35.</w:t>
      </w:r>
      <w:r w:rsidRPr="00DE2A76">
        <w:rPr>
          <w:rFonts w:eastAsia="Calibri"/>
          <w:noProof/>
          <w:lang w:val="fr-FR"/>
        </w:rPr>
        <w:tab/>
      </w:r>
      <w:r>
        <w:rPr>
          <w:rFonts w:eastAsia="Calibri"/>
          <w:noProof/>
          <w:lang w:val="fr-FR"/>
        </w:rPr>
        <w:t>Dans s</w:t>
      </w:r>
      <w:r w:rsidRPr="00DE2A76">
        <w:rPr>
          <w:rFonts w:eastAsia="Calibri"/>
          <w:noProof/>
          <w:lang w:val="fr-FR"/>
        </w:rPr>
        <w:t xml:space="preserve">a </w:t>
      </w:r>
      <w:r>
        <w:rPr>
          <w:rFonts w:eastAsia="Calibri"/>
          <w:noProof/>
          <w:lang w:val="fr-FR"/>
        </w:rPr>
        <w:t xml:space="preserve">décision du </w:t>
      </w:r>
      <w:r w:rsidRPr="00DE2A76">
        <w:rPr>
          <w:rFonts w:eastAsia="Calibri"/>
          <w:noProof/>
          <w:lang w:val="fr-FR"/>
        </w:rPr>
        <w:t>22</w:t>
      </w:r>
      <w:r w:rsidR="00607CA3">
        <w:rPr>
          <w:rFonts w:eastAsia="Calibri"/>
          <w:noProof/>
          <w:lang w:val="fr-FR"/>
        </w:rPr>
        <w:t> </w:t>
      </w:r>
      <w:r w:rsidRPr="00DE2A76">
        <w:rPr>
          <w:rFonts w:eastAsia="Calibri"/>
          <w:noProof/>
          <w:lang w:val="fr-FR"/>
        </w:rPr>
        <w:t>d</w:t>
      </w:r>
      <w:r>
        <w:rPr>
          <w:rFonts w:eastAsia="Calibri"/>
          <w:noProof/>
          <w:lang w:val="fr-FR"/>
        </w:rPr>
        <w:t>é</w:t>
      </w:r>
      <w:r w:rsidRPr="00DE2A76">
        <w:rPr>
          <w:rFonts w:eastAsia="Calibri"/>
          <w:noProof/>
          <w:lang w:val="fr-FR"/>
        </w:rPr>
        <w:t>cembre 2015</w:t>
      </w:r>
      <w:r>
        <w:rPr>
          <w:rFonts w:eastAsia="Calibri"/>
          <w:noProof/>
          <w:lang w:val="fr-FR"/>
        </w:rPr>
        <w:t>, le Sénat a adopté le budget de l</w:t>
      </w:r>
      <w:r w:rsidR="00607CA3">
        <w:rPr>
          <w:rFonts w:eastAsia="Calibri"/>
          <w:noProof/>
          <w:lang w:val="fr-FR"/>
        </w:rPr>
        <w:t>’</w:t>
      </w:r>
      <w:r>
        <w:rPr>
          <w:lang w:val="fr-FR" w:eastAsia="fr-FR"/>
        </w:rPr>
        <w:t>Institution nationale des droits de l</w:t>
      </w:r>
      <w:r w:rsidR="00607CA3">
        <w:rPr>
          <w:lang w:val="fr-FR" w:eastAsia="fr-FR"/>
        </w:rPr>
        <w:t>’</w:t>
      </w:r>
      <w:r>
        <w:rPr>
          <w:lang w:val="fr-FR" w:eastAsia="fr-FR"/>
        </w:rPr>
        <w:t>homme et service du Défenseur du peuple</w:t>
      </w:r>
      <w:r w:rsidRPr="00DE2A76">
        <w:rPr>
          <w:rFonts w:eastAsia="Calibri"/>
          <w:noProof/>
          <w:lang w:val="fr-FR"/>
        </w:rPr>
        <w:t xml:space="preserve"> p</w:t>
      </w:r>
      <w:r>
        <w:rPr>
          <w:rFonts w:eastAsia="Calibri"/>
          <w:noProof/>
          <w:lang w:val="fr-FR"/>
        </w:rPr>
        <w:t xml:space="preserve">our la période </w:t>
      </w:r>
      <w:r w:rsidRPr="00DE2A76">
        <w:rPr>
          <w:rFonts w:eastAsia="Calibri"/>
          <w:noProof/>
          <w:lang w:val="fr-FR"/>
        </w:rPr>
        <w:t>2015</w:t>
      </w:r>
      <w:r w:rsidR="00607CA3">
        <w:rPr>
          <w:rFonts w:eastAsia="Calibri"/>
          <w:noProof/>
          <w:lang w:val="fr-FR"/>
        </w:rPr>
        <w:noBreakHyphen/>
      </w:r>
      <w:r w:rsidRPr="00DE2A76">
        <w:rPr>
          <w:rFonts w:eastAsia="Calibri"/>
          <w:noProof/>
          <w:lang w:val="fr-FR"/>
        </w:rPr>
        <w:t xml:space="preserve">2019. </w:t>
      </w:r>
      <w:r w:rsidRPr="00411326">
        <w:t xml:space="preserve">Ce </w:t>
      </w:r>
      <w:r w:rsidRPr="00B5112D">
        <w:rPr>
          <w:noProof/>
          <w:lang w:val="fr-FR"/>
        </w:rPr>
        <w:t>budget couvre tous les besoins en ressources humaines et financières qui ont été signalés dans le projet soumis au Président de l</w:t>
      </w:r>
      <w:r w:rsidR="00607CA3">
        <w:rPr>
          <w:noProof/>
          <w:lang w:val="fr-FR"/>
        </w:rPr>
        <w:t>’</w:t>
      </w:r>
      <w:r w:rsidRPr="00B5112D">
        <w:rPr>
          <w:noProof/>
          <w:lang w:val="fr-FR"/>
        </w:rPr>
        <w:t>Assemblée générale par le Conseil de direction de l</w:t>
      </w:r>
      <w:r w:rsidR="00607CA3">
        <w:rPr>
          <w:noProof/>
          <w:lang w:val="fr-FR"/>
        </w:rPr>
        <w:t>’</w:t>
      </w:r>
      <w:r w:rsidRPr="00B5112D">
        <w:rPr>
          <w:noProof/>
          <w:lang w:val="fr-FR"/>
        </w:rPr>
        <w:t>Institution nationale</w:t>
      </w:r>
      <w:r>
        <w:rPr>
          <w:rFonts w:eastAsia="Calibri"/>
          <w:noProof/>
          <w:lang w:val="fr-FR"/>
        </w:rPr>
        <w:t>.</w:t>
      </w:r>
      <w:r w:rsidRPr="00DE2A76">
        <w:rPr>
          <w:rFonts w:eastAsia="Calibri"/>
          <w:noProof/>
          <w:lang w:val="fr-FR"/>
        </w:rPr>
        <w:t xml:space="preserve"> L</w:t>
      </w:r>
      <w:r>
        <w:rPr>
          <w:rFonts w:eastAsia="Calibri"/>
          <w:noProof/>
          <w:lang w:val="fr-FR"/>
        </w:rPr>
        <w:t>a plus grande partie des crédits appprouvés doit permettre à l</w:t>
      </w:r>
      <w:r w:rsidR="00607CA3">
        <w:rPr>
          <w:rFonts w:eastAsia="Calibri"/>
          <w:noProof/>
          <w:lang w:val="fr-FR"/>
        </w:rPr>
        <w:t>’</w:t>
      </w:r>
      <w:r>
        <w:rPr>
          <w:rFonts w:eastAsia="Calibri"/>
          <w:noProof/>
          <w:lang w:val="fr-FR"/>
        </w:rPr>
        <w:t>Institution de recruter le personnel technique nécessaire pour qu</w:t>
      </w:r>
      <w:r w:rsidR="00607CA3">
        <w:rPr>
          <w:rFonts w:eastAsia="Calibri"/>
          <w:noProof/>
          <w:lang w:val="fr-FR"/>
        </w:rPr>
        <w:t>’</w:t>
      </w:r>
      <w:r>
        <w:rPr>
          <w:rFonts w:eastAsia="Calibri"/>
          <w:noProof/>
          <w:lang w:val="fr-FR"/>
        </w:rPr>
        <w:t>elle puisse s</w:t>
      </w:r>
      <w:r w:rsidR="00607CA3">
        <w:rPr>
          <w:rFonts w:eastAsia="Calibri"/>
          <w:noProof/>
          <w:lang w:val="fr-FR"/>
        </w:rPr>
        <w:t>’</w:t>
      </w:r>
      <w:r>
        <w:rPr>
          <w:rFonts w:eastAsia="Calibri"/>
          <w:noProof/>
          <w:lang w:val="fr-FR"/>
        </w:rPr>
        <w:t>acquitter de ses obligations et financer les travaux de réfection de son siège</w:t>
      </w:r>
      <w:r w:rsidRPr="00DE2A76">
        <w:rPr>
          <w:rFonts w:eastAsia="Calibri"/>
          <w:noProof/>
          <w:lang w:val="fr-FR"/>
        </w:rPr>
        <w:t xml:space="preserve">. </w:t>
      </w:r>
      <w:r>
        <w:rPr>
          <w:rFonts w:eastAsia="Calibri"/>
          <w:noProof/>
          <w:lang w:val="fr-FR"/>
        </w:rPr>
        <w:t>Par décision du 26</w:t>
      </w:r>
      <w:r w:rsidR="00607CA3">
        <w:rPr>
          <w:rFonts w:eastAsia="Calibri"/>
          <w:noProof/>
          <w:lang w:val="fr-FR"/>
        </w:rPr>
        <w:t> </w:t>
      </w:r>
      <w:r>
        <w:rPr>
          <w:rFonts w:eastAsia="Calibri"/>
          <w:noProof/>
          <w:lang w:val="fr-FR"/>
        </w:rPr>
        <w:t>juillet 2017, le Sénat a augmenté le montant de ces crédits</w:t>
      </w:r>
      <w:r w:rsidRPr="00DE2A76">
        <w:rPr>
          <w:rFonts w:eastAsia="Calibri"/>
          <w:noProof/>
          <w:lang w:val="fr-FR"/>
        </w:rPr>
        <w:t>.</w:t>
      </w:r>
    </w:p>
    <w:p w:rsidR="00596826" w:rsidRPr="00DE2A76" w:rsidRDefault="00596826" w:rsidP="00596826">
      <w:pPr>
        <w:pStyle w:val="SingleTxtG"/>
        <w:rPr>
          <w:rFonts w:eastAsia="Calibri"/>
          <w:b/>
          <w:noProof/>
          <w:highlight w:val="yellow"/>
          <w:lang w:val="fr-FR"/>
        </w:rPr>
      </w:pPr>
      <w:r w:rsidRPr="00DE2A76">
        <w:rPr>
          <w:rFonts w:eastAsia="Calibri"/>
          <w:noProof/>
          <w:lang w:val="fr-FR"/>
        </w:rPr>
        <w:t>36.</w:t>
      </w:r>
      <w:r w:rsidRPr="00DE2A76">
        <w:rPr>
          <w:rFonts w:eastAsia="Calibri"/>
          <w:noProof/>
          <w:lang w:val="fr-FR"/>
        </w:rPr>
        <w:tab/>
      </w:r>
      <w:r>
        <w:rPr>
          <w:rFonts w:eastAsia="Calibri"/>
          <w:noProof/>
          <w:lang w:val="fr-FR"/>
        </w:rPr>
        <w:t xml:space="preserve">Le </w:t>
      </w:r>
      <w:r w:rsidRPr="00DE2A76">
        <w:rPr>
          <w:rFonts w:eastAsia="Calibri"/>
          <w:noProof/>
          <w:lang w:val="fr-FR"/>
        </w:rPr>
        <w:t>16</w:t>
      </w:r>
      <w:r w:rsidR="00607CA3">
        <w:rPr>
          <w:rFonts w:eastAsia="Calibri"/>
          <w:noProof/>
          <w:lang w:val="fr-FR"/>
        </w:rPr>
        <w:t> </w:t>
      </w:r>
      <w:r>
        <w:rPr>
          <w:rFonts w:eastAsia="Calibri"/>
          <w:noProof/>
          <w:lang w:val="fr-FR"/>
        </w:rPr>
        <w:t xml:space="preserve">mai </w:t>
      </w:r>
      <w:r w:rsidRPr="00DE2A76">
        <w:rPr>
          <w:rFonts w:eastAsia="Calibri"/>
          <w:noProof/>
          <w:lang w:val="fr-FR"/>
        </w:rPr>
        <w:t>2018, l</w:t>
      </w:r>
      <w:r>
        <w:rPr>
          <w:rFonts w:eastAsia="Calibri"/>
          <w:noProof/>
          <w:lang w:val="fr-FR"/>
        </w:rPr>
        <w:t xml:space="preserve">e Sénat </w:t>
      </w:r>
      <w:r w:rsidRPr="00DE2A76">
        <w:rPr>
          <w:rFonts w:eastAsia="Calibri"/>
          <w:noProof/>
          <w:lang w:val="fr-FR"/>
        </w:rPr>
        <w:t xml:space="preserve">a </w:t>
      </w:r>
      <w:r w:rsidRPr="00E43B1A">
        <w:rPr>
          <w:noProof/>
          <w:lang w:val="fr-FR"/>
        </w:rPr>
        <w:t>donné son approbation préliminaire à un projet de loi</w:t>
      </w:r>
      <w:r w:rsidRPr="00411326">
        <w:t xml:space="preserve"> </w:t>
      </w:r>
      <w:r w:rsidRPr="00E43B1A">
        <w:rPr>
          <w:noProof/>
          <w:lang w:val="fr-FR"/>
        </w:rPr>
        <w:t>modifi</w:t>
      </w:r>
      <w:r>
        <w:rPr>
          <w:noProof/>
          <w:lang w:val="fr-FR"/>
        </w:rPr>
        <w:t>ant</w:t>
      </w:r>
      <w:r w:rsidRPr="00E43B1A">
        <w:rPr>
          <w:noProof/>
          <w:lang w:val="fr-FR"/>
        </w:rPr>
        <w:t xml:space="preserve">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E43B1A">
        <w:rPr>
          <w:rFonts w:eastAsia="Calibri"/>
          <w:noProof/>
          <w:lang w:val="fr-FR"/>
        </w:rPr>
        <w:t xml:space="preserve">18446 </w:t>
      </w:r>
      <w:r>
        <w:rPr>
          <w:rFonts w:eastAsia="Calibri"/>
          <w:noProof/>
          <w:lang w:val="fr-FR"/>
        </w:rPr>
        <w:t xml:space="preserve">portant </w:t>
      </w:r>
      <w:r w:rsidRPr="00DE2A76">
        <w:rPr>
          <w:rFonts w:eastAsia="Calibri"/>
          <w:noProof/>
          <w:lang w:val="fr-FR"/>
        </w:rPr>
        <w:t>cr</w:t>
      </w:r>
      <w:r>
        <w:rPr>
          <w:rFonts w:eastAsia="Calibri"/>
          <w:noProof/>
          <w:lang w:val="fr-FR"/>
        </w:rPr>
        <w:t>é</w:t>
      </w:r>
      <w:r w:rsidRPr="00DE2A76">
        <w:rPr>
          <w:rFonts w:eastAsia="Calibri"/>
          <w:noProof/>
          <w:lang w:val="fr-FR"/>
        </w:rPr>
        <w:t>a</w:t>
      </w:r>
      <w:r>
        <w:rPr>
          <w:rFonts w:eastAsia="Calibri"/>
          <w:noProof/>
          <w:lang w:val="fr-FR"/>
        </w:rPr>
        <w:t xml:space="preserve">tion </w:t>
      </w:r>
      <w:r w:rsidRPr="00DE2A76">
        <w:rPr>
          <w:rFonts w:eastAsia="Calibri"/>
          <w:noProof/>
          <w:lang w:val="fr-FR"/>
        </w:rPr>
        <w:t>de</w:t>
      </w:r>
      <w:r>
        <w:rPr>
          <w:rFonts w:eastAsia="Calibri"/>
          <w:noProof/>
          <w:lang w:val="fr-FR"/>
        </w:rPr>
        <w:t xml:space="preserve"> l</w:t>
      </w:r>
      <w:r w:rsidR="00607CA3">
        <w:rPr>
          <w:rFonts w:eastAsia="Calibri"/>
          <w:noProof/>
          <w:lang w:val="fr-FR"/>
        </w:rPr>
        <w:t>’</w:t>
      </w:r>
      <w:r>
        <w:rPr>
          <w:lang w:val="fr-FR" w:eastAsia="fr-FR"/>
        </w:rPr>
        <w:t>Institution nationale des droits de l</w:t>
      </w:r>
      <w:r w:rsidR="00607CA3">
        <w:rPr>
          <w:lang w:val="fr-FR" w:eastAsia="fr-FR"/>
        </w:rPr>
        <w:t>’</w:t>
      </w:r>
      <w:r>
        <w:rPr>
          <w:lang w:val="fr-FR" w:eastAsia="fr-FR"/>
        </w:rPr>
        <w:t>homme et service du Défenseur du peuple</w:t>
      </w:r>
      <w:r w:rsidRPr="00DE2A76">
        <w:rPr>
          <w:rFonts w:eastAsia="Calibri"/>
          <w:noProof/>
          <w:lang w:val="fr-FR"/>
        </w:rPr>
        <w:t xml:space="preserve">. </w:t>
      </w:r>
      <w:r>
        <w:rPr>
          <w:rFonts w:eastAsia="Calibri"/>
          <w:noProof/>
          <w:lang w:val="fr-FR"/>
        </w:rPr>
        <w:t>Ce projet confirme le conseil de direction comme plus haute instance de l</w:t>
      </w:r>
      <w:r w:rsidR="00607CA3">
        <w:rPr>
          <w:rFonts w:eastAsia="Calibri"/>
          <w:noProof/>
          <w:lang w:val="fr-FR"/>
        </w:rPr>
        <w:t>’</w:t>
      </w:r>
      <w:r>
        <w:rPr>
          <w:rFonts w:eastAsia="Calibri"/>
          <w:noProof/>
          <w:lang w:val="fr-FR"/>
        </w:rPr>
        <w:t>Institution. Dans le cadre de son autonomie, ce conseil nomme ses fonctionnaires en cherchant à mener encore plus loin son institutionnalisation et à signer des accords avec des personnes publiques et non publiques et des organisations internationales</w:t>
      </w:r>
      <w:r w:rsidRPr="00DE2A76">
        <w:rPr>
          <w:rFonts w:eastAsia="Calibri"/>
          <w:noProof/>
          <w:lang w:val="fr-FR"/>
        </w:rPr>
        <w:t xml:space="preserve">. </w:t>
      </w:r>
      <w:r>
        <w:rPr>
          <w:rFonts w:eastAsia="Calibri"/>
          <w:noProof/>
          <w:lang w:val="fr-FR"/>
        </w:rPr>
        <w:t>La Chambre des représentants a été saisie de ce projet pour examen et adoption</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37.</w:t>
      </w:r>
      <w:r w:rsidRPr="00DE2A76">
        <w:rPr>
          <w:rFonts w:eastAsia="Calibri"/>
          <w:noProof/>
          <w:lang w:val="fr-FR"/>
        </w:rPr>
        <w:tab/>
      </w:r>
      <w:r>
        <w:rPr>
          <w:rFonts w:eastAsia="Calibri"/>
          <w:noProof/>
          <w:lang w:val="fr-FR"/>
        </w:rPr>
        <w:t xml:space="preserve">Le mécanisme national de prévention de la torture </w:t>
      </w:r>
      <w:r w:rsidRPr="00B5112D">
        <w:rPr>
          <w:noProof/>
          <w:lang w:val="fr-FR"/>
        </w:rPr>
        <w:t>est placé sous l</w:t>
      </w:r>
      <w:r w:rsidR="00607CA3">
        <w:rPr>
          <w:noProof/>
          <w:lang w:val="fr-FR"/>
        </w:rPr>
        <w:t>’</w:t>
      </w:r>
      <w:r w:rsidRPr="00B5112D">
        <w:rPr>
          <w:noProof/>
          <w:lang w:val="fr-FR"/>
        </w:rPr>
        <w:t>autorité de l</w:t>
      </w:r>
      <w:r w:rsidR="00607CA3">
        <w:rPr>
          <w:noProof/>
          <w:lang w:val="fr-FR"/>
        </w:rPr>
        <w:t>’</w:t>
      </w:r>
      <w:r w:rsidRPr="00B5112D">
        <w:rPr>
          <w:noProof/>
          <w:lang w:val="fr-FR"/>
        </w:rPr>
        <w:t>Institution nationale</w:t>
      </w:r>
      <w:r w:rsidRPr="00B5112D">
        <w:rPr>
          <w:rFonts w:eastAsia="Calibri"/>
          <w:noProof/>
          <w:lang w:val="fr-FR"/>
        </w:rPr>
        <w:t>.</w:t>
      </w:r>
      <w:r w:rsidRPr="00DE2A76">
        <w:rPr>
          <w:rFonts w:eastAsia="Calibri"/>
          <w:noProof/>
          <w:lang w:val="fr-FR"/>
        </w:rPr>
        <w:t xml:space="preserve"> </w:t>
      </w:r>
      <w:r>
        <w:rPr>
          <w:rFonts w:eastAsia="Calibri"/>
          <w:noProof/>
          <w:lang w:val="fr-FR"/>
        </w:rPr>
        <w:t xml:space="preserve">Dans ce cadre, il convient de rappeler </w:t>
      </w:r>
      <w:r w:rsidRPr="00DE2A76">
        <w:rPr>
          <w:rFonts w:eastAsia="Calibri"/>
          <w:noProof/>
          <w:lang w:val="fr-FR"/>
        </w:rPr>
        <w:t>l</w:t>
      </w:r>
      <w:r w:rsidR="00607CA3">
        <w:rPr>
          <w:rFonts w:eastAsia="Calibri"/>
          <w:noProof/>
          <w:lang w:val="fr-FR"/>
        </w:rPr>
        <w:t>’</w:t>
      </w:r>
      <w:r>
        <w:rPr>
          <w:rFonts w:eastAsia="Calibri"/>
          <w:noProof/>
          <w:lang w:val="fr-FR"/>
        </w:rPr>
        <w:t xml:space="preserve">affectation de ressources à </w:t>
      </w:r>
      <w:r>
        <w:rPr>
          <w:rFonts w:eastAsia="Calibri"/>
          <w:noProof/>
          <w:lang w:val="fr-FR"/>
        </w:rPr>
        <w:lastRenderedPageBreak/>
        <w:t>l</w:t>
      </w:r>
      <w:r w:rsidR="00607CA3">
        <w:rPr>
          <w:rFonts w:eastAsia="Calibri"/>
          <w:noProof/>
          <w:lang w:val="fr-FR"/>
        </w:rPr>
        <w:t>’</w:t>
      </w:r>
      <w:r>
        <w:rPr>
          <w:rFonts w:eastAsia="Calibri"/>
          <w:noProof/>
          <w:lang w:val="fr-FR"/>
        </w:rPr>
        <w:t>Institution qui a été approuvée par la décision</w:t>
      </w:r>
      <w:r w:rsidRPr="00691AD9">
        <w:rPr>
          <w:rStyle w:val="Appelnotedebasdep"/>
        </w:rPr>
        <w:footnoteReference w:id="10"/>
      </w:r>
      <w:r w:rsidRPr="00DE2A76">
        <w:rPr>
          <w:rFonts w:eastAsia="Calibri"/>
          <w:noProof/>
          <w:lang w:val="fr-FR"/>
        </w:rPr>
        <w:t xml:space="preserve"> </w:t>
      </w:r>
      <w:r>
        <w:rPr>
          <w:rFonts w:eastAsia="Calibri"/>
          <w:noProof/>
          <w:lang w:val="fr-FR"/>
        </w:rPr>
        <w:t>du Sénat datée du 22</w:t>
      </w:r>
      <w:r w:rsidR="00607CA3">
        <w:rPr>
          <w:rFonts w:eastAsia="Calibri"/>
          <w:noProof/>
          <w:lang w:val="fr-FR"/>
        </w:rPr>
        <w:t> </w:t>
      </w:r>
      <w:r>
        <w:rPr>
          <w:rFonts w:eastAsia="Calibri"/>
          <w:noProof/>
          <w:lang w:val="fr-FR"/>
        </w:rPr>
        <w:t>dé</w:t>
      </w:r>
      <w:r w:rsidRPr="00DE2A76">
        <w:rPr>
          <w:rFonts w:eastAsia="Calibri"/>
          <w:noProof/>
          <w:lang w:val="fr-FR"/>
        </w:rPr>
        <w:t>cembre 2015 e</w:t>
      </w:r>
      <w:r>
        <w:rPr>
          <w:rFonts w:eastAsia="Calibri"/>
          <w:noProof/>
          <w:lang w:val="fr-FR"/>
        </w:rPr>
        <w:t>t l</w:t>
      </w:r>
      <w:r w:rsidR="00607CA3">
        <w:rPr>
          <w:rFonts w:eastAsia="Calibri"/>
          <w:noProof/>
          <w:lang w:val="fr-FR"/>
        </w:rPr>
        <w:t>’</w:t>
      </w:r>
      <w:r>
        <w:rPr>
          <w:rFonts w:eastAsia="Calibri"/>
          <w:noProof/>
          <w:lang w:val="fr-FR"/>
        </w:rPr>
        <w:t>augmentation de ces ressources par la décision</w:t>
      </w:r>
      <w:r w:rsidRPr="00DE2A76">
        <w:rPr>
          <w:rFonts w:eastAsia="Calibri"/>
          <w:noProof/>
          <w:sz w:val="18"/>
          <w:szCs w:val="18"/>
          <w:vertAlign w:val="superscript"/>
          <w:lang w:val="fr-FR"/>
        </w:rPr>
        <w:footnoteReference w:id="11"/>
      </w:r>
      <w:r w:rsidRPr="00DE2A76">
        <w:rPr>
          <w:rFonts w:eastAsia="Calibri"/>
          <w:noProof/>
          <w:lang w:val="fr-FR"/>
        </w:rPr>
        <w:t xml:space="preserve"> d</w:t>
      </w:r>
      <w:r>
        <w:rPr>
          <w:rFonts w:eastAsia="Calibri"/>
          <w:noProof/>
          <w:lang w:val="fr-FR"/>
        </w:rPr>
        <w:t xml:space="preserve">u Sénat en date du </w:t>
      </w:r>
      <w:r w:rsidRPr="00DE2A76">
        <w:rPr>
          <w:rFonts w:eastAsia="Calibri"/>
          <w:noProof/>
          <w:lang w:val="fr-FR"/>
        </w:rPr>
        <w:t>26</w:t>
      </w:r>
      <w:r w:rsidR="00607CA3">
        <w:rPr>
          <w:rFonts w:eastAsia="Calibri"/>
          <w:noProof/>
          <w:lang w:val="fr-FR"/>
        </w:rPr>
        <w:t> </w:t>
      </w:r>
      <w:r>
        <w:rPr>
          <w:rFonts w:eastAsia="Calibri"/>
          <w:noProof/>
          <w:lang w:val="fr-FR"/>
        </w:rPr>
        <w:t xml:space="preserve">juillet </w:t>
      </w:r>
      <w:r w:rsidRPr="00DE2A76">
        <w:rPr>
          <w:rFonts w:eastAsia="Calibri"/>
          <w:noProof/>
          <w:lang w:val="fr-FR"/>
        </w:rPr>
        <w:t xml:space="preserve">2017. </w:t>
      </w:r>
      <w:r>
        <w:rPr>
          <w:rFonts w:eastAsia="Calibri"/>
          <w:noProof/>
          <w:lang w:val="fr-FR"/>
        </w:rPr>
        <w:t>Comme indiqué précédemment, la plus grande partie des crédits approuvés doit fournir à l</w:t>
      </w:r>
      <w:r w:rsidR="00607CA3">
        <w:rPr>
          <w:rFonts w:eastAsia="Calibri"/>
          <w:noProof/>
          <w:lang w:val="fr-FR"/>
        </w:rPr>
        <w:t>’</w:t>
      </w:r>
      <w:r w:rsidRPr="00DE2A76">
        <w:rPr>
          <w:rFonts w:eastAsia="Calibri"/>
          <w:noProof/>
          <w:lang w:val="fr-FR"/>
        </w:rPr>
        <w:t>Institu</w:t>
      </w:r>
      <w:r>
        <w:rPr>
          <w:rFonts w:eastAsia="Calibri"/>
          <w:noProof/>
          <w:lang w:val="fr-FR"/>
        </w:rPr>
        <w:t>tion le personnel technique dont elle a besoin pour remplir ses engagements et financer les travaux de réfection de son siège</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noProof/>
          <w:lang w:val="fr-FR"/>
        </w:rPr>
        <w:t>38.</w:t>
      </w:r>
      <w:r w:rsidRPr="00DE2A76">
        <w:rPr>
          <w:noProof/>
          <w:lang w:val="fr-FR"/>
        </w:rPr>
        <w:tab/>
      </w:r>
      <w:r>
        <w:rPr>
          <w:noProof/>
          <w:lang w:val="fr-FR"/>
        </w:rPr>
        <w:t>S</w:t>
      </w:r>
      <w:r w:rsidR="00607CA3">
        <w:rPr>
          <w:noProof/>
          <w:lang w:val="fr-FR"/>
        </w:rPr>
        <w:t>’</w:t>
      </w:r>
      <w:r>
        <w:rPr>
          <w:noProof/>
          <w:lang w:val="fr-FR"/>
        </w:rPr>
        <w:t xml:space="preserve">agissant plus particulièrement du personnel médical et juridique spécialisé du </w:t>
      </w:r>
      <w:r>
        <w:rPr>
          <w:rFonts w:eastAsia="Calibri"/>
          <w:noProof/>
          <w:lang w:val="fr-FR"/>
        </w:rPr>
        <w:t>mécanisme national de prévention</w:t>
      </w:r>
      <w:r w:rsidRPr="00DE2A76">
        <w:rPr>
          <w:noProof/>
          <w:lang w:val="fr-FR"/>
        </w:rPr>
        <w:t xml:space="preserve">, </w:t>
      </w:r>
      <w:r>
        <w:rPr>
          <w:noProof/>
          <w:lang w:val="fr-FR"/>
        </w:rPr>
        <w:t>l</w:t>
      </w:r>
      <w:r w:rsidR="00607CA3">
        <w:rPr>
          <w:noProof/>
          <w:lang w:val="fr-FR"/>
        </w:rPr>
        <w:t>’</w:t>
      </w:r>
      <w:r>
        <w:rPr>
          <w:noProof/>
          <w:lang w:val="fr-FR"/>
        </w:rPr>
        <w:t xml:space="preserve">équipe technique de ce dernier compte depuis 2016 </w:t>
      </w:r>
      <w:r w:rsidR="00691AD9">
        <w:rPr>
          <w:noProof/>
          <w:lang w:val="fr-FR"/>
        </w:rPr>
        <w:t>1 </w:t>
      </w:r>
      <w:r>
        <w:rPr>
          <w:noProof/>
          <w:lang w:val="fr-FR"/>
        </w:rPr>
        <w:t>avocat</w:t>
      </w:r>
      <w:r w:rsidRPr="00DE2A76">
        <w:rPr>
          <w:noProof/>
          <w:lang w:val="fr-FR"/>
        </w:rPr>
        <w:t xml:space="preserve">, </w:t>
      </w:r>
      <w:r w:rsidR="00691AD9">
        <w:rPr>
          <w:noProof/>
          <w:lang w:val="fr-FR"/>
        </w:rPr>
        <w:t>2</w:t>
      </w:r>
      <w:r>
        <w:rPr>
          <w:noProof/>
          <w:lang w:val="fr-FR"/>
        </w:rPr>
        <w:t xml:space="preserve"> femmes psychologues et </w:t>
      </w:r>
      <w:r w:rsidR="00691AD9">
        <w:rPr>
          <w:noProof/>
          <w:lang w:val="fr-FR"/>
        </w:rPr>
        <w:t>2</w:t>
      </w:r>
      <w:r>
        <w:rPr>
          <w:noProof/>
          <w:lang w:val="fr-FR"/>
        </w:rPr>
        <w:t xml:space="preserve"> travailleuses sociales</w:t>
      </w:r>
      <w:r w:rsidRPr="00DE2A76">
        <w:rPr>
          <w:noProof/>
          <w:lang w:val="fr-FR"/>
        </w:rPr>
        <w:t xml:space="preserve">. </w:t>
      </w:r>
      <w:r>
        <w:rPr>
          <w:noProof/>
          <w:lang w:val="fr-FR"/>
        </w:rPr>
        <w:t xml:space="preserve">Un appel a été récemment lancé pour créer </w:t>
      </w:r>
      <w:r w:rsidR="00691AD9">
        <w:rPr>
          <w:noProof/>
          <w:lang w:val="fr-FR"/>
        </w:rPr>
        <w:t>3</w:t>
      </w:r>
      <w:r>
        <w:rPr>
          <w:noProof/>
          <w:lang w:val="fr-FR"/>
        </w:rPr>
        <w:t xml:space="preserve"> postes techniques supplémentaires </w:t>
      </w:r>
      <w:r w:rsidRPr="00DE2A76">
        <w:rPr>
          <w:noProof/>
          <w:lang w:val="fr-FR"/>
        </w:rPr>
        <w:t>(</w:t>
      </w:r>
      <w:r w:rsidR="00691AD9">
        <w:rPr>
          <w:noProof/>
          <w:lang w:val="fr-FR"/>
        </w:rPr>
        <w:t>2</w:t>
      </w:r>
      <w:r>
        <w:rPr>
          <w:noProof/>
          <w:lang w:val="fr-FR"/>
        </w:rPr>
        <w:t xml:space="preserve"> avocats et </w:t>
      </w:r>
      <w:r w:rsidR="00691AD9">
        <w:rPr>
          <w:noProof/>
          <w:lang w:val="fr-FR"/>
        </w:rPr>
        <w:t>1</w:t>
      </w:r>
      <w:r>
        <w:rPr>
          <w:noProof/>
          <w:lang w:val="fr-FR"/>
        </w:rPr>
        <w:t xml:space="preserve"> médecin</w:t>
      </w:r>
      <w:r w:rsidRPr="00DE2A76">
        <w:rPr>
          <w:noProof/>
          <w:lang w:val="fr-FR"/>
        </w:rPr>
        <w:t xml:space="preserve">), </w:t>
      </w:r>
      <w:r>
        <w:rPr>
          <w:noProof/>
          <w:lang w:val="fr-FR"/>
        </w:rPr>
        <w:t>mais le processus de sélection n</w:t>
      </w:r>
      <w:r w:rsidR="00607CA3">
        <w:rPr>
          <w:noProof/>
          <w:lang w:val="fr-FR"/>
        </w:rPr>
        <w:t>’</w:t>
      </w:r>
      <w:r>
        <w:rPr>
          <w:noProof/>
          <w:lang w:val="fr-FR"/>
        </w:rPr>
        <w:t>a pas encore été mené à son terme</w:t>
      </w:r>
      <w:r w:rsidRPr="00DE2A76">
        <w:rPr>
          <w:noProof/>
          <w:lang w:val="fr-FR"/>
        </w:rPr>
        <w:t xml:space="preserve">. </w:t>
      </w:r>
    </w:p>
    <w:p w:rsidR="00596826" w:rsidRPr="00DE2A76" w:rsidRDefault="00596826" w:rsidP="00596826">
      <w:pPr>
        <w:pStyle w:val="SingleTxtG"/>
        <w:rPr>
          <w:rFonts w:eastAsia="Calibri"/>
          <w:noProof/>
          <w:lang w:val="fr-FR"/>
        </w:rPr>
      </w:pPr>
      <w:r w:rsidRPr="00DE2A76">
        <w:rPr>
          <w:rFonts w:eastAsia="Calibri"/>
          <w:noProof/>
          <w:lang w:val="fr-FR"/>
        </w:rPr>
        <w:t>39.</w:t>
      </w:r>
      <w:r w:rsidRPr="00DE2A76">
        <w:rPr>
          <w:rFonts w:eastAsia="Calibri"/>
          <w:noProof/>
          <w:lang w:val="fr-FR"/>
        </w:rPr>
        <w:tab/>
      </w:r>
      <w:r>
        <w:rPr>
          <w:rFonts w:eastAsia="Calibri"/>
          <w:noProof/>
          <w:lang w:val="fr-FR"/>
        </w:rPr>
        <w:t>L</w:t>
      </w:r>
      <w:r w:rsidR="00607CA3">
        <w:rPr>
          <w:rFonts w:eastAsia="Calibri"/>
          <w:noProof/>
          <w:lang w:val="fr-FR"/>
        </w:rPr>
        <w:t>’</w:t>
      </w:r>
      <w:r w:rsidRPr="00DE2A76">
        <w:rPr>
          <w:rFonts w:eastAsia="Calibri"/>
          <w:noProof/>
          <w:lang w:val="fr-FR"/>
        </w:rPr>
        <w:t xml:space="preserve">Uruguay </w:t>
      </w:r>
      <w:r>
        <w:rPr>
          <w:rFonts w:eastAsia="Calibri"/>
          <w:noProof/>
          <w:lang w:val="fr-FR"/>
        </w:rPr>
        <w:t>a modifié sa procédure pénale</w:t>
      </w:r>
      <w:r w:rsidRPr="00DE2A76">
        <w:rPr>
          <w:rFonts w:eastAsia="Calibri"/>
          <w:noProof/>
          <w:lang w:val="fr-FR"/>
        </w:rPr>
        <w:t xml:space="preserve">. </w:t>
      </w:r>
      <w:r>
        <w:rPr>
          <w:rFonts w:eastAsia="Calibri"/>
          <w:noProof/>
          <w:lang w:val="fr-FR"/>
        </w:rPr>
        <w:t xml:space="preserve">Après plusieurs reports, le nouveau Code de procédure pénale est entré en vigueur le </w:t>
      </w:r>
      <w:r w:rsidRPr="00DE2A76">
        <w:rPr>
          <w:rFonts w:eastAsia="Calibri"/>
          <w:noProof/>
          <w:lang w:val="fr-FR"/>
        </w:rPr>
        <w:t>1</w:t>
      </w:r>
      <w:r w:rsidRPr="00607CA3">
        <w:rPr>
          <w:rFonts w:eastAsia="Calibri"/>
          <w:noProof/>
          <w:vertAlign w:val="superscript"/>
          <w:lang w:val="fr-FR"/>
        </w:rPr>
        <w:t>er</w:t>
      </w:r>
      <w:r w:rsidR="00607CA3">
        <w:rPr>
          <w:rFonts w:eastAsia="Calibri"/>
          <w:noProof/>
          <w:lang w:val="fr-FR"/>
        </w:rPr>
        <w:t> </w:t>
      </w:r>
      <w:r w:rsidRPr="00DE2A76">
        <w:rPr>
          <w:rFonts w:eastAsia="Calibri"/>
          <w:noProof/>
          <w:lang w:val="fr-FR"/>
        </w:rPr>
        <w:t xml:space="preserve">novembre 2017 </w:t>
      </w:r>
      <w:r>
        <w:rPr>
          <w:rFonts w:eastAsia="Calibri"/>
          <w:noProof/>
          <w:lang w:val="fr-FR"/>
        </w:rPr>
        <w:t>à la suite de l</w:t>
      </w:r>
      <w:r w:rsidR="00607CA3">
        <w:rPr>
          <w:rFonts w:eastAsia="Calibri"/>
          <w:noProof/>
          <w:lang w:val="fr-FR"/>
        </w:rPr>
        <w:t>’</w:t>
      </w:r>
      <w:r>
        <w:rPr>
          <w:rFonts w:eastAsia="Calibri"/>
          <w:noProof/>
          <w:lang w:val="fr-FR"/>
        </w:rPr>
        <w:t xml:space="preserve">adoption de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sidRPr="00DE2A76">
        <w:rPr>
          <w:rFonts w:eastAsia="Calibri"/>
          <w:noProof/>
          <w:lang w:val="fr-FR"/>
        </w:rPr>
        <w:t>19293 de d</w:t>
      </w:r>
      <w:r>
        <w:rPr>
          <w:rFonts w:eastAsia="Calibri"/>
          <w:noProof/>
          <w:lang w:val="fr-FR"/>
        </w:rPr>
        <w:t>é</w:t>
      </w:r>
      <w:r w:rsidRPr="00DE2A76">
        <w:rPr>
          <w:rFonts w:eastAsia="Calibri"/>
          <w:noProof/>
          <w:lang w:val="fr-FR"/>
        </w:rPr>
        <w:t xml:space="preserve">cembre 2014, </w:t>
      </w:r>
      <w:r>
        <w:rPr>
          <w:rFonts w:eastAsia="Calibri"/>
          <w:noProof/>
          <w:lang w:val="fr-FR"/>
        </w:rPr>
        <w:t>ce qui a profondément modifié l</w:t>
      </w:r>
      <w:r w:rsidR="00607CA3">
        <w:rPr>
          <w:rFonts w:eastAsia="Calibri"/>
          <w:noProof/>
          <w:lang w:val="fr-FR"/>
        </w:rPr>
        <w:t>’</w:t>
      </w:r>
      <w:r w:rsidRPr="00DE2A76">
        <w:rPr>
          <w:rFonts w:eastAsia="Calibri"/>
          <w:noProof/>
          <w:lang w:val="fr-FR"/>
        </w:rPr>
        <w:t>administra</w:t>
      </w:r>
      <w:r>
        <w:rPr>
          <w:rFonts w:eastAsia="Calibri"/>
          <w:noProof/>
          <w:lang w:val="fr-FR"/>
        </w:rPr>
        <w:t xml:space="preserve">tion </w:t>
      </w:r>
      <w:r w:rsidRPr="00DE2A76">
        <w:rPr>
          <w:rFonts w:eastAsia="Calibri"/>
          <w:noProof/>
          <w:lang w:val="fr-FR"/>
        </w:rPr>
        <w:t>de la justic</w:t>
      </w:r>
      <w:r>
        <w:rPr>
          <w:rFonts w:eastAsia="Calibri"/>
          <w:noProof/>
          <w:lang w:val="fr-FR"/>
        </w:rPr>
        <w:t>e</w:t>
      </w:r>
      <w:r w:rsidRPr="00DE2A76">
        <w:rPr>
          <w:rFonts w:eastAsia="Calibri"/>
          <w:noProof/>
          <w:lang w:val="fr-FR"/>
        </w:rPr>
        <w:t xml:space="preserve"> p</w:t>
      </w:r>
      <w:r>
        <w:rPr>
          <w:rFonts w:eastAsia="Calibri"/>
          <w:noProof/>
          <w:lang w:val="fr-FR"/>
        </w:rPr>
        <w:t>é</w:t>
      </w:r>
      <w:r w:rsidRPr="00DE2A76">
        <w:rPr>
          <w:rFonts w:eastAsia="Calibri"/>
          <w:noProof/>
          <w:lang w:val="fr-FR"/>
        </w:rPr>
        <w:t>nal</w:t>
      </w:r>
      <w:r>
        <w:rPr>
          <w:rFonts w:eastAsia="Calibri"/>
          <w:noProof/>
          <w:lang w:val="fr-FR"/>
        </w:rPr>
        <w:t>e</w:t>
      </w:r>
      <w:r w:rsidRPr="00DE2A76">
        <w:rPr>
          <w:rFonts w:eastAsia="Calibri"/>
          <w:noProof/>
          <w:lang w:val="fr-FR"/>
        </w:rPr>
        <w:t xml:space="preserve">, </w:t>
      </w:r>
      <w:r>
        <w:rPr>
          <w:rFonts w:eastAsia="Calibri"/>
          <w:noProof/>
          <w:lang w:val="fr-FR"/>
        </w:rPr>
        <w:t>la procédure accusatoire, en vertu de laquelle le procureur est chargé de l</w:t>
      </w:r>
      <w:r w:rsidR="00607CA3">
        <w:rPr>
          <w:rFonts w:eastAsia="Calibri"/>
          <w:noProof/>
          <w:lang w:val="fr-FR"/>
        </w:rPr>
        <w:t>’</w:t>
      </w:r>
      <w:r>
        <w:rPr>
          <w:rFonts w:eastAsia="Calibri"/>
          <w:noProof/>
          <w:lang w:val="fr-FR"/>
        </w:rPr>
        <w:t>enquête, venant remplacer la procédure inquisitoire</w:t>
      </w:r>
      <w:r w:rsidRPr="00DE2A76">
        <w:rPr>
          <w:rFonts w:eastAsia="Calibri"/>
          <w:noProof/>
          <w:lang w:val="fr-FR"/>
        </w:rPr>
        <w:t>. P</w:t>
      </w:r>
      <w:r>
        <w:rPr>
          <w:rFonts w:eastAsia="Calibri"/>
          <w:noProof/>
          <w:lang w:val="fr-FR"/>
        </w:rPr>
        <w:t xml:space="preserve">our mettre en œuvre cette réforme, il a fallu, en plus du nouveau Code, donner des pouvoirs accrus au Bureau du Procureur général de la Nation </w:t>
      </w:r>
      <w:r w:rsidRPr="00DE2A76">
        <w:rPr>
          <w:rFonts w:eastAsia="Calibri"/>
          <w:noProof/>
          <w:lang w:val="fr-FR"/>
        </w:rPr>
        <w:t>(</w:t>
      </w:r>
      <w:r>
        <w:rPr>
          <w:rFonts w:eastAsia="Calibri"/>
          <w:noProof/>
          <w:lang w:val="fr-FR"/>
        </w:rPr>
        <w:t>le procureur remplaçant le juge dans la phase d</w:t>
      </w:r>
      <w:r w:rsidR="00607CA3">
        <w:rPr>
          <w:rFonts w:eastAsia="Calibri"/>
          <w:noProof/>
          <w:lang w:val="fr-FR"/>
        </w:rPr>
        <w:t>’</w:t>
      </w:r>
      <w:r>
        <w:rPr>
          <w:rFonts w:eastAsia="Calibri"/>
          <w:noProof/>
          <w:lang w:val="fr-FR"/>
        </w:rPr>
        <w:t>instruction</w:t>
      </w:r>
      <w:r w:rsidRPr="00DE2A76">
        <w:rPr>
          <w:rFonts w:eastAsia="Calibri"/>
          <w:noProof/>
          <w:lang w:val="fr-FR"/>
        </w:rPr>
        <w:t xml:space="preserve">). La </w:t>
      </w:r>
      <w:r>
        <w:rPr>
          <w:rFonts w:eastAsia="Calibri"/>
          <w:noProof/>
          <w:lang w:val="fr-FR"/>
        </w:rPr>
        <w:t xml:space="preserve">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rFonts w:eastAsia="Calibri"/>
          <w:noProof/>
          <w:lang w:val="fr-FR"/>
        </w:rPr>
        <w:t> </w:t>
      </w:r>
      <w:r w:rsidRPr="00DE2A76">
        <w:rPr>
          <w:rFonts w:eastAsia="Calibri"/>
          <w:noProof/>
          <w:lang w:val="fr-FR"/>
        </w:rPr>
        <w:t xml:space="preserve">19293 </w:t>
      </w:r>
      <w:r>
        <w:rPr>
          <w:rFonts w:eastAsia="Calibri"/>
          <w:noProof/>
          <w:lang w:val="fr-FR"/>
        </w:rPr>
        <w:t>a déjà été modifiée à plusieurs reprises pour en faciliter l</w:t>
      </w:r>
      <w:r w:rsidR="00607CA3">
        <w:rPr>
          <w:rFonts w:eastAsia="Calibri"/>
          <w:noProof/>
          <w:lang w:val="fr-FR"/>
        </w:rPr>
        <w:t>’</w:t>
      </w:r>
      <w:r>
        <w:rPr>
          <w:rFonts w:eastAsia="Calibri"/>
          <w:noProof/>
          <w:lang w:val="fr-FR"/>
        </w:rPr>
        <w:t>application et devra être encore adaptée au nouveau système sans diminuer les garanties d</w:t>
      </w:r>
      <w:r w:rsidR="00607CA3">
        <w:rPr>
          <w:rFonts w:eastAsia="Calibri"/>
          <w:noProof/>
          <w:lang w:val="fr-FR"/>
        </w:rPr>
        <w:t>’</w:t>
      </w:r>
      <w:r>
        <w:rPr>
          <w:rFonts w:eastAsia="Calibri"/>
          <w:noProof/>
          <w:lang w:val="fr-FR"/>
        </w:rPr>
        <w:t>une procédure régulière</w:t>
      </w:r>
      <w:r w:rsidRPr="00DE2A76">
        <w:rPr>
          <w:rFonts w:eastAsia="Calibri"/>
          <w:noProof/>
          <w:lang w:val="fr-FR"/>
        </w:rPr>
        <w:t xml:space="preserve">. </w:t>
      </w:r>
    </w:p>
    <w:p w:rsidR="00596826" w:rsidRPr="00DE2A76" w:rsidRDefault="00596826" w:rsidP="00596826">
      <w:pPr>
        <w:pStyle w:val="SingleTxtG"/>
        <w:rPr>
          <w:rFonts w:eastAsia="Calibri"/>
          <w:noProof/>
          <w:lang w:val="fr-FR"/>
        </w:rPr>
      </w:pPr>
      <w:r>
        <w:rPr>
          <w:rFonts w:eastAsia="Calibri"/>
          <w:noProof/>
          <w:lang w:val="fr-FR"/>
        </w:rPr>
        <w:t>40.</w:t>
      </w:r>
      <w:r>
        <w:rPr>
          <w:rFonts w:eastAsia="Calibri"/>
          <w:noProof/>
          <w:lang w:val="fr-FR"/>
        </w:rPr>
        <w:tab/>
        <w:t>Le</w:t>
      </w:r>
      <w:r w:rsidRPr="00DE2A76">
        <w:rPr>
          <w:rFonts w:eastAsia="Calibri"/>
          <w:noProof/>
          <w:lang w:val="fr-FR"/>
        </w:rPr>
        <w:t>s art</w:t>
      </w:r>
      <w:r>
        <w:rPr>
          <w:rFonts w:eastAsia="Calibri"/>
          <w:noProof/>
          <w:lang w:val="fr-FR"/>
        </w:rPr>
        <w:t xml:space="preserve">icles </w:t>
      </w:r>
      <w:r w:rsidRPr="00DE2A76">
        <w:rPr>
          <w:rFonts w:eastAsia="Calibri"/>
          <w:noProof/>
          <w:lang w:val="fr-FR"/>
        </w:rPr>
        <w:t xml:space="preserve">18 </w:t>
      </w:r>
      <w:r>
        <w:rPr>
          <w:rFonts w:eastAsia="Calibri"/>
          <w:noProof/>
          <w:lang w:val="fr-FR"/>
        </w:rPr>
        <w:t>et</w:t>
      </w:r>
      <w:r w:rsidRPr="00DE2A76">
        <w:rPr>
          <w:rFonts w:eastAsia="Calibri"/>
          <w:noProof/>
          <w:lang w:val="fr-FR"/>
        </w:rPr>
        <w:t xml:space="preserve"> 19 </w:t>
      </w:r>
      <w:r>
        <w:rPr>
          <w:rFonts w:eastAsia="Calibri"/>
          <w:noProof/>
          <w:lang w:val="fr-FR"/>
        </w:rPr>
        <w:t>du nouveau Code de procédure pénale</w:t>
      </w:r>
      <w:r w:rsidRPr="00DE2A76">
        <w:rPr>
          <w:rFonts w:eastAsia="Calibri"/>
          <w:noProof/>
          <w:sz w:val="18"/>
          <w:szCs w:val="18"/>
          <w:vertAlign w:val="superscript"/>
          <w:lang w:val="fr-FR"/>
        </w:rPr>
        <w:footnoteReference w:id="12"/>
      </w:r>
      <w:r w:rsidRPr="00DE2A76">
        <w:rPr>
          <w:rFonts w:eastAsia="Calibri"/>
          <w:noProof/>
          <w:lang w:val="fr-FR"/>
        </w:rPr>
        <w:t xml:space="preserve"> </w:t>
      </w:r>
      <w:r>
        <w:rPr>
          <w:rFonts w:eastAsia="Calibri"/>
          <w:noProof/>
          <w:lang w:val="fr-FR"/>
        </w:rPr>
        <w:t>disposent qu</w:t>
      </w:r>
      <w:r w:rsidR="00607CA3">
        <w:rPr>
          <w:rFonts w:eastAsia="Calibri"/>
          <w:noProof/>
          <w:lang w:val="fr-FR"/>
        </w:rPr>
        <w:t>’</w:t>
      </w:r>
      <w:r>
        <w:rPr>
          <w:rFonts w:eastAsia="Calibri"/>
          <w:noProof/>
          <w:lang w:val="fr-FR"/>
        </w:rPr>
        <w:t>en matière pénale, c</w:t>
      </w:r>
      <w:r w:rsidR="00607CA3">
        <w:rPr>
          <w:rFonts w:eastAsia="Calibri"/>
          <w:noProof/>
          <w:lang w:val="fr-FR"/>
        </w:rPr>
        <w:t>’</w:t>
      </w:r>
      <w:r>
        <w:rPr>
          <w:rFonts w:eastAsia="Calibri"/>
          <w:noProof/>
          <w:lang w:val="fr-FR"/>
        </w:rPr>
        <w:t>est au pouvoir judiciaire qu</w:t>
      </w:r>
      <w:r w:rsidR="00607CA3">
        <w:rPr>
          <w:rFonts w:eastAsia="Calibri"/>
          <w:noProof/>
          <w:lang w:val="fr-FR"/>
        </w:rPr>
        <w:t>’</w:t>
      </w:r>
      <w:r>
        <w:rPr>
          <w:rFonts w:eastAsia="Calibri"/>
          <w:noProof/>
          <w:lang w:val="fr-FR"/>
        </w:rPr>
        <w:t>il incombe de rendre la justice, ce pouvoir étant non</w:t>
      </w:r>
      <w:r w:rsidRPr="00DE2A76">
        <w:rPr>
          <w:rFonts w:eastAsia="Calibri"/>
          <w:noProof/>
          <w:lang w:val="fr-FR"/>
        </w:rPr>
        <w:t xml:space="preserve"> d</w:t>
      </w:r>
      <w:r>
        <w:rPr>
          <w:rFonts w:eastAsia="Calibri"/>
          <w:noProof/>
          <w:lang w:val="fr-FR"/>
        </w:rPr>
        <w:t>é</w:t>
      </w:r>
      <w:r w:rsidRPr="00DE2A76">
        <w:rPr>
          <w:rFonts w:eastAsia="Calibri"/>
          <w:noProof/>
          <w:lang w:val="fr-FR"/>
        </w:rPr>
        <w:t>l</w:t>
      </w:r>
      <w:r>
        <w:rPr>
          <w:rFonts w:eastAsia="Calibri"/>
          <w:noProof/>
          <w:lang w:val="fr-FR"/>
        </w:rPr>
        <w:t>é</w:t>
      </w:r>
      <w:r w:rsidRPr="00DE2A76">
        <w:rPr>
          <w:rFonts w:eastAsia="Calibri"/>
          <w:noProof/>
          <w:lang w:val="fr-FR"/>
        </w:rPr>
        <w:t xml:space="preserve">gable. </w:t>
      </w:r>
    </w:p>
    <w:p w:rsidR="00596826" w:rsidRPr="00DE2A76" w:rsidRDefault="00596826" w:rsidP="00596826">
      <w:pPr>
        <w:pStyle w:val="SingleTxtG"/>
        <w:rPr>
          <w:noProof/>
          <w:lang w:val="fr-FR"/>
        </w:rPr>
      </w:pPr>
      <w:r w:rsidRPr="00DE2A76">
        <w:rPr>
          <w:noProof/>
          <w:lang w:val="fr-FR"/>
        </w:rPr>
        <w:t>41.</w:t>
      </w:r>
      <w:r w:rsidRPr="00DE2A76">
        <w:rPr>
          <w:noProof/>
          <w:lang w:val="fr-FR"/>
        </w:rPr>
        <w:tab/>
        <w:t>L</w:t>
      </w:r>
      <w:r>
        <w:rPr>
          <w:noProof/>
          <w:lang w:val="fr-FR"/>
        </w:rPr>
        <w:t>e</w:t>
      </w:r>
      <w:r w:rsidRPr="00DE2A76">
        <w:rPr>
          <w:noProof/>
          <w:lang w:val="fr-FR"/>
        </w:rPr>
        <w:t xml:space="preserve">s </w:t>
      </w:r>
      <w:r>
        <w:rPr>
          <w:noProof/>
          <w:lang w:val="fr-FR"/>
        </w:rPr>
        <w:t xml:space="preserve">mutations et promotions des magistrats sont régies par la décision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sidRPr="00DE2A76">
        <w:rPr>
          <w:noProof/>
          <w:lang w:val="fr-FR"/>
        </w:rPr>
        <w:t>7772 d</w:t>
      </w:r>
      <w:r>
        <w:rPr>
          <w:noProof/>
          <w:lang w:val="fr-FR"/>
        </w:rPr>
        <w:t>u</w:t>
      </w:r>
      <w:r w:rsidRPr="00DE2A76">
        <w:rPr>
          <w:noProof/>
          <w:lang w:val="fr-FR"/>
        </w:rPr>
        <w:t xml:space="preserve"> 19</w:t>
      </w:r>
      <w:r w:rsidR="00607CA3">
        <w:rPr>
          <w:noProof/>
          <w:lang w:val="fr-FR"/>
        </w:rPr>
        <w:t> </w:t>
      </w:r>
      <w:r>
        <w:rPr>
          <w:noProof/>
          <w:lang w:val="fr-FR"/>
        </w:rPr>
        <w:t xml:space="preserve">août </w:t>
      </w:r>
      <w:r w:rsidRPr="00DE2A76">
        <w:rPr>
          <w:noProof/>
          <w:lang w:val="fr-FR"/>
        </w:rPr>
        <w:t>2013</w:t>
      </w:r>
      <w:r w:rsidRPr="00691AD9">
        <w:rPr>
          <w:rStyle w:val="Appelnotedebasdep"/>
        </w:rPr>
        <w:footnoteReference w:id="13"/>
      </w:r>
      <w:r w:rsidRPr="00DE2A76">
        <w:rPr>
          <w:noProof/>
          <w:lang w:val="fr-FR"/>
        </w:rPr>
        <w:t xml:space="preserve">. </w:t>
      </w:r>
      <w:r>
        <w:rPr>
          <w:noProof/>
          <w:lang w:val="fr-FR"/>
        </w:rPr>
        <w:t xml:space="preserve">Le système des mutations et promotions des magistrats repose essentiellement sur le travail de la Commission consultative de la Cour suprême de justice, qui est chargée de donner des avis à </w:t>
      </w:r>
      <w:r w:rsidRPr="00DE2A76">
        <w:rPr>
          <w:noProof/>
          <w:lang w:val="fr-FR"/>
        </w:rPr>
        <w:t xml:space="preserve">la </w:t>
      </w:r>
      <w:r>
        <w:rPr>
          <w:noProof/>
          <w:lang w:val="fr-FR"/>
        </w:rPr>
        <w:t>Corporation en ce qui concerne les mutations et les promotions de tous les juges du pays</w:t>
      </w:r>
      <w:r w:rsidRPr="00DE2A76">
        <w:rPr>
          <w:noProof/>
          <w:lang w:val="fr-FR"/>
        </w:rPr>
        <w:t xml:space="preserve">. </w:t>
      </w:r>
      <w:r>
        <w:rPr>
          <w:noProof/>
          <w:lang w:val="fr-FR"/>
        </w:rPr>
        <w:t>Il appartient à cette Commission d</w:t>
      </w:r>
      <w:r w:rsidR="00607CA3">
        <w:rPr>
          <w:noProof/>
          <w:lang w:val="fr-FR"/>
        </w:rPr>
        <w:t>’</w:t>
      </w:r>
      <w:r>
        <w:rPr>
          <w:noProof/>
          <w:lang w:val="fr-FR"/>
        </w:rPr>
        <w:t>évaluer les mérites et la formation (art.</w:t>
      </w:r>
      <w:r w:rsidR="00607CA3">
        <w:rPr>
          <w:noProof/>
          <w:lang w:val="fr-FR"/>
        </w:rPr>
        <w:t> </w:t>
      </w:r>
      <w:r>
        <w:rPr>
          <w:noProof/>
          <w:lang w:val="fr-FR"/>
        </w:rPr>
        <w:t xml:space="preserve">97.2 et 97.3 de la loi </w:t>
      </w:r>
      <w:r w:rsidR="00607CA3" w:rsidRPr="00607CA3">
        <w:rPr>
          <w:rFonts w:eastAsia="MS Mincho"/>
          <w:noProof/>
          <w:szCs w:val="22"/>
          <w:lang w:val="fr-FR"/>
        </w:rPr>
        <w:t>n</w:t>
      </w:r>
      <w:r w:rsidR="00607CA3" w:rsidRPr="00607CA3">
        <w:rPr>
          <w:rFonts w:eastAsia="MS Mincho"/>
          <w:noProof/>
          <w:szCs w:val="22"/>
          <w:vertAlign w:val="superscript"/>
          <w:lang w:val="fr-FR"/>
        </w:rPr>
        <w:t>o</w:t>
      </w:r>
      <w:r w:rsidR="00607CA3">
        <w:rPr>
          <w:noProof/>
          <w:lang w:val="fr-FR"/>
        </w:rPr>
        <w:t> </w:t>
      </w:r>
      <w:r>
        <w:rPr>
          <w:noProof/>
          <w:lang w:val="fr-FR"/>
        </w:rPr>
        <w:t xml:space="preserve">15750) des magistrats de chaque grade </w:t>
      </w:r>
      <w:r w:rsidRPr="00DE2A76">
        <w:rPr>
          <w:noProof/>
          <w:lang w:val="fr-FR"/>
        </w:rPr>
        <w:t>(art.</w:t>
      </w:r>
      <w:r w:rsidR="00607CA3">
        <w:rPr>
          <w:noProof/>
          <w:lang w:val="fr-FR"/>
        </w:rPr>
        <w:t> </w:t>
      </w:r>
      <w:r w:rsidRPr="00DE2A76">
        <w:rPr>
          <w:noProof/>
          <w:lang w:val="fr-FR"/>
        </w:rPr>
        <w:t xml:space="preserve">98 de la </w:t>
      </w:r>
      <w:r>
        <w:rPr>
          <w:noProof/>
          <w:lang w:val="fr-FR"/>
        </w:rPr>
        <w:t>même loi</w:t>
      </w:r>
      <w:r w:rsidRPr="00DE2A76">
        <w:rPr>
          <w:noProof/>
          <w:lang w:val="fr-FR"/>
        </w:rPr>
        <w:t xml:space="preserve">). </w:t>
      </w:r>
      <w:r>
        <w:rPr>
          <w:noProof/>
          <w:lang w:val="fr-FR"/>
        </w:rPr>
        <w:t>À cette fin, elle prend en considération leur dossier individuel, la dé</w:t>
      </w:r>
      <w:r w:rsidRPr="00DE2A76">
        <w:rPr>
          <w:noProof/>
          <w:lang w:val="fr-FR"/>
        </w:rPr>
        <w:t>clara</w:t>
      </w:r>
      <w:r>
        <w:rPr>
          <w:noProof/>
          <w:lang w:val="fr-FR"/>
        </w:rPr>
        <w:t>tion sous serment soumise annuellement pour le contrôle des activités (formation), les</w:t>
      </w:r>
      <w:r w:rsidRPr="00DE2A76">
        <w:rPr>
          <w:noProof/>
          <w:lang w:val="fr-FR"/>
        </w:rPr>
        <w:t xml:space="preserve"> </w:t>
      </w:r>
      <w:r>
        <w:rPr>
          <w:noProof/>
          <w:lang w:val="fr-FR"/>
        </w:rPr>
        <w:t>statistiques et rapports d</w:t>
      </w:r>
      <w:r w:rsidR="00607CA3">
        <w:rPr>
          <w:noProof/>
          <w:lang w:val="fr-FR"/>
        </w:rPr>
        <w:t>’</w:t>
      </w:r>
      <w:r>
        <w:rPr>
          <w:noProof/>
          <w:lang w:val="fr-FR"/>
        </w:rPr>
        <w:t>inspection émanant des services de la Cour suprême de justice, les rapports de leur</w:t>
      </w:r>
      <w:r w:rsidR="00691AD9">
        <w:rPr>
          <w:noProof/>
          <w:lang w:val="fr-FR"/>
        </w:rPr>
        <w:t>s</w:t>
      </w:r>
      <w:r>
        <w:rPr>
          <w:noProof/>
          <w:lang w:val="fr-FR"/>
        </w:rPr>
        <w:t xml:space="preserve"> supérieurs </w:t>
      </w:r>
      <w:r w:rsidRPr="00DE2A76">
        <w:rPr>
          <w:noProof/>
          <w:lang w:val="fr-FR"/>
        </w:rPr>
        <w:t>(</w:t>
      </w:r>
      <w:r>
        <w:rPr>
          <w:noProof/>
          <w:lang w:val="fr-FR"/>
        </w:rPr>
        <w:t xml:space="preserve">en tenant compte tant des notes de cadrage que de leur nombre), </w:t>
      </w:r>
      <w:r w:rsidRPr="00DE2A76">
        <w:rPr>
          <w:noProof/>
          <w:lang w:val="fr-FR"/>
        </w:rPr>
        <w:t>l</w:t>
      </w:r>
      <w:r>
        <w:rPr>
          <w:noProof/>
          <w:lang w:val="fr-FR"/>
        </w:rPr>
        <w:t>e</w:t>
      </w:r>
      <w:r w:rsidRPr="00DE2A76">
        <w:rPr>
          <w:noProof/>
          <w:lang w:val="fr-FR"/>
        </w:rPr>
        <w:t xml:space="preserve">s </w:t>
      </w:r>
      <w:r>
        <w:rPr>
          <w:noProof/>
          <w:lang w:val="fr-FR"/>
        </w:rPr>
        <w:t>rapports des institutions représentées à la Commission et toutes informations supplémentaires que cette dernière peut juger opportun de prendre en considération ou de solliciter</w:t>
      </w:r>
      <w:r w:rsidRPr="00DE2A76">
        <w:rPr>
          <w:noProof/>
          <w:lang w:val="fr-FR"/>
        </w:rPr>
        <w:t xml:space="preserve">. </w:t>
      </w:r>
      <w:r>
        <w:rPr>
          <w:noProof/>
          <w:lang w:val="fr-FR"/>
        </w:rPr>
        <w:t>À cet égard, il y a lieu de tenir compte plus spécialement des délais de fixation de la date des audiences et de leurs reports et, d</w:t>
      </w:r>
      <w:r w:rsidR="00607CA3">
        <w:rPr>
          <w:noProof/>
          <w:lang w:val="fr-FR"/>
        </w:rPr>
        <w:t>’</w:t>
      </w:r>
      <w:r>
        <w:rPr>
          <w:noProof/>
          <w:lang w:val="fr-FR"/>
        </w:rPr>
        <w:t>une façon générale, de la durée des procédures confiées aux magistrats ainsi évalués</w:t>
      </w:r>
      <w:r w:rsidRPr="00DE2A76">
        <w:rPr>
          <w:noProof/>
          <w:lang w:val="fr-FR"/>
        </w:rPr>
        <w:t>.</w:t>
      </w:r>
    </w:p>
    <w:p w:rsidR="00596826" w:rsidRPr="00DE2A76" w:rsidRDefault="00596826" w:rsidP="00596826">
      <w:pPr>
        <w:pStyle w:val="SingleTxtG"/>
        <w:rPr>
          <w:noProof/>
          <w:lang w:val="fr-FR"/>
        </w:rPr>
      </w:pPr>
      <w:r>
        <w:rPr>
          <w:noProof/>
          <w:lang w:val="fr-FR"/>
        </w:rPr>
        <w:t>42.</w:t>
      </w:r>
      <w:r>
        <w:rPr>
          <w:noProof/>
          <w:lang w:val="fr-FR"/>
        </w:rPr>
        <w:tab/>
        <w:t xml:space="preserve">La Commission consultative comprend </w:t>
      </w:r>
      <w:r w:rsidR="00691AD9">
        <w:rPr>
          <w:noProof/>
          <w:lang w:val="fr-FR"/>
        </w:rPr>
        <w:t>5</w:t>
      </w:r>
      <w:r>
        <w:rPr>
          <w:noProof/>
          <w:lang w:val="fr-FR"/>
        </w:rPr>
        <w:t xml:space="preserve"> membres :</w:t>
      </w:r>
      <w:r w:rsidRPr="00DE2A76">
        <w:rPr>
          <w:noProof/>
          <w:lang w:val="fr-FR"/>
        </w:rPr>
        <w:t xml:space="preserve"> </w:t>
      </w:r>
      <w:r w:rsidR="00691AD9">
        <w:rPr>
          <w:noProof/>
          <w:lang w:val="fr-FR"/>
        </w:rPr>
        <w:t>1</w:t>
      </w:r>
      <w:r w:rsidRPr="00DE2A76">
        <w:rPr>
          <w:noProof/>
          <w:lang w:val="fr-FR"/>
        </w:rPr>
        <w:t xml:space="preserve"> </w:t>
      </w:r>
      <w:r>
        <w:rPr>
          <w:noProof/>
          <w:lang w:val="fr-FR"/>
        </w:rPr>
        <w:t>m</w:t>
      </w:r>
      <w:r w:rsidRPr="00DE2A76">
        <w:rPr>
          <w:noProof/>
          <w:lang w:val="fr-FR"/>
        </w:rPr>
        <w:t>inistr</w:t>
      </w:r>
      <w:r>
        <w:rPr>
          <w:noProof/>
          <w:lang w:val="fr-FR"/>
        </w:rPr>
        <w:t>e</w:t>
      </w:r>
      <w:r w:rsidRPr="00DE2A76">
        <w:rPr>
          <w:noProof/>
          <w:lang w:val="fr-FR"/>
        </w:rPr>
        <w:t xml:space="preserve"> de la </w:t>
      </w:r>
      <w:r>
        <w:rPr>
          <w:noProof/>
          <w:lang w:val="fr-FR"/>
        </w:rPr>
        <w:t xml:space="preserve">Cour suprême de justice, </w:t>
      </w:r>
      <w:r w:rsidR="00691AD9">
        <w:rPr>
          <w:noProof/>
          <w:lang w:val="fr-FR"/>
        </w:rPr>
        <w:t>2</w:t>
      </w:r>
      <w:r w:rsidRPr="00DE2A76">
        <w:rPr>
          <w:noProof/>
          <w:lang w:val="fr-FR"/>
        </w:rPr>
        <w:t xml:space="preserve"> </w:t>
      </w:r>
      <w:r>
        <w:rPr>
          <w:noProof/>
          <w:lang w:val="fr-FR"/>
        </w:rPr>
        <w:t>m</w:t>
      </w:r>
      <w:r w:rsidRPr="00DE2A76">
        <w:rPr>
          <w:noProof/>
          <w:lang w:val="fr-FR"/>
        </w:rPr>
        <w:t>inistr</w:t>
      </w:r>
      <w:r>
        <w:rPr>
          <w:noProof/>
          <w:lang w:val="fr-FR"/>
        </w:rPr>
        <w:t>e</w:t>
      </w:r>
      <w:r w:rsidRPr="00DE2A76">
        <w:rPr>
          <w:noProof/>
          <w:lang w:val="fr-FR"/>
        </w:rPr>
        <w:t>s de</w:t>
      </w:r>
      <w:r>
        <w:rPr>
          <w:noProof/>
          <w:lang w:val="fr-FR"/>
        </w:rPr>
        <w:t>s cours d</w:t>
      </w:r>
      <w:r w:rsidR="00607CA3">
        <w:rPr>
          <w:noProof/>
          <w:lang w:val="fr-FR"/>
        </w:rPr>
        <w:t>’</w:t>
      </w:r>
      <w:r>
        <w:rPr>
          <w:noProof/>
          <w:lang w:val="fr-FR"/>
        </w:rPr>
        <w:t xml:space="preserve">appel </w:t>
      </w:r>
      <w:r w:rsidRPr="00DE2A76">
        <w:rPr>
          <w:noProof/>
          <w:lang w:val="fr-FR"/>
        </w:rPr>
        <w:t>(</w:t>
      </w:r>
      <w:r>
        <w:rPr>
          <w:noProof/>
          <w:lang w:val="fr-FR"/>
        </w:rPr>
        <w:t>dont l</w:t>
      </w:r>
      <w:r w:rsidR="00607CA3">
        <w:rPr>
          <w:noProof/>
          <w:lang w:val="fr-FR"/>
        </w:rPr>
        <w:t>’</w:t>
      </w:r>
      <w:r>
        <w:rPr>
          <w:noProof/>
          <w:lang w:val="fr-FR"/>
        </w:rPr>
        <w:t>un est désigné par l</w:t>
      </w:r>
      <w:r w:rsidR="00607CA3">
        <w:rPr>
          <w:noProof/>
          <w:lang w:val="fr-FR"/>
        </w:rPr>
        <w:t>’</w:t>
      </w:r>
      <w:r w:rsidRPr="00DE2A76">
        <w:rPr>
          <w:noProof/>
          <w:lang w:val="fr-FR"/>
        </w:rPr>
        <w:t>A</w:t>
      </w:r>
      <w:r>
        <w:rPr>
          <w:noProof/>
          <w:lang w:val="fr-FR"/>
        </w:rPr>
        <w:t>s</w:t>
      </w:r>
      <w:r w:rsidRPr="00DE2A76">
        <w:rPr>
          <w:noProof/>
          <w:lang w:val="fr-FR"/>
        </w:rPr>
        <w:t>socia</w:t>
      </w:r>
      <w:r>
        <w:rPr>
          <w:noProof/>
          <w:lang w:val="fr-FR"/>
        </w:rPr>
        <w:t>tion des m</w:t>
      </w:r>
      <w:r w:rsidRPr="00DE2A76">
        <w:rPr>
          <w:noProof/>
          <w:lang w:val="fr-FR"/>
        </w:rPr>
        <w:t>agistra</w:t>
      </w:r>
      <w:r>
        <w:rPr>
          <w:noProof/>
          <w:lang w:val="fr-FR"/>
        </w:rPr>
        <w:t>t</w:t>
      </w:r>
      <w:r w:rsidRPr="00DE2A76">
        <w:rPr>
          <w:noProof/>
          <w:lang w:val="fr-FR"/>
        </w:rPr>
        <w:t xml:space="preserve">s </w:t>
      </w:r>
      <w:r>
        <w:rPr>
          <w:noProof/>
          <w:lang w:val="fr-FR"/>
        </w:rPr>
        <w:t>u</w:t>
      </w:r>
      <w:r w:rsidRPr="00DE2A76">
        <w:rPr>
          <w:noProof/>
          <w:lang w:val="fr-FR"/>
        </w:rPr>
        <w:t>ruguay</w:t>
      </w:r>
      <w:r>
        <w:rPr>
          <w:noProof/>
          <w:lang w:val="fr-FR"/>
        </w:rPr>
        <w:t>ens</w:t>
      </w:r>
      <w:r w:rsidRPr="00DE2A76">
        <w:rPr>
          <w:noProof/>
          <w:lang w:val="fr-FR"/>
        </w:rPr>
        <w:t xml:space="preserve">), </w:t>
      </w:r>
      <w:r w:rsidR="00691AD9">
        <w:rPr>
          <w:noProof/>
          <w:lang w:val="fr-FR"/>
        </w:rPr>
        <w:t>1</w:t>
      </w:r>
      <w:r w:rsidRPr="00DE2A76">
        <w:rPr>
          <w:noProof/>
          <w:lang w:val="fr-FR"/>
        </w:rPr>
        <w:t xml:space="preserve"> a</w:t>
      </w:r>
      <w:r>
        <w:rPr>
          <w:noProof/>
          <w:lang w:val="fr-FR"/>
        </w:rPr>
        <w:t xml:space="preserve">vocat en exercice </w:t>
      </w:r>
      <w:r w:rsidRPr="00DE2A76">
        <w:rPr>
          <w:noProof/>
          <w:lang w:val="fr-FR"/>
        </w:rPr>
        <w:t>(prop</w:t>
      </w:r>
      <w:r>
        <w:rPr>
          <w:noProof/>
          <w:lang w:val="fr-FR"/>
        </w:rPr>
        <w:t>osé par le barreau uruguayen</w:t>
      </w:r>
      <w:r w:rsidRPr="00DE2A76">
        <w:rPr>
          <w:noProof/>
          <w:lang w:val="fr-FR"/>
        </w:rPr>
        <w:t xml:space="preserve">) </w:t>
      </w:r>
      <w:r>
        <w:rPr>
          <w:noProof/>
          <w:lang w:val="fr-FR"/>
        </w:rPr>
        <w:t xml:space="preserve">et </w:t>
      </w:r>
      <w:r w:rsidR="00691AD9">
        <w:rPr>
          <w:noProof/>
          <w:lang w:val="fr-FR"/>
        </w:rPr>
        <w:t>1 </w:t>
      </w:r>
      <w:r w:rsidRPr="00DE2A76">
        <w:rPr>
          <w:noProof/>
          <w:lang w:val="fr-FR"/>
        </w:rPr>
        <w:t>profes</w:t>
      </w:r>
      <w:r>
        <w:rPr>
          <w:noProof/>
          <w:lang w:val="fr-FR"/>
        </w:rPr>
        <w:t>seu</w:t>
      </w:r>
      <w:r w:rsidRPr="00DE2A76">
        <w:rPr>
          <w:noProof/>
          <w:lang w:val="fr-FR"/>
        </w:rPr>
        <w:t>r titula</w:t>
      </w:r>
      <w:r>
        <w:rPr>
          <w:noProof/>
          <w:lang w:val="fr-FR"/>
        </w:rPr>
        <w:t>i</w:t>
      </w:r>
      <w:r w:rsidRPr="00DE2A76">
        <w:rPr>
          <w:noProof/>
          <w:lang w:val="fr-FR"/>
        </w:rPr>
        <w:t>r</w:t>
      </w:r>
      <w:r>
        <w:rPr>
          <w:noProof/>
          <w:lang w:val="fr-FR"/>
        </w:rPr>
        <w:t>e</w:t>
      </w:r>
      <w:r w:rsidRPr="00DE2A76">
        <w:rPr>
          <w:noProof/>
          <w:lang w:val="fr-FR"/>
        </w:rPr>
        <w:t xml:space="preserve"> de la Facult</w:t>
      </w:r>
      <w:r>
        <w:rPr>
          <w:noProof/>
          <w:lang w:val="fr-FR"/>
        </w:rPr>
        <w:t>é</w:t>
      </w:r>
      <w:r w:rsidRPr="00DE2A76">
        <w:rPr>
          <w:noProof/>
          <w:lang w:val="fr-FR"/>
        </w:rPr>
        <w:t xml:space="preserve"> de </w:t>
      </w:r>
      <w:r>
        <w:rPr>
          <w:noProof/>
          <w:lang w:val="fr-FR"/>
        </w:rPr>
        <w:t>droit de l</w:t>
      </w:r>
      <w:r w:rsidR="00607CA3">
        <w:rPr>
          <w:noProof/>
          <w:lang w:val="fr-FR"/>
        </w:rPr>
        <w:t>’</w:t>
      </w:r>
      <w:r w:rsidRPr="00DE2A76">
        <w:rPr>
          <w:noProof/>
          <w:lang w:val="fr-FR"/>
        </w:rPr>
        <w:t>Universi</w:t>
      </w:r>
      <w:r>
        <w:rPr>
          <w:noProof/>
          <w:lang w:val="fr-FR"/>
        </w:rPr>
        <w:t xml:space="preserve">té </w:t>
      </w:r>
      <w:r w:rsidRPr="00DE2A76">
        <w:rPr>
          <w:noProof/>
          <w:lang w:val="fr-FR"/>
        </w:rPr>
        <w:t>de la R</w:t>
      </w:r>
      <w:r>
        <w:rPr>
          <w:noProof/>
          <w:lang w:val="fr-FR"/>
        </w:rPr>
        <w:t>é</w:t>
      </w:r>
      <w:r w:rsidRPr="00DE2A76">
        <w:rPr>
          <w:noProof/>
          <w:lang w:val="fr-FR"/>
        </w:rPr>
        <w:t>p</w:t>
      </w:r>
      <w:r>
        <w:rPr>
          <w:noProof/>
          <w:lang w:val="fr-FR"/>
        </w:rPr>
        <w:t>ublique</w:t>
      </w:r>
      <w:r w:rsidRPr="00DE2A76">
        <w:rPr>
          <w:noProof/>
          <w:lang w:val="fr-FR"/>
        </w:rPr>
        <w:t>. La Com</w:t>
      </w:r>
      <w:r>
        <w:rPr>
          <w:noProof/>
          <w:lang w:val="fr-FR"/>
        </w:rPr>
        <w:t>mission présente de manière fondée à</w:t>
      </w:r>
      <w:r w:rsidRPr="00DE2A76">
        <w:rPr>
          <w:noProof/>
          <w:lang w:val="fr-FR"/>
        </w:rPr>
        <w:t xml:space="preserve"> la </w:t>
      </w:r>
      <w:r>
        <w:rPr>
          <w:noProof/>
          <w:lang w:val="fr-FR"/>
        </w:rPr>
        <w:t xml:space="preserve">Cour suprême de justice, avant le </w:t>
      </w:r>
      <w:r w:rsidRPr="00DE2A76">
        <w:rPr>
          <w:noProof/>
          <w:lang w:val="fr-FR"/>
        </w:rPr>
        <w:t>15</w:t>
      </w:r>
      <w:r w:rsidR="00607CA3">
        <w:rPr>
          <w:noProof/>
          <w:lang w:val="fr-FR"/>
        </w:rPr>
        <w:t> </w:t>
      </w:r>
      <w:r w:rsidRPr="00DE2A76">
        <w:rPr>
          <w:noProof/>
          <w:lang w:val="fr-FR"/>
        </w:rPr>
        <w:t>d</w:t>
      </w:r>
      <w:r>
        <w:rPr>
          <w:noProof/>
          <w:lang w:val="fr-FR"/>
        </w:rPr>
        <w:t>é</w:t>
      </w:r>
      <w:r w:rsidRPr="00DE2A76">
        <w:rPr>
          <w:noProof/>
          <w:lang w:val="fr-FR"/>
        </w:rPr>
        <w:t>cembre de c</w:t>
      </w:r>
      <w:r>
        <w:rPr>
          <w:noProof/>
          <w:lang w:val="fr-FR"/>
        </w:rPr>
        <w:t>haque année, les personnes dont elle propose la mutation ou la promotion</w:t>
      </w:r>
      <w:r w:rsidRPr="00DE2A76">
        <w:rPr>
          <w:noProof/>
          <w:lang w:val="fr-FR"/>
        </w:rPr>
        <w:t xml:space="preserve">. </w:t>
      </w:r>
      <w:r>
        <w:rPr>
          <w:noProof/>
          <w:lang w:val="fr-FR"/>
        </w:rPr>
        <w:t>À cette date, les</w:t>
      </w:r>
      <w:r w:rsidRPr="00DE2A76">
        <w:rPr>
          <w:noProof/>
          <w:lang w:val="fr-FR"/>
        </w:rPr>
        <w:t xml:space="preserve"> </w:t>
      </w:r>
      <w:r>
        <w:rPr>
          <w:noProof/>
          <w:lang w:val="fr-FR"/>
        </w:rPr>
        <w:t xml:space="preserve">prestations antérieures de la </w:t>
      </w:r>
      <w:r w:rsidRPr="00DE2A76">
        <w:rPr>
          <w:noProof/>
          <w:lang w:val="fr-FR"/>
        </w:rPr>
        <w:t>Com</w:t>
      </w:r>
      <w:r>
        <w:rPr>
          <w:noProof/>
          <w:lang w:val="fr-FR"/>
        </w:rPr>
        <w:t>mission sont à la disposition des magistrats qui souhaiteraient en prendre connaissance</w:t>
      </w:r>
      <w:r w:rsidRPr="00DE2A76">
        <w:rPr>
          <w:noProof/>
          <w:lang w:val="fr-FR"/>
        </w:rPr>
        <w:t>.</w:t>
      </w:r>
    </w:p>
    <w:p w:rsidR="00596826" w:rsidRPr="00403A38" w:rsidRDefault="00596826" w:rsidP="00596826">
      <w:pPr>
        <w:pStyle w:val="SingleTxtG"/>
        <w:rPr>
          <w:rFonts w:eastAsia="Calibri"/>
          <w:noProof/>
          <w:lang w:val="fr-FR"/>
        </w:rPr>
      </w:pPr>
      <w:r w:rsidRPr="00DE2A76">
        <w:rPr>
          <w:rFonts w:eastAsia="Calibri"/>
          <w:noProof/>
          <w:lang w:val="fr-FR"/>
        </w:rPr>
        <w:t>43.</w:t>
      </w:r>
      <w:r w:rsidRPr="00DE2A76">
        <w:rPr>
          <w:rFonts w:eastAsia="Calibri"/>
          <w:noProof/>
          <w:lang w:val="fr-FR"/>
        </w:rPr>
        <w:tab/>
        <w:t xml:space="preserve">En </w:t>
      </w:r>
      <w:r>
        <w:rPr>
          <w:rFonts w:eastAsia="Calibri"/>
          <w:noProof/>
          <w:lang w:val="fr-FR"/>
        </w:rPr>
        <w:t>ce qui concerne l</w:t>
      </w:r>
      <w:r w:rsidR="00607CA3">
        <w:rPr>
          <w:rFonts w:eastAsia="Calibri"/>
          <w:noProof/>
          <w:lang w:val="fr-FR"/>
        </w:rPr>
        <w:t>’</w:t>
      </w:r>
      <w:r w:rsidRPr="00DE2A76">
        <w:rPr>
          <w:rFonts w:eastAsia="Calibri"/>
          <w:noProof/>
          <w:lang w:val="fr-FR"/>
        </w:rPr>
        <w:t>ind</w:t>
      </w:r>
      <w:r>
        <w:rPr>
          <w:rFonts w:eastAsia="Calibri"/>
          <w:noProof/>
          <w:lang w:val="fr-FR"/>
        </w:rPr>
        <w:t>é</w:t>
      </w:r>
      <w:r w:rsidRPr="00DE2A76">
        <w:rPr>
          <w:rFonts w:eastAsia="Calibri"/>
          <w:noProof/>
          <w:lang w:val="fr-FR"/>
        </w:rPr>
        <w:t>pend</w:t>
      </w:r>
      <w:r>
        <w:rPr>
          <w:rFonts w:eastAsia="Calibri"/>
          <w:noProof/>
          <w:lang w:val="fr-FR"/>
        </w:rPr>
        <w:t>ance des procureurs</w:t>
      </w:r>
      <w:r w:rsidRPr="00DE2A76">
        <w:rPr>
          <w:rFonts w:eastAsia="Calibri"/>
          <w:noProof/>
          <w:lang w:val="fr-FR"/>
        </w:rPr>
        <w:t xml:space="preserve">, la </w:t>
      </w:r>
      <w:r>
        <w:rPr>
          <w:rFonts w:eastAsia="Calibri"/>
          <w:noProof/>
          <w:lang w:val="fr-FR"/>
        </w:rPr>
        <w:t xml:space="preserve">loi </w:t>
      </w:r>
      <w:r w:rsidR="00E2492B" w:rsidRPr="00E2492B">
        <w:rPr>
          <w:rFonts w:eastAsia="MS Mincho"/>
          <w:noProof/>
          <w:szCs w:val="22"/>
          <w:lang w:val="fr-FR"/>
        </w:rPr>
        <w:t>n</w:t>
      </w:r>
      <w:r w:rsidR="00E2492B" w:rsidRPr="00E2492B">
        <w:rPr>
          <w:rFonts w:eastAsia="MS Mincho"/>
          <w:noProof/>
          <w:szCs w:val="22"/>
          <w:vertAlign w:val="superscript"/>
          <w:lang w:val="fr-FR"/>
        </w:rPr>
        <w:t>o</w:t>
      </w:r>
      <w:r w:rsidR="00E2492B">
        <w:rPr>
          <w:rFonts w:eastAsia="Calibri"/>
          <w:noProof/>
          <w:lang w:val="fr-FR"/>
        </w:rPr>
        <w:t> </w:t>
      </w:r>
      <w:r w:rsidRPr="00DE2A76">
        <w:rPr>
          <w:rFonts w:eastAsia="Calibri"/>
          <w:noProof/>
          <w:lang w:val="fr-FR"/>
        </w:rPr>
        <w:t xml:space="preserve">19334 </w:t>
      </w:r>
      <w:r>
        <w:rPr>
          <w:rFonts w:eastAsia="Calibri"/>
          <w:noProof/>
          <w:lang w:val="fr-FR"/>
        </w:rPr>
        <w:t xml:space="preserve">du </w:t>
      </w:r>
      <w:r w:rsidRPr="00DE2A76">
        <w:rPr>
          <w:rFonts w:eastAsia="Calibri"/>
          <w:noProof/>
          <w:lang w:val="fr-FR"/>
        </w:rPr>
        <w:t>14</w:t>
      </w:r>
      <w:r w:rsidR="00E2492B">
        <w:rPr>
          <w:rFonts w:eastAsia="Calibri"/>
          <w:noProof/>
          <w:lang w:val="fr-FR"/>
        </w:rPr>
        <w:t> </w:t>
      </w:r>
      <w:r>
        <w:rPr>
          <w:rFonts w:eastAsia="Calibri"/>
          <w:noProof/>
          <w:lang w:val="fr-FR"/>
        </w:rPr>
        <w:t xml:space="preserve">août </w:t>
      </w:r>
      <w:r w:rsidRPr="00DE2A76">
        <w:rPr>
          <w:rFonts w:eastAsia="Calibri"/>
          <w:noProof/>
          <w:lang w:val="fr-FR"/>
        </w:rPr>
        <w:t xml:space="preserve"> 2015</w:t>
      </w:r>
      <w:r>
        <w:rPr>
          <w:rFonts w:eastAsia="Calibri"/>
          <w:noProof/>
          <w:lang w:val="fr-FR"/>
        </w:rPr>
        <w:t xml:space="preserve"> a créé le Bureau du Procureur général de la Nation, entité décentralisée. En vertu de l</w:t>
      </w:r>
      <w:r w:rsidR="00607CA3">
        <w:rPr>
          <w:rFonts w:eastAsia="Calibri"/>
          <w:noProof/>
          <w:lang w:val="fr-FR"/>
        </w:rPr>
        <w:t>’</w:t>
      </w:r>
      <w:r>
        <w:rPr>
          <w:rFonts w:eastAsia="Calibri"/>
          <w:noProof/>
          <w:lang w:val="fr-FR"/>
        </w:rPr>
        <w:t>article 4 de cette loi, le pouvoir exécutif n</w:t>
      </w:r>
      <w:r w:rsidR="00607CA3">
        <w:rPr>
          <w:rFonts w:eastAsia="Calibri"/>
          <w:noProof/>
          <w:lang w:val="fr-FR"/>
        </w:rPr>
        <w:t>’</w:t>
      </w:r>
      <w:r>
        <w:rPr>
          <w:rFonts w:eastAsia="Calibri"/>
          <w:noProof/>
          <w:lang w:val="fr-FR"/>
        </w:rPr>
        <w:t>exerce un droit de regard sur ce Bureau qu</w:t>
      </w:r>
      <w:r w:rsidR="00607CA3">
        <w:rPr>
          <w:rFonts w:eastAsia="Calibri"/>
          <w:noProof/>
          <w:lang w:val="fr-FR"/>
        </w:rPr>
        <w:t>’</w:t>
      </w:r>
      <w:r>
        <w:rPr>
          <w:rFonts w:eastAsia="Calibri"/>
          <w:noProof/>
          <w:lang w:val="fr-FR"/>
        </w:rPr>
        <w:t>en ce qui concerne son fonctionnement administratif</w:t>
      </w:r>
      <w:r w:rsidRPr="00DE2A76">
        <w:rPr>
          <w:rFonts w:eastAsia="Calibri"/>
          <w:noProof/>
          <w:lang w:val="fr-FR"/>
        </w:rPr>
        <w:t xml:space="preserve">. </w:t>
      </w:r>
      <w:r>
        <w:rPr>
          <w:rFonts w:eastAsia="Calibri"/>
          <w:noProof/>
          <w:lang w:val="fr-FR"/>
        </w:rPr>
        <w:t xml:space="preserve">Le Bureau du Procureur général établit </w:t>
      </w:r>
      <w:r>
        <w:rPr>
          <w:rFonts w:eastAsia="Calibri"/>
          <w:noProof/>
          <w:lang w:val="fr-FR"/>
        </w:rPr>
        <w:lastRenderedPageBreak/>
        <w:t>son propre budget. De plus, l</w:t>
      </w:r>
      <w:r w:rsidR="00607CA3">
        <w:rPr>
          <w:rFonts w:eastAsia="Calibri"/>
          <w:noProof/>
          <w:lang w:val="fr-FR"/>
        </w:rPr>
        <w:t>’</w:t>
      </w:r>
      <w:r w:rsidRPr="00DE2A76">
        <w:rPr>
          <w:rFonts w:eastAsia="Calibri"/>
          <w:noProof/>
          <w:lang w:val="fr-FR"/>
        </w:rPr>
        <w:t>art</w:t>
      </w:r>
      <w:r>
        <w:rPr>
          <w:rFonts w:eastAsia="Calibri"/>
          <w:noProof/>
          <w:lang w:val="fr-FR"/>
        </w:rPr>
        <w:t xml:space="preserve">icle </w:t>
      </w:r>
      <w:r w:rsidRPr="00DE2A76">
        <w:rPr>
          <w:rFonts w:eastAsia="Calibri"/>
          <w:noProof/>
          <w:lang w:val="fr-FR"/>
        </w:rPr>
        <w:t>46</w:t>
      </w:r>
      <w:r w:rsidRPr="00691AD9">
        <w:rPr>
          <w:rStyle w:val="Appelnotedebasdep"/>
        </w:rPr>
        <w:footnoteReference w:id="14"/>
      </w:r>
      <w:r w:rsidRPr="00DE2A76">
        <w:rPr>
          <w:rFonts w:eastAsia="Calibri"/>
          <w:noProof/>
          <w:lang w:val="fr-FR"/>
        </w:rPr>
        <w:t xml:space="preserve"> d</w:t>
      </w:r>
      <w:r>
        <w:rPr>
          <w:rFonts w:eastAsia="Calibri"/>
          <w:noProof/>
          <w:lang w:val="fr-FR"/>
        </w:rPr>
        <w:t xml:space="preserve">u Code de procédure pénale consacre </w:t>
      </w:r>
      <w:r w:rsidRPr="00DE2A76">
        <w:rPr>
          <w:rFonts w:eastAsia="Calibri"/>
          <w:noProof/>
          <w:lang w:val="fr-FR"/>
        </w:rPr>
        <w:t>l</w:t>
      </w:r>
      <w:r w:rsidR="00607CA3">
        <w:rPr>
          <w:rFonts w:eastAsia="Calibri"/>
          <w:noProof/>
          <w:lang w:val="fr-FR"/>
        </w:rPr>
        <w:t>’</w:t>
      </w:r>
      <w:r>
        <w:rPr>
          <w:rFonts w:eastAsia="Calibri"/>
          <w:noProof/>
          <w:lang w:val="fr-FR"/>
        </w:rPr>
        <w:t xml:space="preserve">indépendance technique </w:t>
      </w:r>
      <w:r w:rsidRPr="00DE2A76">
        <w:rPr>
          <w:rFonts w:eastAsia="Calibri"/>
          <w:noProof/>
          <w:lang w:val="fr-FR"/>
        </w:rPr>
        <w:t>tant d</w:t>
      </w:r>
      <w:r>
        <w:rPr>
          <w:rFonts w:eastAsia="Calibri"/>
          <w:noProof/>
          <w:lang w:val="fr-FR"/>
        </w:rPr>
        <w:t>u</w:t>
      </w:r>
      <w:r w:rsidRPr="00DE2A76">
        <w:rPr>
          <w:rFonts w:eastAsia="Calibri"/>
          <w:noProof/>
          <w:lang w:val="fr-FR"/>
        </w:rPr>
        <w:t xml:space="preserve"> </w:t>
      </w:r>
      <w:r>
        <w:rPr>
          <w:rFonts w:eastAsia="Calibri"/>
          <w:noProof/>
          <w:lang w:val="fr-FR"/>
        </w:rPr>
        <w:t>procureur à la Cour et du Procureur général de la Nation que des procureurs nationaux. De même, l</w:t>
      </w:r>
      <w:r w:rsidR="00607CA3">
        <w:rPr>
          <w:rFonts w:eastAsia="Calibri"/>
          <w:noProof/>
          <w:lang w:val="fr-FR"/>
        </w:rPr>
        <w:t>’</w:t>
      </w:r>
      <w:r>
        <w:rPr>
          <w:rFonts w:eastAsia="Calibri"/>
          <w:noProof/>
          <w:lang w:val="fr-FR"/>
        </w:rPr>
        <w:t xml:space="preserve">article 5 de </w:t>
      </w:r>
      <w:r w:rsidRPr="00DE2A76">
        <w:rPr>
          <w:rFonts w:eastAsia="Calibri"/>
          <w:noProof/>
          <w:lang w:val="fr-FR"/>
        </w:rPr>
        <w:t xml:space="preserve">la </w:t>
      </w:r>
      <w:r>
        <w:rPr>
          <w:rFonts w:eastAsia="Calibri"/>
          <w:noProof/>
          <w:lang w:val="fr-FR"/>
        </w:rPr>
        <w:t xml:space="preserve">nouvelle loi </w:t>
      </w:r>
      <w:r w:rsidRPr="00DE2A76">
        <w:rPr>
          <w:rFonts w:eastAsia="Calibri"/>
          <w:noProof/>
          <w:lang w:val="fr-FR"/>
        </w:rPr>
        <w:t>org</w:t>
      </w:r>
      <w:r>
        <w:rPr>
          <w:rFonts w:eastAsia="Calibri"/>
          <w:noProof/>
          <w:lang w:val="fr-FR"/>
        </w:rPr>
        <w:t>anique</w:t>
      </w:r>
      <w:r w:rsidRPr="00691AD9">
        <w:rPr>
          <w:rStyle w:val="Appelnotedebasdep"/>
        </w:rPr>
        <w:footnoteReference w:id="15"/>
      </w:r>
      <w:r w:rsidRPr="00DE2A76">
        <w:rPr>
          <w:rFonts w:eastAsia="Calibri"/>
          <w:noProof/>
          <w:lang w:val="fr-FR"/>
        </w:rPr>
        <w:t xml:space="preserve"> d</w:t>
      </w:r>
      <w:r>
        <w:rPr>
          <w:rFonts w:eastAsia="Calibri"/>
          <w:noProof/>
          <w:lang w:val="fr-FR"/>
        </w:rPr>
        <w:t>u</w:t>
      </w:r>
      <w:r w:rsidRPr="00DE2A76">
        <w:rPr>
          <w:rFonts w:eastAsia="Calibri"/>
          <w:noProof/>
          <w:lang w:val="fr-FR"/>
        </w:rPr>
        <w:t xml:space="preserve"> </w:t>
      </w:r>
      <w:r>
        <w:rPr>
          <w:rFonts w:eastAsia="Calibri"/>
          <w:noProof/>
          <w:lang w:val="fr-FR"/>
        </w:rPr>
        <w:t xml:space="preserve">ministère public </w:t>
      </w:r>
      <w:r w:rsidRPr="00DE2A76">
        <w:rPr>
          <w:rFonts w:eastAsia="Calibri"/>
          <w:noProof/>
          <w:lang w:val="fr-FR"/>
        </w:rPr>
        <w:t>(</w:t>
      </w:r>
      <w:r>
        <w:rPr>
          <w:rFonts w:eastAsia="Calibri"/>
          <w:noProof/>
          <w:lang w:val="fr-FR"/>
        </w:rPr>
        <w:t xml:space="preserve">loi </w:t>
      </w:r>
      <w:r w:rsidR="00E2492B" w:rsidRPr="00E2492B">
        <w:rPr>
          <w:rFonts w:eastAsia="MS Mincho"/>
          <w:noProof/>
          <w:szCs w:val="22"/>
          <w:lang w:val="fr-FR"/>
        </w:rPr>
        <w:t>n</w:t>
      </w:r>
      <w:r w:rsidR="00E2492B" w:rsidRPr="00E2492B">
        <w:rPr>
          <w:rFonts w:eastAsia="MS Mincho"/>
          <w:noProof/>
          <w:szCs w:val="22"/>
          <w:vertAlign w:val="superscript"/>
          <w:lang w:val="fr-FR"/>
        </w:rPr>
        <w:t>o</w:t>
      </w:r>
      <w:r w:rsidR="00E2492B">
        <w:rPr>
          <w:rFonts w:eastAsia="Calibri"/>
          <w:noProof/>
          <w:lang w:val="fr-FR"/>
        </w:rPr>
        <w:t> </w:t>
      </w:r>
      <w:r w:rsidRPr="00DE2A76">
        <w:rPr>
          <w:rFonts w:eastAsia="Calibri"/>
          <w:noProof/>
          <w:lang w:val="fr-FR"/>
        </w:rPr>
        <w:t>19483 d</w:t>
      </w:r>
      <w:r>
        <w:rPr>
          <w:rFonts w:eastAsia="Calibri"/>
          <w:noProof/>
          <w:lang w:val="fr-FR"/>
        </w:rPr>
        <w:t>u</w:t>
      </w:r>
      <w:r w:rsidRPr="00DE2A76">
        <w:rPr>
          <w:rFonts w:eastAsia="Calibri"/>
          <w:noProof/>
          <w:lang w:val="fr-FR"/>
        </w:rPr>
        <w:t xml:space="preserve"> 5</w:t>
      </w:r>
      <w:r w:rsidR="00E2492B">
        <w:rPr>
          <w:rFonts w:eastAsia="Calibri"/>
          <w:noProof/>
          <w:lang w:val="fr-FR"/>
        </w:rPr>
        <w:t> </w:t>
      </w:r>
      <w:r>
        <w:rPr>
          <w:rFonts w:eastAsia="Calibri"/>
          <w:noProof/>
          <w:lang w:val="fr-FR"/>
        </w:rPr>
        <w:t xml:space="preserve">janvier </w:t>
      </w:r>
      <w:r w:rsidRPr="00DE2A76">
        <w:rPr>
          <w:rFonts w:eastAsia="Calibri"/>
          <w:noProof/>
          <w:lang w:val="fr-FR"/>
        </w:rPr>
        <w:t>2017) pr</w:t>
      </w:r>
      <w:r>
        <w:rPr>
          <w:rFonts w:eastAsia="Calibri"/>
          <w:noProof/>
          <w:lang w:val="fr-FR"/>
        </w:rPr>
        <w:t>évoit l</w:t>
      </w:r>
      <w:r w:rsidR="00607CA3">
        <w:rPr>
          <w:rFonts w:eastAsia="Calibri"/>
          <w:noProof/>
          <w:lang w:val="fr-FR"/>
        </w:rPr>
        <w:t>’</w:t>
      </w:r>
      <w:r w:rsidRPr="00DE2A76">
        <w:rPr>
          <w:rFonts w:eastAsia="Calibri"/>
          <w:noProof/>
          <w:lang w:val="fr-FR"/>
        </w:rPr>
        <w:t>ind</w:t>
      </w:r>
      <w:r>
        <w:rPr>
          <w:rFonts w:eastAsia="Calibri"/>
          <w:noProof/>
          <w:lang w:val="fr-FR"/>
        </w:rPr>
        <w:t>é</w:t>
      </w:r>
      <w:r w:rsidRPr="00DE2A76">
        <w:rPr>
          <w:rFonts w:eastAsia="Calibri"/>
          <w:noProof/>
          <w:lang w:val="fr-FR"/>
        </w:rPr>
        <w:t>pend</w:t>
      </w:r>
      <w:r>
        <w:rPr>
          <w:rFonts w:eastAsia="Calibri"/>
          <w:noProof/>
          <w:lang w:val="fr-FR"/>
        </w:rPr>
        <w:t>ance technique des procureurs dans l</w:t>
      </w:r>
      <w:r w:rsidR="00607CA3">
        <w:rPr>
          <w:rFonts w:eastAsia="Calibri"/>
          <w:noProof/>
          <w:lang w:val="fr-FR"/>
        </w:rPr>
        <w:t>’</w:t>
      </w:r>
      <w:r>
        <w:rPr>
          <w:rFonts w:eastAsia="Calibri"/>
          <w:noProof/>
          <w:lang w:val="fr-FR"/>
        </w:rPr>
        <w:t>exercice de leurs fonctions</w:t>
      </w:r>
      <w:r w:rsidR="00691AD9">
        <w:rPr>
          <w:rFonts w:eastAsia="Calibri"/>
          <w:noProof/>
          <w:lang w:val="fr-FR"/>
        </w:rPr>
        <w:t> </w:t>
      </w:r>
      <w:r>
        <w:rPr>
          <w:rFonts w:eastAsia="Calibri"/>
          <w:noProof/>
          <w:lang w:val="fr-FR"/>
        </w:rPr>
        <w:t>; son article 3 établit le principe d</w:t>
      </w:r>
      <w:r w:rsidR="00607CA3">
        <w:rPr>
          <w:rFonts w:eastAsia="Calibri"/>
          <w:noProof/>
          <w:lang w:val="fr-FR"/>
        </w:rPr>
        <w:t>’</w:t>
      </w:r>
      <w:r w:rsidRPr="00DE2A76">
        <w:rPr>
          <w:rFonts w:eastAsia="Calibri"/>
          <w:noProof/>
          <w:lang w:val="fr-FR"/>
        </w:rPr>
        <w:t>autonom</w:t>
      </w:r>
      <w:r>
        <w:rPr>
          <w:rFonts w:eastAsia="Calibri"/>
          <w:noProof/>
          <w:lang w:val="fr-FR"/>
        </w:rPr>
        <w:t xml:space="preserve">ie de fonctionnement, tandis que son article </w:t>
      </w:r>
      <w:r w:rsidRPr="00DE2A76">
        <w:rPr>
          <w:rFonts w:eastAsia="Calibri"/>
          <w:noProof/>
          <w:lang w:val="fr-FR"/>
        </w:rPr>
        <w:t>5 re</w:t>
      </w:r>
      <w:r>
        <w:rPr>
          <w:rFonts w:eastAsia="Calibri"/>
          <w:noProof/>
          <w:lang w:val="fr-FR"/>
        </w:rPr>
        <w:t>nforce l</w:t>
      </w:r>
      <w:r w:rsidR="00607CA3">
        <w:rPr>
          <w:rFonts w:eastAsia="Calibri"/>
          <w:noProof/>
          <w:lang w:val="fr-FR"/>
        </w:rPr>
        <w:t>’</w:t>
      </w:r>
      <w:r>
        <w:rPr>
          <w:rFonts w:eastAsia="Calibri"/>
          <w:noProof/>
          <w:lang w:val="fr-FR"/>
        </w:rPr>
        <w:t>autonomie technique des procureurs</w:t>
      </w:r>
      <w:r w:rsidRPr="00DE2A76">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 xml:space="preserve">article </w:t>
      </w:r>
      <w:r w:rsidRPr="00DE2A76">
        <w:rPr>
          <w:rFonts w:eastAsia="Calibri"/>
          <w:noProof/>
          <w:lang w:val="fr-FR"/>
        </w:rPr>
        <w:t xml:space="preserve">45 </w:t>
      </w:r>
      <w:r>
        <w:rPr>
          <w:rFonts w:eastAsia="Calibri"/>
          <w:noProof/>
          <w:lang w:val="fr-FR"/>
        </w:rPr>
        <w:t xml:space="preserve">institue un concours concernant le Bureau du Procureur général, dont les </w:t>
      </w:r>
      <w:r w:rsidRPr="00403A38">
        <w:rPr>
          <w:rFonts w:eastAsia="Calibri"/>
          <w:noProof/>
          <w:spacing w:val="-2"/>
          <w:lang w:val="fr-FR"/>
        </w:rPr>
        <w:t xml:space="preserve">résultats servent à élaborer la proposition à présenter au Sénat, auquel il appartient de désigner </w:t>
      </w:r>
      <w:r w:rsidRPr="00403A38">
        <w:rPr>
          <w:rFonts w:eastAsia="Calibri"/>
          <w:noProof/>
          <w:lang w:val="fr-FR"/>
        </w:rPr>
        <w:t>les procureurs qui permettront de former les équipes les plus qualifiées et compétentes.</w:t>
      </w:r>
    </w:p>
    <w:p w:rsidR="00596826" w:rsidRPr="00DE2A76" w:rsidRDefault="00596826" w:rsidP="00596826">
      <w:pPr>
        <w:pStyle w:val="SingleTxtG"/>
        <w:rPr>
          <w:rFonts w:eastAsia="Calibri"/>
          <w:iCs/>
          <w:noProof/>
          <w:lang w:val="fr-FR"/>
        </w:rPr>
      </w:pPr>
      <w:r w:rsidRPr="00DE2A76">
        <w:rPr>
          <w:rFonts w:eastAsia="Calibri"/>
          <w:noProof/>
          <w:lang w:val="fr-FR"/>
        </w:rPr>
        <w:t>44.</w:t>
      </w:r>
      <w:r w:rsidRPr="00DE2A76">
        <w:rPr>
          <w:rFonts w:eastAsia="Calibri"/>
          <w:noProof/>
          <w:lang w:val="fr-FR"/>
        </w:rPr>
        <w:tab/>
      </w:r>
      <w:r>
        <w:rPr>
          <w:rFonts w:eastAsia="Calibri"/>
          <w:noProof/>
          <w:lang w:val="fr-FR"/>
        </w:rPr>
        <w:t>Le système de riposte à la violence fondée sur le genre repose sur différents mécanismes de prise en charge</w:t>
      </w:r>
      <w:r w:rsidRPr="00DE2A76">
        <w:rPr>
          <w:rFonts w:eastAsia="Calibri"/>
          <w:noProof/>
          <w:lang w:val="fr-FR"/>
        </w:rPr>
        <w:t>. L</w:t>
      </w:r>
      <w:r>
        <w:rPr>
          <w:rFonts w:eastAsia="Calibri"/>
          <w:noProof/>
          <w:lang w:val="fr-FR"/>
        </w:rPr>
        <w:t>e</w:t>
      </w:r>
      <w:r w:rsidRPr="00DE2A76">
        <w:rPr>
          <w:rFonts w:eastAsia="Calibri"/>
          <w:noProof/>
          <w:lang w:val="fr-FR"/>
        </w:rPr>
        <w:t xml:space="preserve">s </w:t>
      </w:r>
      <w:r>
        <w:rPr>
          <w:rFonts w:eastAsia="Calibri"/>
          <w:noProof/>
          <w:lang w:val="fr-FR"/>
        </w:rPr>
        <w:t xml:space="preserve">femmes âgées de plus </w:t>
      </w:r>
      <w:r w:rsidRPr="00DE2A76">
        <w:rPr>
          <w:rFonts w:eastAsia="Calibri"/>
          <w:noProof/>
          <w:lang w:val="fr-FR"/>
        </w:rPr>
        <w:t>de 18</w:t>
      </w:r>
      <w:r w:rsidR="00E2492B">
        <w:rPr>
          <w:rFonts w:eastAsia="Calibri"/>
          <w:noProof/>
          <w:lang w:val="fr-FR"/>
        </w:rPr>
        <w:t> </w:t>
      </w:r>
      <w:r>
        <w:rPr>
          <w:rFonts w:eastAsia="Calibri"/>
          <w:noProof/>
          <w:lang w:val="fr-FR"/>
        </w:rPr>
        <w:t>ans ont accès à différents mécanismes selon la phase du processus où elles se trouvent</w:t>
      </w:r>
      <w:r w:rsidRPr="00DE2A76">
        <w:rPr>
          <w:rFonts w:eastAsia="Calibri"/>
          <w:noProof/>
          <w:lang w:val="fr-FR"/>
        </w:rPr>
        <w:t>. L</w:t>
      </w:r>
      <w:r>
        <w:rPr>
          <w:rFonts w:eastAsia="Calibri"/>
          <w:noProof/>
          <w:lang w:val="fr-FR"/>
        </w:rPr>
        <w:t>e</w:t>
      </w:r>
      <w:r w:rsidRPr="00DE2A76">
        <w:rPr>
          <w:rFonts w:eastAsia="Calibri"/>
          <w:noProof/>
          <w:lang w:val="fr-FR"/>
        </w:rPr>
        <w:t xml:space="preserve"> </w:t>
      </w:r>
      <w:r w:rsidRPr="0049793D">
        <w:rPr>
          <w:noProof/>
          <w:lang w:val="fr-FR"/>
        </w:rPr>
        <w:t xml:space="preserve">réseau de services pour une vie exempte de violence fondée sur le genre </w:t>
      </w:r>
      <w:r>
        <w:rPr>
          <w:noProof/>
          <w:lang w:val="fr-FR"/>
        </w:rPr>
        <w:t xml:space="preserve">regroupe </w:t>
      </w:r>
      <w:r w:rsidRPr="00DE2A76">
        <w:rPr>
          <w:rFonts w:eastAsia="Calibri"/>
          <w:noProof/>
          <w:lang w:val="fr-FR"/>
        </w:rPr>
        <w:t xml:space="preserve">27 </w:t>
      </w:r>
      <w:r>
        <w:rPr>
          <w:rFonts w:eastAsia="Calibri"/>
          <w:noProof/>
          <w:lang w:val="fr-FR"/>
        </w:rPr>
        <w:t>s</w:t>
      </w:r>
      <w:r w:rsidRPr="00DE2A76">
        <w:rPr>
          <w:rFonts w:eastAsia="Calibri"/>
          <w:noProof/>
          <w:lang w:val="fr-FR"/>
        </w:rPr>
        <w:t>ervic</w:t>
      </w:r>
      <w:r>
        <w:rPr>
          <w:rFonts w:eastAsia="Calibri"/>
          <w:noProof/>
          <w:lang w:val="fr-FR"/>
        </w:rPr>
        <w:t>e</w:t>
      </w:r>
      <w:r w:rsidRPr="00DE2A76">
        <w:rPr>
          <w:rFonts w:eastAsia="Calibri"/>
          <w:noProof/>
          <w:lang w:val="fr-FR"/>
        </w:rPr>
        <w:t xml:space="preserve">s de </w:t>
      </w:r>
      <w:r>
        <w:rPr>
          <w:rFonts w:eastAsia="Calibri"/>
          <w:noProof/>
          <w:lang w:val="fr-FR"/>
        </w:rPr>
        <w:t>prise en charge des femmes victimes de cette violence</w:t>
      </w:r>
      <w:r w:rsidR="00E2492B">
        <w:rPr>
          <w:rFonts w:eastAsia="Calibri"/>
          <w:noProof/>
          <w:lang w:val="fr-FR"/>
        </w:rPr>
        <w:t> </w:t>
      </w:r>
      <w:r w:rsidRPr="00DE2A76">
        <w:rPr>
          <w:rFonts w:eastAsia="Calibri"/>
          <w:noProof/>
          <w:lang w:val="fr-FR"/>
        </w:rPr>
        <w:t xml:space="preserve">; 18 </w:t>
      </w:r>
      <w:r>
        <w:rPr>
          <w:rFonts w:eastAsia="Calibri"/>
          <w:noProof/>
          <w:lang w:val="fr-FR"/>
        </w:rPr>
        <w:t>dispositif</w:t>
      </w:r>
      <w:r w:rsidRPr="00DE2A76">
        <w:rPr>
          <w:rFonts w:eastAsia="Calibri"/>
          <w:noProof/>
          <w:lang w:val="fr-FR"/>
        </w:rPr>
        <w:t xml:space="preserve">s de </w:t>
      </w:r>
      <w:r>
        <w:rPr>
          <w:rFonts w:eastAsia="Calibri"/>
          <w:noProof/>
          <w:lang w:val="fr-FR"/>
        </w:rPr>
        <w:t>coordination t</w:t>
      </w:r>
      <w:r w:rsidRPr="00DE2A76">
        <w:rPr>
          <w:rFonts w:eastAsia="Calibri"/>
          <w:noProof/>
          <w:lang w:val="fr-FR"/>
        </w:rPr>
        <w:t>erritorial</w:t>
      </w:r>
      <w:r>
        <w:rPr>
          <w:rFonts w:eastAsia="Calibri"/>
          <w:noProof/>
          <w:lang w:val="fr-FR"/>
        </w:rPr>
        <w:t>e</w:t>
      </w:r>
      <w:r w:rsidR="00E2492B">
        <w:rPr>
          <w:rFonts w:eastAsia="Calibri"/>
          <w:noProof/>
          <w:lang w:val="fr-FR"/>
        </w:rPr>
        <w:t> </w:t>
      </w:r>
      <w:r w:rsidRPr="00DE2A76">
        <w:rPr>
          <w:rFonts w:eastAsia="Calibri"/>
          <w:noProof/>
          <w:lang w:val="fr-FR"/>
        </w:rPr>
        <w:t xml:space="preserve">; </w:t>
      </w:r>
      <w:r w:rsidR="00E2492B">
        <w:rPr>
          <w:rFonts w:eastAsia="Calibri"/>
          <w:noProof/>
          <w:lang w:val="fr-FR"/>
        </w:rPr>
        <w:t>6 </w:t>
      </w:r>
      <w:r w:rsidRPr="0049793D">
        <w:rPr>
          <w:noProof/>
          <w:lang w:val="fr-FR"/>
        </w:rPr>
        <w:t>équipes chargées de l</w:t>
      </w:r>
      <w:r w:rsidR="00607CA3">
        <w:rPr>
          <w:noProof/>
          <w:lang w:val="fr-FR"/>
        </w:rPr>
        <w:t>’</w:t>
      </w:r>
      <w:r w:rsidRPr="0049793D">
        <w:rPr>
          <w:noProof/>
          <w:lang w:val="fr-FR"/>
        </w:rPr>
        <w:t>accompagnement des hommes usant ou ayant usé de violence à l</w:t>
      </w:r>
      <w:r w:rsidR="00607CA3">
        <w:rPr>
          <w:noProof/>
          <w:lang w:val="fr-FR"/>
        </w:rPr>
        <w:t>’</w:t>
      </w:r>
      <w:r w:rsidRPr="0049793D">
        <w:rPr>
          <w:noProof/>
          <w:lang w:val="fr-FR"/>
        </w:rPr>
        <w:t>égard de leurs partenaires ou ex</w:t>
      </w:r>
      <w:r>
        <w:rPr>
          <w:noProof/>
          <w:lang w:val="fr-FR"/>
        </w:rPr>
        <w:t>-</w:t>
      </w:r>
      <w:r w:rsidRPr="0049793D">
        <w:rPr>
          <w:noProof/>
          <w:lang w:val="fr-FR"/>
        </w:rPr>
        <w:t>partenaires</w:t>
      </w:r>
      <w:r w:rsidR="00E2492B">
        <w:rPr>
          <w:noProof/>
          <w:lang w:val="fr-FR"/>
        </w:rPr>
        <w:t> </w:t>
      </w:r>
      <w:r>
        <w:rPr>
          <w:rFonts w:eastAsia="Calibri"/>
          <w:noProof/>
          <w:lang w:val="fr-FR"/>
        </w:rPr>
        <w:t xml:space="preserve">; </w:t>
      </w:r>
      <w:r w:rsidR="00E2492B">
        <w:rPr>
          <w:rFonts w:eastAsia="Calibri"/>
          <w:noProof/>
          <w:lang w:val="fr-FR"/>
        </w:rPr>
        <w:t>1</w:t>
      </w:r>
      <w:r w:rsidRPr="00DE2A76">
        <w:rPr>
          <w:rFonts w:eastAsia="Calibri"/>
          <w:noProof/>
          <w:lang w:val="fr-FR"/>
        </w:rPr>
        <w:t xml:space="preserve"> </w:t>
      </w:r>
      <w:r>
        <w:rPr>
          <w:rFonts w:eastAsia="Calibri"/>
          <w:noProof/>
          <w:lang w:val="fr-FR"/>
        </w:rPr>
        <w:t xml:space="preserve">service de </w:t>
      </w:r>
      <w:r w:rsidRPr="0049793D">
        <w:rPr>
          <w:noProof/>
          <w:lang w:val="fr-FR"/>
        </w:rPr>
        <w:t xml:space="preserve">prise en charge </w:t>
      </w:r>
      <w:r>
        <w:rPr>
          <w:noProof/>
          <w:lang w:val="fr-FR"/>
        </w:rPr>
        <w:t>à l</w:t>
      </w:r>
      <w:r w:rsidR="00607CA3">
        <w:rPr>
          <w:noProof/>
          <w:lang w:val="fr-FR"/>
        </w:rPr>
        <w:t>’</w:t>
      </w:r>
      <w:r>
        <w:rPr>
          <w:noProof/>
          <w:lang w:val="fr-FR"/>
        </w:rPr>
        <w:t xml:space="preserve">échelon national </w:t>
      </w:r>
      <w:r w:rsidRPr="0049793D">
        <w:rPr>
          <w:noProof/>
          <w:lang w:val="fr-FR"/>
        </w:rPr>
        <w:t>des femmes victimes de traite à des fins d</w:t>
      </w:r>
      <w:r w:rsidR="00607CA3">
        <w:rPr>
          <w:noProof/>
          <w:lang w:val="fr-FR"/>
        </w:rPr>
        <w:t>’</w:t>
      </w:r>
      <w:r w:rsidRPr="0049793D">
        <w:rPr>
          <w:noProof/>
          <w:lang w:val="fr-FR"/>
        </w:rPr>
        <w:t>exploitation sexuelle</w:t>
      </w:r>
      <w:r w:rsidR="00E2492B">
        <w:rPr>
          <w:noProof/>
          <w:lang w:val="fr-FR"/>
        </w:rPr>
        <w:t> </w:t>
      </w:r>
      <w:r w:rsidRPr="00DE2A76">
        <w:rPr>
          <w:rFonts w:eastAsia="Calibri"/>
          <w:noProof/>
          <w:lang w:val="fr-FR"/>
        </w:rPr>
        <w:t xml:space="preserve">; </w:t>
      </w:r>
      <w:r w:rsidR="00E2492B">
        <w:rPr>
          <w:rFonts w:eastAsia="Calibri"/>
          <w:noProof/>
          <w:lang w:val="fr-FR"/>
        </w:rPr>
        <w:t>1</w:t>
      </w:r>
      <w:r w:rsidRPr="00DE2A76">
        <w:rPr>
          <w:rFonts w:eastAsia="Calibri"/>
          <w:noProof/>
          <w:lang w:val="fr-FR"/>
        </w:rPr>
        <w:t xml:space="preserve"> </w:t>
      </w:r>
      <w:r>
        <w:rPr>
          <w:rFonts w:eastAsia="Calibri"/>
          <w:noProof/>
          <w:lang w:val="fr-FR"/>
        </w:rPr>
        <w:t>é</w:t>
      </w:r>
      <w:r w:rsidRPr="00DE2A76">
        <w:rPr>
          <w:rFonts w:eastAsia="Calibri"/>
          <w:noProof/>
          <w:lang w:val="fr-FR"/>
        </w:rPr>
        <w:t>quip</w:t>
      </w:r>
      <w:r>
        <w:rPr>
          <w:rFonts w:eastAsia="Calibri"/>
          <w:noProof/>
          <w:lang w:val="fr-FR"/>
        </w:rPr>
        <w:t>e mobile nationale de prise en charge</w:t>
      </w:r>
      <w:r w:rsidR="00E2492B">
        <w:rPr>
          <w:rFonts w:eastAsia="Calibri"/>
          <w:noProof/>
          <w:lang w:val="fr-FR"/>
        </w:rPr>
        <w:t> </w:t>
      </w:r>
      <w:r w:rsidRPr="00DE2A76">
        <w:rPr>
          <w:rFonts w:eastAsia="Calibri"/>
          <w:noProof/>
          <w:lang w:val="fr-FR"/>
        </w:rPr>
        <w:t xml:space="preserve">; </w:t>
      </w:r>
      <w:r w:rsidR="00E2492B">
        <w:rPr>
          <w:rFonts w:eastAsia="Calibri"/>
          <w:noProof/>
          <w:lang w:val="fr-FR"/>
        </w:rPr>
        <w:t>1</w:t>
      </w:r>
      <w:r>
        <w:rPr>
          <w:rFonts w:eastAsia="Calibri"/>
          <w:noProof/>
          <w:lang w:val="fr-FR"/>
        </w:rPr>
        <w:t xml:space="preserve"> projet national de </w:t>
      </w:r>
      <w:r>
        <w:rPr>
          <w:lang w:val="fr-FR" w:eastAsia="fr-FR"/>
        </w:rPr>
        <w:t>logements de remplacement à titre provisoire pour les femmes qui cherchent</w:t>
      </w:r>
      <w:r w:rsidRPr="00411326">
        <w:t xml:space="preserve"> </w:t>
      </w:r>
      <w:r>
        <w:rPr>
          <w:lang w:val="fr-FR" w:eastAsia="fr-FR"/>
        </w:rPr>
        <w:t>à échapper à la violence familiale</w:t>
      </w:r>
      <w:r w:rsidRPr="00DE2A76">
        <w:rPr>
          <w:rFonts w:eastAsia="Calibri"/>
          <w:noProof/>
          <w:lang w:val="fr-FR"/>
        </w:rPr>
        <w:t xml:space="preserve">, </w:t>
      </w:r>
      <w:r>
        <w:rPr>
          <w:rFonts w:eastAsia="Calibri"/>
          <w:noProof/>
          <w:lang w:val="fr-FR"/>
        </w:rPr>
        <w:t>dans le cadre d</w:t>
      </w:r>
      <w:r w:rsidR="00607CA3">
        <w:rPr>
          <w:rFonts w:eastAsia="Calibri"/>
          <w:noProof/>
          <w:lang w:val="fr-FR"/>
        </w:rPr>
        <w:t>’</w:t>
      </w:r>
      <w:r>
        <w:rPr>
          <w:rFonts w:eastAsia="Calibri"/>
          <w:noProof/>
          <w:lang w:val="fr-FR"/>
        </w:rPr>
        <w:t xml:space="preserve">un accord passé avec le </w:t>
      </w:r>
      <w:r w:rsidRPr="00DE2A76">
        <w:rPr>
          <w:rFonts w:eastAsia="Calibri"/>
          <w:noProof/>
          <w:lang w:val="fr-FR"/>
        </w:rPr>
        <w:t>Minist</w:t>
      </w:r>
      <w:r>
        <w:rPr>
          <w:rFonts w:eastAsia="Calibri"/>
          <w:noProof/>
          <w:lang w:val="fr-FR"/>
        </w:rPr>
        <w:t xml:space="preserve">ère du </w:t>
      </w:r>
      <w:r w:rsidRPr="0049793D">
        <w:rPr>
          <w:rFonts w:eastAsia="Calibri"/>
          <w:noProof/>
          <w:lang w:val="fr-FR"/>
        </w:rPr>
        <w:t>logement, de l</w:t>
      </w:r>
      <w:r w:rsidR="00607CA3">
        <w:rPr>
          <w:rFonts w:eastAsia="Calibri"/>
          <w:noProof/>
          <w:lang w:val="fr-FR"/>
        </w:rPr>
        <w:t>’</w:t>
      </w:r>
      <w:r w:rsidRPr="0049793D">
        <w:rPr>
          <w:rFonts w:eastAsia="Calibri"/>
          <w:noProof/>
          <w:lang w:val="fr-FR"/>
        </w:rPr>
        <w:t>aménagement du t</w:t>
      </w:r>
      <w:r>
        <w:rPr>
          <w:rFonts w:eastAsia="Calibri"/>
          <w:noProof/>
          <w:lang w:val="fr-FR"/>
        </w:rPr>
        <w:t>erritoire et de l</w:t>
      </w:r>
      <w:r w:rsidR="00607CA3">
        <w:rPr>
          <w:rFonts w:eastAsia="Calibri"/>
          <w:noProof/>
          <w:lang w:val="fr-FR"/>
        </w:rPr>
        <w:t>’</w:t>
      </w:r>
      <w:r>
        <w:rPr>
          <w:rFonts w:eastAsia="Calibri"/>
          <w:noProof/>
          <w:lang w:val="fr-FR"/>
        </w:rPr>
        <w:t>environnement</w:t>
      </w:r>
      <w:r w:rsidR="00E2492B">
        <w:rPr>
          <w:rFonts w:eastAsia="Calibri"/>
          <w:noProof/>
          <w:lang w:val="fr-FR"/>
        </w:rPr>
        <w:t> </w:t>
      </w:r>
      <w:r w:rsidRPr="0049793D">
        <w:rPr>
          <w:rFonts w:eastAsia="Calibri"/>
          <w:noProof/>
          <w:lang w:val="fr-FR"/>
        </w:rPr>
        <w:t xml:space="preserve">; </w:t>
      </w:r>
      <w:r w:rsidR="00E2492B">
        <w:rPr>
          <w:rFonts w:eastAsia="Calibri"/>
          <w:noProof/>
          <w:lang w:val="fr-FR"/>
        </w:rPr>
        <w:t>1</w:t>
      </w:r>
      <w:r w:rsidRPr="0049793D">
        <w:rPr>
          <w:rFonts w:eastAsia="Calibri"/>
          <w:noProof/>
          <w:lang w:val="fr-FR"/>
        </w:rPr>
        <w:t xml:space="preserve"> </w:t>
      </w:r>
      <w:r w:rsidRPr="0049793D">
        <w:rPr>
          <w:noProof/>
          <w:lang w:val="fr-FR"/>
        </w:rPr>
        <w:t>foyer d</w:t>
      </w:r>
      <w:r w:rsidR="00607CA3">
        <w:rPr>
          <w:noProof/>
          <w:lang w:val="fr-FR"/>
        </w:rPr>
        <w:t>’</w:t>
      </w:r>
      <w:r w:rsidRPr="0049793D">
        <w:rPr>
          <w:noProof/>
          <w:lang w:val="fr-FR"/>
        </w:rPr>
        <w:t>accueil temporaire des femmes dont la vie est menacée par la violence familiale, qui opère au niveau national</w:t>
      </w:r>
      <w:r w:rsidR="00691AD9">
        <w:rPr>
          <w:noProof/>
          <w:lang w:val="fr-FR"/>
        </w:rPr>
        <w:t> </w:t>
      </w:r>
      <w:r w:rsidRPr="0049793D">
        <w:rPr>
          <w:rFonts w:eastAsia="Calibri"/>
          <w:noProof/>
          <w:lang w:val="fr-FR"/>
        </w:rPr>
        <w:t xml:space="preserve">; </w:t>
      </w:r>
      <w:r>
        <w:rPr>
          <w:rFonts w:eastAsia="Calibri"/>
          <w:noProof/>
          <w:lang w:val="fr-FR"/>
        </w:rPr>
        <w:t>un</w:t>
      </w:r>
      <w:r w:rsidRPr="0049793D">
        <w:rPr>
          <w:rFonts w:eastAsia="Calibri"/>
          <w:noProof/>
          <w:lang w:val="fr-FR"/>
        </w:rPr>
        <w:t xml:space="preserve"> foyer de réadaptation</w:t>
      </w:r>
      <w:r w:rsidR="00E2492B">
        <w:rPr>
          <w:rFonts w:eastAsia="Calibri"/>
          <w:noProof/>
          <w:lang w:val="fr-FR"/>
        </w:rPr>
        <w:t> </w:t>
      </w:r>
      <w:r w:rsidRPr="0049793D">
        <w:rPr>
          <w:rFonts w:eastAsia="Calibri"/>
          <w:noProof/>
          <w:lang w:val="fr-FR"/>
        </w:rPr>
        <w:t xml:space="preserve">; et </w:t>
      </w:r>
      <w:r w:rsidR="00E2492B">
        <w:rPr>
          <w:rFonts w:eastAsia="Calibri"/>
          <w:noProof/>
          <w:lang w:val="fr-FR"/>
        </w:rPr>
        <w:t>1</w:t>
      </w:r>
      <w:r w:rsidRPr="0049793D">
        <w:rPr>
          <w:rFonts w:eastAsia="Calibri"/>
          <w:noProof/>
          <w:lang w:val="fr-FR"/>
        </w:rPr>
        <w:t xml:space="preserve"> formation</w:t>
      </w:r>
      <w:r w:rsidRPr="004207FC">
        <w:rPr>
          <w:rFonts w:eastAsia="Calibri"/>
          <w:noProof/>
          <w:lang w:val="fr-FR"/>
        </w:rPr>
        <w:t xml:space="preserve"> </w:t>
      </w:r>
      <w:r w:rsidRPr="0049793D">
        <w:rPr>
          <w:rFonts w:eastAsia="Calibri"/>
          <w:noProof/>
          <w:lang w:val="fr-FR"/>
        </w:rPr>
        <w:t>destinée à favoriser l</w:t>
      </w:r>
      <w:r w:rsidR="00607CA3">
        <w:rPr>
          <w:rFonts w:eastAsia="Calibri"/>
          <w:noProof/>
          <w:lang w:val="fr-FR"/>
        </w:rPr>
        <w:t>’</w:t>
      </w:r>
      <w:r w:rsidRPr="0049793D">
        <w:rPr>
          <w:rFonts w:eastAsia="Calibri"/>
          <w:noProof/>
          <w:lang w:val="fr-FR"/>
        </w:rPr>
        <w:t>emploi</w:t>
      </w:r>
      <w:r>
        <w:rPr>
          <w:rFonts w:eastAsia="Calibri"/>
          <w:noProof/>
          <w:lang w:val="fr-FR"/>
        </w:rPr>
        <w:t xml:space="preserve">, dispensée </w:t>
      </w:r>
      <w:r w:rsidRPr="00411326">
        <w:t xml:space="preserve">en </w:t>
      </w:r>
      <w:r w:rsidRPr="0049793D">
        <w:rPr>
          <w:noProof/>
          <w:lang w:val="fr-FR"/>
        </w:rPr>
        <w:t>coopération avec l</w:t>
      </w:r>
      <w:r w:rsidR="00607CA3">
        <w:rPr>
          <w:noProof/>
          <w:lang w:val="fr-FR"/>
        </w:rPr>
        <w:t>’</w:t>
      </w:r>
      <w:r w:rsidRPr="0049793D">
        <w:rPr>
          <w:noProof/>
          <w:lang w:val="fr-FR"/>
        </w:rPr>
        <w:t>Institut national de l</w:t>
      </w:r>
      <w:r w:rsidR="00607CA3">
        <w:rPr>
          <w:noProof/>
          <w:lang w:val="fr-FR"/>
        </w:rPr>
        <w:t>’</w:t>
      </w:r>
      <w:r w:rsidRPr="0049793D">
        <w:rPr>
          <w:noProof/>
          <w:lang w:val="fr-FR"/>
        </w:rPr>
        <w:t>emploi et d</w:t>
      </w:r>
      <w:r>
        <w:rPr>
          <w:noProof/>
          <w:lang w:val="fr-FR"/>
        </w:rPr>
        <w:t>e la formation professionnelle</w:t>
      </w:r>
      <w:r w:rsidRPr="0049793D">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45.</w:t>
      </w:r>
      <w:r w:rsidRPr="00DE2A76">
        <w:rPr>
          <w:rFonts w:eastAsia="Calibri"/>
          <w:noProof/>
          <w:lang w:val="fr-FR"/>
        </w:rPr>
        <w:tab/>
      </w:r>
      <w:r>
        <w:rPr>
          <w:rFonts w:eastAsia="Calibri"/>
          <w:noProof/>
          <w:lang w:val="fr-FR"/>
        </w:rPr>
        <w:t>On présente ci-après les données administratives enregistrées par le système de riposte à la violence fondée sur le genre du Ministère du développement social</w:t>
      </w:r>
      <w:r w:rsidRPr="00691AD9">
        <w:rPr>
          <w:rStyle w:val="Appelnotedebasdep"/>
        </w:rPr>
        <w:footnoteReference w:id="16"/>
      </w:r>
      <w:r w:rsidRPr="00DE2A76">
        <w:rPr>
          <w:rFonts w:eastAsia="Calibri"/>
          <w:noProof/>
          <w:lang w:val="fr-FR"/>
        </w:rPr>
        <w:t>. En c</w:t>
      </w:r>
      <w:r>
        <w:rPr>
          <w:rFonts w:eastAsia="Calibri"/>
          <w:noProof/>
          <w:lang w:val="fr-FR"/>
        </w:rPr>
        <w:t>e qui concerne les tranches d</w:t>
      </w:r>
      <w:r w:rsidR="00607CA3">
        <w:rPr>
          <w:rFonts w:eastAsia="Calibri"/>
          <w:noProof/>
          <w:lang w:val="fr-FR"/>
        </w:rPr>
        <w:t>’</w:t>
      </w:r>
      <w:r>
        <w:rPr>
          <w:rFonts w:eastAsia="Calibri"/>
          <w:noProof/>
          <w:lang w:val="fr-FR"/>
        </w:rPr>
        <w:t xml:space="preserve">âge, dans le cas tant de </w:t>
      </w:r>
      <w:r w:rsidRPr="00DE2A76">
        <w:rPr>
          <w:rFonts w:eastAsia="Calibri"/>
          <w:noProof/>
          <w:lang w:val="fr-FR"/>
        </w:rPr>
        <w:t xml:space="preserve">la </w:t>
      </w:r>
      <w:r>
        <w:rPr>
          <w:rFonts w:eastAsia="Calibri"/>
          <w:noProof/>
          <w:lang w:val="fr-FR"/>
        </w:rPr>
        <w:t xml:space="preserve">prise en charge réalisée par le Ministère dans le service de prise en charge </w:t>
      </w:r>
      <w:r w:rsidRPr="0049793D">
        <w:rPr>
          <w:noProof/>
          <w:lang w:val="fr-FR"/>
        </w:rPr>
        <w:t>des femmes victimes de traite à des fins d</w:t>
      </w:r>
      <w:r w:rsidR="00607CA3">
        <w:rPr>
          <w:noProof/>
          <w:lang w:val="fr-FR"/>
        </w:rPr>
        <w:t>’</w:t>
      </w:r>
      <w:r w:rsidRPr="0049793D">
        <w:rPr>
          <w:noProof/>
          <w:lang w:val="fr-FR"/>
        </w:rPr>
        <w:t>exploitation sexuelle</w:t>
      </w:r>
      <w:r>
        <w:rPr>
          <w:noProof/>
          <w:lang w:val="fr-FR"/>
        </w:rPr>
        <w:t xml:space="preserve"> que de celui des services </w:t>
      </w:r>
      <w:r w:rsidRPr="00DE2A76">
        <w:rPr>
          <w:rFonts w:eastAsia="Calibri"/>
          <w:noProof/>
          <w:lang w:val="fr-FR"/>
        </w:rPr>
        <w:t xml:space="preserve">de </w:t>
      </w:r>
      <w:r>
        <w:rPr>
          <w:rFonts w:eastAsia="Calibri"/>
          <w:noProof/>
          <w:lang w:val="fr-FR"/>
        </w:rPr>
        <w:t>prise en charge des femmes victimes de la violence fondée sur le genre, l</w:t>
      </w:r>
      <w:r w:rsidR="00607CA3">
        <w:rPr>
          <w:rFonts w:eastAsia="Calibri"/>
          <w:noProof/>
          <w:lang w:val="fr-FR"/>
        </w:rPr>
        <w:t>’</w:t>
      </w:r>
      <w:r>
        <w:rPr>
          <w:rFonts w:eastAsia="Calibri"/>
          <w:noProof/>
          <w:lang w:val="fr-FR"/>
        </w:rPr>
        <w:t>âge des femmes qui utilisent ces services est enregistré et les données sont présentées par tranche d</w:t>
      </w:r>
      <w:r w:rsidR="00607CA3">
        <w:rPr>
          <w:rFonts w:eastAsia="Calibri"/>
          <w:noProof/>
          <w:lang w:val="fr-FR"/>
        </w:rPr>
        <w:t>’</w:t>
      </w:r>
      <w:r>
        <w:rPr>
          <w:rFonts w:eastAsia="Calibri"/>
          <w:noProof/>
          <w:lang w:val="fr-FR"/>
        </w:rPr>
        <w:t>âge</w:t>
      </w:r>
      <w:r w:rsidRPr="00DE2A76">
        <w:rPr>
          <w:rFonts w:eastAsia="Calibri"/>
          <w:noProof/>
          <w:lang w:val="fr-FR"/>
        </w:rPr>
        <w:t>.</w:t>
      </w:r>
    </w:p>
    <w:p w:rsidR="00596826" w:rsidRPr="00DE2A76" w:rsidRDefault="00596826" w:rsidP="00E2492B">
      <w:pPr>
        <w:pStyle w:val="H23G"/>
        <w:rPr>
          <w:noProof/>
          <w:lang w:val="fr-FR"/>
        </w:rPr>
      </w:pPr>
      <w:r w:rsidRPr="00DE2A76">
        <w:rPr>
          <w:noProof/>
          <w:lang w:val="fr-FR"/>
        </w:rPr>
        <w:tab/>
      </w:r>
      <w:r w:rsidR="00E2492B">
        <w:rPr>
          <w:noProof/>
          <w:lang w:val="fr-FR"/>
        </w:rPr>
        <w:tab/>
      </w:r>
      <w:r>
        <w:rPr>
          <w:noProof/>
          <w:lang w:val="fr-FR"/>
        </w:rPr>
        <w:t>Nombre de femmes utilisant les service</w:t>
      </w:r>
      <w:r w:rsidRPr="00DE2A76">
        <w:rPr>
          <w:noProof/>
          <w:lang w:val="fr-FR"/>
        </w:rPr>
        <w:t xml:space="preserve">s de </w:t>
      </w:r>
      <w:r>
        <w:rPr>
          <w:noProof/>
          <w:lang w:val="fr-FR"/>
        </w:rPr>
        <w:t xml:space="preserve">prise en charge des femmes </w:t>
      </w:r>
      <w:r w:rsidRPr="0079510B">
        <w:rPr>
          <w:noProof/>
          <w:lang w:val="fr-FR"/>
        </w:rPr>
        <w:t xml:space="preserve">victimes </w:t>
      </w:r>
      <w:r w:rsidR="00332CC9">
        <w:rPr>
          <w:noProof/>
          <w:lang w:val="fr-FR"/>
        </w:rPr>
        <w:br/>
      </w:r>
      <w:r w:rsidRPr="0079510B">
        <w:rPr>
          <w:noProof/>
          <w:lang w:val="fr-FR"/>
        </w:rPr>
        <w:t>de la violence fondée sur le genre</w:t>
      </w:r>
      <w:r>
        <w:rPr>
          <w:noProof/>
          <w:lang w:val="fr-FR"/>
        </w:rPr>
        <w:t>, selon l</w:t>
      </w:r>
      <w:r w:rsidR="00607CA3">
        <w:rPr>
          <w:noProof/>
          <w:lang w:val="fr-FR"/>
        </w:rPr>
        <w:t>’</w:t>
      </w:r>
      <w:r>
        <w:rPr>
          <w:noProof/>
          <w:lang w:val="fr-FR"/>
        </w:rPr>
        <w:t>âge et l</w:t>
      </w:r>
      <w:r w:rsidR="00607CA3">
        <w:rPr>
          <w:noProof/>
          <w:lang w:val="fr-FR"/>
        </w:rPr>
        <w:t>’</w:t>
      </w:r>
      <w:r>
        <w:rPr>
          <w:noProof/>
          <w:lang w:val="fr-FR"/>
        </w:rPr>
        <w:t>année considérée</w:t>
      </w:r>
      <w:r w:rsidRPr="00691AD9">
        <w:rPr>
          <w:rStyle w:val="Appelnotedebasdep"/>
          <w:b w:val="0"/>
        </w:rPr>
        <w:footnoteReference w:id="17"/>
      </w:r>
    </w:p>
    <w:tbl>
      <w:tblPr>
        <w:tblW w:w="7370" w:type="dxa"/>
        <w:tblInd w:w="1134" w:type="dxa"/>
        <w:tblLayout w:type="fixed"/>
        <w:tblCellMar>
          <w:left w:w="0" w:type="dxa"/>
          <w:right w:w="0" w:type="dxa"/>
        </w:tblCellMar>
        <w:tblLook w:val="0000" w:firstRow="0" w:lastRow="0" w:firstColumn="0" w:lastColumn="0" w:noHBand="0" w:noVBand="0"/>
      </w:tblPr>
      <w:tblGrid>
        <w:gridCol w:w="2347"/>
        <w:gridCol w:w="1674"/>
        <w:gridCol w:w="1674"/>
        <w:gridCol w:w="1675"/>
      </w:tblGrid>
      <w:tr w:rsidR="00596826" w:rsidRPr="00E2492B" w:rsidTr="00E2492B">
        <w:trPr>
          <w:tblHeader/>
        </w:trPr>
        <w:tc>
          <w:tcPr>
            <w:tcW w:w="2347"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rPr>
                <w:i/>
                <w:noProof/>
                <w:sz w:val="16"/>
                <w:lang w:val="fr-FR"/>
              </w:rPr>
            </w:pPr>
            <w:r w:rsidRPr="00E2492B">
              <w:rPr>
                <w:i/>
                <w:noProof/>
                <w:sz w:val="16"/>
                <w:lang w:val="fr-FR"/>
              </w:rPr>
              <w:t>Tranche d</w:t>
            </w:r>
            <w:r w:rsidR="00607CA3" w:rsidRPr="00E2492B">
              <w:rPr>
                <w:i/>
                <w:noProof/>
                <w:sz w:val="16"/>
                <w:lang w:val="fr-FR"/>
              </w:rPr>
              <w:t>’</w:t>
            </w:r>
            <w:r w:rsidRPr="00E2492B">
              <w:rPr>
                <w:i/>
                <w:noProof/>
                <w:sz w:val="16"/>
                <w:lang w:val="fr-FR"/>
              </w:rPr>
              <w:t xml:space="preserve">âge </w:t>
            </w:r>
          </w:p>
        </w:tc>
        <w:tc>
          <w:tcPr>
            <w:tcW w:w="1674"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2014</w:t>
            </w:r>
          </w:p>
        </w:tc>
        <w:tc>
          <w:tcPr>
            <w:tcW w:w="1674"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2015</w:t>
            </w:r>
          </w:p>
        </w:tc>
        <w:tc>
          <w:tcPr>
            <w:tcW w:w="1675"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2016</w:t>
            </w:r>
          </w:p>
        </w:tc>
      </w:tr>
      <w:tr w:rsidR="00E2492B" w:rsidRPr="00E2492B" w:rsidTr="00E2492B">
        <w:tc>
          <w:tcPr>
            <w:tcW w:w="2347" w:type="dxa"/>
            <w:tcBorders>
              <w:top w:val="single" w:sz="12" w:space="0" w:color="auto"/>
            </w:tcBorders>
            <w:shd w:val="clear" w:color="auto" w:fill="auto"/>
          </w:tcPr>
          <w:p w:rsidR="00E2492B" w:rsidRPr="00E2492B" w:rsidRDefault="00E2492B" w:rsidP="00E2492B">
            <w:pPr>
              <w:suppressAutoHyphens w:val="0"/>
              <w:spacing w:before="40" w:after="40" w:line="220" w:lineRule="exact"/>
              <w:rPr>
                <w:noProof/>
                <w:sz w:val="18"/>
                <w:lang w:val="fr-FR"/>
              </w:rPr>
            </w:pPr>
            <w:r w:rsidRPr="00E2492B">
              <w:rPr>
                <w:noProof/>
                <w:sz w:val="18"/>
                <w:lang w:val="fr-FR"/>
              </w:rPr>
              <w:t xml:space="preserve">17 ans ou moins </w:t>
            </w:r>
          </w:p>
        </w:tc>
        <w:tc>
          <w:tcPr>
            <w:tcW w:w="1674" w:type="dxa"/>
            <w:tcBorders>
              <w:top w:val="single" w:sz="12" w:space="0" w:color="auto"/>
            </w:tcBorders>
            <w:shd w:val="clear" w:color="auto" w:fill="auto"/>
            <w:vAlign w:val="bottom"/>
          </w:tcPr>
          <w:p w:rsidR="00E2492B" w:rsidRPr="00CA3A7A" w:rsidRDefault="00E2492B" w:rsidP="00E2492B">
            <w:pPr>
              <w:suppressAutoHyphens w:val="0"/>
              <w:spacing w:before="40" w:after="40" w:line="220" w:lineRule="exact"/>
              <w:jc w:val="right"/>
              <w:rPr>
                <w:rFonts w:eastAsia="Calibri"/>
                <w:sz w:val="18"/>
                <w:szCs w:val="18"/>
                <w:lang w:val="es-UY"/>
              </w:rPr>
            </w:pPr>
            <w:r w:rsidRPr="00CA3A7A">
              <w:rPr>
                <w:rFonts w:eastAsia="Calibri"/>
                <w:sz w:val="18"/>
                <w:szCs w:val="18"/>
                <w:lang w:val="es-UY"/>
              </w:rPr>
              <w:t>6</w:t>
            </w:r>
          </w:p>
        </w:tc>
        <w:tc>
          <w:tcPr>
            <w:tcW w:w="1674" w:type="dxa"/>
            <w:tcBorders>
              <w:top w:val="single" w:sz="12" w:space="0" w:color="auto"/>
            </w:tcBorders>
            <w:shd w:val="clear" w:color="auto" w:fill="auto"/>
            <w:vAlign w:val="bottom"/>
          </w:tcPr>
          <w:p w:rsidR="00E2492B" w:rsidRPr="00CA3A7A" w:rsidRDefault="00E2492B" w:rsidP="00E2492B">
            <w:pPr>
              <w:suppressAutoHyphens w:val="0"/>
              <w:spacing w:before="40" w:after="40" w:line="220" w:lineRule="exact"/>
              <w:jc w:val="right"/>
              <w:rPr>
                <w:rFonts w:eastAsia="Calibri"/>
                <w:sz w:val="18"/>
                <w:szCs w:val="18"/>
                <w:lang w:val="es-UY"/>
              </w:rPr>
            </w:pPr>
            <w:r w:rsidRPr="00CA3A7A">
              <w:rPr>
                <w:rFonts w:eastAsia="Calibri"/>
                <w:sz w:val="18"/>
                <w:szCs w:val="18"/>
                <w:lang w:val="es-UY"/>
              </w:rPr>
              <w:t>10</w:t>
            </w:r>
          </w:p>
        </w:tc>
        <w:tc>
          <w:tcPr>
            <w:tcW w:w="1675" w:type="dxa"/>
            <w:tcBorders>
              <w:top w:val="single" w:sz="12" w:space="0" w:color="auto"/>
            </w:tcBorders>
            <w:shd w:val="clear" w:color="auto" w:fill="auto"/>
            <w:vAlign w:val="bottom"/>
          </w:tcPr>
          <w:p w:rsidR="00E2492B" w:rsidRPr="00CA3A7A" w:rsidRDefault="00E2492B" w:rsidP="00E2492B">
            <w:pPr>
              <w:suppressAutoHyphens w:val="0"/>
              <w:spacing w:before="40" w:after="40" w:line="220" w:lineRule="exact"/>
              <w:jc w:val="right"/>
              <w:rPr>
                <w:rFonts w:eastAsia="Calibri"/>
                <w:sz w:val="18"/>
                <w:szCs w:val="18"/>
                <w:lang w:val="es-UY"/>
              </w:rPr>
            </w:pPr>
            <w:r w:rsidRPr="00E2492B">
              <w:rPr>
                <w:noProof/>
                <w:sz w:val="18"/>
                <w:lang w:val="fr-FR"/>
              </w:rPr>
              <w:t>11</w:t>
            </w:r>
          </w:p>
        </w:tc>
      </w:tr>
      <w:tr w:rsidR="00E2492B" w:rsidRPr="00E2492B" w:rsidTr="00E2492B">
        <w:tc>
          <w:tcPr>
            <w:tcW w:w="2347" w:type="dxa"/>
            <w:shd w:val="clear" w:color="auto" w:fill="auto"/>
          </w:tcPr>
          <w:p w:rsidR="00E2492B" w:rsidRPr="00E2492B" w:rsidRDefault="00E2492B" w:rsidP="00E2492B">
            <w:pPr>
              <w:suppressAutoHyphens w:val="0"/>
              <w:spacing w:before="40" w:after="40" w:line="220" w:lineRule="exact"/>
              <w:rPr>
                <w:noProof/>
                <w:sz w:val="18"/>
                <w:lang w:val="fr-FR"/>
              </w:rPr>
            </w:pPr>
            <w:r w:rsidRPr="00E2492B">
              <w:rPr>
                <w:noProof/>
                <w:sz w:val="18"/>
                <w:lang w:val="fr-FR"/>
              </w:rPr>
              <w:t>Entre 18 et 29 ans</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225</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656</w:t>
            </w:r>
          </w:p>
        </w:tc>
        <w:tc>
          <w:tcPr>
            <w:tcW w:w="1675"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642</w:t>
            </w:r>
          </w:p>
        </w:tc>
      </w:tr>
      <w:tr w:rsidR="00E2492B" w:rsidRPr="00E2492B" w:rsidTr="00E2492B">
        <w:tc>
          <w:tcPr>
            <w:tcW w:w="2347" w:type="dxa"/>
            <w:shd w:val="clear" w:color="auto" w:fill="auto"/>
          </w:tcPr>
          <w:p w:rsidR="00E2492B" w:rsidRPr="00E2492B" w:rsidRDefault="00E2492B" w:rsidP="00E2492B">
            <w:pPr>
              <w:suppressAutoHyphens w:val="0"/>
              <w:spacing w:before="40" w:after="40" w:line="220" w:lineRule="exact"/>
              <w:rPr>
                <w:noProof/>
                <w:sz w:val="18"/>
                <w:lang w:val="fr-FR"/>
              </w:rPr>
            </w:pPr>
            <w:r w:rsidRPr="00E2492B">
              <w:rPr>
                <w:noProof/>
                <w:sz w:val="18"/>
                <w:lang w:val="fr-FR"/>
              </w:rPr>
              <w:t>Entre 30 et 49 ans</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465</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1</w:t>
            </w:r>
            <w:r>
              <w:rPr>
                <w:rFonts w:eastAsia="Calibri"/>
                <w:sz w:val="18"/>
                <w:szCs w:val="18"/>
                <w:lang w:val="es-UY"/>
              </w:rPr>
              <w:t xml:space="preserve"> </w:t>
            </w:r>
            <w:r w:rsidRPr="00CA3A7A">
              <w:rPr>
                <w:rFonts w:eastAsia="Calibri"/>
                <w:sz w:val="18"/>
                <w:szCs w:val="18"/>
                <w:lang w:val="es-UY"/>
              </w:rPr>
              <w:t>385</w:t>
            </w:r>
          </w:p>
        </w:tc>
        <w:tc>
          <w:tcPr>
            <w:tcW w:w="1675"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1</w:t>
            </w:r>
            <w:r>
              <w:rPr>
                <w:rFonts w:eastAsia="Calibri"/>
                <w:sz w:val="18"/>
                <w:szCs w:val="18"/>
                <w:lang w:val="es-UY"/>
              </w:rPr>
              <w:t xml:space="preserve"> </w:t>
            </w:r>
            <w:r w:rsidRPr="00CA3A7A">
              <w:rPr>
                <w:rFonts w:eastAsia="Calibri"/>
                <w:sz w:val="18"/>
                <w:szCs w:val="18"/>
                <w:lang w:val="es-UY"/>
              </w:rPr>
              <w:t>232</w:t>
            </w:r>
          </w:p>
        </w:tc>
      </w:tr>
      <w:tr w:rsidR="00E2492B" w:rsidRPr="00E2492B" w:rsidTr="00E2492B">
        <w:tc>
          <w:tcPr>
            <w:tcW w:w="2347" w:type="dxa"/>
            <w:shd w:val="clear" w:color="auto" w:fill="auto"/>
          </w:tcPr>
          <w:p w:rsidR="00E2492B" w:rsidRPr="00E2492B" w:rsidRDefault="00E2492B" w:rsidP="00E2492B">
            <w:pPr>
              <w:suppressAutoHyphens w:val="0"/>
              <w:spacing w:before="40" w:after="40" w:line="220" w:lineRule="exact"/>
              <w:rPr>
                <w:noProof/>
                <w:sz w:val="18"/>
                <w:lang w:val="fr-FR"/>
              </w:rPr>
            </w:pPr>
            <w:r w:rsidRPr="00E2492B">
              <w:rPr>
                <w:noProof/>
                <w:sz w:val="18"/>
                <w:lang w:val="fr-FR"/>
              </w:rPr>
              <w:t>Entre 50 et 64 ans</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117</w:t>
            </w:r>
          </w:p>
        </w:tc>
        <w:tc>
          <w:tcPr>
            <w:tcW w:w="1674"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358</w:t>
            </w:r>
          </w:p>
        </w:tc>
        <w:tc>
          <w:tcPr>
            <w:tcW w:w="1675" w:type="dxa"/>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312</w:t>
            </w:r>
          </w:p>
        </w:tc>
      </w:tr>
      <w:tr w:rsidR="00E2492B" w:rsidRPr="00E2492B" w:rsidTr="00E2492B">
        <w:tc>
          <w:tcPr>
            <w:tcW w:w="2347" w:type="dxa"/>
            <w:tcBorders>
              <w:bottom w:val="single" w:sz="4" w:space="0" w:color="auto"/>
            </w:tcBorders>
            <w:shd w:val="clear" w:color="auto" w:fill="auto"/>
          </w:tcPr>
          <w:p w:rsidR="00E2492B" w:rsidRPr="00E2492B" w:rsidRDefault="00E2492B" w:rsidP="00E2492B">
            <w:pPr>
              <w:suppressAutoHyphens w:val="0"/>
              <w:spacing w:before="40" w:after="40" w:line="220" w:lineRule="exact"/>
              <w:rPr>
                <w:noProof/>
                <w:sz w:val="18"/>
                <w:lang w:val="fr-FR"/>
              </w:rPr>
            </w:pPr>
            <w:r w:rsidRPr="00E2492B">
              <w:rPr>
                <w:noProof/>
                <w:sz w:val="18"/>
                <w:lang w:val="fr-FR"/>
              </w:rPr>
              <w:t xml:space="preserve">65 ans ou plus </w:t>
            </w:r>
          </w:p>
        </w:tc>
        <w:tc>
          <w:tcPr>
            <w:tcW w:w="1674" w:type="dxa"/>
            <w:tcBorders>
              <w:bottom w:val="single" w:sz="4" w:space="0" w:color="auto"/>
            </w:tcBorders>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28</w:t>
            </w:r>
          </w:p>
        </w:tc>
        <w:tc>
          <w:tcPr>
            <w:tcW w:w="1674" w:type="dxa"/>
            <w:tcBorders>
              <w:bottom w:val="single" w:sz="4" w:space="0" w:color="auto"/>
            </w:tcBorders>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86</w:t>
            </w:r>
          </w:p>
        </w:tc>
        <w:tc>
          <w:tcPr>
            <w:tcW w:w="1675" w:type="dxa"/>
            <w:tcBorders>
              <w:bottom w:val="single" w:sz="4" w:space="0" w:color="auto"/>
            </w:tcBorders>
            <w:shd w:val="clear" w:color="auto" w:fill="auto"/>
            <w:vAlign w:val="bottom"/>
          </w:tcPr>
          <w:p w:rsidR="00E2492B" w:rsidRPr="00CA3A7A" w:rsidRDefault="00E2492B" w:rsidP="00E2492B">
            <w:pPr>
              <w:spacing w:before="40" w:after="40" w:line="220" w:lineRule="exact"/>
              <w:jc w:val="right"/>
              <w:rPr>
                <w:rFonts w:eastAsia="Calibri"/>
                <w:sz w:val="18"/>
                <w:szCs w:val="18"/>
                <w:lang w:val="es-UY"/>
              </w:rPr>
            </w:pPr>
            <w:r w:rsidRPr="00CA3A7A">
              <w:rPr>
                <w:rFonts w:eastAsia="Calibri"/>
                <w:sz w:val="18"/>
                <w:szCs w:val="18"/>
                <w:lang w:val="es-UY"/>
              </w:rPr>
              <w:t>73</w:t>
            </w:r>
          </w:p>
        </w:tc>
      </w:tr>
      <w:tr w:rsidR="00E2492B" w:rsidRPr="00E2492B" w:rsidTr="00E2492B">
        <w:tc>
          <w:tcPr>
            <w:tcW w:w="2347" w:type="dxa"/>
            <w:tcBorders>
              <w:top w:val="single" w:sz="4" w:space="0" w:color="auto"/>
              <w:bottom w:val="single" w:sz="12" w:space="0" w:color="auto"/>
            </w:tcBorders>
            <w:shd w:val="clear" w:color="auto" w:fill="auto"/>
          </w:tcPr>
          <w:p w:rsidR="00E2492B" w:rsidRPr="00E2492B" w:rsidRDefault="00E2492B" w:rsidP="00E2492B">
            <w:pPr>
              <w:suppressAutoHyphens w:val="0"/>
              <w:spacing w:before="80" w:after="80" w:line="220" w:lineRule="exact"/>
              <w:ind w:left="284"/>
              <w:rPr>
                <w:b/>
                <w:noProof/>
                <w:sz w:val="18"/>
                <w:lang w:val="fr-FR"/>
              </w:rPr>
            </w:pPr>
            <w:r w:rsidRPr="00E2492B">
              <w:rPr>
                <w:b/>
                <w:noProof/>
                <w:sz w:val="18"/>
                <w:lang w:val="fr-FR"/>
              </w:rPr>
              <w:t>Total</w:t>
            </w:r>
          </w:p>
        </w:tc>
        <w:tc>
          <w:tcPr>
            <w:tcW w:w="1674" w:type="dxa"/>
            <w:tcBorders>
              <w:top w:val="single" w:sz="4" w:space="0" w:color="auto"/>
              <w:bottom w:val="single" w:sz="12" w:space="0" w:color="auto"/>
            </w:tcBorders>
            <w:shd w:val="clear" w:color="auto" w:fill="auto"/>
            <w:vAlign w:val="bottom"/>
          </w:tcPr>
          <w:p w:rsidR="00E2492B" w:rsidRPr="00CA3A7A" w:rsidRDefault="00E2492B" w:rsidP="00E2492B">
            <w:pPr>
              <w:spacing w:before="80" w:after="80" w:line="220" w:lineRule="exact"/>
              <w:jc w:val="right"/>
              <w:rPr>
                <w:rFonts w:eastAsia="Calibri"/>
                <w:b/>
                <w:bCs/>
                <w:sz w:val="18"/>
                <w:szCs w:val="18"/>
                <w:lang w:val="es-UY"/>
              </w:rPr>
            </w:pPr>
            <w:r w:rsidRPr="00CA3A7A">
              <w:rPr>
                <w:rFonts w:eastAsia="Calibri"/>
                <w:b/>
                <w:bCs/>
                <w:sz w:val="18"/>
                <w:szCs w:val="18"/>
                <w:lang w:val="es-UY"/>
              </w:rPr>
              <w:t>841</w:t>
            </w:r>
          </w:p>
        </w:tc>
        <w:tc>
          <w:tcPr>
            <w:tcW w:w="1674" w:type="dxa"/>
            <w:tcBorders>
              <w:top w:val="single" w:sz="4" w:space="0" w:color="auto"/>
              <w:bottom w:val="single" w:sz="12" w:space="0" w:color="auto"/>
            </w:tcBorders>
            <w:shd w:val="clear" w:color="auto" w:fill="auto"/>
            <w:vAlign w:val="bottom"/>
          </w:tcPr>
          <w:p w:rsidR="00E2492B" w:rsidRPr="00CA3A7A" w:rsidRDefault="00E2492B" w:rsidP="00E2492B">
            <w:pPr>
              <w:spacing w:before="80" w:after="80" w:line="220" w:lineRule="exact"/>
              <w:jc w:val="right"/>
              <w:rPr>
                <w:rFonts w:eastAsia="Calibri"/>
                <w:b/>
                <w:bCs/>
                <w:sz w:val="18"/>
                <w:szCs w:val="18"/>
                <w:lang w:val="es-UY"/>
              </w:rPr>
            </w:pPr>
            <w:r w:rsidRPr="00CA3A7A">
              <w:rPr>
                <w:rFonts w:eastAsia="Calibri"/>
                <w:b/>
                <w:bCs/>
                <w:sz w:val="18"/>
                <w:szCs w:val="18"/>
                <w:lang w:val="es-UY"/>
              </w:rPr>
              <w:t>2</w:t>
            </w:r>
            <w:r>
              <w:rPr>
                <w:rFonts w:eastAsia="Calibri"/>
                <w:b/>
                <w:bCs/>
                <w:sz w:val="18"/>
                <w:szCs w:val="18"/>
                <w:lang w:val="es-UY"/>
              </w:rPr>
              <w:t xml:space="preserve"> </w:t>
            </w:r>
            <w:r w:rsidRPr="00CA3A7A">
              <w:rPr>
                <w:rFonts w:eastAsia="Calibri"/>
                <w:b/>
                <w:bCs/>
                <w:sz w:val="18"/>
                <w:szCs w:val="18"/>
                <w:lang w:val="es-UY"/>
              </w:rPr>
              <w:t>495</w:t>
            </w:r>
          </w:p>
        </w:tc>
        <w:tc>
          <w:tcPr>
            <w:tcW w:w="1675" w:type="dxa"/>
            <w:tcBorders>
              <w:top w:val="single" w:sz="4" w:space="0" w:color="auto"/>
              <w:bottom w:val="single" w:sz="12" w:space="0" w:color="auto"/>
            </w:tcBorders>
            <w:shd w:val="clear" w:color="auto" w:fill="auto"/>
            <w:vAlign w:val="bottom"/>
          </w:tcPr>
          <w:p w:rsidR="00E2492B" w:rsidRPr="00CA3A7A" w:rsidRDefault="00E2492B" w:rsidP="00E2492B">
            <w:pPr>
              <w:spacing w:before="80" w:after="80" w:line="220" w:lineRule="exact"/>
              <w:jc w:val="right"/>
              <w:rPr>
                <w:rFonts w:eastAsia="Calibri"/>
                <w:sz w:val="18"/>
                <w:szCs w:val="18"/>
                <w:lang w:val="es-UY"/>
              </w:rPr>
            </w:pPr>
            <w:r w:rsidRPr="00CA3A7A">
              <w:rPr>
                <w:rFonts w:eastAsia="Calibri"/>
                <w:b/>
                <w:bCs/>
                <w:sz w:val="18"/>
                <w:szCs w:val="18"/>
                <w:lang w:val="es-UY"/>
              </w:rPr>
              <w:t>2</w:t>
            </w:r>
            <w:r>
              <w:rPr>
                <w:rFonts w:eastAsia="Calibri"/>
                <w:b/>
                <w:bCs/>
                <w:sz w:val="18"/>
                <w:szCs w:val="18"/>
                <w:lang w:val="es-UY"/>
              </w:rPr>
              <w:t xml:space="preserve"> </w:t>
            </w:r>
            <w:r w:rsidRPr="00CA3A7A">
              <w:rPr>
                <w:rFonts w:eastAsia="Calibri"/>
                <w:b/>
                <w:bCs/>
                <w:sz w:val="18"/>
                <w:szCs w:val="18"/>
                <w:lang w:val="es-UY"/>
              </w:rPr>
              <w:t>270</w:t>
            </w:r>
          </w:p>
        </w:tc>
      </w:tr>
    </w:tbl>
    <w:p w:rsidR="00596826" w:rsidRPr="00DE2A76" w:rsidRDefault="00596826" w:rsidP="00691AD9">
      <w:pPr>
        <w:pStyle w:val="SingleTxtG"/>
        <w:spacing w:before="120" w:after="240" w:line="220" w:lineRule="exact"/>
        <w:ind w:firstLine="170"/>
        <w:rPr>
          <w:rFonts w:eastAsia="Calibri"/>
          <w:iCs/>
          <w:noProof/>
          <w:lang w:val="fr-FR" w:eastAsia="ar-SA"/>
        </w:rPr>
      </w:pPr>
      <w:r>
        <w:rPr>
          <w:rFonts w:eastAsia="Calibri"/>
          <w:i/>
          <w:noProof/>
          <w:sz w:val="18"/>
          <w:szCs w:val="18"/>
          <w:lang w:val="fr-FR"/>
        </w:rPr>
        <w:t>Source </w:t>
      </w:r>
      <w:r w:rsidRPr="00E2492B">
        <w:rPr>
          <w:rFonts w:eastAsia="Calibri"/>
          <w:noProof/>
          <w:sz w:val="18"/>
          <w:szCs w:val="18"/>
          <w:lang w:val="fr-FR"/>
        </w:rPr>
        <w:t>:</w:t>
      </w:r>
      <w:r w:rsidRPr="00DE2A76">
        <w:rPr>
          <w:rFonts w:eastAsia="Calibri"/>
          <w:i/>
          <w:noProof/>
          <w:sz w:val="18"/>
          <w:szCs w:val="18"/>
          <w:lang w:val="fr-FR"/>
        </w:rPr>
        <w:t xml:space="preserve"> </w:t>
      </w:r>
      <w:r w:rsidRPr="00DE2A76">
        <w:rPr>
          <w:rFonts w:eastAsia="Calibri"/>
          <w:iCs/>
          <w:noProof/>
          <w:sz w:val="18"/>
          <w:szCs w:val="18"/>
          <w:lang w:val="fr-FR"/>
        </w:rPr>
        <w:t>S</w:t>
      </w:r>
      <w:r>
        <w:rPr>
          <w:rFonts w:eastAsia="Calibri"/>
          <w:iCs/>
          <w:noProof/>
          <w:sz w:val="18"/>
          <w:szCs w:val="18"/>
          <w:lang w:val="fr-FR"/>
        </w:rPr>
        <w:t>ystème d</w:t>
      </w:r>
      <w:r w:rsidR="00607CA3">
        <w:rPr>
          <w:rFonts w:eastAsia="Calibri"/>
          <w:iCs/>
          <w:noProof/>
          <w:sz w:val="18"/>
          <w:szCs w:val="18"/>
          <w:lang w:val="fr-FR"/>
        </w:rPr>
        <w:t>’</w:t>
      </w:r>
      <w:r>
        <w:rPr>
          <w:rFonts w:eastAsia="Calibri"/>
          <w:iCs/>
          <w:noProof/>
          <w:sz w:val="18"/>
          <w:szCs w:val="18"/>
          <w:lang w:val="fr-FR"/>
        </w:rPr>
        <w:t>information sur les questions de genre de l</w:t>
      </w:r>
      <w:r w:rsidR="00607CA3">
        <w:rPr>
          <w:noProof/>
          <w:sz w:val="18"/>
          <w:szCs w:val="18"/>
          <w:lang w:val="fr-FR"/>
        </w:rPr>
        <w:t>’</w:t>
      </w:r>
      <w:r w:rsidRPr="0079510B">
        <w:rPr>
          <w:noProof/>
          <w:sz w:val="18"/>
          <w:szCs w:val="18"/>
          <w:lang w:val="fr-FR"/>
        </w:rPr>
        <w:t>Institut national des femmes du Ministère du développement social</w:t>
      </w:r>
      <w:r>
        <w:rPr>
          <w:rFonts w:eastAsia="Calibri"/>
          <w:iCs/>
          <w:noProof/>
          <w:sz w:val="18"/>
          <w:szCs w:val="18"/>
          <w:lang w:val="fr-FR"/>
        </w:rPr>
        <w:t>, à partir des registres administratifs</w:t>
      </w:r>
      <w:r w:rsidRPr="00DE2A76">
        <w:rPr>
          <w:rFonts w:eastAsia="Calibri"/>
          <w:iCs/>
          <w:noProof/>
          <w:sz w:val="18"/>
          <w:szCs w:val="18"/>
          <w:lang w:val="fr-FR"/>
        </w:rPr>
        <w:t>.</w:t>
      </w:r>
    </w:p>
    <w:p w:rsidR="00596826" w:rsidRPr="00DE2A76" w:rsidRDefault="00596826" w:rsidP="00596826">
      <w:pPr>
        <w:pStyle w:val="SingleTxtG"/>
        <w:rPr>
          <w:rFonts w:eastAsia="Calibri"/>
          <w:noProof/>
          <w:lang w:val="fr-FR" w:eastAsia="ar-SA"/>
        </w:rPr>
      </w:pPr>
      <w:r w:rsidRPr="00DE2A76">
        <w:rPr>
          <w:rFonts w:eastAsia="Calibri"/>
          <w:noProof/>
          <w:lang w:val="fr-FR" w:eastAsia="ar-SA"/>
        </w:rPr>
        <w:t>46.</w:t>
      </w:r>
      <w:r w:rsidRPr="00DE2A76">
        <w:rPr>
          <w:rFonts w:eastAsia="Calibri"/>
          <w:noProof/>
          <w:lang w:val="fr-FR" w:eastAsia="ar-SA"/>
        </w:rPr>
        <w:tab/>
      </w:r>
      <w:r>
        <w:rPr>
          <w:rFonts w:eastAsia="Calibri"/>
          <w:noProof/>
          <w:lang w:val="fr-FR" w:eastAsia="ar-SA"/>
        </w:rPr>
        <w:t xml:space="preserve">En </w:t>
      </w:r>
      <w:r w:rsidRPr="00DE2A76">
        <w:rPr>
          <w:rFonts w:eastAsia="Calibri"/>
          <w:noProof/>
          <w:lang w:val="fr-FR" w:eastAsia="ar-SA"/>
        </w:rPr>
        <w:t xml:space="preserve">2017, </w:t>
      </w:r>
      <w:r>
        <w:rPr>
          <w:rFonts w:eastAsia="Calibri"/>
          <w:noProof/>
          <w:lang w:val="fr-FR" w:eastAsia="ar-SA"/>
        </w:rPr>
        <w:t xml:space="preserve">le </w:t>
      </w:r>
      <w:r>
        <w:rPr>
          <w:rFonts w:eastAsia="Calibri"/>
          <w:noProof/>
          <w:lang w:val="fr-FR"/>
        </w:rPr>
        <w:t>système de riposte à la violence fondée sur le genre</w:t>
      </w:r>
      <w:r w:rsidRPr="00DE2A76">
        <w:rPr>
          <w:rFonts w:eastAsia="Calibri"/>
          <w:noProof/>
          <w:lang w:val="fr-FR" w:eastAsia="ar-SA"/>
        </w:rPr>
        <w:t xml:space="preserve"> </w:t>
      </w:r>
      <w:r>
        <w:rPr>
          <w:rFonts w:eastAsia="Calibri"/>
          <w:noProof/>
          <w:lang w:val="fr-FR" w:eastAsia="ar-SA"/>
        </w:rPr>
        <w:t xml:space="preserve">a pris en charge </w:t>
      </w:r>
      <w:r w:rsidRPr="00DE2A76">
        <w:rPr>
          <w:rFonts w:eastAsia="Calibri"/>
          <w:noProof/>
          <w:lang w:val="fr-FR" w:eastAsia="ar-SA"/>
        </w:rPr>
        <w:t>26</w:t>
      </w:r>
      <w:r w:rsidR="00E2492B">
        <w:rPr>
          <w:rFonts w:eastAsia="Calibri"/>
          <w:noProof/>
          <w:lang w:val="fr-FR" w:eastAsia="ar-SA"/>
        </w:rPr>
        <w:t> </w:t>
      </w:r>
      <w:r w:rsidRPr="00DE2A76">
        <w:rPr>
          <w:rFonts w:eastAsia="Calibri"/>
          <w:noProof/>
          <w:lang w:val="fr-FR" w:eastAsia="ar-SA"/>
        </w:rPr>
        <w:t xml:space="preserve">626 </w:t>
      </w:r>
      <w:r>
        <w:rPr>
          <w:rFonts w:eastAsia="Calibri"/>
          <w:noProof/>
          <w:lang w:val="fr-FR" w:eastAsia="ar-SA"/>
        </w:rPr>
        <w:t xml:space="preserve">femmes et en a renseigné </w:t>
      </w:r>
      <w:r w:rsidRPr="00DE2A76">
        <w:rPr>
          <w:rFonts w:eastAsia="Calibri"/>
          <w:noProof/>
          <w:lang w:val="fr-FR" w:eastAsia="ar-SA"/>
        </w:rPr>
        <w:t>11</w:t>
      </w:r>
      <w:r w:rsidR="00E2492B">
        <w:rPr>
          <w:rFonts w:eastAsia="Calibri"/>
          <w:noProof/>
          <w:lang w:val="fr-FR" w:eastAsia="ar-SA"/>
        </w:rPr>
        <w:t> </w:t>
      </w:r>
      <w:r w:rsidRPr="00DE2A76">
        <w:rPr>
          <w:rFonts w:eastAsia="Calibri"/>
          <w:noProof/>
          <w:lang w:val="fr-FR" w:eastAsia="ar-SA"/>
        </w:rPr>
        <w:t xml:space="preserve">155 </w:t>
      </w:r>
      <w:r>
        <w:rPr>
          <w:rFonts w:eastAsia="Calibri"/>
          <w:noProof/>
          <w:lang w:val="fr-FR" w:eastAsia="ar-SA"/>
        </w:rPr>
        <w:t>autres</w:t>
      </w:r>
      <w:r w:rsidRPr="00DE2A76">
        <w:rPr>
          <w:rFonts w:eastAsia="Calibri"/>
          <w:noProof/>
          <w:lang w:val="fr-FR" w:eastAsia="ar-SA"/>
        </w:rPr>
        <w:t>.</w:t>
      </w:r>
    </w:p>
    <w:p w:rsidR="00596826" w:rsidRPr="00DE2A76" w:rsidRDefault="00596826" w:rsidP="00E2492B">
      <w:pPr>
        <w:pStyle w:val="H23G"/>
        <w:rPr>
          <w:noProof/>
          <w:lang w:val="fr-FR" w:eastAsia="ar-SA"/>
        </w:rPr>
      </w:pPr>
      <w:r w:rsidRPr="00DE2A76">
        <w:rPr>
          <w:noProof/>
          <w:lang w:val="fr-FR" w:eastAsia="ar-SA"/>
        </w:rPr>
        <w:lastRenderedPageBreak/>
        <w:tab/>
      </w:r>
      <w:r w:rsidR="00E2492B">
        <w:rPr>
          <w:noProof/>
          <w:lang w:val="fr-FR" w:eastAsia="ar-SA"/>
        </w:rPr>
        <w:tab/>
      </w:r>
      <w:r>
        <w:rPr>
          <w:noProof/>
          <w:lang w:val="fr-FR" w:eastAsia="ar-SA"/>
        </w:rPr>
        <w:t xml:space="preserve">Nombre de plaintes et de féminicides liés à la violence familiale </w:t>
      </w:r>
    </w:p>
    <w:tbl>
      <w:tblPr>
        <w:tblW w:w="7370" w:type="dxa"/>
        <w:tblInd w:w="1134" w:type="dxa"/>
        <w:tblLayout w:type="fixed"/>
        <w:tblCellMar>
          <w:left w:w="0" w:type="dxa"/>
          <w:right w:w="0" w:type="dxa"/>
        </w:tblCellMar>
        <w:tblLook w:val="04A0" w:firstRow="1" w:lastRow="0" w:firstColumn="1" w:lastColumn="0" w:noHBand="0" w:noVBand="1"/>
      </w:tblPr>
      <w:tblGrid>
        <w:gridCol w:w="1767"/>
        <w:gridCol w:w="1859"/>
        <w:gridCol w:w="1857"/>
        <w:gridCol w:w="1887"/>
      </w:tblGrid>
      <w:tr w:rsidR="00596826" w:rsidRPr="00E2492B" w:rsidTr="00E2492B">
        <w:trPr>
          <w:tblHeader/>
        </w:trPr>
        <w:tc>
          <w:tcPr>
            <w:tcW w:w="1767"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rPr>
                <w:i/>
                <w:noProof/>
                <w:sz w:val="16"/>
                <w:lang w:val="fr-FR"/>
              </w:rPr>
            </w:pPr>
            <w:r w:rsidRPr="00E2492B">
              <w:rPr>
                <w:i/>
                <w:noProof/>
                <w:sz w:val="16"/>
                <w:lang w:val="fr-FR"/>
              </w:rPr>
              <w:t>Année</w:t>
            </w:r>
          </w:p>
        </w:tc>
        <w:tc>
          <w:tcPr>
            <w:tcW w:w="1859"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 xml:space="preserve">Nombre de plaintes </w:t>
            </w:r>
            <w:r w:rsidR="00E2492B">
              <w:rPr>
                <w:i/>
                <w:noProof/>
                <w:sz w:val="16"/>
                <w:lang w:val="fr-FR"/>
              </w:rPr>
              <w:br/>
            </w:r>
            <w:r w:rsidRPr="00E2492B">
              <w:rPr>
                <w:i/>
                <w:noProof/>
                <w:sz w:val="16"/>
                <w:lang w:val="fr-FR"/>
              </w:rPr>
              <w:t>pour violence familiale</w:t>
            </w:r>
          </w:p>
        </w:tc>
        <w:tc>
          <w:tcPr>
            <w:tcW w:w="1857"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 xml:space="preserve">Nombre de plaintes </w:t>
            </w:r>
            <w:r w:rsidR="00E2492B">
              <w:rPr>
                <w:i/>
                <w:noProof/>
                <w:sz w:val="16"/>
                <w:lang w:val="fr-FR"/>
              </w:rPr>
              <w:br/>
            </w:r>
            <w:r w:rsidRPr="00E2492B">
              <w:rPr>
                <w:i/>
                <w:noProof/>
                <w:sz w:val="16"/>
                <w:lang w:val="fr-FR"/>
              </w:rPr>
              <w:t xml:space="preserve">par jour </w:t>
            </w:r>
          </w:p>
        </w:tc>
        <w:tc>
          <w:tcPr>
            <w:tcW w:w="1887" w:type="dxa"/>
            <w:tcBorders>
              <w:top w:val="single" w:sz="4" w:space="0" w:color="auto"/>
              <w:bottom w:val="single" w:sz="12" w:space="0" w:color="auto"/>
            </w:tcBorders>
            <w:shd w:val="clear" w:color="auto" w:fill="auto"/>
            <w:vAlign w:val="bottom"/>
          </w:tcPr>
          <w:p w:rsidR="00596826" w:rsidRPr="00E2492B" w:rsidRDefault="00596826" w:rsidP="00E2492B">
            <w:pPr>
              <w:suppressAutoHyphens w:val="0"/>
              <w:spacing w:before="80" w:after="80" w:line="200" w:lineRule="exact"/>
              <w:jc w:val="right"/>
              <w:rPr>
                <w:i/>
                <w:noProof/>
                <w:sz w:val="16"/>
                <w:lang w:val="fr-FR"/>
              </w:rPr>
            </w:pPr>
            <w:r w:rsidRPr="00E2492B">
              <w:rPr>
                <w:i/>
                <w:noProof/>
                <w:sz w:val="16"/>
                <w:lang w:val="fr-FR"/>
              </w:rPr>
              <w:t xml:space="preserve">Féminicides liés </w:t>
            </w:r>
            <w:r w:rsidR="00E2492B">
              <w:rPr>
                <w:i/>
                <w:noProof/>
                <w:sz w:val="16"/>
                <w:lang w:val="fr-FR"/>
              </w:rPr>
              <w:br/>
            </w:r>
            <w:r w:rsidRPr="00E2492B">
              <w:rPr>
                <w:i/>
                <w:noProof/>
                <w:sz w:val="16"/>
                <w:lang w:val="fr-FR"/>
              </w:rPr>
              <w:t xml:space="preserve">à la violence familiale  </w:t>
            </w:r>
          </w:p>
        </w:tc>
      </w:tr>
      <w:tr w:rsidR="00260CF2" w:rsidRPr="00E2492B" w:rsidTr="00E2492B">
        <w:tc>
          <w:tcPr>
            <w:tcW w:w="1767" w:type="dxa"/>
            <w:tcBorders>
              <w:top w:val="single" w:sz="12" w:space="0" w:color="auto"/>
            </w:tcBorders>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2014</w:t>
            </w:r>
          </w:p>
        </w:tc>
        <w:tc>
          <w:tcPr>
            <w:tcW w:w="1859" w:type="dxa"/>
            <w:tcBorders>
              <w:top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23 648</w:t>
            </w:r>
          </w:p>
        </w:tc>
        <w:tc>
          <w:tcPr>
            <w:tcW w:w="1857" w:type="dxa"/>
            <w:tcBorders>
              <w:top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77</w:t>
            </w:r>
          </w:p>
        </w:tc>
        <w:tc>
          <w:tcPr>
            <w:tcW w:w="1887" w:type="dxa"/>
            <w:tcBorders>
              <w:top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24</w:t>
            </w:r>
          </w:p>
        </w:tc>
      </w:tr>
      <w:tr w:rsidR="00260CF2" w:rsidRPr="00E2492B" w:rsidTr="00E2492B">
        <w:tc>
          <w:tcPr>
            <w:tcW w:w="1767" w:type="dxa"/>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2015</w:t>
            </w:r>
          </w:p>
        </w:tc>
        <w:tc>
          <w:tcPr>
            <w:tcW w:w="1859"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25 644</w:t>
            </w:r>
          </w:p>
        </w:tc>
        <w:tc>
          <w:tcPr>
            <w:tcW w:w="1857"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85</w:t>
            </w:r>
          </w:p>
        </w:tc>
        <w:tc>
          <w:tcPr>
            <w:tcW w:w="1887"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24</w:t>
            </w:r>
          </w:p>
        </w:tc>
      </w:tr>
      <w:tr w:rsidR="00260CF2" w:rsidRPr="00E2492B" w:rsidTr="00E2492B">
        <w:tc>
          <w:tcPr>
            <w:tcW w:w="1767" w:type="dxa"/>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2016</w:t>
            </w:r>
          </w:p>
        </w:tc>
        <w:tc>
          <w:tcPr>
            <w:tcW w:w="1859"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24 454</w:t>
            </w:r>
          </w:p>
        </w:tc>
        <w:tc>
          <w:tcPr>
            <w:tcW w:w="1857"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79</w:t>
            </w:r>
          </w:p>
        </w:tc>
        <w:tc>
          <w:tcPr>
            <w:tcW w:w="1887" w:type="dxa"/>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29</w:t>
            </w:r>
          </w:p>
        </w:tc>
      </w:tr>
      <w:tr w:rsidR="00260CF2" w:rsidRPr="00E2492B" w:rsidTr="00E2492B">
        <w:tc>
          <w:tcPr>
            <w:tcW w:w="1767" w:type="dxa"/>
            <w:tcBorders>
              <w:bottom w:val="single" w:sz="12" w:space="0" w:color="auto"/>
            </w:tcBorders>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2017</w:t>
            </w:r>
          </w:p>
        </w:tc>
        <w:tc>
          <w:tcPr>
            <w:tcW w:w="1859" w:type="dxa"/>
            <w:tcBorders>
              <w:bottom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39 226</w:t>
            </w:r>
          </w:p>
        </w:tc>
        <w:tc>
          <w:tcPr>
            <w:tcW w:w="1857" w:type="dxa"/>
            <w:tcBorders>
              <w:bottom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107</w:t>
            </w:r>
          </w:p>
        </w:tc>
        <w:tc>
          <w:tcPr>
            <w:tcW w:w="1887" w:type="dxa"/>
            <w:tcBorders>
              <w:bottom w:val="single" w:sz="12" w:space="0" w:color="auto"/>
            </w:tcBorders>
            <w:shd w:val="clear" w:color="auto" w:fill="auto"/>
            <w:vAlign w:val="bottom"/>
          </w:tcPr>
          <w:p w:rsidR="00260CF2" w:rsidRPr="00260CF2" w:rsidRDefault="00260CF2" w:rsidP="00260CF2">
            <w:pPr>
              <w:spacing w:before="40" w:after="40" w:line="220" w:lineRule="exact"/>
              <w:jc w:val="right"/>
              <w:rPr>
                <w:rFonts w:eastAsia="Calibri"/>
                <w:sz w:val="18"/>
                <w:szCs w:val="18"/>
                <w:lang w:val="es-UY"/>
              </w:rPr>
            </w:pPr>
            <w:r w:rsidRPr="00260CF2">
              <w:rPr>
                <w:rFonts w:eastAsia="Calibri"/>
                <w:sz w:val="18"/>
                <w:szCs w:val="18"/>
                <w:lang w:val="es-UY"/>
              </w:rPr>
              <w:t>31</w:t>
            </w:r>
          </w:p>
        </w:tc>
      </w:tr>
    </w:tbl>
    <w:p w:rsidR="00596826" w:rsidRPr="00DE2A76" w:rsidRDefault="00596826" w:rsidP="00260CF2">
      <w:pPr>
        <w:pStyle w:val="SingleTxtG"/>
        <w:spacing w:before="120" w:after="240"/>
        <w:ind w:firstLine="170"/>
        <w:rPr>
          <w:rFonts w:eastAsia="Calibri"/>
          <w:noProof/>
          <w:sz w:val="18"/>
          <w:szCs w:val="18"/>
          <w:lang w:val="fr-FR"/>
        </w:rPr>
      </w:pPr>
      <w:r>
        <w:rPr>
          <w:rFonts w:eastAsia="Calibri"/>
          <w:i/>
          <w:iCs/>
          <w:noProof/>
          <w:sz w:val="18"/>
          <w:szCs w:val="18"/>
          <w:lang w:val="fr-FR"/>
        </w:rPr>
        <w:t>Source </w:t>
      </w:r>
      <w:r w:rsidRPr="00691AD9">
        <w:rPr>
          <w:rFonts w:eastAsia="Calibri"/>
          <w:iCs/>
          <w:noProof/>
          <w:sz w:val="18"/>
          <w:szCs w:val="18"/>
          <w:lang w:val="fr-FR"/>
        </w:rPr>
        <w:t>:</w:t>
      </w:r>
      <w:r w:rsidRPr="00DE2A76">
        <w:rPr>
          <w:rFonts w:eastAsia="Calibri"/>
          <w:noProof/>
          <w:sz w:val="18"/>
          <w:szCs w:val="18"/>
          <w:lang w:val="fr-FR"/>
        </w:rPr>
        <w:t xml:space="preserve"> </w:t>
      </w:r>
      <w:r w:rsidRPr="0079510B">
        <w:rPr>
          <w:noProof/>
          <w:sz w:val="18"/>
          <w:szCs w:val="18"/>
          <w:lang w:val="fr-FR"/>
        </w:rPr>
        <w:t>Ministère du développement social</w:t>
      </w:r>
      <w:r w:rsidRPr="00DE2A76">
        <w:rPr>
          <w:rFonts w:eastAsia="Calibri"/>
          <w:iCs/>
          <w:noProof/>
          <w:sz w:val="18"/>
          <w:szCs w:val="18"/>
          <w:lang w:val="fr-FR"/>
        </w:rPr>
        <w:t>.</w:t>
      </w:r>
    </w:p>
    <w:p w:rsidR="00596826" w:rsidRPr="00DE2A76" w:rsidRDefault="00596826" w:rsidP="00596826">
      <w:pPr>
        <w:pStyle w:val="SingleTxtG"/>
        <w:rPr>
          <w:rFonts w:eastAsia="Calibri"/>
          <w:noProof/>
          <w:lang w:val="fr-FR"/>
        </w:rPr>
      </w:pPr>
      <w:r w:rsidRPr="00DE2A76">
        <w:rPr>
          <w:rFonts w:eastAsia="Calibri"/>
          <w:noProof/>
          <w:lang w:val="fr-FR"/>
        </w:rPr>
        <w:t>47.</w:t>
      </w:r>
      <w:r w:rsidRPr="00DE2A76">
        <w:rPr>
          <w:rFonts w:eastAsia="Calibri"/>
          <w:noProof/>
          <w:lang w:val="fr-FR"/>
        </w:rPr>
        <w:tab/>
        <w:t>En 2017</w:t>
      </w:r>
      <w:r>
        <w:rPr>
          <w:rFonts w:eastAsia="Calibri"/>
          <w:noProof/>
          <w:lang w:val="fr-FR"/>
        </w:rPr>
        <w:t>,</w:t>
      </w:r>
      <w:r w:rsidRPr="00DE2A76">
        <w:rPr>
          <w:rFonts w:eastAsia="Calibri"/>
          <w:noProof/>
          <w:lang w:val="fr-FR"/>
        </w:rPr>
        <w:t xml:space="preserve"> </w:t>
      </w:r>
      <w:r>
        <w:rPr>
          <w:rFonts w:eastAsia="Calibri"/>
          <w:noProof/>
          <w:lang w:val="fr-FR"/>
        </w:rPr>
        <w:t xml:space="preserve">le Ministère de la santé a pris en charge </w:t>
      </w:r>
      <w:r w:rsidRPr="00DE2A76">
        <w:rPr>
          <w:rFonts w:eastAsia="Calibri"/>
          <w:bCs/>
          <w:noProof/>
          <w:lang w:val="fr-FR"/>
        </w:rPr>
        <w:t>4</w:t>
      </w:r>
      <w:r w:rsidR="00260CF2">
        <w:rPr>
          <w:rFonts w:eastAsia="Calibri"/>
          <w:bCs/>
          <w:noProof/>
          <w:lang w:val="fr-FR"/>
        </w:rPr>
        <w:t> </w:t>
      </w:r>
      <w:r w:rsidRPr="00DE2A76">
        <w:rPr>
          <w:rFonts w:eastAsia="Calibri"/>
          <w:bCs/>
          <w:noProof/>
          <w:lang w:val="fr-FR"/>
        </w:rPr>
        <w:t>419</w:t>
      </w:r>
      <w:r w:rsidRPr="00DE2A76">
        <w:rPr>
          <w:rFonts w:eastAsia="Calibri"/>
          <w:noProof/>
          <w:lang w:val="fr-FR"/>
        </w:rPr>
        <w:t xml:space="preserve"> </w:t>
      </w:r>
      <w:r>
        <w:rPr>
          <w:rFonts w:eastAsia="Calibri"/>
          <w:noProof/>
          <w:lang w:val="fr-FR"/>
        </w:rPr>
        <w:t>femmes au titre de la violence familiale</w:t>
      </w:r>
      <w:r w:rsidR="00691AD9">
        <w:rPr>
          <w:rFonts w:eastAsia="Calibri"/>
          <w:noProof/>
          <w:lang w:val="fr-FR"/>
        </w:rPr>
        <w:t> </w:t>
      </w:r>
      <w:r>
        <w:rPr>
          <w:rFonts w:eastAsia="Calibri"/>
          <w:noProof/>
          <w:lang w:val="fr-FR"/>
        </w:rPr>
        <w:t xml:space="preserve">; la situation de </w:t>
      </w:r>
      <w:r w:rsidRPr="00DE2A76">
        <w:rPr>
          <w:rFonts w:eastAsia="Calibri"/>
          <w:noProof/>
          <w:lang w:val="fr-FR"/>
        </w:rPr>
        <w:t>1</w:t>
      </w:r>
      <w:r w:rsidR="00260CF2">
        <w:rPr>
          <w:rFonts w:eastAsia="Calibri"/>
          <w:noProof/>
          <w:lang w:val="fr-FR"/>
        </w:rPr>
        <w:t> </w:t>
      </w:r>
      <w:r w:rsidRPr="00DE2A76">
        <w:rPr>
          <w:rFonts w:eastAsia="Calibri"/>
          <w:noProof/>
          <w:lang w:val="fr-FR"/>
        </w:rPr>
        <w:t xml:space="preserve">758 </w:t>
      </w:r>
      <w:r>
        <w:rPr>
          <w:rFonts w:eastAsia="Calibri"/>
          <w:noProof/>
          <w:lang w:val="fr-FR"/>
        </w:rPr>
        <w:t>d</w:t>
      </w:r>
      <w:r w:rsidR="00607CA3">
        <w:rPr>
          <w:rFonts w:eastAsia="Calibri"/>
          <w:noProof/>
          <w:lang w:val="fr-FR"/>
        </w:rPr>
        <w:t>’</w:t>
      </w:r>
      <w:r>
        <w:rPr>
          <w:rFonts w:eastAsia="Calibri"/>
          <w:noProof/>
          <w:lang w:val="fr-FR"/>
        </w:rPr>
        <w:t>entre elles a été considérée comme présentant un risque moyen ou élevé</w:t>
      </w:r>
      <w:r w:rsidRPr="00DE2A76">
        <w:rPr>
          <w:rFonts w:eastAsia="Calibri"/>
          <w:noProof/>
          <w:lang w:val="fr-FR"/>
        </w:rPr>
        <w:t xml:space="preserve">. </w:t>
      </w:r>
      <w:r>
        <w:rPr>
          <w:rFonts w:eastAsia="Calibri"/>
          <w:noProof/>
          <w:lang w:val="fr-FR"/>
        </w:rPr>
        <w:t>Des services d</w:t>
      </w:r>
      <w:r w:rsidR="00607CA3">
        <w:rPr>
          <w:rFonts w:eastAsia="Calibri"/>
          <w:noProof/>
          <w:lang w:val="fr-FR"/>
        </w:rPr>
        <w:t>’</w:t>
      </w:r>
      <w:r>
        <w:rPr>
          <w:rFonts w:eastAsia="Calibri"/>
          <w:noProof/>
          <w:lang w:val="fr-FR"/>
        </w:rPr>
        <w:t xml:space="preserve">urgence ont été assurés pour </w:t>
      </w:r>
      <w:r w:rsidRPr="00DE2A76">
        <w:rPr>
          <w:rFonts w:eastAsia="Calibri"/>
          <w:noProof/>
          <w:lang w:val="fr-FR"/>
        </w:rPr>
        <w:t xml:space="preserve">347 </w:t>
      </w:r>
      <w:r>
        <w:rPr>
          <w:rFonts w:eastAsia="Calibri"/>
          <w:noProof/>
          <w:lang w:val="fr-FR"/>
        </w:rPr>
        <w:t xml:space="preserve">femmes victimes de violence sexuelle et </w:t>
      </w:r>
      <w:r w:rsidRPr="00DE2A76">
        <w:rPr>
          <w:rFonts w:eastAsia="Calibri"/>
          <w:noProof/>
          <w:lang w:val="fr-FR"/>
        </w:rPr>
        <w:t xml:space="preserve">536 </w:t>
      </w:r>
      <w:r>
        <w:rPr>
          <w:rFonts w:eastAsia="Calibri"/>
          <w:noProof/>
          <w:lang w:val="fr-FR"/>
        </w:rPr>
        <w:t>femmes victimes de violence physique</w:t>
      </w:r>
      <w:r w:rsidRPr="00DE2A76">
        <w:rPr>
          <w:rFonts w:eastAsia="Calibri"/>
          <w:noProof/>
          <w:lang w:val="fr-FR"/>
        </w:rPr>
        <w:t xml:space="preserve">. </w:t>
      </w:r>
    </w:p>
    <w:p w:rsidR="00596826" w:rsidRPr="00DE2A76" w:rsidRDefault="00596826" w:rsidP="00596826">
      <w:pPr>
        <w:pStyle w:val="SingleTxtG"/>
        <w:rPr>
          <w:rFonts w:eastAsia="Calibri"/>
          <w:noProof/>
          <w:lang w:val="fr-FR"/>
        </w:rPr>
      </w:pPr>
      <w:r w:rsidRPr="00DE2A76">
        <w:rPr>
          <w:rFonts w:eastAsia="Calibri"/>
          <w:noProof/>
          <w:lang w:val="fr-FR"/>
        </w:rPr>
        <w:t>48.</w:t>
      </w:r>
      <w:r w:rsidRPr="00DE2A76">
        <w:rPr>
          <w:rFonts w:eastAsia="Calibri"/>
          <w:noProof/>
          <w:lang w:val="fr-FR"/>
        </w:rPr>
        <w:tab/>
      </w:r>
      <w:r>
        <w:rPr>
          <w:rFonts w:eastAsia="Calibri"/>
          <w:noProof/>
          <w:lang w:val="fr-FR"/>
        </w:rPr>
        <w:t>S</w:t>
      </w:r>
      <w:r w:rsidR="00607CA3">
        <w:rPr>
          <w:rFonts w:eastAsia="Calibri"/>
          <w:noProof/>
          <w:lang w:val="fr-FR"/>
        </w:rPr>
        <w:t>’</w:t>
      </w:r>
      <w:r>
        <w:rPr>
          <w:rFonts w:eastAsia="Calibri"/>
          <w:noProof/>
          <w:lang w:val="fr-FR"/>
        </w:rPr>
        <w:t xml:space="preserve">agissant de la violence familiale infligée à des mineurs, </w:t>
      </w:r>
      <w:r w:rsidRPr="00DE2A76">
        <w:rPr>
          <w:rFonts w:eastAsia="Calibri"/>
          <w:noProof/>
          <w:lang w:val="fr-FR"/>
        </w:rPr>
        <w:t>en 2016</w:t>
      </w:r>
      <w:r>
        <w:rPr>
          <w:rFonts w:eastAsia="Calibri"/>
          <w:noProof/>
          <w:lang w:val="fr-FR"/>
        </w:rPr>
        <w:t xml:space="preserve">, </w:t>
      </w:r>
      <w:r w:rsidRPr="00DE2A76">
        <w:rPr>
          <w:rFonts w:eastAsia="Calibri"/>
          <w:noProof/>
          <w:lang w:val="fr-FR"/>
        </w:rPr>
        <w:t>1</w:t>
      </w:r>
      <w:r w:rsidR="00260CF2">
        <w:rPr>
          <w:rFonts w:eastAsia="Calibri"/>
          <w:noProof/>
          <w:lang w:val="fr-FR"/>
        </w:rPr>
        <w:t> </w:t>
      </w:r>
      <w:r w:rsidRPr="00DE2A76">
        <w:rPr>
          <w:rFonts w:eastAsia="Calibri"/>
          <w:noProof/>
          <w:lang w:val="fr-FR"/>
        </w:rPr>
        <w:t xml:space="preserve">398 </w:t>
      </w:r>
      <w:r>
        <w:rPr>
          <w:rFonts w:eastAsia="Calibri"/>
          <w:noProof/>
          <w:lang w:val="fr-FR"/>
        </w:rPr>
        <w:t>d</w:t>
      </w:r>
      <w:r w:rsidR="00607CA3">
        <w:rPr>
          <w:rFonts w:eastAsia="Calibri"/>
          <w:noProof/>
          <w:lang w:val="fr-FR"/>
        </w:rPr>
        <w:t>’</w:t>
      </w:r>
      <w:r>
        <w:rPr>
          <w:rFonts w:eastAsia="Calibri"/>
          <w:noProof/>
          <w:lang w:val="fr-FR"/>
        </w:rPr>
        <w:t>entre eux ont bénéficié d</w:t>
      </w:r>
      <w:r w:rsidR="00607CA3">
        <w:rPr>
          <w:rFonts w:eastAsia="Calibri"/>
          <w:noProof/>
          <w:lang w:val="fr-FR"/>
        </w:rPr>
        <w:t>’</w:t>
      </w:r>
      <w:r>
        <w:rPr>
          <w:rFonts w:eastAsia="Calibri"/>
          <w:noProof/>
          <w:lang w:val="fr-FR"/>
        </w:rPr>
        <w:t>une prise en charge à temps partiel</w:t>
      </w:r>
      <w:r w:rsidRPr="00DE2A76">
        <w:rPr>
          <w:rFonts w:eastAsia="Calibri"/>
          <w:noProof/>
          <w:lang w:val="fr-FR"/>
        </w:rPr>
        <w:t xml:space="preserve">. </w:t>
      </w:r>
      <w:r w:rsidRPr="00287D99">
        <w:rPr>
          <w:rFonts w:eastAsia="Calibri"/>
          <w:noProof/>
          <w:lang w:val="fr-FR"/>
        </w:rPr>
        <w:t>L</w:t>
      </w:r>
      <w:r w:rsidR="00607CA3">
        <w:rPr>
          <w:rFonts w:eastAsia="Calibri"/>
          <w:noProof/>
          <w:lang w:val="fr-FR"/>
        </w:rPr>
        <w:t>’</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 xml:space="preserve">adolescent </w:t>
      </w:r>
      <w:r>
        <w:rPr>
          <w:rFonts w:eastAsia="Calibri"/>
          <w:noProof/>
          <w:lang w:val="fr-FR"/>
        </w:rPr>
        <w:t>dispose de six logements communautaires permettant une prise en charge complète des mineurs</w:t>
      </w:r>
      <w:r w:rsidRPr="00DE2A76">
        <w:rPr>
          <w:rFonts w:eastAsia="Calibri"/>
          <w:noProof/>
          <w:lang w:val="fr-FR"/>
        </w:rPr>
        <w:t xml:space="preserve"> </w:t>
      </w:r>
      <w:r>
        <w:rPr>
          <w:rFonts w:eastAsia="Calibri"/>
          <w:noProof/>
          <w:lang w:val="fr-FR"/>
        </w:rPr>
        <w:t>et de leurs responsables, qui sont des femmes adultes victimes de violences</w:t>
      </w:r>
      <w:r w:rsidRPr="00DE2A76">
        <w:rPr>
          <w:rFonts w:eastAsia="Calibri"/>
          <w:noProof/>
          <w:lang w:val="fr-FR"/>
        </w:rPr>
        <w:t xml:space="preserve">. </w:t>
      </w:r>
    </w:p>
    <w:p w:rsidR="00596826" w:rsidRPr="00DE2A76" w:rsidRDefault="00596826" w:rsidP="00260CF2">
      <w:pPr>
        <w:pStyle w:val="H23G"/>
        <w:rPr>
          <w:noProof/>
          <w:lang w:val="fr-FR"/>
        </w:rPr>
      </w:pPr>
      <w:r w:rsidRPr="00DE2A76">
        <w:rPr>
          <w:noProof/>
          <w:lang w:val="fr-FR"/>
        </w:rPr>
        <w:tab/>
      </w:r>
      <w:r w:rsidR="00260CF2">
        <w:rPr>
          <w:noProof/>
          <w:lang w:val="fr-FR"/>
        </w:rPr>
        <w:tab/>
      </w:r>
      <w:r w:rsidRPr="00DE2A76">
        <w:rPr>
          <w:noProof/>
          <w:lang w:val="fr-FR"/>
        </w:rPr>
        <w:t>N</w:t>
      </w:r>
      <w:r>
        <w:rPr>
          <w:noProof/>
          <w:lang w:val="fr-FR"/>
        </w:rPr>
        <w:t xml:space="preserve">ombre de mineurs pris en charge au titre de la violence familiale </w:t>
      </w:r>
      <w:r w:rsidRPr="00DE2A76">
        <w:rPr>
          <w:noProof/>
          <w:lang w:val="fr-FR"/>
        </w:rPr>
        <w:t>en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567"/>
        <w:gridCol w:w="1029"/>
        <w:gridCol w:w="1302"/>
        <w:gridCol w:w="1302"/>
        <w:gridCol w:w="1302"/>
        <w:gridCol w:w="1302"/>
        <w:gridCol w:w="566"/>
      </w:tblGrid>
      <w:tr w:rsidR="00596826" w:rsidRPr="00260CF2" w:rsidTr="00C43E89">
        <w:trPr>
          <w:tblHeader/>
        </w:trPr>
        <w:tc>
          <w:tcPr>
            <w:tcW w:w="567" w:type="dxa"/>
            <w:shd w:val="clear" w:color="auto" w:fill="auto"/>
            <w:vAlign w:val="bottom"/>
          </w:tcPr>
          <w:p w:rsidR="00596826" w:rsidRPr="00260CF2" w:rsidRDefault="00596826" w:rsidP="00260CF2">
            <w:pPr>
              <w:suppressAutoHyphens w:val="0"/>
              <w:spacing w:before="80" w:after="80" w:line="200" w:lineRule="exact"/>
              <w:rPr>
                <w:i/>
                <w:noProof/>
                <w:sz w:val="16"/>
                <w:lang w:val="fr-FR"/>
              </w:rPr>
            </w:pPr>
            <w:r w:rsidRPr="00260CF2">
              <w:rPr>
                <w:i/>
                <w:noProof/>
                <w:sz w:val="16"/>
                <w:lang w:val="fr-FR"/>
              </w:rPr>
              <w:t>Année</w:t>
            </w:r>
          </w:p>
        </w:tc>
        <w:tc>
          <w:tcPr>
            <w:tcW w:w="1029"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0 à 3 ans</w:t>
            </w:r>
          </w:p>
        </w:tc>
        <w:tc>
          <w:tcPr>
            <w:tcW w:w="1302"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4 et 5 ans</w:t>
            </w:r>
          </w:p>
        </w:tc>
        <w:tc>
          <w:tcPr>
            <w:tcW w:w="1302"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6 à 12 ans</w:t>
            </w:r>
          </w:p>
        </w:tc>
        <w:tc>
          <w:tcPr>
            <w:tcW w:w="1302"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13 à 17 ans</w:t>
            </w:r>
          </w:p>
        </w:tc>
        <w:tc>
          <w:tcPr>
            <w:tcW w:w="1302"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au-delà de 18 ans</w:t>
            </w:r>
          </w:p>
        </w:tc>
        <w:tc>
          <w:tcPr>
            <w:tcW w:w="566" w:type="dxa"/>
            <w:shd w:val="clear" w:color="auto" w:fill="auto"/>
            <w:vAlign w:val="bottom"/>
          </w:tcPr>
          <w:p w:rsidR="00596826" w:rsidRPr="00260CF2" w:rsidRDefault="00596826" w:rsidP="00260CF2">
            <w:pPr>
              <w:suppressAutoHyphens w:val="0"/>
              <w:spacing w:before="80" w:after="80" w:line="200" w:lineRule="exact"/>
              <w:jc w:val="right"/>
              <w:rPr>
                <w:b/>
                <w:i/>
                <w:noProof/>
                <w:sz w:val="16"/>
                <w:lang w:val="fr-FR"/>
              </w:rPr>
            </w:pPr>
            <w:r w:rsidRPr="00260CF2">
              <w:rPr>
                <w:b/>
                <w:i/>
                <w:noProof/>
                <w:sz w:val="16"/>
                <w:lang w:val="fr-FR"/>
              </w:rPr>
              <w:t>Total</w:t>
            </w:r>
          </w:p>
        </w:tc>
      </w:tr>
      <w:tr w:rsidR="00260CF2" w:rsidRPr="00260CF2" w:rsidTr="00C43E89">
        <w:tc>
          <w:tcPr>
            <w:tcW w:w="567" w:type="dxa"/>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2016</w:t>
            </w:r>
          </w:p>
        </w:tc>
        <w:tc>
          <w:tcPr>
            <w:tcW w:w="1029"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19</w:t>
            </w:r>
          </w:p>
        </w:tc>
        <w:tc>
          <w:tcPr>
            <w:tcW w:w="1302"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14</w:t>
            </w:r>
          </w:p>
        </w:tc>
        <w:tc>
          <w:tcPr>
            <w:tcW w:w="1302"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104</w:t>
            </w:r>
          </w:p>
        </w:tc>
        <w:tc>
          <w:tcPr>
            <w:tcW w:w="1302"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98</w:t>
            </w:r>
          </w:p>
        </w:tc>
        <w:tc>
          <w:tcPr>
            <w:tcW w:w="1302"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8</w:t>
            </w:r>
          </w:p>
        </w:tc>
        <w:tc>
          <w:tcPr>
            <w:tcW w:w="566" w:type="dxa"/>
            <w:shd w:val="clear" w:color="auto" w:fill="auto"/>
            <w:vAlign w:val="bottom"/>
          </w:tcPr>
          <w:p w:rsidR="00260CF2" w:rsidRPr="00260CF2" w:rsidRDefault="00260CF2" w:rsidP="00260CF2">
            <w:pPr>
              <w:spacing w:before="40" w:after="40" w:line="220" w:lineRule="exact"/>
              <w:jc w:val="right"/>
              <w:rPr>
                <w:rFonts w:eastAsia="Yu Mincho"/>
                <w:b/>
                <w:sz w:val="18"/>
                <w:szCs w:val="18"/>
                <w:lang w:val="es-AR"/>
              </w:rPr>
            </w:pPr>
            <w:r w:rsidRPr="00260CF2">
              <w:rPr>
                <w:rFonts w:eastAsia="Yu Mincho"/>
                <w:b/>
                <w:sz w:val="18"/>
                <w:szCs w:val="18"/>
                <w:lang w:val="es-AR"/>
              </w:rPr>
              <w:t>243</w:t>
            </w:r>
          </w:p>
        </w:tc>
      </w:tr>
    </w:tbl>
    <w:p w:rsidR="00596826" w:rsidRPr="00DE2A76" w:rsidRDefault="00596826" w:rsidP="00596826">
      <w:pPr>
        <w:pStyle w:val="SingleTxtG"/>
        <w:spacing w:before="120" w:after="240"/>
        <w:ind w:left="1304"/>
        <w:rPr>
          <w:rFonts w:eastAsia="Calibri"/>
          <w:noProof/>
          <w:szCs w:val="18"/>
          <w:lang w:val="fr-FR"/>
        </w:rPr>
      </w:pPr>
      <w:r>
        <w:rPr>
          <w:rFonts w:eastAsia="Calibri"/>
          <w:i/>
          <w:iCs/>
          <w:noProof/>
          <w:sz w:val="18"/>
          <w:szCs w:val="18"/>
          <w:lang w:val="fr-FR"/>
        </w:rPr>
        <w:t>Source</w:t>
      </w:r>
      <w:r w:rsidRPr="00691AD9">
        <w:rPr>
          <w:rFonts w:eastAsia="Calibri"/>
          <w:iCs/>
          <w:noProof/>
          <w:sz w:val="18"/>
          <w:szCs w:val="18"/>
          <w:lang w:val="fr-FR"/>
        </w:rPr>
        <w:t> :</w:t>
      </w:r>
      <w:r w:rsidRPr="00DE2A76">
        <w:rPr>
          <w:rFonts w:eastAsia="Calibri"/>
          <w:noProof/>
          <w:sz w:val="18"/>
          <w:szCs w:val="18"/>
          <w:lang w:val="fr-FR"/>
        </w:rPr>
        <w:t xml:space="preserve"> </w:t>
      </w:r>
      <w:r w:rsidRPr="003C5597">
        <w:rPr>
          <w:noProof/>
          <w:sz w:val="18"/>
          <w:szCs w:val="18"/>
          <w:lang w:val="fr-FR"/>
        </w:rPr>
        <w:t>Institut uruguayen de</w:t>
      </w:r>
      <w:r w:rsidRPr="003C5597">
        <w:rPr>
          <w:rFonts w:eastAsia="Calibri"/>
          <w:noProof/>
          <w:sz w:val="18"/>
          <w:szCs w:val="18"/>
          <w:lang w:val="fr-FR"/>
        </w:rPr>
        <w:t xml:space="preserve"> l</w:t>
      </w:r>
      <w:r w:rsidR="00607CA3">
        <w:rPr>
          <w:rFonts w:eastAsia="Calibri"/>
          <w:noProof/>
          <w:sz w:val="18"/>
          <w:szCs w:val="18"/>
          <w:lang w:val="fr-FR"/>
        </w:rPr>
        <w:t>’</w:t>
      </w:r>
      <w:r w:rsidRPr="003C5597">
        <w:rPr>
          <w:rFonts w:eastAsia="Calibri"/>
          <w:noProof/>
          <w:sz w:val="18"/>
          <w:szCs w:val="18"/>
          <w:lang w:val="fr-FR"/>
        </w:rPr>
        <w:t>enfant et de l</w:t>
      </w:r>
      <w:r w:rsidR="00607CA3">
        <w:rPr>
          <w:rFonts w:eastAsia="Calibri"/>
          <w:noProof/>
          <w:sz w:val="18"/>
          <w:szCs w:val="18"/>
          <w:lang w:val="fr-FR"/>
        </w:rPr>
        <w:t>’</w:t>
      </w:r>
      <w:r w:rsidRPr="003C5597">
        <w:rPr>
          <w:rFonts w:eastAsia="Calibri"/>
          <w:noProof/>
          <w:sz w:val="18"/>
          <w:szCs w:val="18"/>
          <w:lang w:val="fr-FR"/>
        </w:rPr>
        <w:t>adolescent</w:t>
      </w:r>
      <w:r w:rsidRPr="00DE2A76">
        <w:rPr>
          <w:rFonts w:eastAsia="Calibri"/>
          <w:iCs/>
          <w:noProof/>
          <w:sz w:val="18"/>
          <w:szCs w:val="18"/>
          <w:lang w:val="fr-FR"/>
        </w:rPr>
        <w:t>.</w:t>
      </w:r>
    </w:p>
    <w:p w:rsidR="00596826" w:rsidRPr="003C5597" w:rsidRDefault="00596826" w:rsidP="00596826">
      <w:pPr>
        <w:pStyle w:val="SingleTxtG"/>
        <w:rPr>
          <w:rFonts w:eastAsia="Calibri"/>
          <w:b/>
          <w:bCs/>
          <w:noProof/>
          <w:lang w:val="fr-FR"/>
        </w:rPr>
      </w:pPr>
      <w:r w:rsidRPr="003C5597">
        <w:rPr>
          <w:rFonts w:eastAsia="Calibri"/>
          <w:b/>
          <w:noProof/>
          <w:lang w:val="fr-FR"/>
        </w:rPr>
        <w:t>Pris</w:t>
      </w:r>
      <w:r>
        <w:rPr>
          <w:rFonts w:eastAsia="Calibri"/>
          <w:b/>
          <w:noProof/>
          <w:lang w:val="fr-FR"/>
        </w:rPr>
        <w:t>e</w:t>
      </w:r>
      <w:r w:rsidRPr="003C5597">
        <w:rPr>
          <w:rFonts w:eastAsia="Calibri"/>
          <w:b/>
          <w:noProof/>
          <w:lang w:val="fr-FR"/>
        </w:rPr>
        <w:t xml:space="preserve"> en charge communautaire à temps partiel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560"/>
        <w:gridCol w:w="1000"/>
        <w:gridCol w:w="1311"/>
        <w:gridCol w:w="1311"/>
        <w:gridCol w:w="1311"/>
        <w:gridCol w:w="1311"/>
        <w:gridCol w:w="566"/>
      </w:tblGrid>
      <w:tr w:rsidR="00596826" w:rsidRPr="00260CF2" w:rsidTr="00C43E89">
        <w:trPr>
          <w:tblHeader/>
        </w:trPr>
        <w:tc>
          <w:tcPr>
            <w:tcW w:w="560" w:type="dxa"/>
            <w:shd w:val="clear" w:color="auto" w:fill="auto"/>
            <w:vAlign w:val="bottom"/>
          </w:tcPr>
          <w:p w:rsidR="00596826" w:rsidRPr="00260CF2" w:rsidRDefault="00596826" w:rsidP="00260CF2">
            <w:pPr>
              <w:suppressAutoHyphens w:val="0"/>
              <w:spacing w:before="80" w:after="80" w:line="200" w:lineRule="exact"/>
              <w:rPr>
                <w:i/>
                <w:noProof/>
                <w:sz w:val="16"/>
                <w:lang w:val="fr-FR"/>
              </w:rPr>
            </w:pPr>
            <w:r w:rsidRPr="00260CF2">
              <w:rPr>
                <w:i/>
                <w:noProof/>
                <w:sz w:val="16"/>
                <w:lang w:val="fr-FR"/>
              </w:rPr>
              <w:t>Année</w:t>
            </w:r>
          </w:p>
        </w:tc>
        <w:tc>
          <w:tcPr>
            <w:tcW w:w="1000"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 xml:space="preserve">0 à 3 ans </w:t>
            </w:r>
          </w:p>
        </w:tc>
        <w:tc>
          <w:tcPr>
            <w:tcW w:w="1311"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 xml:space="preserve">4 et 5 ans </w:t>
            </w:r>
          </w:p>
        </w:tc>
        <w:tc>
          <w:tcPr>
            <w:tcW w:w="1311"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260CF2">
              <w:rPr>
                <w:i/>
                <w:noProof/>
                <w:sz w:val="16"/>
                <w:lang w:val="fr-FR"/>
              </w:rPr>
              <w:br/>
            </w:r>
            <w:r w:rsidRPr="00260CF2">
              <w:rPr>
                <w:i/>
                <w:noProof/>
                <w:sz w:val="16"/>
                <w:lang w:val="fr-FR"/>
              </w:rPr>
              <w:t>6 à 12 ans</w:t>
            </w:r>
          </w:p>
        </w:tc>
        <w:tc>
          <w:tcPr>
            <w:tcW w:w="1311"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 xml:space="preserve">âge </w:t>
            </w:r>
            <w:r w:rsidR="00C43E89">
              <w:rPr>
                <w:i/>
                <w:noProof/>
                <w:sz w:val="16"/>
                <w:lang w:val="fr-FR"/>
              </w:rPr>
              <w:br/>
            </w:r>
            <w:r w:rsidRPr="00260CF2">
              <w:rPr>
                <w:i/>
                <w:noProof/>
                <w:sz w:val="16"/>
                <w:lang w:val="fr-FR"/>
              </w:rPr>
              <w:t>13 à 17 ans</w:t>
            </w:r>
          </w:p>
        </w:tc>
        <w:tc>
          <w:tcPr>
            <w:tcW w:w="1311" w:type="dxa"/>
            <w:shd w:val="clear" w:color="auto" w:fill="auto"/>
            <w:vAlign w:val="bottom"/>
          </w:tcPr>
          <w:p w:rsidR="00596826" w:rsidRPr="00260CF2" w:rsidRDefault="00596826" w:rsidP="00260CF2">
            <w:pPr>
              <w:suppressAutoHyphens w:val="0"/>
              <w:spacing w:before="80" w:after="80" w:line="200" w:lineRule="exact"/>
              <w:jc w:val="right"/>
              <w:rPr>
                <w:i/>
                <w:noProof/>
                <w:sz w:val="16"/>
                <w:lang w:val="fr-FR"/>
              </w:rPr>
            </w:pPr>
            <w:r w:rsidRPr="00260CF2">
              <w:rPr>
                <w:i/>
                <w:noProof/>
                <w:sz w:val="16"/>
                <w:lang w:val="fr-FR"/>
              </w:rPr>
              <w:t>Groupe d</w:t>
            </w:r>
            <w:r w:rsidR="00607CA3" w:rsidRPr="00260CF2">
              <w:rPr>
                <w:i/>
                <w:noProof/>
                <w:sz w:val="16"/>
                <w:lang w:val="fr-FR"/>
              </w:rPr>
              <w:t>’</w:t>
            </w:r>
            <w:r w:rsidRPr="00260CF2">
              <w:rPr>
                <w:i/>
                <w:noProof/>
                <w:sz w:val="16"/>
                <w:lang w:val="fr-FR"/>
              </w:rPr>
              <w:t>âge</w:t>
            </w:r>
            <w:r w:rsidR="00C43E89">
              <w:rPr>
                <w:i/>
                <w:noProof/>
                <w:sz w:val="16"/>
                <w:lang w:val="fr-FR"/>
              </w:rPr>
              <w:br/>
            </w:r>
            <w:r w:rsidRPr="00260CF2">
              <w:rPr>
                <w:i/>
                <w:noProof/>
                <w:sz w:val="16"/>
                <w:lang w:val="fr-FR"/>
              </w:rPr>
              <w:t>au</w:t>
            </w:r>
            <w:r w:rsidR="00C43E89">
              <w:rPr>
                <w:i/>
                <w:noProof/>
                <w:sz w:val="16"/>
                <w:lang w:val="fr-FR"/>
              </w:rPr>
              <w:t>-</w:t>
            </w:r>
            <w:r w:rsidRPr="00260CF2">
              <w:rPr>
                <w:i/>
                <w:noProof/>
                <w:sz w:val="16"/>
                <w:lang w:val="fr-FR"/>
              </w:rPr>
              <w:t>delà de 18 ans</w:t>
            </w:r>
          </w:p>
        </w:tc>
        <w:tc>
          <w:tcPr>
            <w:tcW w:w="566" w:type="dxa"/>
            <w:shd w:val="clear" w:color="auto" w:fill="auto"/>
            <w:vAlign w:val="bottom"/>
          </w:tcPr>
          <w:p w:rsidR="00596826" w:rsidRPr="00260CF2" w:rsidRDefault="00596826" w:rsidP="00260CF2">
            <w:pPr>
              <w:suppressAutoHyphens w:val="0"/>
              <w:spacing w:before="80" w:after="80" w:line="200" w:lineRule="exact"/>
              <w:jc w:val="right"/>
              <w:rPr>
                <w:b/>
                <w:i/>
                <w:noProof/>
                <w:sz w:val="16"/>
                <w:lang w:val="fr-FR"/>
              </w:rPr>
            </w:pPr>
            <w:r w:rsidRPr="00260CF2">
              <w:rPr>
                <w:b/>
                <w:i/>
                <w:noProof/>
                <w:sz w:val="16"/>
                <w:lang w:val="fr-FR"/>
              </w:rPr>
              <w:t>Total</w:t>
            </w:r>
          </w:p>
        </w:tc>
      </w:tr>
      <w:tr w:rsidR="00260CF2" w:rsidRPr="00260CF2" w:rsidTr="00C43E89">
        <w:tc>
          <w:tcPr>
            <w:tcW w:w="560" w:type="dxa"/>
            <w:shd w:val="clear" w:color="auto" w:fill="auto"/>
          </w:tcPr>
          <w:p w:rsidR="00260CF2" w:rsidRPr="00CA3A7A" w:rsidRDefault="00260CF2" w:rsidP="00260CF2">
            <w:pPr>
              <w:spacing w:before="40" w:after="40" w:line="220" w:lineRule="exact"/>
              <w:rPr>
                <w:rFonts w:eastAsia="Yu Mincho"/>
                <w:sz w:val="18"/>
                <w:szCs w:val="18"/>
                <w:lang w:val="es-AR"/>
              </w:rPr>
            </w:pPr>
            <w:r w:rsidRPr="00CA3A7A">
              <w:rPr>
                <w:rFonts w:eastAsia="Yu Mincho"/>
                <w:sz w:val="18"/>
                <w:szCs w:val="18"/>
                <w:lang w:val="es-AR"/>
              </w:rPr>
              <w:t>2016</w:t>
            </w:r>
          </w:p>
        </w:tc>
        <w:tc>
          <w:tcPr>
            <w:tcW w:w="1000"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161</w:t>
            </w:r>
          </w:p>
        </w:tc>
        <w:tc>
          <w:tcPr>
            <w:tcW w:w="1311"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103</w:t>
            </w:r>
          </w:p>
        </w:tc>
        <w:tc>
          <w:tcPr>
            <w:tcW w:w="1311"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410</w:t>
            </w:r>
          </w:p>
        </w:tc>
        <w:tc>
          <w:tcPr>
            <w:tcW w:w="1311"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276</w:t>
            </w:r>
          </w:p>
        </w:tc>
        <w:tc>
          <w:tcPr>
            <w:tcW w:w="1311" w:type="dxa"/>
            <w:shd w:val="clear" w:color="auto" w:fill="auto"/>
            <w:vAlign w:val="bottom"/>
          </w:tcPr>
          <w:p w:rsidR="00260CF2" w:rsidRPr="00CA3A7A" w:rsidRDefault="00260CF2" w:rsidP="00260CF2">
            <w:pPr>
              <w:spacing w:before="40" w:after="40" w:line="220" w:lineRule="exact"/>
              <w:jc w:val="right"/>
              <w:rPr>
                <w:rFonts w:eastAsia="Yu Mincho"/>
                <w:sz w:val="18"/>
                <w:szCs w:val="18"/>
                <w:lang w:val="es-AR"/>
              </w:rPr>
            </w:pPr>
            <w:r w:rsidRPr="00CA3A7A">
              <w:rPr>
                <w:rFonts w:eastAsia="Yu Mincho"/>
                <w:sz w:val="18"/>
                <w:szCs w:val="18"/>
                <w:lang w:val="es-AR"/>
              </w:rPr>
              <w:t>19</w:t>
            </w:r>
          </w:p>
        </w:tc>
        <w:tc>
          <w:tcPr>
            <w:tcW w:w="566" w:type="dxa"/>
            <w:shd w:val="clear" w:color="auto" w:fill="auto"/>
            <w:vAlign w:val="bottom"/>
          </w:tcPr>
          <w:p w:rsidR="00260CF2" w:rsidRPr="00260CF2" w:rsidRDefault="00260CF2" w:rsidP="00260CF2">
            <w:pPr>
              <w:spacing w:before="40" w:after="40" w:line="220" w:lineRule="exact"/>
              <w:jc w:val="right"/>
              <w:rPr>
                <w:rFonts w:eastAsia="Yu Mincho"/>
                <w:b/>
                <w:sz w:val="18"/>
                <w:szCs w:val="18"/>
                <w:lang w:val="es-AR"/>
              </w:rPr>
            </w:pPr>
            <w:r w:rsidRPr="00260CF2">
              <w:rPr>
                <w:rFonts w:eastAsia="Yu Mincho"/>
                <w:b/>
                <w:sz w:val="18"/>
                <w:szCs w:val="18"/>
                <w:lang w:val="es-AR"/>
              </w:rPr>
              <w:t>996</w:t>
            </w:r>
          </w:p>
        </w:tc>
      </w:tr>
    </w:tbl>
    <w:p w:rsidR="00596826" w:rsidRPr="00DE2A76" w:rsidRDefault="00596826" w:rsidP="00596826">
      <w:pPr>
        <w:pStyle w:val="SingleTxtG"/>
        <w:spacing w:before="120" w:after="240"/>
        <w:ind w:left="1304"/>
        <w:rPr>
          <w:rFonts w:eastAsia="Calibri"/>
          <w:noProof/>
          <w:lang w:val="fr-FR"/>
        </w:rPr>
      </w:pPr>
      <w:r>
        <w:rPr>
          <w:rFonts w:eastAsia="Calibri"/>
          <w:i/>
          <w:iCs/>
          <w:noProof/>
          <w:sz w:val="18"/>
          <w:szCs w:val="18"/>
          <w:lang w:val="fr-FR"/>
        </w:rPr>
        <w:t>Source</w:t>
      </w:r>
      <w:r w:rsidRPr="00691AD9">
        <w:rPr>
          <w:rFonts w:eastAsia="Calibri"/>
          <w:iCs/>
          <w:noProof/>
          <w:sz w:val="18"/>
          <w:szCs w:val="18"/>
          <w:lang w:val="fr-FR"/>
        </w:rPr>
        <w:t> :</w:t>
      </w:r>
      <w:r w:rsidRPr="00DE2A76">
        <w:rPr>
          <w:rFonts w:eastAsia="Calibri"/>
          <w:noProof/>
          <w:sz w:val="18"/>
          <w:szCs w:val="18"/>
          <w:lang w:val="fr-FR"/>
        </w:rPr>
        <w:t xml:space="preserve"> </w:t>
      </w:r>
      <w:r w:rsidRPr="003C5597">
        <w:rPr>
          <w:noProof/>
          <w:sz w:val="18"/>
          <w:szCs w:val="18"/>
          <w:lang w:val="fr-FR"/>
        </w:rPr>
        <w:t>Institut uruguayen de</w:t>
      </w:r>
      <w:r w:rsidRPr="003C5597">
        <w:rPr>
          <w:rFonts w:eastAsia="Calibri"/>
          <w:noProof/>
          <w:sz w:val="18"/>
          <w:szCs w:val="18"/>
          <w:lang w:val="fr-FR"/>
        </w:rPr>
        <w:t xml:space="preserve"> l</w:t>
      </w:r>
      <w:r w:rsidR="00607CA3">
        <w:rPr>
          <w:rFonts w:eastAsia="Calibri"/>
          <w:noProof/>
          <w:sz w:val="18"/>
          <w:szCs w:val="18"/>
          <w:lang w:val="fr-FR"/>
        </w:rPr>
        <w:t>’</w:t>
      </w:r>
      <w:r w:rsidRPr="003C5597">
        <w:rPr>
          <w:rFonts w:eastAsia="Calibri"/>
          <w:noProof/>
          <w:sz w:val="18"/>
          <w:szCs w:val="18"/>
          <w:lang w:val="fr-FR"/>
        </w:rPr>
        <w:t>enfant et de l</w:t>
      </w:r>
      <w:r w:rsidR="00607CA3">
        <w:rPr>
          <w:rFonts w:eastAsia="Calibri"/>
          <w:noProof/>
          <w:sz w:val="18"/>
          <w:szCs w:val="18"/>
          <w:lang w:val="fr-FR"/>
        </w:rPr>
        <w:t>’</w:t>
      </w:r>
      <w:r w:rsidRPr="003C5597">
        <w:rPr>
          <w:rFonts w:eastAsia="Calibri"/>
          <w:noProof/>
          <w:sz w:val="18"/>
          <w:szCs w:val="18"/>
          <w:lang w:val="fr-FR"/>
        </w:rPr>
        <w:t>adolescent</w:t>
      </w:r>
      <w:r w:rsidRPr="00DE2A76">
        <w:rPr>
          <w:rFonts w:eastAsia="Calibri"/>
          <w:iCs/>
          <w:noProof/>
          <w:sz w:val="18"/>
          <w:szCs w:val="18"/>
          <w:lang w:val="fr-FR"/>
        </w:rPr>
        <w:t>.</w:t>
      </w:r>
    </w:p>
    <w:p w:rsidR="00596826" w:rsidRPr="00DE2A76" w:rsidRDefault="00596826" w:rsidP="00596826">
      <w:pPr>
        <w:pStyle w:val="SingleTxtG"/>
        <w:rPr>
          <w:noProof/>
          <w:lang w:val="fr-FR"/>
        </w:rPr>
      </w:pPr>
      <w:r w:rsidRPr="00DE2A76">
        <w:rPr>
          <w:noProof/>
          <w:lang w:val="fr-FR"/>
        </w:rPr>
        <w:t>49.</w:t>
      </w:r>
      <w:r w:rsidRPr="00DE2A76">
        <w:rPr>
          <w:noProof/>
          <w:lang w:val="fr-FR"/>
        </w:rPr>
        <w:tab/>
      </w:r>
      <w:r>
        <w:rPr>
          <w:noProof/>
          <w:lang w:val="fr-FR"/>
        </w:rPr>
        <w:t xml:space="preserve">En </w:t>
      </w:r>
      <w:r w:rsidRPr="00DE2A76">
        <w:rPr>
          <w:noProof/>
          <w:lang w:val="fr-FR"/>
        </w:rPr>
        <w:t>2017</w:t>
      </w:r>
      <w:r>
        <w:rPr>
          <w:noProof/>
          <w:lang w:val="fr-FR"/>
        </w:rPr>
        <w:t>,</w:t>
      </w:r>
      <w:r w:rsidRPr="00DE2A76">
        <w:rPr>
          <w:noProof/>
          <w:lang w:val="fr-FR"/>
        </w:rPr>
        <w:t xml:space="preserve"> </w:t>
      </w:r>
      <w:r>
        <w:rPr>
          <w:noProof/>
          <w:lang w:val="fr-FR"/>
        </w:rPr>
        <w:t xml:space="preserve">le système a enregistré </w:t>
      </w:r>
      <w:r w:rsidRPr="00DE2A76">
        <w:rPr>
          <w:noProof/>
          <w:lang w:val="fr-FR"/>
        </w:rPr>
        <w:t>3</w:t>
      </w:r>
      <w:r w:rsidR="00260CF2">
        <w:rPr>
          <w:noProof/>
          <w:lang w:val="fr-FR"/>
        </w:rPr>
        <w:t> </w:t>
      </w:r>
      <w:r w:rsidRPr="00DE2A76">
        <w:rPr>
          <w:noProof/>
          <w:lang w:val="fr-FR"/>
        </w:rPr>
        <w:t xml:space="preserve">155 </w:t>
      </w:r>
      <w:r>
        <w:rPr>
          <w:noProof/>
          <w:lang w:val="fr-FR"/>
        </w:rPr>
        <w:t xml:space="preserve">cas </w:t>
      </w:r>
      <w:r w:rsidRPr="00DE2A76">
        <w:rPr>
          <w:noProof/>
          <w:lang w:val="fr-FR"/>
        </w:rPr>
        <w:t>de violenc</w:t>
      </w:r>
      <w:r>
        <w:rPr>
          <w:noProof/>
          <w:lang w:val="fr-FR"/>
        </w:rPr>
        <w:t>e grave à l</w:t>
      </w:r>
      <w:r w:rsidR="00607CA3">
        <w:rPr>
          <w:noProof/>
          <w:lang w:val="fr-FR"/>
        </w:rPr>
        <w:t>’</w:t>
      </w:r>
      <w:r>
        <w:rPr>
          <w:noProof/>
          <w:lang w:val="fr-FR"/>
        </w:rPr>
        <w:t>égard de mineurs</w:t>
      </w:r>
      <w:r w:rsidRPr="00DE2A76">
        <w:rPr>
          <w:noProof/>
          <w:lang w:val="fr-FR"/>
        </w:rPr>
        <w:t xml:space="preserve">, </w:t>
      </w:r>
      <w:r>
        <w:rPr>
          <w:noProof/>
          <w:lang w:val="fr-FR"/>
        </w:rPr>
        <w:t xml:space="preserve">soit près de neuf cas par jour </w:t>
      </w:r>
      <w:r w:rsidRPr="00DE2A76">
        <w:rPr>
          <w:noProof/>
          <w:lang w:val="fr-FR"/>
        </w:rPr>
        <w:t>(</w:t>
      </w:r>
      <w:r>
        <w:rPr>
          <w:noProof/>
          <w:lang w:val="fr-FR"/>
        </w:rPr>
        <w:t>plus d</w:t>
      </w:r>
      <w:r w:rsidR="00607CA3">
        <w:rPr>
          <w:noProof/>
          <w:lang w:val="fr-FR"/>
        </w:rPr>
        <w:t>’</w:t>
      </w:r>
      <w:r>
        <w:rPr>
          <w:noProof/>
          <w:lang w:val="fr-FR"/>
        </w:rPr>
        <w:t>un cas toutes les trois heures</w:t>
      </w:r>
      <w:r w:rsidRPr="00DE2A76">
        <w:rPr>
          <w:noProof/>
          <w:lang w:val="fr-FR"/>
        </w:rPr>
        <w:t xml:space="preserve">). </w:t>
      </w:r>
      <w:r>
        <w:rPr>
          <w:noProof/>
          <w:lang w:val="fr-FR"/>
        </w:rPr>
        <w:t>Les victimes sont légèrement plus nombreuses parmi les filles (</w:t>
      </w:r>
      <w:r w:rsidRPr="00DE2A76">
        <w:rPr>
          <w:noProof/>
          <w:lang w:val="fr-FR"/>
        </w:rPr>
        <w:t>56 % de</w:t>
      </w:r>
      <w:r>
        <w:rPr>
          <w:noProof/>
          <w:lang w:val="fr-FR"/>
        </w:rPr>
        <w:t>s cas) que parmi les garçons (</w:t>
      </w:r>
      <w:r w:rsidRPr="00DE2A76">
        <w:rPr>
          <w:noProof/>
          <w:lang w:val="fr-FR"/>
        </w:rPr>
        <w:t>44 %</w:t>
      </w:r>
      <w:r>
        <w:rPr>
          <w:noProof/>
          <w:lang w:val="fr-FR"/>
        </w:rPr>
        <w:t>)</w:t>
      </w:r>
      <w:r w:rsidRPr="00DE2A76">
        <w:rPr>
          <w:noProof/>
          <w:lang w:val="fr-FR"/>
        </w:rPr>
        <w:t xml:space="preserve">. </w:t>
      </w:r>
      <w:r>
        <w:rPr>
          <w:noProof/>
          <w:lang w:val="fr-FR"/>
        </w:rPr>
        <w:t>On constate que les cas de violence sont les plus nombreux dans le groupe des 6 à 12</w:t>
      </w:r>
      <w:r w:rsidR="00260CF2">
        <w:rPr>
          <w:noProof/>
          <w:lang w:val="fr-FR"/>
        </w:rPr>
        <w:t> </w:t>
      </w:r>
      <w:r>
        <w:rPr>
          <w:noProof/>
          <w:lang w:val="fr-FR"/>
        </w:rPr>
        <w:t xml:space="preserve">ans </w:t>
      </w:r>
      <w:r w:rsidRPr="00DE2A76">
        <w:rPr>
          <w:noProof/>
          <w:lang w:val="fr-FR"/>
        </w:rPr>
        <w:t>(42 </w:t>
      </w:r>
      <w:r>
        <w:rPr>
          <w:noProof/>
          <w:lang w:val="fr-FR"/>
        </w:rPr>
        <w:t>% du</w:t>
      </w:r>
      <w:r w:rsidRPr="00DE2A76">
        <w:rPr>
          <w:noProof/>
          <w:lang w:val="fr-FR"/>
        </w:rPr>
        <w:t xml:space="preserve"> total). En 2017</w:t>
      </w:r>
      <w:r>
        <w:rPr>
          <w:noProof/>
          <w:lang w:val="fr-FR"/>
        </w:rPr>
        <w:t>, on a relevé une légère augmentation des cas concernant les adolescent</w:t>
      </w:r>
      <w:r w:rsidRPr="00DE2A76">
        <w:rPr>
          <w:noProof/>
          <w:lang w:val="fr-FR"/>
        </w:rPr>
        <w:t xml:space="preserve">s. </w:t>
      </w:r>
      <w:r>
        <w:rPr>
          <w:noProof/>
          <w:lang w:val="fr-FR"/>
        </w:rPr>
        <w:t>On a également observé une augmentation en pourcentage des cas d</w:t>
      </w:r>
      <w:r w:rsidR="00607CA3">
        <w:rPr>
          <w:noProof/>
          <w:lang w:val="fr-FR"/>
        </w:rPr>
        <w:t>’</w:t>
      </w:r>
      <w:r>
        <w:rPr>
          <w:noProof/>
          <w:lang w:val="fr-FR"/>
        </w:rPr>
        <w:t>atteintes sexuelles et de défaut de soins</w:t>
      </w:r>
      <w:r w:rsidRPr="00DE2A76">
        <w:rPr>
          <w:noProof/>
          <w:lang w:val="fr-FR"/>
        </w:rPr>
        <w:t xml:space="preserve">. </w:t>
      </w:r>
      <w:r>
        <w:rPr>
          <w:noProof/>
          <w:lang w:val="fr-FR"/>
        </w:rPr>
        <w:t>La double vulnérabilité des fillettes et des adolescentes est manifeste : par rapport aux garçons, les filles sont exposées à cette situation dans la proportion de trois à un</w:t>
      </w:r>
      <w:r w:rsidRPr="00DE2A76">
        <w:rPr>
          <w:noProof/>
          <w:lang w:val="fr-FR"/>
        </w:rPr>
        <w:t xml:space="preserve">. </w:t>
      </w:r>
    </w:p>
    <w:p w:rsidR="00596826" w:rsidRPr="00DE2A76" w:rsidRDefault="00596826" w:rsidP="00596826">
      <w:pPr>
        <w:pStyle w:val="SingleTxtG"/>
        <w:rPr>
          <w:rFonts w:eastAsia="Calibri"/>
          <w:noProof/>
          <w:lang w:val="fr-FR"/>
        </w:rPr>
      </w:pPr>
      <w:r w:rsidRPr="00DE2A76">
        <w:rPr>
          <w:rFonts w:eastAsia="Calibri"/>
          <w:noProof/>
          <w:lang w:val="fr-FR"/>
        </w:rPr>
        <w:t>50.</w:t>
      </w:r>
      <w:r w:rsidRPr="00DE2A76">
        <w:rPr>
          <w:rFonts w:eastAsia="Calibri"/>
          <w:noProof/>
          <w:lang w:val="fr-FR"/>
        </w:rPr>
        <w:tab/>
        <w:t>En n</w:t>
      </w:r>
      <w:r>
        <w:rPr>
          <w:rFonts w:eastAsia="Calibri"/>
          <w:noProof/>
          <w:lang w:val="fr-FR"/>
        </w:rPr>
        <w:t>ov</w:t>
      </w:r>
      <w:r w:rsidRPr="00DE2A76">
        <w:rPr>
          <w:rFonts w:eastAsia="Calibri"/>
          <w:noProof/>
          <w:lang w:val="fr-FR"/>
        </w:rPr>
        <w:t>embre 2017</w:t>
      </w:r>
      <w:r>
        <w:rPr>
          <w:rFonts w:eastAsia="Calibri"/>
          <w:noProof/>
          <w:lang w:val="fr-FR"/>
        </w:rPr>
        <w:t>, l</w:t>
      </w:r>
      <w:r w:rsidR="00607CA3">
        <w:rPr>
          <w:rFonts w:eastAsia="Calibri"/>
          <w:noProof/>
          <w:lang w:val="fr-FR"/>
        </w:rPr>
        <w:t>’</w:t>
      </w:r>
      <w:r>
        <w:rPr>
          <w:rFonts w:eastAsia="Calibri"/>
          <w:noProof/>
          <w:lang w:val="fr-FR"/>
        </w:rPr>
        <w:t>UNICEF a lancé une publication intitulée « </w:t>
      </w:r>
      <w:r w:rsidRPr="00DE2A76">
        <w:rPr>
          <w:rFonts w:eastAsia="Calibri"/>
          <w:noProof/>
          <w:lang w:val="fr-FR"/>
        </w:rPr>
        <w:t>Panorama de la violencia hacia la infancia en Uruguay</w:t>
      </w:r>
      <w:r w:rsidRPr="00691AD9">
        <w:rPr>
          <w:rStyle w:val="Appelnotedebasdep"/>
        </w:rPr>
        <w:footnoteReference w:id="18"/>
      </w:r>
      <w:r>
        <w:rPr>
          <w:rFonts w:eastAsia="Calibri"/>
          <w:noProof/>
          <w:lang w:val="fr-FR"/>
        </w:rPr>
        <w:t> » (Panorama de la violence à l</w:t>
      </w:r>
      <w:r w:rsidR="00607CA3">
        <w:rPr>
          <w:rFonts w:eastAsia="Calibri"/>
          <w:noProof/>
          <w:lang w:val="fr-FR"/>
        </w:rPr>
        <w:t>’</w:t>
      </w:r>
      <w:r>
        <w:rPr>
          <w:rFonts w:eastAsia="Calibri"/>
          <w:noProof/>
          <w:lang w:val="fr-FR"/>
        </w:rPr>
        <w:t>égard des enfants en Uruguay)</w:t>
      </w:r>
      <w:r w:rsidRPr="00DE2A76">
        <w:rPr>
          <w:rFonts w:eastAsia="Calibri"/>
          <w:noProof/>
          <w:lang w:val="fr-FR"/>
        </w:rPr>
        <w:t xml:space="preserve">. </w:t>
      </w:r>
      <w:r>
        <w:rPr>
          <w:rFonts w:eastAsia="Calibri"/>
          <w:noProof/>
          <w:lang w:val="fr-FR"/>
        </w:rPr>
        <w:t>Elle rassemble toute l</w:t>
      </w:r>
      <w:r w:rsidR="00607CA3">
        <w:rPr>
          <w:rFonts w:eastAsia="Calibri"/>
          <w:noProof/>
          <w:lang w:val="fr-FR"/>
        </w:rPr>
        <w:t>’</w:t>
      </w:r>
      <w:r>
        <w:rPr>
          <w:rFonts w:eastAsia="Calibri"/>
          <w:noProof/>
          <w:lang w:val="fr-FR"/>
        </w:rPr>
        <w:t>information disponible dans le pays</w:t>
      </w:r>
      <w:r w:rsidR="00260CF2">
        <w:rPr>
          <w:rFonts w:eastAsia="Calibri"/>
          <w:noProof/>
          <w:lang w:val="fr-FR"/>
        </w:rPr>
        <w:t xml:space="preserve"> </w:t>
      </w:r>
      <w:r>
        <w:rPr>
          <w:rFonts w:eastAsia="Calibri"/>
          <w:noProof/>
          <w:lang w:val="fr-FR"/>
        </w:rPr>
        <w:t>sur la violence et l</w:t>
      </w:r>
      <w:r w:rsidR="00607CA3">
        <w:rPr>
          <w:rFonts w:eastAsia="Calibri"/>
          <w:noProof/>
          <w:lang w:val="fr-FR"/>
        </w:rPr>
        <w:t>’</w:t>
      </w:r>
      <w:r w:rsidRPr="00DE2A76">
        <w:rPr>
          <w:rFonts w:eastAsia="Calibri"/>
          <w:noProof/>
          <w:lang w:val="fr-FR"/>
        </w:rPr>
        <w:t>en</w:t>
      </w:r>
      <w:r>
        <w:rPr>
          <w:rFonts w:eastAsia="Calibri"/>
          <w:noProof/>
          <w:lang w:val="fr-FR"/>
        </w:rPr>
        <w:t>fance</w:t>
      </w:r>
      <w:r w:rsidRPr="00DE2A76">
        <w:rPr>
          <w:rFonts w:eastAsia="Calibri"/>
          <w:bCs/>
          <w:noProof/>
          <w:lang w:val="fr-FR"/>
        </w:rPr>
        <w:t xml:space="preserve">. </w:t>
      </w:r>
      <w:r>
        <w:rPr>
          <w:rFonts w:eastAsia="Calibri"/>
          <w:bCs/>
          <w:noProof/>
          <w:lang w:val="fr-FR"/>
        </w:rPr>
        <w:t>Cette étude montre clairement qu</w:t>
      </w:r>
      <w:r w:rsidR="00607CA3">
        <w:rPr>
          <w:rFonts w:eastAsia="Calibri"/>
          <w:bCs/>
          <w:noProof/>
          <w:lang w:val="fr-FR"/>
        </w:rPr>
        <w:t>’</w:t>
      </w:r>
      <w:r>
        <w:rPr>
          <w:rFonts w:eastAsia="Calibri"/>
          <w:bCs/>
          <w:noProof/>
          <w:lang w:val="fr-FR"/>
        </w:rPr>
        <w:t>un enfant sur quatre est victime de la violence physique et un sur deux de la violence psychologique</w:t>
      </w:r>
      <w:r w:rsidRPr="00DE2A76">
        <w:rPr>
          <w:rFonts w:eastAsia="Calibri"/>
          <w:noProof/>
          <w:lang w:val="fr-FR"/>
        </w:rPr>
        <w:t xml:space="preserve">. </w:t>
      </w:r>
      <w:r>
        <w:rPr>
          <w:rFonts w:eastAsia="Calibri"/>
          <w:noProof/>
          <w:lang w:val="fr-FR"/>
        </w:rPr>
        <w:t xml:space="preserve">Cela représente environ </w:t>
      </w:r>
      <w:r w:rsidRPr="00DE2A76">
        <w:rPr>
          <w:rFonts w:eastAsia="Calibri"/>
          <w:noProof/>
          <w:lang w:val="fr-FR"/>
        </w:rPr>
        <w:t>350</w:t>
      </w:r>
      <w:r w:rsidR="00260CF2">
        <w:rPr>
          <w:rFonts w:eastAsia="Calibri"/>
          <w:noProof/>
          <w:lang w:val="fr-FR"/>
        </w:rPr>
        <w:t> </w:t>
      </w:r>
      <w:r w:rsidRPr="00DE2A76">
        <w:rPr>
          <w:rFonts w:eastAsia="Calibri"/>
          <w:noProof/>
          <w:lang w:val="fr-FR"/>
        </w:rPr>
        <w:t>000</w:t>
      </w:r>
      <w:r w:rsidR="00260CF2">
        <w:rPr>
          <w:rFonts w:eastAsia="Calibri"/>
          <w:noProof/>
          <w:lang w:val="fr-FR"/>
        </w:rPr>
        <w:t> </w:t>
      </w:r>
      <w:r>
        <w:rPr>
          <w:rFonts w:eastAsia="Calibri"/>
          <w:noProof/>
          <w:lang w:val="fr-FR"/>
        </w:rPr>
        <w:t>garçons et filles, tandis que quelque 160 000 enfants sont victimes de châtiments corporels</w:t>
      </w:r>
      <w:r w:rsidRPr="00DE2A76">
        <w:rPr>
          <w:rFonts w:eastAsia="Calibri"/>
          <w:noProof/>
          <w:lang w:val="fr-FR"/>
        </w:rPr>
        <w:t>.</w:t>
      </w:r>
      <w:r>
        <w:rPr>
          <w:rFonts w:eastAsia="Calibri"/>
          <w:noProof/>
          <w:lang w:val="fr-FR"/>
        </w:rPr>
        <w:t xml:space="preserve"> En outre, il ressort </w:t>
      </w:r>
      <w:r w:rsidRPr="00031CAF">
        <w:rPr>
          <w:rFonts w:eastAsia="Calibri"/>
          <w:noProof/>
          <w:lang w:val="fr-FR"/>
        </w:rPr>
        <w:t xml:space="preserve">de </w:t>
      </w:r>
      <w:r w:rsidRPr="00031CAF">
        <w:rPr>
          <w:noProof/>
          <w:lang w:val="fr-FR"/>
        </w:rPr>
        <w:t>l</w:t>
      </w:r>
      <w:r w:rsidR="00607CA3">
        <w:rPr>
          <w:noProof/>
          <w:lang w:val="fr-FR"/>
        </w:rPr>
        <w:t>’</w:t>
      </w:r>
      <w:r w:rsidRPr="00031CAF">
        <w:rPr>
          <w:noProof/>
          <w:lang w:val="fr-FR"/>
        </w:rPr>
        <w:t>enquête nationale sur la prévalence de la violence fondée sur le genre selon les générations</w:t>
      </w:r>
      <w:r>
        <w:rPr>
          <w:rFonts w:eastAsia="Calibri"/>
          <w:noProof/>
          <w:lang w:val="fr-FR"/>
        </w:rPr>
        <w:t xml:space="preserve"> </w:t>
      </w:r>
      <w:r w:rsidRPr="00DE2A76">
        <w:rPr>
          <w:rFonts w:eastAsia="Calibri"/>
          <w:noProof/>
          <w:lang w:val="fr-FR"/>
        </w:rPr>
        <w:t xml:space="preserve">que </w:t>
      </w:r>
      <w:r>
        <w:rPr>
          <w:rFonts w:eastAsia="Calibri"/>
          <w:noProof/>
          <w:lang w:val="fr-FR"/>
        </w:rPr>
        <w:t xml:space="preserve">quelque </w:t>
      </w:r>
      <w:r w:rsidRPr="00DE2A76">
        <w:rPr>
          <w:rFonts w:eastAsia="Calibri"/>
          <w:noProof/>
          <w:lang w:val="fr-FR"/>
        </w:rPr>
        <w:t>150</w:t>
      </w:r>
      <w:r w:rsidR="00260CF2">
        <w:rPr>
          <w:rFonts w:eastAsia="Calibri"/>
          <w:noProof/>
          <w:lang w:val="fr-FR"/>
        </w:rPr>
        <w:t> </w:t>
      </w:r>
      <w:r w:rsidRPr="00DE2A76">
        <w:rPr>
          <w:rFonts w:eastAsia="Calibri"/>
          <w:noProof/>
          <w:lang w:val="fr-FR"/>
        </w:rPr>
        <w:t xml:space="preserve">000 </w:t>
      </w:r>
      <w:r>
        <w:rPr>
          <w:rFonts w:eastAsia="Calibri"/>
          <w:noProof/>
          <w:lang w:val="fr-FR"/>
        </w:rPr>
        <w:t xml:space="preserve">enfants </w:t>
      </w:r>
      <w:r w:rsidRPr="00DE2A76">
        <w:rPr>
          <w:rFonts w:eastAsia="Calibri"/>
          <w:noProof/>
          <w:lang w:val="fr-FR"/>
        </w:rPr>
        <w:t>son</w:t>
      </w:r>
      <w:r>
        <w:rPr>
          <w:rFonts w:eastAsia="Calibri"/>
          <w:noProof/>
          <w:lang w:val="fr-FR"/>
        </w:rPr>
        <w:t>t témoins de la violence au foyer</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lastRenderedPageBreak/>
        <w:t>51.</w:t>
      </w:r>
      <w:r w:rsidRPr="00DE2A76">
        <w:rPr>
          <w:rFonts w:eastAsia="Calibri"/>
          <w:noProof/>
          <w:lang w:val="fr-FR"/>
        </w:rPr>
        <w:tab/>
      </w:r>
      <w:r>
        <w:rPr>
          <w:rFonts w:eastAsia="Calibri"/>
          <w:noProof/>
          <w:lang w:val="fr-FR"/>
        </w:rPr>
        <w:t>Dans le cadre de l</w:t>
      </w:r>
      <w:r w:rsidR="00607CA3">
        <w:rPr>
          <w:rFonts w:eastAsia="Calibri"/>
          <w:noProof/>
          <w:lang w:val="fr-FR"/>
        </w:rPr>
        <w:t>’</w:t>
      </w:r>
      <w:r>
        <w:rPr>
          <w:rFonts w:eastAsia="Calibri"/>
          <w:noProof/>
          <w:lang w:val="fr-FR"/>
        </w:rPr>
        <w:t xml:space="preserve">entrée en vigueur du nouveau Code de procédure pénale et conformément à la 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MS Mincho"/>
          <w:noProof/>
          <w:szCs w:val="22"/>
          <w:lang w:val="fr-FR"/>
        </w:rPr>
        <w:t> </w:t>
      </w:r>
      <w:r w:rsidRPr="00DE2A76">
        <w:rPr>
          <w:rFonts w:eastAsia="Calibri"/>
          <w:noProof/>
          <w:lang w:val="fr-FR"/>
        </w:rPr>
        <w:t xml:space="preserve">19483 </w:t>
      </w:r>
      <w:r>
        <w:rPr>
          <w:rFonts w:eastAsia="Calibri"/>
          <w:noProof/>
          <w:lang w:val="fr-FR"/>
        </w:rPr>
        <w:t>qui a habilité le Bureau du Procureur général de la Nation à émettre à l</w:t>
      </w:r>
      <w:r w:rsidR="00607CA3">
        <w:rPr>
          <w:rFonts w:eastAsia="Calibri"/>
          <w:noProof/>
          <w:lang w:val="fr-FR"/>
        </w:rPr>
        <w:t>’</w:t>
      </w:r>
      <w:r>
        <w:rPr>
          <w:rFonts w:eastAsia="Calibri"/>
          <w:noProof/>
          <w:lang w:val="fr-FR"/>
        </w:rPr>
        <w:t>intention des procureurs des instructions générales visant à améliorer le fonctionnement du Bureau et la manière dont il s</w:t>
      </w:r>
      <w:r w:rsidR="00607CA3">
        <w:rPr>
          <w:rFonts w:eastAsia="Calibri"/>
          <w:noProof/>
          <w:lang w:val="fr-FR"/>
        </w:rPr>
        <w:t>’</w:t>
      </w:r>
      <w:r>
        <w:rPr>
          <w:rFonts w:eastAsia="Calibri"/>
          <w:noProof/>
          <w:lang w:val="fr-FR"/>
        </w:rPr>
        <w:t>acquitte de sa mission, ce dernier a adopté le 11</w:t>
      </w:r>
      <w:r w:rsidR="00260CF2">
        <w:rPr>
          <w:rFonts w:eastAsia="Calibri"/>
          <w:noProof/>
          <w:lang w:val="fr-FR"/>
        </w:rPr>
        <w:t> </w:t>
      </w:r>
      <w:r>
        <w:rPr>
          <w:rFonts w:eastAsia="Calibri"/>
          <w:noProof/>
          <w:lang w:val="fr-FR"/>
        </w:rPr>
        <w:t>octobre 2017 l</w:t>
      </w:r>
      <w:r w:rsidR="00607CA3">
        <w:rPr>
          <w:rFonts w:eastAsia="Calibri"/>
          <w:noProof/>
          <w:lang w:val="fr-FR"/>
        </w:rPr>
        <w:t>’</w:t>
      </w:r>
      <w:r>
        <w:rPr>
          <w:rFonts w:eastAsia="Calibri"/>
          <w:noProof/>
          <w:lang w:val="fr-FR"/>
        </w:rPr>
        <w:t xml:space="preserve">Instruction générale </w:t>
      </w:r>
      <w:r w:rsidR="00260CF2" w:rsidRPr="00260CF2">
        <w:rPr>
          <w:rFonts w:eastAsia="MS Mincho"/>
          <w:noProof/>
          <w:szCs w:val="22"/>
          <w:lang w:val="fr-FR"/>
        </w:rPr>
        <w:t>n</w:t>
      </w:r>
      <w:r w:rsidR="00260CF2" w:rsidRPr="00260CF2">
        <w:rPr>
          <w:rFonts w:eastAsia="MS Mincho"/>
          <w:noProof/>
          <w:szCs w:val="22"/>
          <w:vertAlign w:val="superscript"/>
          <w:lang w:val="fr-FR"/>
        </w:rPr>
        <w:t>o</w:t>
      </w:r>
      <w:r w:rsidR="00260CF2">
        <w:rPr>
          <w:rFonts w:eastAsia="Calibri"/>
          <w:noProof/>
          <w:lang w:val="fr-FR"/>
        </w:rPr>
        <w:t> </w:t>
      </w:r>
      <w:r w:rsidRPr="00DE2A76">
        <w:rPr>
          <w:rFonts w:eastAsia="Calibri"/>
          <w:noProof/>
          <w:lang w:val="fr-FR"/>
        </w:rPr>
        <w:t>5</w:t>
      </w:r>
      <w:r w:rsidRPr="00691AD9">
        <w:rPr>
          <w:rStyle w:val="Appelnotedebasdep"/>
        </w:rPr>
        <w:footnoteReference w:id="19"/>
      </w:r>
      <w:r w:rsidRPr="00DE2A76">
        <w:rPr>
          <w:rFonts w:eastAsia="Calibri"/>
          <w:noProof/>
          <w:lang w:val="fr-FR"/>
        </w:rPr>
        <w:t xml:space="preserve"> </w:t>
      </w:r>
      <w:r>
        <w:rPr>
          <w:rFonts w:eastAsia="Calibri"/>
          <w:noProof/>
          <w:lang w:val="fr-FR"/>
        </w:rPr>
        <w:t>intitulée « Prise en charge et protection des victimes et des témoins »</w:t>
      </w:r>
      <w:r w:rsidRPr="00DE2A76">
        <w:rPr>
          <w:rFonts w:eastAsia="Calibri"/>
          <w:noProof/>
          <w:lang w:val="fr-FR"/>
        </w:rPr>
        <w:t>.</w:t>
      </w:r>
    </w:p>
    <w:p w:rsidR="00596826" w:rsidRPr="00DE2A76" w:rsidRDefault="00596826" w:rsidP="00596826">
      <w:pPr>
        <w:pStyle w:val="SingleTxtG"/>
        <w:rPr>
          <w:rFonts w:eastAsia="Calibri"/>
          <w:b/>
          <w:bCs/>
          <w:i/>
          <w:iCs/>
          <w:noProof/>
          <w:lang w:val="fr-FR"/>
        </w:rPr>
      </w:pPr>
      <w:r w:rsidRPr="00DE2A76">
        <w:rPr>
          <w:rFonts w:eastAsia="Calibri"/>
          <w:noProof/>
          <w:lang w:val="fr-FR"/>
        </w:rPr>
        <w:t>52.</w:t>
      </w:r>
      <w:r w:rsidRPr="00DE2A76">
        <w:rPr>
          <w:rFonts w:eastAsia="Calibri"/>
          <w:noProof/>
          <w:lang w:val="fr-FR"/>
        </w:rPr>
        <w:tab/>
      </w:r>
      <w:r>
        <w:rPr>
          <w:rFonts w:eastAsia="Calibri"/>
          <w:noProof/>
          <w:lang w:val="fr-FR"/>
        </w:rPr>
        <w:t xml:space="preserve">Le </w:t>
      </w:r>
      <w:r w:rsidRPr="00DE2A76">
        <w:rPr>
          <w:rFonts w:eastAsia="Calibri"/>
          <w:noProof/>
          <w:lang w:val="fr-FR"/>
        </w:rPr>
        <w:t>13</w:t>
      </w:r>
      <w:r w:rsidR="00260CF2">
        <w:rPr>
          <w:rFonts w:eastAsia="Calibri"/>
          <w:noProof/>
          <w:lang w:val="fr-FR"/>
        </w:rPr>
        <w:t> </w:t>
      </w:r>
      <w:r w:rsidRPr="00DE2A76">
        <w:rPr>
          <w:rFonts w:eastAsia="Calibri"/>
          <w:noProof/>
          <w:lang w:val="fr-FR"/>
        </w:rPr>
        <w:t>d</w:t>
      </w:r>
      <w:r>
        <w:rPr>
          <w:rFonts w:eastAsia="Calibri"/>
          <w:noProof/>
          <w:lang w:val="fr-FR"/>
        </w:rPr>
        <w:t>é</w:t>
      </w:r>
      <w:r w:rsidRPr="00DE2A76">
        <w:rPr>
          <w:rFonts w:eastAsia="Calibri"/>
          <w:noProof/>
          <w:lang w:val="fr-FR"/>
        </w:rPr>
        <w:t xml:space="preserve">cembre 2017, </w:t>
      </w:r>
      <w:r>
        <w:rPr>
          <w:rFonts w:eastAsia="Calibri"/>
          <w:noProof/>
          <w:lang w:val="fr-FR"/>
        </w:rPr>
        <w:t xml:space="preserve">on a adopté la 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DE2A76">
        <w:rPr>
          <w:rFonts w:eastAsia="Calibri"/>
          <w:noProof/>
          <w:lang w:val="fr-FR"/>
        </w:rPr>
        <w:t xml:space="preserve">19580 </w:t>
      </w:r>
      <w:r>
        <w:rPr>
          <w:rFonts w:eastAsia="Calibri"/>
          <w:noProof/>
          <w:lang w:val="fr-FR"/>
        </w:rPr>
        <w:t>intitulée « Violence à l</w:t>
      </w:r>
      <w:r w:rsidR="00607CA3">
        <w:rPr>
          <w:rFonts w:eastAsia="Calibri"/>
          <w:noProof/>
          <w:lang w:val="fr-FR"/>
        </w:rPr>
        <w:t>’</w:t>
      </w:r>
      <w:r>
        <w:rPr>
          <w:rFonts w:eastAsia="Calibri"/>
          <w:noProof/>
          <w:lang w:val="fr-FR"/>
        </w:rPr>
        <w:t>égard des femmes fondée sur le genre »</w:t>
      </w:r>
      <w:r w:rsidRPr="00DE2A76">
        <w:rPr>
          <w:rFonts w:eastAsia="Calibri"/>
          <w:noProof/>
          <w:lang w:val="fr-FR"/>
        </w:rPr>
        <w:t>.</w:t>
      </w:r>
      <w:r w:rsidRPr="00DE2A76">
        <w:rPr>
          <w:rFonts w:eastAsia="Calibri"/>
          <w:i/>
          <w:noProof/>
          <w:lang w:val="fr-FR"/>
        </w:rPr>
        <w:t xml:space="preserve"> </w:t>
      </w:r>
      <w:r>
        <w:rPr>
          <w:rFonts w:eastAsia="Calibri"/>
          <w:noProof/>
          <w:lang w:val="fr-FR"/>
        </w:rPr>
        <w:t xml:space="preserve">Elle représente </w:t>
      </w:r>
      <w:r w:rsidRPr="00DE2A76">
        <w:rPr>
          <w:rFonts w:eastAsia="Calibri"/>
          <w:noProof/>
          <w:lang w:val="fr-FR"/>
        </w:rPr>
        <w:t xml:space="preserve">un </w:t>
      </w:r>
      <w:r>
        <w:rPr>
          <w:rFonts w:eastAsia="Calibri"/>
          <w:noProof/>
          <w:lang w:val="fr-FR"/>
        </w:rPr>
        <w:t>progrès important dans l</w:t>
      </w:r>
      <w:r w:rsidR="00607CA3">
        <w:rPr>
          <w:rFonts w:eastAsia="Calibri"/>
          <w:noProof/>
          <w:lang w:val="fr-FR"/>
        </w:rPr>
        <w:t>’</w:t>
      </w:r>
      <w:r>
        <w:rPr>
          <w:rFonts w:eastAsia="Calibri"/>
          <w:noProof/>
          <w:lang w:val="fr-FR"/>
        </w:rPr>
        <w:t>organisation des ripostes intersectorielles que l</w:t>
      </w:r>
      <w:r w:rsidR="00607CA3">
        <w:rPr>
          <w:rFonts w:eastAsia="Calibri"/>
          <w:noProof/>
          <w:lang w:val="fr-FR"/>
        </w:rPr>
        <w:t>’</w:t>
      </w:r>
      <w:r>
        <w:rPr>
          <w:rFonts w:eastAsia="Calibri"/>
          <w:noProof/>
          <w:lang w:val="fr-FR"/>
        </w:rPr>
        <w:t xml:space="preserve">État devra mettre en place avec le concours des </w:t>
      </w:r>
      <w:r w:rsidRPr="00031CAF">
        <w:rPr>
          <w:noProof/>
          <w:lang w:val="fr-FR"/>
        </w:rPr>
        <w:t xml:space="preserve">organismes </w:t>
      </w:r>
      <w:r>
        <w:rPr>
          <w:noProof/>
          <w:lang w:val="fr-FR"/>
        </w:rPr>
        <w:t>membres</w:t>
      </w:r>
      <w:r w:rsidRPr="00031CAF">
        <w:rPr>
          <w:noProof/>
          <w:lang w:val="fr-FR"/>
        </w:rPr>
        <w:t xml:space="preserve"> du Conseil consultatif</w:t>
      </w:r>
      <w:r w:rsidRPr="00DE2A76">
        <w:rPr>
          <w:rFonts w:eastAsia="Calibri"/>
          <w:noProof/>
          <w:lang w:val="fr-FR"/>
        </w:rPr>
        <w:t>.</w:t>
      </w:r>
    </w:p>
    <w:p w:rsidR="00596826" w:rsidRPr="00DE2A76" w:rsidRDefault="00596826" w:rsidP="00403A38">
      <w:pPr>
        <w:pStyle w:val="SingleTxtG"/>
        <w:rPr>
          <w:rFonts w:eastAsia="MS Mincho"/>
          <w:i/>
          <w:iCs/>
          <w:noProof/>
          <w:lang w:val="fr-FR"/>
        </w:rPr>
      </w:pPr>
      <w:r>
        <w:rPr>
          <w:noProof/>
          <w:lang w:val="fr-FR"/>
        </w:rPr>
        <w:t>53.</w:t>
      </w:r>
      <w:r>
        <w:rPr>
          <w:noProof/>
          <w:lang w:val="fr-FR"/>
        </w:rPr>
        <w:tab/>
        <w:t xml:space="preserve">En ce qui concerne les mesures de réparation, la Banque de prévoyance sociale a, en 2017, accordé </w:t>
      </w:r>
      <w:r w:rsidRPr="00DE2A76">
        <w:rPr>
          <w:noProof/>
          <w:lang w:val="fr-FR"/>
        </w:rPr>
        <w:t xml:space="preserve">173 </w:t>
      </w:r>
      <w:r>
        <w:rPr>
          <w:noProof/>
          <w:lang w:val="fr-FR"/>
        </w:rPr>
        <w:t>allocations familiales spéciales et 179 pension</w:t>
      </w:r>
      <w:r w:rsidRPr="00DE2A76">
        <w:rPr>
          <w:noProof/>
          <w:lang w:val="fr-FR"/>
        </w:rPr>
        <w:t xml:space="preserve">s </w:t>
      </w:r>
      <w:r>
        <w:rPr>
          <w:noProof/>
          <w:lang w:val="fr-FR"/>
        </w:rPr>
        <w:t>d</w:t>
      </w:r>
      <w:r w:rsidR="00607CA3">
        <w:rPr>
          <w:noProof/>
          <w:lang w:val="fr-FR"/>
        </w:rPr>
        <w:t>’</w:t>
      </w:r>
      <w:r>
        <w:rPr>
          <w:noProof/>
          <w:lang w:val="fr-FR"/>
        </w:rPr>
        <w:t>orphelin</w:t>
      </w:r>
      <w:r w:rsidRPr="00DE2A76">
        <w:rPr>
          <w:noProof/>
          <w:lang w:val="fr-FR"/>
        </w:rPr>
        <w:t xml:space="preserve"> </w:t>
      </w:r>
      <w:r>
        <w:rPr>
          <w:noProof/>
          <w:lang w:val="fr-FR"/>
        </w:rPr>
        <w:t xml:space="preserve">à des enfants </w:t>
      </w:r>
      <w:r w:rsidRPr="00992EE7">
        <w:rPr>
          <w:noProof/>
          <w:lang w:val="fr-FR"/>
        </w:rPr>
        <w:t>dont les parents sont décédés des suites de violences familiales</w:t>
      </w:r>
      <w:r w:rsidRPr="00DE2A76">
        <w:rPr>
          <w:noProof/>
          <w:lang w:val="fr-FR"/>
        </w:rPr>
        <w:t xml:space="preserve">, </w:t>
      </w:r>
      <w:r>
        <w:rPr>
          <w:noProof/>
          <w:lang w:val="fr-FR"/>
        </w:rPr>
        <w:t>soit 352 enfants secourus au total</w:t>
      </w:r>
      <w:r w:rsidRPr="00DE2A76">
        <w:rPr>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54.</w:t>
      </w:r>
      <w:r w:rsidRPr="00DE2A76">
        <w:rPr>
          <w:rFonts w:eastAsia="Calibri"/>
          <w:noProof/>
          <w:lang w:val="fr-FR"/>
        </w:rPr>
        <w:tab/>
      </w:r>
      <w:r>
        <w:rPr>
          <w:rFonts w:eastAsia="Calibri"/>
          <w:noProof/>
          <w:lang w:val="fr-FR"/>
        </w:rPr>
        <w:t>De même, l</w:t>
      </w:r>
      <w:r w:rsidR="00607CA3">
        <w:rPr>
          <w:rFonts w:eastAsia="Calibri"/>
          <w:noProof/>
          <w:lang w:val="fr-FR"/>
        </w:rPr>
        <w:t>’</w:t>
      </w:r>
      <w:r>
        <w:rPr>
          <w:rFonts w:eastAsia="Calibri"/>
          <w:noProof/>
          <w:lang w:val="fr-FR"/>
        </w:rPr>
        <w:t>article 8</w:t>
      </w:r>
      <w:r w:rsidR="00260CF2">
        <w:rPr>
          <w:rFonts w:eastAsia="Calibri"/>
          <w:noProof/>
          <w:lang w:val="fr-FR"/>
        </w:rPr>
        <w:t> </w:t>
      </w:r>
      <w:r>
        <w:rPr>
          <w:rFonts w:eastAsia="Calibri"/>
          <w:noProof/>
          <w:lang w:val="fr-FR"/>
        </w:rPr>
        <w:t>L de la loi susvisée consacre le droit « à la vérité, à la justice et à réparation par le biais d</w:t>
      </w:r>
      <w:r w:rsidR="00607CA3">
        <w:rPr>
          <w:rFonts w:eastAsia="Calibri"/>
          <w:noProof/>
          <w:lang w:val="fr-FR"/>
        </w:rPr>
        <w:t>’</w:t>
      </w:r>
      <w:r>
        <w:rPr>
          <w:rFonts w:eastAsia="Calibri"/>
          <w:noProof/>
          <w:lang w:val="fr-FR"/>
        </w:rPr>
        <w:t>un recours simple et rapide devant les tribunaux compétents », entre autres droits qui doivent être garantis aux femmes victimes de violences dans le cadre des procédures administratives ou judiciaires.</w:t>
      </w:r>
    </w:p>
    <w:p w:rsidR="00596826" w:rsidRPr="00DE2A76" w:rsidRDefault="00596826" w:rsidP="00596826">
      <w:pPr>
        <w:pStyle w:val="SingleTxtG"/>
        <w:rPr>
          <w:rFonts w:eastAsia="Calibri"/>
          <w:noProof/>
          <w:lang w:val="fr-FR"/>
        </w:rPr>
      </w:pPr>
      <w:r w:rsidRPr="00DE2A76">
        <w:rPr>
          <w:rFonts w:eastAsia="Calibri"/>
          <w:noProof/>
          <w:lang w:val="fr-FR"/>
        </w:rPr>
        <w:t>55.</w:t>
      </w:r>
      <w:r w:rsidRPr="00DE2A76">
        <w:rPr>
          <w:rFonts w:eastAsia="Calibri"/>
          <w:noProof/>
          <w:lang w:val="fr-FR"/>
        </w:rPr>
        <w:tab/>
        <w:t xml:space="preserve">Entre 2014 </w:t>
      </w:r>
      <w:r>
        <w:rPr>
          <w:rFonts w:eastAsia="Calibri"/>
          <w:noProof/>
          <w:lang w:val="fr-FR"/>
        </w:rPr>
        <w:t>et</w:t>
      </w:r>
      <w:r w:rsidRPr="00DE2A76">
        <w:rPr>
          <w:rFonts w:eastAsia="Calibri"/>
          <w:noProof/>
          <w:lang w:val="fr-FR"/>
        </w:rPr>
        <w:t xml:space="preserve"> 2017</w:t>
      </w:r>
      <w:r>
        <w:rPr>
          <w:rFonts w:eastAsia="Calibri"/>
          <w:noProof/>
          <w:lang w:val="fr-FR"/>
        </w:rPr>
        <w:t>,</w:t>
      </w:r>
      <w:r w:rsidRPr="00DE2A76">
        <w:rPr>
          <w:rFonts w:eastAsia="Calibri"/>
          <w:noProof/>
          <w:lang w:val="fr-FR"/>
        </w:rPr>
        <w:t xml:space="preserve"> 372 </w:t>
      </w:r>
      <w:r>
        <w:rPr>
          <w:rFonts w:eastAsia="Calibri"/>
          <w:noProof/>
          <w:lang w:val="fr-FR"/>
        </w:rPr>
        <w:t xml:space="preserve">femmes ont eu recours au Service de prise en charge </w:t>
      </w:r>
      <w:r w:rsidRPr="0049793D">
        <w:rPr>
          <w:noProof/>
          <w:lang w:val="fr-FR"/>
        </w:rPr>
        <w:t>des femmes victimes de traite à des fins d</w:t>
      </w:r>
      <w:r w:rsidR="00607CA3">
        <w:rPr>
          <w:noProof/>
          <w:lang w:val="fr-FR"/>
        </w:rPr>
        <w:t>’</w:t>
      </w:r>
      <w:r w:rsidRPr="0049793D">
        <w:rPr>
          <w:noProof/>
          <w:lang w:val="fr-FR"/>
        </w:rPr>
        <w:t>exploitation sexuelle</w:t>
      </w:r>
      <w:r w:rsidRPr="00DE2A76">
        <w:rPr>
          <w:rFonts w:eastAsia="Calibri"/>
          <w:noProof/>
          <w:lang w:val="fr-FR"/>
        </w:rPr>
        <w:t>. E</w:t>
      </w:r>
      <w:r>
        <w:rPr>
          <w:rFonts w:eastAsia="Calibri"/>
          <w:noProof/>
          <w:lang w:val="fr-FR"/>
        </w:rPr>
        <w:t xml:space="preserve">lles ont été 116 à le faire en </w:t>
      </w:r>
      <w:r w:rsidRPr="00DE2A76">
        <w:rPr>
          <w:rFonts w:eastAsia="Calibri"/>
          <w:noProof/>
          <w:lang w:val="fr-FR"/>
        </w:rPr>
        <w:t xml:space="preserve">2014, 99 en 2015, 86 en 2016 </w:t>
      </w:r>
      <w:r>
        <w:rPr>
          <w:rFonts w:eastAsia="Calibri"/>
          <w:noProof/>
          <w:lang w:val="fr-FR"/>
        </w:rPr>
        <w:t xml:space="preserve">et 71 </w:t>
      </w:r>
      <w:r w:rsidRPr="00DE2A76">
        <w:rPr>
          <w:rFonts w:eastAsia="Calibri"/>
          <w:noProof/>
          <w:lang w:val="fr-FR"/>
        </w:rPr>
        <w:t xml:space="preserve">en 2017. </w:t>
      </w:r>
      <w:r>
        <w:rPr>
          <w:rFonts w:eastAsia="Calibri"/>
          <w:noProof/>
          <w:lang w:val="fr-FR"/>
        </w:rPr>
        <w:t>Ce service est réservé aux femmes</w:t>
      </w:r>
      <w:r w:rsidRPr="00DE2A76">
        <w:rPr>
          <w:rFonts w:eastAsia="Calibri"/>
          <w:noProof/>
          <w:lang w:val="fr-FR"/>
        </w:rPr>
        <w:t xml:space="preserve">. </w:t>
      </w:r>
      <w:r>
        <w:rPr>
          <w:rFonts w:eastAsia="Calibri"/>
          <w:noProof/>
          <w:lang w:val="fr-FR"/>
        </w:rPr>
        <w:t>Au moment de leur admission, 50</w:t>
      </w:r>
      <w:r w:rsidR="00260CF2">
        <w:rPr>
          <w:rFonts w:eastAsia="Calibri"/>
          <w:noProof/>
          <w:lang w:val="fr-FR"/>
        </w:rPr>
        <w:t> </w:t>
      </w:r>
      <w:r>
        <w:rPr>
          <w:rFonts w:eastAsia="Calibri"/>
          <w:noProof/>
          <w:lang w:val="fr-FR"/>
        </w:rPr>
        <w:t>% de ces femmes avaient entre 18 et 29</w:t>
      </w:r>
      <w:r w:rsidR="00260CF2">
        <w:rPr>
          <w:rFonts w:eastAsia="Calibri"/>
          <w:noProof/>
          <w:lang w:val="fr-FR"/>
        </w:rPr>
        <w:t> </w:t>
      </w:r>
      <w:r>
        <w:rPr>
          <w:rFonts w:eastAsia="Calibri"/>
          <w:noProof/>
          <w:lang w:val="fr-FR"/>
        </w:rPr>
        <w:t>ans</w:t>
      </w:r>
      <w:r w:rsidR="00260CF2">
        <w:rPr>
          <w:rFonts w:eastAsia="Calibri"/>
          <w:noProof/>
          <w:lang w:val="fr-FR"/>
        </w:rPr>
        <w:t> </w:t>
      </w:r>
      <w:r>
        <w:rPr>
          <w:rFonts w:eastAsia="Calibri"/>
          <w:noProof/>
          <w:lang w:val="fr-FR"/>
        </w:rPr>
        <w:t>;</w:t>
      </w:r>
      <w:r w:rsidRPr="00DE2A76">
        <w:rPr>
          <w:rFonts w:eastAsia="Calibri"/>
          <w:noProof/>
          <w:lang w:val="fr-FR"/>
        </w:rPr>
        <w:t xml:space="preserve"> 43 % </w:t>
      </w:r>
      <w:r>
        <w:rPr>
          <w:rFonts w:eastAsia="Calibri"/>
          <w:noProof/>
          <w:lang w:val="fr-FR"/>
        </w:rPr>
        <w:t xml:space="preserve">avaient entre </w:t>
      </w:r>
      <w:r w:rsidRPr="00DE2A76">
        <w:rPr>
          <w:rFonts w:eastAsia="Calibri"/>
          <w:noProof/>
          <w:lang w:val="fr-FR"/>
        </w:rPr>
        <w:t xml:space="preserve">30 </w:t>
      </w:r>
      <w:r>
        <w:rPr>
          <w:rFonts w:eastAsia="Calibri"/>
          <w:noProof/>
          <w:lang w:val="fr-FR"/>
        </w:rPr>
        <w:t>et</w:t>
      </w:r>
      <w:r w:rsidRPr="00DE2A76">
        <w:rPr>
          <w:rFonts w:eastAsia="Calibri"/>
          <w:noProof/>
          <w:lang w:val="fr-FR"/>
        </w:rPr>
        <w:t xml:space="preserve"> 49</w:t>
      </w:r>
      <w:r w:rsidR="00260CF2">
        <w:rPr>
          <w:rFonts w:eastAsia="Calibri"/>
          <w:noProof/>
          <w:lang w:val="fr-FR"/>
        </w:rPr>
        <w:t> </w:t>
      </w:r>
      <w:r w:rsidRPr="00DE2A76">
        <w:rPr>
          <w:rFonts w:eastAsia="Calibri"/>
          <w:noProof/>
          <w:lang w:val="fr-FR"/>
        </w:rPr>
        <w:t>a</w:t>
      </w:r>
      <w:r>
        <w:rPr>
          <w:rFonts w:eastAsia="Calibri"/>
          <w:noProof/>
          <w:lang w:val="fr-FR"/>
        </w:rPr>
        <w:t>ns</w:t>
      </w:r>
      <w:r w:rsidR="00260CF2">
        <w:rPr>
          <w:rFonts w:eastAsia="Calibri"/>
          <w:noProof/>
          <w:lang w:val="fr-FR"/>
        </w:rPr>
        <w:t> </w:t>
      </w:r>
      <w:r>
        <w:rPr>
          <w:rFonts w:eastAsia="Calibri"/>
          <w:noProof/>
          <w:lang w:val="fr-FR"/>
        </w:rPr>
        <w:t xml:space="preserve">; </w:t>
      </w:r>
      <w:r w:rsidRPr="00DE2A76">
        <w:rPr>
          <w:rFonts w:eastAsia="Calibri"/>
          <w:noProof/>
          <w:lang w:val="fr-FR"/>
        </w:rPr>
        <w:t xml:space="preserve">5 % </w:t>
      </w:r>
      <w:r>
        <w:rPr>
          <w:rFonts w:eastAsia="Calibri"/>
          <w:noProof/>
          <w:lang w:val="fr-FR"/>
        </w:rPr>
        <w:t xml:space="preserve">seulement avaient plus de </w:t>
      </w:r>
      <w:r w:rsidRPr="00DE2A76">
        <w:rPr>
          <w:rFonts w:eastAsia="Calibri"/>
          <w:noProof/>
          <w:lang w:val="fr-FR"/>
        </w:rPr>
        <w:t>50</w:t>
      </w:r>
      <w:r w:rsidR="00260CF2">
        <w:rPr>
          <w:rFonts w:eastAsia="Calibri"/>
          <w:noProof/>
          <w:lang w:val="fr-FR"/>
        </w:rPr>
        <w:t> </w:t>
      </w:r>
      <w:r w:rsidRPr="00DE2A76">
        <w:rPr>
          <w:rFonts w:eastAsia="Calibri"/>
          <w:noProof/>
          <w:lang w:val="fr-FR"/>
        </w:rPr>
        <w:t>a</w:t>
      </w:r>
      <w:r>
        <w:rPr>
          <w:rFonts w:eastAsia="Calibri"/>
          <w:noProof/>
          <w:lang w:val="fr-FR"/>
        </w:rPr>
        <w:t>n</w:t>
      </w:r>
      <w:r w:rsidRPr="00DE2A76">
        <w:rPr>
          <w:rFonts w:eastAsia="Calibri"/>
          <w:noProof/>
          <w:lang w:val="fr-FR"/>
        </w:rPr>
        <w:t xml:space="preserve">s </w:t>
      </w:r>
      <w:r>
        <w:rPr>
          <w:rFonts w:eastAsia="Calibri"/>
          <w:noProof/>
          <w:lang w:val="fr-FR"/>
        </w:rPr>
        <w:t xml:space="preserve">et </w:t>
      </w:r>
      <w:r w:rsidRPr="00DE2A76">
        <w:rPr>
          <w:rFonts w:eastAsia="Calibri"/>
          <w:noProof/>
          <w:lang w:val="fr-FR"/>
        </w:rPr>
        <w:t xml:space="preserve">2 % </w:t>
      </w:r>
      <w:r>
        <w:rPr>
          <w:rFonts w:eastAsia="Calibri"/>
          <w:noProof/>
          <w:lang w:val="fr-FR"/>
        </w:rPr>
        <w:t xml:space="preserve">moins de </w:t>
      </w:r>
      <w:r w:rsidRPr="00DE2A76">
        <w:rPr>
          <w:rFonts w:eastAsia="Calibri"/>
          <w:noProof/>
          <w:lang w:val="fr-FR"/>
        </w:rPr>
        <w:t>18</w:t>
      </w:r>
      <w:r w:rsidR="00260CF2">
        <w:rPr>
          <w:rFonts w:eastAsia="Calibri"/>
          <w:noProof/>
          <w:lang w:val="fr-FR"/>
        </w:rPr>
        <w:t> </w:t>
      </w:r>
      <w:r>
        <w:rPr>
          <w:rFonts w:eastAsia="Calibri"/>
          <w:noProof/>
          <w:lang w:val="fr-FR"/>
        </w:rPr>
        <w:t>ans</w:t>
      </w:r>
      <w:r w:rsidRPr="00DE2A76">
        <w:rPr>
          <w:rFonts w:eastAsia="Calibri"/>
          <w:noProof/>
          <w:lang w:val="fr-FR"/>
        </w:rPr>
        <w:t xml:space="preserve">. </w:t>
      </w:r>
      <w:r>
        <w:rPr>
          <w:rFonts w:eastAsia="Calibri"/>
          <w:noProof/>
          <w:lang w:val="fr-FR"/>
        </w:rPr>
        <w:t>Il convient d</w:t>
      </w:r>
      <w:r w:rsidR="00607CA3">
        <w:rPr>
          <w:rFonts w:eastAsia="Calibri"/>
          <w:noProof/>
          <w:lang w:val="fr-FR"/>
        </w:rPr>
        <w:t>’</w:t>
      </w:r>
      <w:r>
        <w:rPr>
          <w:rFonts w:eastAsia="Calibri"/>
          <w:noProof/>
          <w:lang w:val="fr-FR"/>
        </w:rPr>
        <w:t>indiquer que ce service a pris en charge les mineurs de façon ponctuelle et exceptionnelle, car dans leur cas, la loi impose l</w:t>
      </w:r>
      <w:r w:rsidR="00607CA3">
        <w:rPr>
          <w:rFonts w:eastAsia="Calibri"/>
          <w:noProof/>
          <w:lang w:val="fr-FR"/>
        </w:rPr>
        <w:t>’</w:t>
      </w:r>
      <w:r>
        <w:rPr>
          <w:rFonts w:eastAsia="Calibri"/>
          <w:noProof/>
          <w:lang w:val="fr-FR"/>
        </w:rPr>
        <w:t>intervention de l</w:t>
      </w:r>
      <w:r w:rsidR="00607CA3">
        <w:rPr>
          <w:rFonts w:eastAsia="Calibri"/>
          <w:noProof/>
          <w:lang w:val="fr-FR"/>
        </w:rPr>
        <w:t>’</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adolescent</w:t>
      </w:r>
      <w:r w:rsidRPr="00DE2A76">
        <w:rPr>
          <w:rFonts w:eastAsia="Calibri"/>
          <w:noProof/>
          <w:lang w:val="fr-FR"/>
        </w:rPr>
        <w:t>.</w:t>
      </w:r>
    </w:p>
    <w:p w:rsidR="00596826" w:rsidRPr="00DE2A76" w:rsidRDefault="00596826" w:rsidP="00596826">
      <w:pPr>
        <w:pStyle w:val="SingleTxtG"/>
        <w:rPr>
          <w:rFonts w:eastAsia="Calibri"/>
          <w:noProof/>
          <w:lang w:val="fr-FR"/>
        </w:rPr>
      </w:pPr>
      <w:r w:rsidRPr="00DE2A76">
        <w:rPr>
          <w:rFonts w:eastAsia="Calibri"/>
          <w:noProof/>
          <w:lang w:val="fr-FR"/>
        </w:rPr>
        <w:t>56.</w:t>
      </w:r>
      <w:r w:rsidRPr="00DE2A76">
        <w:rPr>
          <w:rFonts w:eastAsia="Calibri"/>
          <w:noProof/>
          <w:lang w:val="fr-FR"/>
        </w:rPr>
        <w:tab/>
        <w:t>En</w:t>
      </w:r>
      <w:r>
        <w:rPr>
          <w:rFonts w:eastAsia="Calibri"/>
          <w:noProof/>
          <w:lang w:val="fr-FR"/>
        </w:rPr>
        <w:t xml:space="preserve">tre </w:t>
      </w:r>
      <w:r w:rsidRPr="00DE2A76">
        <w:rPr>
          <w:rFonts w:eastAsia="Calibri"/>
          <w:noProof/>
          <w:lang w:val="fr-FR"/>
        </w:rPr>
        <w:t>2014</w:t>
      </w:r>
      <w:r>
        <w:rPr>
          <w:rFonts w:eastAsia="Calibri"/>
          <w:noProof/>
          <w:lang w:val="fr-FR"/>
        </w:rPr>
        <w:t xml:space="preserve"> et </w:t>
      </w:r>
      <w:r w:rsidRPr="00DE2A76">
        <w:rPr>
          <w:rFonts w:eastAsia="Calibri"/>
          <w:noProof/>
          <w:lang w:val="fr-FR"/>
        </w:rPr>
        <w:t>2017</w:t>
      </w:r>
      <w:r>
        <w:rPr>
          <w:rFonts w:eastAsia="Calibri"/>
          <w:noProof/>
          <w:lang w:val="fr-FR"/>
        </w:rPr>
        <w:t>,</w:t>
      </w:r>
      <w:r w:rsidRPr="00DE2A76">
        <w:rPr>
          <w:rFonts w:eastAsia="Calibri"/>
          <w:noProof/>
          <w:lang w:val="fr-FR"/>
        </w:rPr>
        <w:t xml:space="preserve"> 66 % de</w:t>
      </w:r>
      <w:r>
        <w:rPr>
          <w:rFonts w:eastAsia="Calibri"/>
          <w:noProof/>
          <w:lang w:val="fr-FR"/>
        </w:rPr>
        <w:t xml:space="preserve">s femmes prises en charge étaient originaires de la République dominicaine, </w:t>
      </w:r>
      <w:r w:rsidRPr="00DE2A76">
        <w:rPr>
          <w:rFonts w:eastAsia="Calibri"/>
          <w:noProof/>
          <w:lang w:val="fr-FR"/>
        </w:rPr>
        <w:t xml:space="preserve">22 % </w:t>
      </w:r>
      <w:r>
        <w:rPr>
          <w:rFonts w:eastAsia="Calibri"/>
          <w:noProof/>
          <w:lang w:val="fr-FR"/>
        </w:rPr>
        <w:t xml:space="preserve">étaient uruguayennes </w:t>
      </w:r>
      <w:r w:rsidRPr="00DE2A76">
        <w:rPr>
          <w:rFonts w:eastAsia="Calibri"/>
          <w:noProof/>
          <w:lang w:val="fr-FR"/>
        </w:rPr>
        <w:t>(tra</w:t>
      </w:r>
      <w:r>
        <w:rPr>
          <w:rFonts w:eastAsia="Calibri"/>
          <w:noProof/>
          <w:lang w:val="fr-FR"/>
        </w:rPr>
        <w:t>ite interne</w:t>
      </w:r>
      <w:r w:rsidRPr="00DE2A76">
        <w:rPr>
          <w:rFonts w:eastAsia="Calibri"/>
          <w:noProof/>
          <w:lang w:val="fr-FR"/>
        </w:rPr>
        <w:t xml:space="preserve">) </w:t>
      </w:r>
      <w:r>
        <w:rPr>
          <w:rFonts w:eastAsia="Calibri"/>
          <w:noProof/>
          <w:lang w:val="fr-FR"/>
        </w:rPr>
        <w:t xml:space="preserve">et les autres venaient du </w:t>
      </w:r>
      <w:r w:rsidRPr="00DE2A76">
        <w:rPr>
          <w:rFonts w:eastAsia="Calibri"/>
          <w:noProof/>
          <w:lang w:val="fr-FR"/>
        </w:rPr>
        <w:t>Paraguay (3 %),</w:t>
      </w:r>
      <w:r>
        <w:rPr>
          <w:rFonts w:eastAsia="Calibri"/>
          <w:noProof/>
          <w:lang w:val="fr-FR"/>
        </w:rPr>
        <w:t xml:space="preserve"> du</w:t>
      </w:r>
      <w:r w:rsidRPr="00DE2A76">
        <w:rPr>
          <w:rFonts w:eastAsia="Calibri"/>
          <w:noProof/>
          <w:lang w:val="fr-FR"/>
        </w:rPr>
        <w:t xml:space="preserve"> P</w:t>
      </w:r>
      <w:r>
        <w:rPr>
          <w:rFonts w:eastAsia="Calibri"/>
          <w:noProof/>
          <w:lang w:val="fr-FR"/>
        </w:rPr>
        <w:t>é</w:t>
      </w:r>
      <w:r w:rsidRPr="00DE2A76">
        <w:rPr>
          <w:rFonts w:eastAsia="Calibri"/>
          <w:noProof/>
          <w:lang w:val="fr-FR"/>
        </w:rPr>
        <w:t>r</w:t>
      </w:r>
      <w:r>
        <w:rPr>
          <w:rFonts w:eastAsia="Calibri"/>
          <w:noProof/>
          <w:lang w:val="fr-FR"/>
        </w:rPr>
        <w:t>ou</w:t>
      </w:r>
      <w:r w:rsidRPr="00DE2A76">
        <w:rPr>
          <w:rFonts w:eastAsia="Calibri"/>
          <w:noProof/>
          <w:lang w:val="fr-FR"/>
        </w:rPr>
        <w:t xml:space="preserve"> (3 %), </w:t>
      </w:r>
      <w:r>
        <w:rPr>
          <w:rFonts w:eastAsia="Calibri"/>
          <w:noProof/>
          <w:lang w:val="fr-FR"/>
        </w:rPr>
        <w:t>du Bré</w:t>
      </w:r>
      <w:r w:rsidRPr="00DE2A76">
        <w:rPr>
          <w:rFonts w:eastAsia="Calibri"/>
          <w:noProof/>
          <w:lang w:val="fr-FR"/>
        </w:rPr>
        <w:t xml:space="preserve">sil (2 %) </w:t>
      </w:r>
      <w:r>
        <w:rPr>
          <w:rFonts w:eastAsia="Calibri"/>
          <w:noProof/>
          <w:lang w:val="fr-FR"/>
        </w:rPr>
        <w:t>et d</w:t>
      </w:r>
      <w:r w:rsidR="00607CA3">
        <w:rPr>
          <w:rFonts w:eastAsia="Calibri"/>
          <w:noProof/>
          <w:lang w:val="fr-FR"/>
        </w:rPr>
        <w:t>’</w:t>
      </w:r>
      <w:r>
        <w:rPr>
          <w:rFonts w:eastAsia="Calibri"/>
          <w:noProof/>
          <w:lang w:val="fr-FR"/>
        </w:rPr>
        <w:t xml:space="preserve">autres pays </w:t>
      </w:r>
      <w:r w:rsidRPr="00DE2A76">
        <w:rPr>
          <w:rFonts w:eastAsia="Calibri"/>
          <w:noProof/>
          <w:lang w:val="fr-FR"/>
        </w:rPr>
        <w:t>(2 %).</w:t>
      </w:r>
    </w:p>
    <w:p w:rsidR="00596826" w:rsidRPr="00DE2A76" w:rsidRDefault="00596826" w:rsidP="00260CF2">
      <w:pPr>
        <w:pStyle w:val="H23G"/>
        <w:rPr>
          <w:i/>
          <w:noProof/>
          <w:lang w:val="fr-FR"/>
        </w:rPr>
      </w:pPr>
      <w:r w:rsidRPr="00DE2A76">
        <w:rPr>
          <w:noProof/>
          <w:lang w:val="fr-FR"/>
        </w:rPr>
        <w:tab/>
      </w:r>
      <w:r w:rsidR="00260CF2">
        <w:rPr>
          <w:noProof/>
          <w:lang w:val="fr-FR"/>
        </w:rPr>
        <w:tab/>
      </w:r>
      <w:r>
        <w:rPr>
          <w:noProof/>
          <w:lang w:val="fr-FR"/>
        </w:rPr>
        <w:t>Ensemble du pays</w:t>
      </w:r>
      <w:r w:rsidRPr="00DE2A76">
        <w:rPr>
          <w:noProof/>
          <w:lang w:val="fr-FR"/>
        </w:rPr>
        <w:t>, 2014-2017</w:t>
      </w:r>
    </w:p>
    <w:tbl>
      <w:tblPr>
        <w:tblW w:w="7370" w:type="dxa"/>
        <w:tblInd w:w="1134" w:type="dxa"/>
        <w:tblLayout w:type="fixed"/>
        <w:tblCellMar>
          <w:left w:w="0" w:type="dxa"/>
          <w:right w:w="0" w:type="dxa"/>
        </w:tblCellMar>
        <w:tblLook w:val="0000" w:firstRow="0" w:lastRow="0" w:firstColumn="0" w:lastColumn="0" w:noHBand="0" w:noVBand="0"/>
      </w:tblPr>
      <w:tblGrid>
        <w:gridCol w:w="1835"/>
        <w:gridCol w:w="1835"/>
        <w:gridCol w:w="1835"/>
        <w:gridCol w:w="1865"/>
      </w:tblGrid>
      <w:tr w:rsidR="00596826" w:rsidRPr="00260CF2" w:rsidTr="00260CF2">
        <w:trPr>
          <w:tblHeader/>
        </w:trPr>
        <w:tc>
          <w:tcPr>
            <w:tcW w:w="1835" w:type="dxa"/>
            <w:tcBorders>
              <w:top w:val="single" w:sz="4" w:space="0" w:color="auto"/>
              <w:bottom w:val="single" w:sz="12" w:space="0" w:color="auto"/>
            </w:tcBorders>
            <w:shd w:val="clear" w:color="auto" w:fill="auto"/>
            <w:vAlign w:val="bottom"/>
          </w:tcPr>
          <w:p w:rsidR="00596826" w:rsidRPr="00DE2A76" w:rsidRDefault="00596826" w:rsidP="00596826">
            <w:pPr>
              <w:spacing w:before="80" w:after="80" w:line="200" w:lineRule="exact"/>
              <w:rPr>
                <w:rFonts w:eastAsia="Calibri"/>
                <w:i/>
                <w:noProof/>
                <w:sz w:val="16"/>
                <w:lang w:val="fr-FR"/>
              </w:rPr>
            </w:pPr>
            <w:r w:rsidRPr="00DE2A76">
              <w:rPr>
                <w:bCs/>
                <w:i/>
                <w:noProof/>
                <w:sz w:val="16"/>
                <w:lang w:val="fr-FR" w:eastAsia="es-UY"/>
              </w:rPr>
              <w:t>A</w:t>
            </w:r>
            <w:r>
              <w:rPr>
                <w:bCs/>
                <w:i/>
                <w:noProof/>
                <w:sz w:val="16"/>
                <w:lang w:val="fr-FR" w:eastAsia="es-UY"/>
              </w:rPr>
              <w:t>nnée</w:t>
            </w:r>
          </w:p>
        </w:tc>
        <w:tc>
          <w:tcPr>
            <w:tcW w:w="1835" w:type="dxa"/>
            <w:tcBorders>
              <w:top w:val="single" w:sz="4" w:space="0" w:color="auto"/>
              <w:bottom w:val="single" w:sz="12" w:space="0" w:color="auto"/>
            </w:tcBorders>
            <w:shd w:val="clear" w:color="auto" w:fill="auto"/>
            <w:vAlign w:val="bottom"/>
          </w:tcPr>
          <w:p w:rsidR="00596826" w:rsidRPr="00DE2A76" w:rsidRDefault="00596826" w:rsidP="00596826">
            <w:pPr>
              <w:spacing w:before="80" w:after="80" w:line="200" w:lineRule="exact"/>
              <w:jc w:val="right"/>
              <w:rPr>
                <w:rFonts w:eastAsia="Calibri"/>
                <w:i/>
                <w:noProof/>
                <w:sz w:val="16"/>
                <w:lang w:val="fr-FR"/>
              </w:rPr>
            </w:pPr>
            <w:r>
              <w:rPr>
                <w:bCs/>
                <w:i/>
                <w:noProof/>
                <w:sz w:val="16"/>
                <w:lang w:val="fr-FR" w:eastAsia="es-UY"/>
              </w:rPr>
              <w:t>Femmes</w:t>
            </w:r>
          </w:p>
        </w:tc>
        <w:tc>
          <w:tcPr>
            <w:tcW w:w="1835" w:type="dxa"/>
            <w:tcBorders>
              <w:top w:val="single" w:sz="4" w:space="0" w:color="auto"/>
              <w:bottom w:val="single" w:sz="12" w:space="0" w:color="auto"/>
            </w:tcBorders>
            <w:shd w:val="clear" w:color="auto" w:fill="auto"/>
            <w:vAlign w:val="bottom"/>
          </w:tcPr>
          <w:p w:rsidR="00596826" w:rsidRPr="00DE2A76" w:rsidRDefault="00596826" w:rsidP="00596826">
            <w:pPr>
              <w:spacing w:before="80" w:after="80" w:line="200" w:lineRule="exact"/>
              <w:jc w:val="right"/>
              <w:rPr>
                <w:rFonts w:eastAsia="Calibri"/>
                <w:i/>
                <w:noProof/>
                <w:sz w:val="16"/>
                <w:lang w:val="fr-FR"/>
              </w:rPr>
            </w:pPr>
            <w:r>
              <w:rPr>
                <w:bCs/>
                <w:i/>
                <w:noProof/>
                <w:sz w:val="16"/>
                <w:lang w:val="fr-FR" w:eastAsia="es-UY"/>
              </w:rPr>
              <w:t>Hommes</w:t>
            </w:r>
          </w:p>
        </w:tc>
        <w:tc>
          <w:tcPr>
            <w:tcW w:w="1865" w:type="dxa"/>
            <w:tcBorders>
              <w:top w:val="single" w:sz="4" w:space="0" w:color="auto"/>
              <w:bottom w:val="single" w:sz="12" w:space="0" w:color="auto"/>
            </w:tcBorders>
            <w:shd w:val="clear" w:color="auto" w:fill="auto"/>
            <w:vAlign w:val="bottom"/>
          </w:tcPr>
          <w:p w:rsidR="00596826" w:rsidRPr="00260CF2" w:rsidRDefault="00596826" w:rsidP="00596826">
            <w:pPr>
              <w:spacing w:before="80" w:after="80" w:line="200" w:lineRule="exact"/>
              <w:jc w:val="right"/>
              <w:rPr>
                <w:rFonts w:eastAsia="Calibri"/>
                <w:b/>
                <w:i/>
                <w:noProof/>
                <w:sz w:val="16"/>
                <w:lang w:val="fr-FR"/>
              </w:rPr>
            </w:pPr>
            <w:r w:rsidRPr="00260CF2">
              <w:rPr>
                <w:b/>
                <w:bCs/>
                <w:i/>
                <w:noProof/>
                <w:sz w:val="16"/>
                <w:lang w:val="fr-FR" w:eastAsia="es-UY"/>
              </w:rPr>
              <w:t>Total</w:t>
            </w:r>
          </w:p>
        </w:tc>
      </w:tr>
      <w:tr w:rsidR="00260CF2" w:rsidRPr="00DE2A76" w:rsidTr="00260CF2">
        <w:tc>
          <w:tcPr>
            <w:tcW w:w="1835" w:type="dxa"/>
            <w:tcBorders>
              <w:top w:val="single" w:sz="12" w:space="0" w:color="auto"/>
            </w:tcBorders>
            <w:shd w:val="clear" w:color="auto" w:fill="auto"/>
          </w:tcPr>
          <w:p w:rsidR="00260CF2" w:rsidRPr="00CA3A7A" w:rsidRDefault="00260CF2" w:rsidP="00260CF2">
            <w:pPr>
              <w:spacing w:before="40" w:after="40" w:line="220" w:lineRule="exact"/>
              <w:rPr>
                <w:rFonts w:eastAsia="Calibri"/>
                <w:sz w:val="18"/>
                <w:lang w:val="es-UY"/>
              </w:rPr>
            </w:pPr>
            <w:r w:rsidRPr="00CA3A7A">
              <w:rPr>
                <w:sz w:val="18"/>
                <w:lang w:val="es-UY" w:eastAsia="es-UY"/>
              </w:rPr>
              <w:t>2014</w:t>
            </w:r>
          </w:p>
        </w:tc>
        <w:tc>
          <w:tcPr>
            <w:tcW w:w="1835" w:type="dxa"/>
            <w:tcBorders>
              <w:top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116</w:t>
            </w:r>
          </w:p>
        </w:tc>
        <w:tc>
          <w:tcPr>
            <w:tcW w:w="1835" w:type="dxa"/>
            <w:tcBorders>
              <w:top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0</w:t>
            </w:r>
          </w:p>
        </w:tc>
        <w:tc>
          <w:tcPr>
            <w:tcW w:w="1865" w:type="dxa"/>
            <w:tcBorders>
              <w:top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b/>
                <w:bCs/>
                <w:sz w:val="18"/>
                <w:lang w:val="es-UY" w:eastAsia="es-UY"/>
              </w:rPr>
              <w:t>116</w:t>
            </w:r>
          </w:p>
        </w:tc>
      </w:tr>
      <w:tr w:rsidR="00260CF2" w:rsidRPr="00DE2A76" w:rsidTr="00260CF2">
        <w:tc>
          <w:tcPr>
            <w:tcW w:w="1835" w:type="dxa"/>
            <w:shd w:val="clear" w:color="auto" w:fill="auto"/>
          </w:tcPr>
          <w:p w:rsidR="00260CF2" w:rsidRPr="00CA3A7A" w:rsidRDefault="00260CF2" w:rsidP="00260CF2">
            <w:pPr>
              <w:spacing w:before="40" w:after="40" w:line="220" w:lineRule="exact"/>
              <w:rPr>
                <w:rFonts w:eastAsia="Calibri"/>
                <w:sz w:val="18"/>
                <w:lang w:val="es-UY"/>
              </w:rPr>
            </w:pPr>
            <w:r w:rsidRPr="00CA3A7A">
              <w:rPr>
                <w:sz w:val="18"/>
                <w:lang w:val="es-UY" w:eastAsia="es-UY"/>
              </w:rPr>
              <w:t>2015</w:t>
            </w:r>
          </w:p>
        </w:tc>
        <w:tc>
          <w:tcPr>
            <w:tcW w:w="183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99</w:t>
            </w:r>
          </w:p>
        </w:tc>
        <w:tc>
          <w:tcPr>
            <w:tcW w:w="183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0</w:t>
            </w:r>
          </w:p>
        </w:tc>
        <w:tc>
          <w:tcPr>
            <w:tcW w:w="186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b/>
                <w:bCs/>
                <w:sz w:val="18"/>
                <w:lang w:val="es-UY" w:eastAsia="es-UY"/>
              </w:rPr>
              <w:t>99</w:t>
            </w:r>
          </w:p>
        </w:tc>
      </w:tr>
      <w:tr w:rsidR="00260CF2" w:rsidRPr="00DE2A76" w:rsidTr="00260CF2">
        <w:tc>
          <w:tcPr>
            <w:tcW w:w="1835" w:type="dxa"/>
            <w:shd w:val="clear" w:color="auto" w:fill="auto"/>
          </w:tcPr>
          <w:p w:rsidR="00260CF2" w:rsidRPr="00CA3A7A" w:rsidRDefault="00260CF2" w:rsidP="00260CF2">
            <w:pPr>
              <w:spacing w:before="40" w:after="40" w:line="220" w:lineRule="exact"/>
              <w:rPr>
                <w:rFonts w:eastAsia="Calibri"/>
                <w:sz w:val="18"/>
                <w:lang w:val="es-UY"/>
              </w:rPr>
            </w:pPr>
            <w:r w:rsidRPr="00CA3A7A">
              <w:rPr>
                <w:sz w:val="18"/>
                <w:lang w:val="es-UY" w:eastAsia="es-UY"/>
              </w:rPr>
              <w:t>2016</w:t>
            </w:r>
          </w:p>
        </w:tc>
        <w:tc>
          <w:tcPr>
            <w:tcW w:w="183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86</w:t>
            </w:r>
          </w:p>
        </w:tc>
        <w:tc>
          <w:tcPr>
            <w:tcW w:w="183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0</w:t>
            </w:r>
          </w:p>
        </w:tc>
        <w:tc>
          <w:tcPr>
            <w:tcW w:w="1865" w:type="dxa"/>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b/>
                <w:bCs/>
                <w:sz w:val="18"/>
                <w:lang w:val="es-UY" w:eastAsia="es-UY"/>
              </w:rPr>
              <w:t>86</w:t>
            </w:r>
          </w:p>
        </w:tc>
      </w:tr>
      <w:tr w:rsidR="00260CF2" w:rsidRPr="00DE2A76" w:rsidTr="00260CF2">
        <w:tc>
          <w:tcPr>
            <w:tcW w:w="1835" w:type="dxa"/>
            <w:tcBorders>
              <w:bottom w:val="single" w:sz="12" w:space="0" w:color="auto"/>
            </w:tcBorders>
            <w:shd w:val="clear" w:color="auto" w:fill="auto"/>
          </w:tcPr>
          <w:p w:rsidR="00260CF2" w:rsidRPr="00CA3A7A" w:rsidRDefault="00260CF2" w:rsidP="00260CF2">
            <w:pPr>
              <w:spacing w:before="40" w:after="40" w:line="220" w:lineRule="exact"/>
              <w:rPr>
                <w:rFonts w:eastAsia="Calibri"/>
                <w:sz w:val="18"/>
                <w:lang w:val="es-UY"/>
              </w:rPr>
            </w:pPr>
            <w:r w:rsidRPr="00CA3A7A">
              <w:rPr>
                <w:sz w:val="18"/>
                <w:lang w:val="es-UY" w:eastAsia="es-UY"/>
              </w:rPr>
              <w:t>2017</w:t>
            </w:r>
          </w:p>
        </w:tc>
        <w:tc>
          <w:tcPr>
            <w:tcW w:w="1835" w:type="dxa"/>
            <w:tcBorders>
              <w:bottom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71</w:t>
            </w:r>
          </w:p>
        </w:tc>
        <w:tc>
          <w:tcPr>
            <w:tcW w:w="1835" w:type="dxa"/>
            <w:tcBorders>
              <w:bottom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sz w:val="18"/>
                <w:lang w:val="es-UY" w:eastAsia="es-UY"/>
              </w:rPr>
              <w:t>0</w:t>
            </w:r>
          </w:p>
        </w:tc>
        <w:tc>
          <w:tcPr>
            <w:tcW w:w="1865" w:type="dxa"/>
            <w:tcBorders>
              <w:bottom w:val="single" w:sz="12" w:space="0" w:color="auto"/>
            </w:tcBorders>
            <w:shd w:val="clear" w:color="auto" w:fill="auto"/>
            <w:vAlign w:val="bottom"/>
          </w:tcPr>
          <w:p w:rsidR="00260CF2" w:rsidRPr="00CA3A7A" w:rsidRDefault="00260CF2" w:rsidP="00260CF2">
            <w:pPr>
              <w:spacing w:before="40" w:after="40" w:line="220" w:lineRule="exact"/>
              <w:jc w:val="right"/>
              <w:rPr>
                <w:rFonts w:eastAsia="Calibri"/>
                <w:sz w:val="18"/>
                <w:lang w:val="es-UY"/>
              </w:rPr>
            </w:pPr>
            <w:r w:rsidRPr="00CA3A7A">
              <w:rPr>
                <w:b/>
                <w:bCs/>
                <w:sz w:val="18"/>
                <w:lang w:val="es-UY" w:eastAsia="es-UY"/>
              </w:rPr>
              <w:t>71</w:t>
            </w:r>
          </w:p>
        </w:tc>
      </w:tr>
    </w:tbl>
    <w:p w:rsidR="00596826" w:rsidRPr="00DE2A76" w:rsidRDefault="00596826" w:rsidP="00260CF2">
      <w:pPr>
        <w:pStyle w:val="SingleTxtG"/>
        <w:spacing w:before="120" w:after="240"/>
        <w:ind w:firstLine="170"/>
        <w:jc w:val="left"/>
        <w:rPr>
          <w:rFonts w:eastAsia="Calibri"/>
          <w:noProof/>
          <w:szCs w:val="18"/>
          <w:lang w:val="fr-FR"/>
        </w:rPr>
      </w:pPr>
      <w:r>
        <w:rPr>
          <w:rFonts w:eastAsia="Calibri"/>
          <w:i/>
          <w:iCs/>
          <w:noProof/>
          <w:sz w:val="18"/>
          <w:szCs w:val="18"/>
          <w:lang w:val="fr-FR"/>
        </w:rPr>
        <w:t>Source </w:t>
      </w:r>
      <w:r w:rsidRPr="00691AD9">
        <w:rPr>
          <w:rFonts w:eastAsia="Calibri"/>
          <w:iCs/>
          <w:noProof/>
          <w:sz w:val="18"/>
          <w:szCs w:val="18"/>
          <w:lang w:val="fr-FR"/>
        </w:rPr>
        <w:t>:</w:t>
      </w:r>
      <w:r w:rsidRPr="00DE2A76">
        <w:rPr>
          <w:rFonts w:eastAsia="Calibri"/>
          <w:noProof/>
          <w:sz w:val="18"/>
          <w:szCs w:val="18"/>
          <w:lang w:val="fr-FR"/>
        </w:rPr>
        <w:t xml:space="preserve"> </w:t>
      </w:r>
      <w:r w:rsidRPr="00DE2A76">
        <w:rPr>
          <w:rFonts w:eastAsia="Calibri"/>
          <w:iCs/>
          <w:noProof/>
          <w:sz w:val="18"/>
          <w:szCs w:val="18"/>
          <w:lang w:val="fr-FR"/>
        </w:rPr>
        <w:t>S</w:t>
      </w:r>
      <w:r>
        <w:rPr>
          <w:rFonts w:eastAsia="Calibri"/>
          <w:iCs/>
          <w:noProof/>
          <w:sz w:val="18"/>
          <w:szCs w:val="18"/>
          <w:lang w:val="fr-FR"/>
        </w:rPr>
        <w:t>ystème d</w:t>
      </w:r>
      <w:r w:rsidR="00607CA3">
        <w:rPr>
          <w:rFonts w:eastAsia="Calibri"/>
          <w:iCs/>
          <w:noProof/>
          <w:sz w:val="18"/>
          <w:szCs w:val="18"/>
          <w:lang w:val="fr-FR"/>
        </w:rPr>
        <w:t>’</w:t>
      </w:r>
      <w:r>
        <w:rPr>
          <w:rFonts w:eastAsia="Calibri"/>
          <w:iCs/>
          <w:noProof/>
          <w:sz w:val="18"/>
          <w:szCs w:val="18"/>
          <w:lang w:val="fr-FR"/>
        </w:rPr>
        <w:t>information sur les questions de genre de l</w:t>
      </w:r>
      <w:r w:rsidR="00607CA3">
        <w:rPr>
          <w:noProof/>
          <w:sz w:val="18"/>
          <w:szCs w:val="18"/>
          <w:lang w:val="fr-FR"/>
        </w:rPr>
        <w:t>’</w:t>
      </w:r>
      <w:r w:rsidRPr="0079510B">
        <w:rPr>
          <w:noProof/>
          <w:sz w:val="18"/>
          <w:szCs w:val="18"/>
          <w:lang w:val="fr-FR"/>
        </w:rPr>
        <w:t>Institut national des femmes du Ministère du développement social</w:t>
      </w:r>
      <w:r>
        <w:rPr>
          <w:rFonts w:eastAsia="Calibri"/>
          <w:iCs/>
          <w:noProof/>
          <w:sz w:val="18"/>
          <w:szCs w:val="18"/>
          <w:lang w:val="fr-FR"/>
        </w:rPr>
        <w:t>, à partir des registres administratifs</w:t>
      </w:r>
      <w:r w:rsidRPr="00DE2A76">
        <w:rPr>
          <w:rFonts w:eastAsia="Calibri"/>
          <w:noProof/>
          <w:sz w:val="18"/>
          <w:szCs w:val="18"/>
          <w:lang w:val="fr-FR"/>
        </w:rPr>
        <w:t xml:space="preserve"> </w:t>
      </w:r>
      <w:r>
        <w:rPr>
          <w:rFonts w:eastAsia="Calibri"/>
          <w:noProof/>
          <w:sz w:val="18"/>
          <w:szCs w:val="18"/>
          <w:lang w:val="fr-FR"/>
        </w:rPr>
        <w:t xml:space="preserve">du </w:t>
      </w:r>
      <w:r w:rsidRPr="00D83B50">
        <w:rPr>
          <w:rFonts w:eastAsia="Calibri"/>
          <w:noProof/>
          <w:sz w:val="18"/>
          <w:szCs w:val="18"/>
          <w:lang w:val="fr-FR"/>
        </w:rPr>
        <w:t>système de riposte à la violence fondée sur le genre</w:t>
      </w:r>
      <w:r w:rsidRPr="00DE2A76">
        <w:rPr>
          <w:rFonts w:eastAsia="Calibri"/>
          <w:noProof/>
          <w:sz w:val="18"/>
          <w:szCs w:val="18"/>
          <w:lang w:val="fr-FR"/>
        </w:rPr>
        <w:t>.</w:t>
      </w:r>
    </w:p>
    <w:p w:rsidR="00596826" w:rsidRPr="00DE2A76" w:rsidRDefault="00596826" w:rsidP="00260CF2">
      <w:pPr>
        <w:pStyle w:val="H23G"/>
        <w:rPr>
          <w:i/>
          <w:noProof/>
          <w:lang w:val="fr-FR"/>
        </w:rPr>
      </w:pPr>
      <w:r w:rsidRPr="00DE2A76">
        <w:rPr>
          <w:noProof/>
          <w:lang w:val="fr-FR"/>
        </w:rPr>
        <w:tab/>
      </w:r>
      <w:r w:rsidR="00260CF2">
        <w:rPr>
          <w:noProof/>
          <w:lang w:val="fr-FR"/>
        </w:rPr>
        <w:tab/>
      </w:r>
      <w:r>
        <w:rPr>
          <w:noProof/>
          <w:lang w:val="fr-FR"/>
        </w:rPr>
        <w:t>Répartition en pourcentage, par tranche d</w:t>
      </w:r>
      <w:r w:rsidR="00607CA3">
        <w:rPr>
          <w:noProof/>
          <w:lang w:val="fr-FR"/>
        </w:rPr>
        <w:t>’</w:t>
      </w:r>
      <w:r>
        <w:rPr>
          <w:noProof/>
          <w:lang w:val="fr-FR"/>
        </w:rPr>
        <w:t>âge, de</w:t>
      </w:r>
      <w:r w:rsidRPr="00DE2A76">
        <w:rPr>
          <w:noProof/>
          <w:lang w:val="fr-FR"/>
        </w:rPr>
        <w:t xml:space="preserve">s </w:t>
      </w:r>
      <w:r>
        <w:rPr>
          <w:noProof/>
          <w:lang w:val="fr-FR"/>
        </w:rPr>
        <w:t xml:space="preserve">femmes ayant eu recours au </w:t>
      </w:r>
      <w:r w:rsidRPr="00D83B50">
        <w:rPr>
          <w:noProof/>
          <w:lang w:val="fr-FR"/>
        </w:rPr>
        <w:t>Service de prise en charge des femmes victimes de traite à des fins d</w:t>
      </w:r>
      <w:r w:rsidR="00607CA3">
        <w:rPr>
          <w:noProof/>
          <w:lang w:val="fr-FR"/>
        </w:rPr>
        <w:t>’</w:t>
      </w:r>
      <w:r w:rsidRPr="00D83B50">
        <w:rPr>
          <w:noProof/>
          <w:lang w:val="fr-FR"/>
        </w:rPr>
        <w:t>exploitation sexuelle.</w:t>
      </w:r>
      <w:r w:rsidRPr="00DE2A76">
        <w:rPr>
          <w:noProof/>
          <w:lang w:val="fr-FR"/>
        </w:rPr>
        <w:t xml:space="preserve"> </w:t>
      </w:r>
      <w:r>
        <w:rPr>
          <w:noProof/>
          <w:lang w:val="fr-FR"/>
        </w:rPr>
        <w:t>Ensemble du pays</w:t>
      </w:r>
      <w:r w:rsidRPr="00DE2A76">
        <w:rPr>
          <w:noProof/>
          <w:lang w:val="fr-FR"/>
        </w:rPr>
        <w:t>, 2014-2017</w:t>
      </w:r>
    </w:p>
    <w:tbl>
      <w:tblPr>
        <w:tblW w:w="7370" w:type="dxa"/>
        <w:tblInd w:w="1134" w:type="dxa"/>
        <w:tblLayout w:type="fixed"/>
        <w:tblCellMar>
          <w:left w:w="0" w:type="dxa"/>
          <w:right w:w="0" w:type="dxa"/>
        </w:tblCellMar>
        <w:tblLook w:val="0000" w:firstRow="0" w:lastRow="0" w:firstColumn="0" w:lastColumn="0" w:noHBand="0" w:noVBand="0"/>
      </w:tblPr>
      <w:tblGrid>
        <w:gridCol w:w="4488"/>
        <w:gridCol w:w="2882"/>
      </w:tblGrid>
      <w:tr w:rsidR="00403A38" w:rsidRPr="00DE2A76" w:rsidTr="00403A38">
        <w:trPr>
          <w:tblHeader/>
        </w:trPr>
        <w:tc>
          <w:tcPr>
            <w:tcW w:w="4488" w:type="dxa"/>
            <w:tcBorders>
              <w:top w:val="single" w:sz="12" w:space="0" w:color="auto"/>
            </w:tcBorders>
            <w:shd w:val="clear" w:color="auto" w:fill="auto"/>
            <w:vAlign w:val="bottom"/>
          </w:tcPr>
          <w:p w:rsidR="00403A38" w:rsidRPr="00DE2A76" w:rsidRDefault="00403A38" w:rsidP="00403A38">
            <w:pPr>
              <w:spacing w:before="40" w:after="40" w:line="220" w:lineRule="exact"/>
              <w:rPr>
                <w:noProof/>
                <w:sz w:val="18"/>
                <w:lang w:val="fr-FR" w:eastAsia="es-UY"/>
              </w:rPr>
            </w:pPr>
            <w:r>
              <w:rPr>
                <w:noProof/>
                <w:sz w:val="18"/>
                <w:lang w:val="fr-FR" w:eastAsia="es-UY"/>
              </w:rPr>
              <w:t xml:space="preserve">Moins de </w:t>
            </w:r>
            <w:r w:rsidRPr="00DE2A76">
              <w:rPr>
                <w:noProof/>
                <w:sz w:val="18"/>
                <w:lang w:val="fr-FR" w:eastAsia="es-UY"/>
              </w:rPr>
              <w:t>18</w:t>
            </w:r>
            <w:r>
              <w:rPr>
                <w:noProof/>
                <w:sz w:val="18"/>
                <w:lang w:val="fr-FR" w:eastAsia="es-UY"/>
              </w:rPr>
              <w:t xml:space="preserve"> ans</w:t>
            </w:r>
          </w:p>
        </w:tc>
        <w:tc>
          <w:tcPr>
            <w:tcW w:w="2882" w:type="dxa"/>
            <w:tcBorders>
              <w:top w:val="single" w:sz="12" w:space="0" w:color="auto"/>
            </w:tcBorders>
            <w:vAlign w:val="bottom"/>
          </w:tcPr>
          <w:p w:rsidR="00403A38" w:rsidRPr="00CE461D" w:rsidRDefault="00403A38" w:rsidP="00403A38">
            <w:pPr>
              <w:spacing w:before="40" w:after="40" w:line="220" w:lineRule="exact"/>
              <w:jc w:val="right"/>
              <w:rPr>
                <w:sz w:val="18"/>
                <w:lang w:val="es-UY" w:eastAsia="es-UY"/>
              </w:rPr>
            </w:pPr>
            <w:r w:rsidRPr="00CE461D">
              <w:rPr>
                <w:sz w:val="18"/>
                <w:lang w:val="es-UY" w:eastAsia="es-UY"/>
              </w:rPr>
              <w:t>2 %</w:t>
            </w:r>
          </w:p>
        </w:tc>
      </w:tr>
      <w:tr w:rsidR="00403A38" w:rsidRPr="00DE2A76" w:rsidTr="00403A38">
        <w:tc>
          <w:tcPr>
            <w:tcW w:w="4488" w:type="dxa"/>
            <w:shd w:val="clear" w:color="auto" w:fill="auto"/>
          </w:tcPr>
          <w:p w:rsidR="00403A38" w:rsidRPr="00DE2A76" w:rsidRDefault="00403A38" w:rsidP="00403A38">
            <w:pPr>
              <w:spacing w:before="40" w:after="40" w:line="220" w:lineRule="exact"/>
              <w:rPr>
                <w:rFonts w:eastAsia="Calibri"/>
                <w:noProof/>
                <w:sz w:val="18"/>
                <w:lang w:val="fr-FR"/>
              </w:rPr>
            </w:pPr>
            <w:r w:rsidRPr="00DE2A76">
              <w:rPr>
                <w:noProof/>
                <w:sz w:val="18"/>
                <w:lang w:val="fr-FR" w:eastAsia="es-UY"/>
              </w:rPr>
              <w:t xml:space="preserve">Entre 18 </w:t>
            </w:r>
            <w:r>
              <w:rPr>
                <w:noProof/>
                <w:sz w:val="18"/>
                <w:lang w:val="fr-FR" w:eastAsia="es-UY"/>
              </w:rPr>
              <w:t>et</w:t>
            </w:r>
            <w:r w:rsidRPr="00DE2A76">
              <w:rPr>
                <w:noProof/>
                <w:sz w:val="18"/>
                <w:lang w:val="fr-FR" w:eastAsia="es-UY"/>
              </w:rPr>
              <w:t xml:space="preserve"> 29 a</w:t>
            </w:r>
            <w:r>
              <w:rPr>
                <w:noProof/>
                <w:sz w:val="18"/>
                <w:lang w:val="fr-FR" w:eastAsia="es-UY"/>
              </w:rPr>
              <w:t>n</w:t>
            </w:r>
            <w:r w:rsidRPr="00DE2A76">
              <w:rPr>
                <w:noProof/>
                <w:sz w:val="18"/>
                <w:lang w:val="fr-FR" w:eastAsia="es-UY"/>
              </w:rPr>
              <w:t>s</w:t>
            </w:r>
          </w:p>
        </w:tc>
        <w:tc>
          <w:tcPr>
            <w:tcW w:w="2882" w:type="dxa"/>
            <w:vAlign w:val="bottom"/>
          </w:tcPr>
          <w:p w:rsidR="00403A38" w:rsidRPr="00CA3A7A" w:rsidRDefault="00403A38" w:rsidP="00403A38">
            <w:pPr>
              <w:spacing w:before="40" w:after="40" w:line="220" w:lineRule="exact"/>
              <w:jc w:val="right"/>
              <w:rPr>
                <w:rFonts w:eastAsia="Calibri"/>
                <w:sz w:val="18"/>
                <w:lang w:val="es-UY"/>
              </w:rPr>
            </w:pPr>
            <w:r w:rsidRPr="00CA3A7A">
              <w:rPr>
                <w:sz w:val="18"/>
                <w:lang w:val="es-UY" w:eastAsia="es-UY"/>
              </w:rPr>
              <w:t>50</w:t>
            </w:r>
            <w:r>
              <w:rPr>
                <w:sz w:val="18"/>
                <w:lang w:val="es-UY" w:eastAsia="es-UY"/>
              </w:rPr>
              <w:t> </w:t>
            </w:r>
            <w:r w:rsidRPr="00CA3A7A">
              <w:rPr>
                <w:sz w:val="18"/>
                <w:lang w:val="es-UY" w:eastAsia="es-UY"/>
              </w:rPr>
              <w:t>%</w:t>
            </w:r>
          </w:p>
        </w:tc>
      </w:tr>
      <w:tr w:rsidR="00403A38" w:rsidRPr="00DE2A76" w:rsidTr="00403A38">
        <w:tc>
          <w:tcPr>
            <w:tcW w:w="4488" w:type="dxa"/>
            <w:shd w:val="clear" w:color="auto" w:fill="auto"/>
          </w:tcPr>
          <w:p w:rsidR="00403A38" w:rsidRPr="00DE2A76" w:rsidRDefault="00403A38" w:rsidP="00403A38">
            <w:pPr>
              <w:spacing w:before="40" w:after="40" w:line="220" w:lineRule="exact"/>
              <w:rPr>
                <w:rFonts w:eastAsia="Calibri"/>
                <w:noProof/>
                <w:sz w:val="18"/>
                <w:lang w:val="fr-FR"/>
              </w:rPr>
            </w:pPr>
            <w:r>
              <w:rPr>
                <w:noProof/>
                <w:sz w:val="18"/>
                <w:lang w:val="fr-FR" w:eastAsia="es-UY"/>
              </w:rPr>
              <w:t>Entre 30 et</w:t>
            </w:r>
            <w:r w:rsidRPr="00DE2A76">
              <w:rPr>
                <w:noProof/>
                <w:sz w:val="18"/>
                <w:lang w:val="fr-FR" w:eastAsia="es-UY"/>
              </w:rPr>
              <w:t xml:space="preserve"> 49 a</w:t>
            </w:r>
            <w:r>
              <w:rPr>
                <w:noProof/>
                <w:sz w:val="18"/>
                <w:lang w:val="fr-FR" w:eastAsia="es-UY"/>
              </w:rPr>
              <w:t>n</w:t>
            </w:r>
            <w:r w:rsidRPr="00DE2A76">
              <w:rPr>
                <w:noProof/>
                <w:sz w:val="18"/>
                <w:lang w:val="fr-FR" w:eastAsia="es-UY"/>
              </w:rPr>
              <w:t>s</w:t>
            </w:r>
          </w:p>
        </w:tc>
        <w:tc>
          <w:tcPr>
            <w:tcW w:w="2882" w:type="dxa"/>
            <w:vAlign w:val="bottom"/>
          </w:tcPr>
          <w:p w:rsidR="00403A38" w:rsidRPr="00CA3A7A" w:rsidRDefault="00403A38" w:rsidP="00403A38">
            <w:pPr>
              <w:spacing w:before="40" w:after="40" w:line="220" w:lineRule="exact"/>
              <w:jc w:val="right"/>
              <w:rPr>
                <w:rFonts w:eastAsia="Calibri"/>
                <w:sz w:val="18"/>
                <w:lang w:val="es-UY"/>
              </w:rPr>
            </w:pPr>
            <w:r w:rsidRPr="00CA3A7A">
              <w:rPr>
                <w:sz w:val="18"/>
                <w:lang w:val="es-UY" w:eastAsia="es-UY"/>
              </w:rPr>
              <w:t>43</w:t>
            </w:r>
            <w:r>
              <w:rPr>
                <w:sz w:val="18"/>
                <w:lang w:val="es-UY" w:eastAsia="es-UY"/>
              </w:rPr>
              <w:t> </w:t>
            </w:r>
            <w:r w:rsidRPr="00CA3A7A">
              <w:rPr>
                <w:sz w:val="18"/>
                <w:lang w:val="es-UY" w:eastAsia="es-UY"/>
              </w:rPr>
              <w:t>%</w:t>
            </w:r>
          </w:p>
        </w:tc>
      </w:tr>
      <w:tr w:rsidR="00403A38" w:rsidRPr="00DE2A76" w:rsidTr="00403A38">
        <w:tc>
          <w:tcPr>
            <w:tcW w:w="4488" w:type="dxa"/>
            <w:tcBorders>
              <w:bottom w:val="single" w:sz="4" w:space="0" w:color="auto"/>
            </w:tcBorders>
            <w:shd w:val="clear" w:color="auto" w:fill="auto"/>
          </w:tcPr>
          <w:p w:rsidR="00403A38" w:rsidRPr="00DE2A76" w:rsidRDefault="00403A38" w:rsidP="00403A38">
            <w:pPr>
              <w:spacing w:before="40" w:after="40" w:line="220" w:lineRule="exact"/>
              <w:rPr>
                <w:rFonts w:eastAsia="Calibri"/>
                <w:noProof/>
                <w:sz w:val="18"/>
                <w:lang w:val="fr-FR"/>
              </w:rPr>
            </w:pPr>
            <w:r w:rsidRPr="00DE2A76">
              <w:rPr>
                <w:noProof/>
                <w:sz w:val="18"/>
                <w:lang w:val="fr-FR" w:eastAsia="es-UY"/>
              </w:rPr>
              <w:t xml:space="preserve">50 </w:t>
            </w:r>
            <w:r>
              <w:rPr>
                <w:noProof/>
                <w:sz w:val="18"/>
                <w:lang w:val="fr-FR" w:eastAsia="es-UY"/>
              </w:rPr>
              <w:t>ans et plus</w:t>
            </w:r>
          </w:p>
        </w:tc>
        <w:tc>
          <w:tcPr>
            <w:tcW w:w="2882" w:type="dxa"/>
            <w:tcBorders>
              <w:bottom w:val="single" w:sz="4" w:space="0" w:color="auto"/>
            </w:tcBorders>
            <w:vAlign w:val="bottom"/>
          </w:tcPr>
          <w:p w:rsidR="00403A38" w:rsidRPr="00CA3A7A" w:rsidRDefault="00403A38" w:rsidP="00403A38">
            <w:pPr>
              <w:spacing w:before="40" w:after="40" w:line="220" w:lineRule="exact"/>
              <w:jc w:val="right"/>
              <w:rPr>
                <w:rFonts w:eastAsia="Calibri"/>
                <w:sz w:val="18"/>
                <w:lang w:val="es-UY"/>
              </w:rPr>
            </w:pPr>
            <w:r w:rsidRPr="00CA3A7A">
              <w:rPr>
                <w:sz w:val="18"/>
                <w:lang w:val="es-UY" w:eastAsia="es-UY"/>
              </w:rPr>
              <w:t>5</w:t>
            </w:r>
            <w:r>
              <w:rPr>
                <w:sz w:val="18"/>
                <w:lang w:val="es-UY" w:eastAsia="es-UY"/>
              </w:rPr>
              <w:t> </w:t>
            </w:r>
            <w:r w:rsidRPr="00CA3A7A">
              <w:rPr>
                <w:sz w:val="18"/>
                <w:lang w:val="es-UY" w:eastAsia="es-UY"/>
              </w:rPr>
              <w:t>%</w:t>
            </w:r>
          </w:p>
        </w:tc>
      </w:tr>
      <w:tr w:rsidR="00403A38" w:rsidRPr="00DE2A76" w:rsidTr="00403A38">
        <w:tc>
          <w:tcPr>
            <w:tcW w:w="4488" w:type="dxa"/>
            <w:tcBorders>
              <w:top w:val="single" w:sz="4" w:space="0" w:color="auto"/>
              <w:bottom w:val="single" w:sz="12" w:space="0" w:color="auto"/>
            </w:tcBorders>
            <w:shd w:val="clear" w:color="auto" w:fill="auto"/>
          </w:tcPr>
          <w:p w:rsidR="00403A38" w:rsidRPr="00DE2A76" w:rsidRDefault="00403A38" w:rsidP="00403A38">
            <w:pPr>
              <w:spacing w:before="80" w:after="80" w:line="220" w:lineRule="exact"/>
              <w:ind w:left="284"/>
              <w:rPr>
                <w:rFonts w:eastAsia="Calibri"/>
                <w:b/>
                <w:bCs/>
                <w:noProof/>
                <w:sz w:val="18"/>
                <w:lang w:val="fr-FR"/>
              </w:rPr>
            </w:pPr>
            <w:r>
              <w:rPr>
                <w:rFonts w:eastAsia="Calibri"/>
                <w:b/>
                <w:bCs/>
                <w:noProof/>
                <w:sz w:val="18"/>
                <w:lang w:val="fr-FR"/>
              </w:rPr>
              <w:t>Total</w:t>
            </w:r>
          </w:p>
        </w:tc>
        <w:tc>
          <w:tcPr>
            <w:tcW w:w="2882" w:type="dxa"/>
            <w:tcBorders>
              <w:top w:val="single" w:sz="4" w:space="0" w:color="auto"/>
              <w:bottom w:val="single" w:sz="12" w:space="0" w:color="auto"/>
            </w:tcBorders>
            <w:vAlign w:val="bottom"/>
          </w:tcPr>
          <w:p w:rsidR="00403A38" w:rsidRPr="00CE461D" w:rsidRDefault="00403A38" w:rsidP="00403A38">
            <w:pPr>
              <w:spacing w:before="80" w:after="80" w:line="220" w:lineRule="exact"/>
              <w:jc w:val="right"/>
              <w:rPr>
                <w:rFonts w:eastAsia="Calibri"/>
                <w:b/>
                <w:bCs/>
                <w:sz w:val="18"/>
                <w:lang w:val="es-UY"/>
              </w:rPr>
            </w:pPr>
            <w:r w:rsidRPr="00CE461D">
              <w:rPr>
                <w:b/>
                <w:bCs/>
                <w:sz w:val="18"/>
                <w:lang w:val="es-UY" w:eastAsia="es-UY"/>
              </w:rPr>
              <w:t>100 %</w:t>
            </w:r>
          </w:p>
        </w:tc>
      </w:tr>
    </w:tbl>
    <w:p w:rsidR="00596826" w:rsidRPr="00DE2A76" w:rsidRDefault="00596826" w:rsidP="00596826">
      <w:pPr>
        <w:pStyle w:val="SingleTxtG"/>
        <w:spacing w:before="120" w:after="240"/>
        <w:ind w:firstLine="170"/>
        <w:jc w:val="left"/>
        <w:rPr>
          <w:rFonts w:eastAsia="Calibri"/>
          <w:noProof/>
          <w:szCs w:val="18"/>
          <w:lang w:val="fr-FR"/>
        </w:rPr>
      </w:pPr>
      <w:r>
        <w:rPr>
          <w:rFonts w:eastAsia="Calibri"/>
          <w:i/>
          <w:iCs/>
          <w:noProof/>
          <w:sz w:val="18"/>
          <w:szCs w:val="18"/>
          <w:lang w:val="fr-FR"/>
        </w:rPr>
        <w:lastRenderedPageBreak/>
        <w:t>Source </w:t>
      </w:r>
      <w:r w:rsidRPr="00691AD9">
        <w:rPr>
          <w:rFonts w:eastAsia="Calibri"/>
          <w:iCs/>
          <w:noProof/>
          <w:sz w:val="18"/>
          <w:szCs w:val="18"/>
          <w:lang w:val="fr-FR"/>
        </w:rPr>
        <w:t>:</w:t>
      </w:r>
      <w:r w:rsidRPr="00DE2A76">
        <w:rPr>
          <w:rFonts w:eastAsia="Calibri"/>
          <w:noProof/>
          <w:sz w:val="18"/>
          <w:szCs w:val="18"/>
          <w:lang w:val="fr-FR"/>
        </w:rPr>
        <w:t xml:space="preserve"> </w:t>
      </w:r>
      <w:r w:rsidRPr="00DE2A76">
        <w:rPr>
          <w:rFonts w:eastAsia="Calibri"/>
          <w:iCs/>
          <w:noProof/>
          <w:sz w:val="18"/>
          <w:szCs w:val="18"/>
          <w:lang w:val="fr-FR"/>
        </w:rPr>
        <w:t>S</w:t>
      </w:r>
      <w:r>
        <w:rPr>
          <w:rFonts w:eastAsia="Calibri"/>
          <w:iCs/>
          <w:noProof/>
          <w:sz w:val="18"/>
          <w:szCs w:val="18"/>
          <w:lang w:val="fr-FR"/>
        </w:rPr>
        <w:t>ystème d</w:t>
      </w:r>
      <w:r w:rsidR="00607CA3">
        <w:rPr>
          <w:rFonts w:eastAsia="Calibri"/>
          <w:iCs/>
          <w:noProof/>
          <w:sz w:val="18"/>
          <w:szCs w:val="18"/>
          <w:lang w:val="fr-FR"/>
        </w:rPr>
        <w:t>’</w:t>
      </w:r>
      <w:r>
        <w:rPr>
          <w:rFonts w:eastAsia="Calibri"/>
          <w:iCs/>
          <w:noProof/>
          <w:sz w:val="18"/>
          <w:szCs w:val="18"/>
          <w:lang w:val="fr-FR"/>
        </w:rPr>
        <w:t>information sur les questions de genre de l</w:t>
      </w:r>
      <w:r w:rsidR="00607CA3">
        <w:rPr>
          <w:noProof/>
          <w:sz w:val="18"/>
          <w:szCs w:val="18"/>
          <w:lang w:val="fr-FR"/>
        </w:rPr>
        <w:t>’</w:t>
      </w:r>
      <w:r w:rsidRPr="0079510B">
        <w:rPr>
          <w:noProof/>
          <w:sz w:val="18"/>
          <w:szCs w:val="18"/>
          <w:lang w:val="fr-FR"/>
        </w:rPr>
        <w:t>Institut national des femmes du Ministère du développement social</w:t>
      </w:r>
      <w:r>
        <w:rPr>
          <w:rFonts w:eastAsia="Calibri"/>
          <w:iCs/>
          <w:noProof/>
          <w:sz w:val="18"/>
          <w:szCs w:val="18"/>
          <w:lang w:val="fr-FR"/>
        </w:rPr>
        <w:t>, à partir des registres administratifs</w:t>
      </w:r>
      <w:r w:rsidRPr="00DE2A76">
        <w:rPr>
          <w:rFonts w:eastAsia="Calibri"/>
          <w:noProof/>
          <w:sz w:val="18"/>
          <w:szCs w:val="18"/>
          <w:lang w:val="fr-FR"/>
        </w:rPr>
        <w:t xml:space="preserve"> </w:t>
      </w:r>
      <w:r>
        <w:rPr>
          <w:rFonts w:eastAsia="Calibri"/>
          <w:noProof/>
          <w:sz w:val="18"/>
          <w:szCs w:val="18"/>
          <w:lang w:val="fr-FR"/>
        </w:rPr>
        <w:t xml:space="preserve">du </w:t>
      </w:r>
      <w:r w:rsidRPr="00D83B50">
        <w:rPr>
          <w:rFonts w:eastAsia="Calibri"/>
          <w:noProof/>
          <w:sz w:val="18"/>
          <w:szCs w:val="18"/>
          <w:lang w:val="fr-FR"/>
        </w:rPr>
        <w:t>système de riposte à la violence fondée sur le genre</w:t>
      </w:r>
      <w:r w:rsidRPr="00DE2A76">
        <w:rPr>
          <w:rFonts w:eastAsia="Calibri"/>
          <w:noProof/>
          <w:sz w:val="18"/>
          <w:szCs w:val="18"/>
          <w:lang w:val="fr-FR"/>
        </w:rPr>
        <w:t>.</w:t>
      </w:r>
    </w:p>
    <w:p w:rsidR="00596826" w:rsidRPr="00DE2A76" w:rsidRDefault="00596826" w:rsidP="00403A38">
      <w:pPr>
        <w:pStyle w:val="H23G"/>
        <w:rPr>
          <w:i/>
          <w:noProof/>
          <w:lang w:val="fr-FR"/>
        </w:rPr>
      </w:pPr>
      <w:r w:rsidRPr="00DE2A76">
        <w:rPr>
          <w:noProof/>
          <w:lang w:val="fr-FR"/>
        </w:rPr>
        <w:tab/>
      </w:r>
      <w:r w:rsidR="00403A38">
        <w:rPr>
          <w:noProof/>
          <w:lang w:val="fr-FR"/>
        </w:rPr>
        <w:tab/>
      </w:r>
      <w:r>
        <w:rPr>
          <w:noProof/>
          <w:lang w:val="fr-FR"/>
        </w:rPr>
        <w:t>Répartition en pourcentage, par nationalité, de</w:t>
      </w:r>
      <w:r w:rsidRPr="00DE2A76">
        <w:rPr>
          <w:noProof/>
          <w:lang w:val="fr-FR"/>
        </w:rPr>
        <w:t xml:space="preserve">s </w:t>
      </w:r>
      <w:r>
        <w:rPr>
          <w:noProof/>
          <w:lang w:val="fr-FR"/>
        </w:rPr>
        <w:t xml:space="preserve">femmes ayant eu recours au </w:t>
      </w:r>
      <w:r w:rsidRPr="00D83B50">
        <w:rPr>
          <w:noProof/>
          <w:lang w:val="fr-FR"/>
        </w:rPr>
        <w:t>Service de prise en charge des femmes victimes de traite à des fins d</w:t>
      </w:r>
      <w:r w:rsidR="00607CA3">
        <w:rPr>
          <w:noProof/>
          <w:lang w:val="fr-FR"/>
        </w:rPr>
        <w:t>’</w:t>
      </w:r>
      <w:r w:rsidRPr="00D83B50">
        <w:rPr>
          <w:noProof/>
          <w:lang w:val="fr-FR"/>
        </w:rPr>
        <w:t>exploitation sexuelle</w:t>
      </w:r>
      <w:r w:rsidRPr="00DE2A76">
        <w:rPr>
          <w:noProof/>
          <w:lang w:val="fr-FR"/>
        </w:rPr>
        <w:t xml:space="preserve"> </w:t>
      </w:r>
      <w:r>
        <w:rPr>
          <w:noProof/>
          <w:lang w:val="fr-FR"/>
        </w:rPr>
        <w:t>Ensemble du pays</w:t>
      </w:r>
      <w:r w:rsidRPr="00DE2A76">
        <w:rPr>
          <w:noProof/>
          <w:lang w:val="fr-FR"/>
        </w:rPr>
        <w:t>, 2014-2017</w:t>
      </w:r>
      <w:r>
        <w:rPr>
          <w:noProof/>
          <w:lang w:val="fr-FR"/>
        </w:rP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4725"/>
        <w:gridCol w:w="2645"/>
      </w:tblGrid>
      <w:tr w:rsidR="00596826" w:rsidRPr="00403A38" w:rsidTr="00403A38">
        <w:tc>
          <w:tcPr>
            <w:tcW w:w="4725" w:type="dxa"/>
            <w:tcBorders>
              <w:top w:val="single" w:sz="12" w:space="0" w:color="auto"/>
            </w:tcBorders>
            <w:shd w:val="clear" w:color="auto" w:fill="auto"/>
          </w:tcPr>
          <w:p w:rsidR="00596826" w:rsidRPr="00403A38" w:rsidRDefault="00403A38" w:rsidP="00403A38">
            <w:pPr>
              <w:suppressAutoHyphens w:val="0"/>
              <w:spacing w:before="40" w:after="40" w:line="220" w:lineRule="exact"/>
              <w:rPr>
                <w:rFonts w:eastAsia="Calibri"/>
                <w:noProof/>
                <w:sz w:val="18"/>
                <w:szCs w:val="18"/>
                <w:lang w:val="fr-FR"/>
              </w:rPr>
            </w:pPr>
            <w:r w:rsidRPr="00403A38">
              <w:rPr>
                <w:noProof/>
                <w:sz w:val="18"/>
                <w:szCs w:val="18"/>
                <w:lang w:val="fr-FR" w:eastAsia="es-UY"/>
              </w:rPr>
              <w:t>Uruguay</w:t>
            </w:r>
          </w:p>
        </w:tc>
        <w:tc>
          <w:tcPr>
            <w:tcW w:w="2645" w:type="dxa"/>
            <w:tcBorders>
              <w:top w:val="single" w:sz="12" w:space="0" w:color="auto"/>
            </w:tcBorders>
            <w:shd w:val="clear" w:color="auto" w:fill="auto"/>
            <w:vAlign w:val="bottom"/>
          </w:tcPr>
          <w:p w:rsidR="00596826" w:rsidRPr="00403A38" w:rsidRDefault="00403A38" w:rsidP="00403A38">
            <w:pPr>
              <w:spacing w:before="40" w:after="40" w:line="220" w:lineRule="exact"/>
              <w:jc w:val="right"/>
              <w:rPr>
                <w:rFonts w:eastAsia="Calibri"/>
                <w:noProof/>
                <w:sz w:val="18"/>
                <w:szCs w:val="18"/>
                <w:lang w:val="fr-FR"/>
              </w:rPr>
            </w:pPr>
            <w:r w:rsidRPr="00403A38">
              <w:rPr>
                <w:sz w:val="18"/>
                <w:lang w:val="es-UY" w:eastAsia="es-UY"/>
              </w:rPr>
              <w:t>22</w:t>
            </w:r>
            <w:r w:rsidRPr="00403A38">
              <w:rPr>
                <w:sz w:val="18"/>
                <w:szCs w:val="18"/>
                <w:lang w:val="es-UY" w:eastAsia="es-UY"/>
              </w:rPr>
              <w:t> %</w:t>
            </w:r>
          </w:p>
        </w:tc>
      </w:tr>
      <w:tr w:rsidR="00403A38" w:rsidRPr="00403A38" w:rsidTr="00332CC9">
        <w:tc>
          <w:tcPr>
            <w:tcW w:w="4725" w:type="dxa"/>
            <w:shd w:val="clear" w:color="auto" w:fill="auto"/>
          </w:tcPr>
          <w:p w:rsidR="00403A38" w:rsidRPr="00403A38" w:rsidRDefault="00403A38" w:rsidP="00403A38">
            <w:pPr>
              <w:suppressAutoHyphens w:val="0"/>
              <w:spacing w:before="40" w:after="40" w:line="220" w:lineRule="exact"/>
              <w:rPr>
                <w:noProof/>
                <w:sz w:val="18"/>
                <w:szCs w:val="18"/>
                <w:lang w:val="fr-FR" w:eastAsia="es-UY"/>
              </w:rPr>
            </w:pPr>
            <w:r w:rsidRPr="00403A38">
              <w:rPr>
                <w:noProof/>
                <w:sz w:val="18"/>
                <w:szCs w:val="18"/>
                <w:lang w:val="fr-FR" w:eastAsia="es-UY"/>
              </w:rPr>
              <w:t>République dominicaine</w:t>
            </w:r>
          </w:p>
        </w:tc>
        <w:tc>
          <w:tcPr>
            <w:tcW w:w="2645" w:type="dxa"/>
            <w:shd w:val="clear" w:color="auto" w:fill="auto"/>
          </w:tcPr>
          <w:p w:rsidR="00403A38" w:rsidRPr="00403A38" w:rsidRDefault="00403A38" w:rsidP="00403A38">
            <w:pPr>
              <w:spacing w:before="40" w:after="40" w:line="220" w:lineRule="exact"/>
              <w:jc w:val="right"/>
              <w:rPr>
                <w:sz w:val="18"/>
                <w:lang w:val="es-UY" w:eastAsia="es-UY"/>
              </w:rPr>
            </w:pPr>
            <w:r w:rsidRPr="00403A38">
              <w:rPr>
                <w:sz w:val="18"/>
                <w:lang w:val="es-UY" w:eastAsia="es-UY"/>
              </w:rPr>
              <w:t>66 %</w:t>
            </w:r>
          </w:p>
        </w:tc>
      </w:tr>
      <w:tr w:rsidR="00403A38" w:rsidRPr="00403A38" w:rsidTr="00332CC9">
        <w:tc>
          <w:tcPr>
            <w:tcW w:w="4725" w:type="dxa"/>
            <w:shd w:val="clear" w:color="auto" w:fill="auto"/>
          </w:tcPr>
          <w:p w:rsidR="00403A38" w:rsidRPr="00403A38" w:rsidRDefault="00403A38" w:rsidP="00403A38">
            <w:pPr>
              <w:suppressAutoHyphens w:val="0"/>
              <w:spacing w:before="40" w:after="40" w:line="220" w:lineRule="exact"/>
              <w:rPr>
                <w:rFonts w:eastAsia="Calibri"/>
                <w:noProof/>
                <w:sz w:val="18"/>
                <w:szCs w:val="18"/>
                <w:lang w:val="fr-FR"/>
              </w:rPr>
            </w:pPr>
            <w:r w:rsidRPr="00403A38">
              <w:rPr>
                <w:noProof/>
                <w:sz w:val="18"/>
                <w:szCs w:val="18"/>
                <w:lang w:val="fr-FR" w:eastAsia="es-UY"/>
              </w:rPr>
              <w:t>Brésil</w:t>
            </w:r>
          </w:p>
        </w:tc>
        <w:tc>
          <w:tcPr>
            <w:tcW w:w="2645" w:type="dxa"/>
            <w:shd w:val="clear" w:color="auto" w:fill="auto"/>
          </w:tcPr>
          <w:p w:rsidR="00403A38" w:rsidRPr="00403A38" w:rsidRDefault="00403A38" w:rsidP="00403A38">
            <w:pPr>
              <w:spacing w:before="40" w:after="40" w:line="220" w:lineRule="exact"/>
              <w:jc w:val="right"/>
              <w:rPr>
                <w:sz w:val="18"/>
                <w:lang w:val="es-UY" w:eastAsia="es-UY"/>
              </w:rPr>
            </w:pPr>
            <w:r w:rsidRPr="00403A38">
              <w:rPr>
                <w:sz w:val="18"/>
                <w:lang w:val="es-UY" w:eastAsia="es-UY"/>
              </w:rPr>
              <w:t>2 %</w:t>
            </w:r>
          </w:p>
        </w:tc>
      </w:tr>
      <w:tr w:rsidR="00403A38" w:rsidRPr="00403A38" w:rsidTr="00332CC9">
        <w:tc>
          <w:tcPr>
            <w:tcW w:w="4725" w:type="dxa"/>
            <w:shd w:val="clear" w:color="auto" w:fill="auto"/>
          </w:tcPr>
          <w:p w:rsidR="00403A38" w:rsidRPr="00403A38" w:rsidRDefault="00403A38" w:rsidP="00403A38">
            <w:pPr>
              <w:suppressAutoHyphens w:val="0"/>
              <w:spacing w:before="40" w:after="40" w:line="220" w:lineRule="exact"/>
              <w:rPr>
                <w:rFonts w:eastAsia="Calibri"/>
                <w:noProof/>
                <w:sz w:val="18"/>
                <w:szCs w:val="18"/>
                <w:lang w:val="fr-FR"/>
              </w:rPr>
            </w:pPr>
            <w:r w:rsidRPr="00403A38">
              <w:rPr>
                <w:noProof/>
                <w:sz w:val="18"/>
                <w:szCs w:val="18"/>
                <w:lang w:val="fr-FR" w:eastAsia="es-UY"/>
              </w:rPr>
              <w:t>Paraguay</w:t>
            </w:r>
          </w:p>
        </w:tc>
        <w:tc>
          <w:tcPr>
            <w:tcW w:w="2645" w:type="dxa"/>
            <w:shd w:val="clear" w:color="auto" w:fill="auto"/>
          </w:tcPr>
          <w:p w:rsidR="00403A38" w:rsidRPr="00403A38" w:rsidRDefault="00403A38" w:rsidP="00403A38">
            <w:pPr>
              <w:spacing w:before="40" w:after="40" w:line="220" w:lineRule="exact"/>
              <w:jc w:val="right"/>
              <w:rPr>
                <w:sz w:val="18"/>
                <w:lang w:val="es-UY" w:eastAsia="es-UY"/>
              </w:rPr>
            </w:pPr>
            <w:r w:rsidRPr="00403A38">
              <w:rPr>
                <w:sz w:val="18"/>
                <w:lang w:val="es-UY" w:eastAsia="es-UY"/>
              </w:rPr>
              <w:t>3 %</w:t>
            </w:r>
          </w:p>
        </w:tc>
      </w:tr>
      <w:tr w:rsidR="00403A38" w:rsidRPr="00403A38" w:rsidTr="00332CC9">
        <w:tc>
          <w:tcPr>
            <w:tcW w:w="4725" w:type="dxa"/>
            <w:shd w:val="clear" w:color="auto" w:fill="auto"/>
          </w:tcPr>
          <w:p w:rsidR="00403A38" w:rsidRPr="00403A38" w:rsidRDefault="00403A38" w:rsidP="00403A38">
            <w:pPr>
              <w:suppressAutoHyphens w:val="0"/>
              <w:spacing w:before="40" w:after="40" w:line="220" w:lineRule="exact"/>
              <w:rPr>
                <w:rFonts w:eastAsia="Calibri"/>
                <w:noProof/>
                <w:sz w:val="18"/>
                <w:szCs w:val="18"/>
                <w:lang w:val="fr-FR"/>
              </w:rPr>
            </w:pPr>
            <w:r w:rsidRPr="00403A38">
              <w:rPr>
                <w:noProof/>
                <w:sz w:val="18"/>
                <w:szCs w:val="18"/>
                <w:lang w:val="fr-FR" w:eastAsia="es-UY"/>
              </w:rPr>
              <w:t>Pérou</w:t>
            </w:r>
          </w:p>
        </w:tc>
        <w:tc>
          <w:tcPr>
            <w:tcW w:w="2645" w:type="dxa"/>
            <w:shd w:val="clear" w:color="auto" w:fill="auto"/>
          </w:tcPr>
          <w:p w:rsidR="00403A38" w:rsidRPr="00403A38" w:rsidRDefault="00403A38" w:rsidP="00403A38">
            <w:pPr>
              <w:spacing w:before="40" w:after="40" w:line="220" w:lineRule="exact"/>
              <w:jc w:val="right"/>
              <w:rPr>
                <w:sz w:val="18"/>
                <w:lang w:val="es-UY" w:eastAsia="es-UY"/>
              </w:rPr>
            </w:pPr>
            <w:r w:rsidRPr="00403A38">
              <w:rPr>
                <w:sz w:val="18"/>
                <w:lang w:val="es-UY" w:eastAsia="es-UY"/>
              </w:rPr>
              <w:t>3 %</w:t>
            </w:r>
          </w:p>
        </w:tc>
      </w:tr>
      <w:tr w:rsidR="00403A38" w:rsidRPr="00403A38" w:rsidTr="00403A38">
        <w:tc>
          <w:tcPr>
            <w:tcW w:w="4725" w:type="dxa"/>
            <w:tcBorders>
              <w:bottom w:val="single" w:sz="4" w:space="0" w:color="auto"/>
            </w:tcBorders>
            <w:shd w:val="clear" w:color="auto" w:fill="auto"/>
          </w:tcPr>
          <w:p w:rsidR="00403A38" w:rsidRPr="00403A38" w:rsidRDefault="00403A38" w:rsidP="00403A38">
            <w:pPr>
              <w:suppressAutoHyphens w:val="0"/>
              <w:spacing w:before="40" w:after="40" w:line="220" w:lineRule="exact"/>
              <w:rPr>
                <w:rFonts w:eastAsia="Calibri"/>
                <w:noProof/>
                <w:sz w:val="18"/>
                <w:szCs w:val="18"/>
                <w:lang w:val="fr-FR"/>
              </w:rPr>
            </w:pPr>
            <w:r w:rsidRPr="00403A38">
              <w:rPr>
                <w:noProof/>
                <w:sz w:val="18"/>
                <w:szCs w:val="18"/>
                <w:lang w:val="fr-FR" w:eastAsia="es-UY"/>
              </w:rPr>
              <w:t>Autres</w:t>
            </w:r>
          </w:p>
        </w:tc>
        <w:tc>
          <w:tcPr>
            <w:tcW w:w="2645" w:type="dxa"/>
            <w:tcBorders>
              <w:bottom w:val="single" w:sz="4" w:space="0" w:color="auto"/>
            </w:tcBorders>
            <w:shd w:val="clear" w:color="auto" w:fill="auto"/>
          </w:tcPr>
          <w:p w:rsidR="00403A38" w:rsidRPr="00403A38" w:rsidRDefault="00403A38" w:rsidP="00403A38">
            <w:pPr>
              <w:spacing w:before="40" w:after="40" w:line="220" w:lineRule="exact"/>
              <w:jc w:val="right"/>
              <w:rPr>
                <w:sz w:val="18"/>
                <w:lang w:val="es-UY" w:eastAsia="es-UY"/>
              </w:rPr>
            </w:pPr>
            <w:r w:rsidRPr="00403A38">
              <w:rPr>
                <w:sz w:val="18"/>
                <w:lang w:val="es-UY" w:eastAsia="es-UY"/>
              </w:rPr>
              <w:t>4 %</w:t>
            </w:r>
          </w:p>
        </w:tc>
      </w:tr>
      <w:tr w:rsidR="00403A38" w:rsidRPr="00403A38" w:rsidTr="00403A38">
        <w:tc>
          <w:tcPr>
            <w:tcW w:w="4725" w:type="dxa"/>
            <w:tcBorders>
              <w:top w:val="single" w:sz="4" w:space="0" w:color="auto"/>
              <w:bottom w:val="single" w:sz="12" w:space="0" w:color="auto"/>
            </w:tcBorders>
            <w:shd w:val="clear" w:color="auto" w:fill="auto"/>
          </w:tcPr>
          <w:p w:rsidR="00403A38" w:rsidRPr="00403A38" w:rsidRDefault="00403A38" w:rsidP="00403A38">
            <w:pPr>
              <w:spacing w:before="80" w:after="80" w:line="220" w:lineRule="exact"/>
              <w:ind w:left="284"/>
              <w:rPr>
                <w:rFonts w:eastAsia="Calibri"/>
                <w:b/>
                <w:bCs/>
                <w:noProof/>
                <w:sz w:val="18"/>
                <w:lang w:val="fr-FR"/>
              </w:rPr>
            </w:pPr>
            <w:r w:rsidRPr="00403A38">
              <w:rPr>
                <w:rFonts w:eastAsia="Calibri"/>
                <w:b/>
                <w:bCs/>
                <w:noProof/>
                <w:sz w:val="18"/>
                <w:lang w:val="fr-FR"/>
              </w:rPr>
              <w:t>Total</w:t>
            </w:r>
          </w:p>
        </w:tc>
        <w:tc>
          <w:tcPr>
            <w:tcW w:w="2645" w:type="dxa"/>
            <w:tcBorders>
              <w:top w:val="single" w:sz="4" w:space="0" w:color="auto"/>
              <w:bottom w:val="single" w:sz="12" w:space="0" w:color="auto"/>
            </w:tcBorders>
            <w:shd w:val="clear" w:color="auto" w:fill="auto"/>
          </w:tcPr>
          <w:p w:rsidR="00403A38" w:rsidRPr="00403A38" w:rsidRDefault="00403A38" w:rsidP="00403A38">
            <w:pPr>
              <w:spacing w:before="80" w:after="80" w:line="220" w:lineRule="exact"/>
              <w:ind w:left="284"/>
              <w:jc w:val="right"/>
              <w:rPr>
                <w:rFonts w:eastAsia="Calibri"/>
                <w:b/>
                <w:bCs/>
                <w:noProof/>
                <w:sz w:val="18"/>
                <w:lang w:val="fr-FR"/>
              </w:rPr>
            </w:pPr>
            <w:r w:rsidRPr="00403A38">
              <w:rPr>
                <w:rFonts w:eastAsia="Calibri"/>
                <w:b/>
                <w:bCs/>
                <w:noProof/>
                <w:sz w:val="18"/>
                <w:lang w:val="fr-FR"/>
              </w:rPr>
              <w:t>100 %</w:t>
            </w:r>
          </w:p>
        </w:tc>
      </w:tr>
    </w:tbl>
    <w:p w:rsidR="00596826" w:rsidRPr="00DE2A76" w:rsidRDefault="00596826" w:rsidP="00596826">
      <w:pPr>
        <w:pStyle w:val="SingleTxtG"/>
        <w:spacing w:before="240"/>
        <w:rPr>
          <w:rFonts w:eastAsia="Calibri"/>
          <w:noProof/>
          <w:lang w:val="fr-FR"/>
        </w:rPr>
      </w:pPr>
      <w:r>
        <w:rPr>
          <w:rFonts w:eastAsia="Calibri"/>
          <w:noProof/>
          <w:lang w:val="fr-FR"/>
        </w:rPr>
        <w:t>57.</w:t>
      </w:r>
      <w:r>
        <w:rPr>
          <w:rFonts w:eastAsia="Calibri"/>
          <w:noProof/>
          <w:lang w:val="fr-FR"/>
        </w:rPr>
        <w:tab/>
        <w:t>En 2017, une enquête sur des faits de traite à des fins d</w:t>
      </w:r>
      <w:r w:rsidR="00607CA3">
        <w:rPr>
          <w:rFonts w:eastAsia="Calibri"/>
          <w:noProof/>
          <w:lang w:val="fr-FR"/>
        </w:rPr>
        <w:t>’</w:t>
      </w:r>
      <w:r>
        <w:rPr>
          <w:rFonts w:eastAsia="Calibri"/>
          <w:noProof/>
          <w:lang w:val="fr-FR"/>
        </w:rPr>
        <w:t>exploitation sexuelle, appelée « opération Lumière rouge », a été menée en coordination avec l</w:t>
      </w:r>
      <w:r w:rsidR="00607CA3">
        <w:rPr>
          <w:rFonts w:eastAsia="Calibri"/>
          <w:noProof/>
          <w:lang w:val="fr-FR"/>
        </w:rPr>
        <w:t>’</w:t>
      </w:r>
      <w:r>
        <w:rPr>
          <w:rFonts w:eastAsia="Calibri"/>
          <w:noProof/>
          <w:lang w:val="fr-FR"/>
        </w:rPr>
        <w:t>Argentine</w:t>
      </w:r>
      <w:r w:rsidRPr="00DE2A76">
        <w:rPr>
          <w:rFonts w:eastAsia="Calibri"/>
          <w:noProof/>
          <w:lang w:val="fr-FR"/>
        </w:rPr>
        <w:t xml:space="preserve">. </w:t>
      </w:r>
      <w:r>
        <w:rPr>
          <w:rFonts w:eastAsia="Calibri"/>
          <w:noProof/>
          <w:lang w:val="fr-FR"/>
        </w:rPr>
        <w:t>Elle a abouti à la condamnation d</w:t>
      </w:r>
      <w:r w:rsidR="00607CA3">
        <w:rPr>
          <w:rFonts w:eastAsia="Calibri"/>
          <w:noProof/>
          <w:lang w:val="fr-FR"/>
        </w:rPr>
        <w:t>’</w:t>
      </w:r>
      <w:r>
        <w:rPr>
          <w:rFonts w:eastAsia="Calibri"/>
          <w:noProof/>
          <w:lang w:val="fr-FR"/>
        </w:rPr>
        <w:t>une femme à une peine d</w:t>
      </w:r>
      <w:r w:rsidR="00607CA3">
        <w:rPr>
          <w:rFonts w:eastAsia="Calibri"/>
          <w:noProof/>
          <w:lang w:val="fr-FR"/>
        </w:rPr>
        <w:t>’</w:t>
      </w:r>
      <w:r>
        <w:rPr>
          <w:rFonts w:eastAsia="Calibri"/>
          <w:noProof/>
          <w:lang w:val="fr-FR"/>
        </w:rPr>
        <w:t>emprisonnement pour un délit continu de proxénétisme, une fois établi qu</w:t>
      </w:r>
      <w:r w:rsidR="00607CA3">
        <w:rPr>
          <w:rFonts w:eastAsia="Calibri"/>
          <w:noProof/>
          <w:lang w:val="fr-FR"/>
        </w:rPr>
        <w:t>’</w:t>
      </w:r>
      <w:r>
        <w:rPr>
          <w:rFonts w:eastAsia="Calibri"/>
          <w:noProof/>
          <w:lang w:val="fr-FR"/>
        </w:rPr>
        <w:t>elle avait tiré profit du travail sexuel d</w:t>
      </w:r>
      <w:r w:rsidR="00607CA3">
        <w:rPr>
          <w:rFonts w:eastAsia="Calibri"/>
          <w:noProof/>
          <w:lang w:val="fr-FR"/>
        </w:rPr>
        <w:t>’</w:t>
      </w:r>
      <w:r>
        <w:rPr>
          <w:rFonts w:eastAsia="Calibri"/>
          <w:noProof/>
          <w:lang w:val="fr-FR"/>
        </w:rPr>
        <w:t xml:space="preserve">au moins neuf femmes </w:t>
      </w:r>
      <w:r w:rsidRPr="00DE2A76">
        <w:rPr>
          <w:rFonts w:eastAsia="Calibri"/>
          <w:noProof/>
          <w:lang w:val="fr-FR"/>
        </w:rPr>
        <w:t>(to</w:t>
      </w:r>
      <w:r>
        <w:rPr>
          <w:rFonts w:eastAsia="Calibri"/>
          <w:noProof/>
          <w:lang w:val="fr-FR"/>
        </w:rPr>
        <w:t>utes majeures</w:t>
      </w:r>
      <w:r w:rsidRPr="00DE2A76">
        <w:rPr>
          <w:rFonts w:eastAsia="Calibri"/>
          <w:noProof/>
          <w:lang w:val="fr-FR"/>
        </w:rPr>
        <w:t xml:space="preserve">), </w:t>
      </w:r>
      <w:r>
        <w:rPr>
          <w:rFonts w:eastAsia="Calibri"/>
          <w:noProof/>
          <w:lang w:val="fr-FR"/>
        </w:rPr>
        <w:t xml:space="preserve">dont trois étaient de </w:t>
      </w:r>
      <w:r w:rsidRPr="00DE2A76">
        <w:rPr>
          <w:rFonts w:eastAsia="Calibri"/>
          <w:noProof/>
          <w:lang w:val="fr-FR"/>
        </w:rPr>
        <w:t>na</w:t>
      </w:r>
      <w:r>
        <w:rPr>
          <w:rFonts w:eastAsia="Calibri"/>
          <w:noProof/>
          <w:lang w:val="fr-FR"/>
        </w:rPr>
        <w:t>t</w:t>
      </w:r>
      <w:r w:rsidRPr="00DE2A76">
        <w:rPr>
          <w:rFonts w:eastAsia="Calibri"/>
          <w:noProof/>
          <w:lang w:val="fr-FR"/>
        </w:rPr>
        <w:t>ionali</w:t>
      </w:r>
      <w:r>
        <w:rPr>
          <w:rFonts w:eastAsia="Calibri"/>
          <w:noProof/>
          <w:lang w:val="fr-FR"/>
        </w:rPr>
        <w:t>té argentine</w:t>
      </w:r>
      <w:r w:rsidRPr="00DE2A76">
        <w:rPr>
          <w:rFonts w:eastAsia="Calibri"/>
          <w:noProof/>
          <w:lang w:val="fr-FR"/>
        </w:rPr>
        <w:t>.</w:t>
      </w:r>
    </w:p>
    <w:p w:rsidR="00596826" w:rsidRPr="00DE2A76" w:rsidRDefault="00596826" w:rsidP="00596826">
      <w:pPr>
        <w:pStyle w:val="SingleTxtG"/>
        <w:rPr>
          <w:noProof/>
          <w:lang w:val="fr-FR"/>
        </w:rPr>
      </w:pPr>
      <w:r w:rsidRPr="00DE2A76">
        <w:rPr>
          <w:noProof/>
          <w:lang w:val="fr-FR"/>
        </w:rPr>
        <w:t>58.</w:t>
      </w:r>
      <w:r w:rsidRPr="00DE2A76">
        <w:rPr>
          <w:noProof/>
          <w:lang w:val="fr-FR"/>
        </w:rPr>
        <w:tab/>
      </w:r>
      <w:r>
        <w:rPr>
          <w:noProof/>
          <w:lang w:val="fr-FR"/>
        </w:rPr>
        <w:t xml:space="preserve">Le </w:t>
      </w:r>
      <w:r>
        <w:rPr>
          <w:lang w:val="fr-FR" w:eastAsia="fr-FR"/>
        </w:rPr>
        <w:t>Comité national pour l</w:t>
      </w:r>
      <w:r w:rsidR="00607CA3">
        <w:rPr>
          <w:lang w:val="fr-FR" w:eastAsia="fr-FR"/>
        </w:rPr>
        <w:t>’</w:t>
      </w:r>
      <w:r>
        <w:rPr>
          <w:lang w:val="fr-FR" w:eastAsia="fr-FR"/>
        </w:rPr>
        <w:t>élimination de l</w:t>
      </w:r>
      <w:r w:rsidR="00607CA3">
        <w:rPr>
          <w:lang w:val="fr-FR" w:eastAsia="fr-FR"/>
        </w:rPr>
        <w:t>’</w:t>
      </w:r>
      <w:r>
        <w:rPr>
          <w:lang w:val="fr-FR" w:eastAsia="fr-FR"/>
        </w:rPr>
        <w:t>exploitation</w:t>
      </w:r>
      <w:r w:rsidRPr="00DE2A76">
        <w:rPr>
          <w:noProof/>
          <w:lang w:val="fr-FR"/>
        </w:rPr>
        <w:t xml:space="preserve"> </w:t>
      </w:r>
      <w:r>
        <w:rPr>
          <w:lang w:val="fr-FR" w:eastAsia="fr-FR"/>
        </w:rPr>
        <w:t xml:space="preserve">sexuelle des enfants et des adolescents à des fins commerciales ou non commerciales </w:t>
      </w:r>
      <w:r>
        <w:rPr>
          <w:noProof/>
          <w:lang w:val="fr-FR"/>
        </w:rPr>
        <w:t>a poursuivi l</w:t>
      </w:r>
      <w:r w:rsidR="00607CA3">
        <w:rPr>
          <w:noProof/>
          <w:lang w:val="fr-FR"/>
        </w:rPr>
        <w:t>’</w:t>
      </w:r>
      <w:r>
        <w:rPr>
          <w:noProof/>
          <w:lang w:val="fr-FR"/>
        </w:rPr>
        <w:t xml:space="preserve">exécution du </w:t>
      </w:r>
      <w:r w:rsidRPr="00DE2A76">
        <w:rPr>
          <w:noProof/>
          <w:lang w:val="fr-FR"/>
        </w:rPr>
        <w:t xml:space="preserve">Plan </w:t>
      </w:r>
      <w:r>
        <w:rPr>
          <w:noProof/>
          <w:lang w:val="fr-FR"/>
        </w:rPr>
        <w:t>n</w:t>
      </w:r>
      <w:r w:rsidRPr="00DE2A76">
        <w:rPr>
          <w:noProof/>
          <w:lang w:val="fr-FR"/>
        </w:rPr>
        <w:t>a</w:t>
      </w:r>
      <w:r>
        <w:rPr>
          <w:noProof/>
          <w:lang w:val="fr-FR"/>
        </w:rPr>
        <w:t>t</w:t>
      </w:r>
      <w:r w:rsidRPr="00DE2A76">
        <w:rPr>
          <w:noProof/>
          <w:lang w:val="fr-FR"/>
        </w:rPr>
        <w:t xml:space="preserve">ional </w:t>
      </w:r>
      <w:r>
        <w:rPr>
          <w:noProof/>
          <w:lang w:val="fr-FR"/>
        </w:rPr>
        <w:t>d</w:t>
      </w:r>
      <w:r w:rsidR="00607CA3">
        <w:rPr>
          <w:noProof/>
          <w:lang w:val="fr-FR"/>
        </w:rPr>
        <w:t>’</w:t>
      </w:r>
      <w:r>
        <w:rPr>
          <w:noProof/>
          <w:lang w:val="fr-FR"/>
        </w:rPr>
        <w:t xml:space="preserve">élimination de </w:t>
      </w:r>
      <w:r>
        <w:rPr>
          <w:lang w:val="fr-FR" w:eastAsia="fr-FR"/>
        </w:rPr>
        <w:t>l</w:t>
      </w:r>
      <w:r w:rsidR="00607CA3">
        <w:rPr>
          <w:lang w:val="fr-FR" w:eastAsia="fr-FR"/>
        </w:rPr>
        <w:t>’</w:t>
      </w:r>
      <w:r>
        <w:rPr>
          <w:lang w:val="fr-FR" w:eastAsia="fr-FR"/>
        </w:rPr>
        <w:t>exploitation</w:t>
      </w:r>
      <w:r w:rsidRPr="00DE2A76">
        <w:rPr>
          <w:noProof/>
          <w:lang w:val="fr-FR"/>
        </w:rPr>
        <w:t xml:space="preserve"> </w:t>
      </w:r>
      <w:r>
        <w:rPr>
          <w:lang w:val="fr-FR" w:eastAsia="fr-FR"/>
        </w:rPr>
        <w:t>sexuelle à des fins commerciales</w:t>
      </w:r>
      <w:r w:rsidRPr="00DE2A76">
        <w:rPr>
          <w:noProof/>
          <w:lang w:val="fr-FR"/>
        </w:rPr>
        <w:t xml:space="preserve"> </w:t>
      </w:r>
      <w:r>
        <w:rPr>
          <w:noProof/>
          <w:lang w:val="fr-FR"/>
        </w:rPr>
        <w:t xml:space="preserve">des enfants et des adolescents pour </w:t>
      </w:r>
      <w:r w:rsidRPr="00DE2A76">
        <w:rPr>
          <w:noProof/>
          <w:lang w:val="fr-FR"/>
        </w:rPr>
        <w:t xml:space="preserve">2009-2012, </w:t>
      </w:r>
      <w:r>
        <w:rPr>
          <w:noProof/>
          <w:lang w:val="fr-FR"/>
        </w:rPr>
        <w:t xml:space="preserve">et met actuellement en œuvre son deuxième </w:t>
      </w:r>
      <w:r w:rsidRPr="00DE2A76">
        <w:rPr>
          <w:noProof/>
          <w:lang w:val="fr-FR"/>
        </w:rPr>
        <w:t xml:space="preserve">Plan </w:t>
      </w:r>
      <w:r>
        <w:rPr>
          <w:noProof/>
          <w:lang w:val="fr-FR"/>
        </w:rPr>
        <w:t>d</w:t>
      </w:r>
      <w:r w:rsidR="00607CA3">
        <w:rPr>
          <w:noProof/>
          <w:lang w:val="fr-FR"/>
        </w:rPr>
        <w:t>’</w:t>
      </w:r>
      <w:r>
        <w:rPr>
          <w:noProof/>
          <w:lang w:val="fr-FR"/>
        </w:rPr>
        <w:t>action nat</w:t>
      </w:r>
      <w:r w:rsidRPr="00DE2A76">
        <w:rPr>
          <w:noProof/>
          <w:lang w:val="fr-FR"/>
        </w:rPr>
        <w:t xml:space="preserve">ional </w:t>
      </w:r>
      <w:r>
        <w:rPr>
          <w:noProof/>
          <w:lang w:val="fr-FR"/>
        </w:rPr>
        <w:t>sur le thème « </w:t>
      </w:r>
      <w:r w:rsidRPr="00DE2A76">
        <w:rPr>
          <w:noProof/>
          <w:lang w:val="fr-FR"/>
        </w:rPr>
        <w:t>100 ac</w:t>
      </w:r>
      <w:r>
        <w:rPr>
          <w:noProof/>
          <w:lang w:val="fr-FR"/>
        </w:rPr>
        <w:t xml:space="preserve">tions contre </w:t>
      </w:r>
      <w:r>
        <w:rPr>
          <w:lang w:val="fr-FR" w:eastAsia="fr-FR"/>
        </w:rPr>
        <w:t>l</w:t>
      </w:r>
      <w:r w:rsidR="00607CA3">
        <w:rPr>
          <w:lang w:val="fr-FR" w:eastAsia="fr-FR"/>
        </w:rPr>
        <w:t>’</w:t>
      </w:r>
      <w:r>
        <w:rPr>
          <w:lang w:val="fr-FR" w:eastAsia="fr-FR"/>
        </w:rPr>
        <w:t>exploitation</w:t>
      </w:r>
      <w:r w:rsidRPr="00DE2A76">
        <w:rPr>
          <w:noProof/>
          <w:lang w:val="fr-FR"/>
        </w:rPr>
        <w:t xml:space="preserve"> </w:t>
      </w:r>
      <w:r>
        <w:rPr>
          <w:lang w:val="fr-FR" w:eastAsia="fr-FR"/>
        </w:rPr>
        <w:t xml:space="preserve">sexuelle </w:t>
      </w:r>
      <w:r>
        <w:rPr>
          <w:noProof/>
          <w:lang w:val="fr-FR"/>
        </w:rPr>
        <w:t>des enfants et des adolescents </w:t>
      </w:r>
      <w:r>
        <w:rPr>
          <w:lang w:val="fr-FR" w:eastAsia="fr-FR"/>
        </w:rPr>
        <w:t>à des fins commerciales</w:t>
      </w:r>
      <w:r w:rsidR="00403A38">
        <w:rPr>
          <w:lang w:val="fr-FR" w:eastAsia="fr-FR"/>
        </w:rPr>
        <w:t> </w:t>
      </w:r>
      <w:r>
        <w:rPr>
          <w:noProof/>
          <w:lang w:val="fr-FR"/>
        </w:rPr>
        <w:t>»</w:t>
      </w:r>
      <w:r w:rsidRPr="00DE2A76">
        <w:rPr>
          <w:noProof/>
          <w:lang w:val="fr-FR"/>
        </w:rPr>
        <w:t xml:space="preserve"> </w:t>
      </w:r>
      <w:r>
        <w:rPr>
          <w:noProof/>
          <w:lang w:val="fr-FR"/>
        </w:rPr>
        <w:t xml:space="preserve">pour </w:t>
      </w:r>
      <w:r w:rsidRPr="00DE2A76">
        <w:rPr>
          <w:noProof/>
          <w:lang w:val="fr-FR"/>
        </w:rPr>
        <w:t>2016-2021</w:t>
      </w:r>
      <w:r w:rsidRPr="00691AD9">
        <w:rPr>
          <w:rStyle w:val="Appelnotedebasdep"/>
        </w:rPr>
        <w:footnoteReference w:id="20"/>
      </w:r>
      <w:r w:rsidRPr="00DE2A76">
        <w:rPr>
          <w:noProof/>
          <w:lang w:val="fr-FR"/>
        </w:rPr>
        <w:t xml:space="preserve">. </w:t>
      </w:r>
      <w:r>
        <w:rPr>
          <w:noProof/>
          <w:lang w:val="fr-FR"/>
        </w:rPr>
        <w:t xml:space="preserve">Ce deuxième </w:t>
      </w:r>
      <w:r w:rsidRPr="00DE2A76">
        <w:rPr>
          <w:noProof/>
          <w:lang w:val="fr-FR"/>
        </w:rPr>
        <w:t xml:space="preserve">Plan </w:t>
      </w:r>
      <w:r>
        <w:rPr>
          <w:noProof/>
          <w:lang w:val="fr-FR"/>
        </w:rPr>
        <w:t>d</w:t>
      </w:r>
      <w:r w:rsidR="00607CA3">
        <w:rPr>
          <w:noProof/>
          <w:lang w:val="fr-FR"/>
        </w:rPr>
        <w:t>’</w:t>
      </w:r>
      <w:r>
        <w:rPr>
          <w:noProof/>
          <w:lang w:val="fr-FR"/>
        </w:rPr>
        <w:t>action nat</w:t>
      </w:r>
      <w:r w:rsidRPr="00DE2A76">
        <w:rPr>
          <w:noProof/>
          <w:lang w:val="fr-FR"/>
        </w:rPr>
        <w:t>ional </w:t>
      </w:r>
      <w:r>
        <w:rPr>
          <w:noProof/>
          <w:lang w:val="fr-FR"/>
        </w:rPr>
        <w:t xml:space="preserve">définit un positionnement stratégique </w:t>
      </w:r>
      <w:r w:rsidRPr="00DE2A76">
        <w:rPr>
          <w:noProof/>
          <w:lang w:val="fr-FR"/>
        </w:rPr>
        <w:t>qu</w:t>
      </w:r>
      <w:r>
        <w:rPr>
          <w:noProof/>
          <w:lang w:val="fr-FR"/>
        </w:rPr>
        <w:t xml:space="preserve">i vise à formuler les principes directeurs et les lignes opérationnelles </w:t>
      </w:r>
      <w:r w:rsidRPr="00DE2A76">
        <w:rPr>
          <w:noProof/>
          <w:lang w:val="fr-FR"/>
        </w:rPr>
        <w:t>stratégi</w:t>
      </w:r>
      <w:r>
        <w:rPr>
          <w:noProof/>
          <w:lang w:val="fr-FR"/>
        </w:rPr>
        <w:t>que</w:t>
      </w:r>
      <w:r w:rsidRPr="00DE2A76">
        <w:rPr>
          <w:noProof/>
          <w:lang w:val="fr-FR"/>
        </w:rPr>
        <w:t xml:space="preserve">s </w:t>
      </w:r>
      <w:r>
        <w:rPr>
          <w:noProof/>
          <w:lang w:val="fr-FR"/>
        </w:rPr>
        <w:t>en vue de l</w:t>
      </w:r>
      <w:r w:rsidR="00607CA3">
        <w:rPr>
          <w:noProof/>
          <w:lang w:val="fr-FR"/>
        </w:rPr>
        <w:t>’</w:t>
      </w:r>
      <w:r>
        <w:rPr>
          <w:noProof/>
          <w:lang w:val="fr-FR"/>
        </w:rPr>
        <w:t>action à mener</w:t>
      </w:r>
      <w:r w:rsidRPr="00DE2A76">
        <w:rPr>
          <w:noProof/>
          <w:lang w:val="fr-FR"/>
        </w:rPr>
        <w:t xml:space="preserve">. </w:t>
      </w:r>
      <w:r>
        <w:rPr>
          <w:noProof/>
          <w:lang w:val="fr-FR"/>
        </w:rPr>
        <w:t xml:space="preserve">En particulier, </w:t>
      </w:r>
      <w:r w:rsidRPr="00B474E7">
        <w:rPr>
          <w:noProof/>
          <w:lang w:val="fr-FR"/>
        </w:rPr>
        <w:t xml:space="preserve">il prévoit de mettre en œuvre toutes les mesures selon une approche fondée sur les </w:t>
      </w:r>
      <w:r>
        <w:rPr>
          <w:noProof/>
          <w:lang w:val="fr-FR"/>
        </w:rPr>
        <w:t>droits de l</w:t>
      </w:r>
      <w:r w:rsidR="00607CA3">
        <w:rPr>
          <w:noProof/>
          <w:lang w:val="fr-FR"/>
        </w:rPr>
        <w:t>’</w:t>
      </w:r>
      <w:r>
        <w:rPr>
          <w:noProof/>
          <w:lang w:val="fr-FR"/>
        </w:rPr>
        <w:t>homme</w:t>
      </w:r>
      <w:r w:rsidRPr="00B474E7">
        <w:rPr>
          <w:noProof/>
          <w:lang w:val="fr-FR"/>
        </w:rPr>
        <w:t xml:space="preserve"> qui tienne compte de toutes les particularités territoriales, des différences entre les âges, du genre, de la diversité, du handicap et de l</w:t>
      </w:r>
      <w:r w:rsidR="00607CA3">
        <w:rPr>
          <w:noProof/>
          <w:lang w:val="fr-FR"/>
        </w:rPr>
        <w:t>’</w:t>
      </w:r>
      <w:r w:rsidRPr="00B474E7">
        <w:rPr>
          <w:noProof/>
          <w:lang w:val="fr-FR"/>
        </w:rPr>
        <w:t>origine ethnique et raciale.</w:t>
      </w:r>
      <w:r w:rsidRPr="00DE2A76">
        <w:rPr>
          <w:noProof/>
          <w:lang w:val="fr-FR"/>
        </w:rPr>
        <w:t xml:space="preserve"> </w:t>
      </w:r>
      <w:r>
        <w:rPr>
          <w:noProof/>
          <w:lang w:val="fr-FR"/>
        </w:rPr>
        <w:t>Il convient également de souligner que le Plan pr</w:t>
      </w:r>
      <w:r w:rsidRPr="00DE2A76">
        <w:rPr>
          <w:noProof/>
          <w:lang w:val="fr-FR"/>
        </w:rPr>
        <w:t>é</w:t>
      </w:r>
      <w:r>
        <w:rPr>
          <w:noProof/>
          <w:lang w:val="fr-FR"/>
        </w:rPr>
        <w:t>voit l</w:t>
      </w:r>
      <w:r w:rsidR="00607CA3">
        <w:rPr>
          <w:noProof/>
          <w:lang w:val="fr-FR"/>
        </w:rPr>
        <w:t>’</w:t>
      </w:r>
      <w:r>
        <w:rPr>
          <w:noProof/>
          <w:lang w:val="fr-FR"/>
        </w:rPr>
        <w:t xml:space="preserve">intervention du Comité national dans différents contextes, tels que les zones frontalières et les zones proches des entreprises du secteur </w:t>
      </w:r>
      <w:r w:rsidRPr="00DE2A76">
        <w:rPr>
          <w:noProof/>
          <w:lang w:val="fr-FR"/>
        </w:rPr>
        <w:t>productivo-log</w:t>
      </w:r>
      <w:r>
        <w:rPr>
          <w:noProof/>
          <w:lang w:val="fr-FR"/>
        </w:rPr>
        <w:t>istique</w:t>
      </w:r>
      <w:r w:rsidRPr="00DE2A76">
        <w:rPr>
          <w:noProof/>
          <w:lang w:val="fr-FR"/>
        </w:rPr>
        <w:t xml:space="preserve">. </w:t>
      </w:r>
      <w:r>
        <w:rPr>
          <w:noProof/>
          <w:lang w:val="fr-FR"/>
        </w:rPr>
        <w:t>En ce qui concerne l</w:t>
      </w:r>
      <w:r w:rsidR="00607CA3">
        <w:rPr>
          <w:noProof/>
          <w:lang w:val="fr-FR"/>
        </w:rPr>
        <w:t>’</w:t>
      </w:r>
      <w:r>
        <w:rPr>
          <w:noProof/>
          <w:lang w:val="fr-FR"/>
        </w:rPr>
        <w:t xml:space="preserve">exécution de ce </w:t>
      </w:r>
      <w:r w:rsidRPr="00DE2A76">
        <w:rPr>
          <w:noProof/>
          <w:lang w:val="fr-FR"/>
        </w:rPr>
        <w:t xml:space="preserve">Plan, </w:t>
      </w:r>
      <w:r>
        <w:rPr>
          <w:noProof/>
          <w:lang w:val="fr-FR"/>
        </w:rPr>
        <w:t>on a commencé, au cours de l</w:t>
      </w:r>
      <w:r w:rsidR="00607CA3">
        <w:rPr>
          <w:noProof/>
          <w:lang w:val="fr-FR"/>
        </w:rPr>
        <w:t>’</w:t>
      </w:r>
      <w:r>
        <w:rPr>
          <w:noProof/>
          <w:lang w:val="fr-FR"/>
        </w:rPr>
        <w:t>année écoulée, à le diffuser et le Comité national a tenu des réunions pour organiser son exécution</w:t>
      </w:r>
      <w:r w:rsidRPr="00DE2A76">
        <w:rPr>
          <w:noProof/>
          <w:lang w:val="fr-FR"/>
        </w:rPr>
        <w:t>.</w:t>
      </w:r>
    </w:p>
    <w:p w:rsidR="00596826" w:rsidRPr="00DE2A76" w:rsidRDefault="00596826" w:rsidP="00596826">
      <w:pPr>
        <w:pStyle w:val="SingleTxtG"/>
        <w:rPr>
          <w:noProof/>
          <w:lang w:val="fr-FR"/>
        </w:rPr>
      </w:pPr>
      <w:r w:rsidRPr="00DE2A76">
        <w:rPr>
          <w:noProof/>
          <w:lang w:val="fr-FR"/>
        </w:rPr>
        <w:t>59.</w:t>
      </w:r>
      <w:r w:rsidRPr="00DE2A76">
        <w:rPr>
          <w:noProof/>
          <w:lang w:val="fr-FR"/>
        </w:rPr>
        <w:tab/>
        <w:t>L</w:t>
      </w:r>
      <w:r>
        <w:rPr>
          <w:noProof/>
          <w:lang w:val="fr-FR"/>
        </w:rPr>
        <w:t>es composantes du Plan et les activités prévues sont les suivantes :</w:t>
      </w:r>
      <w:r w:rsidRPr="00DE2A76">
        <w:rPr>
          <w:noProof/>
          <w:lang w:val="fr-FR"/>
        </w:rPr>
        <w:t xml:space="preserve"> i) </w:t>
      </w:r>
      <w:r>
        <w:rPr>
          <w:noProof/>
          <w:lang w:val="fr-FR"/>
        </w:rPr>
        <w:t>p</w:t>
      </w:r>
      <w:r w:rsidRPr="00DE2A76">
        <w:rPr>
          <w:noProof/>
          <w:lang w:val="fr-FR"/>
        </w:rPr>
        <w:t>romo</w:t>
      </w:r>
      <w:r>
        <w:rPr>
          <w:noProof/>
          <w:lang w:val="fr-FR"/>
        </w:rPr>
        <w:t>tion des droits et prévention : c</w:t>
      </w:r>
      <w:r w:rsidRPr="00DE2A76">
        <w:rPr>
          <w:noProof/>
          <w:lang w:val="fr-FR"/>
        </w:rPr>
        <w:t>ampa</w:t>
      </w:r>
      <w:r>
        <w:rPr>
          <w:noProof/>
          <w:lang w:val="fr-FR"/>
        </w:rPr>
        <w:t>gne pour garantir que les enfants sont bien traités, menée en coopération avec des o</w:t>
      </w:r>
      <w:r w:rsidRPr="00DE2A76">
        <w:rPr>
          <w:noProof/>
          <w:lang w:val="fr-FR"/>
        </w:rPr>
        <w:t>rgani</w:t>
      </w:r>
      <w:r>
        <w:rPr>
          <w:noProof/>
          <w:lang w:val="fr-FR"/>
        </w:rPr>
        <w:t>sations de la s</w:t>
      </w:r>
      <w:r w:rsidRPr="00DE2A76">
        <w:rPr>
          <w:noProof/>
          <w:lang w:val="fr-FR"/>
        </w:rPr>
        <w:t>oci</w:t>
      </w:r>
      <w:r>
        <w:rPr>
          <w:noProof/>
          <w:lang w:val="fr-FR"/>
        </w:rPr>
        <w:t>été</w:t>
      </w:r>
      <w:r w:rsidRPr="00DE2A76">
        <w:rPr>
          <w:noProof/>
          <w:lang w:val="fr-FR"/>
        </w:rPr>
        <w:t xml:space="preserve"> </w:t>
      </w:r>
      <w:r>
        <w:rPr>
          <w:noProof/>
          <w:lang w:val="fr-FR"/>
        </w:rPr>
        <w:t>c</w:t>
      </w:r>
      <w:r w:rsidRPr="00DE2A76">
        <w:rPr>
          <w:noProof/>
          <w:lang w:val="fr-FR"/>
        </w:rPr>
        <w:t>ivil</w:t>
      </w:r>
      <w:r>
        <w:rPr>
          <w:noProof/>
          <w:lang w:val="fr-FR"/>
        </w:rPr>
        <w:t>e</w:t>
      </w:r>
      <w:r w:rsidRPr="00DE2A76">
        <w:rPr>
          <w:noProof/>
          <w:lang w:val="fr-FR"/>
        </w:rPr>
        <w:t xml:space="preserve">, </w:t>
      </w:r>
      <w:r>
        <w:rPr>
          <w:noProof/>
          <w:lang w:val="fr-FR"/>
        </w:rPr>
        <w:t>avec la participation de plus de 500</w:t>
      </w:r>
      <w:r w:rsidR="00403A38">
        <w:rPr>
          <w:noProof/>
          <w:lang w:val="fr-FR"/>
        </w:rPr>
        <w:t> </w:t>
      </w:r>
      <w:r>
        <w:rPr>
          <w:noProof/>
          <w:lang w:val="fr-FR"/>
        </w:rPr>
        <w:t>adolescent</w:t>
      </w:r>
      <w:r w:rsidRPr="00DE2A76">
        <w:rPr>
          <w:noProof/>
          <w:lang w:val="fr-FR"/>
        </w:rPr>
        <w:t xml:space="preserve">s </w:t>
      </w:r>
      <w:r>
        <w:rPr>
          <w:noProof/>
          <w:lang w:val="fr-FR"/>
        </w:rPr>
        <w:t>et de 100 institution</w:t>
      </w:r>
      <w:r w:rsidRPr="00DE2A76">
        <w:rPr>
          <w:noProof/>
          <w:lang w:val="fr-FR"/>
        </w:rPr>
        <w:t xml:space="preserve">s. </w:t>
      </w:r>
      <w:r>
        <w:rPr>
          <w:noProof/>
          <w:lang w:val="fr-FR"/>
        </w:rPr>
        <w:t>Atelier sur la prévention du harcèlement sexuel</w:t>
      </w:r>
      <w:r w:rsidRPr="00DE2A76">
        <w:rPr>
          <w:noProof/>
          <w:lang w:val="fr-FR"/>
        </w:rPr>
        <w:t xml:space="preserve">, </w:t>
      </w:r>
      <w:r>
        <w:rPr>
          <w:noProof/>
          <w:lang w:val="fr-FR"/>
        </w:rPr>
        <w:t xml:space="preserve">avec </w:t>
      </w:r>
      <w:r w:rsidRPr="00530A21">
        <w:rPr>
          <w:noProof/>
          <w:lang w:val="fr-FR"/>
        </w:rPr>
        <w:t>l</w:t>
      </w:r>
      <w:r w:rsidR="00607CA3">
        <w:rPr>
          <w:noProof/>
          <w:lang w:val="fr-FR"/>
        </w:rPr>
        <w:t>’</w:t>
      </w:r>
      <w:r w:rsidRPr="00530A21">
        <w:rPr>
          <w:noProof/>
          <w:lang w:val="fr-FR"/>
        </w:rPr>
        <w:t>Association nationale des organisations non gouvernementales</w:t>
      </w:r>
      <w:r w:rsidRPr="00411326">
        <w:t xml:space="preserve"> </w:t>
      </w:r>
      <w:r w:rsidRPr="00DE2A76">
        <w:rPr>
          <w:noProof/>
          <w:lang w:val="fr-FR"/>
        </w:rPr>
        <w:t>e</w:t>
      </w:r>
      <w:r>
        <w:rPr>
          <w:noProof/>
          <w:lang w:val="fr-FR"/>
        </w:rPr>
        <w:t>t les services départementaux</w:t>
      </w:r>
      <w:r w:rsidRPr="00DE2A76">
        <w:rPr>
          <w:noProof/>
          <w:lang w:val="fr-FR"/>
        </w:rPr>
        <w:t xml:space="preserve">, </w:t>
      </w:r>
      <w:r>
        <w:rPr>
          <w:noProof/>
          <w:lang w:val="fr-FR"/>
        </w:rPr>
        <w:t xml:space="preserve">des groupes de travail et </w:t>
      </w:r>
      <w:r w:rsidRPr="00DE2A76">
        <w:rPr>
          <w:noProof/>
          <w:lang w:val="fr-FR"/>
        </w:rPr>
        <w:t xml:space="preserve">Cines Foro. </w:t>
      </w:r>
      <w:r>
        <w:rPr>
          <w:noProof/>
          <w:lang w:val="fr-FR"/>
        </w:rPr>
        <w:t xml:space="preserve">Formation dispensée à </w:t>
      </w:r>
      <w:r w:rsidRPr="00DE2A76">
        <w:rPr>
          <w:noProof/>
          <w:lang w:val="fr-FR"/>
        </w:rPr>
        <w:t xml:space="preserve">29 </w:t>
      </w:r>
      <w:r>
        <w:rPr>
          <w:noProof/>
          <w:lang w:val="fr-FR"/>
        </w:rPr>
        <w:t xml:space="preserve">agents et fonctionnaires et à </w:t>
      </w:r>
      <w:r w:rsidRPr="00DE2A76">
        <w:rPr>
          <w:noProof/>
          <w:lang w:val="fr-FR"/>
        </w:rPr>
        <w:t xml:space="preserve">40 </w:t>
      </w:r>
      <w:r>
        <w:rPr>
          <w:noProof/>
          <w:lang w:val="fr-FR"/>
        </w:rPr>
        <w:t>agents des programmes locaux</w:t>
      </w:r>
      <w:r w:rsidR="00403A38">
        <w:rPr>
          <w:noProof/>
          <w:lang w:val="fr-FR"/>
        </w:rPr>
        <w:t> </w:t>
      </w:r>
      <w:r w:rsidRPr="00DE2A76">
        <w:rPr>
          <w:noProof/>
          <w:lang w:val="fr-FR"/>
        </w:rPr>
        <w:t xml:space="preserve">; ii) </w:t>
      </w:r>
      <w:r>
        <w:rPr>
          <w:noProof/>
          <w:lang w:val="fr-FR"/>
        </w:rPr>
        <w:t>p</w:t>
      </w:r>
      <w:r w:rsidRPr="00DE2A76">
        <w:rPr>
          <w:noProof/>
          <w:lang w:val="fr-FR"/>
        </w:rPr>
        <w:t>rotec</w:t>
      </w:r>
      <w:r>
        <w:rPr>
          <w:noProof/>
          <w:lang w:val="fr-FR"/>
        </w:rPr>
        <w:t>tion :</w:t>
      </w:r>
      <w:r w:rsidRPr="00DE2A76">
        <w:rPr>
          <w:noProof/>
          <w:lang w:val="fr-FR"/>
        </w:rPr>
        <w:t xml:space="preserve"> </w:t>
      </w:r>
      <w:r>
        <w:rPr>
          <w:noProof/>
          <w:lang w:val="fr-FR"/>
        </w:rPr>
        <w:t>contribution au projet de loi générale sur l</w:t>
      </w:r>
      <w:r w:rsidR="00607CA3">
        <w:rPr>
          <w:noProof/>
          <w:lang w:val="fr-FR"/>
        </w:rPr>
        <w:t>’</w:t>
      </w:r>
      <w:r>
        <w:rPr>
          <w:noProof/>
          <w:lang w:val="fr-FR"/>
        </w:rPr>
        <w:t>exploitation et la traite des personnes et au projet de modification du nouveau Code de l</w:t>
      </w:r>
      <w:r w:rsidR="00607CA3">
        <w:rPr>
          <w:noProof/>
          <w:lang w:val="fr-FR"/>
        </w:rPr>
        <w:t>’</w:t>
      </w:r>
      <w:r>
        <w:rPr>
          <w:noProof/>
          <w:lang w:val="fr-FR"/>
        </w:rPr>
        <w:t>enfance et de l</w:t>
      </w:r>
      <w:r w:rsidR="00607CA3">
        <w:rPr>
          <w:noProof/>
          <w:lang w:val="fr-FR"/>
        </w:rPr>
        <w:t>’</w:t>
      </w:r>
      <w:r>
        <w:rPr>
          <w:noProof/>
          <w:lang w:val="fr-FR"/>
        </w:rPr>
        <w:t>adolescence</w:t>
      </w:r>
      <w:r w:rsidR="00403A38">
        <w:rPr>
          <w:noProof/>
          <w:lang w:val="fr-FR"/>
        </w:rPr>
        <w:t> </w:t>
      </w:r>
      <w:r w:rsidRPr="00DE2A76">
        <w:rPr>
          <w:noProof/>
          <w:lang w:val="fr-FR"/>
        </w:rPr>
        <w:t xml:space="preserve">; iii) </w:t>
      </w:r>
      <w:r>
        <w:rPr>
          <w:noProof/>
          <w:lang w:val="fr-FR"/>
        </w:rPr>
        <w:t>prise en charge et rétablissement des droits :</w:t>
      </w:r>
      <w:r w:rsidRPr="00DE2A76">
        <w:rPr>
          <w:noProof/>
          <w:lang w:val="fr-FR"/>
        </w:rPr>
        <w:t xml:space="preserve"> </w:t>
      </w:r>
      <w:r>
        <w:rPr>
          <w:noProof/>
          <w:lang w:val="fr-FR"/>
        </w:rPr>
        <w:t>en coordination avec les équipes spécialisées</w:t>
      </w:r>
      <w:r w:rsidRPr="00DE2A76">
        <w:rPr>
          <w:noProof/>
          <w:lang w:val="fr-FR"/>
        </w:rPr>
        <w:t>. Dispositi</w:t>
      </w:r>
      <w:r>
        <w:rPr>
          <w:noProof/>
          <w:lang w:val="fr-FR"/>
        </w:rPr>
        <w:t xml:space="preserve">f territorial pour la prise en charge des situations de violence </w:t>
      </w:r>
      <w:r w:rsidRPr="00031CAF">
        <w:rPr>
          <w:noProof/>
          <w:lang w:val="fr-FR"/>
        </w:rPr>
        <w:t>fondée sur le genre selon les générations</w:t>
      </w:r>
      <w:r w:rsidRPr="00DE2A76">
        <w:rPr>
          <w:noProof/>
          <w:lang w:val="fr-FR"/>
        </w:rPr>
        <w:t xml:space="preserve">. </w:t>
      </w:r>
      <w:r>
        <w:rPr>
          <w:noProof/>
          <w:lang w:val="fr-FR"/>
        </w:rPr>
        <w:t xml:space="preserve">Maintien des équipes mobiles </w:t>
      </w:r>
      <w:r w:rsidRPr="00DE2A76">
        <w:rPr>
          <w:noProof/>
          <w:lang w:val="fr-FR"/>
        </w:rPr>
        <w:t xml:space="preserve">de Montevideo </w:t>
      </w:r>
      <w:r>
        <w:rPr>
          <w:noProof/>
          <w:lang w:val="fr-FR"/>
        </w:rPr>
        <w:t xml:space="preserve">et du </w:t>
      </w:r>
      <w:r w:rsidRPr="00DE2A76">
        <w:rPr>
          <w:noProof/>
          <w:lang w:val="fr-FR"/>
        </w:rPr>
        <w:t>Paysandú.</w:t>
      </w:r>
    </w:p>
    <w:p w:rsidR="00596826" w:rsidRPr="00DE2A76" w:rsidRDefault="00596826" w:rsidP="00596826">
      <w:pPr>
        <w:pStyle w:val="SingleTxtG"/>
        <w:rPr>
          <w:noProof/>
          <w:lang w:val="fr-FR"/>
        </w:rPr>
      </w:pPr>
      <w:r w:rsidRPr="00DE2A76">
        <w:rPr>
          <w:noProof/>
          <w:lang w:val="fr-FR"/>
        </w:rPr>
        <w:t>60.</w:t>
      </w:r>
      <w:r w:rsidRPr="00DE2A76">
        <w:rPr>
          <w:noProof/>
          <w:lang w:val="fr-FR"/>
        </w:rPr>
        <w:tab/>
      </w:r>
      <w:r>
        <w:rPr>
          <w:noProof/>
          <w:lang w:val="fr-FR"/>
        </w:rPr>
        <w:t xml:space="preserve">Le </w:t>
      </w:r>
      <w:r w:rsidRPr="00DE2A76">
        <w:rPr>
          <w:noProof/>
          <w:lang w:val="fr-FR"/>
        </w:rPr>
        <w:t>Conse</w:t>
      </w:r>
      <w:r>
        <w:rPr>
          <w:noProof/>
          <w:lang w:val="fr-FR"/>
        </w:rPr>
        <w:t>il national consultatif de lutte contre la violence familiale a é</w:t>
      </w:r>
      <w:r w:rsidRPr="00DE2A76">
        <w:rPr>
          <w:noProof/>
          <w:lang w:val="fr-FR"/>
        </w:rPr>
        <w:t>labor</w:t>
      </w:r>
      <w:r>
        <w:rPr>
          <w:noProof/>
          <w:lang w:val="fr-FR"/>
        </w:rPr>
        <w:t>é et entrepris de mettre en œuvre le « </w:t>
      </w:r>
      <w:r w:rsidRPr="00DE2A76">
        <w:rPr>
          <w:noProof/>
          <w:lang w:val="fr-FR"/>
        </w:rPr>
        <w:t>Plan d</w:t>
      </w:r>
      <w:r w:rsidR="00607CA3">
        <w:rPr>
          <w:noProof/>
          <w:lang w:val="fr-FR"/>
        </w:rPr>
        <w:t>’</w:t>
      </w:r>
      <w:r>
        <w:rPr>
          <w:noProof/>
          <w:lang w:val="fr-FR"/>
        </w:rPr>
        <w:t xml:space="preserve">action </w:t>
      </w:r>
      <w:r w:rsidRPr="00DE2A76">
        <w:rPr>
          <w:noProof/>
          <w:lang w:val="fr-FR"/>
        </w:rPr>
        <w:t>2016-2019</w:t>
      </w:r>
      <w:r>
        <w:rPr>
          <w:noProof/>
          <w:lang w:val="fr-FR"/>
        </w:rPr>
        <w:t xml:space="preserve"> </w:t>
      </w:r>
      <w:r w:rsidRPr="00C27638">
        <w:rPr>
          <w:noProof/>
          <w:lang w:val="fr-FR"/>
        </w:rPr>
        <w:t>pour une vie exempte de violence fondée sur le genre dans une perspective générationnelle</w:t>
      </w:r>
      <w:r>
        <w:rPr>
          <w:noProof/>
          <w:lang w:val="fr-FR"/>
        </w:rPr>
        <w:t> ».</w:t>
      </w:r>
      <w:r w:rsidRPr="00C27638">
        <w:rPr>
          <w:noProof/>
          <w:lang w:val="fr-FR"/>
        </w:rPr>
        <w:t xml:space="preserve"> </w:t>
      </w:r>
      <w:r>
        <w:rPr>
          <w:noProof/>
          <w:lang w:val="fr-FR"/>
        </w:rPr>
        <w:t>Ce Plan vise à</w:t>
      </w:r>
      <w:r w:rsidRPr="00411326">
        <w:t xml:space="preserve"> la </w:t>
      </w:r>
      <w:r w:rsidRPr="00C27638">
        <w:rPr>
          <w:noProof/>
          <w:lang w:val="fr-FR"/>
        </w:rPr>
        <w:lastRenderedPageBreak/>
        <w:t>consolidation d</w:t>
      </w:r>
      <w:r w:rsidR="00607CA3">
        <w:rPr>
          <w:noProof/>
          <w:lang w:val="fr-FR"/>
        </w:rPr>
        <w:t>’</w:t>
      </w:r>
      <w:r w:rsidRPr="00C27638">
        <w:rPr>
          <w:noProof/>
          <w:lang w:val="fr-FR"/>
        </w:rPr>
        <w:t>une politique publique nationale de prévention, de lutte, de réduction et de réparation en matière de violence fondée sur le genre dans ses différentes manifestations concrètes,</w:t>
      </w:r>
      <w:r w:rsidRPr="00DE2A76">
        <w:rPr>
          <w:noProof/>
          <w:lang w:val="fr-FR"/>
        </w:rPr>
        <w:t xml:space="preserve"> </w:t>
      </w:r>
      <w:r>
        <w:rPr>
          <w:noProof/>
          <w:lang w:val="fr-FR"/>
        </w:rPr>
        <w:t xml:space="preserve">qui prévoit notamment des activités de lutte contre la traite des personnes engagées par la </w:t>
      </w:r>
      <w:r w:rsidRPr="00C27638">
        <w:rPr>
          <w:noProof/>
          <w:lang w:val="fr-FR"/>
        </w:rPr>
        <w:t>Commission interinstitutions de prévention et de répression de la traite des personnes</w:t>
      </w:r>
      <w:r w:rsidRPr="00DE2A76">
        <w:rPr>
          <w:noProof/>
          <w:lang w:val="fr-FR"/>
        </w:rPr>
        <w:t>.</w:t>
      </w:r>
    </w:p>
    <w:p w:rsidR="00596826" w:rsidRPr="00DE2A76" w:rsidRDefault="00596826" w:rsidP="00596826">
      <w:pPr>
        <w:pStyle w:val="SingleTxtG"/>
        <w:rPr>
          <w:noProof/>
          <w:lang w:val="fr-FR"/>
        </w:rPr>
      </w:pPr>
      <w:r w:rsidRPr="00DE2A76">
        <w:rPr>
          <w:noProof/>
          <w:lang w:val="fr-FR"/>
        </w:rPr>
        <w:t>61.</w:t>
      </w:r>
      <w:r w:rsidRPr="00DE2A76">
        <w:rPr>
          <w:noProof/>
          <w:lang w:val="fr-FR"/>
        </w:rPr>
        <w:tab/>
      </w:r>
      <w:r>
        <w:rPr>
          <w:noProof/>
          <w:lang w:val="fr-FR"/>
        </w:rPr>
        <w:t>Sous l</w:t>
      </w:r>
      <w:r w:rsidR="00607CA3">
        <w:rPr>
          <w:noProof/>
          <w:lang w:val="fr-FR"/>
        </w:rPr>
        <w:t>’</w:t>
      </w:r>
      <w:r>
        <w:rPr>
          <w:noProof/>
          <w:lang w:val="fr-FR"/>
        </w:rPr>
        <w:t>égide du Ministère de l</w:t>
      </w:r>
      <w:r w:rsidR="00607CA3">
        <w:rPr>
          <w:noProof/>
          <w:lang w:val="fr-FR"/>
        </w:rPr>
        <w:t>’</w:t>
      </w:r>
      <w:r>
        <w:rPr>
          <w:noProof/>
          <w:lang w:val="fr-FR"/>
        </w:rPr>
        <w:t>intérieur, un Plan d</w:t>
      </w:r>
      <w:r w:rsidR="00607CA3">
        <w:rPr>
          <w:noProof/>
          <w:lang w:val="fr-FR"/>
        </w:rPr>
        <w:t>’</w:t>
      </w:r>
      <w:r>
        <w:rPr>
          <w:noProof/>
          <w:lang w:val="fr-FR"/>
        </w:rPr>
        <w:t>action national a été élaboré en</w:t>
      </w:r>
      <w:r w:rsidR="00403A38">
        <w:rPr>
          <w:noProof/>
          <w:lang w:val="fr-FR"/>
        </w:rPr>
        <w:t> </w:t>
      </w:r>
      <w:r>
        <w:rPr>
          <w:noProof/>
          <w:lang w:val="fr-FR"/>
        </w:rPr>
        <w:t xml:space="preserve">2014 dans le cadre </w:t>
      </w:r>
      <w:r w:rsidRPr="00DE2A76">
        <w:rPr>
          <w:noProof/>
          <w:lang w:val="fr-FR"/>
        </w:rPr>
        <w:t>de la Com</w:t>
      </w:r>
      <w:r>
        <w:rPr>
          <w:noProof/>
          <w:lang w:val="fr-FR"/>
        </w:rPr>
        <w:t>m</w:t>
      </w:r>
      <w:r w:rsidRPr="00DE2A76">
        <w:rPr>
          <w:noProof/>
          <w:lang w:val="fr-FR"/>
        </w:rPr>
        <w:t>is</w:t>
      </w:r>
      <w:r>
        <w:rPr>
          <w:noProof/>
          <w:lang w:val="fr-FR"/>
        </w:rPr>
        <w:t>s</w:t>
      </w:r>
      <w:r w:rsidRPr="00DE2A76">
        <w:rPr>
          <w:noProof/>
          <w:lang w:val="fr-FR"/>
        </w:rPr>
        <w:t>i</w:t>
      </w:r>
      <w:r>
        <w:rPr>
          <w:noProof/>
          <w:lang w:val="fr-FR"/>
        </w:rPr>
        <w:t>o</w:t>
      </w:r>
      <w:r w:rsidRPr="00DE2A76">
        <w:rPr>
          <w:noProof/>
          <w:lang w:val="fr-FR"/>
        </w:rPr>
        <w:t xml:space="preserve">n de </w:t>
      </w:r>
      <w:r>
        <w:rPr>
          <w:noProof/>
          <w:lang w:val="fr-FR"/>
        </w:rPr>
        <w:t>travail sur la traite et le trafic des personnes et l</w:t>
      </w:r>
      <w:r w:rsidR="00607CA3">
        <w:rPr>
          <w:noProof/>
          <w:lang w:val="fr-FR"/>
        </w:rPr>
        <w:t>’</w:t>
      </w:r>
      <w:r>
        <w:rPr>
          <w:noProof/>
          <w:lang w:val="fr-FR"/>
        </w:rPr>
        <w:t>exploitation sexuelle des enfants et des adolescents à des fins commerciales</w:t>
      </w:r>
      <w:r w:rsidRPr="00DE2A76">
        <w:rPr>
          <w:noProof/>
          <w:lang w:val="fr-FR"/>
        </w:rPr>
        <w:t xml:space="preserve">, </w:t>
      </w:r>
      <w:r>
        <w:rPr>
          <w:noProof/>
          <w:lang w:val="fr-FR"/>
        </w:rPr>
        <w:t>plan qui est en cours de mise à jour et d</w:t>
      </w:r>
      <w:r w:rsidR="00607CA3">
        <w:rPr>
          <w:noProof/>
          <w:lang w:val="fr-FR"/>
        </w:rPr>
        <w:t>’</w:t>
      </w:r>
      <w:r>
        <w:rPr>
          <w:noProof/>
          <w:lang w:val="fr-FR"/>
        </w:rPr>
        <w:t>amélioration</w:t>
      </w:r>
      <w:r w:rsidRPr="00DE2A76">
        <w:rPr>
          <w:noProof/>
          <w:lang w:val="fr-FR"/>
        </w:rPr>
        <w:t xml:space="preserve">. </w:t>
      </w:r>
      <w:r>
        <w:rPr>
          <w:noProof/>
          <w:lang w:val="fr-FR"/>
        </w:rPr>
        <w:t>Le pouvoir exécutif est saisi d</w:t>
      </w:r>
      <w:r w:rsidR="00607CA3">
        <w:rPr>
          <w:noProof/>
          <w:lang w:val="fr-FR"/>
        </w:rPr>
        <w:t>’</w:t>
      </w:r>
      <w:r>
        <w:rPr>
          <w:noProof/>
          <w:lang w:val="fr-FR"/>
        </w:rPr>
        <w:t>une proposition de plan d</w:t>
      </w:r>
      <w:r w:rsidR="00607CA3">
        <w:rPr>
          <w:noProof/>
          <w:lang w:val="fr-FR"/>
        </w:rPr>
        <w:t>’</w:t>
      </w:r>
      <w:r>
        <w:rPr>
          <w:noProof/>
          <w:lang w:val="fr-FR"/>
        </w:rPr>
        <w:t>action intitulée « Plan d</w:t>
      </w:r>
      <w:r w:rsidR="00607CA3">
        <w:rPr>
          <w:noProof/>
          <w:lang w:val="fr-FR"/>
        </w:rPr>
        <w:t>’</w:t>
      </w:r>
      <w:r>
        <w:rPr>
          <w:noProof/>
          <w:lang w:val="fr-FR"/>
        </w:rPr>
        <w:t>action national pour</w:t>
      </w:r>
      <w:r w:rsidRPr="00DE2A76">
        <w:rPr>
          <w:noProof/>
          <w:lang w:val="fr-FR"/>
        </w:rPr>
        <w:t xml:space="preserve"> 2016-2020</w:t>
      </w:r>
      <w:r>
        <w:rPr>
          <w:noProof/>
          <w:lang w:val="fr-FR"/>
        </w:rPr>
        <w:t> »</w:t>
      </w:r>
      <w:r w:rsidRPr="00DE2A76">
        <w:rPr>
          <w:noProof/>
          <w:lang w:val="fr-FR"/>
        </w:rPr>
        <w:t>.</w:t>
      </w:r>
    </w:p>
    <w:p w:rsidR="00596826" w:rsidRPr="00DE2A76" w:rsidRDefault="00596826" w:rsidP="00596826">
      <w:pPr>
        <w:pStyle w:val="SingleTxtG"/>
        <w:rPr>
          <w:noProof/>
          <w:lang w:val="fr-FR"/>
        </w:rPr>
      </w:pPr>
      <w:r w:rsidRPr="00DE2A76">
        <w:rPr>
          <w:noProof/>
          <w:lang w:val="fr-FR"/>
        </w:rPr>
        <w:t>62.</w:t>
      </w:r>
      <w:r w:rsidRPr="00DE2A76">
        <w:rPr>
          <w:noProof/>
          <w:lang w:val="fr-FR"/>
        </w:rPr>
        <w:tab/>
      </w:r>
      <w:r>
        <w:rPr>
          <w:noProof/>
          <w:lang w:val="fr-FR"/>
        </w:rPr>
        <w:t xml:space="preserve">Le décret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noProof/>
          <w:lang w:val="fr-FR"/>
        </w:rPr>
        <w:t> </w:t>
      </w:r>
      <w:r w:rsidRPr="00DE2A76">
        <w:rPr>
          <w:noProof/>
          <w:lang w:val="fr-FR"/>
        </w:rPr>
        <w:t xml:space="preserve">304/015 </w:t>
      </w:r>
      <w:r>
        <w:rPr>
          <w:noProof/>
          <w:lang w:val="fr-FR"/>
        </w:rPr>
        <w:t xml:space="preserve">du pouvoir exécutif a créé </w:t>
      </w:r>
      <w:r w:rsidRPr="00DE2A76">
        <w:rPr>
          <w:noProof/>
          <w:lang w:val="fr-FR"/>
        </w:rPr>
        <w:t xml:space="preserve">la </w:t>
      </w:r>
      <w:r w:rsidRPr="00C27638">
        <w:rPr>
          <w:noProof/>
          <w:lang w:val="fr-FR"/>
        </w:rPr>
        <w:t>Commission interinstitutions de prévention et de répression de la traite des personnes</w:t>
      </w:r>
      <w:r>
        <w:rPr>
          <w:noProof/>
          <w:lang w:val="fr-FR"/>
        </w:rPr>
        <w:t>, qui est notamment chargée d</w:t>
      </w:r>
      <w:r w:rsidR="00607CA3">
        <w:rPr>
          <w:noProof/>
          <w:lang w:val="fr-FR"/>
        </w:rPr>
        <w:t>’</w:t>
      </w:r>
      <w:r>
        <w:rPr>
          <w:noProof/>
          <w:lang w:val="fr-FR"/>
        </w:rPr>
        <w:t>élaborer et de proposer</w:t>
      </w:r>
      <w:r w:rsidRPr="00DE2A76">
        <w:rPr>
          <w:noProof/>
          <w:lang w:val="fr-FR"/>
        </w:rPr>
        <w:t xml:space="preserve"> </w:t>
      </w:r>
      <w:r w:rsidRPr="00411326">
        <w:t>un Plan</w:t>
      </w:r>
      <w:r w:rsidRPr="00DE2A76">
        <w:rPr>
          <w:noProof/>
          <w:lang w:val="fr-FR"/>
        </w:rPr>
        <w:t xml:space="preserve"> </w:t>
      </w:r>
      <w:r>
        <w:rPr>
          <w:noProof/>
          <w:lang w:val="fr-FR"/>
        </w:rPr>
        <w:t>d</w:t>
      </w:r>
      <w:r w:rsidR="00607CA3">
        <w:rPr>
          <w:noProof/>
          <w:lang w:val="fr-FR"/>
        </w:rPr>
        <w:t>’</w:t>
      </w:r>
      <w:r>
        <w:rPr>
          <w:noProof/>
          <w:lang w:val="fr-FR"/>
        </w:rPr>
        <w:t>action n</w:t>
      </w:r>
      <w:r w:rsidRPr="00DE2A76">
        <w:rPr>
          <w:noProof/>
          <w:lang w:val="fr-FR"/>
        </w:rPr>
        <w:t>a</w:t>
      </w:r>
      <w:r>
        <w:rPr>
          <w:noProof/>
          <w:lang w:val="fr-FR"/>
        </w:rPr>
        <w:t>t</w:t>
      </w:r>
      <w:r w:rsidRPr="00DE2A76">
        <w:rPr>
          <w:noProof/>
          <w:lang w:val="fr-FR"/>
        </w:rPr>
        <w:t xml:space="preserve">ional </w:t>
      </w:r>
      <w:r>
        <w:rPr>
          <w:noProof/>
          <w:lang w:val="fr-FR"/>
        </w:rPr>
        <w:t>qui permette d</w:t>
      </w:r>
      <w:r w:rsidR="00607CA3">
        <w:rPr>
          <w:noProof/>
          <w:lang w:val="fr-FR"/>
        </w:rPr>
        <w:t>’</w:t>
      </w:r>
      <w:r>
        <w:rPr>
          <w:noProof/>
          <w:lang w:val="fr-FR"/>
        </w:rPr>
        <w:t xml:space="preserve">honorer les engagements pris au moment de la ratification du Protocole additionnel à la Convention des Nations Unies contre la criminalité transnationale organisée visant à prévenir, réprimer et punir la traite des personnes, en particulier des femmes et des enfants </w:t>
      </w:r>
      <w:r w:rsidRPr="00DE2A76">
        <w:rPr>
          <w:noProof/>
          <w:lang w:val="fr-FR"/>
        </w:rPr>
        <w:t>(</w:t>
      </w:r>
      <w:r>
        <w:rPr>
          <w:noProof/>
          <w:lang w:val="fr-FR"/>
        </w:rPr>
        <w:t>Protocole de Palerme</w:t>
      </w:r>
      <w:r w:rsidRPr="00DE2A76">
        <w:rPr>
          <w:noProof/>
          <w:lang w:val="fr-FR"/>
        </w:rPr>
        <w:t>)</w:t>
      </w:r>
      <w:r>
        <w:rPr>
          <w:noProof/>
          <w:lang w:val="fr-FR"/>
        </w:rPr>
        <w:t>, et de suivre la mise en œuvre de ce Plan</w:t>
      </w:r>
      <w:r w:rsidRPr="00DE2A76">
        <w:rPr>
          <w:noProof/>
          <w:lang w:val="fr-FR"/>
        </w:rPr>
        <w:t xml:space="preserve">. </w:t>
      </w:r>
      <w:r>
        <w:rPr>
          <w:noProof/>
          <w:lang w:val="fr-FR"/>
        </w:rPr>
        <w:t>À l</w:t>
      </w:r>
      <w:r w:rsidR="00607CA3">
        <w:rPr>
          <w:noProof/>
          <w:lang w:val="fr-FR"/>
        </w:rPr>
        <w:t>’</w:t>
      </w:r>
      <w:r>
        <w:rPr>
          <w:noProof/>
          <w:lang w:val="fr-FR"/>
        </w:rPr>
        <w:t>heure actuelle, cette Commission a entrepris d</w:t>
      </w:r>
      <w:r w:rsidR="00607CA3">
        <w:rPr>
          <w:noProof/>
          <w:lang w:val="fr-FR"/>
        </w:rPr>
        <w:t>’</w:t>
      </w:r>
      <w:r>
        <w:rPr>
          <w:noProof/>
          <w:lang w:val="fr-FR"/>
        </w:rPr>
        <w:t xml:space="preserve">élaborer un </w:t>
      </w:r>
      <w:r w:rsidRPr="00DE2A76">
        <w:rPr>
          <w:noProof/>
          <w:lang w:val="fr-FR"/>
        </w:rPr>
        <w:t>Plan d</w:t>
      </w:r>
      <w:r w:rsidR="00607CA3">
        <w:rPr>
          <w:noProof/>
          <w:lang w:val="fr-FR"/>
        </w:rPr>
        <w:t>’</w:t>
      </w:r>
      <w:r>
        <w:rPr>
          <w:noProof/>
          <w:lang w:val="fr-FR"/>
        </w:rPr>
        <w:t xml:space="preserve">action pour </w:t>
      </w:r>
      <w:r w:rsidRPr="00DE2A76">
        <w:rPr>
          <w:noProof/>
          <w:lang w:val="fr-FR"/>
        </w:rPr>
        <w:t>2018-2020</w:t>
      </w:r>
      <w:r>
        <w:rPr>
          <w:noProof/>
          <w:lang w:val="fr-FR"/>
        </w:rPr>
        <w:t>. À cette occasion, l</w:t>
      </w:r>
      <w:r w:rsidR="00607CA3">
        <w:rPr>
          <w:noProof/>
          <w:lang w:val="fr-FR"/>
        </w:rPr>
        <w:t>’</w:t>
      </w:r>
      <w:r>
        <w:rPr>
          <w:noProof/>
          <w:lang w:val="fr-FR"/>
        </w:rPr>
        <w:t>Organisation internationale pour les migrations (OIM) a financé le recours à un consultant chargé d</w:t>
      </w:r>
      <w:r w:rsidR="00607CA3">
        <w:rPr>
          <w:noProof/>
          <w:lang w:val="fr-FR"/>
        </w:rPr>
        <w:t>’</w:t>
      </w:r>
      <w:r>
        <w:rPr>
          <w:noProof/>
          <w:lang w:val="fr-FR"/>
        </w:rPr>
        <w:t>assister la Commission dans cette tâche</w:t>
      </w:r>
      <w:r w:rsidRPr="00DE2A76">
        <w:rPr>
          <w:noProof/>
          <w:lang w:val="fr-FR"/>
        </w:rPr>
        <w:t>.</w:t>
      </w:r>
    </w:p>
    <w:p w:rsidR="00596826" w:rsidRPr="00DE2A76" w:rsidRDefault="00596826" w:rsidP="00596826">
      <w:pPr>
        <w:pStyle w:val="SingleTxtG"/>
        <w:rPr>
          <w:noProof/>
          <w:lang w:val="fr-FR"/>
        </w:rPr>
      </w:pPr>
      <w:r w:rsidRPr="00DE2A76">
        <w:rPr>
          <w:noProof/>
          <w:lang w:val="fr-FR"/>
        </w:rPr>
        <w:t>63.</w:t>
      </w:r>
      <w:r w:rsidRPr="00DE2A76">
        <w:rPr>
          <w:noProof/>
          <w:lang w:val="fr-FR"/>
        </w:rPr>
        <w:tab/>
      </w:r>
      <w:r>
        <w:rPr>
          <w:noProof/>
          <w:lang w:val="fr-FR"/>
        </w:rPr>
        <w:t xml:space="preserve">Entre juillet </w:t>
      </w:r>
      <w:r w:rsidRPr="00DE2A76">
        <w:rPr>
          <w:noProof/>
          <w:lang w:val="fr-FR"/>
        </w:rPr>
        <w:t xml:space="preserve">2015 </w:t>
      </w:r>
      <w:r>
        <w:rPr>
          <w:noProof/>
          <w:lang w:val="fr-FR"/>
        </w:rPr>
        <w:t xml:space="preserve">et août </w:t>
      </w:r>
      <w:r w:rsidRPr="00DE2A76">
        <w:rPr>
          <w:noProof/>
          <w:lang w:val="fr-FR"/>
        </w:rPr>
        <w:t>2016</w:t>
      </w:r>
      <w:r>
        <w:rPr>
          <w:noProof/>
          <w:lang w:val="fr-FR"/>
        </w:rPr>
        <w:t>,</w:t>
      </w:r>
      <w:r w:rsidRPr="00DE2A76">
        <w:rPr>
          <w:noProof/>
          <w:lang w:val="fr-FR"/>
        </w:rPr>
        <w:t xml:space="preserve"> la </w:t>
      </w:r>
      <w:r w:rsidRPr="00C27638">
        <w:rPr>
          <w:noProof/>
          <w:lang w:val="fr-FR"/>
        </w:rPr>
        <w:t xml:space="preserve">Commission interinstitutions </w:t>
      </w:r>
      <w:r>
        <w:rPr>
          <w:noProof/>
          <w:lang w:val="fr-FR"/>
        </w:rPr>
        <w:t>a travaillé sur un document</w:t>
      </w:r>
      <w:r w:rsidRPr="00DE2A76">
        <w:rPr>
          <w:noProof/>
          <w:lang w:val="fr-FR"/>
        </w:rPr>
        <w:t xml:space="preserve"> </w:t>
      </w:r>
      <w:r>
        <w:rPr>
          <w:noProof/>
          <w:lang w:val="fr-FR"/>
        </w:rPr>
        <w:t xml:space="preserve">intitulé Éléments pour un avant-projet </w:t>
      </w:r>
      <w:r w:rsidRPr="00DE2A76">
        <w:rPr>
          <w:noProof/>
          <w:lang w:val="fr-FR"/>
        </w:rPr>
        <w:t xml:space="preserve">de </w:t>
      </w:r>
      <w:r>
        <w:rPr>
          <w:noProof/>
          <w:lang w:val="fr-FR"/>
        </w:rPr>
        <w:t>loi générale sur la prévention et la répression de la traite et de l</w:t>
      </w:r>
      <w:r w:rsidR="00607CA3">
        <w:rPr>
          <w:noProof/>
          <w:lang w:val="fr-FR"/>
        </w:rPr>
        <w:t>’</w:t>
      </w:r>
      <w:r>
        <w:rPr>
          <w:noProof/>
          <w:lang w:val="fr-FR"/>
        </w:rPr>
        <w:t>exploitation des personnes, sur la base d</w:t>
      </w:r>
      <w:r w:rsidR="00607CA3">
        <w:rPr>
          <w:noProof/>
          <w:lang w:val="fr-FR"/>
        </w:rPr>
        <w:t>’</w:t>
      </w:r>
      <w:r>
        <w:rPr>
          <w:noProof/>
          <w:lang w:val="fr-FR"/>
        </w:rPr>
        <w:t xml:space="preserve">un accord </w:t>
      </w:r>
      <w:r w:rsidRPr="00DE2A76">
        <w:rPr>
          <w:noProof/>
          <w:lang w:val="fr-FR"/>
        </w:rPr>
        <w:t xml:space="preserve">entre </w:t>
      </w:r>
      <w:r>
        <w:rPr>
          <w:noProof/>
          <w:lang w:val="fr-FR"/>
        </w:rPr>
        <w:t>l</w:t>
      </w:r>
      <w:r w:rsidR="00607CA3">
        <w:rPr>
          <w:noProof/>
          <w:lang w:val="fr-FR"/>
        </w:rPr>
        <w:t>’</w:t>
      </w:r>
      <w:r>
        <w:rPr>
          <w:noProof/>
          <w:lang w:val="fr-FR"/>
        </w:rPr>
        <w:t xml:space="preserve">OIM et le </w:t>
      </w:r>
      <w:r w:rsidRPr="00DE2A76">
        <w:rPr>
          <w:noProof/>
          <w:lang w:val="fr-FR"/>
        </w:rPr>
        <w:t>Minist</w:t>
      </w:r>
      <w:r>
        <w:rPr>
          <w:noProof/>
          <w:lang w:val="fr-FR"/>
        </w:rPr>
        <w:t>ère des relations extérieures</w:t>
      </w:r>
      <w:r w:rsidRPr="00DE2A76">
        <w:rPr>
          <w:noProof/>
          <w:lang w:val="fr-FR"/>
        </w:rPr>
        <w:t xml:space="preserve">. </w:t>
      </w:r>
      <w:r>
        <w:rPr>
          <w:noProof/>
          <w:lang w:val="fr-FR"/>
        </w:rPr>
        <w:t>Le</w:t>
      </w:r>
      <w:r w:rsidRPr="00DE2A76">
        <w:rPr>
          <w:noProof/>
          <w:lang w:val="fr-FR"/>
        </w:rPr>
        <w:t xml:space="preserve"> 23</w:t>
      </w:r>
      <w:r w:rsidR="00403A38">
        <w:rPr>
          <w:noProof/>
          <w:lang w:val="fr-FR"/>
        </w:rPr>
        <w:t> </w:t>
      </w:r>
      <w:r w:rsidRPr="00DE2A76">
        <w:rPr>
          <w:noProof/>
          <w:lang w:val="fr-FR"/>
        </w:rPr>
        <w:t xml:space="preserve">septembre 2016, </w:t>
      </w:r>
      <w:r>
        <w:rPr>
          <w:noProof/>
          <w:lang w:val="fr-FR"/>
        </w:rPr>
        <w:t xml:space="preserve">dans le cadre de la </w:t>
      </w:r>
      <w:r w:rsidRPr="007E465A">
        <w:rPr>
          <w:noProof/>
          <w:lang w:val="fr-FR"/>
        </w:rPr>
        <w:t>Journée internationale contre l</w:t>
      </w:r>
      <w:r w:rsidR="00607CA3">
        <w:rPr>
          <w:noProof/>
          <w:lang w:val="fr-FR"/>
        </w:rPr>
        <w:t>’</w:t>
      </w:r>
      <w:r w:rsidRPr="007E465A">
        <w:rPr>
          <w:noProof/>
          <w:lang w:val="fr-FR"/>
        </w:rPr>
        <w:t>exploitation sexuelle et le trafic de femmes et d</w:t>
      </w:r>
      <w:r w:rsidR="00607CA3">
        <w:rPr>
          <w:noProof/>
          <w:lang w:val="fr-FR"/>
        </w:rPr>
        <w:t>’</w:t>
      </w:r>
      <w:r w:rsidRPr="007E465A">
        <w:rPr>
          <w:noProof/>
          <w:lang w:val="fr-FR"/>
        </w:rPr>
        <w:t>enfants</w:t>
      </w:r>
      <w:r w:rsidRPr="00DE2A76">
        <w:rPr>
          <w:noProof/>
          <w:lang w:val="fr-FR"/>
        </w:rPr>
        <w:t xml:space="preserve">, </w:t>
      </w:r>
      <w:r>
        <w:rPr>
          <w:noProof/>
          <w:lang w:val="fr-FR"/>
        </w:rPr>
        <w:t xml:space="preserve">le document susvisé a été présenté </w:t>
      </w:r>
      <w:r w:rsidRPr="00DE2A76">
        <w:rPr>
          <w:noProof/>
          <w:lang w:val="fr-FR"/>
        </w:rPr>
        <w:t>a</w:t>
      </w:r>
      <w:r>
        <w:rPr>
          <w:noProof/>
          <w:lang w:val="fr-FR"/>
        </w:rPr>
        <w:t xml:space="preserve">ux responsables des institutions compétentes en la matière et à la </w:t>
      </w:r>
      <w:r w:rsidRPr="00DE2A76">
        <w:rPr>
          <w:noProof/>
          <w:lang w:val="fr-FR"/>
        </w:rPr>
        <w:t>Com</w:t>
      </w:r>
      <w:r>
        <w:rPr>
          <w:noProof/>
          <w:lang w:val="fr-FR"/>
        </w:rPr>
        <w:t xml:space="preserve">mission spéciale du Sénat chargée de dresser un état de la situation de la traite des personnes en </w:t>
      </w:r>
      <w:r w:rsidRPr="00DE2A76">
        <w:rPr>
          <w:noProof/>
          <w:lang w:val="fr-FR"/>
        </w:rPr>
        <w:t xml:space="preserve">Uruguay. </w:t>
      </w:r>
      <w:r>
        <w:rPr>
          <w:noProof/>
          <w:lang w:val="fr-FR"/>
        </w:rPr>
        <w:t xml:space="preserve">Le </w:t>
      </w:r>
      <w:r w:rsidRPr="00DE2A76">
        <w:rPr>
          <w:noProof/>
          <w:lang w:val="fr-FR"/>
        </w:rPr>
        <w:t>9</w:t>
      </w:r>
      <w:r w:rsidR="00403A38">
        <w:rPr>
          <w:noProof/>
          <w:lang w:val="fr-FR"/>
        </w:rPr>
        <w:t> </w:t>
      </w:r>
      <w:r w:rsidRPr="00DE2A76">
        <w:rPr>
          <w:noProof/>
          <w:lang w:val="fr-FR"/>
        </w:rPr>
        <w:t>oct</w:t>
      </w:r>
      <w:r>
        <w:rPr>
          <w:noProof/>
          <w:lang w:val="fr-FR"/>
        </w:rPr>
        <w:t>o</w:t>
      </w:r>
      <w:r w:rsidRPr="00DE2A76">
        <w:rPr>
          <w:noProof/>
          <w:lang w:val="fr-FR"/>
        </w:rPr>
        <w:t>bre 2017</w:t>
      </w:r>
      <w:r>
        <w:rPr>
          <w:noProof/>
          <w:lang w:val="fr-FR"/>
        </w:rPr>
        <w:t>, le pouvoir exécutif a, en Conseil des ministres, remis à l</w:t>
      </w:r>
      <w:r w:rsidR="00607CA3">
        <w:rPr>
          <w:noProof/>
          <w:lang w:val="fr-FR"/>
        </w:rPr>
        <w:t>’</w:t>
      </w:r>
      <w:r>
        <w:rPr>
          <w:noProof/>
          <w:lang w:val="fr-FR"/>
        </w:rPr>
        <w:t>Assemblée générale le projet de loi générale sur la prévention et la répression de la traite et de l</w:t>
      </w:r>
      <w:r w:rsidR="00607CA3">
        <w:rPr>
          <w:noProof/>
          <w:lang w:val="fr-FR"/>
        </w:rPr>
        <w:t>’</w:t>
      </w:r>
      <w:r>
        <w:rPr>
          <w:noProof/>
          <w:lang w:val="fr-FR"/>
        </w:rPr>
        <w:t>exploitation des personnes</w:t>
      </w:r>
      <w:r w:rsidRPr="00DE2A76">
        <w:rPr>
          <w:noProof/>
          <w:lang w:val="fr-FR"/>
        </w:rPr>
        <w:t xml:space="preserve">. </w:t>
      </w:r>
      <w:r>
        <w:rPr>
          <w:noProof/>
          <w:lang w:val="fr-FR"/>
        </w:rPr>
        <w:t xml:space="preserve">Ce projet a été examiné par la </w:t>
      </w:r>
      <w:r w:rsidRPr="00DE2A76">
        <w:rPr>
          <w:noProof/>
          <w:lang w:val="fr-FR"/>
        </w:rPr>
        <w:t>Com</w:t>
      </w:r>
      <w:r>
        <w:rPr>
          <w:noProof/>
          <w:lang w:val="fr-FR"/>
        </w:rPr>
        <w:t xml:space="preserve">mission spéciale chargée de dresser un état de la situation de la traite des personnes en </w:t>
      </w:r>
      <w:r w:rsidRPr="00DE2A76">
        <w:rPr>
          <w:noProof/>
          <w:lang w:val="fr-FR"/>
        </w:rPr>
        <w:t xml:space="preserve">Uruguay </w:t>
      </w:r>
      <w:r>
        <w:rPr>
          <w:noProof/>
          <w:lang w:val="fr-FR"/>
        </w:rPr>
        <w:t>et de mettre en place le cadre législatif nécessaire, avant d</w:t>
      </w:r>
      <w:r w:rsidR="00607CA3">
        <w:rPr>
          <w:noProof/>
          <w:lang w:val="fr-FR"/>
        </w:rPr>
        <w:t>’</w:t>
      </w:r>
      <w:r>
        <w:rPr>
          <w:noProof/>
          <w:lang w:val="fr-FR"/>
        </w:rPr>
        <w:t>être remis au Sénat. Celui-ci en a approuvé le texte le 14</w:t>
      </w:r>
      <w:r w:rsidR="00332CC9">
        <w:rPr>
          <w:noProof/>
          <w:lang w:val="fr-FR"/>
        </w:rPr>
        <w:t> </w:t>
      </w:r>
      <w:r>
        <w:rPr>
          <w:noProof/>
          <w:lang w:val="fr-FR"/>
        </w:rPr>
        <w:t>novembre et l</w:t>
      </w:r>
      <w:r w:rsidR="00607CA3">
        <w:rPr>
          <w:noProof/>
          <w:lang w:val="fr-FR"/>
        </w:rPr>
        <w:t>’</w:t>
      </w:r>
      <w:r>
        <w:rPr>
          <w:noProof/>
          <w:lang w:val="fr-FR"/>
        </w:rPr>
        <w:t>a transmis à la Chambre des représentants</w:t>
      </w:r>
      <w:r w:rsidRPr="00DE2A76">
        <w:rPr>
          <w:noProof/>
          <w:lang w:val="fr-FR"/>
        </w:rPr>
        <w:t>.</w:t>
      </w:r>
    </w:p>
    <w:p w:rsidR="00596826" w:rsidRPr="00DE2A76" w:rsidRDefault="00596826" w:rsidP="00596826">
      <w:pPr>
        <w:pStyle w:val="SingleTxtG"/>
        <w:rPr>
          <w:noProof/>
          <w:lang w:val="fr-FR"/>
        </w:rPr>
      </w:pPr>
      <w:r w:rsidRPr="00DE2A76">
        <w:rPr>
          <w:noProof/>
          <w:lang w:val="fr-FR"/>
        </w:rPr>
        <w:t>64.</w:t>
      </w:r>
      <w:r w:rsidRPr="00DE2A76">
        <w:rPr>
          <w:noProof/>
          <w:lang w:val="fr-FR"/>
        </w:rPr>
        <w:tab/>
        <w:t>P</w:t>
      </w:r>
      <w:r>
        <w:rPr>
          <w:noProof/>
          <w:lang w:val="fr-FR"/>
        </w:rPr>
        <w:t>ar ailleurs et toujours afin de prévenir, combattre et sanctionner la traite des personnes</w:t>
      </w:r>
      <w:r w:rsidRPr="009D4907">
        <w:rPr>
          <w:noProof/>
          <w:lang w:val="fr-FR"/>
        </w:rPr>
        <w:t>, différentes campagnes ont été menées pour mieux sensibiliser la population au problème de la traite</w:t>
      </w:r>
      <w:r>
        <w:rPr>
          <w:noProof/>
          <w:lang w:val="fr-FR"/>
        </w:rPr>
        <w:t xml:space="preserve">. On a utilisé à cette fin, entre autres moyens, les médias et les </w:t>
      </w:r>
      <w:r w:rsidRPr="009D4907">
        <w:rPr>
          <w:noProof/>
          <w:lang w:val="fr-FR"/>
        </w:rPr>
        <w:t>tec</w:t>
      </w:r>
      <w:r>
        <w:rPr>
          <w:noProof/>
          <w:lang w:val="fr-FR"/>
        </w:rPr>
        <w:t>h</w:t>
      </w:r>
      <w:r w:rsidRPr="009D4907">
        <w:rPr>
          <w:noProof/>
          <w:lang w:val="fr-FR"/>
        </w:rPr>
        <w:t>nolog</w:t>
      </w:r>
      <w:r>
        <w:rPr>
          <w:noProof/>
          <w:lang w:val="fr-FR"/>
        </w:rPr>
        <w:t xml:space="preserve">ies </w:t>
      </w:r>
      <w:r w:rsidRPr="009D4907">
        <w:rPr>
          <w:noProof/>
          <w:lang w:val="fr-FR"/>
        </w:rPr>
        <w:t>de l</w:t>
      </w:r>
      <w:r w:rsidR="00607CA3">
        <w:rPr>
          <w:noProof/>
          <w:lang w:val="fr-FR"/>
        </w:rPr>
        <w:t>’</w:t>
      </w:r>
      <w:r w:rsidRPr="009D4907">
        <w:rPr>
          <w:noProof/>
          <w:lang w:val="fr-FR"/>
        </w:rPr>
        <w:t>informa</w:t>
      </w:r>
      <w:r>
        <w:rPr>
          <w:noProof/>
          <w:lang w:val="fr-FR"/>
        </w:rPr>
        <w:t xml:space="preserve">tion et des </w:t>
      </w:r>
      <w:r w:rsidRPr="009D4907">
        <w:rPr>
          <w:noProof/>
          <w:lang w:val="fr-FR"/>
        </w:rPr>
        <w:t>com</w:t>
      </w:r>
      <w:r>
        <w:rPr>
          <w:noProof/>
          <w:lang w:val="fr-FR"/>
        </w:rPr>
        <w:t>m</w:t>
      </w:r>
      <w:r w:rsidRPr="009D4907">
        <w:rPr>
          <w:noProof/>
          <w:lang w:val="fr-FR"/>
        </w:rPr>
        <w:t>unica</w:t>
      </w:r>
      <w:r>
        <w:rPr>
          <w:noProof/>
          <w:lang w:val="fr-FR"/>
        </w:rPr>
        <w:t xml:space="preserve">tions pour faire passer un </w:t>
      </w:r>
      <w:r w:rsidRPr="009D4907">
        <w:rPr>
          <w:noProof/>
          <w:lang w:val="fr-FR"/>
        </w:rPr>
        <w:t>me</w:t>
      </w:r>
      <w:r>
        <w:rPr>
          <w:noProof/>
          <w:lang w:val="fr-FR"/>
        </w:rPr>
        <w:t>ssage fort</w:t>
      </w:r>
      <w:r w:rsidRPr="009D4907">
        <w:rPr>
          <w:noProof/>
          <w:lang w:val="fr-FR"/>
        </w:rPr>
        <w:t xml:space="preserve"> tant</w:t>
      </w:r>
      <w:r>
        <w:rPr>
          <w:noProof/>
          <w:lang w:val="fr-FR"/>
        </w:rPr>
        <w:t xml:space="preserve"> contre la traite des personnes que contre </w:t>
      </w:r>
      <w:r w:rsidRPr="009D4907">
        <w:rPr>
          <w:noProof/>
          <w:lang w:val="fr-FR"/>
        </w:rPr>
        <w:t>l</w:t>
      </w:r>
      <w:r w:rsidR="00607CA3">
        <w:rPr>
          <w:noProof/>
          <w:lang w:val="fr-FR"/>
        </w:rPr>
        <w:t>’</w:t>
      </w:r>
      <w:r w:rsidRPr="009D4907">
        <w:rPr>
          <w:noProof/>
          <w:lang w:val="fr-FR"/>
        </w:rPr>
        <w:t>explo</w:t>
      </w:r>
      <w:r>
        <w:rPr>
          <w:noProof/>
          <w:lang w:val="fr-FR"/>
        </w:rPr>
        <w:t>i</w:t>
      </w:r>
      <w:r w:rsidRPr="009D4907">
        <w:rPr>
          <w:noProof/>
          <w:lang w:val="fr-FR"/>
        </w:rPr>
        <w:t>ta</w:t>
      </w:r>
      <w:r>
        <w:rPr>
          <w:noProof/>
          <w:lang w:val="fr-FR"/>
        </w:rPr>
        <w:t>tion sexuelle des enfants. Il s</w:t>
      </w:r>
      <w:r w:rsidR="00607CA3">
        <w:rPr>
          <w:noProof/>
          <w:lang w:val="fr-FR"/>
        </w:rPr>
        <w:t>’</w:t>
      </w:r>
      <w:r>
        <w:rPr>
          <w:noProof/>
          <w:lang w:val="fr-FR"/>
        </w:rPr>
        <w:t xml:space="preserve">est agi notamment des campagnes </w:t>
      </w:r>
      <w:r w:rsidRPr="009D4907">
        <w:rPr>
          <w:noProof/>
          <w:lang w:val="fr-FR"/>
        </w:rPr>
        <w:t>suivantes</w:t>
      </w:r>
      <w:r>
        <w:rPr>
          <w:noProof/>
          <w:lang w:val="fr-FR"/>
        </w:rPr>
        <w:t> :</w:t>
      </w:r>
      <w:r w:rsidRPr="009D4907">
        <w:rPr>
          <w:noProof/>
          <w:lang w:val="fr-FR"/>
        </w:rPr>
        <w:t xml:space="preserve"> la campagne «</w:t>
      </w:r>
      <w:r w:rsidR="00403A38">
        <w:rPr>
          <w:noProof/>
          <w:lang w:val="fr-FR"/>
        </w:rPr>
        <w:t> </w:t>
      </w:r>
      <w:r w:rsidRPr="009D4907">
        <w:rPr>
          <w:noProof/>
          <w:lang w:val="fr-FR"/>
        </w:rPr>
        <w:t xml:space="preserve">Tourisme </w:t>
      </w:r>
      <w:r>
        <w:rPr>
          <w:noProof/>
          <w:lang w:val="fr-FR"/>
        </w:rPr>
        <w:t>sain</w:t>
      </w:r>
      <w:r w:rsidR="00403A38">
        <w:rPr>
          <w:noProof/>
          <w:lang w:val="fr-FR"/>
        </w:rPr>
        <w:t> </w:t>
      </w:r>
      <w:r w:rsidRPr="009D4907">
        <w:rPr>
          <w:noProof/>
          <w:lang w:val="fr-FR"/>
        </w:rPr>
        <w:t>»</w:t>
      </w:r>
      <w:r w:rsidR="00403A38">
        <w:rPr>
          <w:noProof/>
          <w:lang w:val="fr-FR"/>
        </w:rPr>
        <w:t> </w:t>
      </w:r>
      <w:r w:rsidRPr="009D4907">
        <w:rPr>
          <w:noProof/>
          <w:lang w:val="fr-FR"/>
        </w:rPr>
        <w:t>; la campagne régionale «</w:t>
      </w:r>
      <w:r w:rsidR="00403A38">
        <w:rPr>
          <w:noProof/>
          <w:lang w:val="fr-FR"/>
        </w:rPr>
        <w:t> </w:t>
      </w:r>
      <w:r w:rsidRPr="009D4907">
        <w:rPr>
          <w:noProof/>
          <w:lang w:val="fr-FR"/>
        </w:rPr>
        <w:t>M</w:t>
      </w:r>
      <w:r>
        <w:rPr>
          <w:noProof/>
          <w:lang w:val="fr-FR"/>
        </w:rPr>
        <w:t xml:space="preserve">ERCOSUR </w:t>
      </w:r>
      <w:r w:rsidRPr="009D4907">
        <w:rPr>
          <w:noProof/>
          <w:lang w:val="fr-FR"/>
        </w:rPr>
        <w:t xml:space="preserve">sans traite des </w:t>
      </w:r>
      <w:r>
        <w:rPr>
          <w:noProof/>
          <w:lang w:val="fr-FR"/>
        </w:rPr>
        <w:t>personnes</w:t>
      </w:r>
      <w:r w:rsidR="00403A38">
        <w:rPr>
          <w:noProof/>
          <w:lang w:val="fr-FR"/>
        </w:rPr>
        <w:t> </w:t>
      </w:r>
      <w:r>
        <w:rPr>
          <w:noProof/>
          <w:lang w:val="fr-FR"/>
        </w:rPr>
        <w:t>»</w:t>
      </w:r>
      <w:r w:rsidR="00403A38">
        <w:rPr>
          <w:noProof/>
          <w:lang w:val="fr-FR"/>
        </w:rPr>
        <w:t> </w:t>
      </w:r>
      <w:r w:rsidRPr="009D4907">
        <w:rPr>
          <w:noProof/>
          <w:lang w:val="fr-FR"/>
        </w:rPr>
        <w:t>; la campagne «</w:t>
      </w:r>
      <w:r w:rsidR="00403A38">
        <w:rPr>
          <w:noProof/>
          <w:lang w:val="fr-FR"/>
        </w:rPr>
        <w:t> </w:t>
      </w:r>
      <w:r w:rsidRPr="009D4907">
        <w:rPr>
          <w:noProof/>
          <w:lang w:val="fr-FR"/>
        </w:rPr>
        <w:t>Cesse</w:t>
      </w:r>
      <w:r>
        <w:rPr>
          <w:noProof/>
          <w:lang w:val="fr-FR"/>
        </w:rPr>
        <w:t>z de collaborer</w:t>
      </w:r>
      <w:r w:rsidR="00403A38">
        <w:rPr>
          <w:noProof/>
          <w:lang w:val="fr-FR"/>
        </w:rPr>
        <w:t> </w:t>
      </w:r>
      <w:r>
        <w:rPr>
          <w:noProof/>
          <w:lang w:val="fr-FR"/>
        </w:rPr>
        <w:t>»</w:t>
      </w:r>
      <w:r w:rsidR="00403A38">
        <w:rPr>
          <w:noProof/>
          <w:lang w:val="fr-FR"/>
        </w:rPr>
        <w:t> </w:t>
      </w:r>
      <w:r w:rsidRPr="009D4907">
        <w:rPr>
          <w:noProof/>
          <w:lang w:val="fr-FR"/>
        </w:rPr>
        <w:t>; le projet «</w:t>
      </w:r>
      <w:r w:rsidR="00403A38">
        <w:rPr>
          <w:noProof/>
          <w:lang w:val="fr-FR"/>
        </w:rPr>
        <w:t> </w:t>
      </w:r>
      <w:r w:rsidRPr="009D4907">
        <w:rPr>
          <w:noProof/>
          <w:lang w:val="fr-FR"/>
        </w:rPr>
        <w:t>Bienvenue en Uruguay</w:t>
      </w:r>
      <w:r>
        <w:rPr>
          <w:noProof/>
          <w:lang w:val="fr-FR"/>
        </w:rPr>
        <w:t> :</w:t>
      </w:r>
      <w:r w:rsidRPr="009D4907">
        <w:rPr>
          <w:noProof/>
          <w:lang w:val="fr-FR"/>
        </w:rPr>
        <w:t xml:space="preserve"> u</w:t>
      </w:r>
      <w:r>
        <w:rPr>
          <w:noProof/>
          <w:lang w:val="fr-FR"/>
        </w:rPr>
        <w:t>n pays qui vous traitera bien</w:t>
      </w:r>
      <w:r w:rsidR="00403A38">
        <w:rPr>
          <w:noProof/>
          <w:lang w:val="fr-FR"/>
        </w:rPr>
        <w:t> </w:t>
      </w:r>
      <w:r>
        <w:rPr>
          <w:noProof/>
          <w:lang w:val="fr-FR"/>
        </w:rPr>
        <w:t>»</w:t>
      </w:r>
      <w:r w:rsidR="00403A38">
        <w:rPr>
          <w:noProof/>
          <w:lang w:val="fr-FR"/>
        </w:rPr>
        <w:t> </w:t>
      </w:r>
      <w:r w:rsidRPr="009D4907">
        <w:rPr>
          <w:noProof/>
          <w:lang w:val="fr-FR"/>
        </w:rPr>
        <w:t>; l</w:t>
      </w:r>
      <w:r w:rsidR="00607CA3">
        <w:rPr>
          <w:noProof/>
          <w:lang w:val="fr-FR"/>
        </w:rPr>
        <w:t>’</w:t>
      </w:r>
      <w:r w:rsidRPr="009D4907">
        <w:rPr>
          <w:noProof/>
          <w:lang w:val="fr-FR"/>
        </w:rPr>
        <w:t>ini</w:t>
      </w:r>
      <w:r>
        <w:rPr>
          <w:noProof/>
          <w:lang w:val="fr-FR"/>
        </w:rPr>
        <w:t>tiative «</w:t>
      </w:r>
      <w:r w:rsidR="00403A38">
        <w:rPr>
          <w:noProof/>
          <w:lang w:val="fr-FR"/>
        </w:rPr>
        <w:t> </w:t>
      </w:r>
      <w:r>
        <w:rPr>
          <w:noProof/>
          <w:lang w:val="fr-FR"/>
        </w:rPr>
        <w:t>Pour une main juste</w:t>
      </w:r>
      <w:r w:rsidR="00403A38">
        <w:rPr>
          <w:noProof/>
          <w:lang w:val="fr-FR"/>
        </w:rPr>
        <w:t> </w:t>
      </w:r>
      <w:r>
        <w:rPr>
          <w:noProof/>
          <w:lang w:val="fr-FR"/>
        </w:rPr>
        <w:t>»</w:t>
      </w:r>
      <w:r w:rsidR="00403A38">
        <w:rPr>
          <w:noProof/>
          <w:lang w:val="fr-FR"/>
        </w:rPr>
        <w:t> </w:t>
      </w:r>
      <w:r w:rsidRPr="009D4907">
        <w:rPr>
          <w:noProof/>
          <w:lang w:val="fr-FR"/>
        </w:rPr>
        <w:t>; et la campagne publicitaire «</w:t>
      </w:r>
      <w:r w:rsidR="00403A38">
        <w:rPr>
          <w:noProof/>
          <w:lang w:val="fr-FR"/>
        </w:rPr>
        <w:t> </w:t>
      </w:r>
      <w:r w:rsidRPr="009D4907">
        <w:rPr>
          <w:noProof/>
          <w:lang w:val="fr-FR"/>
        </w:rPr>
        <w:t>Il n</w:t>
      </w:r>
      <w:r w:rsidR="00607CA3">
        <w:rPr>
          <w:noProof/>
          <w:lang w:val="fr-FR"/>
        </w:rPr>
        <w:t>’</w:t>
      </w:r>
      <w:r w:rsidRPr="009D4907">
        <w:rPr>
          <w:noProof/>
          <w:lang w:val="fr-FR"/>
        </w:rPr>
        <w:t>y a pas d</w:t>
      </w:r>
      <w:r w:rsidR="00607CA3">
        <w:rPr>
          <w:noProof/>
          <w:lang w:val="fr-FR"/>
        </w:rPr>
        <w:t>’</w:t>
      </w:r>
      <w:r w:rsidRPr="009D4907">
        <w:rPr>
          <w:noProof/>
          <w:lang w:val="fr-FR"/>
        </w:rPr>
        <w:t>excuse</w:t>
      </w:r>
      <w:r w:rsidR="00403A38">
        <w:rPr>
          <w:noProof/>
          <w:lang w:val="fr-FR"/>
        </w:rPr>
        <w:t> </w:t>
      </w:r>
      <w:r w:rsidRPr="009D4907">
        <w:rPr>
          <w:noProof/>
          <w:lang w:val="fr-FR"/>
        </w:rPr>
        <w:t>»</w:t>
      </w:r>
      <w:r w:rsidRPr="00DE2A76">
        <w:rPr>
          <w:noProof/>
          <w:lang w:val="fr-FR"/>
        </w:rPr>
        <w:t>.</w:t>
      </w:r>
    </w:p>
    <w:p w:rsidR="00596826" w:rsidRPr="00DE2A76" w:rsidRDefault="00596826" w:rsidP="00596826">
      <w:pPr>
        <w:pStyle w:val="SingleTxtG"/>
        <w:rPr>
          <w:noProof/>
          <w:lang w:val="fr-FR"/>
        </w:rPr>
      </w:pPr>
      <w:r w:rsidRPr="00DE2A76">
        <w:rPr>
          <w:noProof/>
          <w:lang w:val="fr-FR"/>
        </w:rPr>
        <w:t>65.</w:t>
      </w:r>
      <w:r w:rsidRPr="00DE2A76">
        <w:rPr>
          <w:noProof/>
          <w:lang w:val="fr-FR"/>
        </w:rPr>
        <w:tab/>
        <w:t xml:space="preserve">En </w:t>
      </w:r>
      <w:r>
        <w:rPr>
          <w:noProof/>
          <w:lang w:val="fr-FR"/>
        </w:rPr>
        <w:t>ce qui concerne la signature d</w:t>
      </w:r>
      <w:r w:rsidR="00607CA3">
        <w:rPr>
          <w:noProof/>
          <w:lang w:val="fr-FR"/>
        </w:rPr>
        <w:t>’</w:t>
      </w:r>
      <w:r>
        <w:rPr>
          <w:noProof/>
          <w:lang w:val="fr-FR"/>
        </w:rPr>
        <w:t>accords, l</w:t>
      </w:r>
      <w:r w:rsidR="00607CA3">
        <w:rPr>
          <w:noProof/>
          <w:lang w:val="fr-FR"/>
        </w:rPr>
        <w:t>’</w:t>
      </w:r>
      <w:r w:rsidRPr="00DE2A76">
        <w:rPr>
          <w:noProof/>
          <w:lang w:val="fr-FR"/>
        </w:rPr>
        <w:t xml:space="preserve">Uruguay </w:t>
      </w:r>
      <w:r>
        <w:rPr>
          <w:noProof/>
          <w:lang w:val="fr-FR"/>
        </w:rPr>
        <w:t>a signé les instruments ci</w:t>
      </w:r>
      <w:r w:rsidR="000A6A4C">
        <w:rPr>
          <w:noProof/>
          <w:lang w:val="fr-FR"/>
        </w:rPr>
        <w:noBreakHyphen/>
      </w:r>
      <w:r>
        <w:rPr>
          <w:noProof/>
          <w:lang w:val="fr-FR"/>
        </w:rPr>
        <w:t>après :</w:t>
      </w:r>
      <w:r w:rsidRPr="00DE2A76">
        <w:rPr>
          <w:noProof/>
          <w:lang w:val="fr-FR"/>
        </w:rPr>
        <w:t xml:space="preserve"> </w:t>
      </w:r>
      <w:r w:rsidRPr="00A76775">
        <w:rPr>
          <w:noProof/>
          <w:lang w:val="fr-FR"/>
        </w:rPr>
        <w:t>Convention pour la répression de la traite des êtres humains et de l</w:t>
      </w:r>
      <w:r w:rsidR="00607CA3">
        <w:rPr>
          <w:noProof/>
          <w:lang w:val="fr-FR"/>
        </w:rPr>
        <w:t>’</w:t>
      </w:r>
      <w:r w:rsidRPr="00A76775">
        <w:rPr>
          <w:noProof/>
          <w:lang w:val="fr-FR"/>
        </w:rPr>
        <w:t>exploitation de la prostitution d</w:t>
      </w:r>
      <w:r w:rsidR="00607CA3">
        <w:rPr>
          <w:noProof/>
          <w:lang w:val="fr-FR"/>
        </w:rPr>
        <w:t>’</w:t>
      </w:r>
      <w:r w:rsidRPr="00A76775">
        <w:rPr>
          <w:noProof/>
          <w:lang w:val="fr-FR"/>
        </w:rPr>
        <w:t>autrui, Convention contre la torture et autres peines ou traitements cruels, inhumains ou dégradants, Convention interaméricaine pour la prévention et la répression de</w:t>
      </w:r>
      <w:r w:rsidRPr="00411326">
        <w:t xml:space="preserve"> la torture, et </w:t>
      </w:r>
      <w:r w:rsidRPr="00DE2A76">
        <w:rPr>
          <w:noProof/>
          <w:lang w:val="fr-FR"/>
        </w:rPr>
        <w:t>Protocol</w:t>
      </w:r>
      <w:r>
        <w:rPr>
          <w:noProof/>
          <w:lang w:val="fr-FR"/>
        </w:rPr>
        <w:t xml:space="preserve">e facultatif se rapportant à la </w:t>
      </w:r>
      <w:r w:rsidRPr="00710E23">
        <w:rPr>
          <w:noProof/>
          <w:lang w:val="fr-FR"/>
        </w:rPr>
        <w:t>Convention contre la torture et autres peines ou traitements cruels, inhumains ou dégradants</w:t>
      </w:r>
      <w:r w:rsidRPr="00DE2A76">
        <w:rPr>
          <w:noProof/>
          <w:lang w:val="fr-FR"/>
        </w:rPr>
        <w:t>. To</w:t>
      </w:r>
      <w:r>
        <w:rPr>
          <w:noProof/>
          <w:lang w:val="fr-FR"/>
        </w:rPr>
        <w:t>us ces instruments sont en vigueur pour le pays</w:t>
      </w:r>
      <w:r w:rsidRPr="00DE2A76">
        <w:rPr>
          <w:noProof/>
          <w:lang w:val="fr-FR"/>
        </w:rPr>
        <w:t>.</w:t>
      </w:r>
    </w:p>
    <w:p w:rsidR="00596826" w:rsidRPr="00DE2A76" w:rsidRDefault="00596826" w:rsidP="00596826">
      <w:pPr>
        <w:pStyle w:val="SingleTxtG"/>
        <w:rPr>
          <w:noProof/>
          <w:lang w:val="fr-FR"/>
        </w:rPr>
      </w:pPr>
      <w:r w:rsidRPr="00DE2A76">
        <w:rPr>
          <w:noProof/>
          <w:lang w:val="fr-FR"/>
        </w:rPr>
        <w:t>66.</w:t>
      </w:r>
      <w:r w:rsidRPr="00DE2A76">
        <w:rPr>
          <w:noProof/>
          <w:lang w:val="fr-FR"/>
        </w:rPr>
        <w:tab/>
      </w:r>
      <w:r>
        <w:rPr>
          <w:noProof/>
          <w:lang w:val="fr-FR"/>
        </w:rPr>
        <w:t>Pour ce qui est des actions menées aux niveaux national, bilatéral et sous-régional avec d</w:t>
      </w:r>
      <w:r w:rsidR="00607CA3">
        <w:rPr>
          <w:noProof/>
          <w:lang w:val="fr-FR"/>
        </w:rPr>
        <w:t>’</w:t>
      </w:r>
      <w:r>
        <w:rPr>
          <w:noProof/>
          <w:lang w:val="fr-FR"/>
        </w:rPr>
        <w:t xml:space="preserve">autres pays pour prévenir et combattre la traite des personnes, le </w:t>
      </w:r>
      <w:r w:rsidRPr="006503EC">
        <w:rPr>
          <w:noProof/>
          <w:lang w:val="fr-FR"/>
        </w:rPr>
        <w:t xml:space="preserve">Mécanisme de coordination de la prise en charge des femmes victimes de la traite des personnes à </w:t>
      </w:r>
      <w:r w:rsidRPr="00332CC9">
        <w:rPr>
          <w:noProof/>
          <w:spacing w:val="-2"/>
          <w:lang w:val="fr-FR"/>
        </w:rPr>
        <w:t>l</w:t>
      </w:r>
      <w:r w:rsidR="00607CA3" w:rsidRPr="00332CC9">
        <w:rPr>
          <w:noProof/>
          <w:spacing w:val="-2"/>
          <w:lang w:val="fr-FR"/>
        </w:rPr>
        <w:t>’</w:t>
      </w:r>
      <w:r w:rsidRPr="00332CC9">
        <w:rPr>
          <w:noProof/>
          <w:spacing w:val="-2"/>
          <w:lang w:val="fr-FR"/>
        </w:rPr>
        <w:t xml:space="preserve">échelon </w:t>
      </w:r>
      <w:r w:rsidRPr="00332CC9">
        <w:rPr>
          <w:noProof/>
          <w:lang w:val="fr-FR"/>
        </w:rPr>
        <w:t>international</w:t>
      </w:r>
      <w:r w:rsidRPr="00332CC9">
        <w:rPr>
          <w:spacing w:val="-2"/>
        </w:rPr>
        <w:t xml:space="preserve"> </w:t>
      </w:r>
      <w:r w:rsidRPr="00332CC9">
        <w:rPr>
          <w:noProof/>
          <w:spacing w:val="-2"/>
          <w:lang w:val="fr-FR"/>
        </w:rPr>
        <w:t>(MERCOSUR/CMC/DEC. </w:t>
      </w:r>
      <w:r w:rsidR="000A6A4C" w:rsidRPr="00332CC9">
        <w:rPr>
          <w:rFonts w:eastAsia="MS Mincho"/>
          <w:noProof/>
          <w:spacing w:val="-2"/>
          <w:szCs w:val="22"/>
          <w:lang w:val="fr-FR"/>
        </w:rPr>
        <w:t>N</w:t>
      </w:r>
      <w:r w:rsidR="000A6A4C" w:rsidRPr="00332CC9">
        <w:rPr>
          <w:rFonts w:eastAsia="MS Mincho"/>
          <w:noProof/>
          <w:spacing w:val="-2"/>
          <w:szCs w:val="22"/>
          <w:vertAlign w:val="superscript"/>
          <w:lang w:val="fr-FR"/>
        </w:rPr>
        <w:t>o</w:t>
      </w:r>
      <w:r w:rsidR="000A6A4C" w:rsidRPr="00332CC9">
        <w:rPr>
          <w:noProof/>
          <w:spacing w:val="-2"/>
          <w:lang w:val="fr-FR"/>
        </w:rPr>
        <w:t> </w:t>
      </w:r>
      <w:r w:rsidRPr="00332CC9">
        <w:rPr>
          <w:noProof/>
          <w:spacing w:val="-2"/>
          <w:lang w:val="fr-FR"/>
        </w:rPr>
        <w:t>32/12) relie au RÉSEAU MERCOSUR</w:t>
      </w:r>
      <w:r w:rsidRPr="00DE2A76">
        <w:rPr>
          <w:noProof/>
          <w:lang w:val="fr-FR"/>
        </w:rPr>
        <w:t xml:space="preserve"> l</w:t>
      </w:r>
      <w:r>
        <w:rPr>
          <w:noProof/>
          <w:lang w:val="fr-FR"/>
        </w:rPr>
        <w:t>e</w:t>
      </w:r>
      <w:r w:rsidRPr="00DE2A76">
        <w:rPr>
          <w:noProof/>
          <w:lang w:val="fr-FR"/>
        </w:rPr>
        <w:t>s organis</w:t>
      </w:r>
      <w:r>
        <w:rPr>
          <w:noProof/>
          <w:lang w:val="fr-FR"/>
        </w:rPr>
        <w:t xml:space="preserve">ations qui interviennent dans le cadre du processus de prise en charge des </w:t>
      </w:r>
      <w:r>
        <w:rPr>
          <w:noProof/>
          <w:lang w:val="fr-FR"/>
        </w:rPr>
        <w:lastRenderedPageBreak/>
        <w:t>femmes victimes de la traite à l</w:t>
      </w:r>
      <w:r w:rsidR="00607CA3">
        <w:rPr>
          <w:noProof/>
          <w:lang w:val="fr-FR"/>
        </w:rPr>
        <w:t>’</w:t>
      </w:r>
      <w:r>
        <w:rPr>
          <w:noProof/>
          <w:lang w:val="fr-FR"/>
        </w:rPr>
        <w:t>échelon international dans les cas survenus dans les pays du Marché commun du Sud (</w:t>
      </w:r>
      <w:r w:rsidRPr="00DE2A76">
        <w:rPr>
          <w:noProof/>
          <w:lang w:val="fr-FR"/>
        </w:rPr>
        <w:t>MERCOSUR</w:t>
      </w:r>
      <w:r>
        <w:rPr>
          <w:noProof/>
          <w:lang w:val="fr-FR"/>
        </w:rPr>
        <w:t>)</w:t>
      </w:r>
      <w:r w:rsidRPr="00DE2A76">
        <w:rPr>
          <w:noProof/>
          <w:lang w:val="fr-FR"/>
        </w:rPr>
        <w:t xml:space="preserve">. </w:t>
      </w:r>
    </w:p>
    <w:p w:rsidR="00596826" w:rsidRPr="00DE2A76" w:rsidRDefault="00596826" w:rsidP="00596826">
      <w:pPr>
        <w:pStyle w:val="SingleTxtG"/>
        <w:rPr>
          <w:noProof/>
          <w:lang w:val="fr-FR"/>
        </w:rPr>
      </w:pPr>
      <w:r w:rsidRPr="00DE2A76">
        <w:rPr>
          <w:noProof/>
          <w:lang w:val="fr-FR"/>
        </w:rPr>
        <w:t>67.</w:t>
      </w:r>
      <w:r w:rsidRPr="00DE2A76">
        <w:rPr>
          <w:noProof/>
          <w:lang w:val="fr-FR"/>
        </w:rPr>
        <w:tab/>
        <w:t>En a</w:t>
      </w:r>
      <w:r>
        <w:rPr>
          <w:noProof/>
          <w:lang w:val="fr-FR"/>
        </w:rPr>
        <w:t>v</w:t>
      </w:r>
      <w:r w:rsidRPr="00DE2A76">
        <w:rPr>
          <w:noProof/>
          <w:lang w:val="fr-FR"/>
        </w:rPr>
        <w:t>ril 2016</w:t>
      </w:r>
      <w:r>
        <w:rPr>
          <w:noProof/>
          <w:lang w:val="fr-FR"/>
        </w:rPr>
        <w:t>,</w:t>
      </w:r>
      <w:r w:rsidRPr="00DE2A76">
        <w:rPr>
          <w:noProof/>
          <w:lang w:val="fr-FR"/>
        </w:rPr>
        <w:t xml:space="preserve"> se </w:t>
      </w:r>
      <w:r>
        <w:rPr>
          <w:noProof/>
          <w:lang w:val="fr-FR"/>
        </w:rPr>
        <w:t xml:space="preserve">sont tenues à </w:t>
      </w:r>
      <w:r w:rsidRPr="00DE2A76">
        <w:rPr>
          <w:noProof/>
          <w:lang w:val="fr-FR"/>
        </w:rPr>
        <w:t xml:space="preserve">Asunción </w:t>
      </w:r>
      <w:r>
        <w:rPr>
          <w:noProof/>
          <w:lang w:val="fr-FR"/>
        </w:rPr>
        <w:t>(</w:t>
      </w:r>
      <w:r w:rsidRPr="00DE2A76">
        <w:rPr>
          <w:noProof/>
          <w:lang w:val="fr-FR"/>
        </w:rPr>
        <w:t>Paraguay</w:t>
      </w:r>
      <w:r>
        <w:rPr>
          <w:noProof/>
          <w:lang w:val="fr-FR"/>
        </w:rPr>
        <w:t>)</w:t>
      </w:r>
      <w:r w:rsidRPr="00DE2A76">
        <w:rPr>
          <w:noProof/>
          <w:lang w:val="fr-FR"/>
        </w:rPr>
        <w:t xml:space="preserve"> l</w:t>
      </w:r>
      <w:r>
        <w:rPr>
          <w:noProof/>
          <w:lang w:val="fr-FR"/>
        </w:rPr>
        <w:t>e</w:t>
      </w:r>
      <w:r w:rsidRPr="00DE2A76">
        <w:rPr>
          <w:noProof/>
          <w:lang w:val="fr-FR"/>
        </w:rPr>
        <w:t xml:space="preserve">s </w:t>
      </w:r>
      <w:r>
        <w:rPr>
          <w:noProof/>
          <w:lang w:val="fr-FR"/>
        </w:rPr>
        <w:t>Journées de mise à jour et d</w:t>
      </w:r>
      <w:r w:rsidR="00607CA3">
        <w:rPr>
          <w:noProof/>
          <w:lang w:val="fr-FR"/>
        </w:rPr>
        <w:t>’</w:t>
      </w:r>
      <w:r>
        <w:rPr>
          <w:noProof/>
          <w:lang w:val="fr-FR"/>
        </w:rPr>
        <w:t xml:space="preserve">échange sur la traite des femmes dans le </w:t>
      </w:r>
      <w:r w:rsidRPr="00DE2A76">
        <w:rPr>
          <w:noProof/>
          <w:lang w:val="fr-FR"/>
        </w:rPr>
        <w:t xml:space="preserve">MERCOSUR, </w:t>
      </w:r>
      <w:r>
        <w:rPr>
          <w:noProof/>
          <w:lang w:val="fr-FR"/>
        </w:rPr>
        <w:t>l</w:t>
      </w:r>
      <w:r w:rsidR="00607CA3">
        <w:rPr>
          <w:noProof/>
          <w:lang w:val="fr-FR"/>
        </w:rPr>
        <w:t>’</w:t>
      </w:r>
      <w:r>
        <w:rPr>
          <w:noProof/>
          <w:lang w:val="fr-FR"/>
        </w:rPr>
        <w:t xml:space="preserve">accent étant mis sur les frontières, ainsi que </w:t>
      </w:r>
      <w:r w:rsidRPr="00DE2A76">
        <w:rPr>
          <w:noProof/>
          <w:lang w:val="fr-FR"/>
        </w:rPr>
        <w:t>la R</w:t>
      </w:r>
      <w:r>
        <w:rPr>
          <w:noProof/>
          <w:lang w:val="fr-FR"/>
        </w:rPr>
        <w:t>é</w:t>
      </w:r>
      <w:r w:rsidRPr="00DE2A76">
        <w:rPr>
          <w:noProof/>
          <w:lang w:val="fr-FR"/>
        </w:rPr>
        <w:t>uni</w:t>
      </w:r>
      <w:r>
        <w:rPr>
          <w:noProof/>
          <w:lang w:val="fr-FR"/>
        </w:rPr>
        <w:t>o</w:t>
      </w:r>
      <w:r w:rsidRPr="00DE2A76">
        <w:rPr>
          <w:noProof/>
          <w:lang w:val="fr-FR"/>
        </w:rPr>
        <w:t xml:space="preserve">n </w:t>
      </w:r>
      <w:r>
        <w:rPr>
          <w:noProof/>
          <w:lang w:val="fr-FR"/>
        </w:rPr>
        <w:t xml:space="preserve">du </w:t>
      </w:r>
      <w:r w:rsidRPr="006503EC">
        <w:rPr>
          <w:noProof/>
          <w:lang w:val="fr-FR"/>
        </w:rPr>
        <w:t>Mécanisme de coordination de la prise en charge des femmes victimes de la traite des personnes à l</w:t>
      </w:r>
      <w:r w:rsidR="00607CA3">
        <w:rPr>
          <w:noProof/>
          <w:lang w:val="fr-FR"/>
        </w:rPr>
        <w:t>’</w:t>
      </w:r>
      <w:r w:rsidRPr="006503EC">
        <w:rPr>
          <w:noProof/>
          <w:lang w:val="fr-FR"/>
        </w:rPr>
        <w:t>échelon international</w:t>
      </w:r>
      <w:r w:rsidRPr="00DE2A76">
        <w:rPr>
          <w:noProof/>
          <w:lang w:val="fr-FR"/>
        </w:rPr>
        <w:t xml:space="preserve">, </w:t>
      </w:r>
      <w:r>
        <w:rPr>
          <w:noProof/>
          <w:lang w:val="fr-FR"/>
        </w:rPr>
        <w:t>dans le but de renforcer les capacités des gardes frontière</w:t>
      </w:r>
      <w:r w:rsidRPr="00DE2A76">
        <w:rPr>
          <w:noProof/>
          <w:lang w:val="fr-FR"/>
        </w:rPr>
        <w:t xml:space="preserve"> </w:t>
      </w:r>
      <w:r>
        <w:rPr>
          <w:noProof/>
          <w:lang w:val="fr-FR"/>
        </w:rPr>
        <w:t>et des représentant</w:t>
      </w:r>
      <w:r w:rsidRPr="00DE2A76">
        <w:rPr>
          <w:noProof/>
          <w:lang w:val="fr-FR"/>
        </w:rPr>
        <w:t xml:space="preserve">s de </w:t>
      </w:r>
      <w:r>
        <w:rPr>
          <w:noProof/>
          <w:lang w:val="fr-FR"/>
        </w:rPr>
        <w:t xml:space="preserve">la société </w:t>
      </w:r>
      <w:r w:rsidRPr="00DE2A76">
        <w:rPr>
          <w:noProof/>
          <w:lang w:val="fr-FR"/>
        </w:rPr>
        <w:t>civil</w:t>
      </w:r>
      <w:r>
        <w:rPr>
          <w:noProof/>
          <w:lang w:val="fr-FR"/>
        </w:rPr>
        <w:t>e</w:t>
      </w:r>
      <w:r w:rsidRPr="00DE2A76">
        <w:rPr>
          <w:noProof/>
          <w:lang w:val="fr-FR"/>
        </w:rPr>
        <w:t xml:space="preserve"> </w:t>
      </w:r>
      <w:r>
        <w:rPr>
          <w:noProof/>
          <w:lang w:val="fr-FR"/>
        </w:rPr>
        <w:t>s</w:t>
      </w:r>
      <w:r w:rsidR="00607CA3">
        <w:rPr>
          <w:noProof/>
          <w:lang w:val="fr-FR"/>
        </w:rPr>
        <w:t>’</w:t>
      </w:r>
      <w:r>
        <w:rPr>
          <w:noProof/>
          <w:lang w:val="fr-FR"/>
        </w:rPr>
        <w:t>occupant de ces questions en matière de repérage, d</w:t>
      </w:r>
      <w:r w:rsidR="00607CA3">
        <w:rPr>
          <w:noProof/>
          <w:lang w:val="fr-FR"/>
        </w:rPr>
        <w:t>’</w:t>
      </w:r>
      <w:r>
        <w:rPr>
          <w:noProof/>
          <w:lang w:val="fr-FR"/>
        </w:rPr>
        <w:t>orientation et de protection des femmes victimes de la traite, et d</w:t>
      </w:r>
      <w:r w:rsidR="00607CA3">
        <w:rPr>
          <w:noProof/>
          <w:lang w:val="fr-FR"/>
        </w:rPr>
        <w:t>’</w:t>
      </w:r>
      <w:r>
        <w:rPr>
          <w:noProof/>
          <w:lang w:val="fr-FR"/>
        </w:rPr>
        <w:t>instaurer un espace de dialogue et d</w:t>
      </w:r>
      <w:r w:rsidR="00607CA3">
        <w:rPr>
          <w:noProof/>
          <w:lang w:val="fr-FR"/>
        </w:rPr>
        <w:t>’</w:t>
      </w:r>
      <w:r>
        <w:rPr>
          <w:noProof/>
          <w:lang w:val="fr-FR"/>
        </w:rPr>
        <w:t>échange avec les représentants du Mécanisme de coordination</w:t>
      </w:r>
      <w:r w:rsidRPr="00DE2A76">
        <w:rPr>
          <w:noProof/>
          <w:lang w:val="fr-FR"/>
        </w:rPr>
        <w:t>. L</w:t>
      </w:r>
      <w:r>
        <w:rPr>
          <w:noProof/>
          <w:lang w:val="fr-FR"/>
        </w:rPr>
        <w:t>es gardes frontière ont contribué à l</w:t>
      </w:r>
      <w:r w:rsidR="00607CA3">
        <w:rPr>
          <w:noProof/>
          <w:lang w:val="fr-FR"/>
        </w:rPr>
        <w:t>’</w:t>
      </w:r>
      <w:r>
        <w:rPr>
          <w:noProof/>
          <w:lang w:val="fr-FR"/>
        </w:rPr>
        <w:t>établissement d</w:t>
      </w:r>
      <w:r w:rsidR="00607CA3">
        <w:rPr>
          <w:noProof/>
          <w:lang w:val="fr-FR"/>
        </w:rPr>
        <w:t>’</w:t>
      </w:r>
      <w:r>
        <w:rPr>
          <w:noProof/>
          <w:lang w:val="fr-FR"/>
        </w:rPr>
        <w:t>un</w:t>
      </w:r>
      <w:r w:rsidRPr="00DE2A76">
        <w:rPr>
          <w:noProof/>
          <w:lang w:val="fr-FR"/>
        </w:rPr>
        <w:t xml:space="preserve"> Plan de </w:t>
      </w:r>
      <w:r>
        <w:rPr>
          <w:noProof/>
          <w:lang w:val="fr-FR"/>
        </w:rPr>
        <w:t>travail à court terme du Mécanisme et des instruments de collecte de renseignements, ainsi que du rapport d</w:t>
      </w:r>
      <w:r w:rsidR="00607CA3">
        <w:rPr>
          <w:noProof/>
          <w:lang w:val="fr-FR"/>
        </w:rPr>
        <w:t>’</w:t>
      </w:r>
      <w:r>
        <w:rPr>
          <w:noProof/>
          <w:lang w:val="fr-FR"/>
        </w:rPr>
        <w:t>activité et de suivi requis par le protocole d</w:t>
      </w:r>
      <w:r w:rsidR="00607CA3">
        <w:rPr>
          <w:noProof/>
          <w:lang w:val="fr-FR"/>
        </w:rPr>
        <w:t>’</w:t>
      </w:r>
      <w:r>
        <w:rPr>
          <w:noProof/>
          <w:lang w:val="fr-FR"/>
        </w:rPr>
        <w:t>action du Mécanisme.</w:t>
      </w:r>
    </w:p>
    <w:p w:rsidR="00596826" w:rsidRPr="00DE2A76" w:rsidRDefault="00596826" w:rsidP="00596826">
      <w:pPr>
        <w:pStyle w:val="SingleTxtG"/>
        <w:rPr>
          <w:noProof/>
          <w:lang w:val="fr-FR"/>
        </w:rPr>
      </w:pPr>
      <w:r w:rsidRPr="00DE2A76">
        <w:rPr>
          <w:noProof/>
          <w:lang w:val="fr-FR"/>
        </w:rPr>
        <w:t>68.</w:t>
      </w:r>
      <w:r w:rsidRPr="00DE2A76">
        <w:rPr>
          <w:noProof/>
          <w:lang w:val="fr-FR"/>
        </w:rPr>
        <w:tab/>
        <w:t xml:space="preserve">En </w:t>
      </w:r>
      <w:r>
        <w:rPr>
          <w:noProof/>
          <w:lang w:val="fr-FR"/>
        </w:rPr>
        <w:t>juin</w:t>
      </w:r>
      <w:r w:rsidRPr="00DE2A76">
        <w:rPr>
          <w:noProof/>
          <w:lang w:val="fr-FR"/>
        </w:rPr>
        <w:t xml:space="preserve"> 2016, </w:t>
      </w:r>
      <w:r>
        <w:rPr>
          <w:noProof/>
          <w:lang w:val="fr-FR"/>
        </w:rPr>
        <w:t>s</w:t>
      </w:r>
      <w:r w:rsidR="00607CA3">
        <w:rPr>
          <w:noProof/>
          <w:lang w:val="fr-FR"/>
        </w:rPr>
        <w:t>’</w:t>
      </w:r>
      <w:r>
        <w:rPr>
          <w:noProof/>
          <w:lang w:val="fr-FR"/>
        </w:rPr>
        <w:t>est tenu à</w:t>
      </w:r>
      <w:r w:rsidRPr="00DE2A76">
        <w:rPr>
          <w:noProof/>
          <w:lang w:val="fr-FR"/>
        </w:rPr>
        <w:t xml:space="preserve"> Montevideo </w:t>
      </w:r>
      <w:r>
        <w:rPr>
          <w:noProof/>
          <w:lang w:val="fr-FR"/>
        </w:rPr>
        <w:t>l</w:t>
      </w:r>
      <w:r w:rsidR="00607CA3">
        <w:rPr>
          <w:noProof/>
          <w:lang w:val="fr-FR"/>
        </w:rPr>
        <w:t>’</w:t>
      </w:r>
      <w:r>
        <w:rPr>
          <w:noProof/>
          <w:lang w:val="fr-FR"/>
        </w:rPr>
        <w:t xml:space="preserve">Atelier régional sur la création du </w:t>
      </w:r>
      <w:r w:rsidRPr="006503EC">
        <w:rPr>
          <w:noProof/>
          <w:lang w:val="fr-FR"/>
        </w:rPr>
        <w:t>Mécanisme de coordination de la prise en charge des femmes victimes de la traite des personnes à l</w:t>
      </w:r>
      <w:r w:rsidR="00607CA3">
        <w:rPr>
          <w:noProof/>
          <w:lang w:val="fr-FR"/>
        </w:rPr>
        <w:t>’</w:t>
      </w:r>
      <w:r w:rsidRPr="006503EC">
        <w:rPr>
          <w:noProof/>
          <w:lang w:val="fr-FR"/>
        </w:rPr>
        <w:t>échelon international</w:t>
      </w:r>
      <w:r w:rsidRPr="00DE2A76">
        <w:rPr>
          <w:noProof/>
          <w:lang w:val="fr-FR"/>
        </w:rPr>
        <w:t xml:space="preserve"> </w:t>
      </w:r>
      <w:r>
        <w:rPr>
          <w:noProof/>
          <w:lang w:val="fr-FR"/>
        </w:rPr>
        <w:t xml:space="preserve">dans le </w:t>
      </w:r>
      <w:r w:rsidRPr="00DE2A76">
        <w:rPr>
          <w:noProof/>
          <w:lang w:val="fr-FR"/>
        </w:rPr>
        <w:t xml:space="preserve">MERCOSUR, </w:t>
      </w:r>
      <w:r>
        <w:rPr>
          <w:noProof/>
          <w:lang w:val="fr-FR"/>
        </w:rPr>
        <w:t xml:space="preserve">auquel ont participé des délégations des pays du </w:t>
      </w:r>
      <w:r w:rsidRPr="00DE2A76">
        <w:rPr>
          <w:noProof/>
          <w:lang w:val="fr-FR"/>
        </w:rPr>
        <w:t>MERCOSUR, la d</w:t>
      </w:r>
      <w:r>
        <w:rPr>
          <w:noProof/>
          <w:lang w:val="fr-FR"/>
        </w:rPr>
        <w:t>é</w:t>
      </w:r>
      <w:r w:rsidRPr="00DE2A76">
        <w:rPr>
          <w:noProof/>
          <w:lang w:val="fr-FR"/>
        </w:rPr>
        <w:t>l</w:t>
      </w:r>
      <w:r>
        <w:rPr>
          <w:noProof/>
          <w:lang w:val="fr-FR"/>
        </w:rPr>
        <w:t>é</w:t>
      </w:r>
      <w:r w:rsidRPr="00DE2A76">
        <w:rPr>
          <w:noProof/>
          <w:lang w:val="fr-FR"/>
        </w:rPr>
        <w:t>ga</w:t>
      </w:r>
      <w:r>
        <w:rPr>
          <w:noProof/>
          <w:lang w:val="fr-FR"/>
        </w:rPr>
        <w:t>tion de la Bolivie</w:t>
      </w:r>
      <w:r w:rsidRPr="00DE2A76">
        <w:rPr>
          <w:noProof/>
          <w:lang w:val="fr-FR"/>
        </w:rPr>
        <w:t xml:space="preserve">, </w:t>
      </w:r>
      <w:r>
        <w:rPr>
          <w:noProof/>
          <w:lang w:val="fr-FR"/>
        </w:rPr>
        <w:t>l</w:t>
      </w:r>
      <w:r w:rsidR="00607CA3">
        <w:rPr>
          <w:noProof/>
          <w:lang w:val="fr-FR"/>
        </w:rPr>
        <w:t>’</w:t>
      </w:r>
      <w:r w:rsidRPr="004F60C7">
        <w:rPr>
          <w:noProof/>
          <w:lang w:val="fr-FR"/>
        </w:rPr>
        <w:t>Institut de politiques publiques sur les droits fondamentaux du</w:t>
      </w:r>
      <w:r w:rsidRPr="00DE2A76">
        <w:rPr>
          <w:noProof/>
          <w:lang w:val="fr-FR"/>
        </w:rPr>
        <w:t xml:space="preserve"> MERCOSUR </w:t>
      </w:r>
      <w:r>
        <w:rPr>
          <w:noProof/>
          <w:lang w:val="fr-FR"/>
        </w:rPr>
        <w:t>et l</w:t>
      </w:r>
      <w:r w:rsidR="00607CA3">
        <w:rPr>
          <w:noProof/>
          <w:lang w:val="fr-FR"/>
        </w:rPr>
        <w:t>’</w:t>
      </w:r>
      <w:r>
        <w:rPr>
          <w:noProof/>
          <w:lang w:val="fr-FR"/>
        </w:rPr>
        <w:t>OIM</w:t>
      </w:r>
      <w:r w:rsidRPr="00DE2A76">
        <w:rPr>
          <w:noProof/>
          <w:lang w:val="fr-FR"/>
        </w:rPr>
        <w:t xml:space="preserve">. </w:t>
      </w:r>
    </w:p>
    <w:p w:rsidR="00596826" w:rsidRPr="00DE2A76" w:rsidRDefault="00596826" w:rsidP="00596826">
      <w:pPr>
        <w:pStyle w:val="SingleTxtG"/>
        <w:rPr>
          <w:noProof/>
          <w:lang w:val="fr-FR"/>
        </w:rPr>
      </w:pPr>
      <w:r w:rsidRPr="00DE2A76">
        <w:rPr>
          <w:noProof/>
          <w:lang w:val="fr-FR"/>
        </w:rPr>
        <w:t>69.</w:t>
      </w:r>
      <w:r w:rsidRPr="00DE2A76">
        <w:rPr>
          <w:noProof/>
          <w:lang w:val="fr-FR"/>
        </w:rPr>
        <w:tab/>
        <w:t xml:space="preserve">En </w:t>
      </w:r>
      <w:r>
        <w:rPr>
          <w:noProof/>
          <w:lang w:val="fr-FR"/>
        </w:rPr>
        <w:t>matière de réparation, il convient de souligner que l</w:t>
      </w:r>
      <w:r w:rsidR="00607CA3">
        <w:rPr>
          <w:noProof/>
          <w:lang w:val="fr-FR"/>
        </w:rPr>
        <w:t>’</w:t>
      </w:r>
      <w:r>
        <w:rPr>
          <w:noProof/>
          <w:lang w:val="fr-FR"/>
        </w:rPr>
        <w:t>article 5 (J) du projet de loi générale sur la prévention et la répression de la traite et de l</w:t>
      </w:r>
      <w:r w:rsidR="00607CA3">
        <w:rPr>
          <w:noProof/>
          <w:lang w:val="fr-FR"/>
        </w:rPr>
        <w:t>’</w:t>
      </w:r>
      <w:r>
        <w:rPr>
          <w:noProof/>
          <w:lang w:val="fr-FR"/>
        </w:rPr>
        <w:t>exploitation des personnes</w:t>
      </w:r>
      <w:r w:rsidRPr="00DE2A76">
        <w:rPr>
          <w:noProof/>
          <w:lang w:val="fr-FR"/>
        </w:rPr>
        <w:t xml:space="preserve"> </w:t>
      </w:r>
      <w:r>
        <w:rPr>
          <w:noProof/>
          <w:lang w:val="fr-FR"/>
        </w:rPr>
        <w:t>mentionné plus haut reconnaît « le droit des victimes de la traite et de l</w:t>
      </w:r>
      <w:r w:rsidR="00607CA3">
        <w:rPr>
          <w:noProof/>
          <w:lang w:val="fr-FR"/>
        </w:rPr>
        <w:t>’</w:t>
      </w:r>
      <w:r>
        <w:rPr>
          <w:noProof/>
          <w:lang w:val="fr-FR"/>
        </w:rPr>
        <w:t>exploitation des personnes à la vérité, à la justice, à réparation et aux garanties de non-répétition par voie de recours simple et rapide devant les tribunaux compétents… »</w:t>
      </w:r>
      <w:r w:rsidRPr="00DE2A76">
        <w:rPr>
          <w:noProof/>
          <w:lang w:val="fr-FR"/>
        </w:rPr>
        <w:t>.</w:t>
      </w:r>
    </w:p>
    <w:p w:rsidR="00596826" w:rsidRPr="006204D6" w:rsidRDefault="00596826" w:rsidP="00332CC9">
      <w:pPr>
        <w:pStyle w:val="H1G"/>
        <w:rPr>
          <w:noProof/>
          <w:lang w:val="fr-FR"/>
        </w:rPr>
      </w:pPr>
      <w:r w:rsidRPr="00411326">
        <w:tab/>
      </w:r>
      <w:r w:rsidRPr="00411326">
        <w:tab/>
      </w:r>
      <w:r w:rsidRPr="006204D6">
        <w:rPr>
          <w:noProof/>
          <w:lang w:val="fr-FR"/>
        </w:rPr>
        <w:t>Article 3</w:t>
      </w:r>
    </w:p>
    <w:p w:rsidR="00596826" w:rsidRPr="006204D6" w:rsidRDefault="00596826" w:rsidP="00596826">
      <w:pPr>
        <w:pStyle w:val="SingleTxtG"/>
        <w:rPr>
          <w:rFonts w:eastAsia="Calibri"/>
          <w:noProof/>
          <w:lang w:val="fr-FR"/>
        </w:rPr>
      </w:pPr>
      <w:r w:rsidRPr="006204D6">
        <w:rPr>
          <w:rFonts w:eastAsia="Calibri"/>
          <w:noProof/>
          <w:lang w:val="fr-FR"/>
        </w:rPr>
        <w:t>70.</w:t>
      </w:r>
      <w:r w:rsidRPr="006204D6">
        <w:rPr>
          <w:rFonts w:eastAsia="Calibri"/>
          <w:noProof/>
          <w:lang w:val="fr-FR"/>
        </w:rPr>
        <w:tab/>
      </w:r>
      <w:r>
        <w:rPr>
          <w:rFonts w:eastAsia="Calibri"/>
          <w:noProof/>
          <w:lang w:val="fr-FR"/>
        </w:rPr>
        <w:t>L</w:t>
      </w:r>
      <w:r w:rsidR="00607CA3">
        <w:rPr>
          <w:rFonts w:eastAsia="Calibri"/>
          <w:noProof/>
          <w:lang w:val="fr-FR"/>
        </w:rPr>
        <w:t>’</w:t>
      </w:r>
      <w:r w:rsidRPr="006204D6">
        <w:rPr>
          <w:rFonts w:eastAsia="Calibri"/>
          <w:noProof/>
          <w:lang w:val="fr-FR"/>
        </w:rPr>
        <w:t>Uruguay es</w:t>
      </w:r>
      <w:r>
        <w:rPr>
          <w:rFonts w:eastAsia="Calibri"/>
          <w:noProof/>
          <w:lang w:val="fr-FR"/>
        </w:rPr>
        <w:t xml:space="preserve">t partie à la </w:t>
      </w:r>
      <w:r w:rsidRPr="006204D6">
        <w:rPr>
          <w:rFonts w:eastAsia="Calibri"/>
          <w:noProof/>
          <w:lang w:val="fr-FR"/>
        </w:rPr>
        <w:t>Conven</w:t>
      </w:r>
      <w:r>
        <w:rPr>
          <w:rFonts w:eastAsia="Calibri"/>
          <w:noProof/>
          <w:lang w:val="fr-FR"/>
        </w:rPr>
        <w:t xml:space="preserve">tion </w:t>
      </w:r>
      <w:r w:rsidRPr="006204D6">
        <w:rPr>
          <w:rFonts w:eastAsia="Calibri"/>
          <w:noProof/>
          <w:lang w:val="fr-FR"/>
        </w:rPr>
        <w:t xml:space="preserve">de 1951 </w:t>
      </w:r>
      <w:r>
        <w:rPr>
          <w:rFonts w:eastAsia="Calibri"/>
          <w:noProof/>
          <w:lang w:val="fr-FR"/>
        </w:rPr>
        <w:t xml:space="preserve">relative au statut des réfugiés et à son </w:t>
      </w:r>
      <w:r w:rsidRPr="006204D6">
        <w:rPr>
          <w:rFonts w:eastAsia="Calibri"/>
          <w:noProof/>
          <w:lang w:val="fr-FR"/>
        </w:rPr>
        <w:t>Protocol</w:t>
      </w:r>
      <w:r>
        <w:rPr>
          <w:rFonts w:eastAsia="Calibri"/>
          <w:noProof/>
          <w:lang w:val="fr-FR"/>
        </w:rPr>
        <w:t>e</w:t>
      </w:r>
      <w:r w:rsidRPr="006204D6">
        <w:rPr>
          <w:rFonts w:eastAsia="Calibri"/>
          <w:noProof/>
          <w:lang w:val="fr-FR"/>
        </w:rPr>
        <w:t xml:space="preserve"> de 1967. </w:t>
      </w:r>
      <w:r>
        <w:rPr>
          <w:rFonts w:eastAsia="Calibri"/>
          <w:noProof/>
          <w:lang w:val="fr-FR"/>
        </w:rPr>
        <w:t>À l</w:t>
      </w:r>
      <w:r w:rsidR="00607CA3">
        <w:rPr>
          <w:rFonts w:eastAsia="Calibri"/>
          <w:noProof/>
          <w:lang w:val="fr-FR"/>
        </w:rPr>
        <w:t>’</w:t>
      </w:r>
      <w:r>
        <w:rPr>
          <w:rFonts w:eastAsia="Calibri"/>
          <w:noProof/>
          <w:lang w:val="fr-FR"/>
        </w:rPr>
        <w:t>échelon national</w:t>
      </w:r>
      <w:r w:rsidRPr="006204D6">
        <w:rPr>
          <w:rFonts w:eastAsia="Calibri"/>
          <w:noProof/>
          <w:lang w:val="fr-FR"/>
        </w:rPr>
        <w:t xml:space="preserve">, la </w:t>
      </w:r>
      <w:r>
        <w:rPr>
          <w:rFonts w:eastAsia="Calibri"/>
          <w:noProof/>
          <w:lang w:val="fr-FR"/>
        </w:rPr>
        <w:t xml:space="preserve">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6204D6">
        <w:rPr>
          <w:rFonts w:eastAsia="Calibri"/>
          <w:noProof/>
          <w:lang w:val="fr-FR"/>
        </w:rPr>
        <w:t>18076 a</w:t>
      </w:r>
      <w:r>
        <w:rPr>
          <w:rFonts w:eastAsia="Calibri"/>
          <w:noProof/>
          <w:lang w:val="fr-FR"/>
        </w:rPr>
        <w:t xml:space="preserve">doptée le </w:t>
      </w:r>
      <w:r w:rsidRPr="006204D6">
        <w:rPr>
          <w:rFonts w:eastAsia="Calibri"/>
          <w:noProof/>
          <w:lang w:val="fr-FR"/>
        </w:rPr>
        <w:t>19</w:t>
      </w:r>
      <w:r w:rsidR="006F7A2B">
        <w:rPr>
          <w:rFonts w:eastAsia="Calibri"/>
          <w:noProof/>
          <w:lang w:val="fr-FR"/>
        </w:rPr>
        <w:t> </w:t>
      </w:r>
      <w:r w:rsidRPr="006204D6">
        <w:rPr>
          <w:rFonts w:eastAsia="Calibri"/>
          <w:noProof/>
          <w:lang w:val="fr-FR"/>
        </w:rPr>
        <w:t>d</w:t>
      </w:r>
      <w:r>
        <w:rPr>
          <w:rFonts w:eastAsia="Calibri"/>
          <w:noProof/>
          <w:lang w:val="fr-FR"/>
        </w:rPr>
        <w:t>é</w:t>
      </w:r>
      <w:r w:rsidRPr="006204D6">
        <w:rPr>
          <w:rFonts w:eastAsia="Calibri"/>
          <w:noProof/>
          <w:lang w:val="fr-FR"/>
        </w:rPr>
        <w:t>cembre 2006 r</w:t>
      </w:r>
      <w:r>
        <w:rPr>
          <w:rFonts w:eastAsia="Calibri"/>
          <w:noProof/>
          <w:lang w:val="fr-FR"/>
        </w:rPr>
        <w:t>égit le droit d</w:t>
      </w:r>
      <w:r w:rsidR="00607CA3">
        <w:rPr>
          <w:rFonts w:eastAsia="Calibri"/>
          <w:noProof/>
          <w:lang w:val="fr-FR"/>
        </w:rPr>
        <w:t>’</w:t>
      </w:r>
      <w:r>
        <w:rPr>
          <w:rFonts w:eastAsia="Calibri"/>
          <w:noProof/>
          <w:lang w:val="fr-FR"/>
        </w:rPr>
        <w:t>asile et le statut des réfugiés en Uruguay et constitue un cadre réglementaire qui garantit les droits de l</w:t>
      </w:r>
      <w:r w:rsidR="00607CA3">
        <w:rPr>
          <w:rFonts w:eastAsia="Calibri"/>
          <w:noProof/>
          <w:lang w:val="fr-FR"/>
        </w:rPr>
        <w:t>’</w:t>
      </w:r>
      <w:r>
        <w:rPr>
          <w:rFonts w:eastAsia="Calibri"/>
          <w:noProof/>
          <w:lang w:val="fr-FR"/>
        </w:rPr>
        <w:t>homme conformément aux normes internationales applicables</w:t>
      </w:r>
      <w:r w:rsidRPr="006204D6">
        <w:rPr>
          <w:rFonts w:eastAsia="Calibri"/>
          <w:noProof/>
          <w:lang w:val="fr-FR"/>
        </w:rPr>
        <w:t xml:space="preserve">. </w:t>
      </w:r>
      <w:r>
        <w:rPr>
          <w:rFonts w:eastAsia="Calibri"/>
          <w:noProof/>
          <w:lang w:val="fr-FR"/>
        </w:rPr>
        <w:t>En vertu de cette loi</w:t>
      </w:r>
      <w:r w:rsidRPr="006204D6">
        <w:rPr>
          <w:rFonts w:eastAsia="Calibri"/>
          <w:noProof/>
          <w:lang w:val="fr-FR"/>
        </w:rPr>
        <w:t xml:space="preserve">, </w:t>
      </w:r>
      <w:r>
        <w:rPr>
          <w:rFonts w:eastAsia="Calibri"/>
          <w:noProof/>
          <w:lang w:val="fr-FR"/>
        </w:rPr>
        <w:t xml:space="preserve">« (t)oute personne </w:t>
      </w:r>
      <w:r w:rsidRPr="006204D6">
        <w:rPr>
          <w:rFonts w:eastAsia="Calibri"/>
          <w:noProof/>
          <w:lang w:val="fr-FR"/>
        </w:rPr>
        <w:t xml:space="preserve">a </w:t>
      </w:r>
      <w:r w:rsidRPr="006204D6">
        <w:rPr>
          <w:noProof/>
          <w:lang w:val="fr-FR"/>
        </w:rPr>
        <w:t>le droit de demander et de recevoir l</w:t>
      </w:r>
      <w:r w:rsidR="00607CA3">
        <w:rPr>
          <w:noProof/>
          <w:lang w:val="fr-FR"/>
        </w:rPr>
        <w:t>’</w:t>
      </w:r>
      <w:r w:rsidRPr="006204D6">
        <w:rPr>
          <w:noProof/>
          <w:lang w:val="fr-FR"/>
        </w:rPr>
        <w:t>asile sur le territoire national si sa vie, son intégrité physique, morale ou intellectuelle, sa liberté ou sa sécurité est menacée.</w:t>
      </w:r>
      <w:r>
        <w:rPr>
          <w:noProof/>
          <w:lang w:val="fr-FR"/>
        </w:rPr>
        <w:t> </w:t>
      </w:r>
      <w:r>
        <w:rPr>
          <w:rFonts w:eastAsia="Calibri"/>
          <w:noProof/>
          <w:lang w:val="fr-FR"/>
        </w:rPr>
        <w:t>»</w:t>
      </w:r>
      <w:r w:rsidRPr="006204D6">
        <w:rPr>
          <w:rFonts w:eastAsia="Calibri"/>
          <w:noProof/>
          <w:lang w:val="fr-FR"/>
        </w:rPr>
        <w:t xml:space="preserve"> (art</w:t>
      </w:r>
      <w:r>
        <w:rPr>
          <w:rFonts w:eastAsia="Calibri"/>
          <w:noProof/>
          <w:lang w:val="fr-FR"/>
        </w:rPr>
        <w:t>. </w:t>
      </w:r>
      <w:r w:rsidRPr="006204D6">
        <w:rPr>
          <w:rFonts w:eastAsia="Calibri"/>
          <w:noProof/>
          <w:lang w:val="fr-FR"/>
        </w:rPr>
        <w:t>1).</w:t>
      </w:r>
    </w:p>
    <w:p w:rsidR="00596826" w:rsidRPr="006204D6" w:rsidRDefault="00596826" w:rsidP="00596826">
      <w:pPr>
        <w:pStyle w:val="SingleTxtG"/>
        <w:rPr>
          <w:rFonts w:eastAsia="Calibri"/>
          <w:noProof/>
          <w:lang w:val="fr-FR"/>
        </w:rPr>
      </w:pPr>
      <w:r w:rsidRPr="006204D6">
        <w:rPr>
          <w:rFonts w:eastAsia="Calibri"/>
          <w:noProof/>
          <w:lang w:val="fr-FR"/>
        </w:rPr>
        <w:t>71.</w:t>
      </w:r>
      <w:r w:rsidRPr="006204D6">
        <w:rPr>
          <w:rFonts w:eastAsia="Calibri"/>
          <w:noProof/>
          <w:lang w:val="fr-FR"/>
        </w:rPr>
        <w:tab/>
        <w:t>To</w:t>
      </w:r>
      <w:r>
        <w:rPr>
          <w:rFonts w:eastAsia="Calibri"/>
          <w:noProof/>
          <w:lang w:val="fr-FR"/>
        </w:rPr>
        <w:t>ute demande d</w:t>
      </w:r>
      <w:r w:rsidR="00607CA3">
        <w:rPr>
          <w:rFonts w:eastAsia="Calibri"/>
          <w:noProof/>
          <w:lang w:val="fr-FR"/>
        </w:rPr>
        <w:t>’</w:t>
      </w:r>
      <w:r>
        <w:rPr>
          <w:rFonts w:eastAsia="Calibri"/>
          <w:noProof/>
          <w:lang w:val="fr-FR"/>
        </w:rPr>
        <w:t>asile impose à l</w:t>
      </w:r>
      <w:r w:rsidR="00607CA3">
        <w:rPr>
          <w:rFonts w:eastAsia="Calibri"/>
          <w:noProof/>
          <w:lang w:val="fr-FR"/>
        </w:rPr>
        <w:t>’</w:t>
      </w:r>
      <w:r>
        <w:rPr>
          <w:rFonts w:eastAsia="Calibri"/>
          <w:noProof/>
          <w:lang w:val="fr-FR"/>
        </w:rPr>
        <w:t>État le devoir de respecter, entre autres, les principes ci-après :</w:t>
      </w:r>
    </w:p>
    <w:p w:rsidR="00596826" w:rsidRPr="006204D6" w:rsidRDefault="00596826" w:rsidP="00596826">
      <w:pPr>
        <w:pStyle w:val="Bullet1G"/>
        <w:numPr>
          <w:ilvl w:val="0"/>
          <w:numId w:val="0"/>
        </w:numPr>
        <w:tabs>
          <w:tab w:val="left" w:pos="1701"/>
        </w:tabs>
        <w:ind w:left="1701" w:hanging="170"/>
        <w:rPr>
          <w:rFonts w:eastAsia="Calibri"/>
          <w:noProof/>
          <w:lang w:val="fr-FR"/>
        </w:rPr>
      </w:pPr>
      <w:r w:rsidRPr="006204D6">
        <w:rPr>
          <w:rFonts w:eastAsia="Calibri"/>
          <w:noProof/>
          <w:lang w:val="fr-FR"/>
        </w:rPr>
        <w:t>•</w:t>
      </w:r>
      <w:r w:rsidRPr="006204D6">
        <w:rPr>
          <w:rFonts w:eastAsia="Calibri"/>
          <w:noProof/>
          <w:lang w:val="fr-FR"/>
        </w:rPr>
        <w:tab/>
      </w:r>
      <w:r>
        <w:rPr>
          <w:rFonts w:eastAsia="Calibri"/>
          <w:noProof/>
          <w:lang w:val="fr-FR"/>
        </w:rPr>
        <w:t>Le principe de « non-reconduite à la frontière », selon lequel tout agent de l</w:t>
      </w:r>
      <w:r w:rsidR="00607CA3">
        <w:rPr>
          <w:rFonts w:eastAsia="Calibri"/>
          <w:noProof/>
          <w:lang w:val="fr-FR"/>
        </w:rPr>
        <w:t>’</w:t>
      </w:r>
      <w:r>
        <w:rPr>
          <w:rFonts w:eastAsia="Calibri"/>
          <w:noProof/>
          <w:lang w:val="fr-FR"/>
        </w:rPr>
        <w:t>État, dans l</w:t>
      </w:r>
      <w:r w:rsidR="00607CA3">
        <w:rPr>
          <w:rFonts w:eastAsia="Calibri"/>
          <w:noProof/>
          <w:lang w:val="fr-FR"/>
        </w:rPr>
        <w:t>’</w:t>
      </w:r>
      <w:r>
        <w:rPr>
          <w:rFonts w:eastAsia="Calibri"/>
          <w:noProof/>
          <w:lang w:val="fr-FR"/>
        </w:rPr>
        <w:t xml:space="preserve">exercice de ses fonctions de contrôle migratoire à un poste frontière </w:t>
      </w:r>
      <w:r w:rsidRPr="006204D6">
        <w:rPr>
          <w:rFonts w:eastAsia="Calibri"/>
          <w:noProof/>
          <w:lang w:val="fr-FR"/>
        </w:rPr>
        <w:t>terrestre, mar</w:t>
      </w:r>
      <w:r>
        <w:rPr>
          <w:rFonts w:eastAsia="Calibri"/>
          <w:noProof/>
          <w:lang w:val="fr-FR"/>
        </w:rPr>
        <w:t>itime</w:t>
      </w:r>
      <w:r w:rsidRPr="006204D6">
        <w:rPr>
          <w:rFonts w:eastAsia="Calibri"/>
          <w:noProof/>
          <w:lang w:val="fr-FR"/>
        </w:rPr>
        <w:t>, fluvial o</w:t>
      </w:r>
      <w:r>
        <w:rPr>
          <w:rFonts w:eastAsia="Calibri"/>
          <w:noProof/>
          <w:lang w:val="fr-FR"/>
        </w:rPr>
        <w:t>u aérien</w:t>
      </w:r>
      <w:r w:rsidRPr="006204D6">
        <w:rPr>
          <w:rFonts w:eastAsia="Calibri"/>
          <w:noProof/>
          <w:lang w:val="fr-FR"/>
        </w:rPr>
        <w:t>, d</w:t>
      </w:r>
      <w:r>
        <w:rPr>
          <w:rFonts w:eastAsia="Calibri"/>
          <w:noProof/>
          <w:lang w:val="fr-FR"/>
        </w:rPr>
        <w:t>oit s</w:t>
      </w:r>
      <w:r w:rsidR="00607CA3">
        <w:rPr>
          <w:rFonts w:eastAsia="Calibri"/>
          <w:noProof/>
          <w:lang w:val="fr-FR"/>
        </w:rPr>
        <w:t>’</w:t>
      </w:r>
      <w:r>
        <w:rPr>
          <w:rFonts w:eastAsia="Calibri"/>
          <w:noProof/>
          <w:lang w:val="fr-FR"/>
        </w:rPr>
        <w:t>abstenir d</w:t>
      </w:r>
      <w:r w:rsidR="00607CA3">
        <w:rPr>
          <w:rFonts w:eastAsia="Calibri"/>
          <w:noProof/>
          <w:lang w:val="fr-FR"/>
        </w:rPr>
        <w:t>’</w:t>
      </w:r>
      <w:r>
        <w:rPr>
          <w:rFonts w:eastAsia="Calibri"/>
          <w:noProof/>
          <w:lang w:val="fr-FR"/>
        </w:rPr>
        <w:t>interdire l</w:t>
      </w:r>
      <w:r w:rsidR="00607CA3">
        <w:rPr>
          <w:rFonts w:eastAsia="Calibri"/>
          <w:noProof/>
          <w:lang w:val="fr-FR"/>
        </w:rPr>
        <w:t>’</w:t>
      </w:r>
      <w:r>
        <w:rPr>
          <w:rFonts w:eastAsia="Calibri"/>
          <w:noProof/>
          <w:lang w:val="fr-FR"/>
        </w:rPr>
        <w:t>admission conditionnelle</w:t>
      </w:r>
      <w:r w:rsidRPr="006204D6">
        <w:rPr>
          <w:rFonts w:eastAsia="Calibri"/>
          <w:noProof/>
          <w:lang w:val="fr-FR"/>
        </w:rPr>
        <w:t xml:space="preserve"> </w:t>
      </w:r>
      <w:r>
        <w:rPr>
          <w:rFonts w:eastAsia="Calibri"/>
          <w:noProof/>
          <w:lang w:val="fr-FR"/>
        </w:rPr>
        <w:t>sur le territoire national à toute personne manifestant son intention de demander l</w:t>
      </w:r>
      <w:r w:rsidR="00607CA3">
        <w:rPr>
          <w:rFonts w:eastAsia="Calibri"/>
          <w:noProof/>
          <w:lang w:val="fr-FR"/>
        </w:rPr>
        <w:t>’</w:t>
      </w:r>
      <w:r>
        <w:rPr>
          <w:rFonts w:eastAsia="Calibri"/>
          <w:noProof/>
          <w:lang w:val="fr-FR"/>
        </w:rPr>
        <w:t>asile</w:t>
      </w:r>
      <w:r w:rsidRPr="006204D6">
        <w:rPr>
          <w:rFonts w:eastAsia="Calibri"/>
          <w:noProof/>
          <w:lang w:val="fr-FR"/>
        </w:rPr>
        <w:t>.</w:t>
      </w:r>
    </w:p>
    <w:p w:rsidR="00596826" w:rsidRPr="006204D6" w:rsidRDefault="00596826" w:rsidP="00596826">
      <w:pPr>
        <w:pStyle w:val="Bullet1G"/>
        <w:numPr>
          <w:ilvl w:val="0"/>
          <w:numId w:val="0"/>
        </w:numPr>
        <w:tabs>
          <w:tab w:val="left" w:pos="1701"/>
        </w:tabs>
        <w:ind w:left="1701" w:hanging="170"/>
        <w:rPr>
          <w:rFonts w:eastAsia="Calibri"/>
          <w:noProof/>
          <w:lang w:val="fr-FR"/>
        </w:rPr>
      </w:pPr>
      <w:r w:rsidRPr="006204D6">
        <w:rPr>
          <w:rFonts w:eastAsia="Calibri"/>
          <w:noProof/>
          <w:lang w:val="fr-FR"/>
        </w:rPr>
        <w:t>•</w:t>
      </w:r>
      <w:r w:rsidRPr="006204D6">
        <w:rPr>
          <w:rFonts w:eastAsia="Calibri"/>
          <w:noProof/>
          <w:lang w:val="fr-FR"/>
        </w:rPr>
        <w:tab/>
      </w:r>
      <w:r>
        <w:rPr>
          <w:rFonts w:eastAsia="Calibri"/>
          <w:noProof/>
          <w:lang w:val="fr-FR"/>
        </w:rPr>
        <w:t xml:space="preserve">Le principe </w:t>
      </w:r>
      <w:r w:rsidRPr="006204D6">
        <w:rPr>
          <w:rFonts w:eastAsia="Calibri"/>
          <w:noProof/>
          <w:lang w:val="fr-FR"/>
        </w:rPr>
        <w:t xml:space="preserve">de </w:t>
      </w:r>
      <w:r>
        <w:rPr>
          <w:rFonts w:eastAsia="Calibri"/>
          <w:noProof/>
          <w:lang w:val="fr-FR"/>
        </w:rPr>
        <w:t>« non-refoulement », selon lequel</w:t>
      </w:r>
      <w:r w:rsidRPr="006204D6">
        <w:rPr>
          <w:rFonts w:eastAsia="Calibri"/>
          <w:noProof/>
          <w:lang w:val="fr-FR"/>
        </w:rPr>
        <w:t xml:space="preserve"> </w:t>
      </w:r>
      <w:r>
        <w:rPr>
          <w:rFonts w:eastAsia="Calibri"/>
          <w:noProof/>
          <w:lang w:val="fr-FR"/>
        </w:rPr>
        <w:t>toute autorité publique doit s</w:t>
      </w:r>
      <w:r w:rsidR="00607CA3">
        <w:rPr>
          <w:rFonts w:eastAsia="Calibri"/>
          <w:noProof/>
          <w:lang w:val="fr-FR"/>
        </w:rPr>
        <w:t>’</w:t>
      </w:r>
      <w:r>
        <w:rPr>
          <w:rFonts w:eastAsia="Calibri"/>
          <w:noProof/>
          <w:lang w:val="fr-FR"/>
        </w:rPr>
        <w:t>abstenir de refouler, d</w:t>
      </w:r>
      <w:r w:rsidR="00607CA3">
        <w:rPr>
          <w:rFonts w:eastAsia="Calibri"/>
          <w:noProof/>
          <w:lang w:val="fr-FR"/>
        </w:rPr>
        <w:t>’</w:t>
      </w:r>
      <w:r>
        <w:rPr>
          <w:rFonts w:eastAsia="Calibri"/>
          <w:noProof/>
          <w:lang w:val="fr-FR"/>
        </w:rPr>
        <w:t>expulser ou d</w:t>
      </w:r>
      <w:r w:rsidR="00607CA3">
        <w:rPr>
          <w:rFonts w:eastAsia="Calibri"/>
          <w:noProof/>
          <w:lang w:val="fr-FR"/>
        </w:rPr>
        <w:t>’</w:t>
      </w:r>
      <w:r>
        <w:rPr>
          <w:rFonts w:eastAsia="Calibri"/>
          <w:noProof/>
          <w:lang w:val="fr-FR"/>
        </w:rPr>
        <w:t>extrader</w:t>
      </w:r>
      <w:r w:rsidRPr="006204D6">
        <w:rPr>
          <w:rFonts w:eastAsia="Calibri"/>
          <w:noProof/>
          <w:lang w:val="fr-FR"/>
        </w:rPr>
        <w:t xml:space="preserve"> </w:t>
      </w:r>
      <w:r>
        <w:rPr>
          <w:rFonts w:eastAsia="Calibri"/>
          <w:noProof/>
          <w:lang w:val="fr-FR"/>
        </w:rPr>
        <w:t>un demandeur d</w:t>
      </w:r>
      <w:r w:rsidR="00607CA3">
        <w:rPr>
          <w:rFonts w:eastAsia="Calibri"/>
          <w:noProof/>
          <w:lang w:val="fr-FR"/>
        </w:rPr>
        <w:t>’</w:t>
      </w:r>
      <w:r>
        <w:rPr>
          <w:rFonts w:eastAsia="Calibri"/>
          <w:noProof/>
          <w:lang w:val="fr-FR"/>
        </w:rPr>
        <w:t>asile ou un réfugié, ou d</w:t>
      </w:r>
      <w:r w:rsidR="00607CA3">
        <w:rPr>
          <w:rFonts w:eastAsia="Calibri"/>
          <w:noProof/>
          <w:lang w:val="fr-FR"/>
        </w:rPr>
        <w:t>’</w:t>
      </w:r>
      <w:r>
        <w:rPr>
          <w:rFonts w:eastAsia="Calibri"/>
          <w:noProof/>
          <w:lang w:val="fr-FR"/>
        </w:rPr>
        <w:t xml:space="preserve">appliquer à celui-ci toute autre mesure consistant à le renvoyer aux frontières du pays où </w:t>
      </w:r>
      <w:r w:rsidRPr="006204D6">
        <w:rPr>
          <w:noProof/>
          <w:lang w:val="fr-FR"/>
        </w:rPr>
        <w:t>sa vie, son intégrité physique, morale ou intellectuelle, sa liberté ou sa sécurité est menacée</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72.</w:t>
      </w:r>
      <w:r w:rsidRPr="006204D6">
        <w:rPr>
          <w:rFonts w:eastAsia="Calibri"/>
          <w:noProof/>
          <w:lang w:val="fr-FR"/>
        </w:rPr>
        <w:tab/>
        <w:t xml:space="preserve">La </w:t>
      </w:r>
      <w:r>
        <w:rPr>
          <w:rFonts w:eastAsia="Calibri"/>
          <w:noProof/>
          <w:lang w:val="fr-FR"/>
        </w:rPr>
        <w:t>« non-expulsion » du territoire national d</w:t>
      </w:r>
      <w:r w:rsidR="00607CA3">
        <w:rPr>
          <w:rFonts w:eastAsia="Calibri"/>
          <w:noProof/>
          <w:lang w:val="fr-FR"/>
        </w:rPr>
        <w:t>’</w:t>
      </w:r>
      <w:r>
        <w:rPr>
          <w:rFonts w:eastAsia="Calibri"/>
          <w:noProof/>
          <w:lang w:val="fr-FR"/>
        </w:rPr>
        <w:t>un demandeur d</w:t>
      </w:r>
      <w:r w:rsidR="00607CA3">
        <w:rPr>
          <w:rFonts w:eastAsia="Calibri"/>
          <w:noProof/>
          <w:lang w:val="fr-FR"/>
        </w:rPr>
        <w:t>’</w:t>
      </w:r>
      <w:r>
        <w:rPr>
          <w:rFonts w:eastAsia="Calibri"/>
          <w:noProof/>
          <w:lang w:val="fr-FR"/>
        </w:rPr>
        <w:t>asile ou d</w:t>
      </w:r>
      <w:r w:rsidR="00607CA3">
        <w:rPr>
          <w:rFonts w:eastAsia="Calibri"/>
          <w:noProof/>
          <w:lang w:val="fr-FR"/>
        </w:rPr>
        <w:t>’</w:t>
      </w:r>
      <w:r>
        <w:rPr>
          <w:rFonts w:eastAsia="Calibri"/>
          <w:noProof/>
          <w:lang w:val="fr-FR"/>
        </w:rPr>
        <w:t>un réfugié s</w:t>
      </w:r>
      <w:r w:rsidR="00607CA3">
        <w:rPr>
          <w:rFonts w:eastAsia="Calibri"/>
          <w:noProof/>
          <w:lang w:val="fr-FR"/>
        </w:rPr>
        <w:t>’</w:t>
      </w:r>
      <w:r>
        <w:rPr>
          <w:rFonts w:eastAsia="Calibri"/>
          <w:noProof/>
          <w:lang w:val="fr-FR"/>
        </w:rPr>
        <w:t>applique tant que son cas n</w:t>
      </w:r>
      <w:r w:rsidR="00607CA3">
        <w:rPr>
          <w:rFonts w:eastAsia="Calibri"/>
          <w:noProof/>
          <w:lang w:val="fr-FR"/>
        </w:rPr>
        <w:t>’</w:t>
      </w:r>
      <w:r>
        <w:rPr>
          <w:rFonts w:eastAsia="Calibri"/>
          <w:noProof/>
          <w:lang w:val="fr-FR"/>
        </w:rPr>
        <w:t>a pas fait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une décision ferme de non-éligibilité. La décision d</w:t>
      </w:r>
      <w:r w:rsidR="00607CA3">
        <w:rPr>
          <w:rFonts w:eastAsia="Calibri"/>
          <w:noProof/>
          <w:lang w:val="fr-FR"/>
        </w:rPr>
        <w:t>’</w:t>
      </w:r>
      <w:r>
        <w:rPr>
          <w:rFonts w:eastAsia="Calibri"/>
          <w:noProof/>
          <w:lang w:val="fr-FR"/>
        </w:rPr>
        <w:t>expulsion ne peut être prise que pour des raisons de sécurité publique ou d</w:t>
      </w:r>
      <w:r w:rsidR="00607CA3">
        <w:rPr>
          <w:rFonts w:eastAsia="Calibri"/>
          <w:noProof/>
          <w:lang w:val="fr-FR"/>
        </w:rPr>
        <w:t>’</w:t>
      </w:r>
      <w:r>
        <w:rPr>
          <w:rFonts w:eastAsia="Calibri"/>
          <w:noProof/>
          <w:lang w:val="fr-FR"/>
        </w:rPr>
        <w:t>ordre public et conformément aux procédures légales en vigueur</w:t>
      </w:r>
      <w:r w:rsidRPr="006204D6">
        <w:rPr>
          <w:rFonts w:eastAsia="Calibri"/>
          <w:noProof/>
          <w:lang w:val="fr-FR"/>
        </w:rPr>
        <w:t xml:space="preserve">. </w:t>
      </w:r>
      <w:r>
        <w:rPr>
          <w:rFonts w:eastAsia="Calibri"/>
          <w:noProof/>
          <w:lang w:val="fr-FR"/>
        </w:rPr>
        <w:t>Elle doit être notifiée personnellement à l</w:t>
      </w:r>
      <w:r w:rsidR="00607CA3">
        <w:rPr>
          <w:rFonts w:eastAsia="Calibri"/>
          <w:noProof/>
          <w:lang w:val="fr-FR"/>
        </w:rPr>
        <w:t>’</w:t>
      </w:r>
      <w:r>
        <w:rPr>
          <w:rFonts w:eastAsia="Calibri"/>
          <w:noProof/>
          <w:lang w:val="fr-FR"/>
        </w:rPr>
        <w:t>intéressé, qui a droit à l</w:t>
      </w:r>
      <w:r w:rsidR="00607CA3">
        <w:rPr>
          <w:rFonts w:eastAsia="Calibri"/>
          <w:noProof/>
          <w:lang w:val="fr-FR"/>
        </w:rPr>
        <w:t>’</w:t>
      </w:r>
      <w:r>
        <w:rPr>
          <w:rFonts w:eastAsia="Calibri"/>
          <w:noProof/>
          <w:lang w:val="fr-FR"/>
        </w:rPr>
        <w:t>assistance d</w:t>
      </w:r>
      <w:r w:rsidR="00607CA3">
        <w:rPr>
          <w:rFonts w:eastAsia="Calibri"/>
          <w:noProof/>
          <w:lang w:val="fr-FR"/>
        </w:rPr>
        <w:t>’</w:t>
      </w:r>
      <w:r>
        <w:rPr>
          <w:rFonts w:eastAsia="Calibri"/>
          <w:noProof/>
          <w:lang w:val="fr-FR"/>
        </w:rPr>
        <w:t>un conseil et peut contester l</w:t>
      </w:r>
      <w:r w:rsidR="00607CA3">
        <w:rPr>
          <w:rFonts w:eastAsia="Calibri"/>
          <w:noProof/>
          <w:lang w:val="fr-FR"/>
        </w:rPr>
        <w:t>’</w:t>
      </w:r>
      <w:r>
        <w:rPr>
          <w:rFonts w:eastAsia="Calibri"/>
          <w:noProof/>
          <w:lang w:val="fr-FR"/>
        </w:rPr>
        <w:t xml:space="preserve">acte administratif en question en se prévalant du régime des recours prévus aux articles </w:t>
      </w:r>
      <w:r w:rsidRPr="006204D6">
        <w:rPr>
          <w:rFonts w:eastAsia="Calibri"/>
          <w:noProof/>
          <w:lang w:val="fr-FR"/>
        </w:rPr>
        <w:t xml:space="preserve">317 </w:t>
      </w:r>
      <w:r>
        <w:rPr>
          <w:rFonts w:eastAsia="Calibri"/>
          <w:noProof/>
          <w:lang w:val="fr-FR"/>
        </w:rPr>
        <w:t>à</w:t>
      </w:r>
      <w:r w:rsidR="006F7A2B">
        <w:rPr>
          <w:rFonts w:eastAsia="Calibri"/>
          <w:noProof/>
          <w:lang w:val="fr-FR"/>
        </w:rPr>
        <w:t> </w:t>
      </w:r>
      <w:r w:rsidRPr="006204D6">
        <w:rPr>
          <w:rFonts w:eastAsia="Calibri"/>
          <w:noProof/>
          <w:lang w:val="fr-FR"/>
        </w:rPr>
        <w:t>319 de la Constitu</w:t>
      </w:r>
      <w:r>
        <w:rPr>
          <w:rFonts w:eastAsia="Calibri"/>
          <w:noProof/>
          <w:lang w:val="fr-FR"/>
        </w:rPr>
        <w:t>tion et autres dispositions législatives connexes</w:t>
      </w:r>
      <w:r w:rsidRPr="006204D6">
        <w:rPr>
          <w:rFonts w:eastAsia="Calibri"/>
          <w:noProof/>
          <w:lang w:val="fr-FR"/>
        </w:rPr>
        <w:t>. L</w:t>
      </w:r>
      <w:r>
        <w:rPr>
          <w:rFonts w:eastAsia="Calibri"/>
          <w:noProof/>
          <w:lang w:val="fr-FR"/>
        </w:rPr>
        <w:t>es recours ne sont pas suspensifs des décisions d</w:t>
      </w:r>
      <w:r w:rsidR="00607CA3">
        <w:rPr>
          <w:rFonts w:eastAsia="Calibri"/>
          <w:noProof/>
          <w:lang w:val="fr-FR"/>
        </w:rPr>
        <w:t>’</w:t>
      </w:r>
      <w:r>
        <w:rPr>
          <w:rFonts w:eastAsia="Calibri"/>
          <w:noProof/>
          <w:lang w:val="fr-FR"/>
        </w:rPr>
        <w:t>expulsion</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73.</w:t>
      </w:r>
      <w:r w:rsidRPr="006204D6">
        <w:rPr>
          <w:rFonts w:eastAsia="Calibri"/>
          <w:noProof/>
          <w:lang w:val="fr-FR"/>
        </w:rPr>
        <w:tab/>
        <w:t>S</w:t>
      </w:r>
      <w:r>
        <w:rPr>
          <w:rFonts w:eastAsia="Calibri"/>
          <w:noProof/>
          <w:lang w:val="fr-FR"/>
        </w:rPr>
        <w:t>ans préjudice de ce qui précède</w:t>
      </w:r>
      <w:r w:rsidRPr="006204D6">
        <w:rPr>
          <w:rFonts w:eastAsia="Calibri"/>
          <w:noProof/>
          <w:lang w:val="fr-FR"/>
        </w:rPr>
        <w:t xml:space="preserve">, </w:t>
      </w:r>
      <w:r>
        <w:rPr>
          <w:rFonts w:eastAsia="Calibri"/>
          <w:noProof/>
          <w:lang w:val="fr-FR"/>
        </w:rPr>
        <w:t>il convient de souligner qu</w:t>
      </w:r>
      <w:r w:rsidR="00607CA3">
        <w:rPr>
          <w:rFonts w:eastAsia="Calibri"/>
          <w:noProof/>
          <w:lang w:val="fr-FR"/>
        </w:rPr>
        <w:t>’</w:t>
      </w:r>
      <w:r>
        <w:rPr>
          <w:rFonts w:eastAsia="Calibri"/>
          <w:noProof/>
          <w:lang w:val="fr-FR"/>
        </w:rPr>
        <w:t xml:space="preserve">à ce jour, </w:t>
      </w:r>
      <w:r w:rsidRPr="006204D6">
        <w:rPr>
          <w:rFonts w:eastAsia="Calibri"/>
          <w:noProof/>
          <w:lang w:val="fr-FR"/>
        </w:rPr>
        <w:t>la me</w:t>
      </w:r>
      <w:r>
        <w:rPr>
          <w:rFonts w:eastAsia="Calibri"/>
          <w:noProof/>
          <w:lang w:val="fr-FR"/>
        </w:rPr>
        <w:t>sure d</w:t>
      </w:r>
      <w:r w:rsidR="00607CA3">
        <w:rPr>
          <w:rFonts w:eastAsia="Calibri"/>
          <w:noProof/>
          <w:lang w:val="fr-FR"/>
        </w:rPr>
        <w:t>’</w:t>
      </w:r>
      <w:r>
        <w:rPr>
          <w:rFonts w:eastAsia="Calibri"/>
          <w:noProof/>
          <w:lang w:val="fr-FR"/>
        </w:rPr>
        <w:t>expulsion n</w:t>
      </w:r>
      <w:r w:rsidR="00607CA3">
        <w:rPr>
          <w:rFonts w:eastAsia="Calibri"/>
          <w:noProof/>
          <w:lang w:val="fr-FR"/>
        </w:rPr>
        <w:t>’</w:t>
      </w:r>
      <w:r>
        <w:rPr>
          <w:rFonts w:eastAsia="Calibri"/>
          <w:noProof/>
          <w:lang w:val="fr-FR"/>
        </w:rPr>
        <w:t>a jamais été appliquée.</w:t>
      </w:r>
    </w:p>
    <w:p w:rsidR="00596826" w:rsidRPr="006204D6" w:rsidRDefault="00596826" w:rsidP="00596826">
      <w:pPr>
        <w:pStyle w:val="SingleTxtG"/>
        <w:rPr>
          <w:rFonts w:eastAsia="Calibri"/>
          <w:noProof/>
          <w:lang w:val="fr-FR"/>
        </w:rPr>
      </w:pPr>
      <w:r w:rsidRPr="006204D6">
        <w:rPr>
          <w:rFonts w:eastAsia="Calibri"/>
          <w:noProof/>
          <w:lang w:val="fr-FR"/>
        </w:rPr>
        <w:lastRenderedPageBreak/>
        <w:t>74.</w:t>
      </w:r>
      <w:r w:rsidRPr="006204D6">
        <w:rPr>
          <w:rFonts w:eastAsia="Calibri"/>
          <w:noProof/>
          <w:lang w:val="fr-FR"/>
        </w:rPr>
        <w:tab/>
        <w:t>L</w:t>
      </w:r>
      <w:r>
        <w:rPr>
          <w:rFonts w:eastAsia="Calibri"/>
          <w:noProof/>
          <w:lang w:val="fr-FR"/>
        </w:rPr>
        <w:t>es demandeurs d</w:t>
      </w:r>
      <w:r w:rsidR="00607CA3">
        <w:rPr>
          <w:rFonts w:eastAsia="Calibri"/>
          <w:noProof/>
          <w:lang w:val="fr-FR"/>
        </w:rPr>
        <w:t>’</w:t>
      </w:r>
      <w:r>
        <w:rPr>
          <w:rFonts w:eastAsia="Calibri"/>
          <w:noProof/>
          <w:lang w:val="fr-FR"/>
        </w:rPr>
        <w:t>asile ont le droit, face à une éventuelle demande d</w:t>
      </w:r>
      <w:r w:rsidR="00607CA3">
        <w:rPr>
          <w:rFonts w:eastAsia="Calibri"/>
          <w:noProof/>
          <w:lang w:val="fr-FR"/>
        </w:rPr>
        <w:t>’</w:t>
      </w:r>
      <w:r>
        <w:rPr>
          <w:rFonts w:eastAsia="Calibri"/>
          <w:noProof/>
          <w:lang w:val="fr-FR"/>
        </w:rPr>
        <w:t>extradition</w:t>
      </w:r>
      <w:r w:rsidRPr="006204D6">
        <w:rPr>
          <w:rFonts w:eastAsia="Calibri"/>
          <w:noProof/>
          <w:lang w:val="fr-FR"/>
        </w:rPr>
        <w:t xml:space="preserve"> (</w:t>
      </w:r>
      <w:r>
        <w:rPr>
          <w:rFonts w:eastAsia="Calibri"/>
          <w:noProof/>
          <w:lang w:val="fr-FR"/>
        </w:rPr>
        <w:t xml:space="preserve">faite </w:t>
      </w:r>
      <w:r w:rsidRPr="006204D6">
        <w:rPr>
          <w:rFonts w:eastAsia="Calibri"/>
          <w:noProof/>
          <w:lang w:val="fr-FR"/>
        </w:rPr>
        <w:t>ant</w:t>
      </w:r>
      <w:r>
        <w:rPr>
          <w:rFonts w:eastAsia="Calibri"/>
          <w:noProof/>
          <w:lang w:val="fr-FR"/>
        </w:rPr>
        <w:t>érieurement ou parallèlement à la demande d</w:t>
      </w:r>
      <w:r w:rsidR="00607CA3">
        <w:rPr>
          <w:rFonts w:eastAsia="Calibri"/>
          <w:noProof/>
          <w:lang w:val="fr-FR"/>
        </w:rPr>
        <w:t>’</w:t>
      </w:r>
      <w:r>
        <w:rPr>
          <w:rFonts w:eastAsia="Calibri"/>
          <w:noProof/>
          <w:lang w:val="fr-FR"/>
        </w:rPr>
        <w:t>asile</w:t>
      </w:r>
      <w:r w:rsidRPr="006204D6">
        <w:rPr>
          <w:rFonts w:eastAsia="Calibri"/>
          <w:noProof/>
          <w:lang w:val="fr-FR"/>
        </w:rPr>
        <w:t xml:space="preserve">), </w:t>
      </w:r>
      <w:r>
        <w:rPr>
          <w:rFonts w:eastAsia="Calibri"/>
          <w:noProof/>
          <w:lang w:val="fr-FR"/>
        </w:rPr>
        <w:t>à ce que la question de leur statut de réfugié soit tranchée en premier. Si ce statut leur est effectivement reconnu, cette reconnaissance vaut rejet de la demande d</w:t>
      </w:r>
      <w:r w:rsidR="00607CA3">
        <w:rPr>
          <w:rFonts w:eastAsia="Calibri"/>
          <w:noProof/>
          <w:lang w:val="fr-FR"/>
        </w:rPr>
        <w:t>’</w:t>
      </w:r>
      <w:r>
        <w:rPr>
          <w:rFonts w:eastAsia="Calibri"/>
          <w:noProof/>
          <w:lang w:val="fr-FR"/>
        </w:rPr>
        <w:t>extradition</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75.</w:t>
      </w:r>
      <w:r w:rsidRPr="006204D6">
        <w:rPr>
          <w:rFonts w:eastAsia="Calibri"/>
          <w:noProof/>
          <w:lang w:val="fr-FR"/>
        </w:rPr>
        <w:tab/>
      </w:r>
      <w:r>
        <w:rPr>
          <w:rFonts w:eastAsia="Calibri"/>
          <w:noProof/>
          <w:lang w:val="fr-FR"/>
        </w:rPr>
        <w:t>En ce qui concerne les traitements différenciés, la loi institue la protection de l</w:t>
      </w:r>
      <w:r w:rsidR="00607CA3">
        <w:rPr>
          <w:rFonts w:eastAsia="Calibri"/>
          <w:noProof/>
          <w:lang w:val="fr-FR"/>
        </w:rPr>
        <w:t>’</w:t>
      </w:r>
      <w:r>
        <w:rPr>
          <w:rFonts w:eastAsia="Calibri"/>
          <w:noProof/>
          <w:lang w:val="fr-FR"/>
        </w:rPr>
        <w:t>intérêt supérieur de l</w:t>
      </w:r>
      <w:r w:rsidR="00607CA3">
        <w:rPr>
          <w:rFonts w:eastAsia="Calibri"/>
          <w:noProof/>
          <w:lang w:val="fr-FR"/>
        </w:rPr>
        <w:t>’</w:t>
      </w:r>
      <w:r>
        <w:rPr>
          <w:rFonts w:eastAsia="Calibri"/>
          <w:noProof/>
          <w:lang w:val="fr-FR"/>
        </w:rPr>
        <w:t>enfant ou de l</w:t>
      </w:r>
      <w:r w:rsidR="00607CA3">
        <w:rPr>
          <w:rFonts w:eastAsia="Calibri"/>
          <w:noProof/>
          <w:lang w:val="fr-FR"/>
        </w:rPr>
        <w:t>’</w:t>
      </w:r>
      <w:r>
        <w:rPr>
          <w:rFonts w:eastAsia="Calibri"/>
          <w:noProof/>
          <w:lang w:val="fr-FR"/>
        </w:rPr>
        <w:t>adolescent à toutes les étapes de la procédure</w:t>
      </w:r>
      <w:r w:rsidRPr="006204D6">
        <w:rPr>
          <w:rFonts w:eastAsia="Calibri"/>
          <w:noProof/>
          <w:lang w:val="fr-FR"/>
        </w:rPr>
        <w:t xml:space="preserve">. </w:t>
      </w:r>
      <w:r w:rsidRPr="00411326">
        <w:t xml:space="preserve">Les </w:t>
      </w:r>
      <w:r w:rsidRPr="005F587B">
        <w:rPr>
          <w:noProof/>
          <w:lang w:val="fr-FR"/>
        </w:rPr>
        <w:t>enfants et adolescents ont le droit de demander la reconnaissance de leur statut de réfugié, indépendamment de leurs représentants légaux. S</w:t>
      </w:r>
      <w:r w:rsidR="00607CA3">
        <w:rPr>
          <w:noProof/>
          <w:lang w:val="fr-FR"/>
        </w:rPr>
        <w:t>’</w:t>
      </w:r>
      <w:r w:rsidRPr="005F587B">
        <w:rPr>
          <w:noProof/>
          <w:lang w:val="fr-FR"/>
        </w:rPr>
        <w:t>ils ne sont pas accompagnés, l</w:t>
      </w:r>
      <w:r w:rsidR="00607CA3">
        <w:rPr>
          <w:noProof/>
          <w:lang w:val="fr-FR"/>
        </w:rPr>
        <w:t>’</w:t>
      </w:r>
      <w:r w:rsidRPr="005F587B">
        <w:rPr>
          <w:noProof/>
          <w:lang w:val="fr-FR"/>
        </w:rPr>
        <w:t>assistance d</w:t>
      </w:r>
      <w:r w:rsidR="00607CA3">
        <w:rPr>
          <w:noProof/>
          <w:lang w:val="fr-FR"/>
        </w:rPr>
        <w:t>’</w:t>
      </w:r>
      <w:r w:rsidRPr="005F587B">
        <w:rPr>
          <w:noProof/>
          <w:lang w:val="fr-FR"/>
        </w:rPr>
        <w:t>un avocat est obligatoire. Tout acte de procédure effectué hors de l</w:t>
      </w:r>
      <w:r w:rsidRPr="005F587B">
        <w:rPr>
          <w:rFonts w:eastAsia="Calibri"/>
          <w:noProof/>
          <w:lang w:val="fr-FR"/>
        </w:rPr>
        <w:t>a présence d</w:t>
      </w:r>
      <w:r>
        <w:rPr>
          <w:rFonts w:eastAsia="Calibri"/>
          <w:noProof/>
          <w:lang w:val="fr-FR"/>
        </w:rPr>
        <w:t>u</w:t>
      </w:r>
      <w:r w:rsidRPr="005F587B">
        <w:rPr>
          <w:rFonts w:eastAsia="Calibri"/>
          <w:noProof/>
          <w:lang w:val="fr-FR"/>
        </w:rPr>
        <w:t xml:space="preserve"> défenseur est nul et non avenu</w:t>
      </w:r>
      <w:r w:rsidRPr="006204D6">
        <w:rPr>
          <w:rFonts w:eastAsia="Calibri"/>
          <w:noProof/>
          <w:lang w:val="fr-FR"/>
        </w:rPr>
        <w:t xml:space="preserve">. </w:t>
      </w:r>
      <w:r>
        <w:rPr>
          <w:rFonts w:eastAsia="Calibri"/>
          <w:noProof/>
          <w:lang w:val="fr-FR"/>
        </w:rPr>
        <w:t>De même, le juge aux affaires familiales doit en être immédiatement informé, afin de pouvoir prendre les mesures qui s</w:t>
      </w:r>
      <w:r w:rsidR="00607CA3">
        <w:rPr>
          <w:rFonts w:eastAsia="Calibri"/>
          <w:noProof/>
          <w:lang w:val="fr-FR"/>
        </w:rPr>
        <w:t>’</w:t>
      </w:r>
      <w:r>
        <w:rPr>
          <w:rFonts w:eastAsia="Calibri"/>
          <w:noProof/>
          <w:lang w:val="fr-FR"/>
        </w:rPr>
        <w:t>imposent</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76.</w:t>
      </w:r>
      <w:r w:rsidRPr="006204D6">
        <w:rPr>
          <w:rFonts w:eastAsia="Calibri"/>
          <w:noProof/>
          <w:lang w:val="fr-FR"/>
        </w:rPr>
        <w:tab/>
        <w:t>No</w:t>
      </w:r>
      <w:r>
        <w:rPr>
          <w:rFonts w:eastAsia="Calibri"/>
          <w:noProof/>
          <w:lang w:val="fr-FR"/>
        </w:rPr>
        <w:t>n</w:t>
      </w:r>
      <w:r w:rsidRPr="006204D6">
        <w:rPr>
          <w:rFonts w:eastAsia="Calibri"/>
          <w:noProof/>
          <w:lang w:val="fr-FR"/>
        </w:rPr>
        <w:t>obstant</w:t>
      </w:r>
      <w:r>
        <w:rPr>
          <w:rFonts w:eastAsia="Calibri"/>
          <w:noProof/>
          <w:lang w:val="fr-FR"/>
        </w:rPr>
        <w:t xml:space="preserve"> c</w:t>
      </w:r>
      <w:r w:rsidRPr="006204D6">
        <w:rPr>
          <w:rFonts w:eastAsia="Calibri"/>
          <w:noProof/>
          <w:lang w:val="fr-FR"/>
        </w:rPr>
        <w:t xml:space="preserve">e </w:t>
      </w:r>
      <w:r>
        <w:rPr>
          <w:rFonts w:eastAsia="Calibri"/>
          <w:noProof/>
          <w:lang w:val="fr-FR"/>
        </w:rPr>
        <w:t>qui précède</w:t>
      </w:r>
      <w:r w:rsidRPr="006204D6">
        <w:rPr>
          <w:rFonts w:eastAsia="Calibri"/>
          <w:noProof/>
          <w:lang w:val="fr-FR"/>
        </w:rPr>
        <w:t xml:space="preserve">, </w:t>
      </w:r>
      <w:r>
        <w:rPr>
          <w:rFonts w:eastAsia="Calibri"/>
          <w:noProof/>
          <w:lang w:val="fr-FR"/>
        </w:rPr>
        <w:t>aucun cas d</w:t>
      </w:r>
      <w:r w:rsidR="00607CA3">
        <w:rPr>
          <w:rFonts w:eastAsia="Calibri"/>
          <w:noProof/>
          <w:lang w:val="fr-FR"/>
        </w:rPr>
        <w:t>’</w:t>
      </w:r>
      <w:r>
        <w:rPr>
          <w:rFonts w:eastAsia="Calibri"/>
          <w:noProof/>
          <w:lang w:val="fr-FR"/>
        </w:rPr>
        <w:t>enfant ou d</w:t>
      </w:r>
      <w:r w:rsidR="00607CA3">
        <w:rPr>
          <w:rFonts w:eastAsia="Calibri"/>
          <w:noProof/>
          <w:lang w:val="fr-FR"/>
        </w:rPr>
        <w:t>’</w:t>
      </w:r>
      <w:r>
        <w:rPr>
          <w:rFonts w:eastAsia="Calibri"/>
          <w:noProof/>
          <w:lang w:val="fr-FR"/>
        </w:rPr>
        <w:t>adolescent réfugié non accompagné ne s</w:t>
      </w:r>
      <w:r w:rsidR="00607CA3">
        <w:rPr>
          <w:rFonts w:eastAsia="Calibri"/>
          <w:noProof/>
          <w:lang w:val="fr-FR"/>
        </w:rPr>
        <w:t>’</w:t>
      </w:r>
      <w:r>
        <w:rPr>
          <w:rFonts w:eastAsia="Calibri"/>
          <w:noProof/>
          <w:lang w:val="fr-FR"/>
        </w:rPr>
        <w:t>est présenté au cours de la période considérée</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77.</w:t>
      </w:r>
      <w:r w:rsidRPr="006204D6">
        <w:rPr>
          <w:rFonts w:eastAsia="Calibri"/>
          <w:noProof/>
          <w:lang w:val="fr-FR"/>
        </w:rPr>
        <w:tab/>
      </w:r>
      <w:r>
        <w:rPr>
          <w:rFonts w:eastAsia="Calibri"/>
          <w:noProof/>
          <w:lang w:val="fr-FR"/>
        </w:rPr>
        <w:t>En ce qui concerne les demandes de statut de réfugié présentées par des femmes, celles-ci doivent être interrogées individuellement hors de la présence de leur partenaire ou des personnes qui les accompagnent, ce qui constitue une garantie supplémentaire du respect de la confidentialité de la procédure</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78.</w:t>
      </w:r>
      <w:r w:rsidRPr="006204D6">
        <w:rPr>
          <w:rFonts w:eastAsia="Calibri"/>
          <w:noProof/>
          <w:lang w:val="fr-FR"/>
        </w:rPr>
        <w:tab/>
      </w:r>
      <w:r>
        <w:rPr>
          <w:rFonts w:eastAsia="Calibri"/>
          <w:noProof/>
          <w:lang w:val="fr-FR"/>
        </w:rPr>
        <w:t>Il convient de souligner que les demandeurs d</w:t>
      </w:r>
      <w:r w:rsidR="00607CA3">
        <w:rPr>
          <w:rFonts w:eastAsia="Calibri"/>
          <w:noProof/>
          <w:lang w:val="fr-FR"/>
        </w:rPr>
        <w:t>’</w:t>
      </w:r>
      <w:r>
        <w:rPr>
          <w:rFonts w:eastAsia="Calibri"/>
          <w:noProof/>
          <w:lang w:val="fr-FR"/>
        </w:rPr>
        <w:t>asile sont dûment informés, à tout moment, de l</w:t>
      </w:r>
      <w:r w:rsidR="00607CA3">
        <w:rPr>
          <w:rFonts w:eastAsia="Calibri"/>
          <w:noProof/>
          <w:lang w:val="fr-FR"/>
        </w:rPr>
        <w:t>’</w:t>
      </w:r>
      <w:r>
        <w:rPr>
          <w:rFonts w:eastAsia="Calibri"/>
          <w:noProof/>
          <w:lang w:val="fr-FR"/>
        </w:rPr>
        <w:t>état d</w:t>
      </w:r>
      <w:r w:rsidR="00607CA3">
        <w:rPr>
          <w:rFonts w:eastAsia="Calibri"/>
          <w:noProof/>
          <w:lang w:val="fr-FR"/>
        </w:rPr>
        <w:t>’</w:t>
      </w:r>
      <w:r>
        <w:rPr>
          <w:rFonts w:eastAsia="Calibri"/>
          <w:noProof/>
          <w:lang w:val="fr-FR"/>
        </w:rPr>
        <w:t>avancement de la procédure et de leurs droits</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79.</w:t>
      </w:r>
      <w:r w:rsidRPr="006204D6">
        <w:rPr>
          <w:rFonts w:eastAsia="Calibri"/>
          <w:noProof/>
          <w:lang w:val="fr-FR"/>
        </w:rPr>
        <w:tab/>
      </w:r>
      <w:r>
        <w:rPr>
          <w:rFonts w:eastAsia="Calibri"/>
          <w:noProof/>
          <w:lang w:val="fr-FR"/>
        </w:rPr>
        <w:t>S</w:t>
      </w:r>
      <w:r w:rsidR="00607CA3">
        <w:rPr>
          <w:rFonts w:eastAsia="Calibri"/>
          <w:noProof/>
          <w:lang w:val="fr-FR"/>
        </w:rPr>
        <w:t>’</w:t>
      </w:r>
      <w:r>
        <w:rPr>
          <w:rFonts w:eastAsia="Calibri"/>
          <w:noProof/>
          <w:lang w:val="fr-FR"/>
        </w:rPr>
        <w:t>agissant des faits nouveaux survenus dans ce domaine, il importe de noter que, à l</w:t>
      </w:r>
      <w:r w:rsidR="00607CA3">
        <w:rPr>
          <w:rFonts w:eastAsia="Calibri"/>
          <w:noProof/>
          <w:lang w:val="fr-FR"/>
        </w:rPr>
        <w:t>’</w:t>
      </w:r>
      <w:r>
        <w:rPr>
          <w:rFonts w:eastAsia="Calibri"/>
          <w:noProof/>
          <w:lang w:val="fr-FR"/>
        </w:rPr>
        <w:t xml:space="preserve">occasion de la célébration du </w:t>
      </w:r>
      <w:r w:rsidR="00691AD9">
        <w:rPr>
          <w:rFonts w:eastAsia="Calibri"/>
          <w:noProof/>
          <w:lang w:val="fr-FR"/>
        </w:rPr>
        <w:t xml:space="preserve">trentième </w:t>
      </w:r>
      <w:r>
        <w:rPr>
          <w:rFonts w:eastAsia="Calibri"/>
          <w:noProof/>
          <w:lang w:val="fr-FR"/>
        </w:rPr>
        <w:t xml:space="preserve">anniversaire de </w:t>
      </w:r>
      <w:r w:rsidRPr="001303A9">
        <w:rPr>
          <w:noProof/>
          <w:lang w:val="fr-FR"/>
        </w:rPr>
        <w:t>l</w:t>
      </w:r>
      <w:r w:rsidR="00607CA3">
        <w:rPr>
          <w:noProof/>
          <w:lang w:val="fr-FR"/>
        </w:rPr>
        <w:t>’</w:t>
      </w:r>
      <w:r w:rsidRPr="001303A9">
        <w:rPr>
          <w:noProof/>
          <w:lang w:val="fr-FR"/>
        </w:rPr>
        <w:t>adoption de la Déclaration de Carthagène sur les réfugiés</w:t>
      </w:r>
      <w:r>
        <w:rPr>
          <w:rFonts w:eastAsia="Calibri"/>
          <w:noProof/>
          <w:lang w:val="fr-FR"/>
        </w:rPr>
        <w:t xml:space="preserve"> </w:t>
      </w:r>
      <w:r w:rsidRPr="006204D6">
        <w:rPr>
          <w:rFonts w:eastAsia="Calibri"/>
          <w:noProof/>
          <w:lang w:val="fr-FR"/>
        </w:rPr>
        <w:t>(Cart</w:t>
      </w:r>
      <w:r>
        <w:rPr>
          <w:rFonts w:eastAsia="Calibri"/>
          <w:noProof/>
          <w:lang w:val="fr-FR"/>
        </w:rPr>
        <w:t>h</w:t>
      </w:r>
      <w:r w:rsidRPr="006204D6">
        <w:rPr>
          <w:rFonts w:eastAsia="Calibri"/>
          <w:noProof/>
          <w:lang w:val="fr-FR"/>
        </w:rPr>
        <w:t>ag</w:t>
      </w:r>
      <w:r>
        <w:rPr>
          <w:rFonts w:eastAsia="Calibri"/>
          <w:noProof/>
          <w:lang w:val="fr-FR"/>
        </w:rPr>
        <w:t>è</w:t>
      </w:r>
      <w:r w:rsidRPr="006204D6">
        <w:rPr>
          <w:rFonts w:eastAsia="Calibri"/>
          <w:noProof/>
          <w:lang w:val="fr-FR"/>
        </w:rPr>
        <w:t>n</w:t>
      </w:r>
      <w:r>
        <w:rPr>
          <w:rFonts w:eastAsia="Calibri"/>
          <w:noProof/>
          <w:lang w:val="fr-FR"/>
        </w:rPr>
        <w:t xml:space="preserve">e+30) et avec la </w:t>
      </w:r>
      <w:r w:rsidRPr="006204D6">
        <w:rPr>
          <w:rFonts w:eastAsia="Calibri"/>
          <w:noProof/>
          <w:lang w:val="fr-FR"/>
        </w:rPr>
        <w:t>participa</w:t>
      </w:r>
      <w:r>
        <w:rPr>
          <w:rFonts w:eastAsia="Calibri"/>
          <w:noProof/>
          <w:lang w:val="fr-FR"/>
        </w:rPr>
        <w:t xml:space="preserve">tion active </w:t>
      </w:r>
      <w:r w:rsidRPr="006204D6">
        <w:rPr>
          <w:rFonts w:eastAsia="Calibri"/>
          <w:noProof/>
          <w:lang w:val="fr-FR"/>
        </w:rPr>
        <w:t xml:space="preserve">de </w:t>
      </w:r>
      <w:r>
        <w:rPr>
          <w:rFonts w:eastAsia="Calibri"/>
          <w:noProof/>
          <w:lang w:val="fr-FR"/>
        </w:rPr>
        <w:t>l</w:t>
      </w:r>
      <w:r w:rsidR="00607CA3">
        <w:rPr>
          <w:rFonts w:eastAsia="Calibri"/>
          <w:noProof/>
          <w:lang w:val="fr-FR"/>
        </w:rPr>
        <w:t>’</w:t>
      </w:r>
      <w:r w:rsidRPr="006204D6">
        <w:rPr>
          <w:rFonts w:eastAsia="Calibri"/>
          <w:noProof/>
          <w:lang w:val="fr-FR"/>
        </w:rPr>
        <w:t>Uruguay, l</w:t>
      </w:r>
      <w:r>
        <w:rPr>
          <w:rFonts w:eastAsia="Calibri"/>
          <w:noProof/>
          <w:lang w:val="fr-FR"/>
        </w:rPr>
        <w:t>e</w:t>
      </w:r>
      <w:r w:rsidRPr="006204D6">
        <w:rPr>
          <w:rFonts w:eastAsia="Calibri"/>
          <w:noProof/>
          <w:lang w:val="fr-FR"/>
        </w:rPr>
        <w:t xml:space="preserve">s </w:t>
      </w:r>
      <w:r>
        <w:rPr>
          <w:rFonts w:eastAsia="Calibri"/>
          <w:noProof/>
          <w:lang w:val="fr-FR"/>
        </w:rPr>
        <w:t>États d</w:t>
      </w:r>
      <w:r w:rsidR="00607CA3">
        <w:rPr>
          <w:rFonts w:eastAsia="Calibri"/>
          <w:noProof/>
          <w:lang w:val="fr-FR"/>
        </w:rPr>
        <w:t>’</w:t>
      </w:r>
      <w:r>
        <w:rPr>
          <w:rFonts w:eastAsia="Calibri"/>
          <w:noProof/>
          <w:lang w:val="fr-FR"/>
        </w:rPr>
        <w:t>Amérique latine et des Caraïbes ont adopté la « </w:t>
      </w:r>
      <w:r w:rsidRPr="001303A9">
        <w:rPr>
          <w:noProof/>
          <w:lang w:val="fr-FR"/>
        </w:rPr>
        <w:t>Déclaration et Plan d</w:t>
      </w:r>
      <w:r w:rsidR="00607CA3">
        <w:rPr>
          <w:noProof/>
          <w:lang w:val="fr-FR"/>
        </w:rPr>
        <w:t>’</w:t>
      </w:r>
      <w:r w:rsidRPr="001303A9">
        <w:rPr>
          <w:noProof/>
          <w:lang w:val="fr-FR"/>
        </w:rPr>
        <w:t>action du Brésil</w:t>
      </w:r>
      <w:r w:rsidR="00332CC9">
        <w:rPr>
          <w:noProof/>
          <w:lang w:val="fr-FR"/>
        </w:rPr>
        <w:t> </w:t>
      </w:r>
      <w:r>
        <w:rPr>
          <w:rFonts w:eastAsia="Calibri"/>
          <w:noProof/>
          <w:lang w:val="fr-FR"/>
        </w:rPr>
        <w:t>»</w:t>
      </w:r>
      <w:r w:rsidRPr="006204D6">
        <w:rPr>
          <w:rFonts w:eastAsia="Calibri"/>
          <w:noProof/>
          <w:lang w:val="fr-FR"/>
        </w:rPr>
        <w:t xml:space="preserve"> (2014)</w:t>
      </w:r>
      <w:r>
        <w:rPr>
          <w:rFonts w:eastAsia="Calibri"/>
          <w:noProof/>
          <w:lang w:val="fr-FR"/>
        </w:rPr>
        <w:t>, réitérant leur engagement d</w:t>
      </w:r>
      <w:r w:rsidR="00607CA3">
        <w:rPr>
          <w:rFonts w:eastAsia="Calibri"/>
          <w:noProof/>
          <w:lang w:val="fr-FR"/>
        </w:rPr>
        <w:t>’</w:t>
      </w:r>
      <w:r>
        <w:rPr>
          <w:rFonts w:eastAsia="Calibri"/>
          <w:noProof/>
          <w:lang w:val="fr-FR"/>
        </w:rPr>
        <w:t>accorder une protection internationale aux personnes réfugiées, déplacées et apatrides, et réaffirmant la nécessité de consolide</w:t>
      </w:r>
      <w:r w:rsidRPr="006204D6">
        <w:rPr>
          <w:rFonts w:eastAsia="Calibri"/>
          <w:noProof/>
          <w:lang w:val="fr-FR"/>
        </w:rPr>
        <w:t>r l</w:t>
      </w:r>
      <w:r>
        <w:rPr>
          <w:rFonts w:eastAsia="Calibri"/>
          <w:noProof/>
          <w:lang w:val="fr-FR"/>
        </w:rPr>
        <w:t>e</w:t>
      </w:r>
      <w:r w:rsidRPr="006204D6">
        <w:rPr>
          <w:rFonts w:eastAsia="Calibri"/>
          <w:noProof/>
          <w:lang w:val="fr-FR"/>
        </w:rPr>
        <w:t>s s</w:t>
      </w:r>
      <w:r>
        <w:rPr>
          <w:rFonts w:eastAsia="Calibri"/>
          <w:noProof/>
          <w:lang w:val="fr-FR"/>
        </w:rPr>
        <w:t xml:space="preserve">ystèmes </w:t>
      </w:r>
      <w:r w:rsidRPr="006204D6">
        <w:rPr>
          <w:rFonts w:eastAsia="Calibri"/>
          <w:noProof/>
          <w:lang w:val="fr-FR"/>
        </w:rPr>
        <w:t>na</w:t>
      </w:r>
      <w:r>
        <w:rPr>
          <w:rFonts w:eastAsia="Calibri"/>
          <w:noProof/>
          <w:lang w:val="fr-FR"/>
        </w:rPr>
        <w:t xml:space="preserve">tionaux </w:t>
      </w:r>
      <w:r w:rsidRPr="006204D6">
        <w:rPr>
          <w:rFonts w:eastAsia="Calibri"/>
          <w:noProof/>
          <w:lang w:val="fr-FR"/>
        </w:rPr>
        <w:t>de d</w:t>
      </w:r>
      <w:r>
        <w:rPr>
          <w:rFonts w:eastAsia="Calibri"/>
          <w:noProof/>
          <w:lang w:val="fr-FR"/>
        </w:rPr>
        <w:t>é</w:t>
      </w:r>
      <w:r w:rsidRPr="006204D6">
        <w:rPr>
          <w:rFonts w:eastAsia="Calibri"/>
          <w:noProof/>
          <w:lang w:val="fr-FR"/>
        </w:rPr>
        <w:t>termina</w:t>
      </w:r>
      <w:r>
        <w:rPr>
          <w:rFonts w:eastAsia="Calibri"/>
          <w:noProof/>
          <w:lang w:val="fr-FR"/>
        </w:rPr>
        <w:t>tion du statut de réfugié, de renforcer les capacités et les connaissances des autorités dans ce domaine, et d</w:t>
      </w:r>
      <w:r w:rsidR="00607CA3">
        <w:rPr>
          <w:rFonts w:eastAsia="Calibri"/>
          <w:noProof/>
          <w:lang w:val="fr-FR"/>
        </w:rPr>
        <w:t>’</w:t>
      </w:r>
      <w:r>
        <w:rPr>
          <w:rFonts w:eastAsia="Calibri"/>
          <w:noProof/>
          <w:lang w:val="fr-FR"/>
        </w:rPr>
        <w:t>adopter des principes efficaces de gestion et de mise en œuvre des procédures</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80.</w:t>
      </w:r>
      <w:r w:rsidRPr="006204D6">
        <w:rPr>
          <w:rFonts w:eastAsia="Calibri"/>
          <w:noProof/>
          <w:lang w:val="fr-FR"/>
        </w:rPr>
        <w:tab/>
        <w:t>En 2016, la Com</w:t>
      </w:r>
      <w:r>
        <w:rPr>
          <w:rFonts w:eastAsia="Calibri"/>
          <w:noProof/>
          <w:lang w:val="fr-FR"/>
        </w:rPr>
        <w:t xml:space="preserve">mission uruguayenne des réfugiés et le </w:t>
      </w:r>
      <w:r w:rsidRPr="006574CB">
        <w:rPr>
          <w:rFonts w:eastAsia="Calibri"/>
          <w:noProof/>
          <w:lang w:val="fr-FR"/>
        </w:rPr>
        <w:t xml:space="preserve">Haut-Commissariat des Nations Unies pour les réfugiés </w:t>
      </w:r>
      <w:r>
        <w:rPr>
          <w:rFonts w:eastAsia="Calibri"/>
          <w:noProof/>
          <w:lang w:val="fr-FR"/>
        </w:rPr>
        <w:t xml:space="preserve">(HCR) ont arrêté en commun un </w:t>
      </w:r>
      <w:r w:rsidRPr="006204D6">
        <w:rPr>
          <w:rFonts w:eastAsia="Calibri"/>
          <w:noProof/>
          <w:lang w:val="fr-FR"/>
        </w:rPr>
        <w:t>Program</w:t>
      </w:r>
      <w:r>
        <w:rPr>
          <w:rFonts w:eastAsia="Calibri"/>
          <w:noProof/>
          <w:lang w:val="fr-FR"/>
        </w:rPr>
        <w:t xml:space="preserve">me de travail (2016-2018), dont le volet renforcement institutionnel du Secrétariat permanent de la Commission prévoit des activités de renforcement des capacités techniques et opérationnelles de ce Secrétariat, en lui fournissant les ressources humaines et matérielles devant lui permettre de remplir les fonctions que la 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6204D6">
        <w:rPr>
          <w:rFonts w:eastAsia="Calibri"/>
          <w:noProof/>
          <w:lang w:val="fr-FR"/>
        </w:rPr>
        <w:t>18076</w:t>
      </w:r>
      <w:r>
        <w:rPr>
          <w:rFonts w:eastAsia="Calibri"/>
          <w:noProof/>
          <w:lang w:val="fr-FR"/>
        </w:rPr>
        <w:t xml:space="preserve"> lui a assignées</w:t>
      </w:r>
      <w:r w:rsidRPr="006204D6">
        <w:rPr>
          <w:rFonts w:eastAsia="Calibri"/>
          <w:noProof/>
          <w:lang w:val="fr-FR"/>
        </w:rPr>
        <w:t>.</w:t>
      </w:r>
    </w:p>
    <w:p w:rsidR="00596826" w:rsidRPr="006204D6" w:rsidRDefault="00596826" w:rsidP="00596826">
      <w:pPr>
        <w:pStyle w:val="SingleTxtG"/>
        <w:rPr>
          <w:rFonts w:eastAsia="Calibri"/>
          <w:noProof/>
          <w:lang w:val="fr-FR"/>
        </w:rPr>
      </w:pPr>
      <w:r w:rsidRPr="006204D6">
        <w:rPr>
          <w:rFonts w:eastAsia="Calibri"/>
          <w:noProof/>
          <w:lang w:val="fr-FR"/>
        </w:rPr>
        <w:t>81.</w:t>
      </w:r>
      <w:r w:rsidRPr="006204D6">
        <w:rPr>
          <w:rFonts w:eastAsia="Calibri"/>
          <w:noProof/>
          <w:lang w:val="fr-FR"/>
        </w:rPr>
        <w:tab/>
      </w:r>
      <w:r>
        <w:rPr>
          <w:rFonts w:eastAsia="Calibri"/>
          <w:noProof/>
          <w:lang w:val="fr-FR"/>
        </w:rPr>
        <w:t xml:space="preserve">En ce qui concerne le renvoi de personnes ayant obtenu le statut de réfugié, </w:t>
      </w:r>
      <w:r w:rsidRPr="006204D6">
        <w:rPr>
          <w:rFonts w:eastAsia="Calibri"/>
          <w:noProof/>
          <w:lang w:val="fr-FR"/>
        </w:rPr>
        <w:t xml:space="preserve">la </w:t>
      </w:r>
      <w:r>
        <w:rPr>
          <w:rFonts w:eastAsia="Calibri"/>
          <w:noProof/>
          <w:lang w:val="fr-FR"/>
        </w:rPr>
        <w:t xml:space="preserve">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Pr>
          <w:rFonts w:eastAsia="Calibri"/>
          <w:noProof/>
          <w:lang w:val="fr-FR"/>
        </w:rPr>
        <w:t xml:space="preserve">18076 </w:t>
      </w:r>
      <w:r w:rsidRPr="006204D6">
        <w:rPr>
          <w:rFonts w:eastAsia="Calibri"/>
          <w:noProof/>
          <w:lang w:val="fr-FR"/>
        </w:rPr>
        <w:t>d</w:t>
      </w:r>
      <w:r>
        <w:rPr>
          <w:rFonts w:eastAsia="Calibri"/>
          <w:noProof/>
          <w:lang w:val="fr-FR"/>
        </w:rPr>
        <w:t>u</w:t>
      </w:r>
      <w:r w:rsidRPr="006204D6">
        <w:rPr>
          <w:rFonts w:eastAsia="Calibri"/>
          <w:noProof/>
          <w:lang w:val="fr-FR"/>
        </w:rPr>
        <w:t xml:space="preserve"> 5</w:t>
      </w:r>
      <w:r w:rsidR="00332CC9">
        <w:rPr>
          <w:rFonts w:eastAsia="Calibri"/>
          <w:noProof/>
          <w:lang w:val="fr-FR"/>
        </w:rPr>
        <w:t> </w:t>
      </w:r>
      <w:r>
        <w:rPr>
          <w:rFonts w:eastAsia="Calibri"/>
          <w:noProof/>
          <w:lang w:val="fr-FR"/>
        </w:rPr>
        <w:t>janvier 2007 interdit expressément le refoulement de toute personne vers un lieu où s</w:t>
      </w:r>
      <w:r w:rsidRPr="006204D6">
        <w:rPr>
          <w:noProof/>
          <w:lang w:val="fr-FR"/>
        </w:rPr>
        <w:t xml:space="preserve">a vie, </w:t>
      </w:r>
      <w:r>
        <w:rPr>
          <w:noProof/>
          <w:lang w:val="fr-FR"/>
        </w:rPr>
        <w:t xml:space="preserve">son </w:t>
      </w:r>
      <w:r w:rsidRPr="006204D6">
        <w:rPr>
          <w:noProof/>
          <w:lang w:val="fr-FR"/>
        </w:rPr>
        <w:t xml:space="preserve">intégrité physique, morale ou intellectuelle, </w:t>
      </w:r>
      <w:r>
        <w:rPr>
          <w:noProof/>
          <w:lang w:val="fr-FR"/>
        </w:rPr>
        <w:t>s</w:t>
      </w:r>
      <w:r w:rsidRPr="006204D6">
        <w:rPr>
          <w:noProof/>
          <w:lang w:val="fr-FR"/>
        </w:rPr>
        <w:t xml:space="preserve">a </w:t>
      </w:r>
      <w:r>
        <w:rPr>
          <w:noProof/>
          <w:lang w:val="fr-FR"/>
        </w:rPr>
        <w:t xml:space="preserve">sécurité ou sa </w:t>
      </w:r>
      <w:r w:rsidRPr="006204D6">
        <w:rPr>
          <w:noProof/>
          <w:lang w:val="fr-FR"/>
        </w:rPr>
        <w:t>liberté est menacée</w:t>
      </w:r>
      <w:r w:rsidRPr="006204D6">
        <w:rPr>
          <w:rFonts w:eastAsia="Calibri"/>
          <w:noProof/>
          <w:lang w:val="fr-FR"/>
        </w:rPr>
        <w:t xml:space="preserve">. </w:t>
      </w:r>
      <w:r>
        <w:rPr>
          <w:rFonts w:eastAsia="Calibri"/>
          <w:noProof/>
          <w:lang w:val="fr-FR"/>
        </w:rPr>
        <w:t xml:space="preserve">De même, les décisions prises par la Commission peuvent être contestées en se prévalant du régime des recours prévus aux articles </w:t>
      </w:r>
      <w:r w:rsidRPr="006204D6">
        <w:rPr>
          <w:rFonts w:eastAsia="Calibri"/>
          <w:noProof/>
          <w:lang w:val="fr-FR"/>
        </w:rPr>
        <w:t xml:space="preserve">317 </w:t>
      </w:r>
      <w:r>
        <w:rPr>
          <w:rFonts w:eastAsia="Calibri"/>
          <w:noProof/>
          <w:lang w:val="fr-FR"/>
        </w:rPr>
        <w:t>à</w:t>
      </w:r>
      <w:r w:rsidRPr="006204D6">
        <w:rPr>
          <w:rFonts w:eastAsia="Calibri"/>
          <w:noProof/>
          <w:lang w:val="fr-FR"/>
        </w:rPr>
        <w:t xml:space="preserve"> 319 de la Constitu</w:t>
      </w:r>
      <w:r>
        <w:rPr>
          <w:rFonts w:eastAsia="Calibri"/>
          <w:noProof/>
          <w:lang w:val="fr-FR"/>
        </w:rPr>
        <w:t>tion</w:t>
      </w:r>
      <w:r w:rsidRPr="006204D6">
        <w:rPr>
          <w:rFonts w:eastAsia="Calibri"/>
          <w:noProof/>
          <w:lang w:val="fr-FR"/>
        </w:rPr>
        <w:t>.</w:t>
      </w:r>
    </w:p>
    <w:p w:rsidR="00596826" w:rsidRPr="006204D6" w:rsidRDefault="00596826" w:rsidP="00596826">
      <w:pPr>
        <w:pStyle w:val="SingleTxtG"/>
        <w:rPr>
          <w:rFonts w:ascii="Tahoma" w:hAnsi="Tahoma" w:cs="Tahoma"/>
          <w:noProof/>
          <w:lang w:val="fr-FR"/>
        </w:rPr>
      </w:pPr>
      <w:r w:rsidRPr="006204D6">
        <w:rPr>
          <w:rFonts w:cs="Tahoma"/>
          <w:iCs/>
          <w:noProof/>
          <w:lang w:val="fr-FR"/>
        </w:rPr>
        <w:t>82.</w:t>
      </w:r>
      <w:r w:rsidRPr="006204D6">
        <w:rPr>
          <w:rFonts w:cs="Tahoma"/>
          <w:iCs/>
          <w:noProof/>
          <w:lang w:val="fr-FR"/>
        </w:rPr>
        <w:tab/>
        <w:t>Entre 2014</w:t>
      </w:r>
      <w:r>
        <w:rPr>
          <w:rFonts w:cs="Tahoma"/>
          <w:iCs/>
          <w:noProof/>
          <w:lang w:val="fr-FR"/>
        </w:rPr>
        <w:t xml:space="preserve"> et</w:t>
      </w:r>
      <w:r w:rsidRPr="006204D6">
        <w:rPr>
          <w:rFonts w:cs="Tahoma"/>
          <w:iCs/>
          <w:noProof/>
          <w:lang w:val="fr-FR"/>
        </w:rPr>
        <w:t xml:space="preserve"> 2017</w:t>
      </w:r>
      <w:r>
        <w:rPr>
          <w:rFonts w:cs="Tahoma"/>
          <w:iCs/>
          <w:noProof/>
          <w:lang w:val="fr-FR"/>
        </w:rPr>
        <w:t>,</w:t>
      </w:r>
      <w:r w:rsidRPr="006204D6">
        <w:rPr>
          <w:rFonts w:cs="Tahoma"/>
          <w:iCs/>
          <w:noProof/>
          <w:lang w:val="fr-FR"/>
        </w:rPr>
        <w:t xml:space="preserve"> </w:t>
      </w:r>
      <w:r>
        <w:rPr>
          <w:rFonts w:cs="Tahoma"/>
          <w:iCs/>
          <w:noProof/>
          <w:lang w:val="fr-FR"/>
        </w:rPr>
        <w:t xml:space="preserve">sur les </w:t>
      </w:r>
      <w:r w:rsidRPr="006204D6">
        <w:rPr>
          <w:rFonts w:cs="Tahoma"/>
          <w:iCs/>
          <w:noProof/>
          <w:lang w:val="fr-FR"/>
        </w:rPr>
        <w:t>2</w:t>
      </w:r>
      <w:r w:rsidR="00332CC9">
        <w:rPr>
          <w:rFonts w:cs="Tahoma"/>
          <w:iCs/>
          <w:noProof/>
          <w:lang w:val="fr-FR"/>
        </w:rPr>
        <w:t> </w:t>
      </w:r>
      <w:r w:rsidRPr="006204D6">
        <w:rPr>
          <w:rFonts w:cs="Tahoma"/>
          <w:iCs/>
          <w:noProof/>
          <w:lang w:val="fr-FR"/>
        </w:rPr>
        <w:t xml:space="preserve">974 </w:t>
      </w:r>
      <w:r>
        <w:rPr>
          <w:rFonts w:cs="Tahoma"/>
          <w:iCs/>
          <w:noProof/>
          <w:lang w:val="fr-FR"/>
        </w:rPr>
        <w:t>demandes d</w:t>
      </w:r>
      <w:r w:rsidR="00607CA3">
        <w:rPr>
          <w:rFonts w:cs="Tahoma"/>
          <w:iCs/>
          <w:noProof/>
          <w:lang w:val="fr-FR"/>
        </w:rPr>
        <w:t>’</w:t>
      </w:r>
      <w:r>
        <w:rPr>
          <w:rFonts w:cs="Tahoma"/>
          <w:iCs/>
          <w:noProof/>
          <w:lang w:val="fr-FR"/>
        </w:rPr>
        <w:t xml:space="preserve">asile reçues, </w:t>
      </w:r>
      <w:r w:rsidRPr="006204D6">
        <w:rPr>
          <w:rFonts w:cs="Tahoma"/>
          <w:iCs/>
          <w:noProof/>
          <w:lang w:val="fr-FR"/>
        </w:rPr>
        <w:t xml:space="preserve">80 </w:t>
      </w:r>
      <w:r>
        <w:rPr>
          <w:rFonts w:cs="Tahoma"/>
          <w:iCs/>
          <w:noProof/>
          <w:lang w:val="fr-FR"/>
        </w:rPr>
        <w:t xml:space="preserve">ont été acceptées, </w:t>
      </w:r>
      <w:r w:rsidRPr="006204D6">
        <w:rPr>
          <w:rFonts w:cs="Tahoma"/>
          <w:iCs/>
          <w:noProof/>
          <w:lang w:val="fr-FR"/>
        </w:rPr>
        <w:t>53</w:t>
      </w:r>
      <w:r w:rsidR="00332CC9">
        <w:rPr>
          <w:rFonts w:cs="Tahoma"/>
          <w:iCs/>
          <w:noProof/>
          <w:lang w:val="fr-FR"/>
        </w:rPr>
        <w:t> </w:t>
      </w:r>
      <w:r>
        <w:rPr>
          <w:rFonts w:cs="Tahoma"/>
          <w:iCs/>
          <w:noProof/>
          <w:lang w:val="fr-FR"/>
        </w:rPr>
        <w:t>rejetées et</w:t>
      </w:r>
      <w:r w:rsidRPr="006204D6">
        <w:rPr>
          <w:rFonts w:cs="Tahoma"/>
          <w:iCs/>
          <w:noProof/>
          <w:lang w:val="fr-FR"/>
        </w:rPr>
        <w:t xml:space="preserve"> 749 </w:t>
      </w:r>
      <w:r>
        <w:rPr>
          <w:rFonts w:cs="Tahoma"/>
          <w:iCs/>
          <w:noProof/>
          <w:lang w:val="fr-FR"/>
        </w:rPr>
        <w:t>classées sans suite,</w:t>
      </w:r>
      <w:r w:rsidRPr="006204D6">
        <w:rPr>
          <w:rFonts w:cs="Tahoma"/>
          <w:iCs/>
          <w:noProof/>
          <w:lang w:val="fr-FR"/>
        </w:rPr>
        <w:t xml:space="preserve"> </w:t>
      </w:r>
      <w:r>
        <w:rPr>
          <w:rFonts w:cs="Tahoma"/>
          <w:iCs/>
          <w:noProof/>
          <w:lang w:val="fr-FR"/>
        </w:rPr>
        <w:t>et 2</w:t>
      </w:r>
      <w:r w:rsidR="00332CC9">
        <w:rPr>
          <w:rFonts w:cs="Tahoma"/>
          <w:iCs/>
          <w:noProof/>
          <w:lang w:val="fr-FR"/>
        </w:rPr>
        <w:t> </w:t>
      </w:r>
      <w:r w:rsidRPr="006204D6">
        <w:rPr>
          <w:rFonts w:cs="Tahoma"/>
          <w:iCs/>
          <w:noProof/>
          <w:lang w:val="fr-FR"/>
        </w:rPr>
        <w:t xml:space="preserve">608 </w:t>
      </w:r>
      <w:r>
        <w:rPr>
          <w:rFonts w:cs="Tahoma"/>
          <w:iCs/>
          <w:noProof/>
          <w:lang w:val="fr-FR"/>
        </w:rPr>
        <w:t>sont en cours de traitement</w:t>
      </w:r>
      <w:r w:rsidRPr="006204D6">
        <w:rPr>
          <w:rFonts w:cs="Tahoma"/>
          <w:iCs/>
          <w:noProof/>
          <w:lang w:val="fr-FR"/>
        </w:rPr>
        <w:t xml:space="preserve">. </w:t>
      </w:r>
      <w:r>
        <w:rPr>
          <w:rFonts w:cs="Tahoma"/>
          <w:iCs/>
          <w:noProof/>
          <w:lang w:val="fr-FR"/>
        </w:rPr>
        <w:t>Aucune de ces demandes n</w:t>
      </w:r>
      <w:r w:rsidR="00607CA3">
        <w:rPr>
          <w:rFonts w:cs="Tahoma"/>
          <w:iCs/>
          <w:noProof/>
          <w:lang w:val="fr-FR"/>
        </w:rPr>
        <w:t>’</w:t>
      </w:r>
      <w:r>
        <w:rPr>
          <w:rFonts w:cs="Tahoma"/>
          <w:iCs/>
          <w:noProof/>
          <w:lang w:val="fr-FR"/>
        </w:rPr>
        <w:t>a été présentée par des personnes ayant dit avoir subi des tortures, des mauvais traitements ou des traitements inhumains, cruels ou dégradants, ou courir le risque d</w:t>
      </w:r>
      <w:r w:rsidR="00607CA3">
        <w:rPr>
          <w:rFonts w:cs="Tahoma"/>
          <w:iCs/>
          <w:noProof/>
          <w:lang w:val="fr-FR"/>
        </w:rPr>
        <w:t>’</w:t>
      </w:r>
      <w:r>
        <w:rPr>
          <w:rFonts w:cs="Tahoma"/>
          <w:iCs/>
          <w:noProof/>
          <w:lang w:val="fr-FR"/>
        </w:rPr>
        <w:t>être torturées en cas de renvoi dans leur pays.</w:t>
      </w:r>
      <w:r w:rsidRPr="006204D6">
        <w:rPr>
          <w:rFonts w:cs="Tahoma"/>
          <w:iCs/>
          <w:noProof/>
          <w:lang w:val="fr-FR"/>
        </w:rPr>
        <w:t xml:space="preserve"> </w:t>
      </w:r>
      <w:r>
        <w:rPr>
          <w:rFonts w:cs="Tahoma"/>
          <w:iCs/>
          <w:noProof/>
          <w:lang w:val="fr-FR"/>
        </w:rPr>
        <w:t>Sans préjudice de l</w:t>
      </w:r>
      <w:r w:rsidR="00607CA3">
        <w:rPr>
          <w:rFonts w:cs="Tahoma"/>
          <w:iCs/>
          <w:noProof/>
          <w:lang w:val="fr-FR"/>
        </w:rPr>
        <w:t>’</w:t>
      </w:r>
      <w:r>
        <w:rPr>
          <w:rFonts w:cs="Tahoma"/>
          <w:iCs/>
          <w:noProof/>
          <w:lang w:val="fr-FR"/>
        </w:rPr>
        <w:t xml:space="preserve">absence de cas, la loi </w:t>
      </w:r>
      <w:r w:rsidR="00332CC9" w:rsidRPr="00332CC9">
        <w:rPr>
          <w:rFonts w:eastAsia="MS Mincho" w:cs="Tahoma"/>
          <w:iCs/>
          <w:noProof/>
          <w:szCs w:val="22"/>
          <w:lang w:val="fr-FR"/>
        </w:rPr>
        <w:t>n</w:t>
      </w:r>
      <w:r w:rsidR="00332CC9" w:rsidRPr="00332CC9">
        <w:rPr>
          <w:rFonts w:eastAsia="MS Mincho" w:cs="Tahoma"/>
          <w:iCs/>
          <w:noProof/>
          <w:szCs w:val="22"/>
          <w:vertAlign w:val="superscript"/>
          <w:lang w:val="fr-FR"/>
        </w:rPr>
        <w:t>o</w:t>
      </w:r>
      <w:r w:rsidR="00332CC9">
        <w:rPr>
          <w:rFonts w:cs="Tahoma"/>
          <w:iCs/>
          <w:noProof/>
          <w:lang w:val="fr-FR"/>
        </w:rPr>
        <w:t> </w:t>
      </w:r>
      <w:r w:rsidRPr="006204D6">
        <w:rPr>
          <w:rFonts w:cs="Tahoma"/>
          <w:iCs/>
          <w:noProof/>
          <w:lang w:val="fr-FR"/>
        </w:rPr>
        <w:t>18076 d</w:t>
      </w:r>
      <w:r>
        <w:rPr>
          <w:rFonts w:cs="Tahoma"/>
          <w:iCs/>
          <w:noProof/>
          <w:lang w:val="fr-FR"/>
        </w:rPr>
        <w:t xml:space="preserve">u </w:t>
      </w:r>
      <w:r w:rsidRPr="006204D6">
        <w:rPr>
          <w:rFonts w:cs="Tahoma"/>
          <w:iCs/>
          <w:noProof/>
          <w:lang w:val="fr-FR"/>
        </w:rPr>
        <w:t>5</w:t>
      </w:r>
      <w:r w:rsidR="00332CC9">
        <w:rPr>
          <w:rFonts w:cs="Tahoma"/>
          <w:iCs/>
          <w:noProof/>
          <w:lang w:val="fr-FR"/>
        </w:rPr>
        <w:t> </w:t>
      </w:r>
      <w:r>
        <w:rPr>
          <w:rFonts w:cs="Tahoma"/>
          <w:iCs/>
          <w:noProof/>
          <w:lang w:val="fr-FR"/>
        </w:rPr>
        <w:t xml:space="preserve">janvier </w:t>
      </w:r>
      <w:r w:rsidRPr="006204D6">
        <w:rPr>
          <w:rFonts w:cs="Tahoma"/>
          <w:iCs/>
          <w:noProof/>
          <w:lang w:val="fr-FR"/>
        </w:rPr>
        <w:t xml:space="preserve">2007 </w:t>
      </w:r>
      <w:r>
        <w:rPr>
          <w:rFonts w:cs="Tahoma"/>
          <w:iCs/>
          <w:noProof/>
          <w:lang w:val="fr-FR"/>
        </w:rPr>
        <w:t xml:space="preserve">interdit de </w:t>
      </w:r>
      <w:r>
        <w:rPr>
          <w:rFonts w:eastAsia="Calibri"/>
          <w:noProof/>
          <w:lang w:val="fr-FR"/>
        </w:rPr>
        <w:t>refouler, d</w:t>
      </w:r>
      <w:r w:rsidR="00607CA3">
        <w:rPr>
          <w:rFonts w:eastAsia="Calibri"/>
          <w:noProof/>
          <w:lang w:val="fr-FR"/>
        </w:rPr>
        <w:t>’</w:t>
      </w:r>
      <w:r>
        <w:rPr>
          <w:rFonts w:eastAsia="Calibri"/>
          <w:noProof/>
          <w:lang w:val="fr-FR"/>
        </w:rPr>
        <w:t>expulser ou d</w:t>
      </w:r>
      <w:r w:rsidR="00607CA3">
        <w:rPr>
          <w:rFonts w:eastAsia="Calibri"/>
          <w:noProof/>
          <w:lang w:val="fr-FR"/>
        </w:rPr>
        <w:t>’</w:t>
      </w:r>
      <w:r>
        <w:rPr>
          <w:rFonts w:eastAsia="Calibri"/>
          <w:noProof/>
          <w:lang w:val="fr-FR"/>
        </w:rPr>
        <w:t>extrader</w:t>
      </w:r>
      <w:r w:rsidRPr="006204D6">
        <w:rPr>
          <w:rFonts w:eastAsia="Calibri"/>
          <w:noProof/>
          <w:lang w:val="fr-FR"/>
        </w:rPr>
        <w:t xml:space="preserve"> </w:t>
      </w:r>
      <w:r>
        <w:rPr>
          <w:rFonts w:eastAsia="Calibri"/>
          <w:noProof/>
          <w:lang w:val="fr-FR"/>
        </w:rPr>
        <w:t>un demandeur d</w:t>
      </w:r>
      <w:r w:rsidR="00607CA3">
        <w:rPr>
          <w:rFonts w:eastAsia="Calibri"/>
          <w:noProof/>
          <w:lang w:val="fr-FR"/>
        </w:rPr>
        <w:t>’</w:t>
      </w:r>
      <w:r>
        <w:rPr>
          <w:rFonts w:eastAsia="Calibri"/>
          <w:noProof/>
          <w:lang w:val="fr-FR"/>
        </w:rPr>
        <w:t>asile ou un réfugié, ou d</w:t>
      </w:r>
      <w:r w:rsidR="00607CA3">
        <w:rPr>
          <w:rFonts w:eastAsia="Calibri"/>
          <w:noProof/>
          <w:lang w:val="fr-FR"/>
        </w:rPr>
        <w:t>’</w:t>
      </w:r>
      <w:r>
        <w:rPr>
          <w:rFonts w:eastAsia="Calibri"/>
          <w:noProof/>
          <w:lang w:val="fr-FR"/>
        </w:rPr>
        <w:t>appliquer à celui-ci toute autre mesure consistant à le renvoyer aux frontières d</w:t>
      </w:r>
      <w:r w:rsidR="00607CA3">
        <w:rPr>
          <w:rFonts w:eastAsia="Calibri"/>
          <w:noProof/>
          <w:lang w:val="fr-FR"/>
        </w:rPr>
        <w:t>’</w:t>
      </w:r>
      <w:r>
        <w:rPr>
          <w:rFonts w:eastAsia="Calibri"/>
          <w:noProof/>
          <w:lang w:val="fr-FR"/>
        </w:rPr>
        <w:t xml:space="preserve">un pays où </w:t>
      </w:r>
      <w:r w:rsidRPr="006204D6">
        <w:rPr>
          <w:noProof/>
          <w:lang w:val="fr-FR"/>
        </w:rPr>
        <w:t>sa vie, son intégrité physique, morale ou intellectuelle, sa liberté ou sa sécurité est menacée</w:t>
      </w:r>
      <w:r>
        <w:rPr>
          <w:noProof/>
          <w:lang w:val="fr-FR"/>
        </w:rPr>
        <w:t xml:space="preserve"> </w:t>
      </w:r>
      <w:r w:rsidRPr="006204D6">
        <w:rPr>
          <w:rFonts w:cs="Tahoma"/>
          <w:iCs/>
          <w:noProof/>
          <w:lang w:val="fr-FR"/>
        </w:rPr>
        <w:t>(art</w:t>
      </w:r>
      <w:r w:rsidR="00332CC9">
        <w:rPr>
          <w:rFonts w:cs="Tahoma"/>
          <w:iCs/>
          <w:noProof/>
          <w:lang w:val="fr-FR"/>
        </w:rPr>
        <w:t>. </w:t>
      </w:r>
      <w:r w:rsidRPr="006204D6">
        <w:rPr>
          <w:rFonts w:cs="Tahoma"/>
          <w:iCs/>
          <w:noProof/>
          <w:lang w:val="fr-FR"/>
        </w:rPr>
        <w:t xml:space="preserve">13). </w:t>
      </w:r>
      <w:r>
        <w:rPr>
          <w:rFonts w:cs="Tahoma"/>
          <w:iCs/>
          <w:noProof/>
          <w:lang w:val="fr-FR"/>
        </w:rPr>
        <w:t>D</w:t>
      </w:r>
      <w:r w:rsidR="00607CA3">
        <w:rPr>
          <w:rFonts w:cs="Tahoma"/>
          <w:iCs/>
          <w:noProof/>
          <w:lang w:val="fr-FR"/>
        </w:rPr>
        <w:t>’</w:t>
      </w:r>
      <w:r>
        <w:rPr>
          <w:rFonts w:cs="Tahoma"/>
          <w:iCs/>
          <w:noProof/>
          <w:lang w:val="fr-FR"/>
        </w:rPr>
        <w:t>un point de vue normatif, l</w:t>
      </w:r>
      <w:r w:rsidR="00607CA3">
        <w:rPr>
          <w:rFonts w:cs="Tahoma"/>
          <w:iCs/>
          <w:noProof/>
          <w:lang w:val="fr-FR"/>
        </w:rPr>
        <w:t>’</w:t>
      </w:r>
      <w:r>
        <w:rPr>
          <w:rFonts w:cs="Tahoma"/>
          <w:iCs/>
          <w:noProof/>
          <w:lang w:val="fr-FR"/>
        </w:rPr>
        <w:t>expulsion éventuelle ne peut être envisagée que lorsque le demandeur n</w:t>
      </w:r>
      <w:r w:rsidR="00607CA3">
        <w:rPr>
          <w:rFonts w:cs="Tahoma"/>
          <w:iCs/>
          <w:noProof/>
          <w:lang w:val="fr-FR"/>
        </w:rPr>
        <w:t>’</w:t>
      </w:r>
      <w:r>
        <w:rPr>
          <w:rFonts w:cs="Tahoma"/>
          <w:iCs/>
          <w:noProof/>
          <w:lang w:val="fr-FR"/>
        </w:rPr>
        <w:t>a pas obtenu le statut de réfugié ou que la clause de cessation a été invoquée à propos d</w:t>
      </w:r>
      <w:r w:rsidR="00607CA3">
        <w:rPr>
          <w:rFonts w:cs="Tahoma"/>
          <w:iCs/>
          <w:noProof/>
          <w:lang w:val="fr-FR"/>
        </w:rPr>
        <w:t>’</w:t>
      </w:r>
      <w:r>
        <w:rPr>
          <w:rFonts w:cs="Tahoma"/>
          <w:iCs/>
          <w:noProof/>
          <w:lang w:val="fr-FR"/>
        </w:rPr>
        <w:t>un réfugié qui ne remplit pas les conditions nécessaires pour acquérir un autre statut au regard de la législation sur l</w:t>
      </w:r>
      <w:r w:rsidR="00607CA3">
        <w:rPr>
          <w:rFonts w:cs="Tahoma"/>
          <w:iCs/>
          <w:noProof/>
          <w:lang w:val="fr-FR"/>
        </w:rPr>
        <w:t>’</w:t>
      </w:r>
      <w:r>
        <w:rPr>
          <w:rFonts w:cs="Tahoma"/>
          <w:iCs/>
          <w:noProof/>
          <w:lang w:val="fr-FR"/>
        </w:rPr>
        <w:t>immigration</w:t>
      </w:r>
      <w:r w:rsidRPr="006204D6">
        <w:rPr>
          <w:rFonts w:cs="Tahoma"/>
          <w:iCs/>
          <w:noProof/>
          <w:lang w:val="fr-FR"/>
        </w:rPr>
        <w:t xml:space="preserve">, </w:t>
      </w:r>
      <w:r>
        <w:rPr>
          <w:rFonts w:cs="Tahoma"/>
          <w:iCs/>
          <w:noProof/>
          <w:lang w:val="fr-FR"/>
        </w:rPr>
        <w:t>et qu</w:t>
      </w:r>
      <w:r w:rsidR="00607CA3">
        <w:rPr>
          <w:rFonts w:cs="Tahoma"/>
          <w:iCs/>
          <w:noProof/>
          <w:lang w:val="fr-FR"/>
        </w:rPr>
        <w:t>’</w:t>
      </w:r>
      <w:r>
        <w:rPr>
          <w:rFonts w:cs="Tahoma"/>
          <w:iCs/>
          <w:noProof/>
          <w:lang w:val="fr-FR"/>
        </w:rPr>
        <w:t>une décision définitive (non susceptible de recours) a été adoptée.</w:t>
      </w:r>
      <w:r w:rsidRPr="006204D6">
        <w:rPr>
          <w:rFonts w:cs="Tahoma"/>
          <w:iCs/>
          <w:noProof/>
          <w:lang w:val="fr-FR"/>
        </w:rPr>
        <w:t xml:space="preserve"> </w:t>
      </w:r>
      <w:r>
        <w:rPr>
          <w:rFonts w:cs="Tahoma"/>
          <w:iCs/>
          <w:noProof/>
          <w:lang w:val="fr-FR"/>
        </w:rPr>
        <w:t>En vertu de l</w:t>
      </w:r>
      <w:r w:rsidR="00607CA3">
        <w:rPr>
          <w:rFonts w:cs="Tahoma"/>
          <w:iCs/>
          <w:noProof/>
          <w:lang w:val="fr-FR"/>
        </w:rPr>
        <w:t>’</w:t>
      </w:r>
      <w:r>
        <w:rPr>
          <w:rFonts w:cs="Tahoma"/>
          <w:iCs/>
          <w:noProof/>
          <w:lang w:val="fr-FR"/>
        </w:rPr>
        <w:t xml:space="preserve">article </w:t>
      </w:r>
      <w:r w:rsidRPr="006204D6">
        <w:rPr>
          <w:rFonts w:cs="Tahoma"/>
          <w:iCs/>
          <w:noProof/>
          <w:lang w:val="fr-FR"/>
        </w:rPr>
        <w:t xml:space="preserve">40 </w:t>
      </w:r>
      <w:r>
        <w:rPr>
          <w:rFonts w:cs="Tahoma"/>
          <w:iCs/>
          <w:noProof/>
          <w:lang w:val="fr-FR"/>
        </w:rPr>
        <w:t>de la même loi</w:t>
      </w:r>
      <w:r w:rsidRPr="006204D6">
        <w:rPr>
          <w:rFonts w:cs="Tahoma"/>
          <w:iCs/>
          <w:noProof/>
          <w:lang w:val="fr-FR"/>
        </w:rPr>
        <w:t xml:space="preserve">, </w:t>
      </w:r>
      <w:r>
        <w:rPr>
          <w:rFonts w:cs="Tahoma"/>
          <w:iCs/>
          <w:noProof/>
          <w:lang w:val="fr-FR"/>
        </w:rPr>
        <w:t xml:space="preserve">il est possible de contester </w:t>
      </w:r>
      <w:r w:rsidRPr="006204D6">
        <w:rPr>
          <w:rFonts w:cs="Tahoma"/>
          <w:iCs/>
          <w:noProof/>
          <w:lang w:val="fr-FR"/>
        </w:rPr>
        <w:t>l</w:t>
      </w:r>
      <w:r>
        <w:rPr>
          <w:rFonts w:cs="Tahoma"/>
          <w:iCs/>
          <w:noProof/>
          <w:lang w:val="fr-FR"/>
        </w:rPr>
        <w:t>e</w:t>
      </w:r>
      <w:r w:rsidRPr="006204D6">
        <w:rPr>
          <w:rFonts w:cs="Tahoma"/>
          <w:iCs/>
          <w:noProof/>
          <w:lang w:val="fr-FR"/>
        </w:rPr>
        <w:t xml:space="preserve">s </w:t>
      </w:r>
      <w:r>
        <w:rPr>
          <w:rFonts w:cs="Tahoma"/>
          <w:iCs/>
          <w:noProof/>
          <w:lang w:val="fr-FR"/>
        </w:rPr>
        <w:t xml:space="preserve">décisions de la </w:t>
      </w:r>
      <w:r w:rsidRPr="006204D6">
        <w:rPr>
          <w:rFonts w:eastAsia="Calibri"/>
          <w:noProof/>
          <w:lang w:val="fr-FR"/>
        </w:rPr>
        <w:t>Com</w:t>
      </w:r>
      <w:r>
        <w:rPr>
          <w:rFonts w:eastAsia="Calibri"/>
          <w:noProof/>
          <w:lang w:val="fr-FR"/>
        </w:rPr>
        <w:t xml:space="preserve">mission uruguayenne des réfugiés en se prévalant des recours prévus aux articles </w:t>
      </w:r>
      <w:r w:rsidRPr="006204D6">
        <w:rPr>
          <w:rFonts w:cs="Tahoma"/>
          <w:iCs/>
          <w:noProof/>
          <w:lang w:val="fr-FR"/>
        </w:rPr>
        <w:t xml:space="preserve">317 </w:t>
      </w:r>
      <w:r>
        <w:rPr>
          <w:rFonts w:cs="Tahoma"/>
          <w:iCs/>
          <w:noProof/>
          <w:lang w:val="fr-FR"/>
        </w:rPr>
        <w:t xml:space="preserve">à </w:t>
      </w:r>
      <w:r w:rsidRPr="006204D6">
        <w:rPr>
          <w:rFonts w:cs="Tahoma"/>
          <w:iCs/>
          <w:noProof/>
          <w:lang w:val="fr-FR"/>
        </w:rPr>
        <w:t>319 de la Constitu</w:t>
      </w:r>
      <w:r>
        <w:rPr>
          <w:rFonts w:cs="Tahoma"/>
          <w:iCs/>
          <w:noProof/>
          <w:lang w:val="fr-FR"/>
        </w:rPr>
        <w:t>tion</w:t>
      </w:r>
      <w:r w:rsidRPr="006204D6">
        <w:rPr>
          <w:rFonts w:cs="Tahoma"/>
          <w:iCs/>
          <w:noProof/>
          <w:lang w:val="fr-FR"/>
        </w:rPr>
        <w:t xml:space="preserve">, </w:t>
      </w:r>
      <w:r>
        <w:rPr>
          <w:rFonts w:cs="Tahoma"/>
          <w:iCs/>
          <w:noProof/>
          <w:lang w:val="fr-FR"/>
        </w:rPr>
        <w:t xml:space="preserve">à savoir le </w:t>
      </w:r>
      <w:r w:rsidRPr="00ED4F4C">
        <w:rPr>
          <w:rFonts w:cs="Tahoma"/>
          <w:iCs/>
          <w:noProof/>
          <w:lang w:val="fr-FR"/>
        </w:rPr>
        <w:t>recours</w:t>
      </w:r>
      <w:r w:rsidRPr="00ED4F4C">
        <w:rPr>
          <w:noProof/>
          <w:lang w:val="fr-FR"/>
        </w:rPr>
        <w:t xml:space="preserve"> en abrogation devant l</w:t>
      </w:r>
      <w:r w:rsidR="00607CA3">
        <w:rPr>
          <w:noProof/>
          <w:lang w:val="fr-FR"/>
        </w:rPr>
        <w:t>’</w:t>
      </w:r>
      <w:r w:rsidRPr="00ED4F4C">
        <w:rPr>
          <w:noProof/>
          <w:lang w:val="fr-FR"/>
        </w:rPr>
        <w:t>autorité même qui a accompli l</w:t>
      </w:r>
      <w:r w:rsidR="00607CA3">
        <w:rPr>
          <w:noProof/>
          <w:lang w:val="fr-FR"/>
        </w:rPr>
        <w:t>’</w:t>
      </w:r>
      <w:r w:rsidRPr="00ED4F4C">
        <w:rPr>
          <w:noProof/>
          <w:lang w:val="fr-FR"/>
        </w:rPr>
        <w:t>acte administratif</w:t>
      </w:r>
      <w:r w:rsidRPr="00ED4F4C">
        <w:rPr>
          <w:rFonts w:cs="Tahoma"/>
          <w:iCs/>
          <w:noProof/>
          <w:lang w:val="fr-FR"/>
        </w:rPr>
        <w:t>,</w:t>
      </w:r>
      <w:r w:rsidRPr="006204D6">
        <w:rPr>
          <w:rFonts w:cs="Tahoma"/>
          <w:iCs/>
          <w:noProof/>
          <w:lang w:val="fr-FR"/>
        </w:rPr>
        <w:t xml:space="preserve"> </w:t>
      </w:r>
      <w:r>
        <w:rPr>
          <w:rFonts w:cs="Tahoma"/>
          <w:iCs/>
          <w:noProof/>
          <w:lang w:val="fr-FR"/>
        </w:rPr>
        <w:lastRenderedPageBreak/>
        <w:t>le recours hiérarchique et</w:t>
      </w:r>
      <w:r w:rsidRPr="006204D6">
        <w:rPr>
          <w:rFonts w:cs="Tahoma"/>
          <w:iCs/>
          <w:noProof/>
          <w:lang w:val="fr-FR"/>
        </w:rPr>
        <w:t xml:space="preserve">, </w:t>
      </w:r>
      <w:r>
        <w:rPr>
          <w:rFonts w:cs="Tahoma"/>
          <w:iCs/>
          <w:noProof/>
          <w:lang w:val="fr-FR"/>
        </w:rPr>
        <w:t>é</w:t>
      </w:r>
      <w:r w:rsidRPr="006204D6">
        <w:rPr>
          <w:rFonts w:cs="Tahoma"/>
          <w:iCs/>
          <w:noProof/>
          <w:lang w:val="fr-FR"/>
        </w:rPr>
        <w:t>ventu</w:t>
      </w:r>
      <w:r>
        <w:rPr>
          <w:rFonts w:cs="Tahoma"/>
          <w:iCs/>
          <w:noProof/>
          <w:lang w:val="fr-FR"/>
        </w:rPr>
        <w:t>ellement</w:t>
      </w:r>
      <w:r w:rsidRPr="006204D6">
        <w:rPr>
          <w:rFonts w:cs="Tahoma"/>
          <w:iCs/>
          <w:noProof/>
          <w:lang w:val="fr-FR"/>
        </w:rPr>
        <w:t xml:space="preserve">, </w:t>
      </w:r>
      <w:r>
        <w:rPr>
          <w:rFonts w:cs="Tahoma"/>
          <w:iCs/>
          <w:noProof/>
          <w:lang w:val="fr-FR"/>
        </w:rPr>
        <w:t>l</w:t>
      </w:r>
      <w:r w:rsidR="00607CA3">
        <w:rPr>
          <w:rFonts w:cs="Tahoma"/>
          <w:iCs/>
          <w:noProof/>
          <w:lang w:val="fr-FR"/>
        </w:rPr>
        <w:t>’</w:t>
      </w:r>
      <w:r>
        <w:rPr>
          <w:rFonts w:cs="Tahoma"/>
          <w:iCs/>
          <w:noProof/>
          <w:lang w:val="fr-FR"/>
        </w:rPr>
        <w:t xml:space="preserve">action en nullité intentée devant le </w:t>
      </w:r>
      <w:r w:rsidRPr="006204D6">
        <w:rPr>
          <w:rFonts w:cs="Tahoma"/>
          <w:iCs/>
          <w:noProof/>
          <w:lang w:val="fr-FR"/>
        </w:rPr>
        <w:t>Tribunal d</w:t>
      </w:r>
      <w:r>
        <w:rPr>
          <w:rFonts w:cs="Tahoma"/>
          <w:iCs/>
          <w:noProof/>
          <w:lang w:val="fr-FR"/>
        </w:rPr>
        <w:t>u contentieux a</w:t>
      </w:r>
      <w:r w:rsidRPr="006204D6">
        <w:rPr>
          <w:rFonts w:cs="Tahoma"/>
          <w:iCs/>
          <w:noProof/>
          <w:lang w:val="fr-FR"/>
        </w:rPr>
        <w:t>dministrati</w:t>
      </w:r>
      <w:r>
        <w:rPr>
          <w:rFonts w:cs="Tahoma"/>
          <w:iCs/>
          <w:noProof/>
          <w:lang w:val="fr-FR"/>
        </w:rPr>
        <w:t>f</w:t>
      </w:r>
      <w:r w:rsidRPr="006204D6">
        <w:rPr>
          <w:rFonts w:cs="Tahoma"/>
          <w:iCs/>
          <w:noProof/>
          <w:lang w:val="fr-FR"/>
        </w:rPr>
        <w:t xml:space="preserve">, </w:t>
      </w:r>
      <w:r>
        <w:rPr>
          <w:rFonts w:cs="Tahoma"/>
          <w:iCs/>
          <w:noProof/>
          <w:lang w:val="fr-FR"/>
        </w:rPr>
        <w:t>qui est un organe juridictionnel créé par la Constitution</w:t>
      </w:r>
      <w:r w:rsidRPr="006204D6">
        <w:rPr>
          <w:rFonts w:cs="Tahoma"/>
          <w:iCs/>
          <w:noProof/>
          <w:lang w:val="fr-FR"/>
        </w:rPr>
        <w:t xml:space="preserve">. </w:t>
      </w:r>
      <w:r>
        <w:rPr>
          <w:rFonts w:cs="Tahoma"/>
          <w:iCs/>
          <w:noProof/>
          <w:lang w:val="fr-FR"/>
        </w:rPr>
        <w:t>Ces recours sont suspensifs des décisions d</w:t>
      </w:r>
      <w:r w:rsidR="00607CA3">
        <w:rPr>
          <w:rFonts w:cs="Tahoma"/>
          <w:iCs/>
          <w:noProof/>
          <w:lang w:val="fr-FR"/>
        </w:rPr>
        <w:t>’</w:t>
      </w:r>
      <w:r>
        <w:rPr>
          <w:rFonts w:cs="Tahoma"/>
          <w:iCs/>
          <w:noProof/>
          <w:lang w:val="fr-FR"/>
        </w:rPr>
        <w:t>expulsion</w:t>
      </w:r>
      <w:r w:rsidRPr="006204D6">
        <w:rPr>
          <w:rFonts w:cs="Tahoma"/>
          <w:iCs/>
          <w:noProof/>
          <w:lang w:val="fr-FR"/>
        </w:rPr>
        <w:t>.</w:t>
      </w:r>
    </w:p>
    <w:p w:rsidR="00596826" w:rsidRPr="006204D6" w:rsidRDefault="00596826" w:rsidP="00596826">
      <w:pPr>
        <w:pStyle w:val="SingleTxtG"/>
        <w:rPr>
          <w:rFonts w:ascii="Tahoma" w:hAnsi="Tahoma" w:cs="Tahoma"/>
          <w:noProof/>
          <w:lang w:val="fr-FR"/>
        </w:rPr>
      </w:pPr>
      <w:r w:rsidRPr="006204D6">
        <w:rPr>
          <w:rFonts w:cs="Tahoma"/>
          <w:iCs/>
          <w:noProof/>
          <w:lang w:val="fr-FR"/>
        </w:rPr>
        <w:t>83.</w:t>
      </w:r>
      <w:r w:rsidRPr="006204D6">
        <w:rPr>
          <w:rFonts w:cs="Tahoma"/>
          <w:iCs/>
          <w:noProof/>
          <w:lang w:val="fr-FR"/>
        </w:rPr>
        <w:tab/>
      </w:r>
      <w:r>
        <w:rPr>
          <w:rFonts w:cs="Tahoma"/>
          <w:iCs/>
          <w:noProof/>
          <w:lang w:val="fr-FR"/>
        </w:rPr>
        <w:t>Il est à noter que le droit uruguayen fait une distinction entre l</w:t>
      </w:r>
      <w:r w:rsidR="00607CA3">
        <w:rPr>
          <w:rFonts w:cs="Tahoma"/>
          <w:iCs/>
          <w:noProof/>
          <w:lang w:val="fr-FR"/>
        </w:rPr>
        <w:t>’</w:t>
      </w:r>
      <w:r w:rsidRPr="006204D6">
        <w:rPr>
          <w:rFonts w:cs="Tahoma"/>
          <w:iCs/>
          <w:noProof/>
          <w:lang w:val="fr-FR"/>
        </w:rPr>
        <w:t>institut</w:t>
      </w:r>
      <w:r>
        <w:rPr>
          <w:rFonts w:cs="Tahoma"/>
          <w:iCs/>
          <w:noProof/>
          <w:lang w:val="fr-FR"/>
        </w:rPr>
        <w:t>ion</w:t>
      </w:r>
      <w:r w:rsidRPr="006204D6">
        <w:rPr>
          <w:rFonts w:cs="Tahoma"/>
          <w:iCs/>
          <w:noProof/>
          <w:lang w:val="fr-FR"/>
        </w:rPr>
        <w:t xml:space="preserve"> de </w:t>
      </w:r>
      <w:r>
        <w:rPr>
          <w:rFonts w:cs="Tahoma"/>
          <w:iCs/>
          <w:noProof/>
          <w:lang w:val="fr-FR"/>
        </w:rPr>
        <w:t>l</w:t>
      </w:r>
      <w:r w:rsidR="00607CA3">
        <w:rPr>
          <w:rFonts w:cs="Tahoma"/>
          <w:iCs/>
          <w:noProof/>
          <w:lang w:val="fr-FR"/>
        </w:rPr>
        <w:t>’</w:t>
      </w:r>
      <w:r>
        <w:rPr>
          <w:rFonts w:cs="Tahoma"/>
          <w:iCs/>
          <w:noProof/>
          <w:lang w:val="fr-FR"/>
        </w:rPr>
        <w:t>asile (</w:t>
      </w:r>
      <w:r w:rsidRPr="00A90682">
        <w:rPr>
          <w:rFonts w:cs="Tahoma"/>
          <w:i/>
          <w:iCs/>
          <w:noProof/>
          <w:lang w:val="fr-FR"/>
        </w:rPr>
        <w:t>asilo</w:t>
      </w:r>
      <w:r>
        <w:rPr>
          <w:rFonts w:cs="Tahoma"/>
          <w:iCs/>
          <w:noProof/>
          <w:lang w:val="fr-FR"/>
        </w:rPr>
        <w:t>)</w:t>
      </w:r>
      <w:r w:rsidRPr="006204D6">
        <w:rPr>
          <w:rFonts w:cs="Tahoma"/>
          <w:iCs/>
          <w:noProof/>
          <w:lang w:val="fr-FR"/>
        </w:rPr>
        <w:t xml:space="preserve"> </w:t>
      </w:r>
      <w:r>
        <w:rPr>
          <w:rFonts w:cs="Tahoma"/>
          <w:iCs/>
          <w:noProof/>
          <w:lang w:val="fr-FR"/>
        </w:rPr>
        <w:t>et celle du refuge (</w:t>
      </w:r>
      <w:r w:rsidRPr="00A90682">
        <w:rPr>
          <w:rFonts w:cs="Tahoma"/>
          <w:i/>
          <w:iCs/>
          <w:noProof/>
          <w:lang w:val="fr-FR"/>
        </w:rPr>
        <w:t>refugio</w:t>
      </w:r>
      <w:r>
        <w:rPr>
          <w:rFonts w:cs="Tahoma"/>
          <w:iCs/>
          <w:noProof/>
          <w:lang w:val="fr-FR"/>
        </w:rPr>
        <w:t>)</w:t>
      </w:r>
      <w:r w:rsidRPr="006204D6">
        <w:rPr>
          <w:rFonts w:cs="Tahoma"/>
          <w:iCs/>
          <w:noProof/>
          <w:lang w:val="fr-FR"/>
        </w:rPr>
        <w:t xml:space="preserve">, </w:t>
      </w:r>
      <w:r>
        <w:rPr>
          <w:rFonts w:cs="Tahoma"/>
          <w:iCs/>
          <w:noProof/>
          <w:lang w:val="fr-FR"/>
        </w:rPr>
        <w:t>mais les réponses apportées à la liste de questions s</w:t>
      </w:r>
      <w:r w:rsidR="00607CA3">
        <w:rPr>
          <w:rFonts w:cs="Tahoma"/>
          <w:iCs/>
          <w:noProof/>
          <w:lang w:val="fr-FR"/>
        </w:rPr>
        <w:t>’</w:t>
      </w:r>
      <w:r>
        <w:rPr>
          <w:rFonts w:cs="Tahoma"/>
          <w:iCs/>
          <w:noProof/>
          <w:lang w:val="fr-FR"/>
        </w:rPr>
        <w:t>incrivent dans l</w:t>
      </w:r>
      <w:r w:rsidR="00607CA3">
        <w:rPr>
          <w:rFonts w:cs="Tahoma"/>
          <w:iCs/>
          <w:noProof/>
          <w:lang w:val="fr-FR"/>
        </w:rPr>
        <w:t>’</w:t>
      </w:r>
      <w:r>
        <w:rPr>
          <w:rFonts w:cs="Tahoma"/>
          <w:iCs/>
          <w:noProof/>
          <w:lang w:val="fr-FR"/>
        </w:rPr>
        <w:t>optique du « refuge »</w:t>
      </w:r>
      <w:r w:rsidRPr="006204D6">
        <w:rPr>
          <w:rFonts w:cs="Tahoma"/>
          <w:iCs/>
          <w:noProof/>
          <w:lang w:val="fr-FR"/>
        </w:rPr>
        <w:t xml:space="preserve">, </w:t>
      </w:r>
      <w:r>
        <w:rPr>
          <w:rFonts w:cs="Tahoma"/>
          <w:iCs/>
          <w:noProof/>
          <w:lang w:val="fr-FR"/>
        </w:rPr>
        <w:t>étant entendu que, de par sa nature, c</w:t>
      </w:r>
      <w:r w:rsidR="00607CA3">
        <w:rPr>
          <w:rFonts w:cs="Tahoma"/>
          <w:iCs/>
          <w:noProof/>
          <w:lang w:val="fr-FR"/>
        </w:rPr>
        <w:t>’</w:t>
      </w:r>
      <w:r>
        <w:rPr>
          <w:rFonts w:cs="Tahoma"/>
          <w:iCs/>
          <w:noProof/>
          <w:lang w:val="fr-FR"/>
        </w:rPr>
        <w:t>est celle qu</w:t>
      </w:r>
      <w:r w:rsidR="00607CA3">
        <w:rPr>
          <w:rFonts w:cs="Tahoma"/>
          <w:iCs/>
          <w:noProof/>
          <w:lang w:val="fr-FR"/>
        </w:rPr>
        <w:t>’</w:t>
      </w:r>
      <w:r>
        <w:rPr>
          <w:rFonts w:cs="Tahoma"/>
          <w:iCs/>
          <w:noProof/>
          <w:lang w:val="fr-FR"/>
        </w:rPr>
        <w:t>adopte le Comité contre la torture</w:t>
      </w:r>
      <w:r w:rsidRPr="006204D6">
        <w:rPr>
          <w:rFonts w:cs="Tahoma"/>
          <w:iCs/>
          <w:noProof/>
          <w:lang w:val="fr-FR"/>
        </w:rPr>
        <w:t xml:space="preserve">. </w:t>
      </w:r>
      <w:r>
        <w:rPr>
          <w:rFonts w:cs="Tahoma"/>
          <w:iCs/>
          <w:noProof/>
          <w:lang w:val="fr-FR"/>
        </w:rPr>
        <w:t>Cela étant, il n</w:t>
      </w:r>
      <w:r w:rsidR="00607CA3">
        <w:rPr>
          <w:rFonts w:cs="Tahoma"/>
          <w:iCs/>
          <w:noProof/>
          <w:lang w:val="fr-FR"/>
        </w:rPr>
        <w:t>’</w:t>
      </w:r>
      <w:r>
        <w:rPr>
          <w:rFonts w:cs="Tahoma"/>
          <w:iCs/>
          <w:noProof/>
          <w:lang w:val="fr-FR"/>
        </w:rPr>
        <w:t>y a pas eu non plus de demandes d</w:t>
      </w:r>
      <w:r w:rsidR="00607CA3">
        <w:rPr>
          <w:rFonts w:cs="Tahoma"/>
          <w:iCs/>
          <w:noProof/>
          <w:lang w:val="fr-FR"/>
        </w:rPr>
        <w:t>’</w:t>
      </w:r>
      <w:r>
        <w:rPr>
          <w:rFonts w:cs="Tahoma"/>
          <w:iCs/>
          <w:noProof/>
          <w:lang w:val="fr-FR"/>
        </w:rPr>
        <w:t>asile (</w:t>
      </w:r>
      <w:r w:rsidRPr="00A90682">
        <w:rPr>
          <w:rFonts w:cs="Tahoma"/>
          <w:i/>
          <w:iCs/>
          <w:noProof/>
          <w:lang w:val="fr-FR"/>
        </w:rPr>
        <w:t>asilo</w:t>
      </w:r>
      <w:r>
        <w:rPr>
          <w:rFonts w:cs="Tahoma"/>
          <w:iCs/>
          <w:noProof/>
          <w:lang w:val="fr-FR"/>
        </w:rPr>
        <w:t>)</w:t>
      </w:r>
      <w:r w:rsidRPr="006204D6">
        <w:rPr>
          <w:rFonts w:cs="Tahoma"/>
          <w:iCs/>
          <w:noProof/>
          <w:lang w:val="fr-FR"/>
        </w:rPr>
        <w:t xml:space="preserve"> </w:t>
      </w:r>
      <w:r>
        <w:rPr>
          <w:rFonts w:cs="Tahoma"/>
          <w:iCs/>
          <w:noProof/>
          <w:lang w:val="fr-FR"/>
        </w:rPr>
        <w:t>faisant état de situations extrêmes</w:t>
      </w:r>
      <w:r w:rsidRPr="006204D6">
        <w:rPr>
          <w:rFonts w:cs="Tahoma"/>
          <w:iCs/>
          <w:noProof/>
          <w:lang w:val="fr-FR"/>
        </w:rPr>
        <w:t>.</w:t>
      </w:r>
    </w:p>
    <w:p w:rsidR="00596826" w:rsidRPr="006204D6" w:rsidRDefault="00596826" w:rsidP="00596826">
      <w:pPr>
        <w:pStyle w:val="SingleTxtG"/>
        <w:rPr>
          <w:rFonts w:ascii="Tahoma" w:hAnsi="Tahoma" w:cs="Tahoma"/>
          <w:noProof/>
          <w:lang w:val="fr-FR"/>
        </w:rPr>
      </w:pPr>
      <w:r>
        <w:rPr>
          <w:iCs/>
          <w:noProof/>
          <w:lang w:val="fr-FR"/>
        </w:rPr>
        <w:t>84.</w:t>
      </w:r>
      <w:r>
        <w:rPr>
          <w:iCs/>
          <w:noProof/>
          <w:lang w:val="fr-FR"/>
        </w:rPr>
        <w:tab/>
        <w:t>Le</w:t>
      </w:r>
      <w:r w:rsidRPr="006204D6">
        <w:rPr>
          <w:iCs/>
          <w:noProof/>
          <w:lang w:val="fr-FR"/>
        </w:rPr>
        <w:t xml:space="preserve">s </w:t>
      </w:r>
      <w:r>
        <w:rPr>
          <w:iCs/>
          <w:noProof/>
          <w:lang w:val="fr-FR"/>
        </w:rPr>
        <w:t xml:space="preserve">assurances diplomatiques </w:t>
      </w:r>
      <w:r w:rsidRPr="006204D6">
        <w:rPr>
          <w:iCs/>
          <w:noProof/>
          <w:lang w:val="fr-FR"/>
        </w:rPr>
        <w:t>o</w:t>
      </w:r>
      <w:r>
        <w:rPr>
          <w:iCs/>
          <w:noProof/>
          <w:lang w:val="fr-FR"/>
        </w:rPr>
        <w:t>u</w:t>
      </w:r>
      <w:r w:rsidRPr="006204D6">
        <w:rPr>
          <w:iCs/>
          <w:noProof/>
          <w:lang w:val="fr-FR"/>
        </w:rPr>
        <w:t xml:space="preserve"> </w:t>
      </w:r>
      <w:r>
        <w:rPr>
          <w:iCs/>
          <w:noProof/>
          <w:lang w:val="fr-FR"/>
        </w:rPr>
        <w:t>garanties équivalentes</w:t>
      </w:r>
      <w:r w:rsidRPr="006204D6">
        <w:rPr>
          <w:iCs/>
          <w:noProof/>
          <w:lang w:val="fr-FR"/>
        </w:rPr>
        <w:t xml:space="preserve"> que </w:t>
      </w:r>
      <w:r>
        <w:rPr>
          <w:iCs/>
          <w:noProof/>
          <w:lang w:val="fr-FR"/>
        </w:rPr>
        <w:t>l</w:t>
      </w:r>
      <w:r w:rsidR="00607CA3">
        <w:rPr>
          <w:iCs/>
          <w:noProof/>
          <w:lang w:val="fr-FR"/>
        </w:rPr>
        <w:t>’</w:t>
      </w:r>
      <w:r>
        <w:rPr>
          <w:iCs/>
          <w:noProof/>
          <w:lang w:val="fr-FR"/>
        </w:rPr>
        <w:t xml:space="preserve">Uruguay peut, le cas échéant, offrir </w:t>
      </w:r>
      <w:r w:rsidRPr="006204D6">
        <w:rPr>
          <w:iCs/>
          <w:noProof/>
          <w:lang w:val="fr-FR"/>
        </w:rPr>
        <w:t xml:space="preserve">en </w:t>
      </w:r>
      <w:r>
        <w:rPr>
          <w:iCs/>
          <w:noProof/>
          <w:lang w:val="fr-FR"/>
        </w:rPr>
        <w:t>cas d</w:t>
      </w:r>
      <w:r w:rsidR="00607CA3">
        <w:rPr>
          <w:iCs/>
          <w:noProof/>
          <w:lang w:val="fr-FR"/>
        </w:rPr>
        <w:t>’</w:t>
      </w:r>
      <w:r>
        <w:rPr>
          <w:iCs/>
          <w:noProof/>
          <w:lang w:val="fr-FR"/>
        </w:rPr>
        <w:t xml:space="preserve">asile diplomatique ou territorial sont celles qui découlent des instruments internationaux auxquels il est partie, tels que </w:t>
      </w:r>
      <w:r w:rsidRPr="006204D6">
        <w:rPr>
          <w:iCs/>
          <w:noProof/>
          <w:lang w:val="fr-FR"/>
        </w:rPr>
        <w:t>la Conven</w:t>
      </w:r>
      <w:r>
        <w:rPr>
          <w:iCs/>
          <w:noProof/>
          <w:lang w:val="fr-FR"/>
        </w:rPr>
        <w:t>tion de La Havane sur l</w:t>
      </w:r>
      <w:r w:rsidR="00607CA3">
        <w:rPr>
          <w:iCs/>
          <w:noProof/>
          <w:lang w:val="fr-FR"/>
        </w:rPr>
        <w:t>’</w:t>
      </w:r>
      <w:r>
        <w:rPr>
          <w:iCs/>
          <w:noProof/>
          <w:lang w:val="fr-FR"/>
        </w:rPr>
        <w:t>asile (</w:t>
      </w:r>
      <w:r w:rsidRPr="006204D6">
        <w:rPr>
          <w:iCs/>
          <w:noProof/>
          <w:lang w:val="fr-FR"/>
        </w:rPr>
        <w:t>1928</w:t>
      </w:r>
      <w:r>
        <w:rPr>
          <w:iCs/>
          <w:noProof/>
          <w:lang w:val="fr-FR"/>
        </w:rPr>
        <w:t>)</w:t>
      </w:r>
      <w:r w:rsidRPr="006204D6">
        <w:rPr>
          <w:iCs/>
          <w:noProof/>
          <w:lang w:val="fr-FR"/>
        </w:rPr>
        <w:t xml:space="preserve"> </w:t>
      </w:r>
      <w:r>
        <w:rPr>
          <w:iCs/>
          <w:noProof/>
          <w:lang w:val="fr-FR"/>
        </w:rPr>
        <w:t xml:space="preserve">ou </w:t>
      </w:r>
      <w:r w:rsidRPr="00DE6B19">
        <w:rPr>
          <w:iCs/>
          <w:noProof/>
          <w:lang w:val="fr-FR"/>
        </w:rPr>
        <w:t xml:space="preserve">la </w:t>
      </w:r>
      <w:r w:rsidRPr="00DE6B19">
        <w:rPr>
          <w:noProof/>
          <w:lang w:val="fr-FR"/>
        </w:rPr>
        <w:t>Convention de Caracas sur l</w:t>
      </w:r>
      <w:r w:rsidR="00607CA3">
        <w:rPr>
          <w:noProof/>
          <w:lang w:val="fr-FR"/>
        </w:rPr>
        <w:t>’</w:t>
      </w:r>
      <w:r w:rsidRPr="00DE6B19">
        <w:rPr>
          <w:noProof/>
          <w:lang w:val="fr-FR"/>
        </w:rPr>
        <w:t>asile diplomatique (1954) et la Convention de Caracas sur l</w:t>
      </w:r>
      <w:r w:rsidR="00607CA3">
        <w:rPr>
          <w:noProof/>
          <w:lang w:val="fr-FR"/>
        </w:rPr>
        <w:t>’</w:t>
      </w:r>
      <w:r w:rsidRPr="00DE6B19">
        <w:rPr>
          <w:noProof/>
          <w:lang w:val="fr-FR"/>
        </w:rPr>
        <w:t>asile</w:t>
      </w:r>
      <w:r w:rsidRPr="00411326">
        <w:t xml:space="preserve"> territorial (1954).</w:t>
      </w:r>
    </w:p>
    <w:p w:rsidR="00596826" w:rsidRPr="006204D6" w:rsidRDefault="00596826" w:rsidP="00596826">
      <w:pPr>
        <w:pStyle w:val="SingleTxtG"/>
        <w:rPr>
          <w:rFonts w:eastAsia="Calibri"/>
          <w:noProof/>
          <w:lang w:val="fr-FR"/>
        </w:rPr>
      </w:pPr>
      <w:r w:rsidRPr="006204D6">
        <w:rPr>
          <w:rFonts w:eastAsia="Calibri"/>
          <w:noProof/>
          <w:lang w:val="fr-FR"/>
        </w:rPr>
        <w:t>85.</w:t>
      </w:r>
      <w:r w:rsidRPr="006204D6">
        <w:rPr>
          <w:rFonts w:eastAsia="Calibri"/>
          <w:noProof/>
          <w:lang w:val="fr-FR"/>
        </w:rPr>
        <w:tab/>
        <w:t>En 2016</w:t>
      </w:r>
      <w:r>
        <w:rPr>
          <w:rFonts w:eastAsia="Calibri"/>
          <w:noProof/>
          <w:lang w:val="fr-FR"/>
        </w:rPr>
        <w:t>,</w:t>
      </w:r>
      <w:r w:rsidRPr="006204D6">
        <w:rPr>
          <w:rFonts w:eastAsia="Calibri"/>
          <w:noProof/>
          <w:lang w:val="fr-FR"/>
        </w:rPr>
        <w:t xml:space="preserve"> </w:t>
      </w:r>
      <w:r>
        <w:rPr>
          <w:rFonts w:eastAsia="Calibri"/>
          <w:noProof/>
          <w:lang w:val="fr-FR"/>
        </w:rPr>
        <w:t xml:space="preserve">on a traité </w:t>
      </w:r>
      <w:r w:rsidRPr="006204D6">
        <w:rPr>
          <w:rFonts w:eastAsia="Calibri"/>
          <w:noProof/>
          <w:lang w:val="fr-FR"/>
        </w:rPr>
        <w:t xml:space="preserve">94 </w:t>
      </w:r>
      <w:r>
        <w:rPr>
          <w:rFonts w:eastAsia="Calibri"/>
          <w:noProof/>
          <w:lang w:val="fr-FR"/>
        </w:rPr>
        <w:t>demandes d</w:t>
      </w:r>
      <w:r w:rsidR="00607CA3">
        <w:rPr>
          <w:rFonts w:eastAsia="Calibri"/>
          <w:noProof/>
          <w:lang w:val="fr-FR"/>
        </w:rPr>
        <w:t>’</w:t>
      </w:r>
      <w:r>
        <w:rPr>
          <w:rFonts w:eastAsia="Calibri"/>
          <w:noProof/>
          <w:lang w:val="fr-FR"/>
        </w:rPr>
        <w:t>extradition, pour lesquelles l</w:t>
      </w:r>
      <w:r w:rsidR="00607CA3">
        <w:rPr>
          <w:rFonts w:eastAsia="Calibri"/>
          <w:noProof/>
          <w:lang w:val="fr-FR"/>
        </w:rPr>
        <w:t>’</w:t>
      </w:r>
      <w:r>
        <w:rPr>
          <w:rFonts w:eastAsia="Calibri"/>
          <w:noProof/>
          <w:lang w:val="fr-FR"/>
        </w:rPr>
        <w:t>Uruguay était l</w:t>
      </w:r>
      <w:r w:rsidR="00607CA3">
        <w:rPr>
          <w:rFonts w:eastAsia="Calibri"/>
          <w:noProof/>
          <w:lang w:val="fr-FR"/>
        </w:rPr>
        <w:t>’</w:t>
      </w:r>
      <w:r>
        <w:rPr>
          <w:rFonts w:eastAsia="Calibri"/>
          <w:noProof/>
          <w:lang w:val="fr-FR"/>
        </w:rPr>
        <w:t>État requis</w:t>
      </w:r>
      <w:r w:rsidR="00332CC9">
        <w:rPr>
          <w:rFonts w:eastAsia="Calibri"/>
          <w:noProof/>
          <w:lang w:val="fr-FR"/>
        </w:rPr>
        <w:t> </w:t>
      </w:r>
      <w:r>
        <w:rPr>
          <w:rFonts w:eastAsia="Calibri"/>
          <w:noProof/>
          <w:lang w:val="fr-FR"/>
        </w:rPr>
        <w:t xml:space="preserve">; on en a traité 92 en 2017 et 41 au cours des premiers mois de </w:t>
      </w:r>
      <w:r w:rsidRPr="006204D6">
        <w:rPr>
          <w:rFonts w:eastAsia="Calibri"/>
          <w:noProof/>
          <w:lang w:val="fr-FR"/>
        </w:rPr>
        <w:t xml:space="preserve">2018. </w:t>
      </w:r>
    </w:p>
    <w:p w:rsidR="00596826" w:rsidRPr="006204D6" w:rsidRDefault="00596826" w:rsidP="00596826">
      <w:pPr>
        <w:pStyle w:val="SingleTxtG"/>
        <w:rPr>
          <w:rFonts w:eastAsia="Calibri"/>
          <w:noProof/>
          <w:lang w:val="fr-FR"/>
        </w:rPr>
      </w:pPr>
      <w:r w:rsidRPr="006204D6">
        <w:rPr>
          <w:rFonts w:eastAsia="Calibri"/>
          <w:noProof/>
          <w:lang w:val="fr-FR"/>
        </w:rPr>
        <w:t>86.</w:t>
      </w:r>
      <w:r w:rsidRPr="006204D6">
        <w:rPr>
          <w:rFonts w:eastAsia="Calibri"/>
          <w:noProof/>
          <w:lang w:val="fr-FR"/>
        </w:rPr>
        <w:tab/>
      </w:r>
      <w:r>
        <w:rPr>
          <w:rFonts w:eastAsia="Calibri"/>
          <w:noProof/>
          <w:lang w:val="fr-FR"/>
        </w:rPr>
        <w:t>Au cours de la période considérée, aucun cas d</w:t>
      </w:r>
      <w:r w:rsidR="00607CA3">
        <w:rPr>
          <w:rFonts w:eastAsia="Calibri"/>
          <w:noProof/>
          <w:lang w:val="fr-FR"/>
        </w:rPr>
        <w:t>’</w:t>
      </w:r>
      <w:r>
        <w:rPr>
          <w:rFonts w:eastAsia="Calibri"/>
          <w:noProof/>
          <w:lang w:val="fr-FR"/>
        </w:rPr>
        <w:t>extradition, de refoulement ou d</w:t>
      </w:r>
      <w:r w:rsidR="00607CA3">
        <w:rPr>
          <w:rFonts w:eastAsia="Calibri"/>
          <w:noProof/>
          <w:lang w:val="fr-FR"/>
        </w:rPr>
        <w:t>’</w:t>
      </w:r>
      <w:r>
        <w:rPr>
          <w:rFonts w:eastAsia="Calibri"/>
          <w:noProof/>
          <w:lang w:val="fr-FR"/>
        </w:rPr>
        <w:t>expulsion de réfugiés et/ou demandeurs d</w:t>
      </w:r>
      <w:r w:rsidR="00607CA3">
        <w:rPr>
          <w:rFonts w:eastAsia="Calibri"/>
          <w:noProof/>
          <w:lang w:val="fr-FR"/>
        </w:rPr>
        <w:t>’</w:t>
      </w:r>
      <w:r>
        <w:rPr>
          <w:rFonts w:eastAsia="Calibri"/>
          <w:noProof/>
          <w:lang w:val="fr-FR"/>
        </w:rPr>
        <w:t>asile ayant fait état de tortures ou de mauvais traitements ou en ayant invoqué le risque n</w:t>
      </w:r>
      <w:r w:rsidR="00607CA3">
        <w:rPr>
          <w:rFonts w:eastAsia="Calibri"/>
          <w:noProof/>
          <w:lang w:val="fr-FR"/>
        </w:rPr>
        <w:t>’</w:t>
      </w:r>
      <w:r>
        <w:rPr>
          <w:rFonts w:eastAsia="Calibri"/>
          <w:noProof/>
          <w:lang w:val="fr-FR"/>
        </w:rPr>
        <w:t>est à signaler.</w:t>
      </w:r>
    </w:p>
    <w:p w:rsidR="00596826" w:rsidRPr="00DE6B19" w:rsidRDefault="00596826" w:rsidP="00332CC9">
      <w:pPr>
        <w:pStyle w:val="H1G"/>
        <w:rPr>
          <w:noProof/>
          <w:lang w:val="fr-FR"/>
        </w:rPr>
      </w:pPr>
      <w:r w:rsidRPr="00411326">
        <w:tab/>
      </w:r>
      <w:r w:rsidRPr="00411326">
        <w:tab/>
      </w:r>
      <w:r w:rsidRPr="00DE6B19">
        <w:rPr>
          <w:noProof/>
          <w:lang w:val="fr-FR"/>
        </w:rPr>
        <w:t>Articles 5 à 9</w:t>
      </w:r>
    </w:p>
    <w:p w:rsidR="00596826" w:rsidRPr="00DE6B19" w:rsidRDefault="00596826" w:rsidP="00596826">
      <w:pPr>
        <w:pStyle w:val="SingleTxtG"/>
        <w:rPr>
          <w:noProof/>
          <w:lang w:val="fr-FR"/>
        </w:rPr>
      </w:pPr>
      <w:r w:rsidRPr="00DE6B19">
        <w:rPr>
          <w:noProof/>
          <w:lang w:val="fr-FR"/>
        </w:rPr>
        <w:t>87.</w:t>
      </w:r>
      <w:r w:rsidRPr="00DE6B19">
        <w:rPr>
          <w:noProof/>
          <w:lang w:val="fr-FR"/>
        </w:rPr>
        <w:tab/>
        <w:t>A</w:t>
      </w:r>
      <w:r>
        <w:rPr>
          <w:noProof/>
          <w:lang w:val="fr-FR"/>
        </w:rPr>
        <w:t>fin de donner effet</w:t>
      </w:r>
      <w:r w:rsidRPr="00DE6B19">
        <w:rPr>
          <w:noProof/>
          <w:lang w:val="fr-FR"/>
        </w:rPr>
        <w:t xml:space="preserve"> </w:t>
      </w:r>
      <w:r>
        <w:rPr>
          <w:noProof/>
          <w:lang w:val="fr-FR"/>
        </w:rPr>
        <w:t>à l</w:t>
      </w:r>
      <w:r w:rsidR="00607CA3">
        <w:rPr>
          <w:noProof/>
          <w:lang w:val="fr-FR"/>
        </w:rPr>
        <w:t>’</w:t>
      </w:r>
      <w:r>
        <w:rPr>
          <w:noProof/>
          <w:lang w:val="fr-FR"/>
        </w:rPr>
        <w:t xml:space="preserve">article </w:t>
      </w:r>
      <w:r w:rsidRPr="00DE6B19">
        <w:rPr>
          <w:noProof/>
          <w:lang w:val="fr-FR"/>
        </w:rPr>
        <w:t xml:space="preserve">5 de la </w:t>
      </w:r>
      <w:r w:rsidRPr="00DE6B19">
        <w:rPr>
          <w:rFonts w:eastAsia="Calibri"/>
          <w:noProof/>
          <w:lang w:val="fr-FR"/>
        </w:rPr>
        <w:t>Convención</w:t>
      </w:r>
      <w:r w:rsidRPr="00DE6B19">
        <w:rPr>
          <w:noProof/>
          <w:lang w:val="fr-FR"/>
        </w:rPr>
        <w:t>, l</w:t>
      </w:r>
      <w:r>
        <w:rPr>
          <w:noProof/>
          <w:lang w:val="fr-FR"/>
        </w:rPr>
        <w:t>e</w:t>
      </w:r>
      <w:r w:rsidRPr="00DE6B19">
        <w:rPr>
          <w:noProof/>
          <w:lang w:val="fr-FR"/>
        </w:rPr>
        <w:t>s art</w:t>
      </w:r>
      <w:r>
        <w:rPr>
          <w:noProof/>
          <w:lang w:val="fr-FR"/>
        </w:rPr>
        <w:t xml:space="preserve">icles </w:t>
      </w:r>
      <w:r w:rsidRPr="00DE6B19">
        <w:rPr>
          <w:noProof/>
          <w:lang w:val="fr-FR"/>
        </w:rPr>
        <w:t xml:space="preserve">4.2 </w:t>
      </w:r>
      <w:r>
        <w:rPr>
          <w:noProof/>
          <w:lang w:val="fr-FR"/>
        </w:rPr>
        <w:t>et</w:t>
      </w:r>
      <w:r w:rsidRPr="00DE6B19">
        <w:rPr>
          <w:noProof/>
          <w:lang w:val="fr-FR"/>
        </w:rPr>
        <w:t xml:space="preserve"> 5 de la </w:t>
      </w:r>
      <w:r>
        <w:rPr>
          <w:noProof/>
          <w:lang w:val="fr-FR"/>
        </w:rPr>
        <w:t xml:space="preserve">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noProof/>
          <w:lang w:val="fr-FR"/>
        </w:rPr>
        <w:t> </w:t>
      </w:r>
      <w:r w:rsidRPr="00DE6B19">
        <w:rPr>
          <w:noProof/>
          <w:lang w:val="fr-FR"/>
        </w:rPr>
        <w:t>18026 consa</w:t>
      </w:r>
      <w:r>
        <w:rPr>
          <w:noProof/>
          <w:lang w:val="fr-FR"/>
        </w:rPr>
        <w:t xml:space="preserve">crent le principe </w:t>
      </w:r>
      <w:r w:rsidRPr="00DE6B19">
        <w:rPr>
          <w:i/>
          <w:iCs/>
          <w:noProof/>
          <w:lang w:val="fr-FR"/>
        </w:rPr>
        <w:t>aut dedere aut iudicare</w:t>
      </w:r>
      <w:r w:rsidR="00332CC9">
        <w:rPr>
          <w:i/>
          <w:iCs/>
          <w:noProof/>
          <w:lang w:val="fr-FR"/>
        </w:rPr>
        <w:t xml:space="preserve"> </w:t>
      </w:r>
      <w:r w:rsidRPr="00DE6B19">
        <w:rPr>
          <w:noProof/>
          <w:lang w:val="fr-FR"/>
        </w:rPr>
        <w:t>(</w:t>
      </w:r>
      <w:r>
        <w:rPr>
          <w:noProof/>
          <w:lang w:val="fr-FR"/>
        </w:rPr>
        <w:t>extrader ou juger</w:t>
      </w:r>
      <w:r w:rsidRPr="00DE6B19">
        <w:rPr>
          <w:noProof/>
          <w:lang w:val="fr-FR"/>
        </w:rPr>
        <w:t xml:space="preserve">) </w:t>
      </w:r>
      <w:r>
        <w:rPr>
          <w:noProof/>
          <w:lang w:val="fr-FR"/>
        </w:rPr>
        <w:t>et celui de « compétence universelle »</w:t>
      </w:r>
      <w:r w:rsidRPr="00DE6B19">
        <w:rPr>
          <w:noProof/>
          <w:lang w:val="fr-FR"/>
        </w:rPr>
        <w:t xml:space="preserve">, </w:t>
      </w:r>
      <w:r>
        <w:rPr>
          <w:noProof/>
          <w:lang w:val="fr-FR"/>
        </w:rPr>
        <w:t>en vertu desquels l</w:t>
      </w:r>
      <w:r w:rsidR="00607CA3">
        <w:rPr>
          <w:noProof/>
          <w:lang w:val="fr-FR"/>
        </w:rPr>
        <w:t>’</w:t>
      </w:r>
      <w:r>
        <w:rPr>
          <w:noProof/>
          <w:lang w:val="fr-FR"/>
        </w:rPr>
        <w:t>État sur le territoire duquel se trouve une personne soupçonnée d</w:t>
      </w:r>
      <w:r w:rsidR="00607CA3">
        <w:rPr>
          <w:noProof/>
          <w:lang w:val="fr-FR"/>
        </w:rPr>
        <w:t>’</w:t>
      </w:r>
      <w:r>
        <w:rPr>
          <w:noProof/>
          <w:lang w:val="fr-FR"/>
        </w:rPr>
        <w:t>avoir commis des infractions qui y sont incriminées doit soit l</w:t>
      </w:r>
      <w:r w:rsidR="00607CA3">
        <w:rPr>
          <w:noProof/>
          <w:lang w:val="fr-FR"/>
        </w:rPr>
        <w:t>’</w:t>
      </w:r>
      <w:r>
        <w:rPr>
          <w:noProof/>
          <w:lang w:val="fr-FR"/>
        </w:rPr>
        <w:t>extrader vers un État requérant ou la Cour pénale internationale, soit la juger comme si l</w:t>
      </w:r>
      <w:r w:rsidR="00607CA3">
        <w:rPr>
          <w:noProof/>
          <w:lang w:val="fr-FR"/>
        </w:rPr>
        <w:t>’</w:t>
      </w:r>
      <w:r>
        <w:rPr>
          <w:noProof/>
          <w:lang w:val="fr-FR"/>
        </w:rPr>
        <w:t>acte avait été commis sur son territoire ou qu</w:t>
      </w:r>
      <w:r w:rsidR="00607CA3">
        <w:rPr>
          <w:noProof/>
          <w:lang w:val="fr-FR"/>
        </w:rPr>
        <w:t>’</w:t>
      </w:r>
      <w:r>
        <w:rPr>
          <w:noProof/>
          <w:lang w:val="fr-FR"/>
        </w:rPr>
        <w:t>il y produisait des effets, dans les conditions fixées dans le texte de loi applicable</w:t>
      </w:r>
      <w:r w:rsidRPr="00DE6B19">
        <w:rPr>
          <w:noProof/>
          <w:lang w:val="fr-FR"/>
        </w:rPr>
        <w:t>.</w:t>
      </w:r>
    </w:p>
    <w:p w:rsidR="00596826" w:rsidRPr="00DE6B19" w:rsidRDefault="00596826" w:rsidP="00596826">
      <w:pPr>
        <w:pStyle w:val="SingleTxtG"/>
        <w:rPr>
          <w:rFonts w:eastAsia="Calibri"/>
          <w:noProof/>
          <w:lang w:val="fr-FR"/>
        </w:rPr>
      </w:pPr>
      <w:r w:rsidRPr="00DE6B19">
        <w:rPr>
          <w:rFonts w:eastAsia="Calibri"/>
          <w:noProof/>
          <w:lang w:val="fr-FR"/>
        </w:rPr>
        <w:t>88.</w:t>
      </w:r>
      <w:r w:rsidRPr="00DE6B19">
        <w:rPr>
          <w:rFonts w:eastAsia="Calibri"/>
          <w:noProof/>
          <w:lang w:val="fr-FR"/>
        </w:rPr>
        <w:tab/>
      </w:r>
      <w:r>
        <w:rPr>
          <w:rFonts w:eastAsia="Calibri"/>
          <w:noProof/>
          <w:lang w:val="fr-FR"/>
        </w:rPr>
        <w:t>Au cours de la période considérée, l</w:t>
      </w:r>
      <w:r w:rsidR="00607CA3">
        <w:rPr>
          <w:rFonts w:eastAsia="Calibri"/>
          <w:noProof/>
          <w:lang w:val="fr-FR"/>
        </w:rPr>
        <w:t>’</w:t>
      </w:r>
      <w:r>
        <w:rPr>
          <w:rFonts w:eastAsia="Calibri"/>
          <w:noProof/>
          <w:lang w:val="fr-FR"/>
        </w:rPr>
        <w:t>Uruguay a signé deux traités d</w:t>
      </w:r>
      <w:r w:rsidR="00607CA3">
        <w:rPr>
          <w:rFonts w:eastAsia="Calibri"/>
          <w:noProof/>
          <w:lang w:val="fr-FR"/>
        </w:rPr>
        <w:t>’</w:t>
      </w:r>
      <w:r>
        <w:rPr>
          <w:rFonts w:eastAsia="Calibri"/>
          <w:noProof/>
          <w:lang w:val="fr-FR"/>
        </w:rPr>
        <w:t>extradition avec le Portugal et l</w:t>
      </w:r>
      <w:r w:rsidR="00607CA3">
        <w:rPr>
          <w:rFonts w:eastAsia="Calibri"/>
          <w:noProof/>
          <w:lang w:val="fr-FR"/>
        </w:rPr>
        <w:t>’</w:t>
      </w:r>
      <w:r w:rsidR="00691AD9">
        <w:rPr>
          <w:rFonts w:eastAsia="Calibri"/>
          <w:noProof/>
          <w:lang w:val="fr-FR"/>
        </w:rPr>
        <w:t>Italie </w:t>
      </w:r>
      <w:r>
        <w:rPr>
          <w:rFonts w:eastAsia="Calibri"/>
          <w:noProof/>
          <w:lang w:val="fr-FR"/>
        </w:rPr>
        <w:t>; ces traités ne sont pas encore entrés en vigueur</w:t>
      </w:r>
      <w:r w:rsidRPr="00DE6B19">
        <w:rPr>
          <w:rFonts w:eastAsia="Calibri"/>
          <w:noProof/>
          <w:lang w:val="fr-FR"/>
        </w:rPr>
        <w:t xml:space="preserve">. </w:t>
      </w:r>
      <w:r>
        <w:rPr>
          <w:rFonts w:eastAsia="Calibri"/>
          <w:noProof/>
          <w:lang w:val="fr-FR"/>
        </w:rPr>
        <w:t>Dans les deux cas, conformément à la tendance actuelle, le texte ne prévoit pas d</w:t>
      </w:r>
      <w:r w:rsidR="00607CA3">
        <w:rPr>
          <w:rFonts w:eastAsia="Calibri"/>
          <w:noProof/>
          <w:lang w:val="fr-FR"/>
        </w:rPr>
        <w:t>’</w:t>
      </w:r>
      <w:r>
        <w:rPr>
          <w:rFonts w:eastAsia="Calibri"/>
          <w:noProof/>
          <w:lang w:val="fr-FR"/>
        </w:rPr>
        <w:t>infractions spécifiques pouvant donner lieu à extradition, mais un contexte ouvert à différentes qualifications pénales en rapport avec la peine (une</w:t>
      </w:r>
      <w:r w:rsidRPr="00DE6B19">
        <w:rPr>
          <w:rFonts w:eastAsia="Calibri"/>
          <w:noProof/>
          <w:lang w:val="fr-FR"/>
        </w:rPr>
        <w:t xml:space="preserve"> </w:t>
      </w:r>
      <w:r>
        <w:rPr>
          <w:rFonts w:eastAsia="Calibri"/>
          <w:noProof/>
          <w:lang w:val="fr-FR"/>
        </w:rPr>
        <w:t>« peine privative de liberté d</w:t>
      </w:r>
      <w:r w:rsidR="00607CA3">
        <w:rPr>
          <w:rFonts w:eastAsia="Calibri"/>
          <w:noProof/>
          <w:lang w:val="fr-FR"/>
        </w:rPr>
        <w:t>’</w:t>
      </w:r>
      <w:r>
        <w:rPr>
          <w:rFonts w:eastAsia="Calibri"/>
          <w:noProof/>
          <w:lang w:val="fr-FR"/>
        </w:rPr>
        <w:t>une durée maximale ne pouvant être inférieure à deux ans » et « une peine privative de liberté d</w:t>
      </w:r>
      <w:r w:rsidR="00607CA3">
        <w:rPr>
          <w:rFonts w:eastAsia="Calibri"/>
          <w:noProof/>
          <w:lang w:val="fr-FR"/>
        </w:rPr>
        <w:t>’</w:t>
      </w:r>
      <w:r>
        <w:rPr>
          <w:rFonts w:eastAsia="Calibri"/>
          <w:noProof/>
          <w:lang w:val="fr-FR"/>
        </w:rPr>
        <w:t>au moins deux ans », respectivement).</w:t>
      </w:r>
      <w:r w:rsidRPr="00DE6B19">
        <w:rPr>
          <w:rFonts w:eastAsia="Calibri"/>
          <w:noProof/>
          <w:lang w:val="fr-FR"/>
        </w:rPr>
        <w:t xml:space="preserve"> </w:t>
      </w:r>
      <w:r>
        <w:rPr>
          <w:rFonts w:eastAsia="Calibri"/>
          <w:noProof/>
          <w:lang w:val="fr-FR"/>
        </w:rPr>
        <w:t>De ce fait, dans la majorité des cas, les actes présumés de torture pourraient donner lieu à extradition</w:t>
      </w:r>
      <w:r w:rsidRPr="00DE6B19">
        <w:rPr>
          <w:rFonts w:eastAsia="Calibri"/>
          <w:noProof/>
          <w:lang w:val="fr-FR"/>
        </w:rPr>
        <w:t>.</w:t>
      </w:r>
    </w:p>
    <w:p w:rsidR="00596826" w:rsidRPr="00DE6B19" w:rsidRDefault="00596826" w:rsidP="00596826">
      <w:pPr>
        <w:pStyle w:val="SingleTxtG"/>
        <w:rPr>
          <w:rFonts w:eastAsia="Calibri"/>
          <w:noProof/>
          <w:lang w:val="fr-FR"/>
        </w:rPr>
      </w:pPr>
      <w:r w:rsidRPr="00DE6B19">
        <w:rPr>
          <w:rFonts w:eastAsia="Calibri"/>
          <w:noProof/>
          <w:lang w:val="fr-FR"/>
        </w:rPr>
        <w:t>89.</w:t>
      </w:r>
      <w:r w:rsidRPr="00DE6B19">
        <w:rPr>
          <w:rFonts w:eastAsia="Calibri"/>
          <w:noProof/>
          <w:lang w:val="fr-FR"/>
        </w:rPr>
        <w:tab/>
      </w:r>
      <w:r>
        <w:rPr>
          <w:rFonts w:eastAsia="Calibri"/>
          <w:noProof/>
          <w:lang w:val="fr-FR"/>
        </w:rPr>
        <w:t>Le Code de procédure pénale prévoit expressément que la procédure d</w:t>
      </w:r>
      <w:r w:rsidR="00607CA3">
        <w:rPr>
          <w:rFonts w:eastAsia="Calibri"/>
          <w:noProof/>
          <w:lang w:val="fr-FR"/>
        </w:rPr>
        <w:t>’</w:t>
      </w:r>
      <w:r>
        <w:rPr>
          <w:rFonts w:eastAsia="Calibri"/>
          <w:noProof/>
          <w:lang w:val="fr-FR"/>
        </w:rPr>
        <w:t>extradition est régie par les dispositions des instruments internationaux ratifiés par l</w:t>
      </w:r>
      <w:r w:rsidR="00607CA3">
        <w:rPr>
          <w:rFonts w:eastAsia="Calibri"/>
          <w:noProof/>
          <w:lang w:val="fr-FR"/>
        </w:rPr>
        <w:t>’</w:t>
      </w:r>
      <w:r>
        <w:rPr>
          <w:rFonts w:eastAsia="Calibri"/>
          <w:noProof/>
          <w:lang w:val="fr-FR"/>
        </w:rPr>
        <w:t>Uruguay</w:t>
      </w:r>
      <w:r w:rsidRPr="00DE6B19">
        <w:rPr>
          <w:rFonts w:eastAsia="Calibri"/>
          <w:noProof/>
          <w:lang w:val="fr-FR"/>
        </w:rPr>
        <w:t xml:space="preserve">. </w:t>
      </w:r>
      <w:r>
        <w:rPr>
          <w:rFonts w:eastAsia="Calibri"/>
          <w:noProof/>
          <w:lang w:val="fr-FR"/>
        </w:rPr>
        <w:t>Celui-ci a ratifié l</w:t>
      </w:r>
      <w:r w:rsidRPr="00DE6B19">
        <w:rPr>
          <w:rFonts w:eastAsia="Calibri"/>
          <w:noProof/>
          <w:lang w:val="fr-FR"/>
        </w:rPr>
        <w:t>a Conven</w:t>
      </w:r>
      <w:r>
        <w:rPr>
          <w:rFonts w:eastAsia="Calibri"/>
          <w:noProof/>
          <w:lang w:val="fr-FR"/>
        </w:rPr>
        <w:t xml:space="preserve">tion </w:t>
      </w:r>
      <w:r w:rsidRPr="00DE6B19">
        <w:rPr>
          <w:rFonts w:eastAsia="Calibri"/>
          <w:noProof/>
          <w:lang w:val="fr-FR"/>
        </w:rPr>
        <w:t xml:space="preserve">en 2005. </w:t>
      </w:r>
      <w:r>
        <w:rPr>
          <w:rFonts w:eastAsia="Calibri"/>
          <w:noProof/>
          <w:lang w:val="fr-FR"/>
        </w:rPr>
        <w:t>C</w:t>
      </w:r>
      <w:r w:rsidR="00607CA3">
        <w:rPr>
          <w:rFonts w:eastAsia="Calibri"/>
          <w:noProof/>
          <w:lang w:val="fr-FR"/>
        </w:rPr>
        <w:t>’</w:t>
      </w:r>
      <w:r>
        <w:rPr>
          <w:rFonts w:eastAsia="Calibri"/>
          <w:noProof/>
          <w:lang w:val="fr-FR"/>
        </w:rPr>
        <w:t>est ainsi que l</w:t>
      </w:r>
      <w:r w:rsidR="00607CA3">
        <w:rPr>
          <w:rFonts w:eastAsia="Calibri"/>
          <w:noProof/>
          <w:lang w:val="fr-FR"/>
        </w:rPr>
        <w:t>’</w:t>
      </w:r>
      <w:r>
        <w:rPr>
          <w:rFonts w:eastAsia="Calibri"/>
          <w:noProof/>
          <w:lang w:val="fr-FR"/>
        </w:rPr>
        <w:t xml:space="preserve">on procédera en ce qui concerne les infractions créées par la 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DE6B19">
        <w:rPr>
          <w:rFonts w:eastAsia="Calibri"/>
          <w:noProof/>
          <w:lang w:val="fr-FR"/>
        </w:rPr>
        <w:t>18026 (</w:t>
      </w:r>
      <w:r>
        <w:rPr>
          <w:rFonts w:eastAsia="Calibri"/>
          <w:noProof/>
          <w:lang w:val="fr-FR"/>
        </w:rPr>
        <w:t>parmi lesquelles la torture</w:t>
      </w:r>
      <w:r w:rsidRPr="00DE6B19">
        <w:rPr>
          <w:rFonts w:eastAsia="Calibri"/>
          <w:noProof/>
          <w:lang w:val="fr-FR"/>
        </w:rPr>
        <w:t xml:space="preserve">) </w:t>
      </w:r>
      <w:r>
        <w:rPr>
          <w:rFonts w:eastAsia="Calibri"/>
          <w:noProof/>
          <w:lang w:val="fr-FR"/>
        </w:rPr>
        <w:t>et le Statut de Rome de la Cour pénale internationale</w:t>
      </w:r>
      <w:r w:rsidRPr="00DE6B19">
        <w:rPr>
          <w:rFonts w:eastAsia="Calibri"/>
          <w:noProof/>
          <w:lang w:val="fr-FR"/>
        </w:rPr>
        <w:t>.</w:t>
      </w:r>
    </w:p>
    <w:p w:rsidR="00596826" w:rsidRPr="00DE6B19" w:rsidRDefault="00596826" w:rsidP="00596826">
      <w:pPr>
        <w:pStyle w:val="SingleTxtG"/>
        <w:rPr>
          <w:rFonts w:eastAsia="Calibri"/>
          <w:noProof/>
          <w:lang w:val="fr-FR"/>
        </w:rPr>
      </w:pPr>
      <w:r w:rsidRPr="00DE6B19">
        <w:rPr>
          <w:rFonts w:eastAsia="Calibri"/>
          <w:noProof/>
          <w:lang w:val="fr-FR"/>
        </w:rPr>
        <w:t>90.</w:t>
      </w:r>
      <w:r w:rsidRPr="00DE6B19">
        <w:rPr>
          <w:rFonts w:eastAsia="Calibri"/>
          <w:noProof/>
          <w:lang w:val="fr-FR"/>
        </w:rPr>
        <w:tab/>
      </w:r>
      <w:r>
        <w:rPr>
          <w:rFonts w:eastAsia="Calibri"/>
          <w:noProof/>
          <w:lang w:val="fr-FR"/>
        </w:rPr>
        <w:t>Au cours de la période considérée, l</w:t>
      </w:r>
      <w:r w:rsidR="00607CA3">
        <w:rPr>
          <w:rFonts w:eastAsia="Calibri"/>
          <w:noProof/>
          <w:lang w:val="fr-FR"/>
        </w:rPr>
        <w:t>’</w:t>
      </w:r>
      <w:r>
        <w:rPr>
          <w:rFonts w:eastAsia="Calibri"/>
          <w:noProof/>
          <w:lang w:val="fr-FR"/>
        </w:rPr>
        <w:t>Uruguay n</w:t>
      </w:r>
      <w:r w:rsidR="00607CA3">
        <w:rPr>
          <w:rFonts w:eastAsia="Calibri"/>
          <w:noProof/>
          <w:lang w:val="fr-FR"/>
        </w:rPr>
        <w:t>’</w:t>
      </w:r>
      <w:r>
        <w:rPr>
          <w:rFonts w:eastAsia="Calibri"/>
          <w:noProof/>
          <w:lang w:val="fr-FR"/>
        </w:rPr>
        <w:t>a signé aucun traité d</w:t>
      </w:r>
      <w:r w:rsidR="00607CA3">
        <w:rPr>
          <w:rFonts w:eastAsia="Calibri"/>
          <w:noProof/>
          <w:lang w:val="fr-FR"/>
        </w:rPr>
        <w:t>’</w:t>
      </w:r>
      <w:r>
        <w:rPr>
          <w:rFonts w:eastAsia="Calibri"/>
          <w:noProof/>
          <w:lang w:val="fr-FR"/>
        </w:rPr>
        <w:t>assistance judiciaire mutuelle</w:t>
      </w:r>
      <w:r w:rsidRPr="00DE6B19">
        <w:rPr>
          <w:rFonts w:eastAsia="Calibri"/>
          <w:noProof/>
          <w:lang w:val="fr-FR"/>
        </w:rPr>
        <w:t>.</w:t>
      </w:r>
    </w:p>
    <w:p w:rsidR="00596826" w:rsidRPr="006509EF" w:rsidRDefault="00596826" w:rsidP="00332CC9">
      <w:pPr>
        <w:pStyle w:val="H1G"/>
        <w:rPr>
          <w:noProof/>
          <w:lang w:val="fr-FR"/>
        </w:rPr>
      </w:pPr>
      <w:r w:rsidRPr="00411326">
        <w:tab/>
      </w:r>
      <w:r w:rsidRPr="00411326">
        <w:tab/>
      </w:r>
      <w:r w:rsidRPr="006509EF">
        <w:rPr>
          <w:noProof/>
          <w:lang w:val="fr-FR"/>
        </w:rPr>
        <w:t xml:space="preserve">Article 10 </w:t>
      </w:r>
    </w:p>
    <w:p w:rsidR="00596826" w:rsidRPr="006509EF" w:rsidRDefault="00596826" w:rsidP="00596826">
      <w:pPr>
        <w:pStyle w:val="SingleTxtG"/>
        <w:rPr>
          <w:rFonts w:eastAsia="Calibri"/>
          <w:noProof/>
          <w:lang w:val="fr-FR"/>
        </w:rPr>
      </w:pPr>
      <w:r w:rsidRPr="006509EF">
        <w:rPr>
          <w:rFonts w:eastAsia="Calibri"/>
          <w:noProof/>
          <w:lang w:val="fr-FR"/>
        </w:rPr>
        <w:t>91.</w:t>
      </w:r>
      <w:r w:rsidRPr="006509EF">
        <w:rPr>
          <w:rFonts w:eastAsia="Calibri"/>
          <w:noProof/>
          <w:lang w:val="fr-FR"/>
        </w:rPr>
        <w:tab/>
      </w:r>
      <w:r>
        <w:rPr>
          <w:rFonts w:eastAsia="Calibri"/>
          <w:noProof/>
          <w:lang w:val="fr-FR"/>
        </w:rPr>
        <w:t>Dans le cadre du processus de renforcement institutionnel engagé dans le système pénitentiaire national, on poursuit la formation des agents pénitentiaires, confiée au Centre de formation pénitentiaire</w:t>
      </w:r>
      <w:r w:rsidRPr="006509EF">
        <w:rPr>
          <w:rFonts w:eastAsia="Calibri"/>
          <w:noProof/>
          <w:lang w:val="fr-FR"/>
        </w:rPr>
        <w:t xml:space="preserve">. </w:t>
      </w:r>
      <w:r>
        <w:rPr>
          <w:rFonts w:eastAsia="Calibri"/>
          <w:noProof/>
          <w:lang w:val="fr-FR"/>
        </w:rPr>
        <w:t>Il s</w:t>
      </w:r>
      <w:r w:rsidR="00607CA3">
        <w:rPr>
          <w:rFonts w:eastAsia="Calibri"/>
          <w:noProof/>
          <w:lang w:val="fr-FR"/>
        </w:rPr>
        <w:t>’</w:t>
      </w:r>
      <w:r>
        <w:rPr>
          <w:rFonts w:eastAsia="Calibri"/>
          <w:noProof/>
          <w:lang w:val="fr-FR"/>
        </w:rPr>
        <w:t>agit d</w:t>
      </w:r>
      <w:r w:rsidR="00607CA3">
        <w:rPr>
          <w:rFonts w:eastAsia="Calibri"/>
          <w:noProof/>
          <w:lang w:val="fr-FR"/>
        </w:rPr>
        <w:t>’</w:t>
      </w:r>
      <w:r>
        <w:rPr>
          <w:rFonts w:eastAsia="Calibri"/>
          <w:noProof/>
          <w:lang w:val="fr-FR"/>
        </w:rPr>
        <w:t>une unité spécialisée et technique assurant la formation professionnelle permanente de tous les fonctionnaires affectés au système</w:t>
      </w:r>
      <w:r w:rsidRPr="006509EF">
        <w:rPr>
          <w:rFonts w:eastAsia="Calibri"/>
          <w:noProof/>
          <w:lang w:val="fr-FR"/>
        </w:rPr>
        <w:t>. La forma</w:t>
      </w:r>
      <w:r>
        <w:rPr>
          <w:rFonts w:eastAsia="Calibri"/>
          <w:noProof/>
          <w:lang w:val="fr-FR"/>
        </w:rPr>
        <w:t>tion aux droits de l</w:t>
      </w:r>
      <w:r w:rsidR="00607CA3">
        <w:rPr>
          <w:rFonts w:eastAsia="Calibri"/>
          <w:noProof/>
          <w:lang w:val="fr-FR"/>
        </w:rPr>
        <w:t>’</w:t>
      </w:r>
      <w:r>
        <w:rPr>
          <w:rFonts w:eastAsia="Calibri"/>
          <w:noProof/>
          <w:lang w:val="fr-FR"/>
        </w:rPr>
        <w:t xml:space="preserve">homme est un axe </w:t>
      </w:r>
      <w:r w:rsidRPr="006509EF">
        <w:rPr>
          <w:rFonts w:eastAsia="Calibri"/>
          <w:noProof/>
          <w:lang w:val="fr-FR"/>
        </w:rPr>
        <w:t xml:space="preserve">transversal </w:t>
      </w:r>
      <w:r>
        <w:rPr>
          <w:rFonts w:eastAsia="Calibri"/>
          <w:noProof/>
          <w:lang w:val="fr-FR"/>
        </w:rPr>
        <w:t>de la formation initiale comme de la spécialisation</w:t>
      </w:r>
      <w:r w:rsidRPr="006509EF">
        <w:rPr>
          <w:rFonts w:eastAsia="Calibri"/>
          <w:noProof/>
          <w:lang w:val="fr-FR"/>
        </w:rPr>
        <w:t xml:space="preserve">. </w:t>
      </w:r>
      <w:r>
        <w:rPr>
          <w:rFonts w:eastAsia="Calibri"/>
          <w:noProof/>
          <w:lang w:val="fr-FR"/>
        </w:rPr>
        <w:t>Le programme relatif aux droits de l</w:t>
      </w:r>
      <w:r w:rsidR="00607CA3">
        <w:rPr>
          <w:rFonts w:eastAsia="Calibri"/>
          <w:noProof/>
          <w:lang w:val="fr-FR"/>
        </w:rPr>
        <w:t>’</w:t>
      </w:r>
      <w:r>
        <w:rPr>
          <w:rFonts w:eastAsia="Calibri"/>
          <w:noProof/>
          <w:lang w:val="fr-FR"/>
        </w:rPr>
        <w:t>homme suivi par l</w:t>
      </w:r>
      <w:r w:rsidR="00607CA3">
        <w:rPr>
          <w:rFonts w:eastAsia="Calibri"/>
          <w:noProof/>
          <w:lang w:val="fr-FR"/>
        </w:rPr>
        <w:t>’</w:t>
      </w:r>
      <w:r>
        <w:rPr>
          <w:rFonts w:eastAsia="Calibri"/>
          <w:noProof/>
          <w:lang w:val="fr-FR"/>
        </w:rPr>
        <w:t>ensemble du personnel aborde spécifiquement les principes, procédures et attitudes liés à la prévention, à l</w:t>
      </w:r>
      <w:r w:rsidR="00607CA3">
        <w:rPr>
          <w:rFonts w:eastAsia="Calibri"/>
          <w:noProof/>
          <w:lang w:val="fr-FR"/>
        </w:rPr>
        <w:t>’</w:t>
      </w:r>
      <w:r>
        <w:rPr>
          <w:rFonts w:eastAsia="Calibri"/>
          <w:noProof/>
          <w:lang w:val="fr-FR"/>
        </w:rPr>
        <w:t xml:space="preserve">investigation et à la répression des actes de torture et de traitement cruels, inhumains ou </w:t>
      </w:r>
      <w:r>
        <w:rPr>
          <w:rFonts w:eastAsia="Calibri"/>
          <w:noProof/>
          <w:lang w:val="fr-FR"/>
        </w:rPr>
        <w:lastRenderedPageBreak/>
        <w:t>dégradants</w:t>
      </w:r>
      <w:r w:rsidRPr="006509EF">
        <w:rPr>
          <w:rFonts w:eastAsia="Calibri"/>
          <w:noProof/>
          <w:lang w:val="fr-FR"/>
        </w:rPr>
        <w:t xml:space="preserve">. </w:t>
      </w:r>
      <w:r>
        <w:rPr>
          <w:rFonts w:eastAsia="Calibri"/>
          <w:noProof/>
          <w:lang w:val="fr-FR"/>
        </w:rPr>
        <w:t>Depuis sa création, le Centre de formation pénitentiaire</w:t>
      </w:r>
      <w:r w:rsidRPr="006509EF">
        <w:rPr>
          <w:rFonts w:eastAsia="Calibri"/>
          <w:noProof/>
          <w:lang w:val="fr-FR"/>
        </w:rPr>
        <w:t xml:space="preserve"> </w:t>
      </w:r>
      <w:r>
        <w:rPr>
          <w:rFonts w:eastAsia="Calibri"/>
          <w:noProof/>
          <w:lang w:val="fr-FR"/>
        </w:rPr>
        <w:t>élabore des politiques de formation</w:t>
      </w:r>
      <w:r w:rsidRPr="006509EF">
        <w:rPr>
          <w:rFonts w:eastAsia="Calibri"/>
          <w:noProof/>
          <w:lang w:val="fr-FR"/>
        </w:rPr>
        <w:t xml:space="preserve"> </w:t>
      </w:r>
      <w:r>
        <w:rPr>
          <w:rFonts w:eastAsia="Calibri"/>
          <w:noProof/>
          <w:lang w:val="fr-FR"/>
        </w:rPr>
        <w:t>qui incorporent des sujets consacrés et liés aux droits de l</w:t>
      </w:r>
      <w:r w:rsidR="00607CA3">
        <w:rPr>
          <w:rFonts w:eastAsia="Calibri"/>
          <w:noProof/>
          <w:lang w:val="fr-FR"/>
        </w:rPr>
        <w:t>’</w:t>
      </w:r>
      <w:r>
        <w:rPr>
          <w:rFonts w:eastAsia="Calibri"/>
          <w:noProof/>
          <w:lang w:val="fr-FR"/>
        </w:rPr>
        <w:t>homme et à l</w:t>
      </w:r>
      <w:r w:rsidR="00607CA3">
        <w:rPr>
          <w:rFonts w:eastAsia="Calibri"/>
          <w:noProof/>
          <w:lang w:val="fr-FR"/>
        </w:rPr>
        <w:t>’</w:t>
      </w:r>
      <w:r>
        <w:rPr>
          <w:rFonts w:eastAsia="Calibri"/>
          <w:noProof/>
          <w:lang w:val="fr-FR"/>
        </w:rPr>
        <w:t>interdiction de la torture dans les fondements pédagogiques, théoriques et méthologiques et les contenus de la formation, ce sur les plans juridique, déontologique et social</w:t>
      </w:r>
      <w:r w:rsidRPr="006509EF">
        <w:rPr>
          <w:rFonts w:eastAsia="Calibri"/>
          <w:noProof/>
          <w:lang w:val="fr-FR"/>
        </w:rPr>
        <w:t xml:space="preserve">. </w:t>
      </w:r>
      <w:r>
        <w:rPr>
          <w:rFonts w:eastAsia="Calibri"/>
          <w:noProof/>
          <w:lang w:val="fr-FR"/>
        </w:rPr>
        <w:t>Les sujets en question traitent des droits de l</w:t>
      </w:r>
      <w:r w:rsidR="00607CA3">
        <w:rPr>
          <w:rFonts w:eastAsia="Calibri"/>
          <w:noProof/>
          <w:lang w:val="fr-FR"/>
        </w:rPr>
        <w:t>’</w:t>
      </w:r>
      <w:r>
        <w:rPr>
          <w:rFonts w:eastAsia="Calibri"/>
          <w:noProof/>
          <w:lang w:val="fr-FR"/>
        </w:rPr>
        <w:t>homme, des garanties que tout fonctionnaire doit promouvoir et assurer en permanence, ainsi que des sanctions dont sont passibles ceux d</w:t>
      </w:r>
      <w:r w:rsidR="00607CA3">
        <w:rPr>
          <w:rFonts w:eastAsia="Calibri"/>
          <w:noProof/>
          <w:lang w:val="fr-FR"/>
        </w:rPr>
        <w:t>’</w:t>
      </w:r>
      <w:r>
        <w:rPr>
          <w:rFonts w:eastAsia="Calibri"/>
          <w:noProof/>
          <w:lang w:val="fr-FR"/>
        </w:rPr>
        <w:t>entre eux qui ne respectent pas ces droits et n</w:t>
      </w:r>
      <w:r w:rsidR="00607CA3">
        <w:rPr>
          <w:rFonts w:eastAsia="Calibri"/>
          <w:noProof/>
          <w:lang w:val="fr-FR"/>
        </w:rPr>
        <w:t>’</w:t>
      </w:r>
      <w:r>
        <w:rPr>
          <w:rFonts w:eastAsia="Calibri"/>
          <w:noProof/>
          <w:lang w:val="fr-FR"/>
        </w:rPr>
        <w:t>assurent pas ces garanties</w:t>
      </w:r>
      <w:r w:rsidRPr="006509EF">
        <w:rPr>
          <w:rFonts w:eastAsia="Calibri"/>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t>92.</w:t>
      </w:r>
      <w:r w:rsidRPr="006509EF">
        <w:rPr>
          <w:rFonts w:eastAsia="Calibri"/>
          <w:noProof/>
          <w:lang w:val="fr-FR"/>
        </w:rPr>
        <w:tab/>
      </w:r>
      <w:r>
        <w:rPr>
          <w:rFonts w:eastAsia="Calibri"/>
          <w:noProof/>
          <w:lang w:val="fr-FR"/>
        </w:rPr>
        <w:t>À cet égard, un nouveau programme propose une formation complète qui s</w:t>
      </w:r>
      <w:r w:rsidR="00607CA3">
        <w:rPr>
          <w:rFonts w:eastAsia="Calibri"/>
          <w:noProof/>
          <w:lang w:val="fr-FR"/>
        </w:rPr>
        <w:t>’</w:t>
      </w:r>
      <w:r>
        <w:rPr>
          <w:rFonts w:eastAsia="Calibri"/>
          <w:noProof/>
          <w:lang w:val="fr-FR"/>
        </w:rPr>
        <w:t>adresse au personnel civil spécialisé des centres de détention</w:t>
      </w:r>
      <w:r w:rsidRPr="006509EF">
        <w:rPr>
          <w:rFonts w:eastAsia="Calibri"/>
          <w:noProof/>
          <w:lang w:val="fr-FR"/>
        </w:rPr>
        <w:t xml:space="preserve">. </w:t>
      </w:r>
      <w:r>
        <w:rPr>
          <w:rFonts w:eastAsia="Calibri"/>
          <w:noProof/>
          <w:lang w:val="fr-FR"/>
        </w:rPr>
        <w:t>Cette formation porte notamment sur le traitement, l</w:t>
      </w:r>
      <w:r w:rsidRPr="006509EF">
        <w:rPr>
          <w:rFonts w:eastAsia="Calibri"/>
          <w:noProof/>
          <w:lang w:val="fr-FR"/>
        </w:rPr>
        <w:t xml:space="preserve">a </w:t>
      </w:r>
      <w:r>
        <w:rPr>
          <w:rFonts w:eastAsia="Calibri"/>
          <w:noProof/>
          <w:lang w:val="fr-FR"/>
        </w:rPr>
        <w:t>sécurité, l</w:t>
      </w:r>
      <w:r w:rsidR="00607CA3">
        <w:rPr>
          <w:rFonts w:eastAsia="Calibri"/>
          <w:noProof/>
          <w:lang w:val="fr-FR"/>
        </w:rPr>
        <w:t>’</w:t>
      </w:r>
      <w:r>
        <w:rPr>
          <w:rFonts w:eastAsia="Calibri"/>
          <w:noProof/>
          <w:lang w:val="fr-FR"/>
        </w:rPr>
        <w:t>administration et la gestion</w:t>
      </w:r>
      <w:r w:rsidRPr="006509EF">
        <w:rPr>
          <w:rFonts w:eastAsia="Calibri"/>
          <w:noProof/>
          <w:lang w:val="fr-FR"/>
        </w:rPr>
        <w:t xml:space="preserve">, </w:t>
      </w:r>
      <w:r>
        <w:rPr>
          <w:rFonts w:eastAsia="Calibri"/>
          <w:noProof/>
          <w:lang w:val="fr-FR"/>
        </w:rPr>
        <w:t>les questions de genre</w:t>
      </w:r>
      <w:r w:rsidRPr="006509EF">
        <w:rPr>
          <w:rFonts w:eastAsia="Calibri"/>
          <w:noProof/>
          <w:lang w:val="fr-FR"/>
        </w:rPr>
        <w:t xml:space="preserve">, </w:t>
      </w:r>
      <w:r>
        <w:rPr>
          <w:rFonts w:eastAsia="Calibri"/>
          <w:noProof/>
          <w:lang w:val="fr-FR"/>
        </w:rPr>
        <w:t>les droits de l</w:t>
      </w:r>
      <w:r w:rsidR="00607CA3">
        <w:rPr>
          <w:rFonts w:eastAsia="Calibri"/>
          <w:noProof/>
          <w:lang w:val="fr-FR"/>
        </w:rPr>
        <w:t>’</w:t>
      </w:r>
      <w:r>
        <w:rPr>
          <w:rFonts w:eastAsia="Calibri"/>
          <w:noProof/>
          <w:lang w:val="fr-FR"/>
        </w:rPr>
        <w:t>homme, l</w:t>
      </w:r>
      <w:r w:rsidR="00607CA3">
        <w:rPr>
          <w:rFonts w:eastAsia="Calibri"/>
          <w:noProof/>
          <w:lang w:val="fr-FR"/>
        </w:rPr>
        <w:t>’</w:t>
      </w:r>
      <w:r>
        <w:rPr>
          <w:rFonts w:eastAsia="Calibri"/>
          <w:noProof/>
          <w:lang w:val="fr-FR"/>
        </w:rPr>
        <w:t>i</w:t>
      </w:r>
      <w:r w:rsidRPr="006509EF">
        <w:rPr>
          <w:rFonts w:eastAsia="Calibri"/>
          <w:noProof/>
          <w:lang w:val="fr-FR"/>
        </w:rPr>
        <w:t>nform</w:t>
      </w:r>
      <w:r>
        <w:rPr>
          <w:rFonts w:eastAsia="Calibri"/>
          <w:noProof/>
          <w:lang w:val="fr-FR"/>
        </w:rPr>
        <w:t>atique</w:t>
      </w:r>
      <w:r w:rsidRPr="006509EF">
        <w:rPr>
          <w:rFonts w:eastAsia="Calibri"/>
          <w:noProof/>
          <w:lang w:val="fr-FR"/>
        </w:rPr>
        <w:t xml:space="preserve">, </w:t>
      </w:r>
      <w:r>
        <w:rPr>
          <w:rFonts w:eastAsia="Calibri"/>
          <w:noProof/>
          <w:lang w:val="fr-FR"/>
        </w:rPr>
        <w:t>la prévention de la maladie et l</w:t>
      </w:r>
      <w:r w:rsidR="00607CA3">
        <w:rPr>
          <w:rFonts w:eastAsia="Calibri"/>
          <w:noProof/>
          <w:lang w:val="fr-FR"/>
        </w:rPr>
        <w:t>’</w:t>
      </w:r>
      <w:r>
        <w:rPr>
          <w:rFonts w:eastAsia="Calibri"/>
          <w:noProof/>
          <w:lang w:val="fr-FR"/>
        </w:rPr>
        <w:t>éducation physique</w:t>
      </w:r>
      <w:r w:rsidRPr="006509EF">
        <w:rPr>
          <w:rFonts w:eastAsia="Calibri"/>
          <w:noProof/>
          <w:lang w:val="fr-FR"/>
        </w:rPr>
        <w:t xml:space="preserve">. </w:t>
      </w:r>
      <w:r w:rsidRPr="006509EF">
        <w:rPr>
          <w:rFonts w:eastAsia="Calibri"/>
          <w:noProof/>
          <w:kern w:val="1"/>
          <w:lang w:val="fr-FR"/>
        </w:rPr>
        <w:t>En a</w:t>
      </w:r>
      <w:r>
        <w:rPr>
          <w:rFonts w:eastAsia="Calibri"/>
          <w:noProof/>
          <w:kern w:val="1"/>
          <w:lang w:val="fr-FR"/>
        </w:rPr>
        <w:t xml:space="preserve">oût </w:t>
      </w:r>
      <w:r w:rsidRPr="006509EF">
        <w:rPr>
          <w:rFonts w:eastAsia="Calibri"/>
          <w:noProof/>
          <w:kern w:val="1"/>
          <w:lang w:val="fr-FR"/>
        </w:rPr>
        <w:t>2017</w:t>
      </w:r>
      <w:r>
        <w:rPr>
          <w:rFonts w:eastAsia="Calibri"/>
          <w:noProof/>
          <w:kern w:val="1"/>
          <w:lang w:val="fr-FR"/>
        </w:rPr>
        <w:t xml:space="preserve">, </w:t>
      </w:r>
      <w:r w:rsidRPr="006509EF">
        <w:rPr>
          <w:rFonts w:eastAsia="Calibri"/>
          <w:noProof/>
          <w:kern w:val="1"/>
          <w:lang w:val="fr-FR"/>
        </w:rPr>
        <w:t xml:space="preserve">93 </w:t>
      </w:r>
      <w:r>
        <w:rPr>
          <w:rFonts w:eastAsia="Calibri"/>
          <w:noProof/>
          <w:kern w:val="1"/>
          <w:lang w:val="fr-FR"/>
        </w:rPr>
        <w:t>agents pénitentiaires ont suivi cette formation avec succès et 223 autres suivent la même formation</w:t>
      </w:r>
      <w:r w:rsidRPr="006509EF">
        <w:rPr>
          <w:rFonts w:eastAsia="Calibri"/>
          <w:noProof/>
          <w:kern w:val="1"/>
          <w:lang w:val="fr-FR"/>
        </w:rPr>
        <w:t xml:space="preserve">. </w:t>
      </w:r>
      <w:r>
        <w:rPr>
          <w:rFonts w:eastAsia="Calibri"/>
          <w:noProof/>
          <w:kern w:val="1"/>
          <w:lang w:val="fr-FR"/>
        </w:rPr>
        <w:t xml:space="preserve">Dans le cadre du renforcement institutionnel, on organise depuis août </w:t>
      </w:r>
      <w:r w:rsidRPr="006509EF">
        <w:rPr>
          <w:rFonts w:eastAsia="Calibri"/>
          <w:noProof/>
          <w:kern w:val="1"/>
          <w:lang w:val="fr-FR"/>
        </w:rPr>
        <w:t xml:space="preserve">2015 </w:t>
      </w:r>
      <w:r>
        <w:rPr>
          <w:rFonts w:eastAsia="Calibri"/>
          <w:noProof/>
          <w:kern w:val="1"/>
          <w:lang w:val="fr-FR"/>
        </w:rPr>
        <w:t>des ateliers de psychodrame à l</w:t>
      </w:r>
      <w:r w:rsidR="00607CA3">
        <w:rPr>
          <w:rFonts w:eastAsia="Calibri"/>
          <w:noProof/>
          <w:kern w:val="1"/>
          <w:lang w:val="fr-FR"/>
        </w:rPr>
        <w:t>’</w:t>
      </w:r>
      <w:r>
        <w:rPr>
          <w:rFonts w:eastAsia="Calibri"/>
          <w:noProof/>
          <w:kern w:val="1"/>
          <w:lang w:val="fr-FR"/>
        </w:rPr>
        <w:t>intention des agents et des gardiens</w:t>
      </w:r>
      <w:r w:rsidRPr="006509EF">
        <w:rPr>
          <w:rFonts w:eastAsia="Calibri"/>
          <w:noProof/>
          <w:kern w:val="1"/>
          <w:lang w:val="fr-FR"/>
        </w:rPr>
        <w:t xml:space="preserve">. </w:t>
      </w:r>
      <w:r>
        <w:rPr>
          <w:rFonts w:eastAsia="Calibri"/>
          <w:noProof/>
          <w:kern w:val="1"/>
          <w:lang w:val="fr-FR"/>
        </w:rPr>
        <w:t>Cette formation a été élargie à l</w:t>
      </w:r>
      <w:r w:rsidR="00607CA3">
        <w:rPr>
          <w:rFonts w:eastAsia="Calibri"/>
          <w:noProof/>
          <w:kern w:val="1"/>
          <w:lang w:val="fr-FR"/>
        </w:rPr>
        <w:t>’</w:t>
      </w:r>
      <w:r>
        <w:rPr>
          <w:rFonts w:eastAsia="Calibri"/>
          <w:noProof/>
          <w:kern w:val="1"/>
          <w:lang w:val="fr-FR"/>
        </w:rPr>
        <w:t>École nationale de la police et de la garde républicaine, ce qui est une première en Amérique latine. Cet outil vise à motiver les fonctionnaires, à les aider à trouver leur vocation, à renforcer leur identité professionnelle et</w:t>
      </w:r>
      <w:r w:rsidRPr="006509EF">
        <w:rPr>
          <w:rFonts w:eastAsia="Calibri"/>
          <w:noProof/>
          <w:kern w:val="1"/>
          <w:lang w:val="fr-FR"/>
        </w:rPr>
        <w:t xml:space="preserve"> </w:t>
      </w:r>
      <w:r>
        <w:rPr>
          <w:rFonts w:eastAsia="Calibri"/>
          <w:noProof/>
          <w:kern w:val="1"/>
          <w:lang w:val="fr-FR"/>
        </w:rPr>
        <w:t>à améliorer les liens professionnels</w:t>
      </w:r>
      <w:r w:rsidRPr="006509EF">
        <w:rPr>
          <w:rFonts w:eastAsia="Calibri"/>
          <w:noProof/>
          <w:kern w:val="1"/>
          <w:lang w:val="fr-FR"/>
        </w:rPr>
        <w:t xml:space="preserve">, </w:t>
      </w:r>
      <w:r>
        <w:rPr>
          <w:rFonts w:eastAsia="Calibri"/>
          <w:noProof/>
          <w:kern w:val="1"/>
          <w:lang w:val="fr-FR"/>
        </w:rPr>
        <w:t>le travail collectif et le sentiment d</w:t>
      </w:r>
      <w:r w:rsidR="00607CA3">
        <w:rPr>
          <w:rFonts w:eastAsia="Calibri"/>
          <w:noProof/>
          <w:kern w:val="1"/>
          <w:lang w:val="fr-FR"/>
        </w:rPr>
        <w:t>’</w:t>
      </w:r>
      <w:r>
        <w:rPr>
          <w:rFonts w:eastAsia="Calibri"/>
          <w:noProof/>
          <w:kern w:val="1"/>
          <w:lang w:val="fr-FR"/>
        </w:rPr>
        <w:t>appartenance au système pénitentiaire national</w:t>
      </w:r>
      <w:r w:rsidRPr="006509EF">
        <w:rPr>
          <w:rFonts w:eastAsia="Calibri"/>
          <w:noProof/>
          <w:kern w:val="1"/>
          <w:lang w:val="fr-FR"/>
        </w:rPr>
        <w:t>.</w:t>
      </w:r>
    </w:p>
    <w:p w:rsidR="00596826" w:rsidRPr="006509EF" w:rsidRDefault="00596826" w:rsidP="00596826">
      <w:pPr>
        <w:pStyle w:val="SingleTxtG"/>
        <w:rPr>
          <w:rFonts w:eastAsia="Calibri"/>
          <w:noProof/>
          <w:lang w:val="fr-FR"/>
        </w:rPr>
      </w:pPr>
      <w:r w:rsidRPr="006509EF">
        <w:rPr>
          <w:rFonts w:eastAsia="Calibri"/>
          <w:noProof/>
          <w:lang w:val="fr-FR"/>
        </w:rPr>
        <w:t>93.</w:t>
      </w:r>
      <w:r w:rsidRPr="006509EF">
        <w:rPr>
          <w:rFonts w:eastAsia="Calibri"/>
          <w:noProof/>
          <w:lang w:val="fr-FR"/>
        </w:rPr>
        <w:tab/>
      </w:r>
      <w:r>
        <w:rPr>
          <w:rFonts w:eastAsia="Calibri"/>
          <w:noProof/>
          <w:lang w:val="fr-FR"/>
        </w:rPr>
        <w:t>Le programme d</w:t>
      </w:r>
      <w:r w:rsidR="00607CA3">
        <w:rPr>
          <w:rFonts w:eastAsia="Calibri"/>
          <w:noProof/>
          <w:lang w:val="fr-FR"/>
        </w:rPr>
        <w:t>’</w:t>
      </w:r>
      <w:r>
        <w:rPr>
          <w:rFonts w:eastAsia="Calibri"/>
          <w:noProof/>
          <w:lang w:val="fr-FR"/>
        </w:rPr>
        <w:t>études du système de formation de la police fait une place à la formation aux droits de l</w:t>
      </w:r>
      <w:r w:rsidR="00607CA3">
        <w:rPr>
          <w:rFonts w:eastAsia="Calibri"/>
          <w:noProof/>
          <w:lang w:val="fr-FR"/>
        </w:rPr>
        <w:t>’</w:t>
      </w:r>
      <w:r>
        <w:rPr>
          <w:rFonts w:eastAsia="Calibri"/>
          <w:noProof/>
          <w:lang w:val="fr-FR"/>
        </w:rPr>
        <w:t>homme</w:t>
      </w:r>
      <w:r w:rsidRPr="006509EF">
        <w:rPr>
          <w:rFonts w:eastAsia="Calibri"/>
          <w:noProof/>
          <w:lang w:val="fr-FR"/>
        </w:rPr>
        <w:t xml:space="preserve">. </w:t>
      </w:r>
      <w:r>
        <w:rPr>
          <w:rFonts w:eastAsia="Calibri"/>
          <w:noProof/>
          <w:lang w:val="fr-FR"/>
        </w:rPr>
        <w:t>Par ailleurs, il est l</w:t>
      </w:r>
      <w:r w:rsidR="00607CA3">
        <w:rPr>
          <w:rFonts w:eastAsia="Calibri"/>
          <w:noProof/>
          <w:lang w:val="fr-FR"/>
        </w:rPr>
        <w:t>’</w:t>
      </w:r>
      <w:r>
        <w:rPr>
          <w:rFonts w:eastAsia="Calibri"/>
          <w:noProof/>
          <w:lang w:val="fr-FR"/>
        </w:rPr>
        <w:t>occasion de traiter différents sujets, tels que le service des opérations de la police</w:t>
      </w:r>
      <w:r w:rsidR="00691AD9">
        <w:rPr>
          <w:rFonts w:eastAsia="Calibri"/>
          <w:noProof/>
          <w:lang w:val="fr-FR"/>
        </w:rPr>
        <w:t> </w:t>
      </w:r>
      <w:r w:rsidRPr="006509EF">
        <w:rPr>
          <w:rFonts w:eastAsia="Calibri"/>
          <w:noProof/>
          <w:lang w:val="fr-FR"/>
        </w:rPr>
        <w:t xml:space="preserve">; </w:t>
      </w:r>
      <w:r>
        <w:rPr>
          <w:rFonts w:eastAsia="Calibri"/>
          <w:noProof/>
          <w:lang w:val="fr-FR"/>
        </w:rPr>
        <w:t>les techniques d</w:t>
      </w:r>
      <w:r w:rsidR="00607CA3">
        <w:rPr>
          <w:rFonts w:eastAsia="Calibri"/>
          <w:noProof/>
          <w:lang w:val="fr-FR"/>
        </w:rPr>
        <w:t>’</w:t>
      </w:r>
      <w:r>
        <w:rPr>
          <w:rFonts w:eastAsia="Calibri"/>
          <w:noProof/>
          <w:lang w:val="fr-FR"/>
        </w:rPr>
        <w:t>entraînement des policiers au maniement des armes</w:t>
      </w:r>
      <w:r w:rsidR="00691AD9">
        <w:rPr>
          <w:rFonts w:eastAsia="Calibri"/>
          <w:noProof/>
          <w:lang w:val="fr-FR"/>
        </w:rPr>
        <w:t> </w:t>
      </w:r>
      <w:r w:rsidRPr="006509EF">
        <w:rPr>
          <w:rFonts w:eastAsia="Calibri"/>
          <w:noProof/>
          <w:lang w:val="fr-FR"/>
        </w:rPr>
        <w:t xml:space="preserve">; </w:t>
      </w:r>
      <w:r>
        <w:rPr>
          <w:rFonts w:eastAsia="Calibri"/>
          <w:noProof/>
          <w:lang w:val="fr-FR"/>
        </w:rPr>
        <w:t>et l</w:t>
      </w:r>
      <w:r w:rsidR="00607CA3">
        <w:rPr>
          <w:rFonts w:eastAsia="Calibri"/>
          <w:noProof/>
          <w:lang w:val="fr-FR"/>
        </w:rPr>
        <w:t>’</w:t>
      </w:r>
      <w:r>
        <w:rPr>
          <w:rFonts w:eastAsia="Calibri"/>
          <w:noProof/>
          <w:lang w:val="fr-FR"/>
        </w:rPr>
        <w:t>autodéfense</w:t>
      </w:r>
      <w:r w:rsidRPr="006509EF">
        <w:rPr>
          <w:rFonts w:eastAsia="Calibri"/>
          <w:noProof/>
          <w:lang w:val="fr-FR"/>
        </w:rPr>
        <w:t xml:space="preserve">, </w:t>
      </w:r>
      <w:r>
        <w:rPr>
          <w:rFonts w:eastAsia="Calibri"/>
          <w:noProof/>
          <w:lang w:val="fr-FR"/>
        </w:rPr>
        <w:t>qui met l</w:t>
      </w:r>
      <w:r w:rsidR="00607CA3">
        <w:rPr>
          <w:rFonts w:eastAsia="Calibri"/>
          <w:noProof/>
          <w:lang w:val="fr-FR"/>
        </w:rPr>
        <w:t>’</w:t>
      </w:r>
      <w:r>
        <w:rPr>
          <w:rFonts w:eastAsia="Calibri"/>
          <w:noProof/>
          <w:lang w:val="fr-FR"/>
        </w:rPr>
        <w:t>accent sur l</w:t>
      </w:r>
      <w:r w:rsidR="00607CA3">
        <w:rPr>
          <w:rFonts w:eastAsia="Calibri"/>
          <w:noProof/>
          <w:lang w:val="fr-FR"/>
        </w:rPr>
        <w:t>’</w:t>
      </w:r>
      <w:r>
        <w:rPr>
          <w:rFonts w:eastAsia="Calibri"/>
          <w:noProof/>
          <w:lang w:val="fr-FR"/>
        </w:rPr>
        <w:t>utilisation rationnelle, proportionnée et progressive de la force</w:t>
      </w:r>
      <w:r w:rsidRPr="006509EF">
        <w:rPr>
          <w:rFonts w:eastAsia="Calibri"/>
          <w:noProof/>
          <w:lang w:val="fr-FR"/>
        </w:rPr>
        <w:t xml:space="preserve">. </w:t>
      </w:r>
      <w:r>
        <w:rPr>
          <w:rFonts w:eastAsia="Calibri"/>
          <w:noProof/>
          <w:lang w:val="fr-FR"/>
        </w:rPr>
        <w:t xml:space="preserve">La </w:t>
      </w:r>
      <w:r w:rsidRPr="006509EF">
        <w:rPr>
          <w:rFonts w:eastAsia="Calibri"/>
          <w:noProof/>
          <w:lang w:val="fr-FR"/>
        </w:rPr>
        <w:t>Direc</w:t>
      </w:r>
      <w:r>
        <w:rPr>
          <w:rFonts w:eastAsia="Calibri"/>
          <w:noProof/>
          <w:lang w:val="fr-FR"/>
        </w:rPr>
        <w:t>tion nationale de la formation de la police interdit en son sein tous types de traitements attentatoires à la dignité humaine et contraires au respect des relations interpersonnelles et aux directives éducatives</w:t>
      </w:r>
      <w:r w:rsidRPr="006509EF">
        <w:rPr>
          <w:rFonts w:eastAsia="Calibri"/>
          <w:noProof/>
          <w:lang w:val="fr-FR"/>
        </w:rPr>
        <w:t>,</w:t>
      </w:r>
      <w:r>
        <w:rPr>
          <w:rFonts w:eastAsia="Calibri"/>
          <w:noProof/>
          <w:lang w:val="fr-FR"/>
        </w:rPr>
        <w:t xml:space="preserve"> ainsi que l</w:t>
      </w:r>
      <w:r w:rsidR="00607CA3">
        <w:rPr>
          <w:rFonts w:eastAsia="Calibri"/>
          <w:noProof/>
          <w:lang w:val="fr-FR"/>
        </w:rPr>
        <w:t>’</w:t>
      </w:r>
      <w:r>
        <w:rPr>
          <w:rFonts w:eastAsia="Calibri"/>
          <w:noProof/>
          <w:lang w:val="fr-FR"/>
        </w:rPr>
        <w:t xml:space="preserve">emploi de termes désobligeants ou les pratiques </w:t>
      </w:r>
      <w:r w:rsidRPr="006509EF">
        <w:rPr>
          <w:rFonts w:eastAsia="Calibri"/>
          <w:noProof/>
          <w:lang w:val="fr-FR"/>
        </w:rPr>
        <w:t>stigmati</w:t>
      </w:r>
      <w:r>
        <w:rPr>
          <w:rFonts w:eastAsia="Calibri"/>
          <w:noProof/>
          <w:lang w:val="fr-FR"/>
        </w:rPr>
        <w:t>s</w:t>
      </w:r>
      <w:r w:rsidRPr="006509EF">
        <w:rPr>
          <w:rFonts w:eastAsia="Calibri"/>
          <w:noProof/>
          <w:lang w:val="fr-FR"/>
        </w:rPr>
        <w:t xml:space="preserve">antes </w:t>
      </w:r>
      <w:r>
        <w:rPr>
          <w:rFonts w:eastAsia="Calibri"/>
          <w:noProof/>
          <w:lang w:val="fr-FR"/>
        </w:rPr>
        <w:t>qui affectent l</w:t>
      </w:r>
      <w:r w:rsidR="00607CA3">
        <w:rPr>
          <w:rFonts w:eastAsia="Calibri"/>
          <w:noProof/>
          <w:lang w:val="fr-FR"/>
        </w:rPr>
        <w:t>’</w:t>
      </w:r>
      <w:r>
        <w:rPr>
          <w:rFonts w:eastAsia="Calibri"/>
          <w:noProof/>
          <w:lang w:val="fr-FR"/>
        </w:rPr>
        <w:t>estime de soi et l</w:t>
      </w:r>
      <w:r w:rsidR="00607CA3">
        <w:rPr>
          <w:rFonts w:eastAsia="Calibri"/>
          <w:noProof/>
          <w:lang w:val="fr-FR"/>
        </w:rPr>
        <w:t>’</w:t>
      </w:r>
      <w:r>
        <w:rPr>
          <w:rFonts w:eastAsia="Calibri"/>
          <w:noProof/>
          <w:lang w:val="fr-FR"/>
        </w:rPr>
        <w:t>intégrité physique ou psychologique</w:t>
      </w:r>
      <w:r w:rsidRPr="006509EF">
        <w:rPr>
          <w:rFonts w:eastAsia="Calibri"/>
          <w:noProof/>
          <w:lang w:val="fr-FR"/>
        </w:rPr>
        <w:t xml:space="preserve">. </w:t>
      </w:r>
      <w:r>
        <w:rPr>
          <w:rFonts w:eastAsia="Calibri"/>
          <w:noProof/>
          <w:lang w:val="fr-FR"/>
        </w:rPr>
        <w:t>On signalera également le programme de formation organisé dans le cadre du nouveau Code de procédure pénale et destiné à sensibiliser les policiers aux aspects indiqués</w:t>
      </w:r>
      <w:r w:rsidRPr="006509EF">
        <w:rPr>
          <w:rFonts w:eastAsia="Calibri"/>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t>94.</w:t>
      </w:r>
      <w:r w:rsidRPr="006509EF">
        <w:rPr>
          <w:rFonts w:eastAsia="Calibri"/>
          <w:noProof/>
          <w:lang w:val="fr-FR"/>
        </w:rPr>
        <w:tab/>
        <w:t>P</w:t>
      </w:r>
      <w:r>
        <w:rPr>
          <w:rFonts w:eastAsia="Calibri"/>
          <w:noProof/>
          <w:lang w:val="fr-FR"/>
        </w:rPr>
        <w:t xml:space="preserve">ar ailleurs, </w:t>
      </w:r>
      <w:r w:rsidRPr="006509EF">
        <w:rPr>
          <w:rFonts w:eastAsia="Calibri"/>
          <w:noProof/>
          <w:lang w:val="fr-FR"/>
        </w:rPr>
        <w:t>en 2017</w:t>
      </w:r>
      <w:r>
        <w:rPr>
          <w:rFonts w:eastAsia="Calibri"/>
          <w:noProof/>
          <w:lang w:val="fr-FR"/>
        </w:rPr>
        <w:t>,</w:t>
      </w:r>
      <w:r w:rsidRPr="006509EF">
        <w:rPr>
          <w:rFonts w:eastAsia="Calibri"/>
          <w:noProof/>
          <w:lang w:val="fr-FR"/>
        </w:rPr>
        <w:t xml:space="preserve"> </w:t>
      </w:r>
      <w:r>
        <w:rPr>
          <w:rFonts w:eastAsia="Calibri"/>
          <w:noProof/>
          <w:lang w:val="fr-FR"/>
        </w:rPr>
        <w:t>le service du Ministère de l</w:t>
      </w:r>
      <w:r w:rsidR="00607CA3">
        <w:rPr>
          <w:rFonts w:eastAsia="Calibri"/>
          <w:noProof/>
          <w:lang w:val="fr-FR"/>
        </w:rPr>
        <w:t>’</w:t>
      </w:r>
      <w:r>
        <w:rPr>
          <w:rFonts w:eastAsia="Calibri"/>
          <w:noProof/>
          <w:lang w:val="fr-FR"/>
        </w:rPr>
        <w:t>intérieur qui s</w:t>
      </w:r>
      <w:r w:rsidR="00607CA3">
        <w:rPr>
          <w:rFonts w:eastAsia="Calibri"/>
          <w:noProof/>
          <w:lang w:val="fr-FR"/>
        </w:rPr>
        <w:t>’</w:t>
      </w:r>
      <w:r>
        <w:rPr>
          <w:rFonts w:eastAsia="Calibri"/>
          <w:noProof/>
          <w:lang w:val="fr-FR"/>
        </w:rPr>
        <w:t xml:space="preserve">occupe des questions ethnicoraciales a organisé des </w:t>
      </w:r>
      <w:r w:rsidRPr="006509EF">
        <w:rPr>
          <w:rFonts w:eastAsia="Calibri"/>
          <w:noProof/>
          <w:lang w:val="fr-FR"/>
        </w:rPr>
        <w:t>jo</w:t>
      </w:r>
      <w:r>
        <w:rPr>
          <w:rFonts w:eastAsia="Calibri"/>
          <w:noProof/>
          <w:lang w:val="fr-FR"/>
        </w:rPr>
        <w:t>u</w:t>
      </w:r>
      <w:r w:rsidRPr="006509EF">
        <w:rPr>
          <w:rFonts w:eastAsia="Calibri"/>
          <w:noProof/>
          <w:lang w:val="fr-FR"/>
        </w:rPr>
        <w:t>rn</w:t>
      </w:r>
      <w:r>
        <w:rPr>
          <w:rFonts w:eastAsia="Calibri"/>
          <w:noProof/>
          <w:lang w:val="fr-FR"/>
        </w:rPr>
        <w:t xml:space="preserve">ées </w:t>
      </w:r>
      <w:r w:rsidRPr="006509EF">
        <w:rPr>
          <w:rFonts w:eastAsia="Calibri"/>
          <w:noProof/>
          <w:lang w:val="fr-FR"/>
        </w:rPr>
        <w:t xml:space="preserve">de </w:t>
      </w:r>
      <w:r>
        <w:rPr>
          <w:rFonts w:eastAsia="Calibri"/>
          <w:noProof/>
          <w:lang w:val="fr-FR"/>
        </w:rPr>
        <w:t>la culture et de l</w:t>
      </w:r>
      <w:r w:rsidR="00607CA3">
        <w:rPr>
          <w:rFonts w:eastAsia="Calibri"/>
          <w:noProof/>
          <w:lang w:val="fr-FR"/>
        </w:rPr>
        <w:t>’</w:t>
      </w:r>
      <w:r>
        <w:rPr>
          <w:rFonts w:eastAsia="Calibri"/>
          <w:noProof/>
          <w:lang w:val="fr-FR"/>
        </w:rPr>
        <w:t>é</w:t>
      </w:r>
      <w:r w:rsidRPr="006509EF">
        <w:rPr>
          <w:rFonts w:eastAsia="Calibri"/>
          <w:noProof/>
          <w:lang w:val="fr-FR"/>
        </w:rPr>
        <w:t>duca</w:t>
      </w:r>
      <w:r>
        <w:rPr>
          <w:rFonts w:eastAsia="Calibri"/>
          <w:noProof/>
          <w:lang w:val="fr-FR"/>
        </w:rPr>
        <w:t xml:space="preserve">tion dans les centres de détention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Pr>
          <w:rFonts w:eastAsia="Calibri"/>
          <w:noProof/>
          <w:lang w:val="fr-FR"/>
        </w:rPr>
        <w:t>4</w:t>
      </w:r>
      <w:r w:rsidRPr="006509EF">
        <w:rPr>
          <w:rFonts w:eastAsia="Calibri"/>
          <w:noProof/>
          <w:lang w:val="fr-FR"/>
        </w:rPr>
        <w:t xml:space="preserve"> (Santiago Vázquez) </w:t>
      </w:r>
      <w:r>
        <w:rPr>
          <w:rFonts w:eastAsia="Calibri"/>
          <w:noProof/>
          <w:lang w:val="fr-FR"/>
        </w:rPr>
        <w:t xml:space="preserve">et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6509EF">
        <w:rPr>
          <w:rFonts w:eastAsia="Calibri"/>
          <w:noProof/>
          <w:lang w:val="fr-FR"/>
        </w:rPr>
        <w:t>6 (Punta de Rieles). En ma</w:t>
      </w:r>
      <w:r>
        <w:rPr>
          <w:rFonts w:eastAsia="Calibri"/>
          <w:noProof/>
          <w:lang w:val="fr-FR"/>
        </w:rPr>
        <w:t>i</w:t>
      </w:r>
      <w:r w:rsidRPr="006509EF">
        <w:rPr>
          <w:rFonts w:eastAsia="Calibri"/>
          <w:noProof/>
          <w:lang w:val="fr-FR"/>
        </w:rPr>
        <w:t xml:space="preserve"> 2018</w:t>
      </w:r>
      <w:r>
        <w:rPr>
          <w:rFonts w:eastAsia="Calibri"/>
          <w:noProof/>
          <w:lang w:val="fr-FR"/>
        </w:rPr>
        <w:t xml:space="preserve">, cette formation a été dispensée au centre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Pr>
          <w:rFonts w:eastAsia="Calibri"/>
          <w:noProof/>
          <w:lang w:val="fr-FR"/>
        </w:rPr>
        <w:t>1</w:t>
      </w:r>
      <w:r w:rsidR="00691AD9">
        <w:rPr>
          <w:rFonts w:eastAsia="Calibri"/>
          <w:noProof/>
          <w:lang w:val="fr-FR"/>
        </w:rPr>
        <w:t> </w:t>
      </w:r>
      <w:r>
        <w:rPr>
          <w:rFonts w:eastAsia="Calibri"/>
          <w:noProof/>
          <w:lang w:val="fr-FR"/>
        </w:rPr>
        <w:t>; elle a été la seule à s</w:t>
      </w:r>
      <w:r w:rsidR="00607CA3">
        <w:rPr>
          <w:rFonts w:eastAsia="Calibri"/>
          <w:noProof/>
          <w:lang w:val="fr-FR"/>
        </w:rPr>
        <w:t>’</w:t>
      </w:r>
      <w:r>
        <w:rPr>
          <w:rFonts w:eastAsia="Calibri"/>
          <w:noProof/>
          <w:lang w:val="fr-FR"/>
        </w:rPr>
        <w:t>adresser au secteur public aussi bien qu</w:t>
      </w:r>
      <w:r w:rsidR="00607CA3">
        <w:rPr>
          <w:rFonts w:eastAsia="Calibri"/>
          <w:noProof/>
          <w:lang w:val="fr-FR"/>
        </w:rPr>
        <w:t>’</w:t>
      </w:r>
      <w:r>
        <w:rPr>
          <w:rFonts w:eastAsia="Calibri"/>
          <w:noProof/>
          <w:lang w:val="fr-FR"/>
        </w:rPr>
        <w:t xml:space="preserve">au secteur privé </w:t>
      </w:r>
      <w:r w:rsidRPr="006509EF">
        <w:rPr>
          <w:rFonts w:eastAsia="Calibri"/>
          <w:noProof/>
          <w:lang w:val="fr-FR"/>
        </w:rPr>
        <w:t>(Punta de Rieles). En 2017</w:t>
      </w:r>
      <w:r>
        <w:rPr>
          <w:rFonts w:eastAsia="Calibri"/>
          <w:noProof/>
          <w:lang w:val="fr-FR"/>
        </w:rPr>
        <w:t>, cinq ateliers ont été organisés à l</w:t>
      </w:r>
      <w:r w:rsidR="00607CA3">
        <w:rPr>
          <w:rFonts w:eastAsia="Calibri"/>
          <w:noProof/>
          <w:lang w:val="fr-FR"/>
        </w:rPr>
        <w:t>’</w:t>
      </w:r>
      <w:r>
        <w:rPr>
          <w:rFonts w:eastAsia="Calibri"/>
          <w:noProof/>
          <w:lang w:val="fr-FR"/>
        </w:rPr>
        <w:t xml:space="preserve">intention de </w:t>
      </w:r>
      <w:r w:rsidRPr="006509EF">
        <w:rPr>
          <w:rFonts w:eastAsia="Calibri"/>
          <w:noProof/>
          <w:lang w:val="fr-FR"/>
        </w:rPr>
        <w:t>200 person</w:t>
      </w:r>
      <w:r>
        <w:rPr>
          <w:rFonts w:eastAsia="Calibri"/>
          <w:noProof/>
          <w:lang w:val="fr-FR"/>
        </w:rPr>
        <w:t>nes privées de liberté sur les thèmes suivants : les Afro-Uruguayens, les enfants et les adolescents, et la cellule familiale</w:t>
      </w:r>
      <w:r w:rsidRPr="006509EF">
        <w:rPr>
          <w:rFonts w:eastAsia="Calibri"/>
          <w:noProof/>
          <w:lang w:val="fr-FR"/>
        </w:rPr>
        <w:t xml:space="preserve"> (</w:t>
      </w:r>
      <w:r>
        <w:rPr>
          <w:rFonts w:eastAsia="Calibri"/>
          <w:noProof/>
          <w:lang w:val="fr-FR"/>
        </w:rPr>
        <w:t>avec la participation des membres de la famille</w:t>
      </w:r>
      <w:r w:rsidRPr="006509EF">
        <w:rPr>
          <w:rFonts w:eastAsia="Calibri"/>
          <w:noProof/>
          <w:lang w:val="fr-FR"/>
        </w:rPr>
        <w:t>). En coordina</w:t>
      </w:r>
      <w:r>
        <w:rPr>
          <w:rFonts w:eastAsia="Calibri"/>
          <w:noProof/>
          <w:lang w:val="fr-FR"/>
        </w:rPr>
        <w:t xml:space="preserve">tion avec le Centre de formation pénitentiaire, une formation a été dispensée à </w:t>
      </w:r>
      <w:r w:rsidRPr="006509EF">
        <w:rPr>
          <w:rFonts w:eastAsia="Calibri"/>
          <w:noProof/>
          <w:lang w:val="fr-FR"/>
        </w:rPr>
        <w:t>248 n</w:t>
      </w:r>
      <w:r>
        <w:rPr>
          <w:rFonts w:eastAsia="Calibri"/>
          <w:noProof/>
          <w:lang w:val="fr-FR"/>
        </w:rPr>
        <w:t>ouveaux agents pénitentiaires</w:t>
      </w:r>
      <w:r w:rsidRPr="006509EF">
        <w:rPr>
          <w:rFonts w:eastAsia="Calibri"/>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t>95.</w:t>
      </w:r>
      <w:r w:rsidRPr="006509EF">
        <w:rPr>
          <w:rFonts w:eastAsia="Calibri"/>
          <w:noProof/>
          <w:lang w:val="fr-FR"/>
        </w:rPr>
        <w:tab/>
      </w:r>
      <w:r>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rFonts w:eastAsia="Calibri"/>
          <w:noProof/>
          <w:lang w:val="fr-FR"/>
        </w:rPr>
        <w:t>, dont l</w:t>
      </w:r>
      <w:r w:rsidR="00607CA3">
        <w:rPr>
          <w:rFonts w:eastAsia="Calibri"/>
          <w:noProof/>
          <w:lang w:val="fr-FR"/>
        </w:rPr>
        <w:t>’</w:t>
      </w:r>
      <w:r>
        <w:rPr>
          <w:rFonts w:eastAsia="Calibri"/>
          <w:noProof/>
          <w:lang w:val="fr-FR"/>
        </w:rPr>
        <w:t>administration actuelle est en place depuis le 20</w:t>
      </w:r>
      <w:r w:rsidR="00332CC9">
        <w:rPr>
          <w:rFonts w:eastAsia="Calibri"/>
          <w:noProof/>
          <w:lang w:val="fr-FR"/>
        </w:rPr>
        <w:t> </w:t>
      </w:r>
      <w:r>
        <w:rPr>
          <w:rFonts w:eastAsia="Calibri"/>
          <w:noProof/>
          <w:lang w:val="fr-FR"/>
        </w:rPr>
        <w:t xml:space="preserve">mai </w:t>
      </w:r>
      <w:r w:rsidRPr="006509EF">
        <w:rPr>
          <w:rFonts w:eastAsia="Calibri"/>
          <w:noProof/>
          <w:lang w:val="fr-FR"/>
        </w:rPr>
        <w:t xml:space="preserve">2015, </w:t>
      </w:r>
      <w:r>
        <w:rPr>
          <w:rFonts w:eastAsia="Calibri"/>
          <w:noProof/>
          <w:lang w:val="fr-FR"/>
        </w:rPr>
        <w:t>a mis au rang de ses priorités la formation continue de l</w:t>
      </w:r>
      <w:r w:rsidR="00607CA3">
        <w:rPr>
          <w:rFonts w:eastAsia="Calibri"/>
          <w:noProof/>
          <w:lang w:val="fr-FR"/>
        </w:rPr>
        <w:t>’</w:t>
      </w:r>
      <w:r>
        <w:rPr>
          <w:rFonts w:eastAsia="Calibri"/>
          <w:noProof/>
          <w:lang w:val="fr-FR"/>
        </w:rPr>
        <w:t>ensemble du personnel aux droits de l</w:t>
      </w:r>
      <w:r w:rsidR="00607CA3">
        <w:rPr>
          <w:rFonts w:eastAsia="Calibri"/>
          <w:noProof/>
          <w:lang w:val="fr-FR"/>
        </w:rPr>
        <w:t>’</w:t>
      </w:r>
      <w:r>
        <w:rPr>
          <w:rFonts w:eastAsia="Calibri"/>
          <w:noProof/>
          <w:lang w:val="fr-FR"/>
        </w:rPr>
        <w:t>homme</w:t>
      </w:r>
      <w:r w:rsidRPr="006509EF">
        <w:rPr>
          <w:rFonts w:eastAsia="Calibri"/>
          <w:noProof/>
          <w:lang w:val="fr-FR"/>
        </w:rPr>
        <w:t xml:space="preserve">. </w:t>
      </w:r>
      <w:r>
        <w:rPr>
          <w:rFonts w:eastAsia="Calibri"/>
          <w:noProof/>
          <w:lang w:val="fr-FR"/>
        </w:rPr>
        <w:t xml:space="preserve">Le </w:t>
      </w:r>
      <w:r w:rsidRPr="006509EF">
        <w:rPr>
          <w:rFonts w:eastAsia="Calibri"/>
          <w:noProof/>
          <w:lang w:val="fr-FR"/>
        </w:rPr>
        <w:t>27</w:t>
      </w:r>
      <w:r w:rsidR="00332CC9">
        <w:rPr>
          <w:rFonts w:eastAsia="Calibri"/>
          <w:noProof/>
          <w:lang w:val="fr-FR"/>
        </w:rPr>
        <w:t> </w:t>
      </w:r>
      <w:r w:rsidRPr="006509EF">
        <w:rPr>
          <w:rFonts w:eastAsia="Calibri"/>
          <w:noProof/>
          <w:lang w:val="fr-FR"/>
        </w:rPr>
        <w:t>ma</w:t>
      </w:r>
      <w:r>
        <w:rPr>
          <w:rFonts w:eastAsia="Calibri"/>
          <w:noProof/>
          <w:lang w:val="fr-FR"/>
        </w:rPr>
        <w:t xml:space="preserve">i </w:t>
      </w:r>
      <w:r w:rsidRPr="006509EF">
        <w:rPr>
          <w:rFonts w:eastAsia="Calibri"/>
          <w:noProof/>
          <w:lang w:val="fr-FR"/>
        </w:rPr>
        <w:t xml:space="preserve">2015, </w:t>
      </w:r>
      <w:r>
        <w:rPr>
          <w:rFonts w:eastAsia="Calibri"/>
          <w:noProof/>
          <w:lang w:val="fr-FR"/>
        </w:rPr>
        <w:t>le premier cours destiné aux directeurs a été dispensé par l</w:t>
      </w:r>
      <w:r w:rsidR="00607CA3">
        <w:rPr>
          <w:rFonts w:eastAsia="Calibri"/>
          <w:noProof/>
          <w:lang w:val="fr-FR"/>
        </w:rPr>
        <w:t>’</w:t>
      </w:r>
      <w:r>
        <w:rPr>
          <w:rFonts w:eastAsia="Calibri"/>
          <w:noProof/>
          <w:lang w:val="fr-FR"/>
        </w:rPr>
        <w:t>Institution nationale des droits de l</w:t>
      </w:r>
      <w:r w:rsidR="00607CA3">
        <w:rPr>
          <w:rFonts w:eastAsia="Calibri"/>
          <w:noProof/>
          <w:lang w:val="fr-FR"/>
        </w:rPr>
        <w:t>’</w:t>
      </w:r>
      <w:r>
        <w:rPr>
          <w:rFonts w:eastAsia="Calibri"/>
          <w:noProof/>
          <w:lang w:val="fr-FR"/>
        </w:rPr>
        <w:t xml:space="preserve">homme, le </w:t>
      </w:r>
      <w:r>
        <w:rPr>
          <w:noProof/>
          <w:lang w:val="fr-FR"/>
        </w:rPr>
        <w:t>délégué parlementaire aux affaires pénitentiaires</w:t>
      </w:r>
      <w:r>
        <w:rPr>
          <w:rFonts w:eastAsia="Calibri"/>
          <w:noProof/>
          <w:lang w:val="fr-FR"/>
        </w:rPr>
        <w:t xml:space="preserve"> et la </w:t>
      </w:r>
      <w:r w:rsidR="00691AD9">
        <w:rPr>
          <w:rFonts w:eastAsia="Calibri"/>
          <w:noProof/>
          <w:lang w:val="fr-FR"/>
        </w:rPr>
        <w:t>P</w:t>
      </w:r>
      <w:r w:rsidR="00691AD9" w:rsidRPr="006509EF">
        <w:rPr>
          <w:rFonts w:eastAsia="Calibri"/>
          <w:noProof/>
          <w:lang w:val="fr-FR"/>
        </w:rPr>
        <w:t>r</w:t>
      </w:r>
      <w:r w:rsidR="00691AD9">
        <w:rPr>
          <w:rFonts w:eastAsia="Calibri"/>
          <w:noProof/>
          <w:lang w:val="fr-FR"/>
        </w:rPr>
        <w:t>é</w:t>
      </w:r>
      <w:r w:rsidR="00691AD9" w:rsidRPr="006509EF">
        <w:rPr>
          <w:rFonts w:eastAsia="Calibri"/>
          <w:noProof/>
          <w:lang w:val="fr-FR"/>
        </w:rPr>
        <w:t>sident</w:t>
      </w:r>
      <w:r w:rsidR="00691AD9">
        <w:rPr>
          <w:rFonts w:eastAsia="Calibri"/>
          <w:noProof/>
          <w:lang w:val="fr-FR"/>
        </w:rPr>
        <w:t>e</w:t>
      </w:r>
      <w:r w:rsidR="00691AD9" w:rsidRPr="006509EF">
        <w:rPr>
          <w:rFonts w:eastAsia="Calibri"/>
          <w:noProof/>
          <w:lang w:val="fr-FR"/>
        </w:rPr>
        <w:t xml:space="preserve"> </w:t>
      </w:r>
      <w:r>
        <w:rPr>
          <w:rFonts w:eastAsia="Calibri"/>
          <w:noProof/>
          <w:lang w:val="fr-FR"/>
        </w:rPr>
        <w:t>de 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sidRPr="006509EF">
        <w:rPr>
          <w:rFonts w:eastAsia="Calibri"/>
          <w:noProof/>
          <w:lang w:val="fr-FR"/>
        </w:rPr>
        <w:t>. La forma</w:t>
      </w:r>
      <w:r>
        <w:rPr>
          <w:rFonts w:eastAsia="Calibri"/>
          <w:noProof/>
          <w:lang w:val="fr-FR"/>
        </w:rPr>
        <w:t>tion a été depuis dispensée à tous les autres échelons de l</w:t>
      </w:r>
      <w:r w:rsidR="00607CA3">
        <w:rPr>
          <w:rFonts w:eastAsia="Calibri"/>
          <w:noProof/>
          <w:lang w:val="fr-FR"/>
        </w:rPr>
        <w:t>’</w:t>
      </w:r>
      <w:r w:rsidRPr="006509EF">
        <w:rPr>
          <w:rFonts w:eastAsia="Calibri"/>
          <w:noProof/>
          <w:lang w:val="fr-FR"/>
        </w:rPr>
        <w:t>administra</w:t>
      </w:r>
      <w:r>
        <w:rPr>
          <w:rFonts w:eastAsia="Calibri"/>
          <w:noProof/>
          <w:lang w:val="fr-FR"/>
        </w:rPr>
        <w:t>tion à la suite de la signature d</w:t>
      </w:r>
      <w:r w:rsidR="00607CA3">
        <w:rPr>
          <w:rFonts w:eastAsia="Calibri"/>
          <w:noProof/>
          <w:lang w:val="fr-FR"/>
        </w:rPr>
        <w:t>’</w:t>
      </w:r>
      <w:r>
        <w:rPr>
          <w:rFonts w:eastAsia="Calibri"/>
          <w:noProof/>
          <w:lang w:val="fr-FR"/>
        </w:rPr>
        <w:t>un mémorandum d</w:t>
      </w:r>
      <w:r w:rsidR="00607CA3">
        <w:rPr>
          <w:rFonts w:eastAsia="Calibri"/>
          <w:noProof/>
          <w:lang w:val="fr-FR"/>
        </w:rPr>
        <w:t>’</w:t>
      </w:r>
      <w:r>
        <w:rPr>
          <w:rFonts w:eastAsia="Calibri"/>
          <w:noProof/>
          <w:lang w:val="fr-FR"/>
        </w:rPr>
        <w:t>accord avec le Bureau de la Coordonnatrice résidente des Nations Unies, de l</w:t>
      </w:r>
      <w:r w:rsidR="00607CA3">
        <w:rPr>
          <w:rFonts w:eastAsia="Calibri"/>
          <w:noProof/>
          <w:lang w:val="fr-FR"/>
        </w:rPr>
        <w:t>’</w:t>
      </w:r>
      <w:r>
        <w:rPr>
          <w:rFonts w:eastAsia="Calibri"/>
          <w:noProof/>
          <w:lang w:val="fr-FR"/>
        </w:rPr>
        <w:t>ONUDC et de l</w:t>
      </w:r>
      <w:r w:rsidR="00607CA3">
        <w:rPr>
          <w:rFonts w:eastAsia="Calibri"/>
          <w:noProof/>
          <w:lang w:val="fr-FR"/>
        </w:rPr>
        <w:t>’</w:t>
      </w:r>
      <w:r w:rsidRPr="006509EF">
        <w:rPr>
          <w:rFonts w:eastAsia="Calibri"/>
          <w:noProof/>
          <w:lang w:val="fr-FR"/>
        </w:rPr>
        <w:t>UNICEF.</w:t>
      </w:r>
    </w:p>
    <w:p w:rsidR="00596826" w:rsidRPr="006509EF" w:rsidRDefault="00596826" w:rsidP="00596826">
      <w:pPr>
        <w:pStyle w:val="SingleTxtG"/>
        <w:rPr>
          <w:rFonts w:eastAsia="Calibri"/>
          <w:noProof/>
          <w:lang w:val="fr-FR"/>
        </w:rPr>
      </w:pPr>
      <w:r w:rsidRPr="006509EF">
        <w:rPr>
          <w:rFonts w:eastAsia="Calibri"/>
          <w:noProof/>
          <w:lang w:val="fr-FR"/>
        </w:rPr>
        <w:t>96.</w:t>
      </w:r>
      <w:r w:rsidRPr="006509EF">
        <w:rPr>
          <w:rFonts w:eastAsia="Calibri"/>
          <w:noProof/>
          <w:lang w:val="fr-FR"/>
        </w:rPr>
        <w:tab/>
      </w:r>
      <w:r>
        <w:rPr>
          <w:rFonts w:eastAsia="Calibri"/>
          <w:noProof/>
          <w:lang w:val="fr-FR"/>
        </w:rPr>
        <w:t>On a mis à jour les protocoles antérieurs à</w:t>
      </w:r>
      <w:r w:rsidRPr="006509EF">
        <w:rPr>
          <w:rFonts w:eastAsia="Calibri"/>
          <w:noProof/>
          <w:lang w:val="fr-FR"/>
        </w:rPr>
        <w:t xml:space="preserve"> 2015. </w:t>
      </w:r>
      <w:r>
        <w:rPr>
          <w:rFonts w:eastAsia="Calibri"/>
          <w:noProof/>
          <w:lang w:val="fr-FR"/>
        </w:rPr>
        <w:t>On a édité à 14 000 exemplaires les protocoles concernant :</w:t>
      </w:r>
      <w:r w:rsidRPr="006509EF">
        <w:rPr>
          <w:rFonts w:eastAsia="Calibri"/>
          <w:noProof/>
          <w:lang w:val="fr-FR"/>
        </w:rPr>
        <w:t xml:space="preserve"> 1) </w:t>
      </w:r>
      <w:r>
        <w:rPr>
          <w:rFonts w:eastAsia="Calibri"/>
          <w:noProof/>
          <w:lang w:val="fr-FR"/>
        </w:rPr>
        <w:t>les visites</w:t>
      </w:r>
      <w:r w:rsidR="00332CC9">
        <w:rPr>
          <w:rFonts w:eastAsia="Calibri"/>
          <w:noProof/>
          <w:lang w:val="fr-FR"/>
        </w:rPr>
        <w:t> ;</w:t>
      </w:r>
      <w:r w:rsidRPr="006509EF">
        <w:rPr>
          <w:rFonts w:eastAsia="Calibri"/>
          <w:noProof/>
          <w:lang w:val="fr-FR"/>
        </w:rPr>
        <w:t xml:space="preserve"> 2) </w:t>
      </w:r>
      <w:r>
        <w:rPr>
          <w:rFonts w:eastAsia="Calibri"/>
          <w:noProof/>
          <w:lang w:val="fr-FR"/>
        </w:rPr>
        <w:t xml:space="preserve">le régime </w:t>
      </w:r>
      <w:r w:rsidRPr="006509EF">
        <w:rPr>
          <w:rFonts w:eastAsia="Calibri"/>
          <w:noProof/>
          <w:lang w:val="fr-FR"/>
        </w:rPr>
        <w:t>disciplina</w:t>
      </w:r>
      <w:r>
        <w:rPr>
          <w:rFonts w:eastAsia="Calibri"/>
          <w:noProof/>
          <w:lang w:val="fr-FR"/>
        </w:rPr>
        <w:t>ire</w:t>
      </w:r>
      <w:r w:rsidR="00332CC9">
        <w:rPr>
          <w:rFonts w:eastAsia="Calibri"/>
          <w:noProof/>
          <w:lang w:val="fr-FR"/>
        </w:rPr>
        <w:t> ;</w:t>
      </w:r>
      <w:r w:rsidRPr="006509EF">
        <w:rPr>
          <w:rFonts w:eastAsia="Calibri"/>
          <w:noProof/>
          <w:lang w:val="fr-FR"/>
        </w:rPr>
        <w:t xml:space="preserve"> </w:t>
      </w:r>
      <w:r>
        <w:rPr>
          <w:rFonts w:eastAsia="Calibri"/>
          <w:noProof/>
          <w:lang w:val="fr-FR"/>
        </w:rPr>
        <w:t>et</w:t>
      </w:r>
      <w:r w:rsidRPr="006509EF">
        <w:rPr>
          <w:rFonts w:eastAsia="Calibri"/>
          <w:noProof/>
          <w:lang w:val="fr-FR"/>
        </w:rPr>
        <w:t xml:space="preserve"> 3) </w:t>
      </w:r>
      <w:r>
        <w:rPr>
          <w:rFonts w:eastAsia="Calibri"/>
          <w:noProof/>
          <w:lang w:val="fr-FR"/>
        </w:rPr>
        <w:t>les techniques de contention</w:t>
      </w:r>
      <w:r w:rsidRPr="006509EF">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évaluation de ce programme de formation continue aux droits de l</w:t>
      </w:r>
      <w:r w:rsidR="00607CA3">
        <w:rPr>
          <w:rFonts w:eastAsia="Calibri"/>
          <w:noProof/>
          <w:lang w:val="fr-FR"/>
        </w:rPr>
        <w:t>’</w:t>
      </w:r>
      <w:r>
        <w:rPr>
          <w:rFonts w:eastAsia="Calibri"/>
          <w:noProof/>
          <w:lang w:val="fr-FR"/>
        </w:rPr>
        <w:t xml:space="preserve">homme a bien montré que son efficacité, doublée de la mise à jour des protocoles susmentionnés, avait fait diminuer le nombre </w:t>
      </w:r>
      <w:r w:rsidRPr="006509EF">
        <w:rPr>
          <w:rFonts w:eastAsia="Calibri"/>
          <w:noProof/>
          <w:lang w:val="fr-FR"/>
        </w:rPr>
        <w:t>de</w:t>
      </w:r>
      <w:r>
        <w:rPr>
          <w:rFonts w:eastAsia="Calibri"/>
          <w:noProof/>
          <w:lang w:val="fr-FR"/>
        </w:rPr>
        <w:t>s plaintes déposées par des détenus contre des membres du personnel pénitentiaire pour faits de violence</w:t>
      </w:r>
      <w:r w:rsidRPr="006509EF">
        <w:rPr>
          <w:rFonts w:eastAsia="Calibri"/>
          <w:noProof/>
          <w:lang w:val="fr-FR"/>
        </w:rPr>
        <w:t xml:space="preserve">. </w:t>
      </w:r>
      <w:r>
        <w:rPr>
          <w:rFonts w:eastAsia="Calibri"/>
          <w:noProof/>
          <w:lang w:val="fr-FR"/>
        </w:rPr>
        <w:t>À quoi est venu s</w:t>
      </w:r>
      <w:r w:rsidR="00607CA3">
        <w:rPr>
          <w:rFonts w:eastAsia="Calibri"/>
          <w:noProof/>
          <w:lang w:val="fr-FR"/>
        </w:rPr>
        <w:t>’</w:t>
      </w:r>
      <w:r>
        <w:rPr>
          <w:rFonts w:eastAsia="Calibri"/>
          <w:noProof/>
          <w:lang w:val="fr-FR"/>
        </w:rPr>
        <w:t>ajouter le recours obligatoire à des dispositifs d</w:t>
      </w:r>
      <w:r w:rsidR="00607CA3">
        <w:rPr>
          <w:rFonts w:eastAsia="Calibri"/>
          <w:noProof/>
          <w:lang w:val="fr-FR"/>
        </w:rPr>
        <w:t>’</w:t>
      </w:r>
      <w:r>
        <w:rPr>
          <w:rFonts w:eastAsia="Calibri"/>
          <w:noProof/>
          <w:lang w:val="fr-FR"/>
        </w:rPr>
        <w:t>identification et la boîte à plaintes anonymes</w:t>
      </w:r>
      <w:r w:rsidRPr="006509EF">
        <w:rPr>
          <w:rFonts w:eastAsia="Calibri"/>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lastRenderedPageBreak/>
        <w:t>97.</w:t>
      </w:r>
      <w:r w:rsidRPr="006509EF">
        <w:rPr>
          <w:rFonts w:eastAsia="Calibri"/>
          <w:noProof/>
          <w:lang w:val="fr-FR"/>
        </w:rPr>
        <w:tab/>
      </w:r>
      <w:r>
        <w:rPr>
          <w:rFonts w:eastAsia="Calibri"/>
          <w:noProof/>
          <w:lang w:val="fr-FR"/>
        </w:rPr>
        <w:t>Dans le même ordre d</w:t>
      </w:r>
      <w:r w:rsidR="00607CA3">
        <w:rPr>
          <w:rFonts w:eastAsia="Calibri"/>
          <w:noProof/>
          <w:lang w:val="fr-FR"/>
        </w:rPr>
        <w:t>’</w:t>
      </w:r>
      <w:r>
        <w:rPr>
          <w:rFonts w:eastAsia="Calibri"/>
          <w:noProof/>
          <w:lang w:val="fr-FR"/>
        </w:rPr>
        <w:t>idées, on a utilisé les médias pour bien faire comprendre à toutes les personnes qui auraient connaissance de la commission d</w:t>
      </w:r>
      <w:r w:rsidR="00607CA3">
        <w:rPr>
          <w:rFonts w:eastAsia="Calibri"/>
          <w:noProof/>
          <w:lang w:val="fr-FR"/>
        </w:rPr>
        <w:t>’</w:t>
      </w:r>
      <w:r>
        <w:rPr>
          <w:rFonts w:eastAsia="Calibri"/>
          <w:noProof/>
          <w:lang w:val="fr-FR"/>
        </w:rPr>
        <w:t>un acte illicite au sein du système pénitentiaire qu</w:t>
      </w:r>
      <w:r w:rsidR="00607CA3">
        <w:rPr>
          <w:rFonts w:eastAsia="Calibri"/>
          <w:noProof/>
          <w:lang w:val="fr-FR"/>
        </w:rPr>
        <w:t>’</w:t>
      </w:r>
      <w:r>
        <w:rPr>
          <w:rFonts w:eastAsia="Calibri"/>
          <w:noProof/>
          <w:lang w:val="fr-FR"/>
        </w:rPr>
        <w:t>elles doivent se présenter sans retard au Département juridique ou demander à rencontrer le directeur du centre concerné, qui diligentera immédiatement une enquête et saisira les autorités pénales selon qu</w:t>
      </w:r>
      <w:r w:rsidR="00607CA3">
        <w:rPr>
          <w:rFonts w:eastAsia="Calibri"/>
          <w:noProof/>
          <w:lang w:val="fr-FR"/>
        </w:rPr>
        <w:t>’</w:t>
      </w:r>
      <w:r>
        <w:rPr>
          <w:rFonts w:eastAsia="Calibri"/>
          <w:noProof/>
          <w:lang w:val="fr-FR"/>
        </w:rPr>
        <w:t>il conviendra, ce qui peut l</w:t>
      </w:r>
      <w:r w:rsidR="00607CA3">
        <w:rPr>
          <w:rFonts w:eastAsia="Calibri"/>
          <w:noProof/>
          <w:lang w:val="fr-FR"/>
        </w:rPr>
        <w:t>’</w:t>
      </w:r>
      <w:r>
        <w:rPr>
          <w:rFonts w:eastAsia="Calibri"/>
          <w:noProof/>
          <w:lang w:val="fr-FR"/>
        </w:rPr>
        <w:t>amener à demander que l</w:t>
      </w:r>
      <w:r w:rsidR="00607CA3">
        <w:rPr>
          <w:rFonts w:eastAsia="Calibri"/>
          <w:noProof/>
          <w:lang w:val="fr-FR"/>
        </w:rPr>
        <w:t>’</w:t>
      </w:r>
      <w:r>
        <w:rPr>
          <w:rFonts w:eastAsia="Calibri"/>
          <w:noProof/>
          <w:lang w:val="fr-FR"/>
        </w:rPr>
        <w:t>auteur de l</w:t>
      </w:r>
      <w:r w:rsidR="00607CA3">
        <w:rPr>
          <w:rFonts w:eastAsia="Calibri"/>
          <w:noProof/>
          <w:lang w:val="fr-FR"/>
        </w:rPr>
        <w:t>’</w:t>
      </w:r>
      <w:r>
        <w:rPr>
          <w:rFonts w:eastAsia="Calibri"/>
          <w:noProof/>
          <w:lang w:val="fr-FR"/>
        </w:rPr>
        <w:t>acte en question soit relevé de ses fonctions</w:t>
      </w:r>
      <w:r w:rsidRPr="006509EF">
        <w:rPr>
          <w:rFonts w:eastAsia="Calibri"/>
          <w:noProof/>
          <w:lang w:val="fr-FR"/>
        </w:rPr>
        <w:t>.</w:t>
      </w:r>
    </w:p>
    <w:p w:rsidR="00596826" w:rsidRPr="006509EF" w:rsidRDefault="00596826" w:rsidP="00596826">
      <w:pPr>
        <w:pStyle w:val="SingleTxtG"/>
        <w:rPr>
          <w:noProof/>
          <w:lang w:val="fr-FR"/>
        </w:rPr>
      </w:pPr>
      <w:r w:rsidRPr="006509EF">
        <w:rPr>
          <w:noProof/>
          <w:lang w:val="fr-FR"/>
        </w:rPr>
        <w:t>98.</w:t>
      </w:r>
      <w:r w:rsidRPr="006509EF">
        <w:rPr>
          <w:noProof/>
          <w:lang w:val="fr-FR"/>
        </w:rPr>
        <w:tab/>
        <w:t xml:space="preserve">En </w:t>
      </w:r>
      <w:r>
        <w:rPr>
          <w:noProof/>
          <w:lang w:val="fr-FR"/>
        </w:rPr>
        <w:t>ce qui concerne l</w:t>
      </w:r>
      <w:r w:rsidR="00607CA3">
        <w:rPr>
          <w:noProof/>
          <w:lang w:val="fr-FR"/>
        </w:rPr>
        <w:t>’</w:t>
      </w:r>
      <w:r>
        <w:rPr>
          <w:noProof/>
          <w:lang w:val="fr-FR"/>
        </w:rPr>
        <w:t>appareil judiciaire et, plus particulièrement, les juges, le cours de formation initiale destiné aux a</w:t>
      </w:r>
      <w:r w:rsidRPr="006509EF">
        <w:rPr>
          <w:noProof/>
          <w:lang w:val="fr-FR"/>
        </w:rPr>
        <w:t xml:space="preserve">spirants </w:t>
      </w:r>
      <w:r>
        <w:rPr>
          <w:noProof/>
          <w:lang w:val="fr-FR"/>
        </w:rPr>
        <w:t>m</w:t>
      </w:r>
      <w:r w:rsidRPr="006509EF">
        <w:rPr>
          <w:noProof/>
          <w:lang w:val="fr-FR"/>
        </w:rPr>
        <w:t>agistra</w:t>
      </w:r>
      <w:r>
        <w:rPr>
          <w:noProof/>
          <w:lang w:val="fr-FR"/>
        </w:rPr>
        <w:t>t</w:t>
      </w:r>
      <w:r w:rsidRPr="006509EF">
        <w:rPr>
          <w:noProof/>
          <w:lang w:val="fr-FR"/>
        </w:rPr>
        <w:t xml:space="preserve">s </w:t>
      </w:r>
      <w:r>
        <w:rPr>
          <w:noProof/>
          <w:lang w:val="fr-FR"/>
        </w:rPr>
        <w:t>comprend un mo</w:t>
      </w:r>
      <w:r w:rsidRPr="006509EF">
        <w:rPr>
          <w:noProof/>
          <w:lang w:val="fr-FR"/>
        </w:rPr>
        <w:t>dul</w:t>
      </w:r>
      <w:r>
        <w:rPr>
          <w:noProof/>
          <w:lang w:val="fr-FR"/>
        </w:rPr>
        <w:t>e</w:t>
      </w:r>
      <w:r w:rsidRPr="006509EF">
        <w:rPr>
          <w:noProof/>
          <w:lang w:val="fr-FR"/>
        </w:rPr>
        <w:t xml:space="preserve"> </w:t>
      </w:r>
      <w:r>
        <w:rPr>
          <w:noProof/>
          <w:lang w:val="fr-FR"/>
        </w:rPr>
        <w:t>portant spécifiquement sur les droits de l</w:t>
      </w:r>
      <w:r w:rsidR="00607CA3">
        <w:rPr>
          <w:noProof/>
          <w:lang w:val="fr-FR"/>
        </w:rPr>
        <w:t>’</w:t>
      </w:r>
      <w:r>
        <w:rPr>
          <w:noProof/>
          <w:lang w:val="fr-FR"/>
        </w:rPr>
        <w:t>homme</w:t>
      </w:r>
      <w:r w:rsidRPr="006509EF">
        <w:rPr>
          <w:noProof/>
          <w:lang w:val="fr-FR"/>
        </w:rPr>
        <w:t xml:space="preserve">. </w:t>
      </w:r>
      <w:r>
        <w:rPr>
          <w:noProof/>
          <w:lang w:val="fr-FR"/>
        </w:rPr>
        <w:t>Le programme de formation continue et obligatoire des magistrats fait également une place aux droits de l</w:t>
      </w:r>
      <w:r w:rsidR="00607CA3">
        <w:rPr>
          <w:noProof/>
          <w:lang w:val="fr-FR"/>
        </w:rPr>
        <w:t>’</w:t>
      </w:r>
      <w:r>
        <w:rPr>
          <w:noProof/>
          <w:lang w:val="fr-FR"/>
        </w:rPr>
        <w:t>homme</w:t>
      </w:r>
      <w:r w:rsidRPr="006509EF">
        <w:rPr>
          <w:noProof/>
          <w:lang w:val="fr-FR"/>
        </w:rPr>
        <w:t xml:space="preserve">. </w:t>
      </w:r>
      <w:r>
        <w:rPr>
          <w:noProof/>
          <w:lang w:val="fr-FR"/>
        </w:rPr>
        <w:t>Ces deux programmes analysent, entre autres instruments internationaux, les instruments relatifs aux droits de l</w:t>
      </w:r>
      <w:r w:rsidR="00607CA3">
        <w:rPr>
          <w:noProof/>
          <w:lang w:val="fr-FR"/>
        </w:rPr>
        <w:t>’</w:t>
      </w:r>
      <w:r>
        <w:rPr>
          <w:noProof/>
          <w:lang w:val="fr-FR"/>
        </w:rPr>
        <w:t>homme qui portent sur la prévention de la torture</w:t>
      </w:r>
      <w:r w:rsidRPr="006509EF">
        <w:rPr>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t>99.</w:t>
      </w:r>
      <w:r w:rsidRPr="006509EF">
        <w:rPr>
          <w:rFonts w:eastAsia="Calibri"/>
          <w:noProof/>
          <w:lang w:val="fr-FR"/>
        </w:rPr>
        <w:tab/>
      </w:r>
      <w:r>
        <w:rPr>
          <w:noProof/>
          <w:lang w:val="fr-FR"/>
        </w:rPr>
        <w:t>Sous l</w:t>
      </w:r>
      <w:r w:rsidR="00607CA3">
        <w:rPr>
          <w:noProof/>
          <w:lang w:val="fr-FR"/>
        </w:rPr>
        <w:t>’</w:t>
      </w:r>
      <w:r>
        <w:rPr>
          <w:noProof/>
          <w:lang w:val="fr-FR"/>
        </w:rPr>
        <w:t>égide du Ministère de l</w:t>
      </w:r>
      <w:r w:rsidR="00607CA3">
        <w:rPr>
          <w:noProof/>
          <w:lang w:val="fr-FR"/>
        </w:rPr>
        <w:t>’</w:t>
      </w:r>
      <w:r>
        <w:rPr>
          <w:noProof/>
          <w:lang w:val="fr-FR"/>
        </w:rPr>
        <w:t>intérieur, des activités de formation du personnel ont été menées à bien depuis 2013 sur le thème de la torture et des règles médicolégales</w:t>
      </w:r>
      <w:r w:rsidRPr="006509EF">
        <w:rPr>
          <w:rFonts w:eastAsia="Calibri"/>
          <w:noProof/>
          <w:lang w:val="fr-FR"/>
        </w:rPr>
        <w:t xml:space="preserve">. </w:t>
      </w:r>
      <w:r>
        <w:rPr>
          <w:rFonts w:eastAsia="Calibri"/>
          <w:noProof/>
          <w:lang w:val="fr-FR"/>
        </w:rPr>
        <w:t>Il s</w:t>
      </w:r>
      <w:r w:rsidR="00607CA3">
        <w:rPr>
          <w:rFonts w:eastAsia="Calibri"/>
          <w:noProof/>
          <w:lang w:val="fr-FR"/>
        </w:rPr>
        <w:t>’</w:t>
      </w:r>
      <w:r>
        <w:rPr>
          <w:rFonts w:eastAsia="Calibri"/>
          <w:noProof/>
          <w:lang w:val="fr-FR"/>
        </w:rPr>
        <w:t>agit des activités suivantes :</w:t>
      </w:r>
      <w:r w:rsidR="00332CC9">
        <w:rPr>
          <w:rFonts w:eastAsia="Calibri"/>
          <w:noProof/>
          <w:lang w:val="fr-FR"/>
        </w:rPr>
        <w:t xml:space="preserve"> </w:t>
      </w:r>
      <w:r>
        <w:rPr>
          <w:rFonts w:eastAsia="Calibri"/>
          <w:noProof/>
          <w:lang w:val="fr-FR"/>
        </w:rPr>
        <w:t>« </w:t>
      </w:r>
      <w:r w:rsidRPr="006509EF">
        <w:rPr>
          <w:rFonts w:eastAsia="Calibri"/>
          <w:noProof/>
          <w:lang w:val="fr-FR"/>
        </w:rPr>
        <w:t>C</w:t>
      </w:r>
      <w:r>
        <w:rPr>
          <w:rFonts w:eastAsia="Calibri"/>
          <w:noProof/>
          <w:lang w:val="fr-FR"/>
        </w:rPr>
        <w:t>ours s</w:t>
      </w:r>
      <w:r w:rsidRPr="006509EF">
        <w:rPr>
          <w:rFonts w:eastAsia="Calibri"/>
          <w:noProof/>
          <w:lang w:val="fr-FR"/>
        </w:rPr>
        <w:t>ur</w:t>
      </w:r>
      <w:r>
        <w:rPr>
          <w:rFonts w:eastAsia="Calibri"/>
          <w:noProof/>
          <w:lang w:val="fr-FR"/>
        </w:rPr>
        <w:t xml:space="preserve"> les </w:t>
      </w:r>
      <w:r w:rsidRPr="006509EF">
        <w:rPr>
          <w:rFonts w:eastAsia="Calibri"/>
          <w:noProof/>
          <w:lang w:val="fr-FR"/>
        </w:rPr>
        <w:t>aspect</w:t>
      </w:r>
      <w:r>
        <w:rPr>
          <w:rFonts w:eastAsia="Calibri"/>
          <w:noProof/>
          <w:lang w:val="fr-FR"/>
        </w:rPr>
        <w:t>s médico</w:t>
      </w:r>
      <w:r w:rsidR="00691AD9">
        <w:rPr>
          <w:rFonts w:eastAsia="Calibri"/>
          <w:noProof/>
          <w:lang w:val="fr-FR"/>
        </w:rPr>
        <w:t>-</w:t>
      </w:r>
      <w:r w:rsidRPr="006509EF">
        <w:rPr>
          <w:rFonts w:eastAsia="Calibri"/>
          <w:noProof/>
          <w:lang w:val="fr-FR"/>
        </w:rPr>
        <w:t>l</w:t>
      </w:r>
      <w:r>
        <w:rPr>
          <w:rFonts w:eastAsia="Calibri"/>
          <w:noProof/>
          <w:lang w:val="fr-FR"/>
        </w:rPr>
        <w:t>é</w:t>
      </w:r>
      <w:r w:rsidRPr="006509EF">
        <w:rPr>
          <w:rFonts w:eastAsia="Calibri"/>
          <w:noProof/>
          <w:lang w:val="fr-FR"/>
        </w:rPr>
        <w:t>ga</w:t>
      </w:r>
      <w:r>
        <w:rPr>
          <w:rFonts w:eastAsia="Calibri"/>
          <w:noProof/>
          <w:lang w:val="fr-FR"/>
        </w:rPr>
        <w:t>ux</w:t>
      </w:r>
      <w:r w:rsidRPr="006509EF">
        <w:rPr>
          <w:rFonts w:eastAsia="Calibri"/>
          <w:noProof/>
          <w:lang w:val="fr-FR"/>
        </w:rPr>
        <w:t xml:space="preserve"> </w:t>
      </w:r>
      <w:r>
        <w:rPr>
          <w:rFonts w:eastAsia="Calibri"/>
          <w:noProof/>
          <w:lang w:val="fr-FR"/>
        </w:rPr>
        <w:t>des soins dispensés aux personnes privées de liberté »</w:t>
      </w:r>
      <w:r w:rsidRPr="006509EF">
        <w:rPr>
          <w:rFonts w:eastAsia="Calibri"/>
          <w:noProof/>
          <w:lang w:val="fr-FR"/>
        </w:rPr>
        <w:t xml:space="preserve">, </w:t>
      </w:r>
      <w:r>
        <w:rPr>
          <w:rFonts w:eastAsia="Calibri"/>
          <w:noProof/>
          <w:lang w:val="fr-FR"/>
        </w:rPr>
        <w:t xml:space="preserve">« Actualisation </w:t>
      </w:r>
      <w:r w:rsidRPr="006509EF">
        <w:rPr>
          <w:rFonts w:eastAsia="Calibri"/>
          <w:noProof/>
          <w:lang w:val="fr-FR"/>
        </w:rPr>
        <w:t>de</w:t>
      </w:r>
      <w:r>
        <w:rPr>
          <w:rFonts w:eastAsia="Calibri"/>
          <w:noProof/>
          <w:lang w:val="fr-FR"/>
        </w:rPr>
        <w:t>s</w:t>
      </w:r>
      <w:r w:rsidRPr="006509EF">
        <w:rPr>
          <w:rFonts w:eastAsia="Calibri"/>
          <w:noProof/>
          <w:lang w:val="fr-FR"/>
        </w:rPr>
        <w:t xml:space="preserve"> princip</w:t>
      </w:r>
      <w:r>
        <w:rPr>
          <w:rFonts w:eastAsia="Calibri"/>
          <w:noProof/>
          <w:lang w:val="fr-FR"/>
        </w:rPr>
        <w:t>e</w:t>
      </w:r>
      <w:r w:rsidRPr="006509EF">
        <w:rPr>
          <w:rFonts w:eastAsia="Calibri"/>
          <w:noProof/>
          <w:lang w:val="fr-FR"/>
        </w:rPr>
        <w:t>s médico</w:t>
      </w:r>
      <w:r w:rsidR="00691AD9">
        <w:rPr>
          <w:rFonts w:eastAsia="Calibri"/>
          <w:noProof/>
          <w:lang w:val="fr-FR"/>
        </w:rPr>
        <w:t>-</w:t>
      </w:r>
      <w:r>
        <w:rPr>
          <w:rFonts w:eastAsia="Calibri"/>
          <w:noProof/>
          <w:lang w:val="fr-FR"/>
        </w:rPr>
        <w:t>légaux</w:t>
      </w:r>
      <w:r w:rsidRPr="006509EF">
        <w:rPr>
          <w:rFonts w:eastAsia="Calibri"/>
          <w:noProof/>
          <w:lang w:val="fr-FR"/>
        </w:rPr>
        <w:t xml:space="preserve"> </w:t>
      </w:r>
      <w:r>
        <w:rPr>
          <w:rFonts w:eastAsia="Calibri"/>
          <w:noProof/>
          <w:lang w:val="fr-FR"/>
        </w:rPr>
        <w:t xml:space="preserve">concernant les populations </w:t>
      </w:r>
      <w:r w:rsidRPr="006509EF">
        <w:rPr>
          <w:rFonts w:eastAsia="Calibri"/>
          <w:noProof/>
          <w:lang w:val="fr-FR"/>
        </w:rPr>
        <w:t>vuln</w:t>
      </w:r>
      <w:r>
        <w:rPr>
          <w:rFonts w:eastAsia="Calibri"/>
          <w:noProof/>
          <w:lang w:val="fr-FR"/>
        </w:rPr>
        <w:t>é</w:t>
      </w:r>
      <w:r w:rsidRPr="006509EF">
        <w:rPr>
          <w:rFonts w:eastAsia="Calibri"/>
          <w:noProof/>
          <w:lang w:val="fr-FR"/>
        </w:rPr>
        <w:t>rables</w:t>
      </w:r>
      <w:r>
        <w:rPr>
          <w:rFonts w:eastAsia="Calibri"/>
          <w:noProof/>
          <w:lang w:val="fr-FR"/>
        </w:rPr>
        <w:t> »,</w:t>
      </w:r>
      <w:r w:rsidRPr="006509EF">
        <w:rPr>
          <w:rFonts w:eastAsia="Calibri"/>
          <w:noProof/>
          <w:lang w:val="fr-FR"/>
        </w:rPr>
        <w:t xml:space="preserve"> </w:t>
      </w:r>
      <w:r>
        <w:rPr>
          <w:rFonts w:eastAsia="Calibri"/>
          <w:noProof/>
          <w:lang w:val="fr-FR"/>
        </w:rPr>
        <w:t>« Protocole</w:t>
      </w:r>
      <w:r w:rsidRPr="006509EF">
        <w:rPr>
          <w:rFonts w:eastAsia="Calibri"/>
          <w:noProof/>
          <w:lang w:val="fr-FR"/>
        </w:rPr>
        <w:t>s d</w:t>
      </w:r>
      <w:r w:rsidR="00607CA3">
        <w:rPr>
          <w:rFonts w:eastAsia="Calibri"/>
          <w:noProof/>
          <w:lang w:val="fr-FR"/>
        </w:rPr>
        <w:t>’</w:t>
      </w:r>
      <w:r>
        <w:rPr>
          <w:rFonts w:eastAsia="Calibri"/>
          <w:noProof/>
          <w:lang w:val="fr-FR"/>
        </w:rPr>
        <w:t>appui à la réforme pénitentiaire concernant la population privée de liberté, les admissions et les mesures de sûreté »,</w:t>
      </w:r>
      <w:r w:rsidRPr="006509EF">
        <w:rPr>
          <w:rFonts w:eastAsia="Calibri"/>
          <w:noProof/>
          <w:lang w:val="fr-FR"/>
        </w:rPr>
        <w:t xml:space="preserve"> </w:t>
      </w:r>
      <w:r>
        <w:rPr>
          <w:rFonts w:eastAsia="Calibri"/>
          <w:noProof/>
          <w:lang w:val="fr-FR"/>
        </w:rPr>
        <w:t>« Protocoles d</w:t>
      </w:r>
      <w:r w:rsidR="00607CA3">
        <w:rPr>
          <w:rFonts w:eastAsia="Calibri"/>
          <w:noProof/>
          <w:lang w:val="fr-FR"/>
        </w:rPr>
        <w:t>’</w:t>
      </w:r>
      <w:r>
        <w:rPr>
          <w:rFonts w:eastAsia="Calibri"/>
          <w:noProof/>
          <w:lang w:val="fr-FR"/>
        </w:rPr>
        <w:t xml:space="preserve">admission et garanties </w:t>
      </w:r>
      <w:r w:rsidRPr="006509EF">
        <w:rPr>
          <w:rFonts w:eastAsia="Calibri"/>
          <w:noProof/>
          <w:lang w:val="fr-FR"/>
        </w:rPr>
        <w:t>person</w:t>
      </w:r>
      <w:r>
        <w:rPr>
          <w:rFonts w:eastAsia="Calibri"/>
          <w:noProof/>
          <w:lang w:val="fr-FR"/>
        </w:rPr>
        <w:t>nelles pour les adolescents privés de liberté »,</w:t>
      </w:r>
      <w:r w:rsidRPr="006509EF">
        <w:rPr>
          <w:rFonts w:eastAsia="Calibri"/>
          <w:noProof/>
          <w:lang w:val="fr-FR"/>
        </w:rPr>
        <w:t xml:space="preserve"> </w:t>
      </w:r>
      <w:r>
        <w:rPr>
          <w:rFonts w:eastAsia="Calibri"/>
          <w:noProof/>
          <w:lang w:val="fr-FR"/>
        </w:rPr>
        <w:t>« </w:t>
      </w:r>
      <w:r w:rsidRPr="006509EF">
        <w:rPr>
          <w:rFonts w:eastAsia="Calibri"/>
          <w:noProof/>
          <w:lang w:val="fr-FR"/>
        </w:rPr>
        <w:t>C</w:t>
      </w:r>
      <w:r>
        <w:rPr>
          <w:rFonts w:eastAsia="Calibri"/>
          <w:noProof/>
          <w:lang w:val="fr-FR"/>
        </w:rPr>
        <w:t xml:space="preserve">ours de formation au traitement et aux soins </w:t>
      </w:r>
      <w:r w:rsidRPr="006509EF">
        <w:rPr>
          <w:rFonts w:eastAsia="Calibri"/>
          <w:noProof/>
          <w:lang w:val="fr-FR"/>
        </w:rPr>
        <w:t>victimo</w:t>
      </w:r>
      <w:r>
        <w:rPr>
          <w:rFonts w:eastAsia="Calibri"/>
          <w:noProof/>
          <w:lang w:val="fr-FR"/>
        </w:rPr>
        <w:t>logiques »,</w:t>
      </w:r>
      <w:r w:rsidRPr="006509EF">
        <w:rPr>
          <w:rFonts w:eastAsia="Calibri"/>
          <w:noProof/>
          <w:lang w:val="fr-FR"/>
        </w:rPr>
        <w:t xml:space="preserve"> </w:t>
      </w:r>
      <w:r>
        <w:rPr>
          <w:rFonts w:eastAsia="Calibri"/>
          <w:noProof/>
          <w:lang w:val="fr-FR"/>
        </w:rPr>
        <w:t>« Formation à la prévention de la torture et aux principes juridiques dans le contexte de la privation de liberté » et « Aspects juridiques du dossier médical des personnes privées de liberté »</w:t>
      </w:r>
      <w:r w:rsidRPr="006509EF">
        <w:rPr>
          <w:rFonts w:eastAsia="Calibri"/>
          <w:noProof/>
          <w:lang w:val="fr-FR"/>
        </w:rPr>
        <w:t>.</w:t>
      </w:r>
    </w:p>
    <w:p w:rsidR="00596826" w:rsidRPr="006509EF" w:rsidRDefault="00596826" w:rsidP="00596826">
      <w:pPr>
        <w:pStyle w:val="SingleTxtG"/>
        <w:rPr>
          <w:rFonts w:eastAsia="Calibri"/>
          <w:noProof/>
          <w:lang w:val="fr-FR"/>
        </w:rPr>
      </w:pPr>
      <w:r w:rsidRPr="006509EF">
        <w:rPr>
          <w:rFonts w:eastAsia="Calibri"/>
          <w:noProof/>
          <w:lang w:val="fr-FR"/>
        </w:rPr>
        <w:t>100.</w:t>
      </w:r>
      <w:r w:rsidRPr="006509EF">
        <w:rPr>
          <w:rFonts w:eastAsia="Calibri"/>
          <w:noProof/>
          <w:lang w:val="fr-FR"/>
        </w:rPr>
        <w:tab/>
      </w:r>
      <w:r w:rsidRPr="00CA1065">
        <w:rPr>
          <w:rFonts w:eastAsia="Calibri"/>
          <w:noProof/>
          <w:lang w:val="fr-FR"/>
        </w:rPr>
        <w:t>L</w:t>
      </w:r>
      <w:r w:rsidR="00607CA3">
        <w:rPr>
          <w:rFonts w:eastAsia="Calibri"/>
          <w:noProof/>
          <w:lang w:val="fr-FR"/>
        </w:rPr>
        <w:t>’</w:t>
      </w:r>
      <w:r w:rsidRPr="00CA1065">
        <w:rPr>
          <w:noProof/>
          <w:lang w:val="fr-FR"/>
        </w:rPr>
        <w:t>Administration des services de santé de l</w:t>
      </w:r>
      <w:r w:rsidR="00607CA3">
        <w:rPr>
          <w:noProof/>
          <w:lang w:val="fr-FR"/>
        </w:rPr>
        <w:t>’</w:t>
      </w:r>
      <w:r w:rsidRPr="00CA1065">
        <w:rPr>
          <w:noProof/>
          <w:lang w:val="fr-FR"/>
        </w:rPr>
        <w:t>État</w:t>
      </w:r>
      <w:r>
        <w:rPr>
          <w:rFonts w:eastAsia="Calibri"/>
          <w:noProof/>
          <w:lang w:val="fr-FR"/>
        </w:rPr>
        <w:t xml:space="preserve"> organise depuis </w:t>
      </w:r>
      <w:r w:rsidRPr="006509EF">
        <w:rPr>
          <w:rFonts w:eastAsia="Calibri"/>
          <w:noProof/>
          <w:lang w:val="fr-FR"/>
        </w:rPr>
        <w:t xml:space="preserve">2016 </w:t>
      </w:r>
      <w:r>
        <w:rPr>
          <w:rFonts w:eastAsia="Calibri"/>
          <w:noProof/>
          <w:lang w:val="fr-FR"/>
        </w:rPr>
        <w:t>des cours à l</w:t>
      </w:r>
      <w:r w:rsidR="00607CA3">
        <w:rPr>
          <w:rFonts w:eastAsia="Calibri"/>
          <w:noProof/>
          <w:lang w:val="fr-FR"/>
        </w:rPr>
        <w:t>’</w:t>
      </w:r>
      <w:r>
        <w:rPr>
          <w:rFonts w:eastAsia="Calibri"/>
          <w:noProof/>
          <w:lang w:val="fr-FR"/>
        </w:rPr>
        <w:t xml:space="preserve">intention des </w:t>
      </w:r>
      <w:r w:rsidRPr="006509EF">
        <w:rPr>
          <w:rFonts w:eastAsia="Calibri"/>
          <w:noProof/>
          <w:lang w:val="fr-FR"/>
        </w:rPr>
        <w:t>méd</w:t>
      </w:r>
      <w:r>
        <w:rPr>
          <w:rFonts w:eastAsia="Calibri"/>
          <w:noProof/>
          <w:lang w:val="fr-FR"/>
        </w:rPr>
        <w:t>ecins généralistes et des infirmiers urgentistes qui procèdent à la constatation de lésions</w:t>
      </w:r>
      <w:r w:rsidRPr="006509EF">
        <w:rPr>
          <w:rFonts w:eastAsia="Calibri"/>
          <w:noProof/>
          <w:lang w:val="fr-FR"/>
        </w:rPr>
        <w:t xml:space="preserve">. </w:t>
      </w:r>
      <w:r>
        <w:rPr>
          <w:rFonts w:eastAsia="Calibri"/>
          <w:noProof/>
          <w:lang w:val="fr-FR"/>
        </w:rPr>
        <w:t>Cette formation, qui fait une place au Protocole d</w:t>
      </w:r>
      <w:r w:rsidR="00607CA3">
        <w:rPr>
          <w:rFonts w:eastAsia="Calibri"/>
          <w:noProof/>
          <w:lang w:val="fr-FR"/>
        </w:rPr>
        <w:t>’</w:t>
      </w:r>
      <w:r>
        <w:rPr>
          <w:rFonts w:eastAsia="Calibri"/>
          <w:noProof/>
          <w:lang w:val="fr-FR"/>
        </w:rPr>
        <w:t>Istanbul et à la lé</w:t>
      </w:r>
      <w:r w:rsidRPr="006509EF">
        <w:rPr>
          <w:rFonts w:eastAsia="Calibri"/>
          <w:noProof/>
          <w:lang w:val="fr-FR"/>
        </w:rPr>
        <w:t>sionologi</w:t>
      </w:r>
      <w:r>
        <w:rPr>
          <w:rFonts w:eastAsia="Calibri"/>
          <w:noProof/>
          <w:lang w:val="fr-FR"/>
        </w:rPr>
        <w:t>e, doit permettre de déceler d</w:t>
      </w:r>
      <w:r w:rsidR="00607CA3">
        <w:rPr>
          <w:rFonts w:eastAsia="Calibri"/>
          <w:noProof/>
          <w:lang w:val="fr-FR"/>
        </w:rPr>
        <w:t>’</w:t>
      </w:r>
      <w:r>
        <w:rPr>
          <w:rFonts w:eastAsia="Calibri"/>
          <w:noProof/>
          <w:lang w:val="fr-FR"/>
        </w:rPr>
        <w:t>éventuels signes de torture</w:t>
      </w:r>
      <w:r w:rsidRPr="006509EF">
        <w:rPr>
          <w:rFonts w:eastAsia="Calibri"/>
          <w:noProof/>
          <w:lang w:val="fr-FR"/>
        </w:rPr>
        <w:t xml:space="preserve">. </w:t>
      </w:r>
    </w:p>
    <w:p w:rsidR="00596826" w:rsidRPr="006509EF" w:rsidRDefault="00596826" w:rsidP="00596826">
      <w:pPr>
        <w:pStyle w:val="SingleTxtG"/>
        <w:rPr>
          <w:rFonts w:eastAsia="Calibri"/>
          <w:noProof/>
          <w:lang w:val="fr-FR"/>
        </w:rPr>
      </w:pPr>
      <w:r w:rsidRPr="006509EF">
        <w:rPr>
          <w:rFonts w:eastAsia="Calibri"/>
          <w:noProof/>
          <w:lang w:val="fr-FR"/>
        </w:rPr>
        <w:t>101.</w:t>
      </w:r>
      <w:r w:rsidRPr="006509EF">
        <w:rPr>
          <w:rFonts w:eastAsia="Calibri"/>
          <w:noProof/>
          <w:lang w:val="fr-FR"/>
        </w:rPr>
        <w:tab/>
      </w:r>
      <w:r>
        <w:rPr>
          <w:rFonts w:eastAsia="Calibri"/>
          <w:noProof/>
          <w:lang w:val="fr-FR"/>
        </w:rPr>
        <w:t>Le Bureau du Procureur général de la Nation</w:t>
      </w:r>
      <w:r w:rsidRPr="006509EF">
        <w:rPr>
          <w:rFonts w:eastAsia="Calibri"/>
          <w:noProof/>
          <w:lang w:val="fr-FR"/>
        </w:rPr>
        <w:t xml:space="preserve"> </w:t>
      </w:r>
      <w:r>
        <w:rPr>
          <w:rFonts w:eastAsia="Calibri"/>
          <w:noProof/>
          <w:lang w:val="fr-FR"/>
        </w:rPr>
        <w:t>ne prévoit pas de programmes de formation de ce type à l</w:t>
      </w:r>
      <w:r w:rsidR="00607CA3">
        <w:rPr>
          <w:rFonts w:eastAsia="Calibri"/>
          <w:noProof/>
          <w:lang w:val="fr-FR"/>
        </w:rPr>
        <w:t>’</w:t>
      </w:r>
      <w:r>
        <w:rPr>
          <w:rFonts w:eastAsia="Calibri"/>
          <w:noProof/>
          <w:lang w:val="fr-FR"/>
        </w:rPr>
        <w:t>intention des procureurs.</w:t>
      </w:r>
    </w:p>
    <w:p w:rsidR="00596826" w:rsidRPr="00191307" w:rsidRDefault="00596826" w:rsidP="00CC477D">
      <w:pPr>
        <w:pStyle w:val="H1G"/>
        <w:rPr>
          <w:noProof/>
          <w:lang w:val="fr-FR"/>
        </w:rPr>
      </w:pPr>
      <w:r w:rsidRPr="00411326">
        <w:tab/>
      </w:r>
      <w:r w:rsidRPr="00411326">
        <w:tab/>
      </w:r>
      <w:r w:rsidRPr="00191307">
        <w:rPr>
          <w:noProof/>
          <w:lang w:val="fr-FR"/>
        </w:rPr>
        <w:t>Art</w:t>
      </w:r>
      <w:r>
        <w:rPr>
          <w:noProof/>
          <w:lang w:val="fr-FR"/>
        </w:rPr>
        <w:t>icle</w:t>
      </w:r>
      <w:r w:rsidRPr="00191307">
        <w:rPr>
          <w:noProof/>
          <w:lang w:val="fr-FR"/>
        </w:rPr>
        <w:t xml:space="preserve"> 11</w:t>
      </w:r>
    </w:p>
    <w:p w:rsidR="00596826" w:rsidRPr="00191307" w:rsidRDefault="00596826" w:rsidP="00596826">
      <w:pPr>
        <w:pStyle w:val="SingleTxtG"/>
        <w:rPr>
          <w:rFonts w:eastAsia="Calibri"/>
          <w:noProof/>
          <w:lang w:val="fr-FR"/>
        </w:rPr>
      </w:pPr>
      <w:r w:rsidRPr="00191307">
        <w:rPr>
          <w:rFonts w:eastAsia="Calibri"/>
          <w:noProof/>
          <w:lang w:val="fr-FR"/>
        </w:rPr>
        <w:t>102.</w:t>
      </w:r>
      <w:r w:rsidRPr="00191307">
        <w:rPr>
          <w:rFonts w:eastAsia="Calibri"/>
          <w:noProof/>
          <w:lang w:val="fr-FR"/>
        </w:rPr>
        <w:tab/>
      </w:r>
      <w:r>
        <w:rPr>
          <w:rFonts w:eastAsia="Calibri"/>
          <w:noProof/>
          <w:lang w:val="fr-FR"/>
        </w:rPr>
        <w:t xml:space="preserve">En ce qui concerne les dispositions en matière de détention, différents articles de la loi </w:t>
      </w:r>
      <w:r w:rsidR="00332CC9" w:rsidRPr="00332CC9">
        <w:rPr>
          <w:rFonts w:eastAsia="MS Mincho"/>
          <w:noProof/>
          <w:szCs w:val="22"/>
          <w:lang w:val="fr-FR"/>
        </w:rPr>
        <w:t>n</w:t>
      </w:r>
      <w:r w:rsidR="00332CC9" w:rsidRPr="00332CC9">
        <w:rPr>
          <w:rFonts w:eastAsia="MS Mincho"/>
          <w:noProof/>
          <w:szCs w:val="22"/>
          <w:vertAlign w:val="superscript"/>
          <w:lang w:val="fr-FR"/>
        </w:rPr>
        <w:t>o</w:t>
      </w:r>
      <w:r w:rsidR="00332CC9">
        <w:rPr>
          <w:rFonts w:eastAsia="Calibri"/>
          <w:noProof/>
          <w:lang w:val="fr-FR"/>
        </w:rPr>
        <w:t> </w:t>
      </w:r>
      <w:r w:rsidRPr="00191307">
        <w:rPr>
          <w:rFonts w:eastAsia="Calibri"/>
          <w:noProof/>
          <w:lang w:val="fr-FR"/>
        </w:rPr>
        <w:t xml:space="preserve">18315 </w:t>
      </w:r>
      <w:r>
        <w:rPr>
          <w:rFonts w:eastAsia="Calibri"/>
          <w:noProof/>
          <w:lang w:val="fr-FR"/>
        </w:rPr>
        <w:t>sur les procédures de la police, en date du 5</w:t>
      </w:r>
      <w:r w:rsidR="00332CC9">
        <w:rPr>
          <w:rFonts w:eastAsia="Calibri"/>
          <w:noProof/>
          <w:lang w:val="fr-FR"/>
        </w:rPr>
        <w:t> </w:t>
      </w:r>
      <w:r>
        <w:rPr>
          <w:rFonts w:eastAsia="Calibri"/>
          <w:noProof/>
          <w:lang w:val="fr-FR"/>
        </w:rPr>
        <w:t xml:space="preserve">juillet 2008, </w:t>
      </w:r>
      <w:r w:rsidRPr="00191307">
        <w:rPr>
          <w:rFonts w:eastAsia="Calibri"/>
          <w:noProof/>
          <w:lang w:val="fr-FR"/>
        </w:rPr>
        <w:t>r</w:t>
      </w:r>
      <w:r>
        <w:rPr>
          <w:rFonts w:eastAsia="Calibri"/>
          <w:noProof/>
          <w:lang w:val="fr-FR"/>
        </w:rPr>
        <w:t>églementent l</w:t>
      </w:r>
      <w:r w:rsidR="00607CA3">
        <w:rPr>
          <w:rFonts w:eastAsia="Calibri"/>
          <w:noProof/>
          <w:lang w:val="fr-FR"/>
        </w:rPr>
        <w:t>’</w:t>
      </w:r>
      <w:r>
        <w:rPr>
          <w:rFonts w:eastAsia="Calibri"/>
          <w:noProof/>
          <w:lang w:val="fr-FR"/>
        </w:rPr>
        <w:t>immobilisation des personnes et des véhicules</w:t>
      </w:r>
      <w:r w:rsidRPr="00191307">
        <w:rPr>
          <w:rFonts w:eastAsia="Calibri"/>
          <w:noProof/>
          <w:lang w:val="fr-FR"/>
        </w:rPr>
        <w:t>. L</w:t>
      </w:r>
      <w:r>
        <w:rPr>
          <w:rFonts w:eastAsia="Calibri"/>
          <w:noProof/>
          <w:lang w:val="fr-FR"/>
        </w:rPr>
        <w:t>e</w:t>
      </w:r>
      <w:r w:rsidRPr="00191307">
        <w:rPr>
          <w:rFonts w:eastAsia="Calibri"/>
          <w:noProof/>
          <w:lang w:val="fr-FR"/>
        </w:rPr>
        <w:t>s art</w:t>
      </w:r>
      <w:r>
        <w:rPr>
          <w:rFonts w:eastAsia="Calibri"/>
          <w:noProof/>
          <w:lang w:val="fr-FR"/>
        </w:rPr>
        <w:t xml:space="preserve">icles </w:t>
      </w:r>
      <w:r w:rsidRPr="00191307">
        <w:rPr>
          <w:rFonts w:eastAsia="Calibri"/>
          <w:noProof/>
          <w:lang w:val="fr-FR"/>
        </w:rPr>
        <w:t xml:space="preserve">38 </w:t>
      </w:r>
      <w:r>
        <w:rPr>
          <w:rFonts w:eastAsia="Calibri"/>
          <w:noProof/>
          <w:lang w:val="fr-FR"/>
        </w:rPr>
        <w:t>à</w:t>
      </w:r>
      <w:r w:rsidRPr="00191307">
        <w:rPr>
          <w:rFonts w:eastAsia="Calibri"/>
          <w:noProof/>
          <w:lang w:val="fr-FR"/>
        </w:rPr>
        <w:t xml:space="preserve"> 42 r</w:t>
      </w:r>
      <w:r>
        <w:rPr>
          <w:rFonts w:eastAsia="Calibri"/>
          <w:noProof/>
          <w:lang w:val="fr-FR"/>
        </w:rPr>
        <w:t>égissent la notion de détention et les garanties à prendre lorsqu</w:t>
      </w:r>
      <w:r w:rsidR="00607CA3">
        <w:rPr>
          <w:rFonts w:eastAsia="Calibri"/>
          <w:noProof/>
          <w:lang w:val="fr-FR"/>
        </w:rPr>
        <w:t>’</w:t>
      </w:r>
      <w:r>
        <w:rPr>
          <w:rFonts w:eastAsia="Calibri"/>
          <w:noProof/>
          <w:lang w:val="fr-FR"/>
        </w:rPr>
        <w:t>il est procédé à une arrestation</w:t>
      </w:r>
      <w:r w:rsidRPr="00191307">
        <w:rPr>
          <w:rFonts w:eastAsia="Calibri"/>
          <w:noProof/>
          <w:lang w:val="fr-FR"/>
        </w:rPr>
        <w:t xml:space="preserve">. </w:t>
      </w:r>
      <w:r>
        <w:rPr>
          <w:rFonts w:eastAsia="Calibri"/>
          <w:noProof/>
          <w:lang w:val="fr-FR"/>
        </w:rPr>
        <w:t>De même, cette loi réglemente l</w:t>
      </w:r>
      <w:r w:rsidR="00607CA3">
        <w:rPr>
          <w:rFonts w:eastAsia="Calibri"/>
          <w:noProof/>
          <w:lang w:val="fr-FR"/>
        </w:rPr>
        <w:t>’</w:t>
      </w:r>
      <w:r w:rsidRPr="00191307">
        <w:rPr>
          <w:rFonts w:eastAsia="Calibri"/>
          <w:noProof/>
          <w:lang w:val="fr-FR"/>
        </w:rPr>
        <w:t>identifica</w:t>
      </w:r>
      <w:r>
        <w:rPr>
          <w:rFonts w:eastAsia="Calibri"/>
          <w:noProof/>
          <w:lang w:val="fr-FR"/>
        </w:rPr>
        <w:t>tion et l</w:t>
      </w:r>
      <w:r w:rsidR="00607CA3">
        <w:rPr>
          <w:rFonts w:eastAsia="Calibri"/>
          <w:noProof/>
          <w:lang w:val="fr-FR"/>
        </w:rPr>
        <w:t>’</w:t>
      </w:r>
      <w:r w:rsidRPr="00191307">
        <w:rPr>
          <w:noProof/>
          <w:lang w:val="fr-FR"/>
        </w:rPr>
        <w:t>identi</w:t>
      </w:r>
      <w:r>
        <w:rPr>
          <w:noProof/>
          <w:lang w:val="fr-FR"/>
        </w:rPr>
        <w:t>té</w:t>
      </w:r>
      <w:r w:rsidRPr="00191307">
        <w:rPr>
          <w:rFonts w:eastAsia="Calibri"/>
          <w:noProof/>
          <w:lang w:val="fr-FR"/>
        </w:rPr>
        <w:t xml:space="preserve"> (art</w:t>
      </w:r>
      <w:r w:rsidR="00332CC9">
        <w:rPr>
          <w:rFonts w:eastAsia="Calibri"/>
          <w:noProof/>
          <w:lang w:val="fr-FR"/>
        </w:rPr>
        <w:t>. </w:t>
      </w:r>
      <w:r w:rsidRPr="00191307">
        <w:rPr>
          <w:rFonts w:eastAsia="Calibri"/>
          <w:noProof/>
          <w:lang w:val="fr-FR"/>
        </w:rPr>
        <w:t xml:space="preserve">43), </w:t>
      </w:r>
      <w:r>
        <w:rPr>
          <w:rFonts w:eastAsia="Calibri"/>
          <w:noProof/>
          <w:lang w:val="fr-FR"/>
        </w:rPr>
        <w:t>la procédure d</w:t>
      </w:r>
      <w:r w:rsidR="00607CA3">
        <w:rPr>
          <w:rFonts w:eastAsia="Calibri"/>
          <w:noProof/>
          <w:lang w:val="fr-FR"/>
        </w:rPr>
        <w:t>’</w:t>
      </w:r>
      <w:r>
        <w:rPr>
          <w:rFonts w:eastAsia="Calibri"/>
          <w:noProof/>
          <w:lang w:val="fr-FR"/>
        </w:rPr>
        <w:t xml:space="preserve">arrestation </w:t>
      </w:r>
      <w:r w:rsidRPr="00191307">
        <w:rPr>
          <w:rFonts w:eastAsia="Calibri"/>
          <w:noProof/>
          <w:lang w:val="fr-FR"/>
        </w:rPr>
        <w:t>(ar</w:t>
      </w:r>
      <w:r>
        <w:rPr>
          <w:rFonts w:eastAsia="Calibri"/>
          <w:noProof/>
          <w:lang w:val="fr-FR"/>
        </w:rPr>
        <w:t>t.</w:t>
      </w:r>
      <w:r w:rsidR="00332CC9">
        <w:rPr>
          <w:rFonts w:eastAsia="Calibri"/>
          <w:noProof/>
          <w:lang w:val="fr-FR"/>
        </w:rPr>
        <w:t> </w:t>
      </w:r>
      <w:r w:rsidRPr="00191307">
        <w:rPr>
          <w:rFonts w:eastAsia="Calibri"/>
          <w:noProof/>
          <w:lang w:val="fr-FR"/>
        </w:rPr>
        <w:t xml:space="preserve">47 </w:t>
      </w:r>
      <w:r>
        <w:rPr>
          <w:rFonts w:eastAsia="Calibri"/>
          <w:noProof/>
          <w:lang w:val="fr-FR"/>
        </w:rPr>
        <w:t>et suiv</w:t>
      </w:r>
      <w:r w:rsidRPr="00191307">
        <w:rPr>
          <w:rFonts w:eastAsia="Calibri"/>
          <w:noProof/>
          <w:lang w:val="fr-FR"/>
        </w:rPr>
        <w:t>.), l</w:t>
      </w:r>
      <w:r w:rsidR="00607CA3">
        <w:rPr>
          <w:rFonts w:eastAsia="Calibri"/>
          <w:noProof/>
          <w:lang w:val="fr-FR"/>
        </w:rPr>
        <w:t>’</w:t>
      </w:r>
      <w:r>
        <w:rPr>
          <w:rFonts w:eastAsia="Calibri"/>
          <w:noProof/>
          <w:lang w:val="fr-FR"/>
        </w:rPr>
        <w:t>arrestation sans mandat et la conduite de véhicules de police</w:t>
      </w:r>
      <w:r w:rsidRPr="00191307">
        <w:rPr>
          <w:rFonts w:eastAsia="Calibri"/>
          <w:noProof/>
          <w:lang w:val="fr-FR"/>
        </w:rPr>
        <w:t xml:space="preserve">, </w:t>
      </w:r>
      <w:r>
        <w:rPr>
          <w:rFonts w:eastAsia="Calibri"/>
          <w:noProof/>
          <w:lang w:val="fr-FR"/>
        </w:rPr>
        <w:t>le droit de la personne détenue d</w:t>
      </w:r>
      <w:r w:rsidR="00607CA3">
        <w:rPr>
          <w:rFonts w:eastAsia="Calibri"/>
          <w:noProof/>
          <w:lang w:val="fr-FR"/>
        </w:rPr>
        <w:t>’</w:t>
      </w:r>
      <w:r>
        <w:rPr>
          <w:rFonts w:eastAsia="Calibri"/>
          <w:noProof/>
          <w:lang w:val="fr-FR"/>
        </w:rPr>
        <w:t xml:space="preserve">être informée des motifs de sa détention, </w:t>
      </w:r>
      <w:r w:rsidRPr="00191307">
        <w:rPr>
          <w:rFonts w:eastAsia="Calibri"/>
          <w:noProof/>
          <w:lang w:val="fr-FR"/>
        </w:rPr>
        <w:t>la com</w:t>
      </w:r>
      <w:r>
        <w:rPr>
          <w:rFonts w:eastAsia="Calibri"/>
          <w:noProof/>
          <w:lang w:val="fr-FR"/>
        </w:rPr>
        <w:t>m</w:t>
      </w:r>
      <w:r w:rsidRPr="00191307">
        <w:rPr>
          <w:rFonts w:eastAsia="Calibri"/>
          <w:noProof/>
          <w:lang w:val="fr-FR"/>
        </w:rPr>
        <w:t>unica</w:t>
      </w:r>
      <w:r>
        <w:rPr>
          <w:rFonts w:eastAsia="Calibri"/>
          <w:noProof/>
          <w:lang w:val="fr-FR"/>
        </w:rPr>
        <w:t>tion de renseignements aux proches de la personne détenue, le registre des personnes détenues, la notification au défenseur de la personne détenue</w:t>
      </w:r>
      <w:r w:rsidRPr="00191307">
        <w:rPr>
          <w:rFonts w:eastAsia="Calibri"/>
          <w:noProof/>
          <w:lang w:val="fr-FR"/>
        </w:rPr>
        <w:t xml:space="preserve">, </w:t>
      </w:r>
      <w:r>
        <w:rPr>
          <w:rFonts w:eastAsia="Calibri"/>
          <w:noProof/>
          <w:lang w:val="fr-FR"/>
        </w:rPr>
        <w:t xml:space="preserve">le </w:t>
      </w:r>
      <w:r w:rsidRPr="003171D6">
        <w:rPr>
          <w:noProof/>
          <w:lang w:val="fr-FR"/>
        </w:rPr>
        <w:t>placement en détention à l</w:t>
      </w:r>
      <w:r w:rsidR="00607CA3">
        <w:rPr>
          <w:noProof/>
          <w:lang w:val="fr-FR"/>
        </w:rPr>
        <w:t>’</w:t>
      </w:r>
      <w:r w:rsidRPr="003171D6">
        <w:rPr>
          <w:noProof/>
          <w:lang w:val="fr-FR"/>
        </w:rPr>
        <w:t>issue d</w:t>
      </w:r>
      <w:r w:rsidR="00607CA3">
        <w:rPr>
          <w:noProof/>
          <w:lang w:val="fr-FR"/>
        </w:rPr>
        <w:t>’</w:t>
      </w:r>
      <w:r w:rsidRPr="003171D6">
        <w:rPr>
          <w:noProof/>
          <w:lang w:val="fr-FR"/>
        </w:rPr>
        <w:t>une opération de police menée aux fins de perquisition</w:t>
      </w:r>
      <w:r w:rsidRPr="00191307">
        <w:rPr>
          <w:rFonts w:eastAsia="Calibri"/>
          <w:noProof/>
          <w:lang w:val="fr-FR"/>
        </w:rPr>
        <w:t xml:space="preserve">, </w:t>
      </w:r>
      <w:r>
        <w:rPr>
          <w:rFonts w:eastAsia="Calibri"/>
          <w:noProof/>
          <w:lang w:val="fr-FR"/>
        </w:rPr>
        <w:t>et l</w:t>
      </w:r>
      <w:r w:rsidR="00607CA3">
        <w:rPr>
          <w:rFonts w:eastAsia="Calibri"/>
          <w:noProof/>
          <w:lang w:val="fr-FR"/>
        </w:rPr>
        <w:t>’</w:t>
      </w:r>
      <w:r>
        <w:rPr>
          <w:rFonts w:eastAsia="Calibri"/>
          <w:noProof/>
          <w:lang w:val="fr-FR"/>
        </w:rPr>
        <w:t>immobilisation de véhicules</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103.</w:t>
      </w:r>
      <w:r w:rsidRPr="00191307">
        <w:rPr>
          <w:rFonts w:eastAsia="Calibri"/>
          <w:noProof/>
          <w:lang w:val="fr-FR"/>
        </w:rPr>
        <w:tab/>
        <w:t>En novembre 2017</w:t>
      </w:r>
      <w:r>
        <w:rPr>
          <w:rFonts w:eastAsia="Calibri"/>
          <w:noProof/>
          <w:lang w:val="fr-FR"/>
        </w:rPr>
        <w:t xml:space="preserve">, le nouveau Code de procédure pénale est entré en vigueur. Son article </w:t>
      </w:r>
      <w:r w:rsidRPr="00191307">
        <w:rPr>
          <w:rFonts w:eastAsia="Calibri"/>
          <w:noProof/>
          <w:lang w:val="fr-FR"/>
        </w:rPr>
        <w:t>220 r</w:t>
      </w:r>
      <w:r>
        <w:rPr>
          <w:rFonts w:eastAsia="Calibri"/>
          <w:noProof/>
          <w:lang w:val="fr-FR"/>
        </w:rPr>
        <w:t>églemente la détention</w:t>
      </w:r>
      <w:r w:rsidRPr="00191307">
        <w:rPr>
          <w:rFonts w:eastAsia="Calibri"/>
          <w:noProof/>
          <w:lang w:val="fr-FR"/>
        </w:rPr>
        <w:t xml:space="preserve">. </w:t>
      </w:r>
      <w:r>
        <w:rPr>
          <w:rFonts w:eastAsia="Calibri"/>
          <w:noProof/>
          <w:lang w:val="fr-FR"/>
        </w:rPr>
        <w:t>De même, à la fin de cette année-là, on a adopté la « Directive</w:t>
      </w:r>
      <w:r w:rsidRPr="00191307">
        <w:rPr>
          <w:rFonts w:eastAsia="Calibri"/>
          <w:noProof/>
          <w:lang w:val="fr-FR"/>
        </w:rPr>
        <w:t xml:space="preserve"> </w:t>
      </w:r>
      <w:r>
        <w:rPr>
          <w:rFonts w:eastAsia="Calibri"/>
          <w:noProof/>
          <w:lang w:val="fr-FR"/>
        </w:rPr>
        <w:t>relative au travail de la police à la lumière de l</w:t>
      </w:r>
      <w:r w:rsidR="00607CA3">
        <w:rPr>
          <w:rFonts w:eastAsia="Calibri"/>
          <w:noProof/>
          <w:lang w:val="fr-FR"/>
        </w:rPr>
        <w:t>’</w:t>
      </w:r>
      <w:r>
        <w:rPr>
          <w:rFonts w:eastAsia="Calibri"/>
          <w:noProof/>
          <w:lang w:val="fr-FR"/>
        </w:rPr>
        <w:t xml:space="preserve">application du nouveau Code de procédure pénale et de la loi sur les procédures de la police », ainsi que </w:t>
      </w:r>
      <w:r w:rsidRPr="00191307">
        <w:rPr>
          <w:rFonts w:eastAsia="Calibri"/>
          <w:noProof/>
          <w:lang w:val="fr-FR"/>
        </w:rPr>
        <w:t xml:space="preserve">la </w:t>
      </w:r>
      <w:r>
        <w:rPr>
          <w:rFonts w:eastAsia="Calibri"/>
          <w:noProof/>
          <w:lang w:val="fr-FR"/>
        </w:rPr>
        <w:t>« carte des droits de l</w:t>
      </w:r>
      <w:r w:rsidR="00607CA3">
        <w:rPr>
          <w:rFonts w:eastAsia="Calibri"/>
          <w:noProof/>
          <w:lang w:val="fr-FR"/>
        </w:rPr>
        <w:t>’</w:t>
      </w:r>
      <w:r>
        <w:rPr>
          <w:rFonts w:eastAsia="Calibri"/>
          <w:noProof/>
          <w:lang w:val="fr-FR"/>
        </w:rPr>
        <w:t>homme inculpée à porter à sa connaissance »</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104.</w:t>
      </w:r>
      <w:r w:rsidRPr="00191307">
        <w:rPr>
          <w:rFonts w:eastAsia="Calibri"/>
          <w:noProof/>
          <w:lang w:val="fr-FR"/>
        </w:rPr>
        <w:tab/>
        <w:t>En ma</w:t>
      </w:r>
      <w:r>
        <w:rPr>
          <w:rFonts w:eastAsia="Calibri"/>
          <w:noProof/>
          <w:lang w:val="fr-FR"/>
        </w:rPr>
        <w:t>i</w:t>
      </w:r>
      <w:r w:rsidRPr="00191307">
        <w:rPr>
          <w:rFonts w:eastAsia="Calibri"/>
          <w:noProof/>
          <w:lang w:val="fr-FR"/>
        </w:rPr>
        <w:t xml:space="preserve"> 2018</w:t>
      </w:r>
      <w:r>
        <w:rPr>
          <w:rFonts w:eastAsia="Calibri"/>
          <w:noProof/>
          <w:lang w:val="fr-FR"/>
        </w:rPr>
        <w:t>,</w:t>
      </w:r>
      <w:r w:rsidRPr="00191307">
        <w:rPr>
          <w:rFonts w:eastAsia="Calibri"/>
          <w:noProof/>
          <w:lang w:val="fr-FR"/>
        </w:rPr>
        <w:t xml:space="preserve"> </w:t>
      </w:r>
      <w:r>
        <w:rPr>
          <w:rFonts w:eastAsia="Calibri"/>
          <w:noProof/>
          <w:lang w:val="fr-FR"/>
        </w:rPr>
        <w:t xml:space="preserve">on a adopté la troisième édition du « Protocole de prise en charge des mineurs dont les responsables sont privés de liberté », lequel </w:t>
      </w:r>
      <w:r w:rsidRPr="00191307">
        <w:rPr>
          <w:rFonts w:eastAsia="Calibri"/>
          <w:noProof/>
          <w:lang w:val="fr-FR"/>
        </w:rPr>
        <w:t>r</w:t>
      </w:r>
      <w:r>
        <w:rPr>
          <w:rFonts w:eastAsia="Calibri"/>
          <w:noProof/>
          <w:lang w:val="fr-FR"/>
        </w:rPr>
        <w:t xml:space="preserve">églemente </w:t>
      </w:r>
      <w:r w:rsidRPr="00191307">
        <w:rPr>
          <w:rFonts w:eastAsia="Calibri"/>
          <w:noProof/>
          <w:lang w:val="fr-FR"/>
        </w:rPr>
        <w:t xml:space="preserve">la </w:t>
      </w:r>
      <w:r>
        <w:rPr>
          <w:rFonts w:eastAsia="Calibri"/>
          <w:noProof/>
          <w:lang w:val="fr-FR"/>
        </w:rPr>
        <w:t>procédure à suivre en matière d</w:t>
      </w:r>
      <w:r w:rsidR="00607CA3">
        <w:rPr>
          <w:rFonts w:eastAsia="Calibri"/>
          <w:noProof/>
          <w:lang w:val="fr-FR"/>
        </w:rPr>
        <w:t>’</w:t>
      </w:r>
      <w:r>
        <w:rPr>
          <w:rFonts w:eastAsia="Calibri"/>
          <w:noProof/>
          <w:lang w:val="fr-FR"/>
        </w:rPr>
        <w:t>arrestation en flagrant délit ou planifiée s</w:t>
      </w:r>
      <w:r w:rsidR="00607CA3">
        <w:rPr>
          <w:rFonts w:eastAsia="Calibri"/>
          <w:noProof/>
          <w:lang w:val="fr-FR"/>
        </w:rPr>
        <w:t>’</w:t>
      </w:r>
      <w:r>
        <w:rPr>
          <w:rFonts w:eastAsia="Calibri"/>
          <w:noProof/>
          <w:lang w:val="fr-FR"/>
        </w:rPr>
        <w:t>effectuant en présence d</w:t>
      </w:r>
      <w:r w:rsidR="00607CA3">
        <w:rPr>
          <w:rFonts w:eastAsia="Calibri"/>
          <w:noProof/>
          <w:lang w:val="fr-FR"/>
        </w:rPr>
        <w:t>’</w:t>
      </w:r>
      <w:r>
        <w:rPr>
          <w:rFonts w:eastAsia="Calibri"/>
          <w:noProof/>
          <w:lang w:val="fr-FR"/>
        </w:rPr>
        <w:t>un mineur et qui a été approuvé par le Ministère de l</w:t>
      </w:r>
      <w:r w:rsidR="00607CA3">
        <w:rPr>
          <w:rFonts w:eastAsia="Calibri"/>
          <w:noProof/>
          <w:lang w:val="fr-FR"/>
        </w:rPr>
        <w:t>’</w:t>
      </w:r>
      <w:r>
        <w:rPr>
          <w:rFonts w:eastAsia="Calibri"/>
          <w:noProof/>
          <w:lang w:val="fr-FR"/>
        </w:rPr>
        <w:t xml:space="preserve">intérieur </w:t>
      </w:r>
      <w:r w:rsidRPr="00191307">
        <w:rPr>
          <w:rFonts w:eastAsia="Calibri"/>
          <w:noProof/>
          <w:lang w:val="fr-FR"/>
        </w:rPr>
        <w:t>(</w:t>
      </w:r>
      <w:r>
        <w:rPr>
          <w:rFonts w:eastAsia="Calibri"/>
          <w:noProof/>
          <w:lang w:val="fr-FR"/>
        </w:rPr>
        <w:t>où le groupe de travail a été créé par un arrêté ministériel pris en décembre 2014), le Ministère du développement social</w:t>
      </w:r>
      <w:r w:rsidRPr="00191307">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appareil judiciaire</w:t>
      </w:r>
      <w:r w:rsidRPr="00191307">
        <w:rPr>
          <w:rFonts w:eastAsia="Calibri"/>
          <w:noProof/>
          <w:lang w:val="fr-FR"/>
        </w:rPr>
        <w:t xml:space="preserve">, </w:t>
      </w:r>
      <w:r>
        <w:rPr>
          <w:rFonts w:eastAsia="Calibri"/>
          <w:noProof/>
          <w:lang w:val="fr-FR"/>
        </w:rPr>
        <w:t>l</w:t>
      </w:r>
      <w:r w:rsidR="00607CA3">
        <w:rPr>
          <w:rFonts w:eastAsia="Calibri"/>
          <w:noProof/>
          <w:lang w:val="fr-FR"/>
        </w:rPr>
        <w:t>’</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adolescent</w:t>
      </w:r>
      <w:r w:rsidRPr="00191307">
        <w:rPr>
          <w:rFonts w:eastAsia="Calibri"/>
          <w:noProof/>
          <w:lang w:val="fr-FR"/>
        </w:rPr>
        <w:t xml:space="preserv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sidRPr="00191307">
        <w:rPr>
          <w:rFonts w:eastAsia="Calibri"/>
          <w:noProof/>
          <w:lang w:val="fr-FR"/>
        </w:rPr>
        <w:t xml:space="preserve">, </w:t>
      </w:r>
      <w:r>
        <w:rPr>
          <w:rFonts w:eastAsia="Calibri"/>
          <w:noProof/>
          <w:lang w:val="fr-FR"/>
        </w:rPr>
        <w:t xml:space="preserve">le </w:t>
      </w:r>
      <w:r w:rsidRPr="00191307">
        <w:rPr>
          <w:rFonts w:eastAsia="Calibri"/>
          <w:noProof/>
          <w:lang w:val="fr-FR"/>
        </w:rPr>
        <w:t xml:space="preserve">Comité </w:t>
      </w:r>
      <w:r>
        <w:rPr>
          <w:rFonts w:eastAsia="Calibri"/>
          <w:noProof/>
          <w:lang w:val="fr-FR"/>
        </w:rPr>
        <w:t xml:space="preserve">uruguayen </w:t>
      </w:r>
      <w:r w:rsidRPr="00191307">
        <w:rPr>
          <w:rFonts w:eastAsia="Calibri"/>
          <w:noProof/>
          <w:lang w:val="fr-FR"/>
        </w:rPr>
        <w:t>de</w:t>
      </w:r>
      <w:r>
        <w:rPr>
          <w:rFonts w:eastAsia="Calibri"/>
          <w:noProof/>
          <w:lang w:val="fr-FR"/>
        </w:rPr>
        <w:t>s droits de l</w:t>
      </w:r>
      <w:r w:rsidR="00607CA3">
        <w:rPr>
          <w:rFonts w:eastAsia="Calibri"/>
          <w:noProof/>
          <w:lang w:val="fr-FR"/>
        </w:rPr>
        <w:t>’</w:t>
      </w:r>
      <w:r>
        <w:rPr>
          <w:rFonts w:eastAsia="Calibri"/>
          <w:noProof/>
          <w:lang w:val="fr-FR"/>
        </w:rPr>
        <w:t xml:space="preserve">enfant et le Bureau du Procureur général </w:t>
      </w:r>
      <w:r w:rsidRPr="00191307">
        <w:rPr>
          <w:rFonts w:eastAsia="Calibri"/>
          <w:noProof/>
          <w:lang w:val="fr-FR"/>
        </w:rPr>
        <w:t xml:space="preserve">de la </w:t>
      </w:r>
      <w:r>
        <w:rPr>
          <w:rFonts w:eastAsia="Calibri"/>
          <w:noProof/>
          <w:lang w:val="fr-FR"/>
        </w:rPr>
        <w:t>Nation</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lastRenderedPageBreak/>
        <w:t>105.</w:t>
      </w:r>
      <w:r w:rsidRPr="00191307">
        <w:rPr>
          <w:rFonts w:eastAsia="Calibri"/>
          <w:noProof/>
          <w:lang w:val="fr-FR"/>
        </w:rPr>
        <w:tab/>
      </w:r>
      <w:r>
        <w:rPr>
          <w:rFonts w:eastAsia="Calibri"/>
          <w:noProof/>
          <w:lang w:val="fr-FR"/>
        </w:rPr>
        <w:t>Le nouveau programme du système de formation de la police institue à partir de 2016 un parcours professionnel propre et prend systématiquement en considération les droits de l</w:t>
      </w:r>
      <w:r w:rsidR="00607CA3">
        <w:rPr>
          <w:rFonts w:eastAsia="Calibri"/>
          <w:noProof/>
          <w:lang w:val="fr-FR"/>
        </w:rPr>
        <w:t>’</w:t>
      </w:r>
      <w:r>
        <w:rPr>
          <w:rFonts w:eastAsia="Calibri"/>
          <w:noProof/>
          <w:lang w:val="fr-FR"/>
        </w:rPr>
        <w:t>homme dans les différentes matières qui le composent</w:t>
      </w:r>
      <w:r w:rsidRPr="00191307">
        <w:rPr>
          <w:rFonts w:eastAsia="Calibri"/>
          <w:noProof/>
          <w:lang w:val="fr-FR"/>
        </w:rPr>
        <w:t xml:space="preserve">. </w:t>
      </w:r>
      <w:r>
        <w:rPr>
          <w:rFonts w:eastAsia="Calibri"/>
          <w:noProof/>
          <w:lang w:val="fr-FR"/>
        </w:rPr>
        <w:t>Ce programme établit une coordination des activités relevant, entre autres, du service des opérations de la police, des techniques d</w:t>
      </w:r>
      <w:r w:rsidR="00607CA3">
        <w:rPr>
          <w:rFonts w:eastAsia="Calibri"/>
          <w:noProof/>
          <w:lang w:val="fr-FR"/>
        </w:rPr>
        <w:t>’</w:t>
      </w:r>
      <w:r>
        <w:rPr>
          <w:rFonts w:eastAsia="Calibri"/>
          <w:noProof/>
          <w:lang w:val="fr-FR"/>
        </w:rPr>
        <w:t>entraînement des policiers au maniement des armes et de l</w:t>
      </w:r>
      <w:r w:rsidR="00607CA3">
        <w:rPr>
          <w:rFonts w:eastAsia="Calibri"/>
          <w:noProof/>
          <w:lang w:val="fr-FR"/>
        </w:rPr>
        <w:t>’</w:t>
      </w:r>
      <w:r>
        <w:rPr>
          <w:rFonts w:eastAsia="Calibri"/>
          <w:noProof/>
          <w:lang w:val="fr-FR"/>
        </w:rPr>
        <w:t>autodéfense</w:t>
      </w:r>
      <w:r w:rsidRPr="00191307">
        <w:rPr>
          <w:rFonts w:eastAsia="Calibri"/>
          <w:noProof/>
          <w:lang w:val="fr-FR"/>
        </w:rPr>
        <w:t xml:space="preserve">. </w:t>
      </w:r>
      <w:r>
        <w:rPr>
          <w:rFonts w:eastAsia="Calibri"/>
          <w:noProof/>
          <w:lang w:val="fr-FR"/>
        </w:rPr>
        <w:t>Il met en particulier l</w:t>
      </w:r>
      <w:r w:rsidR="00607CA3">
        <w:rPr>
          <w:rFonts w:eastAsia="Calibri"/>
          <w:noProof/>
          <w:lang w:val="fr-FR"/>
        </w:rPr>
        <w:t>’</w:t>
      </w:r>
      <w:r>
        <w:rPr>
          <w:rFonts w:eastAsia="Calibri"/>
          <w:noProof/>
          <w:lang w:val="fr-FR"/>
        </w:rPr>
        <w:t>accent sur l</w:t>
      </w:r>
      <w:r w:rsidR="00607CA3">
        <w:rPr>
          <w:rFonts w:eastAsia="Calibri"/>
          <w:noProof/>
          <w:lang w:val="fr-FR"/>
        </w:rPr>
        <w:t>’</w:t>
      </w:r>
      <w:r>
        <w:rPr>
          <w:rFonts w:eastAsia="Calibri"/>
          <w:noProof/>
          <w:lang w:val="fr-FR"/>
        </w:rPr>
        <w:t>utilisation rationnelle et progressive de la force, et sur les techniques d</w:t>
      </w:r>
      <w:r w:rsidR="00607CA3">
        <w:rPr>
          <w:rFonts w:eastAsia="Calibri"/>
          <w:noProof/>
          <w:lang w:val="fr-FR"/>
        </w:rPr>
        <w:t>’</w:t>
      </w:r>
      <w:r>
        <w:rPr>
          <w:rFonts w:eastAsia="Calibri"/>
          <w:noProof/>
          <w:lang w:val="fr-FR"/>
        </w:rPr>
        <w:t>arrestation</w:t>
      </w:r>
      <w:r w:rsidRPr="00191307">
        <w:rPr>
          <w:rFonts w:eastAsia="Calibri"/>
          <w:noProof/>
          <w:lang w:val="fr-FR"/>
        </w:rPr>
        <w:t xml:space="preserve">. </w:t>
      </w:r>
      <w:r>
        <w:rPr>
          <w:rFonts w:eastAsia="Calibri"/>
          <w:noProof/>
          <w:lang w:val="fr-FR"/>
        </w:rPr>
        <w:t xml:space="preserve">En plus des cours de préparation aux </w:t>
      </w:r>
      <w:r w:rsidRPr="00962466">
        <w:rPr>
          <w:rFonts w:eastAsia="Calibri"/>
          <w:noProof/>
          <w:lang w:val="fr-FR"/>
        </w:rPr>
        <w:t>e</w:t>
      </w:r>
      <w:r w:rsidRPr="00962466">
        <w:rPr>
          <w:noProof/>
          <w:lang w:val="fr-FR"/>
        </w:rPr>
        <w:t>xamens de passage en année supérieure</w:t>
      </w:r>
      <w:r w:rsidRPr="00191307">
        <w:rPr>
          <w:rFonts w:eastAsia="Calibri"/>
          <w:noProof/>
          <w:lang w:val="fr-FR"/>
        </w:rPr>
        <w:t xml:space="preserve">, </w:t>
      </w:r>
      <w:r>
        <w:rPr>
          <w:rFonts w:eastAsia="Calibri"/>
          <w:noProof/>
          <w:lang w:val="fr-FR"/>
        </w:rPr>
        <w:t>il est procédé à des évaluations servant à repérer les besoins d</w:t>
      </w:r>
      <w:r w:rsidR="00607CA3">
        <w:rPr>
          <w:rFonts w:eastAsia="Calibri"/>
          <w:noProof/>
          <w:lang w:val="fr-FR"/>
        </w:rPr>
        <w:t>’</w:t>
      </w:r>
      <w:r>
        <w:rPr>
          <w:rFonts w:eastAsia="Calibri"/>
          <w:noProof/>
          <w:lang w:val="fr-FR"/>
        </w:rPr>
        <w:t>une remise à niveau permanente des élèves, auxquels sont proposés les outils permettant de répondre à ces besoins</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106.</w:t>
      </w:r>
      <w:r w:rsidRPr="00191307">
        <w:rPr>
          <w:rFonts w:eastAsia="Calibri"/>
          <w:noProof/>
          <w:lang w:val="fr-FR"/>
        </w:rPr>
        <w:tab/>
      </w:r>
      <w:r>
        <w:rPr>
          <w:rFonts w:eastAsia="Calibri"/>
          <w:noProof/>
          <w:lang w:val="fr-FR"/>
        </w:rPr>
        <w:t>De plus, une formation est dispensée sur le thème « Techniques d</w:t>
      </w:r>
      <w:r w:rsidR="00607CA3">
        <w:rPr>
          <w:rFonts w:eastAsia="Calibri"/>
          <w:noProof/>
          <w:lang w:val="fr-FR"/>
        </w:rPr>
        <w:t>’</w:t>
      </w:r>
      <w:r>
        <w:rPr>
          <w:rFonts w:eastAsia="Calibri"/>
          <w:noProof/>
          <w:lang w:val="fr-FR"/>
        </w:rPr>
        <w:t xml:space="preserve">intervention dans les situations critiques survenant dans les lieux de privation de liberté » et, en décembre </w:t>
      </w:r>
      <w:r w:rsidRPr="00191307">
        <w:rPr>
          <w:rFonts w:eastAsia="Calibri"/>
          <w:noProof/>
          <w:lang w:val="fr-FR"/>
        </w:rPr>
        <w:t>2017</w:t>
      </w:r>
      <w:r>
        <w:rPr>
          <w:rFonts w:eastAsia="Calibri"/>
          <w:noProof/>
          <w:lang w:val="fr-FR"/>
        </w:rPr>
        <w:t>, une formation d</w:t>
      </w:r>
      <w:r w:rsidR="00607CA3">
        <w:rPr>
          <w:rFonts w:eastAsia="Calibri"/>
          <w:noProof/>
          <w:lang w:val="fr-FR"/>
        </w:rPr>
        <w:t>’</w:t>
      </w:r>
      <w:r>
        <w:rPr>
          <w:rFonts w:eastAsia="Calibri"/>
          <w:noProof/>
          <w:lang w:val="fr-FR"/>
        </w:rPr>
        <w:t>instructeur de police a été organisée</w:t>
      </w:r>
      <w:r w:rsidRPr="00191307">
        <w:rPr>
          <w:rFonts w:eastAsia="Calibri"/>
          <w:noProof/>
          <w:lang w:val="fr-FR"/>
        </w:rPr>
        <w:t xml:space="preserve">. </w:t>
      </w:r>
      <w:r>
        <w:rPr>
          <w:rFonts w:eastAsia="Calibri"/>
          <w:noProof/>
          <w:lang w:val="fr-FR"/>
        </w:rPr>
        <w:t>Se tiennent de même des ateliers de formation à l</w:t>
      </w:r>
      <w:r w:rsidR="00607CA3">
        <w:rPr>
          <w:rFonts w:eastAsia="Calibri"/>
          <w:noProof/>
          <w:lang w:val="fr-FR"/>
        </w:rPr>
        <w:t>’</w:t>
      </w:r>
      <w:r>
        <w:rPr>
          <w:rFonts w:eastAsia="Calibri"/>
          <w:noProof/>
          <w:lang w:val="fr-FR"/>
        </w:rPr>
        <w:t>identité de genre au niveau des registres et des arrestations, et à l</w:t>
      </w:r>
      <w:r w:rsidR="00607CA3">
        <w:rPr>
          <w:rFonts w:eastAsia="Calibri"/>
          <w:noProof/>
          <w:lang w:val="fr-FR"/>
        </w:rPr>
        <w:t>’</w:t>
      </w:r>
      <w:r>
        <w:rPr>
          <w:rFonts w:eastAsia="Calibri"/>
          <w:noProof/>
          <w:lang w:val="fr-FR"/>
        </w:rPr>
        <w:t>utilisation du langage épicène</w:t>
      </w:r>
      <w:r w:rsidRPr="00191307">
        <w:rPr>
          <w:rFonts w:eastAsia="Calibri"/>
          <w:noProof/>
          <w:lang w:val="fr-FR"/>
        </w:rPr>
        <w:t xml:space="preserve">. </w:t>
      </w:r>
      <w:r>
        <w:rPr>
          <w:rFonts w:eastAsia="Calibri"/>
          <w:noProof/>
          <w:lang w:val="fr-FR"/>
        </w:rPr>
        <w:t>Ce nouveau programme a pour lui d</w:t>
      </w:r>
      <w:r w:rsidR="00607CA3">
        <w:rPr>
          <w:rFonts w:eastAsia="Calibri"/>
          <w:noProof/>
          <w:lang w:val="fr-FR"/>
        </w:rPr>
        <w:t>’</w:t>
      </w:r>
      <w:r>
        <w:rPr>
          <w:rFonts w:eastAsia="Calibri"/>
          <w:noProof/>
          <w:lang w:val="fr-FR"/>
        </w:rPr>
        <w:t>intégrer des activités « hors programme » qui sont autant de moyens d</w:t>
      </w:r>
      <w:r w:rsidR="00607CA3">
        <w:rPr>
          <w:rFonts w:eastAsia="Calibri"/>
          <w:noProof/>
          <w:lang w:val="fr-FR"/>
        </w:rPr>
        <w:t>’</w:t>
      </w:r>
      <w:r>
        <w:rPr>
          <w:rFonts w:eastAsia="Calibri"/>
          <w:noProof/>
          <w:lang w:val="fr-FR"/>
        </w:rPr>
        <w:t>amélioration continue et de révision fréquente des connaissances, sur la base d</w:t>
      </w:r>
      <w:r w:rsidR="00607CA3">
        <w:rPr>
          <w:rFonts w:eastAsia="Calibri"/>
          <w:noProof/>
          <w:lang w:val="fr-FR"/>
        </w:rPr>
        <w:t>’</w:t>
      </w:r>
      <w:r>
        <w:rPr>
          <w:rFonts w:eastAsia="Calibri"/>
          <w:noProof/>
          <w:lang w:val="fr-FR"/>
        </w:rPr>
        <w:t>évaluations réalisées par les coordonnateurs et en fonction des besoins repérés aux plans théorique, réglementaire ou opérationnel</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107.</w:t>
      </w:r>
      <w:r w:rsidRPr="00191307">
        <w:rPr>
          <w:rFonts w:eastAsia="Calibri"/>
          <w:noProof/>
          <w:lang w:val="fr-FR"/>
        </w:rPr>
        <w:tab/>
      </w:r>
      <w:r w:rsidRPr="00AF4C2A">
        <w:rPr>
          <w:rFonts w:eastAsia="Calibri"/>
          <w:noProof/>
          <w:spacing w:val="-4"/>
          <w:lang w:val="fr-FR"/>
        </w:rPr>
        <w:t>Au 31</w:t>
      </w:r>
      <w:r w:rsidR="00AF4C2A" w:rsidRPr="00AF4C2A">
        <w:rPr>
          <w:rFonts w:eastAsia="Calibri"/>
          <w:noProof/>
          <w:spacing w:val="-4"/>
          <w:lang w:val="fr-FR"/>
        </w:rPr>
        <w:t> </w:t>
      </w:r>
      <w:r w:rsidRPr="00AF4C2A">
        <w:rPr>
          <w:rFonts w:eastAsia="Calibri"/>
          <w:noProof/>
          <w:spacing w:val="-4"/>
          <w:lang w:val="fr-FR"/>
        </w:rPr>
        <w:t xml:space="preserve">mars 2018, on comptait 10 202 </w:t>
      </w:r>
      <w:r w:rsidRPr="00AF4C2A">
        <w:rPr>
          <w:rFonts w:eastAsia="Calibri"/>
          <w:noProof/>
          <w:spacing w:val="-2"/>
          <w:lang w:val="fr-FR"/>
        </w:rPr>
        <w:t>personnes privées de</w:t>
      </w:r>
      <w:r w:rsidRPr="00AF4C2A">
        <w:rPr>
          <w:rFonts w:eastAsia="Calibri"/>
          <w:noProof/>
          <w:spacing w:val="-4"/>
          <w:lang w:val="fr-FR"/>
        </w:rPr>
        <w:t xml:space="preserve"> liberté, dont 9</w:t>
      </w:r>
      <w:r w:rsidR="00AF4C2A" w:rsidRPr="00AF4C2A">
        <w:rPr>
          <w:rFonts w:eastAsia="Calibri"/>
          <w:noProof/>
          <w:spacing w:val="-4"/>
          <w:lang w:val="fr-FR"/>
        </w:rPr>
        <w:t> </w:t>
      </w:r>
      <w:r w:rsidRPr="00AF4C2A">
        <w:rPr>
          <w:rFonts w:eastAsia="Calibri"/>
          <w:noProof/>
          <w:spacing w:val="-4"/>
          <w:lang w:val="fr-FR"/>
        </w:rPr>
        <w:t>699 hommes</w:t>
      </w:r>
      <w:r>
        <w:rPr>
          <w:rFonts w:eastAsia="Calibri"/>
          <w:noProof/>
          <w:lang w:val="fr-FR"/>
        </w:rPr>
        <w:t xml:space="preserve"> et </w:t>
      </w:r>
      <w:r w:rsidRPr="00191307">
        <w:rPr>
          <w:rFonts w:eastAsia="Calibri"/>
          <w:noProof/>
          <w:lang w:val="fr-FR"/>
        </w:rPr>
        <w:t xml:space="preserve">503 </w:t>
      </w:r>
      <w:r>
        <w:rPr>
          <w:rFonts w:eastAsia="Calibri"/>
          <w:noProof/>
          <w:lang w:val="fr-FR"/>
        </w:rPr>
        <w:t xml:space="preserve">femmes </w:t>
      </w:r>
      <w:r w:rsidRPr="00191307">
        <w:rPr>
          <w:rFonts w:eastAsia="Calibri"/>
          <w:noProof/>
          <w:lang w:val="fr-FR"/>
        </w:rPr>
        <w:t>(d</w:t>
      </w:r>
      <w:r>
        <w:rPr>
          <w:rFonts w:eastAsia="Calibri"/>
          <w:noProof/>
          <w:lang w:val="fr-FR"/>
        </w:rPr>
        <w:t xml:space="preserve">ont </w:t>
      </w:r>
      <w:r w:rsidRPr="00191307">
        <w:rPr>
          <w:rFonts w:eastAsia="Calibri"/>
          <w:noProof/>
          <w:lang w:val="fr-FR"/>
        </w:rPr>
        <w:t xml:space="preserve">15 </w:t>
      </w:r>
      <w:r>
        <w:rPr>
          <w:rFonts w:eastAsia="Calibri"/>
          <w:noProof/>
          <w:lang w:val="fr-FR"/>
        </w:rPr>
        <w:t>femmes</w:t>
      </w:r>
      <w:r w:rsidRPr="00191307">
        <w:rPr>
          <w:rFonts w:eastAsia="Calibri"/>
          <w:noProof/>
          <w:lang w:val="fr-FR"/>
        </w:rPr>
        <w:t xml:space="preserve"> trans</w:t>
      </w:r>
      <w:r w:rsidRPr="00691AD9">
        <w:rPr>
          <w:rStyle w:val="Appelnotedebasdep"/>
        </w:rPr>
        <w:footnoteReference w:id="21"/>
      </w:r>
      <w:r>
        <w:rPr>
          <w:rFonts w:eastAsia="Calibri"/>
          <w:noProof/>
          <w:lang w:val="fr-FR"/>
        </w:rPr>
        <w:t>)</w:t>
      </w:r>
      <w:r w:rsidR="00AF4C2A">
        <w:rPr>
          <w:rFonts w:eastAsia="Calibri"/>
          <w:noProof/>
          <w:lang w:val="fr-FR"/>
        </w:rPr>
        <w:t> </w:t>
      </w:r>
      <w:r>
        <w:rPr>
          <w:rFonts w:eastAsia="Calibri"/>
          <w:noProof/>
          <w:lang w:val="fr-FR"/>
        </w:rPr>
        <w:t>; il y avait 6</w:t>
      </w:r>
      <w:r w:rsidR="00AF4C2A">
        <w:rPr>
          <w:rFonts w:eastAsia="Calibri"/>
          <w:noProof/>
          <w:lang w:val="fr-FR"/>
        </w:rPr>
        <w:t> </w:t>
      </w:r>
      <w:r w:rsidRPr="00191307">
        <w:rPr>
          <w:rFonts w:eastAsia="Calibri"/>
          <w:noProof/>
          <w:lang w:val="fr-FR"/>
        </w:rPr>
        <w:t xml:space="preserve">464 </w:t>
      </w:r>
      <w:r>
        <w:rPr>
          <w:rFonts w:eastAsia="Calibri"/>
          <w:noProof/>
          <w:lang w:val="fr-FR"/>
        </w:rPr>
        <w:t xml:space="preserve">prévenus et </w:t>
      </w:r>
      <w:r w:rsidRPr="00191307">
        <w:rPr>
          <w:rFonts w:eastAsia="Calibri"/>
          <w:noProof/>
          <w:lang w:val="fr-FR"/>
        </w:rPr>
        <w:t>3</w:t>
      </w:r>
      <w:r w:rsidR="00AF4C2A">
        <w:rPr>
          <w:rFonts w:eastAsia="Calibri"/>
          <w:noProof/>
          <w:lang w:val="fr-FR"/>
        </w:rPr>
        <w:t> </w:t>
      </w:r>
      <w:r w:rsidRPr="00191307">
        <w:rPr>
          <w:rFonts w:eastAsia="Calibri"/>
          <w:noProof/>
          <w:lang w:val="fr-FR"/>
        </w:rPr>
        <w:t xml:space="preserve">738 </w:t>
      </w:r>
      <w:r>
        <w:rPr>
          <w:rFonts w:eastAsia="Calibri"/>
          <w:noProof/>
          <w:lang w:val="fr-FR"/>
        </w:rPr>
        <w:t>condamnés</w:t>
      </w:r>
      <w:r w:rsidRPr="00191307">
        <w:rPr>
          <w:rFonts w:eastAsia="Calibri"/>
          <w:noProof/>
          <w:lang w:val="fr-FR"/>
        </w:rPr>
        <w:t xml:space="preserve">. </w:t>
      </w:r>
      <w:r>
        <w:rPr>
          <w:rFonts w:eastAsia="Calibri"/>
          <w:noProof/>
          <w:lang w:val="fr-FR"/>
        </w:rPr>
        <w:t>À</w:t>
      </w:r>
      <w:r w:rsidR="00AF4C2A">
        <w:rPr>
          <w:rFonts w:eastAsia="Calibri"/>
          <w:noProof/>
          <w:lang w:val="fr-FR"/>
        </w:rPr>
        <w:t> </w:t>
      </w:r>
      <w:r>
        <w:rPr>
          <w:rFonts w:eastAsia="Calibri"/>
          <w:noProof/>
          <w:lang w:val="fr-FR"/>
        </w:rPr>
        <w:t>cette date, on comptait 309 détenus étrangers, dont</w:t>
      </w:r>
      <w:r w:rsidRPr="00191307">
        <w:rPr>
          <w:rFonts w:eastAsia="Calibri"/>
          <w:noProof/>
          <w:lang w:val="fr-FR"/>
        </w:rPr>
        <w:t xml:space="preserve"> 282 hom</w:t>
      </w:r>
      <w:r>
        <w:rPr>
          <w:rFonts w:eastAsia="Calibri"/>
          <w:noProof/>
          <w:lang w:val="fr-FR"/>
        </w:rPr>
        <w:t>m</w:t>
      </w:r>
      <w:r w:rsidRPr="00191307">
        <w:rPr>
          <w:rFonts w:eastAsia="Calibri"/>
          <w:noProof/>
          <w:lang w:val="fr-FR"/>
        </w:rPr>
        <w:t>es (102 de na</w:t>
      </w:r>
      <w:r>
        <w:rPr>
          <w:rFonts w:eastAsia="Calibri"/>
          <w:noProof/>
          <w:lang w:val="fr-FR"/>
        </w:rPr>
        <w:t xml:space="preserve">tionalité brésilienne et </w:t>
      </w:r>
      <w:r w:rsidRPr="00191307">
        <w:rPr>
          <w:rFonts w:eastAsia="Calibri"/>
          <w:noProof/>
          <w:lang w:val="fr-FR"/>
        </w:rPr>
        <w:t xml:space="preserve">87 </w:t>
      </w:r>
      <w:r>
        <w:rPr>
          <w:rFonts w:eastAsia="Calibri"/>
          <w:noProof/>
          <w:lang w:val="fr-FR"/>
        </w:rPr>
        <w:t>de nationalité argentine</w:t>
      </w:r>
      <w:r w:rsidRPr="00191307">
        <w:rPr>
          <w:rFonts w:eastAsia="Calibri"/>
          <w:noProof/>
          <w:lang w:val="fr-FR"/>
        </w:rPr>
        <w:t xml:space="preserve">) </w:t>
      </w:r>
      <w:r>
        <w:rPr>
          <w:rFonts w:eastAsia="Calibri"/>
          <w:noProof/>
          <w:lang w:val="fr-FR"/>
        </w:rPr>
        <w:t>et</w:t>
      </w:r>
      <w:r w:rsidRPr="00191307">
        <w:rPr>
          <w:rFonts w:eastAsia="Calibri"/>
          <w:noProof/>
          <w:lang w:val="fr-FR"/>
        </w:rPr>
        <w:t xml:space="preserve"> 27 </w:t>
      </w:r>
      <w:r>
        <w:rPr>
          <w:rFonts w:eastAsia="Calibri"/>
          <w:noProof/>
          <w:lang w:val="fr-FR"/>
        </w:rPr>
        <w:t xml:space="preserve">femmes </w:t>
      </w:r>
      <w:r w:rsidRPr="00191307">
        <w:rPr>
          <w:rFonts w:eastAsia="Calibri"/>
          <w:noProof/>
          <w:lang w:val="fr-FR"/>
        </w:rPr>
        <w:t>(11 de na</w:t>
      </w:r>
      <w:r>
        <w:rPr>
          <w:rFonts w:eastAsia="Calibri"/>
          <w:noProof/>
          <w:lang w:val="fr-FR"/>
        </w:rPr>
        <w:t>t</w:t>
      </w:r>
      <w:r w:rsidRPr="00191307">
        <w:rPr>
          <w:rFonts w:eastAsia="Calibri"/>
          <w:noProof/>
          <w:lang w:val="fr-FR"/>
        </w:rPr>
        <w:t>ionali</w:t>
      </w:r>
      <w:r>
        <w:rPr>
          <w:rFonts w:eastAsia="Calibri"/>
          <w:noProof/>
          <w:lang w:val="fr-FR"/>
        </w:rPr>
        <w:t>té</w:t>
      </w:r>
      <w:r w:rsidRPr="00191307">
        <w:rPr>
          <w:rFonts w:eastAsia="Calibri"/>
          <w:noProof/>
          <w:lang w:val="fr-FR"/>
        </w:rPr>
        <w:t xml:space="preserve"> </w:t>
      </w:r>
      <w:r w:rsidRPr="00191307">
        <w:rPr>
          <w:noProof/>
          <w:lang w:val="fr-FR"/>
        </w:rPr>
        <w:t>argentin</w:t>
      </w:r>
      <w:r>
        <w:rPr>
          <w:noProof/>
          <w:lang w:val="fr-FR"/>
        </w:rPr>
        <w:t>e</w:t>
      </w:r>
      <w:r w:rsidRPr="00191307">
        <w:rPr>
          <w:rFonts w:eastAsia="Calibri"/>
          <w:noProof/>
          <w:lang w:val="fr-FR"/>
        </w:rPr>
        <w:t xml:space="preserve"> </w:t>
      </w:r>
      <w:r>
        <w:rPr>
          <w:rFonts w:eastAsia="Calibri"/>
          <w:noProof/>
          <w:lang w:val="fr-FR"/>
        </w:rPr>
        <w:t xml:space="preserve">et </w:t>
      </w:r>
      <w:r w:rsidR="00691AD9">
        <w:rPr>
          <w:rFonts w:eastAsia="Calibri"/>
          <w:noProof/>
          <w:lang w:val="fr-FR"/>
        </w:rPr>
        <w:t>7 </w:t>
      </w:r>
      <w:r>
        <w:rPr>
          <w:rFonts w:eastAsia="Calibri"/>
          <w:noProof/>
          <w:lang w:val="fr-FR"/>
        </w:rPr>
        <w:t>Brésiliennes</w:t>
      </w:r>
      <w:r w:rsidRPr="00191307">
        <w:rPr>
          <w:rFonts w:eastAsia="Calibri"/>
          <w:noProof/>
          <w:lang w:val="fr-FR"/>
        </w:rPr>
        <w:t xml:space="preserve">). </w:t>
      </w:r>
      <w:r>
        <w:rPr>
          <w:rFonts w:eastAsia="Calibri"/>
          <w:noProof/>
          <w:lang w:val="fr-FR"/>
        </w:rPr>
        <w:t>En décembre 2017, le taux d</w:t>
      </w:r>
      <w:r w:rsidR="00607CA3">
        <w:rPr>
          <w:rFonts w:eastAsia="Calibri"/>
          <w:noProof/>
          <w:lang w:val="fr-FR"/>
        </w:rPr>
        <w:t>’</w:t>
      </w:r>
      <w:r>
        <w:rPr>
          <w:rFonts w:eastAsia="Calibri"/>
          <w:noProof/>
          <w:lang w:val="fr-FR"/>
        </w:rPr>
        <w:t xml:space="preserve">occupation était de </w:t>
      </w:r>
      <w:r w:rsidRPr="00191307">
        <w:rPr>
          <w:rFonts w:eastAsia="Calibri"/>
          <w:noProof/>
          <w:lang w:val="fr-FR"/>
        </w:rPr>
        <w:t>46,5 %</w:t>
      </w:r>
      <w:r>
        <w:rPr>
          <w:rFonts w:eastAsia="Calibri"/>
          <w:noProof/>
          <w:lang w:val="fr-FR"/>
        </w:rPr>
        <w:t> :</w:t>
      </w:r>
      <w:r w:rsidRPr="00191307">
        <w:rPr>
          <w:rFonts w:eastAsia="Calibri"/>
          <w:noProof/>
          <w:lang w:val="fr-FR"/>
        </w:rPr>
        <w:t xml:space="preserve"> </w:t>
      </w:r>
      <w:r>
        <w:rPr>
          <w:rFonts w:eastAsia="Calibri"/>
          <w:noProof/>
          <w:lang w:val="fr-FR"/>
        </w:rPr>
        <w:t xml:space="preserve">le chiffre de </w:t>
      </w:r>
      <w:r w:rsidRPr="00191307">
        <w:rPr>
          <w:rFonts w:eastAsia="Calibri"/>
          <w:noProof/>
          <w:lang w:val="fr-FR"/>
        </w:rPr>
        <w:t>10</w:t>
      </w:r>
      <w:r w:rsidR="00AF4C2A">
        <w:rPr>
          <w:rFonts w:eastAsia="Calibri"/>
          <w:noProof/>
          <w:lang w:val="fr-FR"/>
        </w:rPr>
        <w:t> </w:t>
      </w:r>
      <w:r w:rsidRPr="00191307">
        <w:rPr>
          <w:rFonts w:eastAsia="Calibri"/>
          <w:noProof/>
          <w:lang w:val="fr-FR"/>
        </w:rPr>
        <w:t>275</w:t>
      </w:r>
      <w:r w:rsidR="00AF4C2A">
        <w:rPr>
          <w:rFonts w:eastAsia="Calibri"/>
          <w:noProof/>
          <w:lang w:val="fr-FR"/>
        </w:rPr>
        <w:t> </w:t>
      </w:r>
      <w:r>
        <w:rPr>
          <w:rFonts w:eastAsia="Calibri"/>
          <w:noProof/>
          <w:lang w:val="fr-FR"/>
        </w:rPr>
        <w:t>personnes détenues tenait en partie à l</w:t>
      </w:r>
      <w:r w:rsidR="00607CA3">
        <w:rPr>
          <w:rFonts w:eastAsia="Calibri"/>
          <w:noProof/>
          <w:lang w:val="fr-FR"/>
        </w:rPr>
        <w:t>’</w:t>
      </w:r>
      <w:r>
        <w:rPr>
          <w:rFonts w:eastAsia="Calibri"/>
          <w:noProof/>
          <w:lang w:val="fr-FR"/>
        </w:rPr>
        <w:t>augmentation du nombre d</w:t>
      </w:r>
      <w:r w:rsidR="00607CA3">
        <w:rPr>
          <w:rFonts w:eastAsia="Calibri"/>
          <w:noProof/>
          <w:lang w:val="fr-FR"/>
        </w:rPr>
        <w:t>’</w:t>
      </w:r>
      <w:r>
        <w:rPr>
          <w:rFonts w:eastAsia="Calibri"/>
          <w:noProof/>
          <w:lang w:val="fr-FR"/>
        </w:rPr>
        <w:t>accords et à la mise en place des</w:t>
      </w:r>
      <w:r w:rsidRPr="00191307">
        <w:rPr>
          <w:rFonts w:eastAsia="Calibri"/>
          <w:noProof/>
          <w:lang w:val="fr-FR"/>
        </w:rPr>
        <w:t xml:space="preserve"> Brigad</w:t>
      </w:r>
      <w:r>
        <w:rPr>
          <w:rFonts w:eastAsia="Calibri"/>
          <w:noProof/>
          <w:lang w:val="fr-FR"/>
        </w:rPr>
        <w:t>e</w:t>
      </w:r>
      <w:r w:rsidRPr="00191307">
        <w:rPr>
          <w:rFonts w:eastAsia="Calibri"/>
          <w:noProof/>
          <w:lang w:val="fr-FR"/>
        </w:rPr>
        <w:t>s d</w:t>
      </w:r>
      <w:r w:rsidR="00607CA3">
        <w:rPr>
          <w:rFonts w:eastAsia="Calibri"/>
          <w:noProof/>
          <w:lang w:val="fr-FR"/>
        </w:rPr>
        <w:t>’</w:t>
      </w:r>
      <w:r>
        <w:rPr>
          <w:rFonts w:eastAsia="Calibri"/>
          <w:noProof/>
          <w:lang w:val="fr-FR"/>
        </w:rPr>
        <w:t>action citoyenne</w:t>
      </w:r>
      <w:r w:rsidRPr="00191307">
        <w:rPr>
          <w:rFonts w:eastAsia="Calibri"/>
          <w:noProof/>
          <w:lang w:val="fr-FR"/>
        </w:rPr>
        <w:t xml:space="preserve">. </w:t>
      </w:r>
      <w:r>
        <w:rPr>
          <w:rFonts w:eastAsia="Calibri"/>
          <w:noProof/>
          <w:lang w:val="fr-FR"/>
        </w:rPr>
        <w:t>Ces brigades effectuent des travaux pour la collectivité (construction ou réparation de places, hôpitaux, lycées et écoles).</w:t>
      </w:r>
    </w:p>
    <w:p w:rsidR="00596826" w:rsidRPr="00191307" w:rsidRDefault="00596826" w:rsidP="00596826">
      <w:pPr>
        <w:pStyle w:val="SingleTxtG"/>
        <w:rPr>
          <w:rFonts w:eastAsia="Calibri"/>
          <w:noProof/>
          <w:lang w:val="fr-FR"/>
        </w:rPr>
      </w:pPr>
      <w:r w:rsidRPr="00191307">
        <w:rPr>
          <w:rFonts w:eastAsia="Calibri"/>
          <w:noProof/>
          <w:lang w:val="fr-FR"/>
        </w:rPr>
        <w:t>108.</w:t>
      </w:r>
      <w:r w:rsidRPr="00191307">
        <w:rPr>
          <w:rFonts w:eastAsia="Calibri"/>
          <w:noProof/>
          <w:lang w:val="fr-FR"/>
        </w:rPr>
        <w:tab/>
        <w:t>L</w:t>
      </w:r>
      <w:r>
        <w:rPr>
          <w:rFonts w:eastAsia="Calibri"/>
          <w:noProof/>
          <w:lang w:val="fr-FR"/>
        </w:rPr>
        <w:t>e</w:t>
      </w:r>
      <w:r w:rsidRPr="00191307">
        <w:rPr>
          <w:rFonts w:eastAsia="Calibri"/>
          <w:noProof/>
          <w:lang w:val="fr-FR"/>
        </w:rPr>
        <w:t xml:space="preserve">s </w:t>
      </w:r>
      <w:r>
        <w:rPr>
          <w:rFonts w:eastAsia="Calibri"/>
          <w:noProof/>
          <w:lang w:val="fr-FR"/>
        </w:rPr>
        <w:t>personnes privées de liberté sont placées dans les centres de détention conformément à leur situation de condamnés ou de prévenus et selon leur sexe</w:t>
      </w:r>
      <w:r w:rsidR="00691AD9">
        <w:rPr>
          <w:rFonts w:eastAsia="Calibri"/>
          <w:noProof/>
          <w:lang w:val="fr-FR"/>
        </w:rPr>
        <w:t> </w:t>
      </w:r>
      <w:r>
        <w:rPr>
          <w:rFonts w:eastAsia="Calibri"/>
          <w:noProof/>
          <w:lang w:val="fr-FR"/>
        </w:rPr>
        <w:t>; depuis  l</w:t>
      </w:r>
      <w:r w:rsidR="00607CA3">
        <w:rPr>
          <w:rFonts w:eastAsia="Calibri"/>
          <w:noProof/>
          <w:lang w:val="fr-FR"/>
        </w:rPr>
        <w:t>’</w:t>
      </w:r>
      <w:r>
        <w:rPr>
          <w:rFonts w:eastAsia="Calibri"/>
          <w:noProof/>
          <w:lang w:val="fr-FR"/>
        </w:rPr>
        <w:t>adoption du nouveau Code, certains quartiers de ces centres sont réservés aux personnes faisant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une mesure de détention provisoire</w:t>
      </w:r>
      <w:r w:rsidRPr="00191307">
        <w:rPr>
          <w:rFonts w:eastAsia="Calibri"/>
          <w:noProof/>
          <w:lang w:val="fr-FR"/>
        </w:rPr>
        <w:t xml:space="preserve">. </w:t>
      </w:r>
      <w:r>
        <w:rPr>
          <w:rFonts w:eastAsia="Calibri"/>
          <w:noProof/>
          <w:lang w:val="fr-FR"/>
        </w:rPr>
        <w:t>Le Ministère de l</w:t>
      </w:r>
      <w:r w:rsidR="00607CA3">
        <w:rPr>
          <w:rFonts w:eastAsia="Calibri"/>
          <w:noProof/>
          <w:lang w:val="fr-FR"/>
        </w:rPr>
        <w:t>’</w:t>
      </w:r>
      <w:r>
        <w:rPr>
          <w:rFonts w:eastAsia="Calibri"/>
          <w:noProof/>
          <w:lang w:val="fr-FR"/>
        </w:rPr>
        <w:t>intérieur fait avancer la procédure d</w:t>
      </w:r>
      <w:r w:rsidR="00607CA3">
        <w:rPr>
          <w:rFonts w:eastAsia="Calibri"/>
          <w:noProof/>
          <w:lang w:val="fr-FR"/>
        </w:rPr>
        <w:t>’</w:t>
      </w:r>
      <w:r>
        <w:rPr>
          <w:rFonts w:eastAsia="Calibri"/>
          <w:noProof/>
          <w:lang w:val="fr-FR"/>
        </w:rPr>
        <w:t>adoption d</w:t>
      </w:r>
      <w:r w:rsidR="00607CA3">
        <w:rPr>
          <w:rFonts w:eastAsia="Calibri"/>
          <w:noProof/>
          <w:lang w:val="fr-FR"/>
        </w:rPr>
        <w:t>’</w:t>
      </w:r>
      <w:r>
        <w:rPr>
          <w:rFonts w:eastAsia="Calibri"/>
          <w:noProof/>
          <w:lang w:val="fr-FR"/>
        </w:rPr>
        <w:t>un projet de loi sur l</w:t>
      </w:r>
      <w:r w:rsidR="00607CA3">
        <w:rPr>
          <w:rFonts w:eastAsia="Calibri"/>
          <w:noProof/>
          <w:lang w:val="fr-FR"/>
        </w:rPr>
        <w:t>’</w:t>
      </w:r>
      <w:r>
        <w:rPr>
          <w:rFonts w:eastAsia="Calibri"/>
          <w:noProof/>
          <w:lang w:val="fr-FR"/>
        </w:rPr>
        <w:t>organisation du système pénitentiaire national, qui propose de créer un organe décentralisé appelé « </w:t>
      </w:r>
      <w:r w:rsidRPr="00191307">
        <w:rPr>
          <w:rFonts w:eastAsia="Calibri"/>
          <w:noProof/>
          <w:lang w:val="fr-FR"/>
        </w:rPr>
        <w:t xml:space="preserve">Institut </w:t>
      </w:r>
      <w:r>
        <w:rPr>
          <w:rFonts w:eastAsia="Calibri"/>
          <w:noProof/>
          <w:lang w:val="fr-FR"/>
        </w:rPr>
        <w:t xml:space="preserve">national de réinsertion », </w:t>
      </w:r>
      <w:r w:rsidRPr="00C56B87">
        <w:rPr>
          <w:noProof/>
          <w:lang w:val="fr-FR"/>
        </w:rPr>
        <w:t>placé sous la tutelle du Ministère de l</w:t>
      </w:r>
      <w:r w:rsidR="00607CA3">
        <w:rPr>
          <w:noProof/>
          <w:lang w:val="fr-FR"/>
        </w:rPr>
        <w:t>’</w:t>
      </w:r>
      <w:r w:rsidRPr="00C56B87">
        <w:rPr>
          <w:noProof/>
          <w:lang w:val="fr-FR"/>
        </w:rPr>
        <w:t>éducation et de la culture</w:t>
      </w:r>
      <w:r w:rsidRPr="00191307">
        <w:rPr>
          <w:rFonts w:eastAsia="Calibri"/>
          <w:noProof/>
          <w:lang w:val="fr-FR"/>
        </w:rPr>
        <w:t xml:space="preserve">. </w:t>
      </w:r>
      <w:r>
        <w:rPr>
          <w:rFonts w:eastAsia="Calibri"/>
          <w:noProof/>
          <w:lang w:val="fr-FR"/>
        </w:rPr>
        <w:t>On attend la signature des ministères concernés</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109.</w:t>
      </w:r>
      <w:r w:rsidRPr="00191307">
        <w:rPr>
          <w:rFonts w:eastAsia="Calibri"/>
          <w:noProof/>
          <w:lang w:val="fr-FR"/>
        </w:rPr>
        <w:tab/>
      </w:r>
      <w:r>
        <w:rPr>
          <w:rFonts w:eastAsia="Calibri"/>
          <w:noProof/>
          <w:lang w:val="fr-FR"/>
        </w:rPr>
        <w:t>Le nouveau Code de procédure pénale prévoit quant à lui la détention provisoire dans certains cas et fixe une limite à sa durée, évitant d</w:t>
      </w:r>
      <w:r w:rsidR="00607CA3">
        <w:rPr>
          <w:rFonts w:eastAsia="Calibri"/>
          <w:noProof/>
          <w:lang w:val="fr-FR"/>
        </w:rPr>
        <w:t>’</w:t>
      </w:r>
      <w:r>
        <w:rPr>
          <w:rFonts w:eastAsia="Calibri"/>
          <w:noProof/>
          <w:lang w:val="fr-FR"/>
        </w:rPr>
        <w:t>en faire une mesure à appliquer en priorité</w:t>
      </w:r>
      <w:r w:rsidRPr="00191307">
        <w:rPr>
          <w:rFonts w:eastAsia="Calibri"/>
          <w:noProof/>
          <w:lang w:val="fr-FR"/>
        </w:rPr>
        <w:t xml:space="preserve">. </w:t>
      </w:r>
      <w:r>
        <w:rPr>
          <w:rFonts w:eastAsia="Calibri"/>
          <w:noProof/>
          <w:lang w:val="fr-FR"/>
        </w:rPr>
        <w:t>Il prévoit également différentes mesures de substitution à celles déjà prévues.</w:t>
      </w:r>
      <w:r w:rsidRPr="00191307">
        <w:rPr>
          <w:rFonts w:eastAsia="Calibri"/>
          <w:noProof/>
          <w:lang w:val="fr-FR"/>
        </w:rPr>
        <w:t xml:space="preserve"> </w:t>
      </w:r>
      <w:r>
        <w:rPr>
          <w:rFonts w:eastAsia="Calibri"/>
          <w:noProof/>
          <w:lang w:val="fr-FR"/>
        </w:rPr>
        <w:t xml:space="preserve">La loi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sidRPr="00191307">
        <w:rPr>
          <w:rFonts w:eastAsia="Calibri"/>
          <w:noProof/>
          <w:lang w:val="fr-FR"/>
        </w:rPr>
        <w:t>19446, d</w:t>
      </w:r>
      <w:r w:rsidR="00607CA3">
        <w:rPr>
          <w:rFonts w:eastAsia="Calibri"/>
          <w:noProof/>
          <w:lang w:val="fr-FR"/>
        </w:rPr>
        <w:t>’</w:t>
      </w:r>
      <w:r w:rsidRPr="00191307">
        <w:rPr>
          <w:rFonts w:eastAsia="Calibri"/>
          <w:noProof/>
          <w:lang w:val="fr-FR"/>
        </w:rPr>
        <w:t>oct</w:t>
      </w:r>
      <w:r>
        <w:rPr>
          <w:rFonts w:eastAsia="Calibri"/>
          <w:noProof/>
          <w:lang w:val="fr-FR"/>
        </w:rPr>
        <w:t>o</w:t>
      </w:r>
      <w:r w:rsidRPr="00191307">
        <w:rPr>
          <w:rFonts w:eastAsia="Calibri"/>
          <w:noProof/>
          <w:lang w:val="fr-FR"/>
        </w:rPr>
        <w:t xml:space="preserve">bre 2016, </w:t>
      </w:r>
      <w:r>
        <w:rPr>
          <w:rFonts w:eastAsia="Calibri"/>
          <w:noProof/>
          <w:lang w:val="fr-FR"/>
        </w:rPr>
        <w:t>établit le régime de l</w:t>
      </w:r>
      <w:r w:rsidR="00607CA3">
        <w:rPr>
          <w:rFonts w:eastAsia="Calibri"/>
          <w:noProof/>
          <w:lang w:val="fr-FR"/>
        </w:rPr>
        <w:t>’</w:t>
      </w:r>
      <w:r>
        <w:rPr>
          <w:rFonts w:eastAsia="Calibri"/>
          <w:noProof/>
          <w:lang w:val="fr-FR"/>
        </w:rPr>
        <w:t xml:space="preserve">aménagement de peine et de la libération sous contrainte, deux mesures de substitution </w:t>
      </w:r>
      <w:r w:rsidRPr="00191307">
        <w:rPr>
          <w:rFonts w:eastAsia="Calibri"/>
          <w:noProof/>
          <w:lang w:val="fr-FR"/>
        </w:rPr>
        <w:t>s</w:t>
      </w:r>
      <w:r>
        <w:rPr>
          <w:rFonts w:eastAsia="Calibri"/>
          <w:noProof/>
          <w:lang w:val="fr-FR"/>
        </w:rPr>
        <w:t>oumises au contrôle du Bureau de suivi des mesures de probation</w:t>
      </w:r>
      <w:r w:rsidRPr="00191307">
        <w:rPr>
          <w:rFonts w:eastAsia="Calibri"/>
          <w:noProof/>
          <w:lang w:val="fr-FR"/>
        </w:rPr>
        <w:t xml:space="preserve">, </w:t>
      </w:r>
      <w:r>
        <w:rPr>
          <w:rFonts w:eastAsia="Calibri"/>
          <w:noProof/>
          <w:lang w:val="fr-FR"/>
        </w:rPr>
        <w:t>ce dernier ayant renforcé sa structure pour pouvoir effectuer le contrôle et le suivi de ces mesures</w:t>
      </w:r>
      <w:r w:rsidRPr="00191307">
        <w:rPr>
          <w:rFonts w:eastAsia="Calibri"/>
          <w:noProof/>
          <w:lang w:val="fr-FR"/>
        </w:rPr>
        <w:t xml:space="preserve">. </w:t>
      </w:r>
      <w:r>
        <w:rPr>
          <w:rFonts w:eastAsia="Calibri"/>
          <w:noProof/>
          <w:lang w:val="fr-FR"/>
        </w:rPr>
        <w:t>En ce qui concerne les femmes, le Code susvisé prévoit de mettre fin à la détention provisoire ou de la remplacer par une autre mesure lorsque l</w:t>
      </w:r>
      <w:r w:rsidR="00607CA3">
        <w:rPr>
          <w:rFonts w:eastAsia="Calibri"/>
          <w:noProof/>
          <w:lang w:val="fr-FR"/>
        </w:rPr>
        <w:t>’</w:t>
      </w:r>
      <w:r>
        <w:rPr>
          <w:rFonts w:eastAsia="Calibri"/>
          <w:noProof/>
          <w:lang w:val="fr-FR"/>
        </w:rPr>
        <w:t>inculpée est enceinte de cinq mois ou qu</w:t>
      </w:r>
      <w:r w:rsidR="00607CA3">
        <w:rPr>
          <w:rFonts w:eastAsia="Calibri"/>
          <w:noProof/>
          <w:lang w:val="fr-FR"/>
        </w:rPr>
        <w:t>’</w:t>
      </w:r>
      <w:r>
        <w:rPr>
          <w:rFonts w:eastAsia="Calibri"/>
          <w:noProof/>
          <w:lang w:val="fr-FR"/>
        </w:rPr>
        <w:t>une mère allaite un enfant de moins d</w:t>
      </w:r>
      <w:r w:rsidR="00691AD9">
        <w:rPr>
          <w:rFonts w:eastAsia="Calibri"/>
          <w:noProof/>
          <w:lang w:val="fr-FR"/>
        </w:rPr>
        <w:t>e 1 </w:t>
      </w:r>
      <w:r>
        <w:rPr>
          <w:rFonts w:eastAsia="Calibri"/>
          <w:noProof/>
          <w:lang w:val="fr-FR"/>
        </w:rPr>
        <w:t>an</w:t>
      </w:r>
      <w:r w:rsidRPr="00191307">
        <w:rPr>
          <w:rFonts w:eastAsia="Calibri"/>
          <w:noProof/>
          <w:lang w:val="fr-FR"/>
        </w:rPr>
        <w:t xml:space="preserve">. </w:t>
      </w:r>
      <w:r>
        <w:rPr>
          <w:rFonts w:eastAsia="Calibri"/>
          <w:noProof/>
          <w:lang w:val="fr-FR"/>
        </w:rPr>
        <w:t>De plus, l</w:t>
      </w:r>
      <w:r w:rsidR="00607CA3">
        <w:rPr>
          <w:rFonts w:eastAsia="Calibri"/>
          <w:noProof/>
          <w:lang w:val="fr-FR"/>
        </w:rPr>
        <w:t>’</w:t>
      </w:r>
      <w:r>
        <w:rPr>
          <w:rFonts w:eastAsia="Calibri"/>
          <w:noProof/>
          <w:lang w:val="fr-FR"/>
        </w:rPr>
        <w:t>article 235 de ce Code fixe des limites à la durée de la détention provisoire</w:t>
      </w:r>
      <w:r w:rsidRPr="00191307">
        <w:rPr>
          <w:rFonts w:eastAsia="Calibri"/>
          <w:noProof/>
          <w:lang w:val="fr-FR"/>
        </w:rPr>
        <w:t>.</w:t>
      </w:r>
      <w:r>
        <w:rPr>
          <w:rFonts w:eastAsia="Calibri"/>
          <w:noProof/>
          <w:lang w:val="fr-FR"/>
        </w:rPr>
        <w:t xml:space="preserve"> La libération sous contrainte </w:t>
      </w:r>
      <w:r w:rsidRPr="00191307">
        <w:rPr>
          <w:rFonts w:eastAsia="Calibri"/>
          <w:noProof/>
          <w:lang w:val="fr-FR"/>
        </w:rPr>
        <w:t xml:space="preserve">exige </w:t>
      </w:r>
      <w:r>
        <w:rPr>
          <w:rFonts w:eastAsia="Calibri"/>
          <w:noProof/>
          <w:lang w:val="fr-FR"/>
        </w:rPr>
        <w:t>l</w:t>
      </w:r>
      <w:r w:rsidR="00607CA3">
        <w:rPr>
          <w:rFonts w:eastAsia="Calibri"/>
          <w:noProof/>
          <w:lang w:val="fr-FR"/>
        </w:rPr>
        <w:t>’</w:t>
      </w:r>
      <w:r>
        <w:rPr>
          <w:rFonts w:eastAsia="Calibri"/>
          <w:noProof/>
          <w:lang w:val="fr-FR"/>
        </w:rPr>
        <w:t>élaboration, le suivi et l</w:t>
      </w:r>
      <w:r w:rsidR="00607CA3">
        <w:rPr>
          <w:rFonts w:eastAsia="Calibri"/>
          <w:noProof/>
          <w:lang w:val="fr-FR"/>
        </w:rPr>
        <w:t>’</w:t>
      </w:r>
      <w:r>
        <w:rPr>
          <w:rFonts w:eastAsia="Calibri"/>
          <w:noProof/>
          <w:lang w:val="fr-FR"/>
        </w:rPr>
        <w:t>évaluation d</w:t>
      </w:r>
      <w:r w:rsidR="00607CA3">
        <w:rPr>
          <w:rFonts w:eastAsia="Calibri"/>
          <w:noProof/>
          <w:lang w:val="fr-FR"/>
        </w:rPr>
        <w:t>’</w:t>
      </w:r>
      <w:r>
        <w:rPr>
          <w:rFonts w:eastAsia="Calibri"/>
          <w:noProof/>
          <w:lang w:val="fr-FR"/>
        </w:rPr>
        <w:t>un programme d</w:t>
      </w:r>
      <w:r w:rsidR="00607CA3">
        <w:rPr>
          <w:rFonts w:eastAsia="Calibri"/>
          <w:noProof/>
          <w:lang w:val="fr-FR"/>
        </w:rPr>
        <w:t>’</w:t>
      </w:r>
      <w:r>
        <w:rPr>
          <w:rFonts w:eastAsia="Calibri"/>
          <w:noProof/>
          <w:lang w:val="fr-FR"/>
        </w:rPr>
        <w:t>intervention individuel consistant en une série d</w:t>
      </w:r>
      <w:r w:rsidR="00607CA3">
        <w:rPr>
          <w:rFonts w:eastAsia="Calibri"/>
          <w:noProof/>
          <w:lang w:val="fr-FR"/>
        </w:rPr>
        <w:t>’</w:t>
      </w:r>
      <w:r>
        <w:rPr>
          <w:rFonts w:eastAsia="Calibri"/>
          <w:noProof/>
          <w:lang w:val="fr-FR"/>
        </w:rPr>
        <w:t xml:space="preserve">activités normalisées </w:t>
      </w:r>
      <w:r w:rsidRPr="00191307">
        <w:rPr>
          <w:rFonts w:eastAsia="Calibri"/>
          <w:noProof/>
          <w:lang w:val="fr-FR"/>
        </w:rPr>
        <w:t>que la person</w:t>
      </w:r>
      <w:r>
        <w:rPr>
          <w:rFonts w:eastAsia="Calibri"/>
          <w:noProof/>
          <w:lang w:val="fr-FR"/>
        </w:rPr>
        <w:t xml:space="preserve">ne doit </w:t>
      </w:r>
      <w:r w:rsidRPr="00191307">
        <w:rPr>
          <w:rFonts w:eastAsia="Calibri"/>
          <w:noProof/>
          <w:lang w:val="fr-FR"/>
        </w:rPr>
        <w:t>a</w:t>
      </w:r>
      <w:r>
        <w:rPr>
          <w:rFonts w:eastAsia="Calibri"/>
          <w:noProof/>
          <w:lang w:val="fr-FR"/>
        </w:rPr>
        <w:t>ccomplir sous la surveillance du Bureau de suivi des mesures de probation</w:t>
      </w:r>
      <w:r w:rsidRPr="00191307">
        <w:rPr>
          <w:rFonts w:eastAsia="Calibri"/>
          <w:noProof/>
          <w:lang w:val="fr-FR"/>
        </w:rPr>
        <w:t xml:space="preserve">. </w:t>
      </w:r>
      <w:r>
        <w:rPr>
          <w:rFonts w:eastAsia="Calibri"/>
          <w:noProof/>
          <w:lang w:val="fr-FR"/>
        </w:rPr>
        <w:t xml:space="preserve">Conformément aux nouvelle règles, ce Bureau a établi un nouvel organigramme de direction </w:t>
      </w:r>
      <w:r>
        <w:rPr>
          <w:rFonts w:eastAsia="Calibri"/>
          <w:noProof/>
          <w:kern w:val="1"/>
          <w:lang w:val="fr-FR"/>
        </w:rPr>
        <w:t>à partir d</w:t>
      </w:r>
      <w:r w:rsidR="00607CA3">
        <w:rPr>
          <w:rFonts w:eastAsia="Calibri"/>
          <w:noProof/>
          <w:kern w:val="1"/>
          <w:lang w:val="fr-FR"/>
        </w:rPr>
        <w:t>’</w:t>
      </w:r>
      <w:r>
        <w:rPr>
          <w:rFonts w:eastAsia="Calibri"/>
          <w:noProof/>
          <w:kern w:val="1"/>
          <w:lang w:val="fr-FR"/>
        </w:rPr>
        <w:t>un schéma de gouvernance d</w:t>
      </w:r>
      <w:r w:rsidR="00607CA3">
        <w:rPr>
          <w:rFonts w:eastAsia="Calibri"/>
          <w:noProof/>
          <w:kern w:val="1"/>
          <w:lang w:val="fr-FR"/>
        </w:rPr>
        <w:t>’</w:t>
      </w:r>
      <w:r>
        <w:rPr>
          <w:rFonts w:eastAsia="Calibri"/>
          <w:noProof/>
          <w:kern w:val="1"/>
          <w:lang w:val="fr-FR"/>
        </w:rPr>
        <w:t>un lieu de privation de liberté</w:t>
      </w:r>
      <w:r w:rsidRPr="00191307">
        <w:rPr>
          <w:rFonts w:eastAsia="Calibri"/>
          <w:noProof/>
          <w:kern w:val="1"/>
          <w:lang w:val="fr-FR"/>
        </w:rPr>
        <w:t xml:space="preserve">, </w:t>
      </w:r>
      <w:r>
        <w:rPr>
          <w:rFonts w:eastAsia="Calibri"/>
          <w:noProof/>
          <w:kern w:val="1"/>
          <w:lang w:val="fr-FR"/>
        </w:rPr>
        <w:t xml:space="preserve">reposant sur </w:t>
      </w:r>
      <w:r>
        <w:rPr>
          <w:rFonts w:eastAsia="Calibri"/>
          <w:noProof/>
          <w:kern w:val="1"/>
          <w:lang w:val="fr-FR"/>
        </w:rPr>
        <w:lastRenderedPageBreak/>
        <w:t>une direction et trois sous-directions (technique, administrative et opérationnelle) toutes composées de professionnels spécialisés</w:t>
      </w:r>
      <w:r w:rsidRPr="00191307">
        <w:rPr>
          <w:rFonts w:eastAsia="Calibri"/>
          <w:noProof/>
          <w:kern w:val="1"/>
          <w:lang w:val="fr-FR"/>
        </w:rPr>
        <w:t>.</w:t>
      </w:r>
      <w:r w:rsidRPr="00191307">
        <w:rPr>
          <w:rFonts w:eastAsia="Calibri"/>
          <w:noProof/>
          <w:lang w:val="fr-FR"/>
        </w:rPr>
        <w:t xml:space="preserve"> </w:t>
      </w:r>
      <w:r>
        <w:rPr>
          <w:rFonts w:eastAsia="Calibri"/>
          <w:noProof/>
          <w:lang w:val="fr-FR"/>
        </w:rPr>
        <w:t>Il est prévu de recruter des professionnels pour renforcer ce Bureau sur le plan technique, et un appel à candidatures a été lancé pour un concours d</w:t>
      </w:r>
      <w:r w:rsidR="00607CA3">
        <w:rPr>
          <w:rFonts w:eastAsia="Calibri"/>
          <w:noProof/>
          <w:lang w:val="fr-FR"/>
        </w:rPr>
        <w:t>’</w:t>
      </w:r>
      <w:r>
        <w:rPr>
          <w:rFonts w:eastAsia="Calibri"/>
          <w:noProof/>
          <w:lang w:val="fr-FR"/>
        </w:rPr>
        <w:t>agents pénitentiaires qui seront chargés de contrôler et de suivre les mesures de probation</w:t>
      </w:r>
      <w:r w:rsidRPr="00191307">
        <w:rPr>
          <w:rFonts w:eastAsia="Calibri"/>
          <w:noProof/>
          <w:kern w:val="1"/>
          <w:lang w:val="fr-FR"/>
        </w:rPr>
        <w:t>.</w:t>
      </w:r>
      <w:r w:rsidRPr="00191307">
        <w:rPr>
          <w:rFonts w:eastAsia="Calibri"/>
          <w:noProof/>
          <w:lang w:val="fr-FR"/>
        </w:rPr>
        <w:t xml:space="preserve"> </w:t>
      </w:r>
      <w:r>
        <w:rPr>
          <w:rFonts w:eastAsia="Calibri"/>
          <w:noProof/>
          <w:lang w:val="fr-FR"/>
        </w:rPr>
        <w:t xml:space="preserve">Le Bureau gère actuellement </w:t>
      </w:r>
      <w:r w:rsidRPr="00191307">
        <w:rPr>
          <w:rFonts w:eastAsia="Calibri"/>
          <w:noProof/>
          <w:kern w:val="1"/>
          <w:lang w:val="fr-FR"/>
        </w:rPr>
        <w:t xml:space="preserve">53 </w:t>
      </w:r>
      <w:r>
        <w:rPr>
          <w:rFonts w:eastAsia="Calibri"/>
          <w:noProof/>
          <w:kern w:val="1"/>
          <w:lang w:val="fr-FR"/>
        </w:rPr>
        <w:t>accords concernant des peines de travaux d</w:t>
      </w:r>
      <w:r w:rsidR="00607CA3">
        <w:rPr>
          <w:rFonts w:eastAsia="Calibri"/>
          <w:noProof/>
          <w:kern w:val="1"/>
          <w:lang w:val="fr-FR"/>
        </w:rPr>
        <w:t>’</w:t>
      </w:r>
      <w:r>
        <w:rPr>
          <w:rFonts w:eastAsia="Calibri"/>
          <w:noProof/>
          <w:kern w:val="1"/>
          <w:lang w:val="fr-FR"/>
        </w:rPr>
        <w:t xml:space="preserve">intérêt général à exécuter à </w:t>
      </w:r>
      <w:r w:rsidRPr="00191307">
        <w:rPr>
          <w:rFonts w:eastAsia="Calibri"/>
          <w:noProof/>
          <w:kern w:val="1"/>
          <w:lang w:val="fr-FR"/>
        </w:rPr>
        <w:t>Montevideo,</w:t>
      </w:r>
      <w:r>
        <w:rPr>
          <w:rFonts w:eastAsia="Calibri"/>
          <w:noProof/>
          <w:kern w:val="1"/>
          <w:lang w:val="fr-FR"/>
        </w:rPr>
        <w:t xml:space="preserve"> accords auxquels sont associées </w:t>
      </w:r>
      <w:r w:rsidRPr="00191307">
        <w:rPr>
          <w:rFonts w:eastAsia="Calibri"/>
          <w:noProof/>
          <w:kern w:val="1"/>
          <w:lang w:val="fr-FR"/>
        </w:rPr>
        <w:t>1</w:t>
      </w:r>
      <w:r w:rsidR="00AF4C2A">
        <w:rPr>
          <w:rFonts w:eastAsia="Calibri"/>
          <w:noProof/>
          <w:kern w:val="1"/>
          <w:lang w:val="fr-FR"/>
        </w:rPr>
        <w:t> </w:t>
      </w:r>
      <w:r w:rsidRPr="00191307">
        <w:rPr>
          <w:rFonts w:eastAsia="Calibri"/>
          <w:noProof/>
          <w:kern w:val="1"/>
          <w:lang w:val="fr-FR"/>
        </w:rPr>
        <w:t>038 person</w:t>
      </w:r>
      <w:r>
        <w:rPr>
          <w:rFonts w:eastAsia="Calibri"/>
          <w:noProof/>
          <w:kern w:val="1"/>
          <w:lang w:val="fr-FR"/>
        </w:rPr>
        <w:t>ne</w:t>
      </w:r>
      <w:r w:rsidRPr="00191307">
        <w:rPr>
          <w:rFonts w:eastAsia="Calibri"/>
          <w:noProof/>
          <w:kern w:val="1"/>
          <w:lang w:val="fr-FR"/>
        </w:rPr>
        <w:t>s</w:t>
      </w:r>
      <w:r>
        <w:rPr>
          <w:rFonts w:eastAsia="Calibri"/>
          <w:noProof/>
          <w:kern w:val="1"/>
          <w:lang w:val="fr-FR"/>
        </w:rPr>
        <w:t xml:space="preserve"> bénéficiant d</w:t>
      </w:r>
      <w:r w:rsidR="00607CA3">
        <w:rPr>
          <w:rFonts w:eastAsia="Calibri"/>
          <w:noProof/>
          <w:kern w:val="1"/>
          <w:lang w:val="fr-FR"/>
        </w:rPr>
        <w:t>’</w:t>
      </w:r>
      <w:r>
        <w:rPr>
          <w:rFonts w:eastAsia="Calibri"/>
          <w:noProof/>
          <w:kern w:val="1"/>
          <w:lang w:val="fr-FR"/>
        </w:rPr>
        <w:t>un aménagement de peine</w:t>
      </w:r>
      <w:r w:rsidRPr="00191307">
        <w:rPr>
          <w:rFonts w:eastAsia="Calibri"/>
          <w:noProof/>
          <w:kern w:val="1"/>
          <w:lang w:val="fr-FR"/>
        </w:rPr>
        <w:t xml:space="preserve">, </w:t>
      </w:r>
      <w:r>
        <w:rPr>
          <w:rFonts w:eastAsia="Calibri"/>
          <w:noProof/>
          <w:kern w:val="1"/>
          <w:lang w:val="fr-FR"/>
        </w:rPr>
        <w:t>ainsi que des travaux d</w:t>
      </w:r>
      <w:r w:rsidR="00607CA3">
        <w:rPr>
          <w:rFonts w:eastAsia="Calibri"/>
          <w:noProof/>
          <w:kern w:val="1"/>
          <w:lang w:val="fr-FR"/>
        </w:rPr>
        <w:t>’</w:t>
      </w:r>
      <w:r>
        <w:rPr>
          <w:rFonts w:eastAsia="Calibri"/>
          <w:noProof/>
          <w:kern w:val="1"/>
          <w:lang w:val="fr-FR"/>
        </w:rPr>
        <w:t xml:space="preserve">intérêt général ordonnés par le </w:t>
      </w:r>
      <w:r w:rsidRPr="00B5735A">
        <w:rPr>
          <w:rFonts w:eastAsia="Calibri"/>
          <w:i/>
          <w:noProof/>
          <w:kern w:val="1"/>
          <w:lang w:val="fr-FR"/>
        </w:rPr>
        <w:t xml:space="preserve">Juzgado de Faltas </w:t>
      </w:r>
      <w:r>
        <w:rPr>
          <w:rFonts w:eastAsia="Calibri"/>
          <w:noProof/>
          <w:kern w:val="1"/>
          <w:lang w:val="fr-FR"/>
        </w:rPr>
        <w:t>(tribunal des infractions de gravité moyenne) et une assignation à résidence</w:t>
      </w:r>
      <w:r w:rsidRPr="00191307">
        <w:rPr>
          <w:rFonts w:eastAsia="Calibri"/>
          <w:noProof/>
          <w:kern w:val="1"/>
          <w:lang w:val="fr-FR"/>
        </w:rPr>
        <w:t>.</w:t>
      </w:r>
    </w:p>
    <w:p w:rsidR="00596826" w:rsidRPr="00191307" w:rsidRDefault="00596826" w:rsidP="00596826">
      <w:pPr>
        <w:pStyle w:val="SingleTxtG"/>
        <w:rPr>
          <w:rFonts w:eastAsia="Calibri"/>
          <w:noProof/>
          <w:lang w:val="fr-FR"/>
        </w:rPr>
      </w:pPr>
      <w:r w:rsidRPr="00191307">
        <w:rPr>
          <w:rFonts w:eastAsia="Calibri"/>
          <w:noProof/>
          <w:lang w:val="fr-FR"/>
        </w:rPr>
        <w:t>110.</w:t>
      </w:r>
      <w:r w:rsidRPr="00191307">
        <w:rPr>
          <w:rFonts w:eastAsia="Calibri"/>
          <w:noProof/>
          <w:lang w:val="fr-FR"/>
        </w:rPr>
        <w:tab/>
      </w:r>
      <w:r>
        <w:rPr>
          <w:rFonts w:eastAsia="Calibri"/>
          <w:noProof/>
          <w:lang w:val="fr-FR"/>
        </w:rPr>
        <w:t>Les soins de santé sont assurés par le système intégré des personnes privées de liberté </w:t>
      </w:r>
      <w:r w:rsidRPr="00191307">
        <w:rPr>
          <w:rFonts w:eastAsia="Calibri"/>
          <w:noProof/>
          <w:lang w:val="fr-FR"/>
        </w:rPr>
        <w:t xml:space="preserve">de </w:t>
      </w:r>
      <w:r>
        <w:rPr>
          <w:rFonts w:eastAsia="Calibri"/>
          <w:noProof/>
          <w:lang w:val="fr-FR"/>
        </w:rPr>
        <w:t>l</w:t>
      </w:r>
      <w:r w:rsidR="00607CA3">
        <w:rPr>
          <w:rFonts w:eastAsia="Calibri"/>
          <w:noProof/>
          <w:lang w:val="fr-FR"/>
        </w:rPr>
        <w:t>’</w:t>
      </w:r>
      <w:r w:rsidRPr="00CA1065">
        <w:rPr>
          <w:noProof/>
          <w:lang w:val="fr-FR"/>
        </w:rPr>
        <w:t>Administration des services de santé de l</w:t>
      </w:r>
      <w:r w:rsidR="00607CA3">
        <w:rPr>
          <w:noProof/>
          <w:lang w:val="fr-FR"/>
        </w:rPr>
        <w:t>’</w:t>
      </w:r>
      <w:r w:rsidRPr="00CA1065">
        <w:rPr>
          <w:noProof/>
          <w:lang w:val="fr-FR"/>
        </w:rPr>
        <w:t>État</w:t>
      </w:r>
      <w:r w:rsidRPr="00191307">
        <w:rPr>
          <w:rFonts w:eastAsia="Calibri"/>
          <w:noProof/>
          <w:lang w:val="fr-FR"/>
        </w:rPr>
        <w:t xml:space="preserve"> </w:t>
      </w:r>
      <w:r>
        <w:rPr>
          <w:rFonts w:eastAsia="Calibri"/>
          <w:noProof/>
          <w:lang w:val="fr-FR"/>
        </w:rPr>
        <w:t xml:space="preserve">dans sept unités, situées pour la plupart dans </w:t>
      </w:r>
      <w:r w:rsidRPr="00191307">
        <w:rPr>
          <w:rFonts w:eastAsia="Calibri"/>
          <w:noProof/>
          <w:lang w:val="fr-FR"/>
        </w:rPr>
        <w:t>la zon</w:t>
      </w:r>
      <w:r>
        <w:rPr>
          <w:rFonts w:eastAsia="Calibri"/>
          <w:noProof/>
          <w:lang w:val="fr-FR"/>
        </w:rPr>
        <w:t>e mé</w:t>
      </w:r>
      <w:r w:rsidRPr="00191307">
        <w:rPr>
          <w:rFonts w:eastAsia="Calibri"/>
          <w:noProof/>
          <w:lang w:val="fr-FR"/>
        </w:rPr>
        <w:t>tropolita</w:t>
      </w:r>
      <w:r>
        <w:rPr>
          <w:rFonts w:eastAsia="Calibri"/>
          <w:noProof/>
          <w:lang w:val="fr-FR"/>
        </w:rPr>
        <w:t>ine</w:t>
      </w:r>
      <w:r w:rsidRPr="00191307">
        <w:rPr>
          <w:rFonts w:eastAsia="Calibri"/>
          <w:noProof/>
          <w:lang w:val="fr-FR"/>
        </w:rPr>
        <w:t>. L</w:t>
      </w:r>
      <w:r>
        <w:rPr>
          <w:rFonts w:eastAsia="Calibri"/>
          <w:noProof/>
          <w:lang w:val="fr-FR"/>
        </w:rPr>
        <w:t>e</w:t>
      </w:r>
      <w:r w:rsidRPr="00191307">
        <w:rPr>
          <w:rFonts w:eastAsia="Calibri"/>
          <w:noProof/>
          <w:lang w:val="fr-FR"/>
        </w:rPr>
        <w:t xml:space="preserve">s </w:t>
      </w:r>
      <w:r>
        <w:rPr>
          <w:rFonts w:eastAsia="Calibri"/>
          <w:noProof/>
          <w:lang w:val="fr-FR"/>
        </w:rPr>
        <w:t xml:space="preserve">autres peuvent compter sur la </w:t>
      </w:r>
      <w:r w:rsidRPr="00595D49">
        <w:rPr>
          <w:noProof/>
          <w:lang w:val="fr-FR"/>
        </w:rPr>
        <w:t>Direction nationale des services de santé de la police</w:t>
      </w:r>
      <w:r w:rsidRPr="00191307">
        <w:rPr>
          <w:rFonts w:eastAsia="Calibri"/>
          <w:noProof/>
          <w:lang w:val="fr-FR"/>
        </w:rPr>
        <w:t>. L</w:t>
      </w:r>
      <w:r>
        <w:rPr>
          <w:rFonts w:eastAsia="Calibri"/>
          <w:noProof/>
          <w:lang w:val="fr-FR"/>
        </w:rPr>
        <w:t>es personnes devant être hospitalisées en vue d</w:t>
      </w:r>
      <w:r w:rsidR="00607CA3">
        <w:rPr>
          <w:rFonts w:eastAsia="Calibri"/>
          <w:noProof/>
          <w:lang w:val="fr-FR"/>
        </w:rPr>
        <w:t>’</w:t>
      </w:r>
      <w:r>
        <w:rPr>
          <w:rFonts w:eastAsia="Calibri"/>
          <w:noProof/>
          <w:lang w:val="fr-FR"/>
        </w:rPr>
        <w:t>une intervention chirurgicale sont transférées dans les hôpitaux départementaux de</w:t>
      </w:r>
      <w:r w:rsidRPr="00B05D03">
        <w:rPr>
          <w:rFonts w:eastAsia="Calibri"/>
          <w:noProof/>
          <w:lang w:val="fr-FR"/>
        </w:rPr>
        <w:t xml:space="preserve"> </w:t>
      </w:r>
      <w:r>
        <w:rPr>
          <w:rFonts w:eastAsia="Calibri"/>
          <w:noProof/>
          <w:lang w:val="fr-FR"/>
        </w:rPr>
        <w:t>l</w:t>
      </w:r>
      <w:r w:rsidR="00607CA3">
        <w:rPr>
          <w:rFonts w:eastAsia="Calibri"/>
          <w:noProof/>
          <w:lang w:val="fr-FR"/>
        </w:rPr>
        <w:t>’</w:t>
      </w:r>
      <w:r w:rsidRPr="00CA1065">
        <w:rPr>
          <w:noProof/>
          <w:lang w:val="fr-FR"/>
        </w:rPr>
        <w:t xml:space="preserve">Administration </w:t>
      </w:r>
      <w:r>
        <w:rPr>
          <w:noProof/>
          <w:lang w:val="fr-FR"/>
        </w:rPr>
        <w:t>susmentionnée</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111.</w:t>
      </w:r>
      <w:r w:rsidRPr="00191307">
        <w:rPr>
          <w:rFonts w:eastAsia="Calibri"/>
          <w:noProof/>
          <w:lang w:val="fr-FR"/>
        </w:rPr>
        <w:tab/>
      </w:r>
      <w:r>
        <w:rPr>
          <w:rFonts w:eastAsia="Calibri"/>
          <w:noProof/>
          <w:lang w:val="fr-FR"/>
        </w:rPr>
        <w:t>S</w:t>
      </w:r>
      <w:r w:rsidR="00607CA3">
        <w:rPr>
          <w:rFonts w:eastAsia="Calibri"/>
          <w:noProof/>
          <w:lang w:val="fr-FR"/>
        </w:rPr>
        <w:t>’</w:t>
      </w:r>
      <w:r>
        <w:rPr>
          <w:rFonts w:eastAsia="Calibri"/>
          <w:noProof/>
          <w:lang w:val="fr-FR"/>
        </w:rPr>
        <w:t>agissant du placement des personnes faisant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 xml:space="preserve">une mesure de détention provisoire et des personnes condamnées, les détenus placés au cinquième étage du </w:t>
      </w:r>
      <w:r w:rsidRPr="008D4A7D">
        <w:rPr>
          <w:noProof/>
          <w:lang w:val="fr-FR"/>
        </w:rPr>
        <w:t>Centr</w:t>
      </w:r>
      <w:r>
        <w:rPr>
          <w:noProof/>
          <w:lang w:val="fr-FR"/>
        </w:rPr>
        <w:t>e</w:t>
      </w:r>
      <w:r w:rsidRPr="008D4A7D">
        <w:rPr>
          <w:noProof/>
          <w:lang w:val="fr-FR"/>
        </w:rPr>
        <w:t xml:space="preserve"> d</w:t>
      </w:r>
      <w:r w:rsidR="00607CA3">
        <w:rPr>
          <w:noProof/>
          <w:lang w:val="fr-FR"/>
        </w:rPr>
        <w:t>’</w:t>
      </w:r>
      <w:r>
        <w:rPr>
          <w:noProof/>
          <w:lang w:val="fr-FR"/>
        </w:rPr>
        <w:t>admission, de diagnostic et d</w:t>
      </w:r>
      <w:r w:rsidR="00607CA3">
        <w:rPr>
          <w:noProof/>
          <w:lang w:val="fr-FR"/>
        </w:rPr>
        <w:t>’</w:t>
      </w:r>
      <w:r>
        <w:rPr>
          <w:noProof/>
          <w:lang w:val="fr-FR"/>
        </w:rPr>
        <w:t>orientation</w:t>
      </w:r>
      <w:r w:rsidRPr="00191307">
        <w:rPr>
          <w:rFonts w:eastAsia="Calibri"/>
          <w:noProof/>
          <w:lang w:val="fr-FR"/>
        </w:rPr>
        <w:t xml:space="preserve"> </w:t>
      </w:r>
      <w:r>
        <w:rPr>
          <w:rFonts w:eastAsia="Calibri"/>
          <w:noProof/>
          <w:lang w:val="fr-FR"/>
        </w:rPr>
        <w:t xml:space="preserve">de la zone métropolitaine ont tous été transférés dans le quartier de haute sécurité XII du centre </w:t>
      </w:r>
      <w:r w:rsidR="00691AD9" w:rsidRPr="00691AD9">
        <w:rPr>
          <w:rFonts w:eastAsia="MS Mincho"/>
          <w:noProof/>
          <w:szCs w:val="22"/>
          <w:lang w:val="fr-FR"/>
        </w:rPr>
        <w:t>n</w:t>
      </w:r>
      <w:r w:rsidR="00691AD9" w:rsidRPr="00691AD9">
        <w:rPr>
          <w:rFonts w:eastAsia="MS Mincho"/>
          <w:noProof/>
          <w:szCs w:val="22"/>
          <w:vertAlign w:val="superscript"/>
          <w:lang w:val="fr-FR"/>
        </w:rPr>
        <w:t>o</w:t>
      </w:r>
      <w:r w:rsidR="00691AD9">
        <w:rPr>
          <w:rFonts w:eastAsia="Calibri"/>
          <w:noProof/>
          <w:lang w:val="fr-FR"/>
        </w:rPr>
        <w:t> </w:t>
      </w:r>
      <w:r>
        <w:rPr>
          <w:rFonts w:eastAsia="Calibri"/>
          <w:noProof/>
          <w:lang w:val="fr-FR"/>
        </w:rPr>
        <w:t>4, et les locaux qu</w:t>
      </w:r>
      <w:r w:rsidR="00607CA3">
        <w:rPr>
          <w:rFonts w:eastAsia="Calibri"/>
          <w:noProof/>
          <w:lang w:val="fr-FR"/>
        </w:rPr>
        <w:t>’</w:t>
      </w:r>
      <w:r>
        <w:rPr>
          <w:rFonts w:eastAsia="Calibri"/>
          <w:noProof/>
          <w:lang w:val="fr-FR"/>
        </w:rPr>
        <w:t>ils occupaient au Centre ont été affectés à un autre usage.</w:t>
      </w:r>
      <w:r w:rsidRPr="00191307">
        <w:rPr>
          <w:rFonts w:eastAsia="Calibri"/>
          <w:noProof/>
          <w:lang w:val="fr-FR"/>
        </w:rPr>
        <w:t xml:space="preserve"> </w:t>
      </w:r>
      <w:r>
        <w:rPr>
          <w:rFonts w:eastAsia="Calibri"/>
          <w:noProof/>
          <w:lang w:val="fr-FR"/>
        </w:rPr>
        <w:t>À l</w:t>
      </w:r>
      <w:r w:rsidR="00607CA3">
        <w:rPr>
          <w:rFonts w:eastAsia="Calibri"/>
          <w:noProof/>
          <w:lang w:val="fr-FR"/>
        </w:rPr>
        <w:t>’</w:t>
      </w:r>
      <w:r>
        <w:rPr>
          <w:rFonts w:eastAsia="Calibri"/>
          <w:noProof/>
          <w:lang w:val="fr-FR"/>
        </w:rPr>
        <w:t>heure actuelle, un seul centre accueille des personnes condamnées, en raison du taux élevé d</w:t>
      </w:r>
      <w:r w:rsidR="00607CA3">
        <w:rPr>
          <w:rFonts w:eastAsia="Calibri"/>
          <w:noProof/>
          <w:lang w:val="fr-FR"/>
        </w:rPr>
        <w:t>’</w:t>
      </w:r>
      <w:r>
        <w:rPr>
          <w:rFonts w:eastAsia="Calibri"/>
          <w:noProof/>
          <w:lang w:val="fr-FR"/>
        </w:rPr>
        <w:t>utilisation de la détention provisoire</w:t>
      </w:r>
      <w:r w:rsidRPr="00191307">
        <w:rPr>
          <w:rFonts w:eastAsia="Calibri"/>
          <w:noProof/>
          <w:lang w:val="fr-FR"/>
        </w:rPr>
        <w:t>.</w:t>
      </w:r>
    </w:p>
    <w:p w:rsidR="00596826" w:rsidRPr="00191307" w:rsidRDefault="00596826" w:rsidP="00596826">
      <w:pPr>
        <w:pStyle w:val="SingleTxtG"/>
        <w:rPr>
          <w:rFonts w:eastAsia="Calibri"/>
          <w:b/>
          <w:bCs/>
          <w:noProof/>
          <w:lang w:val="fr-FR"/>
        </w:rPr>
      </w:pPr>
      <w:r w:rsidRPr="00191307">
        <w:rPr>
          <w:rFonts w:eastAsia="Calibri"/>
          <w:noProof/>
          <w:lang w:val="fr-FR"/>
        </w:rPr>
        <w:t>112.</w:t>
      </w:r>
      <w:r w:rsidRPr="00191307">
        <w:rPr>
          <w:rFonts w:eastAsia="Calibri"/>
          <w:noProof/>
          <w:lang w:val="fr-FR"/>
        </w:rPr>
        <w:tab/>
      </w:r>
      <w:r>
        <w:rPr>
          <w:rFonts w:eastAsia="Calibri"/>
          <w:noProof/>
          <w:lang w:val="fr-FR"/>
        </w:rPr>
        <w:t xml:space="preserve">Le </w:t>
      </w:r>
      <w:r w:rsidRPr="008D4A7D">
        <w:rPr>
          <w:noProof/>
          <w:lang w:val="fr-FR"/>
        </w:rPr>
        <w:t>Centr</w:t>
      </w:r>
      <w:r>
        <w:rPr>
          <w:noProof/>
          <w:lang w:val="fr-FR"/>
        </w:rPr>
        <w:t>e</w:t>
      </w:r>
      <w:r w:rsidRPr="008D4A7D">
        <w:rPr>
          <w:noProof/>
          <w:lang w:val="fr-FR"/>
        </w:rPr>
        <w:t xml:space="preserve"> d</w:t>
      </w:r>
      <w:r w:rsidR="00607CA3">
        <w:rPr>
          <w:noProof/>
          <w:lang w:val="fr-FR"/>
        </w:rPr>
        <w:t>’</w:t>
      </w:r>
      <w:r>
        <w:rPr>
          <w:noProof/>
          <w:lang w:val="fr-FR"/>
        </w:rPr>
        <w:t>admission, de diagnostic et d</w:t>
      </w:r>
      <w:r w:rsidR="00607CA3">
        <w:rPr>
          <w:noProof/>
          <w:lang w:val="fr-FR"/>
        </w:rPr>
        <w:t>’</w:t>
      </w:r>
      <w:r>
        <w:rPr>
          <w:noProof/>
          <w:lang w:val="fr-FR"/>
        </w:rPr>
        <w:t>orientation</w:t>
      </w:r>
      <w:r w:rsidRPr="00191307">
        <w:rPr>
          <w:rFonts w:eastAsia="Calibri"/>
          <w:noProof/>
          <w:lang w:val="fr-FR"/>
        </w:rPr>
        <w:t xml:space="preserve"> </w:t>
      </w:r>
      <w:r>
        <w:rPr>
          <w:rFonts w:eastAsia="Calibri"/>
          <w:noProof/>
          <w:lang w:val="fr-FR"/>
        </w:rPr>
        <w:t>de la zone métropolitaine est une unité d</w:t>
      </w:r>
      <w:r w:rsidR="00607CA3">
        <w:rPr>
          <w:rFonts w:eastAsia="Calibri"/>
          <w:noProof/>
          <w:lang w:val="fr-FR"/>
        </w:rPr>
        <w:t>’</w:t>
      </w:r>
      <w:r>
        <w:rPr>
          <w:rFonts w:eastAsia="Calibri"/>
          <w:noProof/>
          <w:lang w:val="fr-FR"/>
        </w:rPr>
        <w:t>admission temporaire dans laquelle une équipe technique établit le profil de chaque personne privée de liberté dès son admission pour ensuite, au vu des résultats obtenus, pouvoir la placer dans le centre correspondant le mieux à son profil</w:t>
      </w:r>
      <w:r w:rsidRPr="00191307">
        <w:rPr>
          <w:rFonts w:eastAsia="Calibri"/>
          <w:noProof/>
          <w:lang w:val="fr-FR"/>
        </w:rPr>
        <w:t>.</w:t>
      </w:r>
      <w:r w:rsidRPr="00191307">
        <w:rPr>
          <w:rFonts w:eastAsia="Calibri"/>
          <w:b/>
          <w:bCs/>
          <w:noProof/>
          <w:lang w:val="fr-FR"/>
        </w:rPr>
        <w:t xml:space="preserve"> </w:t>
      </w:r>
    </w:p>
    <w:p w:rsidR="00596826" w:rsidRPr="00191307" w:rsidRDefault="00596826" w:rsidP="00596826">
      <w:pPr>
        <w:pStyle w:val="SingleTxtG"/>
        <w:rPr>
          <w:rFonts w:eastAsia="Calibri"/>
          <w:b/>
          <w:bCs/>
          <w:noProof/>
          <w:lang w:val="fr-FR"/>
        </w:rPr>
      </w:pPr>
      <w:r w:rsidRPr="00191307">
        <w:rPr>
          <w:rFonts w:eastAsia="Calibri"/>
          <w:noProof/>
          <w:lang w:val="fr-FR"/>
        </w:rPr>
        <w:t>113.</w:t>
      </w:r>
      <w:r w:rsidRPr="00191307">
        <w:rPr>
          <w:rFonts w:eastAsia="Calibri"/>
          <w:noProof/>
          <w:lang w:val="fr-FR"/>
        </w:rPr>
        <w:tab/>
      </w:r>
      <w:r>
        <w:rPr>
          <w:rFonts w:eastAsia="Calibri"/>
          <w:noProof/>
          <w:lang w:val="fr-FR"/>
        </w:rPr>
        <w:t>L</w:t>
      </w:r>
      <w:r w:rsidR="00607CA3">
        <w:rPr>
          <w:rFonts w:eastAsia="Calibri"/>
          <w:noProof/>
          <w:lang w:val="fr-FR"/>
        </w:rPr>
        <w:t>’</w:t>
      </w:r>
      <w:r>
        <w:rPr>
          <w:rFonts w:eastAsia="Calibri"/>
          <w:noProof/>
          <w:lang w:val="fr-FR"/>
        </w:rPr>
        <w:t>accès de toutes les unités à l</w:t>
      </w:r>
      <w:r w:rsidR="00607CA3">
        <w:rPr>
          <w:rFonts w:eastAsia="Calibri"/>
          <w:noProof/>
          <w:lang w:val="fr-FR"/>
        </w:rPr>
        <w:t>’</w:t>
      </w:r>
      <w:r>
        <w:rPr>
          <w:rFonts w:eastAsia="Calibri"/>
          <w:noProof/>
          <w:lang w:val="fr-FR"/>
        </w:rPr>
        <w:t xml:space="preserve">eau potable est assuré par </w:t>
      </w:r>
      <w:r w:rsidRPr="00495264">
        <w:rPr>
          <w:rFonts w:eastAsia="Calibri"/>
          <w:noProof/>
          <w:lang w:val="fr-FR"/>
        </w:rPr>
        <w:t>l</w:t>
      </w:r>
      <w:r w:rsidR="00607CA3">
        <w:rPr>
          <w:rFonts w:eastAsia="Calibri"/>
          <w:noProof/>
          <w:lang w:val="fr-FR"/>
        </w:rPr>
        <w:t>’</w:t>
      </w:r>
      <w:r w:rsidRPr="00495264">
        <w:rPr>
          <w:noProof/>
          <w:lang w:val="fr-FR"/>
        </w:rPr>
        <w:t>Administration des travaux sanitaires de l</w:t>
      </w:r>
      <w:r w:rsidR="00607CA3">
        <w:rPr>
          <w:noProof/>
          <w:lang w:val="fr-FR"/>
        </w:rPr>
        <w:t>’</w:t>
      </w:r>
      <w:r w:rsidRPr="00495264">
        <w:rPr>
          <w:noProof/>
          <w:lang w:val="fr-FR"/>
        </w:rPr>
        <w:t>État</w:t>
      </w:r>
      <w:r w:rsidRPr="00495264">
        <w:rPr>
          <w:rFonts w:eastAsia="Calibri"/>
          <w:noProof/>
          <w:lang w:val="fr-FR"/>
        </w:rPr>
        <w:t xml:space="preserve"> </w:t>
      </w:r>
      <w:r>
        <w:rPr>
          <w:rFonts w:eastAsia="Calibri"/>
          <w:noProof/>
          <w:lang w:val="fr-FR"/>
        </w:rPr>
        <w:t>(</w:t>
      </w:r>
      <w:r w:rsidRPr="00495264">
        <w:rPr>
          <w:rFonts w:eastAsia="Calibri"/>
          <w:i/>
          <w:noProof/>
          <w:lang w:val="fr-FR"/>
        </w:rPr>
        <w:t>Obras sanitarias del Estado</w:t>
      </w:r>
      <w:r>
        <w:rPr>
          <w:rFonts w:eastAsia="Calibri"/>
          <w:noProof/>
          <w:lang w:val="fr-FR"/>
        </w:rPr>
        <w:t>)</w:t>
      </w:r>
      <w:r w:rsidRPr="00495264">
        <w:rPr>
          <w:rFonts w:eastAsia="Calibri"/>
          <w:noProof/>
          <w:lang w:val="fr-FR"/>
        </w:rPr>
        <w:t xml:space="preserve"> </w:t>
      </w:r>
      <w:r>
        <w:rPr>
          <w:rFonts w:eastAsia="Calibri"/>
          <w:noProof/>
          <w:lang w:val="fr-FR"/>
        </w:rPr>
        <w:t>et l</w:t>
      </w:r>
      <w:r w:rsidR="00607CA3">
        <w:rPr>
          <w:rFonts w:eastAsia="Calibri"/>
          <w:noProof/>
          <w:lang w:val="fr-FR"/>
        </w:rPr>
        <w:t>’</w:t>
      </w:r>
      <w:r>
        <w:rPr>
          <w:rFonts w:eastAsia="Calibri"/>
          <w:noProof/>
          <w:lang w:val="fr-FR"/>
        </w:rPr>
        <w:t xml:space="preserve">ensemble des </w:t>
      </w:r>
      <w:r w:rsidRPr="00191307">
        <w:rPr>
          <w:rFonts w:eastAsia="Calibri"/>
          <w:noProof/>
          <w:lang w:val="fr-FR"/>
        </w:rPr>
        <w:t>infra</w:t>
      </w:r>
      <w:r>
        <w:rPr>
          <w:rFonts w:eastAsia="Calibri"/>
          <w:noProof/>
          <w:lang w:val="fr-FR"/>
        </w:rPr>
        <w:t>structures garantit</w:t>
      </w:r>
      <w:r w:rsidRPr="00191307">
        <w:rPr>
          <w:rFonts w:eastAsia="Calibri"/>
          <w:noProof/>
          <w:lang w:val="fr-FR"/>
        </w:rPr>
        <w:t xml:space="preserve"> la ventila</w:t>
      </w:r>
      <w:r>
        <w:rPr>
          <w:rFonts w:eastAsia="Calibri"/>
          <w:noProof/>
          <w:lang w:val="fr-FR"/>
        </w:rPr>
        <w:t>tion</w:t>
      </w:r>
      <w:r w:rsidRPr="00191307">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accès à la lumière naturelle et le respect des autres normes fixées par les Règles Nelson Mandela</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114.</w:t>
      </w:r>
      <w:r w:rsidRPr="00191307">
        <w:rPr>
          <w:rFonts w:eastAsia="Calibri"/>
          <w:noProof/>
          <w:lang w:val="fr-FR"/>
        </w:rPr>
        <w:tab/>
      </w:r>
      <w:r>
        <w:rPr>
          <w:rFonts w:eastAsia="Calibri"/>
          <w:noProof/>
          <w:lang w:val="fr-FR"/>
        </w:rPr>
        <w:t xml:space="preserve">Les données statistiques élaborées par le </w:t>
      </w:r>
      <w:r>
        <w:rPr>
          <w:noProof/>
          <w:lang w:val="fr-FR"/>
        </w:rPr>
        <w:t>délégué parlementaire aux affaires pénitentiaires sont publiées dans le Bulletin statistique de 2016 et celui du premier semestre de 2017</w:t>
      </w:r>
      <w:r w:rsidRPr="00191307">
        <w:rPr>
          <w:rFonts w:eastAsia="Calibri"/>
          <w:noProof/>
          <w:lang w:val="fr-FR"/>
        </w:rPr>
        <w:t xml:space="preserve">. </w:t>
      </w:r>
      <w:r>
        <w:rPr>
          <w:rFonts w:eastAsia="Calibri"/>
          <w:noProof/>
          <w:lang w:val="fr-FR"/>
        </w:rPr>
        <w:t>Ces bulletins analysent les informations relatives à certains aspects du système pénitentiaire, l</w:t>
      </w:r>
      <w:r w:rsidR="00607CA3">
        <w:rPr>
          <w:rFonts w:eastAsia="Calibri"/>
          <w:noProof/>
          <w:lang w:val="fr-FR"/>
        </w:rPr>
        <w:t>’</w:t>
      </w:r>
      <w:r>
        <w:rPr>
          <w:rFonts w:eastAsia="Calibri"/>
          <w:noProof/>
          <w:lang w:val="fr-FR"/>
        </w:rPr>
        <w:t>évolution de ces aspects dans le temps et les problèmes que ces données font apparaître, et, à ce titre, sont utilisables par les acteurs institutionnels et sociaux qui s</w:t>
      </w:r>
      <w:r w:rsidR="00607CA3">
        <w:rPr>
          <w:rFonts w:eastAsia="Calibri"/>
          <w:noProof/>
          <w:lang w:val="fr-FR"/>
        </w:rPr>
        <w:t>’</w:t>
      </w:r>
      <w:r>
        <w:rPr>
          <w:rFonts w:eastAsia="Calibri"/>
          <w:noProof/>
          <w:lang w:val="fr-FR"/>
        </w:rPr>
        <w:t>occupent de ces questions</w:t>
      </w:r>
      <w:r w:rsidRPr="00691AD9">
        <w:rPr>
          <w:rStyle w:val="Appelnotedebasdep"/>
        </w:rPr>
        <w:footnoteReference w:id="22"/>
      </w:r>
      <w:r w:rsidRPr="00191307">
        <w:rPr>
          <w:rFonts w:eastAsia="Calibri"/>
          <w:noProof/>
          <w:lang w:val="fr-FR"/>
        </w:rPr>
        <w:t xml:space="preserve">. </w:t>
      </w:r>
    </w:p>
    <w:p w:rsidR="00596826" w:rsidRPr="00191307" w:rsidRDefault="00596826" w:rsidP="00596826">
      <w:pPr>
        <w:pStyle w:val="SingleTxtG"/>
        <w:rPr>
          <w:rFonts w:eastAsia="Calibri"/>
          <w:noProof/>
          <w:lang w:val="fr-FR"/>
        </w:rPr>
      </w:pPr>
      <w:r w:rsidRPr="00191307">
        <w:rPr>
          <w:rFonts w:eastAsia="Calibri"/>
          <w:noProof/>
          <w:lang w:val="fr-FR"/>
        </w:rPr>
        <w:t>115.</w:t>
      </w:r>
      <w:r w:rsidRPr="00191307">
        <w:rPr>
          <w:rFonts w:eastAsia="Calibri"/>
          <w:noProof/>
          <w:lang w:val="fr-FR"/>
        </w:rPr>
        <w:tab/>
      </w:r>
      <w:r>
        <w:rPr>
          <w:rFonts w:eastAsia="Calibri"/>
          <w:noProof/>
          <w:lang w:val="fr-FR"/>
        </w:rPr>
        <w:t xml:space="preserve">Le </w:t>
      </w:r>
      <w:r>
        <w:rPr>
          <w:noProof/>
          <w:lang w:val="fr-FR"/>
        </w:rPr>
        <w:t>délégué parlementaire aux affaires pénitentiaires a soulevé avec la Commission de suivi du système pénitentiaire la question de la situation qu</w:t>
      </w:r>
      <w:r w:rsidR="00607CA3">
        <w:rPr>
          <w:noProof/>
          <w:lang w:val="fr-FR"/>
        </w:rPr>
        <w:t>’</w:t>
      </w:r>
      <w:r>
        <w:rPr>
          <w:noProof/>
          <w:lang w:val="fr-FR"/>
        </w:rPr>
        <w:t>il considère comme créée par l</w:t>
      </w:r>
      <w:r w:rsidR="00607CA3">
        <w:rPr>
          <w:noProof/>
          <w:lang w:val="fr-FR"/>
        </w:rPr>
        <w:t>’</w:t>
      </w:r>
      <w:r>
        <w:rPr>
          <w:noProof/>
          <w:lang w:val="fr-FR"/>
        </w:rPr>
        <w:t>isolement carcéral, après avoir adressé au Ministère de l</w:t>
      </w:r>
      <w:r w:rsidR="00607CA3">
        <w:rPr>
          <w:noProof/>
          <w:lang w:val="fr-FR"/>
        </w:rPr>
        <w:t>’</w:t>
      </w:r>
      <w:r>
        <w:rPr>
          <w:noProof/>
          <w:lang w:val="fr-FR"/>
        </w:rPr>
        <w:t>intérieur une note assortie de recommandations</w:t>
      </w:r>
      <w:r w:rsidRPr="00191307">
        <w:rPr>
          <w:rFonts w:eastAsia="Calibri"/>
          <w:noProof/>
          <w:lang w:val="fr-FR"/>
        </w:rPr>
        <w:t xml:space="preserve">. </w:t>
      </w:r>
      <w:r>
        <w:rPr>
          <w:rFonts w:eastAsia="Calibri"/>
          <w:noProof/>
          <w:lang w:val="fr-FR"/>
        </w:rPr>
        <w:t xml:space="preserve">De même, il explique dans ses rapports pour les années </w:t>
      </w:r>
      <w:r w:rsidRPr="00191307">
        <w:rPr>
          <w:rFonts w:eastAsia="Calibri"/>
          <w:noProof/>
          <w:lang w:val="fr-FR"/>
        </w:rPr>
        <w:t xml:space="preserve">2016 </w:t>
      </w:r>
      <w:r>
        <w:rPr>
          <w:rFonts w:eastAsia="Calibri"/>
          <w:noProof/>
          <w:lang w:val="fr-FR"/>
        </w:rPr>
        <w:t>et</w:t>
      </w:r>
      <w:r w:rsidRPr="00191307">
        <w:rPr>
          <w:rFonts w:eastAsia="Calibri"/>
          <w:noProof/>
          <w:lang w:val="fr-FR"/>
        </w:rPr>
        <w:t xml:space="preserve"> 2017 </w:t>
      </w:r>
      <w:r>
        <w:rPr>
          <w:rFonts w:eastAsia="Calibri"/>
          <w:noProof/>
          <w:lang w:val="fr-FR"/>
        </w:rPr>
        <w:t>qu</w:t>
      </w:r>
      <w:r w:rsidR="00607CA3">
        <w:rPr>
          <w:rFonts w:eastAsia="Calibri"/>
          <w:noProof/>
          <w:lang w:val="fr-FR"/>
        </w:rPr>
        <w:t>’</w:t>
      </w:r>
      <w:r>
        <w:rPr>
          <w:rFonts w:eastAsia="Calibri"/>
          <w:noProof/>
          <w:lang w:val="fr-FR"/>
        </w:rPr>
        <w:t xml:space="preserve">à son avis, le </w:t>
      </w:r>
      <w:r w:rsidRPr="00191307">
        <w:rPr>
          <w:rFonts w:eastAsia="Calibri"/>
          <w:noProof/>
          <w:lang w:val="fr-FR"/>
        </w:rPr>
        <w:t>régime</w:t>
      </w:r>
      <w:r>
        <w:rPr>
          <w:rFonts w:eastAsia="Calibri"/>
          <w:noProof/>
          <w:lang w:val="fr-FR"/>
        </w:rPr>
        <w:t xml:space="preserve"> d</w:t>
      </w:r>
      <w:r w:rsidR="00607CA3">
        <w:rPr>
          <w:rFonts w:eastAsia="Calibri"/>
          <w:noProof/>
          <w:lang w:val="fr-FR"/>
        </w:rPr>
        <w:t>’</w:t>
      </w:r>
      <w:r>
        <w:rPr>
          <w:rFonts w:eastAsia="Calibri"/>
          <w:noProof/>
          <w:lang w:val="fr-FR"/>
        </w:rPr>
        <w:t>isolement pénitentiaire subsiste dans l</w:t>
      </w:r>
      <w:r w:rsidR="00607CA3">
        <w:rPr>
          <w:rFonts w:eastAsia="Calibri"/>
          <w:noProof/>
          <w:lang w:val="fr-FR"/>
        </w:rPr>
        <w:t>’</w:t>
      </w:r>
      <w:r>
        <w:rPr>
          <w:rFonts w:eastAsia="Calibri"/>
          <w:noProof/>
          <w:lang w:val="fr-FR"/>
        </w:rPr>
        <w:t xml:space="preserve">aile </w:t>
      </w:r>
      <w:r w:rsidRPr="00191307">
        <w:rPr>
          <w:rFonts w:eastAsia="Calibri"/>
          <w:noProof/>
          <w:lang w:val="fr-FR"/>
        </w:rPr>
        <w:t>12 d</w:t>
      </w:r>
      <w:r>
        <w:rPr>
          <w:rFonts w:eastAsia="Calibri"/>
          <w:noProof/>
          <w:lang w:val="fr-FR"/>
        </w:rPr>
        <w:t xml:space="preserve">u centre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sidRPr="00191307">
        <w:rPr>
          <w:rFonts w:eastAsia="Calibri"/>
          <w:noProof/>
          <w:lang w:val="fr-FR"/>
        </w:rPr>
        <w:t>4</w:t>
      </w:r>
      <w:r>
        <w:rPr>
          <w:rFonts w:eastAsia="Calibri"/>
          <w:noProof/>
          <w:lang w:val="fr-FR"/>
        </w:rPr>
        <w:t xml:space="preserve"> et il recommande de le supprimer en recrutant des ressources humaines qui permettent de faire face aux situations des personnes concernées en leur offrant la possibilité d</w:t>
      </w:r>
      <w:r w:rsidR="00607CA3">
        <w:rPr>
          <w:rFonts w:eastAsia="Calibri"/>
          <w:noProof/>
          <w:lang w:val="fr-FR"/>
        </w:rPr>
        <w:t>’</w:t>
      </w:r>
      <w:r>
        <w:rPr>
          <w:rFonts w:eastAsia="Calibri"/>
          <w:noProof/>
          <w:lang w:val="fr-FR"/>
        </w:rPr>
        <w:t>avoir des contacts humains qui comptent pendant plus de deux heures par jour, ce dont elles sont actuellement privées</w:t>
      </w:r>
      <w:r w:rsidRPr="00691AD9">
        <w:rPr>
          <w:rStyle w:val="Appelnotedebasdep"/>
        </w:rPr>
        <w:footnoteReference w:id="23"/>
      </w:r>
      <w:r w:rsidRPr="00191307">
        <w:rPr>
          <w:rFonts w:eastAsia="Calibri"/>
          <w:noProof/>
          <w:lang w:val="fr-FR"/>
        </w:rPr>
        <w:t xml:space="preserve">. </w:t>
      </w:r>
    </w:p>
    <w:p w:rsidR="00596826" w:rsidRPr="00191307" w:rsidRDefault="00596826" w:rsidP="00596826">
      <w:pPr>
        <w:pStyle w:val="SingleTxtG"/>
        <w:rPr>
          <w:rFonts w:eastAsia="Calibri"/>
          <w:noProof/>
          <w:lang w:val="fr-FR"/>
        </w:rPr>
      </w:pPr>
      <w:r w:rsidRPr="00191307">
        <w:rPr>
          <w:rFonts w:eastAsia="Calibri"/>
          <w:noProof/>
          <w:lang w:val="fr-FR"/>
        </w:rPr>
        <w:t>116.</w:t>
      </w:r>
      <w:r w:rsidRPr="00191307">
        <w:rPr>
          <w:rFonts w:eastAsia="Calibri"/>
          <w:noProof/>
          <w:lang w:val="fr-FR"/>
        </w:rPr>
        <w:tab/>
      </w:r>
      <w:r>
        <w:rPr>
          <w:rFonts w:eastAsia="Calibri"/>
          <w:noProof/>
          <w:lang w:val="fr-FR"/>
        </w:rPr>
        <w:t>Le Ministère de l</w:t>
      </w:r>
      <w:r w:rsidR="00607CA3">
        <w:rPr>
          <w:rFonts w:eastAsia="Calibri"/>
          <w:noProof/>
          <w:lang w:val="fr-FR"/>
        </w:rPr>
        <w:t>’</w:t>
      </w:r>
      <w:r>
        <w:rPr>
          <w:rFonts w:eastAsia="Calibri"/>
          <w:noProof/>
          <w:lang w:val="fr-FR"/>
        </w:rPr>
        <w:t>intérieur a fait savoir qu</w:t>
      </w:r>
      <w:r w:rsidR="00607CA3">
        <w:rPr>
          <w:rFonts w:eastAsia="Calibri"/>
          <w:noProof/>
          <w:lang w:val="fr-FR"/>
        </w:rPr>
        <w:t>’</w:t>
      </w:r>
      <w:r>
        <w:rPr>
          <w:rFonts w:eastAsia="Calibri"/>
          <w:noProof/>
          <w:lang w:val="fr-FR"/>
        </w:rPr>
        <w:t>il s</w:t>
      </w:r>
      <w:r w:rsidR="00607CA3">
        <w:rPr>
          <w:rFonts w:eastAsia="Calibri"/>
          <w:noProof/>
          <w:lang w:val="fr-FR"/>
        </w:rPr>
        <w:t>’</w:t>
      </w:r>
      <w:r>
        <w:rPr>
          <w:rFonts w:eastAsia="Calibri"/>
          <w:noProof/>
          <w:lang w:val="fr-FR"/>
        </w:rPr>
        <w:t>agit d</w:t>
      </w:r>
      <w:r w:rsidR="00607CA3">
        <w:rPr>
          <w:rFonts w:eastAsia="Calibri"/>
          <w:noProof/>
          <w:lang w:val="fr-FR"/>
        </w:rPr>
        <w:t>’</w:t>
      </w:r>
      <w:r>
        <w:rPr>
          <w:rFonts w:eastAsia="Calibri"/>
          <w:noProof/>
          <w:lang w:val="fr-FR"/>
        </w:rPr>
        <w:t>une aile d</w:t>
      </w:r>
      <w:r w:rsidR="00607CA3">
        <w:rPr>
          <w:rFonts w:eastAsia="Calibri"/>
          <w:noProof/>
          <w:lang w:val="fr-FR"/>
        </w:rPr>
        <w:t>’</w:t>
      </w:r>
      <w:r>
        <w:rPr>
          <w:rFonts w:eastAsia="Calibri"/>
          <w:noProof/>
          <w:lang w:val="fr-FR"/>
        </w:rPr>
        <w:t>un centre appliquant un régime de haute sécurité, dont le fonctionnement est conforme aux Règles Nelson Mandela. Le placement en régime de haute sécurité est une riposte à des types de comportement délictueux caractérisés comme étant d</w:t>
      </w:r>
      <w:r w:rsidR="00607CA3">
        <w:rPr>
          <w:rFonts w:eastAsia="Calibri"/>
          <w:noProof/>
          <w:lang w:val="fr-FR"/>
        </w:rPr>
        <w:t>’</w:t>
      </w:r>
      <w:r>
        <w:rPr>
          <w:rFonts w:eastAsia="Calibri"/>
          <w:noProof/>
          <w:lang w:val="fr-FR"/>
        </w:rPr>
        <w:t>une dangerosité extrême, que celle-ci tienne à l</w:t>
      </w:r>
      <w:r w:rsidR="00607CA3">
        <w:rPr>
          <w:rFonts w:eastAsia="Calibri"/>
          <w:noProof/>
          <w:lang w:val="fr-FR"/>
        </w:rPr>
        <w:t>’</w:t>
      </w:r>
      <w:r>
        <w:rPr>
          <w:rFonts w:eastAsia="Calibri"/>
          <w:noProof/>
          <w:lang w:val="fr-FR"/>
        </w:rPr>
        <w:t>emploi d</w:t>
      </w:r>
      <w:r w:rsidR="00607CA3">
        <w:rPr>
          <w:rFonts w:eastAsia="Calibri"/>
          <w:noProof/>
          <w:lang w:val="fr-FR"/>
        </w:rPr>
        <w:t>’</w:t>
      </w:r>
      <w:r>
        <w:rPr>
          <w:rFonts w:eastAsia="Calibri"/>
          <w:noProof/>
          <w:lang w:val="fr-FR"/>
        </w:rPr>
        <w:t>une violence inhabituelle ou décuplée ou aux moyens logistiques mis en œuvre</w:t>
      </w:r>
      <w:r w:rsidRPr="00191307">
        <w:rPr>
          <w:rFonts w:eastAsia="Calibri"/>
          <w:noProof/>
          <w:lang w:val="fr-FR"/>
        </w:rPr>
        <w:t xml:space="preserve">, </w:t>
      </w:r>
      <w:r>
        <w:rPr>
          <w:rFonts w:eastAsia="Calibri"/>
          <w:noProof/>
          <w:lang w:val="fr-FR"/>
        </w:rPr>
        <w:t xml:space="preserve">mais ce </w:t>
      </w:r>
      <w:r w:rsidRPr="00191307">
        <w:rPr>
          <w:rFonts w:eastAsia="Calibri"/>
          <w:noProof/>
          <w:lang w:val="fr-FR"/>
        </w:rPr>
        <w:t>régime</w:t>
      </w:r>
      <w:r>
        <w:rPr>
          <w:rFonts w:eastAsia="Calibri"/>
          <w:noProof/>
          <w:lang w:val="fr-FR"/>
        </w:rPr>
        <w:t xml:space="preserve"> n</w:t>
      </w:r>
      <w:r w:rsidR="00607CA3">
        <w:rPr>
          <w:rFonts w:eastAsia="Calibri"/>
          <w:noProof/>
          <w:lang w:val="fr-FR"/>
        </w:rPr>
        <w:t>’</w:t>
      </w:r>
      <w:r>
        <w:rPr>
          <w:rFonts w:eastAsia="Calibri"/>
          <w:noProof/>
          <w:lang w:val="fr-FR"/>
        </w:rPr>
        <w:t>implique à aucun moment l</w:t>
      </w:r>
      <w:r w:rsidR="00607CA3">
        <w:rPr>
          <w:rFonts w:eastAsia="Calibri"/>
          <w:noProof/>
          <w:lang w:val="fr-FR"/>
        </w:rPr>
        <w:t>’</w:t>
      </w:r>
      <w:r>
        <w:rPr>
          <w:rFonts w:eastAsia="Calibri"/>
          <w:noProof/>
          <w:lang w:val="fr-FR"/>
        </w:rPr>
        <w:t>isolement ou la perte des droits en ce qui concerne les conditions de vie, car</w:t>
      </w:r>
      <w:r w:rsidRPr="00191307">
        <w:rPr>
          <w:rFonts w:eastAsia="Calibri"/>
          <w:noProof/>
          <w:lang w:val="fr-FR"/>
        </w:rPr>
        <w:t xml:space="preserve"> </w:t>
      </w:r>
      <w:r>
        <w:rPr>
          <w:rFonts w:eastAsia="Calibri"/>
          <w:noProof/>
          <w:lang w:val="fr-FR"/>
        </w:rPr>
        <w:t>les locaux en question sont ventilés et les détenus y</w:t>
      </w:r>
      <w:r w:rsidR="00691AD9">
        <w:rPr>
          <w:rFonts w:eastAsia="Calibri"/>
          <w:noProof/>
          <w:lang w:val="fr-FR"/>
        </w:rPr>
        <w:t> </w:t>
      </w:r>
      <w:r>
        <w:rPr>
          <w:rFonts w:eastAsia="Calibri"/>
          <w:noProof/>
          <w:lang w:val="fr-FR"/>
        </w:rPr>
        <w:t>ont accès à la lumière, aux moyens d</w:t>
      </w:r>
      <w:r w:rsidR="00607CA3">
        <w:rPr>
          <w:rFonts w:eastAsia="Calibri"/>
          <w:noProof/>
          <w:lang w:val="fr-FR"/>
        </w:rPr>
        <w:t>’</w:t>
      </w:r>
      <w:r>
        <w:rPr>
          <w:rFonts w:eastAsia="Calibri"/>
          <w:noProof/>
          <w:lang w:val="fr-FR"/>
        </w:rPr>
        <w:t>hygiène générale et personnelle, à l</w:t>
      </w:r>
      <w:r w:rsidR="00607CA3">
        <w:rPr>
          <w:rFonts w:eastAsia="Calibri"/>
          <w:noProof/>
          <w:lang w:val="fr-FR"/>
        </w:rPr>
        <w:t>’</w:t>
      </w:r>
      <w:r w:rsidRPr="00191307">
        <w:rPr>
          <w:rFonts w:eastAsia="Calibri"/>
          <w:noProof/>
          <w:lang w:val="fr-FR"/>
        </w:rPr>
        <w:t>alimenta</w:t>
      </w:r>
      <w:r>
        <w:rPr>
          <w:rFonts w:eastAsia="Calibri"/>
          <w:noProof/>
          <w:lang w:val="fr-FR"/>
        </w:rPr>
        <w:t>tion</w:t>
      </w:r>
      <w:r w:rsidRPr="00191307">
        <w:rPr>
          <w:rFonts w:eastAsia="Calibri"/>
          <w:noProof/>
          <w:lang w:val="fr-FR"/>
        </w:rPr>
        <w:t xml:space="preserve">, </w:t>
      </w:r>
      <w:r>
        <w:rPr>
          <w:rFonts w:eastAsia="Calibri"/>
          <w:noProof/>
          <w:lang w:val="fr-FR"/>
        </w:rPr>
        <w:lastRenderedPageBreak/>
        <w:t>aux matériels de couchage et</w:t>
      </w:r>
      <w:r w:rsidRPr="00191307">
        <w:rPr>
          <w:rFonts w:eastAsia="Calibri"/>
          <w:noProof/>
          <w:lang w:val="fr-FR"/>
        </w:rPr>
        <w:t xml:space="preserve"> </w:t>
      </w:r>
      <w:r>
        <w:rPr>
          <w:rFonts w:eastAsia="Calibri"/>
          <w:noProof/>
          <w:lang w:val="fr-FR"/>
        </w:rPr>
        <w:t>à la lecture, et ils peuvent communiquer avec le monde extérieur en recevant la visite de leur famille et de leur conjoint</w:t>
      </w:r>
      <w:r w:rsidR="00691AD9">
        <w:rPr>
          <w:rFonts w:eastAsia="Calibri"/>
          <w:noProof/>
          <w:lang w:val="fr-FR"/>
        </w:rPr>
        <w:t> </w:t>
      </w:r>
      <w:r>
        <w:rPr>
          <w:rFonts w:eastAsia="Calibri"/>
          <w:noProof/>
          <w:lang w:val="fr-FR"/>
        </w:rPr>
        <w:t>; ils font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une surveillance médicale</w:t>
      </w:r>
      <w:r w:rsidRPr="00191307">
        <w:rPr>
          <w:rFonts w:eastAsia="Calibri"/>
          <w:noProof/>
          <w:lang w:val="fr-FR"/>
        </w:rPr>
        <w:t xml:space="preserve">, </w:t>
      </w:r>
      <w:r>
        <w:rPr>
          <w:rFonts w:eastAsia="Calibri"/>
          <w:noProof/>
          <w:lang w:val="fr-FR"/>
        </w:rPr>
        <w:t>ont accès aux médicaments, passent du temps à l</w:t>
      </w:r>
      <w:r w:rsidR="00607CA3">
        <w:rPr>
          <w:rFonts w:eastAsia="Calibri"/>
          <w:noProof/>
          <w:lang w:val="fr-FR"/>
        </w:rPr>
        <w:t>’</w:t>
      </w:r>
      <w:r>
        <w:rPr>
          <w:rFonts w:eastAsia="Calibri"/>
          <w:noProof/>
          <w:lang w:val="fr-FR"/>
        </w:rPr>
        <w:t>air libre et bénéficient de services sociaux et d</w:t>
      </w:r>
      <w:r w:rsidR="00607CA3">
        <w:rPr>
          <w:rFonts w:eastAsia="Calibri"/>
          <w:noProof/>
          <w:lang w:val="fr-FR"/>
        </w:rPr>
        <w:t>’</w:t>
      </w:r>
      <w:r>
        <w:rPr>
          <w:rFonts w:eastAsia="Calibri"/>
          <w:noProof/>
          <w:lang w:val="fr-FR"/>
        </w:rPr>
        <w:t>une assistance juridique</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117.</w:t>
      </w:r>
      <w:r w:rsidRPr="00191307">
        <w:rPr>
          <w:rFonts w:eastAsia="Calibri"/>
          <w:noProof/>
          <w:lang w:val="fr-FR"/>
        </w:rPr>
        <w:tab/>
        <w:t>En oct</w:t>
      </w:r>
      <w:r>
        <w:rPr>
          <w:rFonts w:eastAsia="Calibri"/>
          <w:noProof/>
          <w:lang w:val="fr-FR"/>
        </w:rPr>
        <w:t>o</w:t>
      </w:r>
      <w:r w:rsidRPr="00191307">
        <w:rPr>
          <w:rFonts w:eastAsia="Calibri"/>
          <w:noProof/>
          <w:lang w:val="fr-FR"/>
        </w:rPr>
        <w:t>bre 2017</w:t>
      </w:r>
      <w:r>
        <w:rPr>
          <w:rFonts w:eastAsia="Calibri"/>
          <w:noProof/>
          <w:lang w:val="fr-FR"/>
        </w:rPr>
        <w:t>, le d</w:t>
      </w:r>
      <w:r>
        <w:rPr>
          <w:noProof/>
          <w:lang w:val="fr-FR"/>
        </w:rPr>
        <w:t xml:space="preserve">élégué parlementaire aux affaires pénitentiaires a présenté un rapport spécial sur le centre </w:t>
      </w:r>
      <w:r w:rsidRPr="00191307">
        <w:rPr>
          <w:rFonts w:eastAsia="Calibri"/>
          <w:noProof/>
          <w:lang w:val="fr-FR"/>
        </w:rPr>
        <w:t>Las Rosas</w:t>
      </w:r>
      <w:r>
        <w:rPr>
          <w:rFonts w:eastAsia="Calibri"/>
          <w:noProof/>
          <w:lang w:val="fr-FR"/>
        </w:rPr>
        <w:t xml:space="preserve"> de</w:t>
      </w:r>
      <w:r w:rsidRPr="00191307">
        <w:rPr>
          <w:rFonts w:eastAsia="Calibri"/>
          <w:noProof/>
          <w:lang w:val="fr-FR"/>
        </w:rPr>
        <w:t xml:space="preserve"> Maldonado</w:t>
      </w:r>
      <w:r>
        <w:rPr>
          <w:rFonts w:eastAsia="Calibri"/>
          <w:noProof/>
          <w:lang w:val="fr-FR"/>
        </w:rPr>
        <w:t xml:space="preserve"> (n</w:t>
      </w:r>
      <w:r w:rsidRPr="00191307">
        <w:rPr>
          <w:rFonts w:eastAsia="Calibri"/>
          <w:noProof/>
          <w:lang w:val="fr-FR"/>
        </w:rPr>
        <w:t>º</w:t>
      </w:r>
      <w:r w:rsidR="00AF4C2A">
        <w:rPr>
          <w:rFonts w:eastAsia="Calibri"/>
          <w:noProof/>
          <w:lang w:val="fr-FR"/>
        </w:rPr>
        <w:t> </w:t>
      </w:r>
      <w:r w:rsidRPr="00191307">
        <w:rPr>
          <w:rFonts w:eastAsia="Calibri"/>
          <w:noProof/>
          <w:lang w:val="fr-FR"/>
        </w:rPr>
        <w:t>13</w:t>
      </w:r>
      <w:r>
        <w:rPr>
          <w:rFonts w:eastAsia="Calibri"/>
          <w:noProof/>
          <w:lang w:val="fr-FR"/>
        </w:rPr>
        <w:t>)</w:t>
      </w:r>
      <w:r w:rsidRPr="00191307">
        <w:rPr>
          <w:rFonts w:eastAsia="Calibri"/>
          <w:noProof/>
          <w:lang w:val="fr-FR"/>
        </w:rPr>
        <w:t xml:space="preserve">. </w:t>
      </w:r>
      <w:r>
        <w:rPr>
          <w:rFonts w:eastAsia="Calibri"/>
          <w:noProof/>
          <w:lang w:val="fr-FR"/>
        </w:rPr>
        <w:t>Ce rapport traite de la situation générale du centre et du récent gonflement de la population carcérale qui ne s</w:t>
      </w:r>
      <w:r w:rsidR="00607CA3">
        <w:rPr>
          <w:rFonts w:eastAsia="Calibri"/>
          <w:noProof/>
          <w:lang w:val="fr-FR"/>
        </w:rPr>
        <w:t>’</w:t>
      </w:r>
      <w:r>
        <w:rPr>
          <w:rFonts w:eastAsia="Calibri"/>
          <w:noProof/>
          <w:lang w:val="fr-FR"/>
        </w:rPr>
        <w:t>est pas accompagné d</w:t>
      </w:r>
      <w:r w:rsidR="00607CA3">
        <w:rPr>
          <w:rFonts w:eastAsia="Calibri"/>
          <w:noProof/>
          <w:lang w:val="fr-FR"/>
        </w:rPr>
        <w:t>’</w:t>
      </w:r>
      <w:r>
        <w:rPr>
          <w:rFonts w:eastAsia="Calibri"/>
          <w:noProof/>
          <w:lang w:val="fr-FR"/>
        </w:rPr>
        <w:t>une augmentation des ressources, des programmes et des effectifs</w:t>
      </w:r>
      <w:r w:rsidRPr="00191307">
        <w:rPr>
          <w:rFonts w:eastAsia="Calibri"/>
          <w:noProof/>
          <w:lang w:val="fr-FR"/>
        </w:rPr>
        <w:t xml:space="preserve">. </w:t>
      </w:r>
      <w:r>
        <w:rPr>
          <w:rFonts w:eastAsia="Calibri"/>
          <w:noProof/>
          <w:lang w:val="fr-FR"/>
        </w:rPr>
        <w:t xml:space="preserve">Le </w:t>
      </w:r>
      <w:r w:rsidRPr="00191307">
        <w:rPr>
          <w:rFonts w:eastAsia="Calibri"/>
          <w:noProof/>
          <w:lang w:val="fr-FR"/>
        </w:rPr>
        <w:t>26</w:t>
      </w:r>
      <w:r w:rsidR="00AF4C2A">
        <w:rPr>
          <w:rFonts w:eastAsia="Calibri"/>
          <w:noProof/>
          <w:lang w:val="fr-FR"/>
        </w:rPr>
        <w:t> </w:t>
      </w:r>
      <w:r>
        <w:rPr>
          <w:rFonts w:eastAsia="Calibri"/>
          <w:noProof/>
          <w:lang w:val="fr-FR"/>
        </w:rPr>
        <w:t xml:space="preserve">avril 2018, le délégué </w:t>
      </w:r>
      <w:r>
        <w:rPr>
          <w:noProof/>
          <w:lang w:val="fr-FR"/>
        </w:rPr>
        <w:t>parlementaire aux affaires pénitentiaires a présenté à la Commission de suivi du système pénitentiaire</w:t>
      </w:r>
      <w:r>
        <w:rPr>
          <w:rFonts w:eastAsia="Calibri"/>
          <w:noProof/>
          <w:lang w:val="fr-FR"/>
        </w:rPr>
        <w:t xml:space="preserve"> son rapport annuel pour 2017</w:t>
      </w:r>
      <w:r w:rsidRPr="00691AD9">
        <w:rPr>
          <w:rStyle w:val="Appelnotedebasdep"/>
        </w:rPr>
        <w:footnoteReference w:id="24"/>
      </w:r>
      <w:r>
        <w:rPr>
          <w:rFonts w:eastAsia="Calibri"/>
          <w:noProof/>
          <w:lang w:val="fr-FR"/>
        </w:rPr>
        <w:t xml:space="preserve">, dans lequel il expose la situation du système pénitentiaire et formule </w:t>
      </w:r>
      <w:r w:rsidRPr="00191307">
        <w:rPr>
          <w:rFonts w:eastAsia="Calibri"/>
          <w:noProof/>
          <w:lang w:val="fr-FR"/>
        </w:rPr>
        <w:t>31 recom</w:t>
      </w:r>
      <w:r>
        <w:rPr>
          <w:rFonts w:eastAsia="Calibri"/>
          <w:noProof/>
          <w:lang w:val="fr-FR"/>
        </w:rPr>
        <w:t>ma</w:t>
      </w:r>
      <w:r w:rsidRPr="00191307">
        <w:rPr>
          <w:rFonts w:eastAsia="Calibri"/>
          <w:noProof/>
          <w:lang w:val="fr-FR"/>
        </w:rPr>
        <w:t>nda</w:t>
      </w:r>
      <w:r>
        <w:rPr>
          <w:rFonts w:eastAsia="Calibri"/>
          <w:noProof/>
          <w:lang w:val="fr-FR"/>
        </w:rPr>
        <w:t xml:space="preserve">tions </w:t>
      </w:r>
      <w:r w:rsidRPr="00191307">
        <w:rPr>
          <w:rFonts w:eastAsia="Calibri"/>
          <w:noProof/>
          <w:lang w:val="fr-FR"/>
        </w:rPr>
        <w:t>de pol</w:t>
      </w:r>
      <w:r>
        <w:rPr>
          <w:rFonts w:eastAsia="Calibri"/>
          <w:noProof/>
          <w:lang w:val="fr-FR"/>
        </w:rPr>
        <w:t xml:space="preserve">itique publique et </w:t>
      </w:r>
      <w:r w:rsidRPr="00191307">
        <w:rPr>
          <w:rFonts w:eastAsia="Calibri"/>
          <w:noProof/>
          <w:lang w:val="fr-FR"/>
        </w:rPr>
        <w:t>20 recom</w:t>
      </w:r>
      <w:r>
        <w:rPr>
          <w:rFonts w:eastAsia="Calibri"/>
          <w:noProof/>
          <w:lang w:val="fr-FR"/>
        </w:rPr>
        <w:t>ma</w:t>
      </w:r>
      <w:r w:rsidRPr="00191307">
        <w:rPr>
          <w:rFonts w:eastAsia="Calibri"/>
          <w:noProof/>
          <w:lang w:val="fr-FR"/>
        </w:rPr>
        <w:t>nda</w:t>
      </w:r>
      <w:r>
        <w:rPr>
          <w:rFonts w:eastAsia="Calibri"/>
          <w:noProof/>
          <w:lang w:val="fr-FR"/>
        </w:rPr>
        <w:t>tions concernant plus particulièrement la gestion des centres de détention, touchant notamment le traitement, la santé, l</w:t>
      </w:r>
      <w:r w:rsidR="00607CA3">
        <w:rPr>
          <w:rFonts w:eastAsia="Calibri"/>
          <w:noProof/>
          <w:lang w:val="fr-FR"/>
        </w:rPr>
        <w:t>’</w:t>
      </w:r>
      <w:r>
        <w:rPr>
          <w:rFonts w:eastAsia="Calibri"/>
          <w:noProof/>
          <w:lang w:val="fr-FR"/>
        </w:rPr>
        <w:t xml:space="preserve">éducation, le travail, la sortie, la </w:t>
      </w:r>
      <w:r w:rsidRPr="00191307">
        <w:rPr>
          <w:rFonts w:eastAsia="Calibri"/>
          <w:noProof/>
          <w:lang w:val="fr-FR"/>
        </w:rPr>
        <w:t>d</w:t>
      </w:r>
      <w:r>
        <w:rPr>
          <w:rFonts w:eastAsia="Calibri"/>
          <w:noProof/>
          <w:lang w:val="fr-FR"/>
        </w:rPr>
        <w:t>é</w:t>
      </w:r>
      <w:r w:rsidRPr="00191307">
        <w:rPr>
          <w:rFonts w:eastAsia="Calibri"/>
          <w:noProof/>
          <w:lang w:val="fr-FR"/>
        </w:rPr>
        <w:t>fens</w:t>
      </w:r>
      <w:r>
        <w:rPr>
          <w:rFonts w:eastAsia="Calibri"/>
          <w:noProof/>
          <w:lang w:val="fr-FR"/>
        </w:rPr>
        <w:t>e</w:t>
      </w:r>
      <w:r w:rsidRPr="00191307">
        <w:rPr>
          <w:rFonts w:eastAsia="Calibri"/>
          <w:noProof/>
          <w:lang w:val="fr-FR"/>
        </w:rPr>
        <w:t xml:space="preserve"> p</w:t>
      </w:r>
      <w:r>
        <w:rPr>
          <w:rFonts w:eastAsia="Calibri"/>
          <w:noProof/>
          <w:lang w:val="fr-FR"/>
        </w:rPr>
        <w:t>ublique</w:t>
      </w:r>
      <w:r w:rsidRPr="00191307">
        <w:rPr>
          <w:rFonts w:eastAsia="Calibri"/>
          <w:noProof/>
          <w:lang w:val="fr-FR"/>
        </w:rPr>
        <w:t xml:space="preserve">, </w:t>
      </w:r>
      <w:r>
        <w:rPr>
          <w:rFonts w:eastAsia="Calibri"/>
          <w:noProof/>
          <w:lang w:val="fr-FR"/>
        </w:rPr>
        <w:t xml:space="preserve">les mesures </w:t>
      </w:r>
      <w:r w:rsidRPr="00191307">
        <w:rPr>
          <w:rFonts w:eastAsia="Calibri"/>
          <w:noProof/>
          <w:lang w:val="fr-FR"/>
        </w:rPr>
        <w:t>alternativ</w:t>
      </w:r>
      <w:r>
        <w:rPr>
          <w:rFonts w:eastAsia="Calibri"/>
          <w:noProof/>
          <w:lang w:val="fr-FR"/>
        </w:rPr>
        <w:t>e</w:t>
      </w:r>
      <w:r w:rsidRPr="00191307">
        <w:rPr>
          <w:rFonts w:eastAsia="Calibri"/>
          <w:noProof/>
          <w:lang w:val="fr-FR"/>
        </w:rPr>
        <w:t xml:space="preserve">s, </w:t>
      </w:r>
      <w:r>
        <w:rPr>
          <w:rFonts w:eastAsia="Calibri"/>
          <w:noProof/>
          <w:lang w:val="fr-FR"/>
        </w:rPr>
        <w:t>l</w:t>
      </w:r>
      <w:r w:rsidR="00607CA3">
        <w:rPr>
          <w:rFonts w:eastAsia="Calibri"/>
          <w:noProof/>
          <w:lang w:val="fr-FR"/>
        </w:rPr>
        <w:t>’</w:t>
      </w:r>
      <w:r>
        <w:rPr>
          <w:rFonts w:eastAsia="Calibri"/>
          <w:noProof/>
          <w:lang w:val="fr-FR"/>
        </w:rPr>
        <w:t>isolement pénitentiaire et la réforme des conditions de détention les plus difficiles</w:t>
      </w:r>
      <w:r w:rsidRPr="00191307">
        <w:rPr>
          <w:rFonts w:eastAsia="Calibri"/>
          <w:noProof/>
          <w:lang w:val="fr-FR"/>
        </w:rPr>
        <w:t xml:space="preserve">. </w:t>
      </w:r>
      <w:r>
        <w:rPr>
          <w:rFonts w:eastAsia="Calibri"/>
          <w:noProof/>
          <w:lang w:val="fr-FR"/>
        </w:rPr>
        <w:t>Des conclusions et des recommandations concernant les 29 centres pénitentiaires du pays sont présentées</w:t>
      </w:r>
      <w:r w:rsidRPr="00191307">
        <w:rPr>
          <w:rFonts w:eastAsia="Calibri"/>
          <w:noProof/>
          <w:sz w:val="18"/>
          <w:szCs w:val="18"/>
          <w:vertAlign w:val="superscript"/>
          <w:lang w:val="fr-FR"/>
        </w:rPr>
        <w:footnoteReference w:id="25"/>
      </w:r>
      <w:r w:rsidRPr="00191307">
        <w:rPr>
          <w:rFonts w:eastAsia="Calibri"/>
          <w:noProof/>
          <w:lang w:val="fr-FR"/>
        </w:rPr>
        <w:t xml:space="preserve">. En </w:t>
      </w:r>
      <w:r>
        <w:rPr>
          <w:rFonts w:eastAsia="Calibri"/>
          <w:noProof/>
          <w:lang w:val="fr-FR"/>
        </w:rPr>
        <w:t>ce qui concerne les soins médicaux, une note a été adressée aux autorités pénitentiaires et aux pouvoirs sanitaires</w:t>
      </w:r>
      <w:r w:rsidRPr="00191307">
        <w:rPr>
          <w:rFonts w:eastAsia="Calibri"/>
          <w:noProof/>
          <w:lang w:val="fr-FR"/>
        </w:rPr>
        <w:t xml:space="preserve">, </w:t>
      </w:r>
      <w:r>
        <w:rPr>
          <w:rFonts w:eastAsia="Calibri"/>
          <w:noProof/>
          <w:lang w:val="fr-FR"/>
        </w:rPr>
        <w:t xml:space="preserve">qui aborde </w:t>
      </w:r>
      <w:r w:rsidRPr="00191307">
        <w:rPr>
          <w:rFonts w:eastAsia="Calibri"/>
          <w:noProof/>
          <w:lang w:val="fr-FR"/>
        </w:rPr>
        <w:t xml:space="preserve">20 </w:t>
      </w:r>
      <w:r>
        <w:rPr>
          <w:rFonts w:eastAsia="Calibri"/>
          <w:noProof/>
          <w:lang w:val="fr-FR"/>
        </w:rPr>
        <w:t>cas requérant des soins médicaux immédiats et soulève différents problèmes que pose la situation sanitaire</w:t>
      </w:r>
      <w:r w:rsidRPr="00191307">
        <w:rPr>
          <w:rFonts w:eastAsia="Calibri"/>
          <w:noProof/>
          <w:lang w:val="fr-FR"/>
        </w:rPr>
        <w:t xml:space="preserve">. </w:t>
      </w:r>
      <w:r>
        <w:rPr>
          <w:rFonts w:eastAsia="Calibri"/>
          <w:noProof/>
          <w:lang w:val="fr-FR"/>
        </w:rPr>
        <w:t>En outre, le Bureau a convoqué un groupe de travail ouvert à tous les interlocuteurs sanitaires et pénitentiaires et chargé de cerner les problèmes qui se posaient et ceux qu</w:t>
      </w:r>
      <w:r w:rsidR="00607CA3">
        <w:rPr>
          <w:rFonts w:eastAsia="Calibri"/>
          <w:noProof/>
          <w:lang w:val="fr-FR"/>
        </w:rPr>
        <w:t>’</w:t>
      </w:r>
      <w:r>
        <w:rPr>
          <w:rFonts w:eastAsia="Calibri"/>
          <w:noProof/>
          <w:lang w:val="fr-FR"/>
        </w:rPr>
        <w:t>il faudrait bientôt traiter</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118.</w:t>
      </w:r>
      <w:r w:rsidRPr="00191307">
        <w:rPr>
          <w:rFonts w:eastAsia="Calibri"/>
          <w:noProof/>
          <w:lang w:val="fr-FR"/>
        </w:rPr>
        <w:tab/>
      </w:r>
      <w:r>
        <w:rPr>
          <w:rFonts w:eastAsia="Calibri"/>
          <w:noProof/>
          <w:lang w:val="fr-FR"/>
        </w:rPr>
        <w:t>Il importe de noter qu</w:t>
      </w:r>
      <w:r w:rsidR="00607CA3">
        <w:rPr>
          <w:rFonts w:eastAsia="Calibri"/>
          <w:noProof/>
          <w:lang w:val="fr-FR"/>
        </w:rPr>
        <w:t>’</w:t>
      </w:r>
      <w:r>
        <w:rPr>
          <w:rFonts w:eastAsia="Calibri"/>
          <w:noProof/>
          <w:lang w:val="fr-FR"/>
        </w:rPr>
        <w:t>en réponse aux demandes d</w:t>
      </w:r>
      <w:r w:rsidR="00607CA3">
        <w:rPr>
          <w:rFonts w:eastAsia="Calibri"/>
          <w:noProof/>
          <w:lang w:val="fr-FR"/>
        </w:rPr>
        <w:t>’</w:t>
      </w:r>
      <w:r>
        <w:rPr>
          <w:rFonts w:eastAsia="Calibri"/>
          <w:noProof/>
          <w:lang w:val="fr-FR"/>
        </w:rPr>
        <w:t xml:space="preserve">information formulées par le délégué </w:t>
      </w:r>
      <w:r w:rsidRPr="001B5F3E">
        <w:rPr>
          <w:noProof/>
          <w:lang w:val="fr-FR"/>
        </w:rPr>
        <w:t>parlementaire</w:t>
      </w:r>
      <w:r>
        <w:rPr>
          <w:noProof/>
          <w:lang w:val="fr-FR"/>
        </w:rPr>
        <w:t xml:space="preserve"> à la suite de ses visites dans les centres pénitentiaires, le Ministère de l</w:t>
      </w:r>
      <w:r w:rsidR="00607CA3">
        <w:rPr>
          <w:noProof/>
          <w:lang w:val="fr-FR"/>
        </w:rPr>
        <w:t>’</w:t>
      </w:r>
      <w:r>
        <w:rPr>
          <w:noProof/>
          <w:lang w:val="fr-FR"/>
        </w:rPr>
        <w:t>intérieur a fait les démarches nécessaires tant au niveau de l</w:t>
      </w:r>
      <w:r w:rsidR="00607CA3">
        <w:rPr>
          <w:noProof/>
          <w:lang w:val="fr-FR"/>
        </w:rPr>
        <w:t>’</w:t>
      </w:r>
      <w:r>
        <w:rPr>
          <w:noProof/>
          <w:lang w:val="fr-FR"/>
        </w:rPr>
        <w:t>Institut national de réinsertion qu</w:t>
      </w:r>
      <w:r w:rsidR="00607CA3">
        <w:rPr>
          <w:noProof/>
          <w:lang w:val="fr-FR"/>
        </w:rPr>
        <w:t>’</w:t>
      </w:r>
      <w:r>
        <w:rPr>
          <w:noProof/>
          <w:lang w:val="fr-FR"/>
        </w:rPr>
        <w:t>à celui des services compétents du Ministère</w:t>
      </w:r>
      <w:r w:rsidRPr="00191307">
        <w:rPr>
          <w:rFonts w:eastAsia="Calibri"/>
          <w:noProof/>
          <w:lang w:val="fr-FR"/>
        </w:rPr>
        <w:t>. L</w:t>
      </w:r>
      <w:r>
        <w:rPr>
          <w:rFonts w:eastAsia="Calibri"/>
          <w:noProof/>
          <w:lang w:val="fr-FR"/>
        </w:rPr>
        <w:t>e</w:t>
      </w:r>
      <w:r w:rsidRPr="00191307">
        <w:rPr>
          <w:rFonts w:eastAsia="Calibri"/>
          <w:noProof/>
          <w:lang w:val="fr-FR"/>
        </w:rPr>
        <w:t>s recom</w:t>
      </w:r>
      <w:r>
        <w:rPr>
          <w:rFonts w:eastAsia="Calibri"/>
          <w:noProof/>
          <w:lang w:val="fr-FR"/>
        </w:rPr>
        <w:t>ma</w:t>
      </w:r>
      <w:r w:rsidRPr="00191307">
        <w:rPr>
          <w:rFonts w:eastAsia="Calibri"/>
          <w:noProof/>
          <w:lang w:val="fr-FR"/>
        </w:rPr>
        <w:t>nda</w:t>
      </w:r>
      <w:r>
        <w:rPr>
          <w:rFonts w:eastAsia="Calibri"/>
          <w:noProof/>
          <w:lang w:val="fr-FR"/>
        </w:rPr>
        <w:t>tions du délégué parlementaire sont évaluées conjointement avec les responsables de l</w:t>
      </w:r>
      <w:r w:rsidR="00607CA3">
        <w:rPr>
          <w:rFonts w:eastAsia="Calibri"/>
          <w:noProof/>
          <w:lang w:val="fr-FR"/>
        </w:rPr>
        <w:t>’</w:t>
      </w:r>
      <w:r>
        <w:rPr>
          <w:rFonts w:eastAsia="Calibri"/>
          <w:noProof/>
          <w:lang w:val="fr-FR"/>
        </w:rPr>
        <w:t>Institut et, dans toute la mesure possible, il y est donné effet</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119.</w:t>
      </w:r>
      <w:r w:rsidRPr="00191307">
        <w:rPr>
          <w:rFonts w:eastAsia="Calibri"/>
          <w:noProof/>
          <w:lang w:val="fr-FR"/>
        </w:rPr>
        <w:tab/>
      </w:r>
      <w:r>
        <w:rPr>
          <w:rFonts w:eastAsia="Calibri"/>
          <w:noProof/>
          <w:lang w:val="fr-FR"/>
        </w:rPr>
        <w:t>En ce qui concerne le système pénitentiaire, diverses mesures ont été adoptées pour améliorer les infrastructures  et augmenter la capacité d</w:t>
      </w:r>
      <w:r w:rsidR="00607CA3">
        <w:rPr>
          <w:rFonts w:eastAsia="Calibri"/>
          <w:noProof/>
          <w:lang w:val="fr-FR"/>
        </w:rPr>
        <w:t>’</w:t>
      </w:r>
      <w:r>
        <w:rPr>
          <w:rFonts w:eastAsia="Calibri"/>
          <w:noProof/>
          <w:lang w:val="fr-FR"/>
        </w:rPr>
        <w:t>accueil</w:t>
      </w:r>
      <w:r w:rsidRPr="00191307">
        <w:rPr>
          <w:rFonts w:eastAsia="Calibri"/>
          <w:noProof/>
          <w:lang w:val="fr-FR"/>
        </w:rPr>
        <w:t xml:space="preserve">. </w:t>
      </w:r>
      <w:r>
        <w:rPr>
          <w:rFonts w:eastAsia="Calibri"/>
          <w:noProof/>
          <w:lang w:val="fr-FR"/>
        </w:rPr>
        <w:t>De nouveaux bâtiments ont été construits dans les centres réservés aux mères accompagnées d</w:t>
      </w:r>
      <w:r w:rsidR="00607CA3">
        <w:rPr>
          <w:rFonts w:eastAsia="Calibri"/>
          <w:noProof/>
          <w:lang w:val="fr-FR"/>
        </w:rPr>
        <w:t>’</w:t>
      </w:r>
      <w:r>
        <w:rPr>
          <w:rFonts w:eastAsia="Calibri"/>
          <w:noProof/>
          <w:lang w:val="fr-FR"/>
        </w:rPr>
        <w:t xml:space="preserve">enfants de </w:t>
      </w:r>
      <w:r w:rsidRPr="00191307">
        <w:rPr>
          <w:rFonts w:eastAsia="Calibri"/>
          <w:noProof/>
          <w:lang w:val="fr-FR"/>
        </w:rPr>
        <w:t xml:space="preserve">Rivera, Maldonado, Lavalleja, </w:t>
      </w:r>
      <w:r w:rsidRPr="00191307">
        <w:rPr>
          <w:noProof/>
          <w:lang w:val="fr-FR"/>
        </w:rPr>
        <w:t>Soriano</w:t>
      </w:r>
      <w:r w:rsidRPr="00191307">
        <w:rPr>
          <w:rFonts w:eastAsia="Calibri"/>
          <w:noProof/>
          <w:lang w:val="fr-FR"/>
        </w:rPr>
        <w:t>, Tacuarembó</w:t>
      </w:r>
      <w:r>
        <w:rPr>
          <w:rFonts w:eastAsia="Calibri"/>
          <w:noProof/>
          <w:lang w:val="fr-FR"/>
        </w:rPr>
        <w:t xml:space="preserve"> (quartier réservé aux femmes) et </w:t>
      </w:r>
      <w:r w:rsidRPr="00191307">
        <w:rPr>
          <w:rFonts w:eastAsia="Calibri"/>
          <w:noProof/>
          <w:lang w:val="fr-FR"/>
        </w:rPr>
        <w:t xml:space="preserve">Florida. </w:t>
      </w:r>
      <w:r>
        <w:rPr>
          <w:rFonts w:eastAsia="Calibri"/>
          <w:noProof/>
          <w:lang w:val="fr-FR"/>
        </w:rPr>
        <w:t>On a construit de nouvelles ailes et on en a rénové d</w:t>
      </w:r>
      <w:r w:rsidR="00607CA3">
        <w:rPr>
          <w:rFonts w:eastAsia="Calibri"/>
          <w:noProof/>
          <w:lang w:val="fr-FR"/>
        </w:rPr>
        <w:t>’</w:t>
      </w:r>
      <w:r>
        <w:rPr>
          <w:rFonts w:eastAsia="Calibri"/>
          <w:noProof/>
          <w:lang w:val="fr-FR"/>
        </w:rPr>
        <w:t xml:space="preserve">autres dans le centre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 xml:space="preserve">4. Des réparations ont également été effectuées dans le centres pour femmes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5</w:t>
      </w:r>
      <w:r w:rsidRPr="00191307">
        <w:rPr>
          <w:rFonts w:eastAsia="Calibri"/>
          <w:noProof/>
          <w:lang w:val="fr-FR"/>
        </w:rPr>
        <w:t xml:space="preserve">. </w:t>
      </w:r>
      <w:r>
        <w:rPr>
          <w:rFonts w:eastAsia="Calibri"/>
          <w:noProof/>
          <w:lang w:val="fr-FR"/>
        </w:rPr>
        <w:t xml:space="preserve">Une nouvelle aile est en cours de construction dans le centre </w:t>
      </w:r>
      <w:r w:rsidRPr="00191307">
        <w:rPr>
          <w:rFonts w:eastAsia="Calibri"/>
          <w:noProof/>
          <w:lang w:val="fr-FR"/>
        </w:rPr>
        <w:t>Canelones.</w:t>
      </w:r>
    </w:p>
    <w:p w:rsidR="00596826" w:rsidRPr="00191307" w:rsidRDefault="00596826" w:rsidP="00596826">
      <w:pPr>
        <w:pStyle w:val="SingleTxtG"/>
        <w:rPr>
          <w:rFonts w:eastAsia="Calibri"/>
          <w:noProof/>
          <w:lang w:val="fr-FR"/>
        </w:rPr>
      </w:pPr>
      <w:r w:rsidRPr="00191307">
        <w:rPr>
          <w:rFonts w:eastAsia="Calibri"/>
          <w:noProof/>
          <w:lang w:val="fr-FR"/>
        </w:rPr>
        <w:t>120.</w:t>
      </w:r>
      <w:r w:rsidRPr="00191307">
        <w:rPr>
          <w:rFonts w:eastAsia="Calibri"/>
          <w:noProof/>
          <w:lang w:val="fr-FR"/>
        </w:rPr>
        <w:tab/>
      </w:r>
      <w:r>
        <w:rPr>
          <w:rFonts w:eastAsia="Calibri"/>
          <w:noProof/>
          <w:lang w:val="fr-FR"/>
        </w:rPr>
        <w:t xml:space="preserve">Pour ce qui est de la politique visant à en finir avec la surpopulation, on a inauguré en janvier 2018 le centre </w:t>
      </w:r>
      <w:r w:rsidRPr="00191307">
        <w:rPr>
          <w:rFonts w:eastAsia="Calibri"/>
          <w:noProof/>
          <w:lang w:val="fr-FR"/>
        </w:rPr>
        <w:t>Punta de Rieles</w:t>
      </w:r>
      <w:r w:rsidRPr="003D7CF1">
        <w:rPr>
          <w:rFonts w:eastAsia="Calibri"/>
          <w:noProof/>
          <w:lang w:val="fr-FR"/>
        </w:rPr>
        <w:t xml:space="preserve"> </w:t>
      </w:r>
      <w:r>
        <w:rPr>
          <w:rFonts w:eastAsia="Calibri"/>
          <w:noProof/>
          <w:lang w:val="fr-FR"/>
        </w:rPr>
        <w:t>(n° 1)</w:t>
      </w:r>
      <w:r w:rsidRPr="00191307">
        <w:rPr>
          <w:rFonts w:eastAsia="Calibri"/>
          <w:noProof/>
          <w:lang w:val="fr-FR"/>
        </w:rPr>
        <w:t xml:space="preserve">, </w:t>
      </w:r>
      <w:r>
        <w:rPr>
          <w:rFonts w:eastAsia="Calibri"/>
          <w:noProof/>
          <w:lang w:val="fr-FR"/>
        </w:rPr>
        <w:t>à la faveur d</w:t>
      </w:r>
      <w:r w:rsidR="00607CA3">
        <w:rPr>
          <w:rFonts w:eastAsia="Calibri"/>
          <w:noProof/>
          <w:lang w:val="fr-FR"/>
        </w:rPr>
        <w:t>’</w:t>
      </w:r>
      <w:r>
        <w:rPr>
          <w:rFonts w:eastAsia="Calibri"/>
          <w:noProof/>
          <w:lang w:val="fr-FR"/>
        </w:rPr>
        <w:t xml:space="preserve">un partenariat public-privé (le seul en </w:t>
      </w:r>
      <w:r w:rsidRPr="00191307">
        <w:rPr>
          <w:rFonts w:eastAsia="Calibri"/>
          <w:noProof/>
          <w:lang w:val="fr-FR"/>
        </w:rPr>
        <w:t>Uruguay)</w:t>
      </w:r>
      <w:r>
        <w:rPr>
          <w:rFonts w:eastAsia="Calibri"/>
          <w:noProof/>
          <w:lang w:val="fr-FR"/>
        </w:rPr>
        <w:t xml:space="preserve">, qui a permis de créer </w:t>
      </w:r>
      <w:r w:rsidRPr="00191307">
        <w:rPr>
          <w:rFonts w:eastAsia="Calibri"/>
          <w:noProof/>
          <w:lang w:val="fr-FR"/>
        </w:rPr>
        <w:t>1</w:t>
      </w:r>
      <w:r w:rsidR="00691AD9">
        <w:rPr>
          <w:rFonts w:eastAsia="Calibri"/>
          <w:noProof/>
          <w:lang w:val="fr-FR"/>
        </w:rPr>
        <w:t> </w:t>
      </w:r>
      <w:r w:rsidRPr="00191307">
        <w:rPr>
          <w:rFonts w:eastAsia="Calibri"/>
          <w:noProof/>
          <w:lang w:val="fr-FR"/>
        </w:rPr>
        <w:t>960</w:t>
      </w:r>
      <w:r>
        <w:rPr>
          <w:rFonts w:eastAsia="Calibri"/>
          <w:noProof/>
          <w:lang w:val="fr-FR"/>
        </w:rPr>
        <w:t xml:space="preserve"> places supplémentaires</w:t>
      </w:r>
      <w:r w:rsidRPr="00191307">
        <w:rPr>
          <w:rFonts w:eastAsia="Calibri"/>
          <w:noProof/>
          <w:lang w:val="fr-FR"/>
        </w:rPr>
        <w:t xml:space="preserve">. </w:t>
      </w:r>
      <w:r>
        <w:rPr>
          <w:rFonts w:eastAsia="Calibri"/>
          <w:noProof/>
          <w:lang w:val="fr-FR"/>
        </w:rPr>
        <w:t xml:space="preserve">De même, on a achevé la construction du nouveau centre </w:t>
      </w:r>
      <w:r w:rsidRPr="00191307">
        <w:rPr>
          <w:rFonts w:eastAsia="Calibri"/>
          <w:noProof/>
          <w:lang w:val="fr-FR"/>
        </w:rPr>
        <w:t>Florida</w:t>
      </w:r>
      <w:r>
        <w:rPr>
          <w:rFonts w:eastAsia="Calibri"/>
          <w:noProof/>
          <w:lang w:val="fr-FR"/>
        </w:rPr>
        <w:t xml:space="preserve">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29) (les finitions restent à effectuer)</w:t>
      </w:r>
      <w:r w:rsidRPr="00191307">
        <w:rPr>
          <w:rFonts w:eastAsia="Calibri"/>
          <w:noProof/>
          <w:lang w:val="fr-FR"/>
        </w:rPr>
        <w:t xml:space="preserve">, </w:t>
      </w:r>
      <w:r>
        <w:rPr>
          <w:rFonts w:eastAsia="Calibri"/>
          <w:noProof/>
          <w:lang w:val="fr-FR"/>
        </w:rPr>
        <w:t xml:space="preserve">qui pourra accueillir </w:t>
      </w:r>
      <w:r w:rsidRPr="00191307">
        <w:rPr>
          <w:rFonts w:eastAsia="Calibri"/>
          <w:noProof/>
          <w:lang w:val="fr-FR"/>
        </w:rPr>
        <w:t xml:space="preserve">173 </w:t>
      </w:r>
      <w:r>
        <w:rPr>
          <w:rFonts w:eastAsia="Calibri"/>
          <w:noProof/>
          <w:lang w:val="fr-FR"/>
        </w:rPr>
        <w:t xml:space="preserve">personnes privées de liberté </w:t>
      </w:r>
      <w:r w:rsidRPr="00191307">
        <w:rPr>
          <w:rFonts w:eastAsia="Calibri"/>
          <w:noProof/>
          <w:lang w:val="fr-FR"/>
        </w:rPr>
        <w:t xml:space="preserve">(21 </w:t>
      </w:r>
      <w:r>
        <w:rPr>
          <w:rFonts w:eastAsia="Calibri"/>
          <w:noProof/>
          <w:lang w:val="fr-FR"/>
        </w:rPr>
        <w:t>de ces places sont réservées aux femmes et aux mères accompagnées d</w:t>
      </w:r>
      <w:r w:rsidR="00607CA3">
        <w:rPr>
          <w:rFonts w:eastAsia="Calibri"/>
          <w:noProof/>
          <w:lang w:val="fr-FR"/>
        </w:rPr>
        <w:t>’</w:t>
      </w:r>
      <w:r>
        <w:rPr>
          <w:rFonts w:eastAsia="Calibri"/>
          <w:noProof/>
          <w:lang w:val="fr-FR"/>
        </w:rPr>
        <w:t>enfants</w:t>
      </w:r>
      <w:r w:rsidRPr="00191307">
        <w:rPr>
          <w:rFonts w:eastAsia="Calibri"/>
          <w:noProof/>
          <w:lang w:val="fr-FR"/>
        </w:rPr>
        <w:t xml:space="preserve">). </w:t>
      </w:r>
      <w:r>
        <w:rPr>
          <w:rFonts w:eastAsia="Calibri"/>
          <w:noProof/>
          <w:lang w:val="fr-FR"/>
        </w:rPr>
        <w:t xml:space="preserve">La reconstruction totale de deux ailes du centre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 xml:space="preserve">4, situé dans la </w:t>
      </w:r>
      <w:r w:rsidRPr="00191307">
        <w:rPr>
          <w:rFonts w:eastAsia="Calibri"/>
          <w:noProof/>
          <w:lang w:val="fr-FR"/>
        </w:rPr>
        <w:t>locali</w:t>
      </w:r>
      <w:r>
        <w:rPr>
          <w:rFonts w:eastAsia="Calibri"/>
          <w:noProof/>
          <w:lang w:val="fr-FR"/>
        </w:rPr>
        <w:t xml:space="preserve">té </w:t>
      </w:r>
      <w:r w:rsidRPr="00191307">
        <w:rPr>
          <w:rFonts w:eastAsia="Calibri"/>
          <w:noProof/>
          <w:lang w:val="fr-FR"/>
        </w:rPr>
        <w:t>de Santiago Vázquez</w:t>
      </w:r>
      <w:r>
        <w:rPr>
          <w:rFonts w:eastAsia="Calibri"/>
          <w:noProof/>
          <w:lang w:val="fr-FR"/>
        </w:rPr>
        <w:t>, se poursuit</w:t>
      </w:r>
      <w:r w:rsidRPr="00191307">
        <w:rPr>
          <w:rFonts w:eastAsia="Calibri"/>
          <w:noProof/>
          <w:lang w:val="fr-FR"/>
        </w:rPr>
        <w:t>. En 2017</w:t>
      </w:r>
      <w:r>
        <w:rPr>
          <w:rFonts w:eastAsia="Calibri"/>
          <w:noProof/>
          <w:lang w:val="fr-FR"/>
        </w:rPr>
        <w:t>, on a commencé la construction d</w:t>
      </w:r>
      <w:r w:rsidR="00607CA3">
        <w:rPr>
          <w:rFonts w:eastAsia="Calibri"/>
          <w:noProof/>
          <w:lang w:val="fr-FR"/>
        </w:rPr>
        <w:t>’</w:t>
      </w:r>
      <w:r>
        <w:rPr>
          <w:rFonts w:eastAsia="Calibri"/>
          <w:noProof/>
          <w:lang w:val="fr-FR"/>
        </w:rPr>
        <w:t xml:space="preserve">un nouveau quartier au centre </w:t>
      </w:r>
      <w:r w:rsidRPr="00191307">
        <w:rPr>
          <w:rFonts w:eastAsia="Calibri"/>
          <w:noProof/>
          <w:lang w:val="fr-FR"/>
        </w:rPr>
        <w:t xml:space="preserve">Artigas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27 et un appel d</w:t>
      </w:r>
      <w:r w:rsidR="00607CA3">
        <w:rPr>
          <w:rFonts w:eastAsia="Calibri"/>
          <w:noProof/>
          <w:lang w:val="fr-FR"/>
        </w:rPr>
        <w:t>’</w:t>
      </w:r>
      <w:r>
        <w:rPr>
          <w:rFonts w:eastAsia="Calibri"/>
          <w:noProof/>
          <w:lang w:val="fr-FR"/>
        </w:rPr>
        <w:t xml:space="preserve">offres a été lancé pour la </w:t>
      </w:r>
      <w:r w:rsidRPr="00191307">
        <w:rPr>
          <w:rFonts w:eastAsia="Calibri"/>
          <w:noProof/>
          <w:lang w:val="fr-FR"/>
        </w:rPr>
        <w:t>reconstruc</w:t>
      </w:r>
      <w:r>
        <w:rPr>
          <w:rFonts w:eastAsia="Calibri"/>
          <w:noProof/>
          <w:lang w:val="fr-FR"/>
        </w:rPr>
        <w:t>tion d</w:t>
      </w:r>
      <w:r w:rsidR="00607CA3">
        <w:rPr>
          <w:rFonts w:eastAsia="Calibri"/>
          <w:noProof/>
          <w:lang w:val="fr-FR"/>
        </w:rPr>
        <w:t>’</w:t>
      </w:r>
      <w:r>
        <w:rPr>
          <w:rFonts w:eastAsia="Calibri"/>
          <w:noProof/>
          <w:lang w:val="fr-FR"/>
        </w:rPr>
        <w:t xml:space="preserve">un nouveau quartier au centre </w:t>
      </w:r>
      <w:r w:rsidRPr="00191307">
        <w:rPr>
          <w:rFonts w:eastAsia="Calibri"/>
          <w:noProof/>
          <w:lang w:val="fr-FR"/>
        </w:rPr>
        <w:t>Canelones</w:t>
      </w:r>
      <w:r>
        <w:rPr>
          <w:rFonts w:eastAsia="Calibri"/>
          <w:noProof/>
          <w:lang w:val="fr-FR"/>
        </w:rPr>
        <w:t xml:space="preserve"> (</w:t>
      </w:r>
      <w:r w:rsidR="00AF4C2A" w:rsidRPr="00AF4C2A">
        <w:rPr>
          <w:rFonts w:eastAsia="MS Mincho"/>
          <w:noProof/>
          <w:szCs w:val="22"/>
          <w:lang w:val="fr-FR"/>
        </w:rPr>
        <w:t>n</w:t>
      </w:r>
      <w:r w:rsidR="00AF4C2A" w:rsidRPr="00AF4C2A">
        <w:rPr>
          <w:rFonts w:eastAsia="MS Mincho"/>
          <w:noProof/>
          <w:szCs w:val="22"/>
          <w:vertAlign w:val="superscript"/>
          <w:lang w:val="fr-FR"/>
        </w:rPr>
        <w:t>o</w:t>
      </w:r>
      <w:r w:rsidR="00AF4C2A">
        <w:rPr>
          <w:rFonts w:eastAsia="Calibri"/>
          <w:noProof/>
          <w:lang w:val="fr-FR"/>
        </w:rPr>
        <w:t> </w:t>
      </w:r>
      <w:r>
        <w:rPr>
          <w:rFonts w:eastAsia="Calibri"/>
          <w:noProof/>
          <w:lang w:val="fr-FR"/>
        </w:rPr>
        <w:t>7)</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121.</w:t>
      </w:r>
      <w:r w:rsidRPr="00191307">
        <w:rPr>
          <w:rFonts w:eastAsia="Calibri"/>
          <w:noProof/>
          <w:lang w:val="fr-FR"/>
        </w:rPr>
        <w:tab/>
      </w:r>
      <w:r w:rsidRPr="00BA1FCB">
        <w:rPr>
          <w:noProof/>
          <w:lang w:val="fr-FR"/>
        </w:rPr>
        <w:t>Depuis 2010, le travail mené sur l</w:t>
      </w:r>
      <w:r w:rsidR="00607CA3">
        <w:rPr>
          <w:noProof/>
          <w:lang w:val="fr-FR"/>
        </w:rPr>
        <w:t>’</w:t>
      </w:r>
      <w:r w:rsidRPr="00BA1FCB">
        <w:rPr>
          <w:noProof/>
          <w:lang w:val="fr-FR"/>
        </w:rPr>
        <w:t>administration pénitentiaire a porté sur trois axes distincts et complémentaires</w:t>
      </w:r>
      <w:r>
        <w:rPr>
          <w:noProof/>
          <w:lang w:val="fr-FR"/>
        </w:rPr>
        <w:t> :</w:t>
      </w:r>
      <w:r w:rsidRPr="00BA1FCB">
        <w:rPr>
          <w:noProof/>
          <w:lang w:val="fr-FR"/>
        </w:rPr>
        <w:t xml:space="preserve"> 1) mettre fin à la grave surpopulation carcérale en construisant de nouvelles structures et de nouveaux espaces d</w:t>
      </w:r>
      <w:r w:rsidR="00607CA3">
        <w:rPr>
          <w:noProof/>
          <w:lang w:val="fr-FR"/>
        </w:rPr>
        <w:t>’</w:t>
      </w:r>
      <w:r w:rsidRPr="00BA1FCB">
        <w:rPr>
          <w:noProof/>
          <w:lang w:val="fr-FR"/>
        </w:rPr>
        <w:t>accueil dans celles qui existent déjà</w:t>
      </w:r>
      <w:r w:rsidR="00AF4C2A">
        <w:rPr>
          <w:noProof/>
          <w:lang w:val="fr-FR"/>
        </w:rPr>
        <w:t> </w:t>
      </w:r>
      <w:r w:rsidRPr="00BA1FCB">
        <w:rPr>
          <w:noProof/>
          <w:lang w:val="fr-FR"/>
        </w:rPr>
        <w:t xml:space="preserve">; 2) établir une hiérarchie entre les </w:t>
      </w:r>
      <w:r>
        <w:rPr>
          <w:noProof/>
          <w:lang w:val="fr-FR"/>
        </w:rPr>
        <w:t>centre</w:t>
      </w:r>
      <w:r w:rsidRPr="00BA1FCB">
        <w:rPr>
          <w:noProof/>
          <w:lang w:val="fr-FR"/>
        </w:rPr>
        <w:t>s pénitentiaires en fonction de la catégorie de prison et de détenus</w:t>
      </w:r>
      <w:r w:rsidR="00AF4C2A">
        <w:rPr>
          <w:noProof/>
          <w:lang w:val="fr-FR"/>
        </w:rPr>
        <w:t> </w:t>
      </w:r>
      <w:r w:rsidRPr="00BA1FCB">
        <w:rPr>
          <w:noProof/>
          <w:lang w:val="fr-FR"/>
        </w:rPr>
        <w:t>; et 3) étendre les droits et obligations des détenus en</w:t>
      </w:r>
      <w:r w:rsidRPr="00BA1FCB">
        <w:rPr>
          <w:rFonts w:eastAsia="Calibri"/>
          <w:noProof/>
          <w:lang w:val="fr-FR"/>
        </w:rPr>
        <w:t xml:space="preserve"> </w:t>
      </w:r>
      <w:r w:rsidRPr="00BA1FCB">
        <w:rPr>
          <w:noProof/>
          <w:lang w:val="fr-FR"/>
        </w:rPr>
        <w:t>ajoutant les avantages qui peuvent être obtenus ou perdus en fonction du comportement adopté</w:t>
      </w:r>
      <w:r w:rsidRPr="00BA1FCB">
        <w:rPr>
          <w:rFonts w:eastAsia="Calibri"/>
          <w:noProof/>
          <w:lang w:val="fr-FR"/>
        </w:rPr>
        <w:t>.</w:t>
      </w:r>
      <w:r w:rsidRPr="00191307">
        <w:rPr>
          <w:rFonts w:eastAsia="Calibri"/>
          <w:noProof/>
          <w:lang w:val="fr-FR"/>
        </w:rPr>
        <w:t xml:space="preserve"> </w:t>
      </w:r>
    </w:p>
    <w:p w:rsidR="00596826" w:rsidRPr="00191307" w:rsidRDefault="00596826" w:rsidP="00596826">
      <w:pPr>
        <w:pStyle w:val="SingleTxtG"/>
        <w:rPr>
          <w:rFonts w:eastAsia="Calibri"/>
          <w:noProof/>
          <w:lang w:val="fr-FR"/>
        </w:rPr>
      </w:pPr>
      <w:r w:rsidRPr="00191307">
        <w:rPr>
          <w:rFonts w:eastAsia="Calibri"/>
          <w:noProof/>
          <w:lang w:val="fr-FR"/>
        </w:rPr>
        <w:t>122.</w:t>
      </w:r>
      <w:r w:rsidRPr="00191307">
        <w:rPr>
          <w:rFonts w:eastAsia="Calibri"/>
          <w:noProof/>
          <w:lang w:val="fr-FR"/>
        </w:rPr>
        <w:tab/>
      </w:r>
      <w:r>
        <w:rPr>
          <w:rFonts w:eastAsia="Calibri"/>
          <w:noProof/>
          <w:lang w:val="fr-FR"/>
        </w:rPr>
        <w:t>Le transfert à l</w:t>
      </w:r>
      <w:r w:rsidR="00607CA3">
        <w:rPr>
          <w:rFonts w:eastAsia="Calibri"/>
          <w:noProof/>
          <w:lang w:val="fr-FR"/>
        </w:rPr>
        <w:t>’</w:t>
      </w:r>
      <w:r>
        <w:rPr>
          <w:rFonts w:eastAsia="Calibri"/>
          <w:noProof/>
          <w:lang w:val="fr-FR"/>
        </w:rPr>
        <w:t>Institut national de réinsertion de la responsabilité de tous les centres pénitentiaires a permis</w:t>
      </w:r>
      <w:r w:rsidRPr="00191307">
        <w:rPr>
          <w:rFonts w:eastAsia="Calibri"/>
          <w:noProof/>
          <w:lang w:val="fr-FR"/>
        </w:rPr>
        <w:t>, en oct</w:t>
      </w:r>
      <w:r>
        <w:rPr>
          <w:rFonts w:eastAsia="Calibri"/>
          <w:noProof/>
          <w:lang w:val="fr-FR"/>
        </w:rPr>
        <w:t>o</w:t>
      </w:r>
      <w:r w:rsidRPr="00191307">
        <w:rPr>
          <w:rFonts w:eastAsia="Calibri"/>
          <w:noProof/>
          <w:lang w:val="fr-FR"/>
        </w:rPr>
        <w:t xml:space="preserve">bre </w:t>
      </w:r>
      <w:r>
        <w:rPr>
          <w:rFonts w:eastAsia="Calibri"/>
          <w:noProof/>
          <w:lang w:val="fr-FR"/>
        </w:rPr>
        <w:t>2015, d</w:t>
      </w:r>
      <w:r w:rsidR="00607CA3">
        <w:rPr>
          <w:rFonts w:eastAsia="Calibri"/>
          <w:noProof/>
          <w:lang w:val="fr-FR"/>
        </w:rPr>
        <w:t>’</w:t>
      </w:r>
      <w:r>
        <w:rPr>
          <w:rFonts w:eastAsia="Calibri"/>
          <w:noProof/>
          <w:lang w:val="fr-FR"/>
        </w:rPr>
        <w:t xml:space="preserve">engager </w:t>
      </w:r>
      <w:r w:rsidRPr="00191307">
        <w:rPr>
          <w:rFonts w:eastAsia="Calibri"/>
          <w:noProof/>
          <w:lang w:val="fr-FR"/>
        </w:rPr>
        <w:t>un proces</w:t>
      </w:r>
      <w:r>
        <w:rPr>
          <w:rFonts w:eastAsia="Calibri"/>
          <w:noProof/>
          <w:lang w:val="fr-FR"/>
        </w:rPr>
        <w:t>sus</w:t>
      </w:r>
      <w:r w:rsidRPr="00191307">
        <w:rPr>
          <w:rFonts w:eastAsia="Calibri"/>
          <w:noProof/>
          <w:lang w:val="fr-FR"/>
        </w:rPr>
        <w:t xml:space="preserve"> de r</w:t>
      </w:r>
      <w:r>
        <w:rPr>
          <w:rFonts w:eastAsia="Calibri"/>
          <w:noProof/>
          <w:lang w:val="fr-FR"/>
        </w:rPr>
        <w:t>é</w:t>
      </w:r>
      <w:r w:rsidRPr="00191307">
        <w:rPr>
          <w:rFonts w:eastAsia="Calibri"/>
          <w:noProof/>
          <w:lang w:val="fr-FR"/>
        </w:rPr>
        <w:t>organi</w:t>
      </w:r>
      <w:r>
        <w:rPr>
          <w:rFonts w:eastAsia="Calibri"/>
          <w:noProof/>
          <w:lang w:val="fr-FR"/>
        </w:rPr>
        <w:t>s</w:t>
      </w:r>
      <w:r w:rsidRPr="00191307">
        <w:rPr>
          <w:rFonts w:eastAsia="Calibri"/>
          <w:noProof/>
          <w:lang w:val="fr-FR"/>
        </w:rPr>
        <w:t>a</w:t>
      </w:r>
      <w:r>
        <w:rPr>
          <w:rFonts w:eastAsia="Calibri"/>
          <w:noProof/>
          <w:lang w:val="fr-FR"/>
        </w:rPr>
        <w:t xml:space="preserve">tion </w:t>
      </w:r>
      <w:r w:rsidRPr="00191307">
        <w:rPr>
          <w:rFonts w:eastAsia="Calibri"/>
          <w:noProof/>
          <w:lang w:val="fr-FR"/>
        </w:rPr>
        <w:lastRenderedPageBreak/>
        <w:t>institu</w:t>
      </w:r>
      <w:r>
        <w:rPr>
          <w:rFonts w:eastAsia="Calibri"/>
          <w:noProof/>
          <w:lang w:val="fr-FR"/>
        </w:rPr>
        <w:t xml:space="preserve">tionnelle visant à </w:t>
      </w:r>
      <w:r w:rsidRPr="00191307">
        <w:rPr>
          <w:rFonts w:eastAsia="Calibri"/>
          <w:noProof/>
          <w:lang w:val="fr-FR"/>
        </w:rPr>
        <w:t>consolid</w:t>
      </w:r>
      <w:r>
        <w:rPr>
          <w:rFonts w:eastAsia="Calibri"/>
          <w:noProof/>
          <w:lang w:val="fr-FR"/>
        </w:rPr>
        <w:t>e</w:t>
      </w:r>
      <w:r w:rsidRPr="00191307">
        <w:rPr>
          <w:rFonts w:eastAsia="Calibri"/>
          <w:noProof/>
          <w:lang w:val="fr-FR"/>
        </w:rPr>
        <w:t xml:space="preserve">r </w:t>
      </w:r>
      <w:r>
        <w:rPr>
          <w:rFonts w:eastAsia="Calibri"/>
          <w:noProof/>
          <w:lang w:val="fr-FR"/>
        </w:rPr>
        <w:t xml:space="preserve">le </w:t>
      </w:r>
      <w:r w:rsidRPr="00191307">
        <w:rPr>
          <w:rFonts w:eastAsia="Calibri"/>
          <w:noProof/>
          <w:lang w:val="fr-FR"/>
        </w:rPr>
        <w:t>s</w:t>
      </w:r>
      <w:r>
        <w:rPr>
          <w:rFonts w:eastAsia="Calibri"/>
          <w:noProof/>
          <w:lang w:val="fr-FR"/>
        </w:rPr>
        <w:t>ystème pénitentiaire au niveau national</w:t>
      </w:r>
      <w:r w:rsidRPr="00191307">
        <w:rPr>
          <w:rFonts w:eastAsia="Calibri"/>
          <w:noProof/>
          <w:lang w:val="fr-FR"/>
        </w:rPr>
        <w:t xml:space="preserve">, </w:t>
      </w:r>
      <w:r>
        <w:rPr>
          <w:rFonts w:eastAsia="Calibri"/>
          <w:noProof/>
          <w:lang w:val="fr-FR"/>
        </w:rPr>
        <w:t>en favorisant l</w:t>
      </w:r>
      <w:r w:rsidR="00607CA3">
        <w:rPr>
          <w:rFonts w:eastAsia="Calibri"/>
          <w:noProof/>
          <w:lang w:val="fr-FR"/>
        </w:rPr>
        <w:t>’</w:t>
      </w:r>
      <w:r w:rsidRPr="00191307">
        <w:rPr>
          <w:rFonts w:eastAsia="Calibri"/>
          <w:noProof/>
          <w:lang w:val="fr-FR"/>
        </w:rPr>
        <w:t>unifica</w:t>
      </w:r>
      <w:r>
        <w:rPr>
          <w:rFonts w:eastAsia="Calibri"/>
          <w:noProof/>
          <w:lang w:val="fr-FR"/>
        </w:rPr>
        <w:t>tion des critères et l</w:t>
      </w:r>
      <w:r w:rsidR="00607CA3">
        <w:rPr>
          <w:rFonts w:eastAsia="Calibri"/>
          <w:noProof/>
          <w:lang w:val="fr-FR"/>
        </w:rPr>
        <w:t>’</w:t>
      </w:r>
      <w:r>
        <w:rPr>
          <w:rFonts w:eastAsia="Calibri"/>
          <w:noProof/>
          <w:lang w:val="fr-FR"/>
        </w:rPr>
        <w:t xml:space="preserve">application de politiques pénitentiaires et en construisant de nouveaux centres pénitentiaires et/ou de nouveaux quartiers dans les centres existants, ces structures offrant </w:t>
      </w:r>
      <w:r w:rsidRPr="00276791">
        <w:rPr>
          <w:noProof/>
          <w:lang w:val="fr-FR"/>
        </w:rPr>
        <w:t xml:space="preserve">trois niveaux de sécurité </w:t>
      </w:r>
      <w:r w:rsidR="00691AD9">
        <w:rPr>
          <w:noProof/>
          <w:lang w:val="fr-FR"/>
        </w:rPr>
        <w:t>−</w:t>
      </w:r>
      <w:r w:rsidRPr="00276791">
        <w:rPr>
          <w:noProof/>
          <w:lang w:val="fr-FR"/>
        </w:rPr>
        <w:t xml:space="preserve"> haute sécurité, sécurité moyenne et sécurité minimale</w:t>
      </w:r>
      <w:r w:rsidRPr="00411326">
        <w:t>.</w:t>
      </w:r>
    </w:p>
    <w:p w:rsidR="00596826" w:rsidRPr="00191307" w:rsidRDefault="00596826" w:rsidP="00596826">
      <w:pPr>
        <w:pStyle w:val="SingleTxtG"/>
        <w:rPr>
          <w:rFonts w:eastAsia="Calibri"/>
          <w:noProof/>
          <w:kern w:val="1"/>
          <w:lang w:val="fr-FR"/>
        </w:rPr>
      </w:pPr>
      <w:r w:rsidRPr="00191307">
        <w:rPr>
          <w:rFonts w:eastAsia="Calibri"/>
          <w:noProof/>
          <w:lang w:val="fr-FR"/>
        </w:rPr>
        <w:t>123.</w:t>
      </w:r>
      <w:r w:rsidRPr="00191307">
        <w:rPr>
          <w:rFonts w:eastAsia="Calibri"/>
          <w:noProof/>
          <w:lang w:val="fr-FR"/>
        </w:rPr>
        <w:tab/>
      </w:r>
      <w:r>
        <w:rPr>
          <w:rFonts w:eastAsia="Calibri"/>
          <w:noProof/>
          <w:lang w:val="fr-FR"/>
        </w:rPr>
        <w:t>Le tableau ci-après rend compte de l</w:t>
      </w:r>
      <w:r w:rsidR="00607CA3">
        <w:rPr>
          <w:rFonts w:eastAsia="Calibri"/>
          <w:noProof/>
          <w:lang w:val="fr-FR"/>
        </w:rPr>
        <w:t>’</w:t>
      </w:r>
      <w:r>
        <w:rPr>
          <w:rFonts w:eastAsia="Calibri"/>
          <w:noProof/>
          <w:lang w:val="fr-FR"/>
        </w:rPr>
        <w:t>évolution de la population carcérale, de la capacité d</w:t>
      </w:r>
      <w:r w:rsidR="00607CA3">
        <w:rPr>
          <w:rFonts w:eastAsia="Calibri"/>
          <w:noProof/>
          <w:lang w:val="fr-FR"/>
        </w:rPr>
        <w:t>’</w:t>
      </w:r>
      <w:r>
        <w:rPr>
          <w:rFonts w:eastAsia="Calibri"/>
          <w:noProof/>
          <w:lang w:val="fr-FR"/>
        </w:rPr>
        <w:t xml:space="preserve">accueil et de la surpopulation entre </w:t>
      </w:r>
      <w:r w:rsidRPr="00191307">
        <w:rPr>
          <w:rFonts w:eastAsia="Calibri"/>
          <w:noProof/>
          <w:lang w:val="fr-FR"/>
        </w:rPr>
        <w:t xml:space="preserve">2005 </w:t>
      </w:r>
      <w:r>
        <w:rPr>
          <w:rFonts w:eastAsia="Calibri"/>
          <w:noProof/>
          <w:lang w:val="fr-FR"/>
        </w:rPr>
        <w:t xml:space="preserve">et mars </w:t>
      </w:r>
      <w:r w:rsidRPr="00191307">
        <w:rPr>
          <w:rFonts w:eastAsia="Calibri"/>
          <w:noProof/>
          <w:lang w:val="fr-FR"/>
        </w:rPr>
        <w:t>2018</w:t>
      </w:r>
      <w:r>
        <w:rPr>
          <w:rFonts w:eastAsia="Calibri"/>
          <w:noProof/>
          <w:lang w:val="fr-FR"/>
        </w:rPr>
        <w:t> :</w:t>
      </w:r>
    </w:p>
    <w:p w:rsidR="00596826" w:rsidRPr="00191307" w:rsidRDefault="00596826" w:rsidP="007735FD">
      <w:pPr>
        <w:pStyle w:val="Titre1"/>
        <w:spacing w:after="120"/>
        <w:rPr>
          <w:rFonts w:eastAsia="Calibri"/>
          <w:bCs/>
          <w:noProof/>
          <w:lang w:val="fr-FR"/>
        </w:rPr>
      </w:pPr>
      <w:r w:rsidRPr="00FD38D2">
        <w:t>Tableau</w:t>
      </w:r>
      <w:r w:rsidR="007735FD">
        <w:br/>
      </w:r>
      <w:r>
        <w:rPr>
          <w:rFonts w:eastAsia="Calibri"/>
          <w:b/>
          <w:bCs/>
          <w:noProof/>
          <w:lang w:val="fr-FR"/>
        </w:rPr>
        <w:t>Év</w:t>
      </w:r>
      <w:r w:rsidRPr="00191307">
        <w:rPr>
          <w:rFonts w:eastAsia="Calibri"/>
          <w:b/>
          <w:bCs/>
          <w:noProof/>
          <w:lang w:val="fr-FR"/>
        </w:rPr>
        <w:t>olu</w:t>
      </w:r>
      <w:r>
        <w:rPr>
          <w:rFonts w:eastAsia="Calibri"/>
          <w:b/>
          <w:bCs/>
          <w:noProof/>
          <w:lang w:val="fr-FR"/>
        </w:rPr>
        <w:t>tion de la population carcérale, de la capacité d</w:t>
      </w:r>
      <w:r w:rsidR="00607CA3">
        <w:rPr>
          <w:rFonts w:eastAsia="Calibri"/>
          <w:b/>
          <w:bCs/>
          <w:noProof/>
          <w:lang w:val="fr-FR"/>
        </w:rPr>
        <w:t>’</w:t>
      </w:r>
      <w:r>
        <w:rPr>
          <w:rFonts w:eastAsia="Calibri"/>
          <w:b/>
          <w:bCs/>
          <w:noProof/>
          <w:lang w:val="fr-FR"/>
        </w:rPr>
        <w:t>accueil et de la surpopulation</w:t>
      </w:r>
      <w:r w:rsidRPr="00191307">
        <w:rPr>
          <w:rFonts w:eastAsia="Calibri"/>
          <w:b/>
          <w:bCs/>
          <w:noProof/>
          <w:lang w:val="fr-FR"/>
        </w:rP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1910"/>
        <w:gridCol w:w="1820"/>
        <w:gridCol w:w="1820"/>
        <w:gridCol w:w="1820"/>
      </w:tblGrid>
      <w:tr w:rsidR="00596826" w:rsidRPr="007735FD" w:rsidTr="007735FD">
        <w:trPr>
          <w:tblHeader/>
        </w:trPr>
        <w:tc>
          <w:tcPr>
            <w:tcW w:w="1910" w:type="dxa"/>
            <w:tcBorders>
              <w:top w:val="single" w:sz="4" w:space="0" w:color="auto"/>
              <w:bottom w:val="single" w:sz="12" w:space="0" w:color="auto"/>
            </w:tcBorders>
            <w:shd w:val="clear" w:color="auto" w:fill="auto"/>
            <w:tcMar>
              <w:top w:w="100" w:type="nil"/>
              <w:right w:w="100" w:type="nil"/>
            </w:tcMar>
            <w:vAlign w:val="bottom"/>
          </w:tcPr>
          <w:p w:rsidR="00596826" w:rsidRPr="007735FD" w:rsidRDefault="00596826" w:rsidP="0006149A">
            <w:pPr>
              <w:suppressAutoHyphens w:val="0"/>
              <w:spacing w:before="80" w:after="80" w:line="180" w:lineRule="exact"/>
              <w:rPr>
                <w:i/>
                <w:noProof/>
                <w:sz w:val="16"/>
                <w:lang w:val="fr-FR"/>
              </w:rPr>
            </w:pPr>
            <w:r w:rsidRPr="007735FD">
              <w:rPr>
                <w:i/>
                <w:noProof/>
                <w:sz w:val="16"/>
                <w:lang w:val="fr-FR"/>
              </w:rPr>
              <w:t>Année</w:t>
            </w:r>
          </w:p>
        </w:tc>
        <w:tc>
          <w:tcPr>
            <w:tcW w:w="1820" w:type="dxa"/>
            <w:tcBorders>
              <w:top w:val="single" w:sz="4" w:space="0" w:color="auto"/>
              <w:bottom w:val="single" w:sz="12" w:space="0" w:color="auto"/>
            </w:tcBorders>
            <w:shd w:val="clear" w:color="auto" w:fill="auto"/>
            <w:tcMar>
              <w:top w:w="100" w:type="nil"/>
              <w:right w:w="100" w:type="nil"/>
            </w:tcMar>
            <w:vAlign w:val="bottom"/>
          </w:tcPr>
          <w:p w:rsidR="00596826" w:rsidRPr="007735FD" w:rsidRDefault="00596826" w:rsidP="0006149A">
            <w:pPr>
              <w:suppressAutoHyphens w:val="0"/>
              <w:spacing w:before="80" w:after="80" w:line="180" w:lineRule="exact"/>
              <w:jc w:val="right"/>
              <w:rPr>
                <w:i/>
                <w:noProof/>
                <w:sz w:val="16"/>
                <w:lang w:val="fr-FR"/>
              </w:rPr>
            </w:pPr>
            <w:r w:rsidRPr="007735FD">
              <w:rPr>
                <w:i/>
                <w:noProof/>
                <w:sz w:val="16"/>
                <w:lang w:val="fr-FR"/>
              </w:rPr>
              <w:t>Capacité d</w:t>
            </w:r>
            <w:r w:rsidR="00607CA3" w:rsidRPr="007735FD">
              <w:rPr>
                <w:i/>
                <w:noProof/>
                <w:sz w:val="16"/>
                <w:lang w:val="fr-FR"/>
              </w:rPr>
              <w:t>’</w:t>
            </w:r>
            <w:r w:rsidRPr="007735FD">
              <w:rPr>
                <w:i/>
                <w:noProof/>
                <w:sz w:val="16"/>
                <w:lang w:val="fr-FR"/>
              </w:rPr>
              <w:t>accueil totale</w:t>
            </w:r>
          </w:p>
        </w:tc>
        <w:tc>
          <w:tcPr>
            <w:tcW w:w="1820" w:type="dxa"/>
            <w:tcBorders>
              <w:top w:val="single" w:sz="4" w:space="0" w:color="auto"/>
              <w:bottom w:val="single" w:sz="12" w:space="0" w:color="auto"/>
            </w:tcBorders>
            <w:shd w:val="clear" w:color="auto" w:fill="auto"/>
            <w:tcMar>
              <w:top w:w="100" w:type="nil"/>
              <w:right w:w="100" w:type="nil"/>
            </w:tcMar>
            <w:vAlign w:val="bottom"/>
          </w:tcPr>
          <w:p w:rsidR="00596826" w:rsidRPr="007735FD" w:rsidRDefault="00596826" w:rsidP="0006149A">
            <w:pPr>
              <w:suppressAutoHyphens w:val="0"/>
              <w:spacing w:before="80" w:after="80" w:line="180" w:lineRule="exact"/>
              <w:jc w:val="right"/>
              <w:rPr>
                <w:i/>
                <w:noProof/>
                <w:sz w:val="16"/>
                <w:lang w:val="fr-FR"/>
              </w:rPr>
            </w:pPr>
            <w:r w:rsidRPr="007735FD">
              <w:rPr>
                <w:i/>
                <w:noProof/>
                <w:sz w:val="16"/>
                <w:lang w:val="fr-FR"/>
              </w:rPr>
              <w:t>Population carcérale</w:t>
            </w:r>
          </w:p>
        </w:tc>
        <w:tc>
          <w:tcPr>
            <w:tcW w:w="1820" w:type="dxa"/>
            <w:tcBorders>
              <w:top w:val="single" w:sz="4" w:space="0" w:color="auto"/>
              <w:bottom w:val="single" w:sz="12" w:space="0" w:color="auto"/>
            </w:tcBorders>
            <w:shd w:val="clear" w:color="auto" w:fill="auto"/>
            <w:tcMar>
              <w:top w:w="100" w:type="nil"/>
              <w:right w:w="100" w:type="nil"/>
            </w:tcMar>
            <w:vAlign w:val="bottom"/>
          </w:tcPr>
          <w:p w:rsidR="00596826" w:rsidRPr="007735FD" w:rsidRDefault="00596826" w:rsidP="0006149A">
            <w:pPr>
              <w:suppressAutoHyphens w:val="0"/>
              <w:spacing w:before="80" w:after="80" w:line="180" w:lineRule="exact"/>
              <w:jc w:val="right"/>
              <w:rPr>
                <w:i/>
                <w:noProof/>
                <w:sz w:val="16"/>
                <w:lang w:val="fr-FR"/>
              </w:rPr>
            </w:pPr>
            <w:r w:rsidRPr="007735FD">
              <w:rPr>
                <w:i/>
                <w:noProof/>
                <w:sz w:val="16"/>
                <w:lang w:val="fr-FR"/>
              </w:rPr>
              <w:t>Surpopulation</w:t>
            </w:r>
            <w:r w:rsidR="0006149A">
              <w:rPr>
                <w:i/>
                <w:noProof/>
                <w:sz w:val="16"/>
                <w:lang w:val="fr-FR"/>
              </w:rPr>
              <w:br/>
            </w:r>
            <w:r w:rsidRPr="007735FD">
              <w:rPr>
                <w:i/>
                <w:noProof/>
                <w:sz w:val="16"/>
                <w:lang w:val="fr-FR"/>
              </w:rPr>
              <w:t>Densité pour 100 %</w:t>
            </w:r>
          </w:p>
        </w:tc>
      </w:tr>
      <w:tr w:rsidR="007735FD" w:rsidRPr="007735FD" w:rsidTr="007735FD">
        <w:tc>
          <w:tcPr>
            <w:tcW w:w="1910" w:type="dxa"/>
            <w:tcBorders>
              <w:top w:val="single" w:sz="12" w:space="0" w:color="auto"/>
            </w:tcBorders>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2005</w:t>
            </w:r>
          </w:p>
        </w:tc>
        <w:tc>
          <w:tcPr>
            <w:tcW w:w="1820" w:type="dxa"/>
            <w:tcBorders>
              <w:top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4</w:t>
            </w:r>
            <w:r>
              <w:rPr>
                <w:rFonts w:eastAsia="Calibri"/>
                <w:sz w:val="18"/>
                <w:szCs w:val="18"/>
              </w:rPr>
              <w:t xml:space="preserve"> </w:t>
            </w:r>
            <w:r w:rsidRPr="00DD23C5">
              <w:rPr>
                <w:rFonts w:eastAsia="Calibri"/>
                <w:sz w:val="18"/>
                <w:szCs w:val="18"/>
              </w:rPr>
              <w:t>540</w:t>
            </w:r>
          </w:p>
        </w:tc>
        <w:tc>
          <w:tcPr>
            <w:tcW w:w="1820" w:type="dxa"/>
            <w:tcBorders>
              <w:top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6</w:t>
            </w:r>
            <w:r>
              <w:rPr>
                <w:rFonts w:eastAsia="Calibri"/>
                <w:sz w:val="18"/>
                <w:szCs w:val="18"/>
              </w:rPr>
              <w:t xml:space="preserve"> </w:t>
            </w:r>
            <w:r w:rsidRPr="00DD23C5">
              <w:rPr>
                <w:rFonts w:eastAsia="Calibri"/>
                <w:sz w:val="18"/>
                <w:szCs w:val="18"/>
              </w:rPr>
              <w:t>212</w:t>
            </w:r>
          </w:p>
        </w:tc>
        <w:tc>
          <w:tcPr>
            <w:tcW w:w="1820" w:type="dxa"/>
            <w:tcBorders>
              <w:top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137</w:t>
            </w:r>
          </w:p>
        </w:tc>
      </w:tr>
      <w:tr w:rsidR="007735FD" w:rsidRPr="007735FD" w:rsidTr="007735FD">
        <w:tc>
          <w:tcPr>
            <w:tcW w:w="1910" w:type="dxa"/>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2010</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6</w:t>
            </w:r>
            <w:r>
              <w:rPr>
                <w:rFonts w:eastAsia="Calibri"/>
                <w:sz w:val="18"/>
                <w:szCs w:val="18"/>
              </w:rPr>
              <w:t xml:space="preserve"> </w:t>
            </w:r>
            <w:r w:rsidRPr="00DD23C5">
              <w:rPr>
                <w:rFonts w:eastAsia="Calibri"/>
                <w:sz w:val="18"/>
                <w:szCs w:val="18"/>
              </w:rPr>
              <w:t>581</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8</w:t>
            </w:r>
            <w:r>
              <w:rPr>
                <w:rFonts w:eastAsia="Calibri"/>
                <w:sz w:val="18"/>
                <w:szCs w:val="18"/>
              </w:rPr>
              <w:t xml:space="preserve"> </w:t>
            </w:r>
            <w:r w:rsidRPr="00DD23C5">
              <w:rPr>
                <w:rFonts w:eastAsia="Calibri"/>
                <w:sz w:val="18"/>
                <w:szCs w:val="18"/>
              </w:rPr>
              <w:t>700</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132</w:t>
            </w:r>
          </w:p>
        </w:tc>
      </w:tr>
      <w:tr w:rsidR="007735FD" w:rsidRPr="007735FD" w:rsidTr="007735FD">
        <w:tc>
          <w:tcPr>
            <w:tcW w:w="1910" w:type="dxa"/>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2015</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9</w:t>
            </w:r>
            <w:r>
              <w:rPr>
                <w:rFonts w:eastAsia="Calibri"/>
                <w:sz w:val="18"/>
                <w:szCs w:val="18"/>
              </w:rPr>
              <w:t xml:space="preserve"> </w:t>
            </w:r>
            <w:r w:rsidRPr="00DD23C5">
              <w:rPr>
                <w:rFonts w:eastAsia="Calibri"/>
                <w:sz w:val="18"/>
                <w:szCs w:val="18"/>
              </w:rPr>
              <w:t>176</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9</w:t>
            </w:r>
            <w:r>
              <w:rPr>
                <w:rFonts w:eastAsia="Calibri"/>
                <w:sz w:val="18"/>
                <w:szCs w:val="18"/>
              </w:rPr>
              <w:t xml:space="preserve"> </w:t>
            </w:r>
            <w:r w:rsidRPr="00DD23C5">
              <w:rPr>
                <w:rFonts w:eastAsia="Calibri"/>
                <w:sz w:val="18"/>
                <w:szCs w:val="18"/>
              </w:rPr>
              <w:t>840</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107</w:t>
            </w:r>
          </w:p>
        </w:tc>
      </w:tr>
      <w:tr w:rsidR="007735FD" w:rsidRPr="007735FD" w:rsidTr="007735FD">
        <w:tc>
          <w:tcPr>
            <w:tcW w:w="1910" w:type="dxa"/>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2016</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9</w:t>
            </w:r>
            <w:r>
              <w:rPr>
                <w:rFonts w:eastAsia="Calibri"/>
                <w:sz w:val="18"/>
                <w:szCs w:val="18"/>
              </w:rPr>
              <w:t xml:space="preserve"> </w:t>
            </w:r>
            <w:r w:rsidRPr="00DD23C5">
              <w:rPr>
                <w:rFonts w:eastAsia="Calibri"/>
                <w:sz w:val="18"/>
                <w:szCs w:val="18"/>
              </w:rPr>
              <w:t>546</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w:t>
            </w:r>
            <w:r>
              <w:rPr>
                <w:rFonts w:eastAsia="Calibri"/>
                <w:sz w:val="18"/>
                <w:szCs w:val="18"/>
              </w:rPr>
              <w:t xml:space="preserve"> </w:t>
            </w:r>
            <w:r w:rsidRPr="00DD23C5">
              <w:rPr>
                <w:rFonts w:eastAsia="Calibri"/>
                <w:sz w:val="18"/>
                <w:szCs w:val="18"/>
              </w:rPr>
              <w:t>416</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109</w:t>
            </w:r>
          </w:p>
        </w:tc>
      </w:tr>
      <w:tr w:rsidR="007735FD" w:rsidRPr="007735FD" w:rsidTr="007735FD">
        <w:tc>
          <w:tcPr>
            <w:tcW w:w="1910" w:type="dxa"/>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2017</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9</w:t>
            </w:r>
            <w:r>
              <w:rPr>
                <w:rFonts w:eastAsia="Calibri"/>
                <w:sz w:val="18"/>
                <w:szCs w:val="18"/>
              </w:rPr>
              <w:t xml:space="preserve"> </w:t>
            </w:r>
            <w:r w:rsidRPr="00DD23C5">
              <w:rPr>
                <w:rFonts w:eastAsia="Calibri"/>
                <w:sz w:val="18"/>
                <w:szCs w:val="18"/>
              </w:rPr>
              <w:t>927</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w:t>
            </w:r>
            <w:r>
              <w:rPr>
                <w:rFonts w:eastAsia="Calibri"/>
                <w:sz w:val="18"/>
                <w:szCs w:val="18"/>
              </w:rPr>
              <w:t xml:space="preserve"> </w:t>
            </w:r>
            <w:r w:rsidRPr="00DD23C5">
              <w:rPr>
                <w:rFonts w:eastAsia="Calibri"/>
                <w:sz w:val="18"/>
                <w:szCs w:val="18"/>
              </w:rPr>
              <w:t>241</w:t>
            </w:r>
          </w:p>
        </w:tc>
        <w:tc>
          <w:tcPr>
            <w:tcW w:w="1820" w:type="dxa"/>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103</w:t>
            </w:r>
          </w:p>
        </w:tc>
      </w:tr>
      <w:tr w:rsidR="007735FD" w:rsidRPr="007735FD" w:rsidTr="007735FD">
        <w:tc>
          <w:tcPr>
            <w:tcW w:w="1910" w:type="dxa"/>
            <w:tcBorders>
              <w:bottom w:val="single" w:sz="12" w:space="0" w:color="auto"/>
            </w:tcBorders>
            <w:shd w:val="clear" w:color="auto" w:fill="auto"/>
            <w:tcMar>
              <w:top w:w="100" w:type="nil"/>
              <w:right w:w="100" w:type="nil"/>
            </w:tcMar>
          </w:tcPr>
          <w:p w:rsidR="007735FD" w:rsidRPr="00DD23C5" w:rsidRDefault="007735FD" w:rsidP="007735FD">
            <w:pPr>
              <w:spacing w:before="40" w:after="40" w:line="220" w:lineRule="exact"/>
              <w:rPr>
                <w:rFonts w:eastAsia="Calibri"/>
                <w:sz w:val="18"/>
                <w:szCs w:val="18"/>
              </w:rPr>
            </w:pPr>
            <w:r w:rsidRPr="00DD23C5">
              <w:rPr>
                <w:rFonts w:eastAsia="Calibri"/>
                <w:sz w:val="18"/>
                <w:szCs w:val="18"/>
              </w:rPr>
              <w:t>A</w:t>
            </w:r>
            <w:r>
              <w:rPr>
                <w:rFonts w:eastAsia="Calibri"/>
                <w:sz w:val="18"/>
                <w:szCs w:val="18"/>
              </w:rPr>
              <w:t>u</w:t>
            </w:r>
            <w:r w:rsidRPr="00DD23C5">
              <w:rPr>
                <w:rFonts w:eastAsia="Calibri"/>
                <w:sz w:val="18"/>
                <w:szCs w:val="18"/>
              </w:rPr>
              <w:t xml:space="preserve"> 3</w:t>
            </w:r>
            <w:r>
              <w:rPr>
                <w:rFonts w:eastAsia="Calibri"/>
                <w:sz w:val="18"/>
                <w:szCs w:val="18"/>
              </w:rPr>
              <w:t>1 </w:t>
            </w:r>
            <w:r w:rsidRPr="00DD23C5">
              <w:rPr>
                <w:rFonts w:eastAsia="Calibri"/>
                <w:sz w:val="18"/>
                <w:szCs w:val="18"/>
              </w:rPr>
              <w:t>mar</w:t>
            </w:r>
            <w:r>
              <w:rPr>
                <w:rFonts w:eastAsia="Calibri"/>
                <w:sz w:val="18"/>
                <w:szCs w:val="18"/>
              </w:rPr>
              <w:t>s</w:t>
            </w:r>
            <w:r w:rsidRPr="00DD23C5">
              <w:rPr>
                <w:rFonts w:eastAsia="Calibri"/>
                <w:sz w:val="18"/>
                <w:szCs w:val="18"/>
              </w:rPr>
              <w:t xml:space="preserve"> 2018</w:t>
            </w:r>
          </w:p>
        </w:tc>
        <w:tc>
          <w:tcPr>
            <w:tcW w:w="1820" w:type="dxa"/>
            <w:tcBorders>
              <w:bottom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11</w:t>
            </w:r>
            <w:r>
              <w:rPr>
                <w:rFonts w:eastAsia="Calibri"/>
                <w:sz w:val="18"/>
                <w:szCs w:val="18"/>
              </w:rPr>
              <w:t xml:space="preserve"> </w:t>
            </w:r>
            <w:r w:rsidRPr="00DD23C5">
              <w:rPr>
                <w:rFonts w:eastAsia="Calibri"/>
                <w:sz w:val="18"/>
                <w:szCs w:val="18"/>
              </w:rPr>
              <w:t>887</w:t>
            </w:r>
          </w:p>
        </w:tc>
        <w:tc>
          <w:tcPr>
            <w:tcW w:w="1820" w:type="dxa"/>
            <w:tcBorders>
              <w:bottom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10</w:t>
            </w:r>
            <w:r>
              <w:rPr>
                <w:rFonts w:eastAsia="Calibri"/>
                <w:sz w:val="18"/>
                <w:szCs w:val="18"/>
              </w:rPr>
              <w:t xml:space="preserve"> </w:t>
            </w:r>
            <w:r w:rsidRPr="00DD23C5">
              <w:rPr>
                <w:rFonts w:eastAsia="Calibri"/>
                <w:sz w:val="18"/>
                <w:szCs w:val="18"/>
              </w:rPr>
              <w:t>202</w:t>
            </w:r>
          </w:p>
        </w:tc>
        <w:tc>
          <w:tcPr>
            <w:tcW w:w="1820" w:type="dxa"/>
            <w:tcBorders>
              <w:bottom w:val="single" w:sz="12" w:space="0" w:color="auto"/>
            </w:tcBorders>
            <w:shd w:val="clear" w:color="auto" w:fill="auto"/>
            <w:tcMar>
              <w:top w:w="100" w:type="nil"/>
              <w:right w:w="100" w:type="nil"/>
            </w:tcMar>
            <w:vAlign w:val="bottom"/>
          </w:tcPr>
          <w:p w:rsidR="007735FD" w:rsidRPr="00DD23C5" w:rsidRDefault="007735FD" w:rsidP="007735FD">
            <w:pPr>
              <w:spacing w:before="40" w:after="40" w:line="220" w:lineRule="exact"/>
              <w:jc w:val="right"/>
              <w:rPr>
                <w:rFonts w:eastAsia="Calibri"/>
                <w:sz w:val="18"/>
                <w:szCs w:val="18"/>
              </w:rPr>
            </w:pPr>
            <w:r w:rsidRPr="00DD23C5">
              <w:rPr>
                <w:rFonts w:eastAsia="Calibri"/>
                <w:sz w:val="18"/>
                <w:szCs w:val="18"/>
              </w:rPr>
              <w:t>86</w:t>
            </w:r>
          </w:p>
        </w:tc>
      </w:tr>
    </w:tbl>
    <w:p w:rsidR="00596826" w:rsidRPr="00191307" w:rsidRDefault="00596826" w:rsidP="00596826">
      <w:pPr>
        <w:pStyle w:val="SingleTxtG"/>
        <w:spacing w:before="240"/>
        <w:rPr>
          <w:rFonts w:eastAsia="Calibri"/>
          <w:noProof/>
          <w:lang w:val="fr-FR"/>
        </w:rPr>
      </w:pPr>
      <w:r w:rsidRPr="00191307">
        <w:rPr>
          <w:rFonts w:eastAsia="Calibri"/>
          <w:noProof/>
          <w:lang w:val="fr-FR"/>
        </w:rPr>
        <w:t>124.</w:t>
      </w:r>
      <w:r w:rsidRPr="00191307">
        <w:rPr>
          <w:rFonts w:eastAsia="Calibri"/>
          <w:noProof/>
          <w:lang w:val="fr-FR"/>
        </w:rPr>
        <w:tab/>
        <w:t xml:space="preserve">Si </w:t>
      </w:r>
      <w:r>
        <w:rPr>
          <w:rFonts w:eastAsia="Calibri"/>
          <w:noProof/>
          <w:lang w:val="fr-FR"/>
        </w:rPr>
        <w:t>l</w:t>
      </w:r>
      <w:r w:rsidR="00607CA3">
        <w:rPr>
          <w:rFonts w:eastAsia="Calibri"/>
          <w:noProof/>
          <w:lang w:val="fr-FR"/>
        </w:rPr>
        <w:t>’</w:t>
      </w:r>
      <w:r>
        <w:rPr>
          <w:rFonts w:eastAsia="Calibri"/>
          <w:noProof/>
          <w:lang w:val="fr-FR"/>
        </w:rPr>
        <w:t>on peut dire aujourd</w:t>
      </w:r>
      <w:r w:rsidR="00607CA3">
        <w:rPr>
          <w:rFonts w:eastAsia="Calibri"/>
          <w:noProof/>
          <w:lang w:val="fr-FR"/>
        </w:rPr>
        <w:t>’</w:t>
      </w:r>
      <w:r>
        <w:rPr>
          <w:rFonts w:eastAsia="Calibri"/>
          <w:noProof/>
          <w:lang w:val="fr-FR"/>
        </w:rPr>
        <w:t>hui que le problème de la surpopulation carcérale a dans l</w:t>
      </w:r>
      <w:r w:rsidR="00607CA3">
        <w:rPr>
          <w:rFonts w:eastAsia="Calibri"/>
          <w:noProof/>
          <w:lang w:val="fr-FR"/>
        </w:rPr>
        <w:t>’</w:t>
      </w:r>
      <w:r>
        <w:rPr>
          <w:rFonts w:eastAsia="Calibri"/>
          <w:noProof/>
          <w:lang w:val="fr-FR"/>
        </w:rPr>
        <w:t xml:space="preserve">ensemble été résolu, </w:t>
      </w:r>
      <w:r w:rsidRPr="00B376D5">
        <w:rPr>
          <w:noProof/>
          <w:lang w:val="fr-FR"/>
        </w:rPr>
        <w:t xml:space="preserve">des travaux se poursuivent dans certains </w:t>
      </w:r>
      <w:r>
        <w:rPr>
          <w:noProof/>
          <w:lang w:val="fr-FR"/>
        </w:rPr>
        <w:t xml:space="preserve">centres </w:t>
      </w:r>
      <w:r w:rsidRPr="00B376D5">
        <w:rPr>
          <w:noProof/>
          <w:lang w:val="fr-FR"/>
        </w:rPr>
        <w:t>qui font toujours face à ce problème</w:t>
      </w:r>
      <w:r>
        <w:rPr>
          <w:rFonts w:eastAsia="Calibri"/>
          <w:noProof/>
          <w:lang w:val="fr-FR"/>
        </w:rPr>
        <w:t>, comme dans le cas du centre</w:t>
      </w:r>
      <w:r w:rsidRPr="00191307">
        <w:rPr>
          <w:rFonts w:eastAsia="Calibri"/>
          <w:noProof/>
          <w:lang w:val="fr-FR"/>
        </w:rPr>
        <w:t xml:space="preserve">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FD38D2">
        <w:rPr>
          <w:rFonts w:eastAsia="Calibri"/>
          <w:noProof/>
          <w:lang w:val="fr-FR"/>
        </w:rPr>
        <w:t> </w:t>
      </w:r>
      <w:r w:rsidRPr="00191307">
        <w:rPr>
          <w:rFonts w:eastAsia="Calibri"/>
          <w:noProof/>
          <w:lang w:val="fr-FR"/>
        </w:rPr>
        <w:t>4 (</w:t>
      </w:r>
      <w:r>
        <w:rPr>
          <w:rFonts w:eastAsia="Calibri"/>
          <w:noProof/>
          <w:lang w:val="fr-FR"/>
        </w:rPr>
        <w:t>dans deux de ses ailes</w:t>
      </w:r>
      <w:r w:rsidRPr="00191307">
        <w:rPr>
          <w:rFonts w:eastAsia="Calibri"/>
          <w:noProof/>
          <w:lang w:val="fr-FR"/>
        </w:rPr>
        <w:t xml:space="preserve">),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FD38D2">
        <w:rPr>
          <w:rFonts w:eastAsia="Calibri"/>
          <w:noProof/>
          <w:lang w:val="fr-FR"/>
        </w:rPr>
        <w:t> </w:t>
      </w:r>
      <w:r w:rsidRPr="00191307">
        <w:rPr>
          <w:rFonts w:eastAsia="Calibri"/>
          <w:noProof/>
          <w:lang w:val="fr-FR"/>
        </w:rPr>
        <w:t>7 (</w:t>
      </w:r>
      <w:r>
        <w:rPr>
          <w:rFonts w:eastAsia="Calibri"/>
          <w:noProof/>
          <w:lang w:val="fr-FR"/>
        </w:rPr>
        <w:t xml:space="preserve">dans </w:t>
      </w:r>
      <w:r w:rsidRPr="00191307">
        <w:rPr>
          <w:rFonts w:eastAsia="Calibri"/>
          <w:noProof/>
          <w:lang w:val="fr-FR"/>
        </w:rPr>
        <w:t>un</w:t>
      </w:r>
      <w:r>
        <w:rPr>
          <w:rFonts w:eastAsia="Calibri"/>
          <w:noProof/>
          <w:lang w:val="fr-FR"/>
        </w:rPr>
        <w:t>e aile</w:t>
      </w:r>
      <w:r w:rsidRPr="00191307">
        <w:rPr>
          <w:rFonts w:eastAsia="Calibri"/>
          <w:noProof/>
          <w:lang w:val="fr-FR"/>
        </w:rPr>
        <w:t xml:space="preserve">),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FD38D2">
        <w:rPr>
          <w:rFonts w:eastAsia="Calibri"/>
          <w:noProof/>
          <w:lang w:val="fr-FR"/>
        </w:rPr>
        <w:t> </w:t>
      </w:r>
      <w:r w:rsidRPr="00191307">
        <w:rPr>
          <w:rFonts w:eastAsia="Calibri"/>
          <w:noProof/>
          <w:lang w:val="fr-FR"/>
        </w:rPr>
        <w:t>13 (</w:t>
      </w:r>
      <w:r>
        <w:rPr>
          <w:rFonts w:eastAsia="Calibri"/>
          <w:noProof/>
          <w:lang w:val="fr-FR"/>
        </w:rPr>
        <w:t xml:space="preserve">dans deux quartiers) et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06149A">
        <w:rPr>
          <w:rFonts w:eastAsia="MS Mincho"/>
          <w:noProof/>
          <w:szCs w:val="22"/>
          <w:vertAlign w:val="superscript"/>
          <w:lang w:val="fr-FR"/>
        </w:rPr>
        <w:t>s</w:t>
      </w:r>
      <w:r w:rsidR="00FD38D2">
        <w:rPr>
          <w:rFonts w:eastAsia="Calibri"/>
          <w:noProof/>
          <w:lang w:val="fr-FR"/>
        </w:rPr>
        <w:t> </w:t>
      </w:r>
      <w:r w:rsidRPr="00191307">
        <w:rPr>
          <w:rFonts w:eastAsia="Calibri"/>
          <w:noProof/>
          <w:lang w:val="fr-FR"/>
        </w:rPr>
        <w:t xml:space="preserve">20 </w:t>
      </w:r>
      <w:r>
        <w:rPr>
          <w:rFonts w:eastAsia="Calibri"/>
          <w:noProof/>
          <w:lang w:val="fr-FR"/>
        </w:rPr>
        <w:t>et</w:t>
      </w:r>
      <w:r w:rsidRPr="00191307">
        <w:rPr>
          <w:rFonts w:eastAsia="Calibri"/>
          <w:noProof/>
          <w:lang w:val="fr-FR"/>
        </w:rPr>
        <w:t xml:space="preserve"> 21.</w:t>
      </w:r>
    </w:p>
    <w:p w:rsidR="00596826" w:rsidRPr="00191307" w:rsidRDefault="00596826" w:rsidP="00596826">
      <w:pPr>
        <w:pStyle w:val="SingleTxtG"/>
        <w:rPr>
          <w:rFonts w:eastAsia="Calibri"/>
          <w:noProof/>
          <w:lang w:val="fr-FR"/>
        </w:rPr>
      </w:pPr>
      <w:r w:rsidRPr="00191307">
        <w:rPr>
          <w:rFonts w:eastAsia="Calibri"/>
          <w:noProof/>
          <w:lang w:val="fr-FR"/>
        </w:rPr>
        <w:t>125.</w:t>
      </w:r>
      <w:r w:rsidRPr="00191307">
        <w:rPr>
          <w:rFonts w:eastAsia="Calibri"/>
          <w:noProof/>
          <w:lang w:val="fr-FR"/>
        </w:rPr>
        <w:tab/>
      </w:r>
      <w:r>
        <w:rPr>
          <w:rFonts w:eastAsia="Calibri"/>
          <w:noProof/>
          <w:lang w:val="fr-FR"/>
        </w:rPr>
        <w:t xml:space="preserve">De même, les travaux de rénovation des ailes </w:t>
      </w:r>
      <w:r w:rsidRPr="00191307">
        <w:rPr>
          <w:rFonts w:eastAsia="Calibri"/>
          <w:noProof/>
          <w:lang w:val="fr-FR"/>
        </w:rPr>
        <w:t xml:space="preserve">1 </w:t>
      </w:r>
      <w:r>
        <w:rPr>
          <w:rFonts w:eastAsia="Calibri"/>
          <w:noProof/>
          <w:lang w:val="fr-FR"/>
        </w:rPr>
        <w:t>et</w:t>
      </w:r>
      <w:r w:rsidRPr="00191307">
        <w:rPr>
          <w:rFonts w:eastAsia="Calibri"/>
          <w:noProof/>
          <w:lang w:val="fr-FR"/>
        </w:rPr>
        <w:t xml:space="preserve"> 2 </w:t>
      </w:r>
      <w:r>
        <w:rPr>
          <w:rFonts w:eastAsia="Calibri"/>
          <w:noProof/>
          <w:lang w:val="fr-FR"/>
        </w:rPr>
        <w:t xml:space="preserve">du centre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FD38D2">
        <w:rPr>
          <w:rFonts w:eastAsia="Calibri"/>
          <w:noProof/>
          <w:lang w:val="fr-FR"/>
        </w:rPr>
        <w:t> </w:t>
      </w:r>
      <w:r w:rsidRPr="00191307">
        <w:rPr>
          <w:rFonts w:eastAsia="Calibri"/>
          <w:noProof/>
          <w:lang w:val="fr-FR"/>
        </w:rPr>
        <w:t>4</w:t>
      </w:r>
      <w:r>
        <w:rPr>
          <w:rFonts w:eastAsia="Calibri"/>
          <w:noProof/>
          <w:lang w:val="fr-FR"/>
        </w:rPr>
        <w:t xml:space="preserve"> se poursuivent</w:t>
      </w:r>
      <w:r w:rsidR="00691AD9">
        <w:rPr>
          <w:rFonts w:eastAsia="Calibri"/>
          <w:noProof/>
          <w:lang w:val="fr-FR"/>
        </w:rPr>
        <w:t> </w:t>
      </w:r>
      <w:r>
        <w:rPr>
          <w:rFonts w:eastAsia="Calibri"/>
          <w:noProof/>
          <w:lang w:val="fr-FR"/>
        </w:rPr>
        <w:t>; on en attend la création de 600 espaces d</w:t>
      </w:r>
      <w:r w:rsidR="00607CA3">
        <w:rPr>
          <w:rFonts w:eastAsia="Calibri"/>
          <w:noProof/>
          <w:lang w:val="fr-FR"/>
        </w:rPr>
        <w:t>’</w:t>
      </w:r>
      <w:r>
        <w:rPr>
          <w:rFonts w:eastAsia="Calibri"/>
          <w:noProof/>
          <w:lang w:val="fr-FR"/>
        </w:rPr>
        <w:t>accueil supplémentaires. Il convient d</w:t>
      </w:r>
      <w:r w:rsidR="00607CA3">
        <w:rPr>
          <w:rFonts w:eastAsia="Calibri"/>
          <w:noProof/>
          <w:lang w:val="fr-FR"/>
        </w:rPr>
        <w:t>’</w:t>
      </w:r>
      <w:r>
        <w:rPr>
          <w:rFonts w:eastAsia="Calibri"/>
          <w:noProof/>
          <w:lang w:val="fr-FR"/>
        </w:rPr>
        <w:t>y ajouter l</w:t>
      </w:r>
      <w:r w:rsidR="00607CA3">
        <w:rPr>
          <w:rFonts w:eastAsia="Calibri"/>
          <w:noProof/>
          <w:lang w:val="fr-FR"/>
        </w:rPr>
        <w:t>’</w:t>
      </w:r>
      <w:r>
        <w:rPr>
          <w:rFonts w:eastAsia="Calibri"/>
          <w:noProof/>
          <w:lang w:val="fr-FR"/>
        </w:rPr>
        <w:t xml:space="preserve">occupation progressive du nouveau centre </w:t>
      </w:r>
      <w:r w:rsidR="00FD38D2" w:rsidRPr="00FD38D2">
        <w:rPr>
          <w:rFonts w:eastAsia="MS Mincho"/>
          <w:noProof/>
          <w:szCs w:val="22"/>
          <w:lang w:val="fr-FR"/>
        </w:rPr>
        <w:t>n</w:t>
      </w:r>
      <w:r w:rsidR="00FD38D2" w:rsidRPr="00FD38D2">
        <w:rPr>
          <w:rFonts w:eastAsia="MS Mincho"/>
          <w:noProof/>
          <w:szCs w:val="22"/>
          <w:vertAlign w:val="superscript"/>
          <w:lang w:val="fr-FR"/>
        </w:rPr>
        <w:t>o</w:t>
      </w:r>
      <w:r w:rsidR="00FD38D2">
        <w:rPr>
          <w:rFonts w:eastAsia="Calibri"/>
          <w:noProof/>
          <w:lang w:val="fr-FR"/>
        </w:rPr>
        <w:t> </w:t>
      </w:r>
      <w:r w:rsidRPr="00191307">
        <w:rPr>
          <w:rFonts w:eastAsia="Calibri"/>
          <w:noProof/>
          <w:lang w:val="fr-FR"/>
        </w:rPr>
        <w:t xml:space="preserve">1 </w:t>
      </w:r>
      <w:r>
        <w:rPr>
          <w:rFonts w:eastAsia="Calibri"/>
          <w:noProof/>
          <w:lang w:val="fr-FR"/>
        </w:rPr>
        <w:t xml:space="preserve">de </w:t>
      </w:r>
      <w:r w:rsidRPr="00191307">
        <w:rPr>
          <w:rFonts w:eastAsia="Calibri"/>
          <w:noProof/>
          <w:lang w:val="fr-FR"/>
        </w:rPr>
        <w:t xml:space="preserve">Punta de Rieles, </w:t>
      </w:r>
      <w:r>
        <w:rPr>
          <w:rFonts w:eastAsia="Calibri"/>
          <w:noProof/>
          <w:lang w:val="fr-FR"/>
        </w:rPr>
        <w:t>qui fait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un partenariat public-privé</w:t>
      </w:r>
      <w:r w:rsidRPr="00191307">
        <w:rPr>
          <w:rFonts w:eastAsia="Calibri"/>
          <w:noProof/>
          <w:lang w:val="fr-FR"/>
        </w:rPr>
        <w:t xml:space="preserve">. </w:t>
      </w:r>
      <w:r>
        <w:rPr>
          <w:rFonts w:eastAsia="Calibri"/>
          <w:noProof/>
          <w:lang w:val="fr-FR"/>
        </w:rPr>
        <w:t>Une fois ce transfert achevé, on procéderait à la réinstallation des détenus dans les différents centres afin d</w:t>
      </w:r>
      <w:r w:rsidR="00607CA3">
        <w:rPr>
          <w:rFonts w:eastAsia="Calibri"/>
          <w:noProof/>
          <w:lang w:val="fr-FR"/>
        </w:rPr>
        <w:t>’</w:t>
      </w:r>
      <w:r>
        <w:rPr>
          <w:rFonts w:eastAsia="Calibri"/>
          <w:noProof/>
          <w:lang w:val="fr-FR"/>
        </w:rPr>
        <w:t>en finir avec les quartiers surpeuplés</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126.</w:t>
      </w:r>
      <w:r w:rsidRPr="00191307">
        <w:rPr>
          <w:rFonts w:eastAsia="Calibri"/>
          <w:noProof/>
          <w:lang w:val="fr-FR"/>
        </w:rPr>
        <w:tab/>
      </w:r>
      <w:r>
        <w:rPr>
          <w:rFonts w:eastAsia="Calibri"/>
          <w:noProof/>
          <w:lang w:val="fr-FR"/>
        </w:rPr>
        <w:t>Ce processus a donné lieu à l</w:t>
      </w:r>
      <w:r w:rsidR="00607CA3">
        <w:rPr>
          <w:rFonts w:eastAsia="Calibri"/>
          <w:noProof/>
          <w:lang w:val="fr-FR"/>
        </w:rPr>
        <w:t>’</w:t>
      </w:r>
      <w:r>
        <w:rPr>
          <w:rFonts w:eastAsia="Calibri"/>
          <w:noProof/>
          <w:lang w:val="fr-FR"/>
        </w:rPr>
        <w:t>exécution d</w:t>
      </w:r>
      <w:r w:rsidR="00607CA3">
        <w:rPr>
          <w:rFonts w:eastAsia="Calibri"/>
          <w:noProof/>
          <w:lang w:val="fr-FR"/>
        </w:rPr>
        <w:t>’</w:t>
      </w:r>
      <w:r>
        <w:rPr>
          <w:rFonts w:eastAsia="Calibri"/>
          <w:noProof/>
          <w:lang w:val="fr-FR"/>
        </w:rPr>
        <w:t>une autre politique importante, à savoir la mise en place du système hiérarchisé de traitement des détenus, qui leur garantit la possibilité d</w:t>
      </w:r>
      <w:r w:rsidR="00607CA3">
        <w:rPr>
          <w:rFonts w:eastAsia="Calibri"/>
          <w:noProof/>
          <w:lang w:val="fr-FR"/>
        </w:rPr>
        <w:t>’</w:t>
      </w:r>
      <w:r>
        <w:rPr>
          <w:rFonts w:eastAsia="Calibri"/>
          <w:noProof/>
          <w:lang w:val="fr-FR"/>
        </w:rPr>
        <w:t>obtenir des avantages plus importants pendant leur détention dans la mesure où ils participent aux différentes activités conduites dans leur unité</w:t>
      </w:r>
      <w:r w:rsidRPr="00191307">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Institut national de réinsertion intervient dans les programmes de traitement par l</w:t>
      </w:r>
      <w:r w:rsidR="00607CA3">
        <w:rPr>
          <w:rFonts w:eastAsia="Calibri"/>
          <w:noProof/>
          <w:lang w:val="fr-FR"/>
        </w:rPr>
        <w:t>’</w:t>
      </w:r>
      <w:r>
        <w:rPr>
          <w:rFonts w:eastAsia="Calibri"/>
          <w:noProof/>
          <w:lang w:val="fr-FR"/>
        </w:rPr>
        <w:t>intermédiaire de la Sous-Direction nationale technique, qui confie l</w:t>
      </w:r>
      <w:r w:rsidR="00607CA3">
        <w:rPr>
          <w:rFonts w:eastAsia="Calibri"/>
          <w:noProof/>
          <w:lang w:val="fr-FR"/>
        </w:rPr>
        <w:t>’</w:t>
      </w:r>
      <w:r>
        <w:rPr>
          <w:rFonts w:eastAsia="Calibri"/>
          <w:noProof/>
          <w:lang w:val="fr-FR"/>
        </w:rPr>
        <w:t>exécution des programmes à une équipe de coordination socioéducative</w:t>
      </w:r>
      <w:r w:rsidRPr="00191307">
        <w:rPr>
          <w:rFonts w:eastAsia="Calibri"/>
          <w:noProof/>
          <w:lang w:val="fr-FR"/>
        </w:rPr>
        <w:t xml:space="preserve">. </w:t>
      </w:r>
      <w:r>
        <w:rPr>
          <w:rFonts w:eastAsia="Calibri"/>
          <w:noProof/>
          <w:lang w:val="fr-FR"/>
        </w:rPr>
        <w:t>Il s</w:t>
      </w:r>
      <w:r w:rsidR="00607CA3">
        <w:rPr>
          <w:rFonts w:eastAsia="Calibri"/>
          <w:noProof/>
          <w:lang w:val="fr-FR"/>
        </w:rPr>
        <w:t>’</w:t>
      </w:r>
      <w:r>
        <w:rPr>
          <w:rFonts w:eastAsia="Calibri"/>
          <w:noProof/>
          <w:lang w:val="fr-FR"/>
        </w:rPr>
        <w:t>agit de trois programmes généraux et de trois programmes spécifiques :</w:t>
      </w:r>
    </w:p>
    <w:p w:rsidR="00596826" w:rsidRPr="00191307" w:rsidRDefault="00596826" w:rsidP="00596826">
      <w:pPr>
        <w:pStyle w:val="Bullet1G"/>
        <w:numPr>
          <w:ilvl w:val="0"/>
          <w:numId w:val="0"/>
        </w:numPr>
        <w:tabs>
          <w:tab w:val="left" w:pos="1701"/>
        </w:tabs>
        <w:ind w:left="1701" w:hanging="170"/>
        <w:rPr>
          <w:rFonts w:eastAsia="Calibri"/>
          <w:noProof/>
          <w:lang w:val="fr-FR"/>
        </w:rPr>
      </w:pPr>
      <w:r w:rsidRPr="00191307">
        <w:rPr>
          <w:rFonts w:eastAsia="Calibri"/>
          <w:noProof/>
          <w:lang w:val="fr-FR"/>
        </w:rPr>
        <w:t>•</w:t>
      </w:r>
      <w:r w:rsidRPr="00191307">
        <w:rPr>
          <w:rFonts w:eastAsia="Calibri"/>
          <w:noProof/>
          <w:lang w:val="fr-FR"/>
        </w:rPr>
        <w:tab/>
      </w:r>
      <w:r>
        <w:rPr>
          <w:rFonts w:eastAsia="Calibri"/>
          <w:noProof/>
          <w:lang w:val="fr-FR"/>
        </w:rPr>
        <w:t>Programmes généraux :</w:t>
      </w:r>
    </w:p>
    <w:p w:rsidR="00596826" w:rsidRPr="00191307" w:rsidRDefault="00596826" w:rsidP="007735FD">
      <w:pPr>
        <w:pStyle w:val="Bullet2G"/>
        <w:numPr>
          <w:ilvl w:val="0"/>
          <w:numId w:val="0"/>
        </w:numPr>
        <w:ind w:left="2268"/>
        <w:rPr>
          <w:noProof/>
          <w:lang w:val="fr-FR"/>
        </w:rPr>
      </w:pPr>
      <w:r w:rsidRPr="00191307">
        <w:rPr>
          <w:noProof/>
          <w:lang w:val="fr-FR"/>
        </w:rPr>
        <w:t>1)</w:t>
      </w:r>
      <w:r w:rsidRPr="00191307">
        <w:rPr>
          <w:noProof/>
          <w:lang w:val="fr-FR"/>
        </w:rPr>
        <w:tab/>
      </w:r>
      <w:r>
        <w:rPr>
          <w:noProof/>
          <w:lang w:val="fr-FR"/>
        </w:rPr>
        <w:t>Programme éducatif et culturel</w:t>
      </w:r>
      <w:r w:rsidR="00691AD9">
        <w:rPr>
          <w:noProof/>
          <w:lang w:val="fr-FR"/>
        </w:rPr>
        <w:t> </w:t>
      </w:r>
      <w:r w:rsidRPr="00191307">
        <w:rPr>
          <w:noProof/>
          <w:lang w:val="fr-FR"/>
        </w:rPr>
        <w:t>;</w:t>
      </w:r>
    </w:p>
    <w:p w:rsidR="00596826" w:rsidRPr="00191307" w:rsidRDefault="00596826" w:rsidP="007735FD">
      <w:pPr>
        <w:pStyle w:val="Bullet2G"/>
        <w:numPr>
          <w:ilvl w:val="0"/>
          <w:numId w:val="0"/>
        </w:numPr>
        <w:ind w:left="2268"/>
        <w:rPr>
          <w:noProof/>
          <w:lang w:val="fr-FR"/>
        </w:rPr>
      </w:pPr>
      <w:r w:rsidRPr="00191307">
        <w:rPr>
          <w:noProof/>
          <w:lang w:val="fr-FR"/>
        </w:rPr>
        <w:t>2)</w:t>
      </w:r>
      <w:r w:rsidRPr="00191307">
        <w:rPr>
          <w:noProof/>
          <w:lang w:val="fr-FR"/>
        </w:rPr>
        <w:tab/>
      </w:r>
      <w:r>
        <w:rPr>
          <w:noProof/>
          <w:lang w:val="fr-FR"/>
        </w:rPr>
        <w:t>P</w:t>
      </w:r>
      <w:r w:rsidRPr="00435C45">
        <w:rPr>
          <w:noProof/>
          <w:lang w:val="fr-FR"/>
        </w:rPr>
        <w:t>rogramme d</w:t>
      </w:r>
      <w:r w:rsidR="00607CA3">
        <w:rPr>
          <w:noProof/>
          <w:lang w:val="fr-FR"/>
        </w:rPr>
        <w:t>’</w:t>
      </w:r>
      <w:r w:rsidRPr="00435C45">
        <w:rPr>
          <w:noProof/>
          <w:lang w:val="fr-FR"/>
        </w:rPr>
        <w:t>activités productives et de travail</w:t>
      </w:r>
      <w:r w:rsidR="00691AD9">
        <w:rPr>
          <w:noProof/>
          <w:lang w:val="fr-FR"/>
        </w:rPr>
        <w:t> </w:t>
      </w:r>
      <w:r w:rsidRPr="00191307">
        <w:rPr>
          <w:noProof/>
          <w:lang w:val="fr-FR"/>
        </w:rPr>
        <w:t>;</w:t>
      </w:r>
    </w:p>
    <w:p w:rsidR="00596826" w:rsidRPr="00191307" w:rsidRDefault="00596826" w:rsidP="007735FD">
      <w:pPr>
        <w:pStyle w:val="Bullet2G"/>
        <w:numPr>
          <w:ilvl w:val="0"/>
          <w:numId w:val="0"/>
        </w:numPr>
        <w:ind w:left="2268"/>
        <w:rPr>
          <w:noProof/>
          <w:lang w:val="fr-FR"/>
        </w:rPr>
      </w:pPr>
      <w:r w:rsidRPr="00191307">
        <w:rPr>
          <w:noProof/>
          <w:lang w:val="fr-FR"/>
        </w:rPr>
        <w:t>3)</w:t>
      </w:r>
      <w:r w:rsidRPr="00191307">
        <w:rPr>
          <w:noProof/>
          <w:lang w:val="fr-FR"/>
        </w:rPr>
        <w:tab/>
      </w:r>
      <w:r>
        <w:rPr>
          <w:noProof/>
          <w:lang w:val="fr-FR"/>
        </w:rPr>
        <w:t>Programme d</w:t>
      </w:r>
      <w:r w:rsidR="00607CA3">
        <w:rPr>
          <w:noProof/>
          <w:lang w:val="fr-FR"/>
        </w:rPr>
        <w:t>’</w:t>
      </w:r>
      <w:r>
        <w:rPr>
          <w:noProof/>
          <w:lang w:val="fr-FR"/>
        </w:rPr>
        <w:t>activités sportives et récréatives</w:t>
      </w:r>
      <w:r w:rsidRPr="00191307">
        <w:rPr>
          <w:noProof/>
          <w:lang w:val="fr-FR"/>
        </w:rPr>
        <w:t>.</w:t>
      </w:r>
    </w:p>
    <w:p w:rsidR="00596826" w:rsidRPr="00191307" w:rsidRDefault="00596826" w:rsidP="00596826">
      <w:pPr>
        <w:pStyle w:val="Bullet1G"/>
        <w:numPr>
          <w:ilvl w:val="0"/>
          <w:numId w:val="0"/>
        </w:numPr>
        <w:tabs>
          <w:tab w:val="left" w:pos="1701"/>
        </w:tabs>
        <w:ind w:left="1701" w:hanging="170"/>
        <w:rPr>
          <w:rFonts w:eastAsia="Calibri"/>
          <w:noProof/>
          <w:lang w:val="fr-FR"/>
        </w:rPr>
      </w:pPr>
      <w:r w:rsidRPr="00191307">
        <w:rPr>
          <w:rFonts w:eastAsia="Calibri"/>
          <w:noProof/>
          <w:lang w:val="fr-FR"/>
        </w:rPr>
        <w:t>•</w:t>
      </w:r>
      <w:r w:rsidRPr="00191307">
        <w:rPr>
          <w:rFonts w:eastAsia="Calibri"/>
          <w:noProof/>
          <w:lang w:val="fr-FR"/>
        </w:rPr>
        <w:tab/>
      </w:r>
      <w:r>
        <w:rPr>
          <w:rFonts w:eastAsia="Calibri"/>
          <w:noProof/>
          <w:lang w:val="fr-FR"/>
        </w:rPr>
        <w:t>Programmes spécifiques :</w:t>
      </w:r>
    </w:p>
    <w:p w:rsidR="00596826" w:rsidRPr="00435C45" w:rsidRDefault="00596826" w:rsidP="007735FD">
      <w:pPr>
        <w:pStyle w:val="Bullet2G"/>
        <w:numPr>
          <w:ilvl w:val="0"/>
          <w:numId w:val="0"/>
        </w:numPr>
        <w:ind w:left="2268"/>
        <w:rPr>
          <w:rFonts w:eastAsia="Calibri"/>
          <w:noProof/>
          <w:lang w:val="fr-FR"/>
        </w:rPr>
      </w:pPr>
      <w:r w:rsidRPr="00191307">
        <w:rPr>
          <w:rFonts w:eastAsia="Calibri"/>
          <w:noProof/>
          <w:lang w:val="fr-FR"/>
        </w:rPr>
        <w:t>1)</w:t>
      </w:r>
      <w:r w:rsidRPr="00191307">
        <w:rPr>
          <w:rFonts w:eastAsia="Calibri"/>
          <w:noProof/>
          <w:lang w:val="fr-FR"/>
        </w:rPr>
        <w:tab/>
      </w:r>
      <w:r w:rsidRPr="00435C45">
        <w:rPr>
          <w:rFonts w:eastAsia="Calibri"/>
          <w:noProof/>
          <w:lang w:val="fr-FR"/>
        </w:rPr>
        <w:t xml:space="preserve">Programme </w:t>
      </w:r>
      <w:r w:rsidRPr="00435C45">
        <w:rPr>
          <w:noProof/>
          <w:lang w:val="fr-FR"/>
        </w:rPr>
        <w:t>d</w:t>
      </w:r>
      <w:r w:rsidR="00607CA3">
        <w:rPr>
          <w:noProof/>
          <w:lang w:val="fr-FR"/>
        </w:rPr>
        <w:t>’</w:t>
      </w:r>
      <w:r w:rsidRPr="00435C45">
        <w:rPr>
          <w:noProof/>
          <w:lang w:val="fr-FR"/>
        </w:rPr>
        <w:t>aide aux étrangers et aux migrants</w:t>
      </w:r>
      <w:r w:rsidR="00691AD9">
        <w:rPr>
          <w:noProof/>
          <w:lang w:val="fr-FR"/>
        </w:rPr>
        <w:t> </w:t>
      </w:r>
      <w:r w:rsidRPr="00435C45">
        <w:rPr>
          <w:rFonts w:eastAsia="Calibri"/>
          <w:noProof/>
          <w:lang w:val="fr-FR"/>
        </w:rPr>
        <w:t>;</w:t>
      </w:r>
    </w:p>
    <w:p w:rsidR="00596826" w:rsidRPr="00435C45" w:rsidRDefault="00596826" w:rsidP="007735FD">
      <w:pPr>
        <w:pStyle w:val="Bullet2G"/>
        <w:numPr>
          <w:ilvl w:val="0"/>
          <w:numId w:val="0"/>
        </w:numPr>
        <w:ind w:left="2268"/>
        <w:rPr>
          <w:rFonts w:eastAsia="Calibri"/>
          <w:noProof/>
          <w:lang w:val="fr-FR"/>
        </w:rPr>
      </w:pPr>
      <w:r w:rsidRPr="00435C45">
        <w:rPr>
          <w:rFonts w:eastAsia="Calibri"/>
          <w:noProof/>
          <w:lang w:val="fr-FR"/>
        </w:rPr>
        <w:t>2)</w:t>
      </w:r>
      <w:r w:rsidRPr="00435C45">
        <w:rPr>
          <w:rFonts w:eastAsia="Calibri"/>
          <w:noProof/>
          <w:lang w:val="fr-FR"/>
        </w:rPr>
        <w:tab/>
        <w:t>P</w:t>
      </w:r>
      <w:r w:rsidRPr="00435C45">
        <w:rPr>
          <w:noProof/>
          <w:lang w:val="fr-FR"/>
        </w:rPr>
        <w:t>rogramme d</w:t>
      </w:r>
      <w:r w:rsidR="00607CA3">
        <w:rPr>
          <w:noProof/>
          <w:lang w:val="fr-FR"/>
        </w:rPr>
        <w:t>’</w:t>
      </w:r>
      <w:r w:rsidRPr="00435C45">
        <w:rPr>
          <w:noProof/>
          <w:lang w:val="fr-FR"/>
        </w:rPr>
        <w:t>aide aux personnes handicapées</w:t>
      </w:r>
      <w:r w:rsidR="00691AD9">
        <w:rPr>
          <w:noProof/>
          <w:lang w:val="fr-FR"/>
        </w:rPr>
        <w:t> </w:t>
      </w:r>
      <w:r w:rsidRPr="00435C45">
        <w:rPr>
          <w:rFonts w:eastAsia="Calibri"/>
          <w:noProof/>
          <w:lang w:val="fr-FR"/>
        </w:rPr>
        <w:t>;</w:t>
      </w:r>
    </w:p>
    <w:p w:rsidR="00596826" w:rsidRPr="00191307" w:rsidRDefault="00596826" w:rsidP="008B3C54">
      <w:pPr>
        <w:pStyle w:val="Bullet2G"/>
        <w:numPr>
          <w:ilvl w:val="0"/>
          <w:numId w:val="0"/>
        </w:numPr>
        <w:ind w:left="2268"/>
        <w:rPr>
          <w:rFonts w:eastAsia="Calibri"/>
          <w:noProof/>
          <w:lang w:val="fr-FR"/>
        </w:rPr>
      </w:pPr>
      <w:r w:rsidRPr="00435C45">
        <w:rPr>
          <w:rFonts w:eastAsia="Calibri"/>
          <w:noProof/>
          <w:lang w:val="fr-FR"/>
        </w:rPr>
        <w:t>3)</w:t>
      </w:r>
      <w:r w:rsidRPr="00435C45">
        <w:rPr>
          <w:rFonts w:eastAsia="Calibri"/>
          <w:noProof/>
          <w:lang w:val="fr-FR"/>
        </w:rPr>
        <w:tab/>
        <w:t>P</w:t>
      </w:r>
      <w:r w:rsidRPr="00435C45">
        <w:rPr>
          <w:noProof/>
          <w:lang w:val="fr-FR"/>
        </w:rPr>
        <w:t>rogramme d</w:t>
      </w:r>
      <w:r w:rsidR="00607CA3">
        <w:rPr>
          <w:noProof/>
          <w:lang w:val="fr-FR"/>
        </w:rPr>
        <w:t>’</w:t>
      </w:r>
      <w:r w:rsidRPr="00435C45">
        <w:rPr>
          <w:noProof/>
          <w:lang w:val="fr-FR"/>
        </w:rPr>
        <w:t>aide aux mères détenues avec leurs enfants</w:t>
      </w:r>
      <w:r w:rsidRPr="00191307">
        <w:rPr>
          <w:rFonts w:eastAsia="Calibri"/>
          <w:noProof/>
          <w:lang w:val="fr-FR"/>
        </w:rPr>
        <w:t>.</w:t>
      </w:r>
    </w:p>
    <w:p w:rsidR="00596826" w:rsidRPr="00191307" w:rsidRDefault="00596826" w:rsidP="00527502">
      <w:pPr>
        <w:pStyle w:val="Bullet1G"/>
        <w:rPr>
          <w:noProof/>
          <w:lang w:val="fr-FR"/>
        </w:rPr>
      </w:pPr>
      <w:r>
        <w:rPr>
          <w:noProof/>
          <w:lang w:val="fr-FR"/>
        </w:rPr>
        <w:t>Une équipe de coordination psychosociale met en œuvre les programmes de réduction de la récidive et des risques psychosociaux ci-après :</w:t>
      </w:r>
    </w:p>
    <w:p w:rsidR="00596826" w:rsidRPr="00191307" w:rsidRDefault="00596826" w:rsidP="00527502">
      <w:pPr>
        <w:pStyle w:val="Bullet2G"/>
        <w:numPr>
          <w:ilvl w:val="0"/>
          <w:numId w:val="0"/>
        </w:numPr>
        <w:ind w:left="2268"/>
        <w:rPr>
          <w:rFonts w:eastAsia="Calibri"/>
          <w:noProof/>
          <w:lang w:val="fr-FR"/>
        </w:rPr>
      </w:pPr>
      <w:r w:rsidRPr="00191307">
        <w:rPr>
          <w:rFonts w:eastAsia="Calibri"/>
          <w:noProof/>
          <w:lang w:val="fr-FR"/>
        </w:rPr>
        <w:t>a)</w:t>
      </w:r>
      <w:r w:rsidRPr="00191307">
        <w:rPr>
          <w:rFonts w:eastAsia="Calibri"/>
          <w:noProof/>
          <w:lang w:val="fr-FR"/>
        </w:rPr>
        <w:tab/>
        <w:t>Program</w:t>
      </w:r>
      <w:r>
        <w:rPr>
          <w:rFonts w:eastAsia="Calibri"/>
          <w:noProof/>
          <w:lang w:val="fr-FR"/>
        </w:rPr>
        <w:t>me de prévention des agressions sexuelles</w:t>
      </w:r>
      <w:r w:rsidR="00691AD9">
        <w:rPr>
          <w:rFonts w:eastAsia="Calibri"/>
          <w:noProof/>
          <w:lang w:val="fr-FR"/>
        </w:rPr>
        <w:t> </w:t>
      </w:r>
      <w:r w:rsidRPr="00191307">
        <w:rPr>
          <w:rFonts w:eastAsia="Calibri"/>
          <w:noProof/>
          <w:lang w:val="fr-FR"/>
        </w:rPr>
        <w:t>;</w:t>
      </w:r>
    </w:p>
    <w:p w:rsidR="00596826" w:rsidRPr="00191307" w:rsidRDefault="00596826" w:rsidP="00527502">
      <w:pPr>
        <w:pStyle w:val="Bullet2G"/>
        <w:numPr>
          <w:ilvl w:val="0"/>
          <w:numId w:val="0"/>
        </w:numPr>
        <w:ind w:left="2268"/>
        <w:rPr>
          <w:rFonts w:eastAsia="Calibri"/>
          <w:noProof/>
          <w:lang w:val="fr-FR"/>
        </w:rPr>
      </w:pPr>
      <w:r w:rsidRPr="00191307">
        <w:rPr>
          <w:rFonts w:eastAsia="Calibri"/>
          <w:noProof/>
          <w:lang w:val="fr-FR"/>
        </w:rPr>
        <w:t>b)</w:t>
      </w:r>
      <w:r w:rsidRPr="00191307">
        <w:rPr>
          <w:rFonts w:eastAsia="Calibri"/>
          <w:noProof/>
          <w:lang w:val="fr-FR"/>
        </w:rPr>
        <w:tab/>
        <w:t>Program</w:t>
      </w:r>
      <w:r>
        <w:rPr>
          <w:rFonts w:eastAsia="Calibri"/>
          <w:noProof/>
          <w:lang w:val="fr-FR"/>
        </w:rPr>
        <w:t>me d</w:t>
      </w:r>
      <w:r w:rsidR="00607CA3">
        <w:rPr>
          <w:rFonts w:eastAsia="Calibri"/>
          <w:noProof/>
          <w:lang w:val="fr-FR"/>
        </w:rPr>
        <w:t>’</w:t>
      </w:r>
      <w:r>
        <w:rPr>
          <w:rFonts w:eastAsia="Calibri"/>
          <w:noProof/>
          <w:lang w:val="fr-FR"/>
        </w:rPr>
        <w:t>intervention auprès des auteurs d</w:t>
      </w:r>
      <w:r w:rsidR="00607CA3">
        <w:rPr>
          <w:rFonts w:eastAsia="Calibri"/>
          <w:noProof/>
          <w:lang w:val="fr-FR"/>
        </w:rPr>
        <w:t>’</w:t>
      </w:r>
      <w:r>
        <w:rPr>
          <w:rFonts w:eastAsia="Calibri"/>
          <w:noProof/>
          <w:lang w:val="fr-FR"/>
        </w:rPr>
        <w:t>acte de violence fondée sur le genre</w:t>
      </w:r>
      <w:r w:rsidR="00691AD9">
        <w:rPr>
          <w:rFonts w:eastAsia="Calibri"/>
          <w:noProof/>
          <w:lang w:val="fr-FR"/>
        </w:rPr>
        <w:t> </w:t>
      </w:r>
      <w:r w:rsidRPr="00191307">
        <w:rPr>
          <w:rFonts w:eastAsia="Calibri"/>
          <w:noProof/>
          <w:lang w:val="fr-FR"/>
        </w:rPr>
        <w:t>;</w:t>
      </w:r>
    </w:p>
    <w:p w:rsidR="00596826" w:rsidRPr="00191307" w:rsidRDefault="00596826" w:rsidP="00527502">
      <w:pPr>
        <w:pStyle w:val="Bullet2G"/>
        <w:numPr>
          <w:ilvl w:val="0"/>
          <w:numId w:val="0"/>
        </w:numPr>
        <w:ind w:left="2268"/>
        <w:rPr>
          <w:rFonts w:eastAsia="Calibri"/>
          <w:noProof/>
          <w:kern w:val="1"/>
          <w:lang w:val="fr-FR"/>
        </w:rPr>
      </w:pPr>
      <w:r w:rsidRPr="00191307">
        <w:rPr>
          <w:rFonts w:eastAsia="Calibri"/>
          <w:noProof/>
          <w:kern w:val="1"/>
          <w:lang w:val="fr-FR"/>
        </w:rPr>
        <w:lastRenderedPageBreak/>
        <w:t>c)</w:t>
      </w:r>
      <w:r w:rsidRPr="00191307">
        <w:rPr>
          <w:rFonts w:eastAsia="Calibri"/>
          <w:noProof/>
          <w:kern w:val="1"/>
          <w:lang w:val="fr-FR"/>
        </w:rPr>
        <w:tab/>
      </w:r>
      <w:r w:rsidRPr="00191307">
        <w:rPr>
          <w:rFonts w:eastAsia="Calibri"/>
          <w:noProof/>
          <w:lang w:val="fr-FR"/>
        </w:rPr>
        <w:t>Program</w:t>
      </w:r>
      <w:r>
        <w:rPr>
          <w:rFonts w:eastAsia="Calibri"/>
          <w:noProof/>
          <w:lang w:val="fr-FR"/>
        </w:rPr>
        <w:t>me de traitement de la toxicomanie</w:t>
      </w:r>
      <w:r w:rsidRPr="00191307">
        <w:rPr>
          <w:rFonts w:eastAsia="Calibri"/>
          <w:noProof/>
          <w:lang w:val="fr-FR"/>
        </w:rPr>
        <w:t xml:space="preserve">, </w:t>
      </w:r>
      <w:r w:rsidRPr="005224BF">
        <w:rPr>
          <w:noProof/>
          <w:lang w:val="fr-FR"/>
        </w:rPr>
        <w:t xml:space="preserve">mis au point en collaboration avec le Conseil national des drogues et le système global de soins aux </w:t>
      </w:r>
      <w:r w:rsidRPr="00527502">
        <w:rPr>
          <w:rFonts w:eastAsia="Calibri"/>
          <w:noProof/>
          <w:lang w:val="fr-FR"/>
        </w:rPr>
        <w:t>personnes</w:t>
      </w:r>
      <w:r w:rsidRPr="005224BF">
        <w:rPr>
          <w:noProof/>
          <w:lang w:val="fr-FR"/>
        </w:rPr>
        <w:t xml:space="preserve"> privées de liberté de l</w:t>
      </w:r>
      <w:r w:rsidR="00607CA3">
        <w:rPr>
          <w:noProof/>
          <w:lang w:val="fr-FR"/>
        </w:rPr>
        <w:t>’</w:t>
      </w:r>
      <w:r w:rsidRPr="005224BF">
        <w:rPr>
          <w:noProof/>
          <w:lang w:val="fr-FR"/>
        </w:rPr>
        <w:t>Administration des services de santé de l</w:t>
      </w:r>
      <w:r w:rsidR="00607CA3">
        <w:rPr>
          <w:noProof/>
          <w:lang w:val="fr-FR"/>
        </w:rPr>
        <w:t>’</w:t>
      </w:r>
      <w:r w:rsidRPr="005224BF">
        <w:rPr>
          <w:noProof/>
          <w:lang w:val="fr-FR"/>
        </w:rPr>
        <w:t>État</w:t>
      </w:r>
      <w:r w:rsidRPr="00191307">
        <w:rPr>
          <w:rFonts w:eastAsia="Calibri"/>
          <w:noProof/>
          <w:lang w:val="fr-FR"/>
        </w:rPr>
        <w:t xml:space="preserve">. </w:t>
      </w:r>
      <w:r>
        <w:rPr>
          <w:rFonts w:eastAsia="Calibri"/>
          <w:noProof/>
          <w:lang w:val="fr-FR"/>
        </w:rPr>
        <w:t>Ce programme est en phase d</w:t>
      </w:r>
      <w:r w:rsidR="00607CA3">
        <w:rPr>
          <w:rFonts w:eastAsia="Calibri"/>
          <w:noProof/>
          <w:lang w:val="fr-FR"/>
        </w:rPr>
        <w:t>’</w:t>
      </w:r>
      <w:r>
        <w:rPr>
          <w:rFonts w:eastAsia="Calibri"/>
          <w:noProof/>
          <w:lang w:val="fr-FR"/>
        </w:rPr>
        <w:t>installation dans quatre centres de la zone métropolitaine</w:t>
      </w:r>
      <w:r w:rsidRPr="00191307">
        <w:rPr>
          <w:rFonts w:eastAsia="Calibri"/>
          <w:noProof/>
          <w:lang w:val="fr-FR"/>
        </w:rPr>
        <w:t>.</w:t>
      </w:r>
    </w:p>
    <w:p w:rsidR="00596826" w:rsidRPr="00191307" w:rsidRDefault="00596826" w:rsidP="00596826">
      <w:pPr>
        <w:pStyle w:val="SingleTxtG"/>
        <w:rPr>
          <w:rFonts w:eastAsia="Calibri"/>
          <w:noProof/>
          <w:kern w:val="1"/>
          <w:lang w:val="fr-FR"/>
        </w:rPr>
      </w:pPr>
      <w:r w:rsidRPr="00191307">
        <w:rPr>
          <w:rFonts w:eastAsia="Calibri"/>
          <w:noProof/>
          <w:lang w:val="fr-FR"/>
        </w:rPr>
        <w:t>127.</w:t>
      </w:r>
      <w:r w:rsidRPr="00191307">
        <w:rPr>
          <w:rFonts w:eastAsia="Calibri"/>
          <w:noProof/>
          <w:lang w:val="fr-FR"/>
        </w:rPr>
        <w:tab/>
      </w:r>
      <w:r>
        <w:rPr>
          <w:rFonts w:eastAsia="Calibri"/>
          <w:noProof/>
          <w:lang w:val="fr-FR"/>
        </w:rPr>
        <w:t>Le système informatique de gestion pénitentiaire a entrepris d</w:t>
      </w:r>
      <w:r w:rsidR="00607CA3">
        <w:rPr>
          <w:rFonts w:eastAsia="Calibri"/>
          <w:noProof/>
          <w:lang w:val="fr-FR"/>
        </w:rPr>
        <w:t>’</w:t>
      </w:r>
      <w:r>
        <w:rPr>
          <w:rFonts w:eastAsia="Calibri"/>
          <w:noProof/>
          <w:lang w:val="fr-FR"/>
        </w:rPr>
        <w:t>harmoniser les données concernant les détenus et les différentes activités connexes menées dans les centres pénitentiaires du pays. En l</w:t>
      </w:r>
      <w:r w:rsidR="00607CA3">
        <w:rPr>
          <w:rFonts w:eastAsia="Calibri"/>
          <w:noProof/>
          <w:lang w:val="fr-FR"/>
        </w:rPr>
        <w:t>’</w:t>
      </w:r>
      <w:r>
        <w:rPr>
          <w:rFonts w:eastAsia="Calibri"/>
          <w:noProof/>
          <w:lang w:val="fr-FR"/>
        </w:rPr>
        <w:t xml:space="preserve">état actuel des choses, ce système est capable de compiler des informations sur </w:t>
      </w:r>
      <w:r w:rsidRPr="00191307">
        <w:rPr>
          <w:rFonts w:eastAsia="Calibri"/>
          <w:noProof/>
          <w:lang w:val="fr-FR"/>
        </w:rPr>
        <w:t>80 % de</w:t>
      </w:r>
      <w:r>
        <w:rPr>
          <w:rFonts w:eastAsia="Calibri"/>
          <w:noProof/>
          <w:lang w:val="fr-FR"/>
        </w:rPr>
        <w:t xml:space="preserve"> ces centres, dont la totalité de ceux de la zone métropolitaine, lesquels accueillent 70</w:t>
      </w:r>
      <w:r w:rsidR="00527502">
        <w:rPr>
          <w:rFonts w:eastAsia="Calibri"/>
          <w:noProof/>
          <w:lang w:val="fr-FR"/>
        </w:rPr>
        <w:t> </w:t>
      </w:r>
      <w:r>
        <w:rPr>
          <w:rFonts w:eastAsia="Calibri"/>
          <w:noProof/>
          <w:lang w:val="fr-FR"/>
        </w:rPr>
        <w:t>% de la population carcérale totale</w:t>
      </w:r>
      <w:r w:rsidRPr="00191307">
        <w:rPr>
          <w:rFonts w:eastAsia="Calibri"/>
          <w:noProof/>
          <w:lang w:val="fr-FR"/>
        </w:rPr>
        <w:t xml:space="preserve">. </w:t>
      </w:r>
      <w:r>
        <w:rPr>
          <w:rFonts w:eastAsia="Calibri"/>
          <w:noProof/>
          <w:lang w:val="fr-FR"/>
        </w:rPr>
        <w:t>Cette numérisation permettra d</w:t>
      </w:r>
      <w:r w:rsidR="00607CA3">
        <w:rPr>
          <w:rFonts w:eastAsia="Calibri"/>
          <w:noProof/>
          <w:lang w:val="fr-FR"/>
        </w:rPr>
        <w:t>’</w:t>
      </w:r>
      <w:r>
        <w:rPr>
          <w:rFonts w:eastAsia="Calibri"/>
          <w:noProof/>
          <w:lang w:val="fr-FR"/>
        </w:rPr>
        <w:t>accéder aux données judiciaires et aux informations concernant l</w:t>
      </w:r>
      <w:r w:rsidR="00607CA3">
        <w:rPr>
          <w:rFonts w:eastAsia="Calibri"/>
          <w:noProof/>
          <w:lang w:val="fr-FR"/>
        </w:rPr>
        <w:t>’</w:t>
      </w:r>
      <w:r>
        <w:rPr>
          <w:rFonts w:eastAsia="Calibri"/>
          <w:noProof/>
          <w:lang w:val="fr-FR"/>
        </w:rPr>
        <w:t>hébergement, les transfèrements</w:t>
      </w:r>
      <w:r w:rsidRPr="00191307">
        <w:rPr>
          <w:rFonts w:eastAsia="Calibri"/>
          <w:noProof/>
          <w:lang w:val="fr-FR"/>
        </w:rPr>
        <w:t xml:space="preserve">, </w:t>
      </w:r>
      <w:r>
        <w:rPr>
          <w:rFonts w:eastAsia="Calibri"/>
          <w:noProof/>
          <w:lang w:val="fr-FR"/>
        </w:rPr>
        <w:t>les permissions de sortir</w:t>
      </w:r>
      <w:r w:rsidRPr="00191307">
        <w:rPr>
          <w:rFonts w:eastAsia="Calibri"/>
          <w:noProof/>
          <w:lang w:val="fr-FR"/>
        </w:rPr>
        <w:t xml:space="preserve"> </w:t>
      </w:r>
      <w:r>
        <w:rPr>
          <w:rFonts w:eastAsia="Calibri"/>
          <w:noProof/>
          <w:lang w:val="fr-FR"/>
        </w:rPr>
        <w:t>et les visites</w:t>
      </w:r>
      <w:r w:rsidR="00691AD9">
        <w:rPr>
          <w:rFonts w:eastAsia="Calibri"/>
          <w:noProof/>
          <w:lang w:val="fr-FR"/>
        </w:rPr>
        <w:t> </w:t>
      </w:r>
      <w:r>
        <w:rPr>
          <w:rFonts w:eastAsia="Calibri"/>
          <w:noProof/>
          <w:lang w:val="fr-FR"/>
        </w:rPr>
        <w:t>; en d</w:t>
      </w:r>
      <w:r w:rsidR="00607CA3">
        <w:rPr>
          <w:rFonts w:eastAsia="Calibri"/>
          <w:noProof/>
          <w:lang w:val="fr-FR"/>
        </w:rPr>
        <w:t>’</w:t>
      </w:r>
      <w:r>
        <w:rPr>
          <w:rFonts w:eastAsia="Calibri"/>
          <w:noProof/>
          <w:lang w:val="fr-FR"/>
        </w:rPr>
        <w:t>autres termes, elle permettra de consulter des informations génériques et certaines informations spécifiques sur la personne privée de liberté concernée</w:t>
      </w:r>
      <w:r w:rsidRPr="00191307">
        <w:rPr>
          <w:rFonts w:eastAsia="Calibri"/>
          <w:noProof/>
          <w:lang w:val="fr-FR"/>
        </w:rPr>
        <w:t xml:space="preserve">. </w:t>
      </w:r>
      <w:r>
        <w:rPr>
          <w:rFonts w:eastAsia="Calibri"/>
          <w:noProof/>
          <w:lang w:val="fr-FR"/>
        </w:rPr>
        <w:t>Le système enregistre les informations concernant l</w:t>
      </w:r>
      <w:r w:rsidR="00607CA3">
        <w:rPr>
          <w:rFonts w:eastAsia="Calibri"/>
          <w:noProof/>
          <w:lang w:val="fr-FR"/>
        </w:rPr>
        <w:t>’</w:t>
      </w:r>
      <w:r>
        <w:rPr>
          <w:rFonts w:eastAsia="Calibri"/>
          <w:noProof/>
          <w:lang w:val="fr-FR"/>
        </w:rPr>
        <w:t>activité du Bureau de suivi des mesures de probation</w:t>
      </w:r>
      <w:r w:rsidRPr="00191307">
        <w:rPr>
          <w:rFonts w:eastAsia="Calibri"/>
          <w:noProof/>
          <w:lang w:val="fr-FR"/>
        </w:rPr>
        <w:t xml:space="preserve">. </w:t>
      </w:r>
      <w:r>
        <w:rPr>
          <w:rFonts w:eastAsia="Calibri"/>
          <w:noProof/>
          <w:lang w:val="fr-FR"/>
        </w:rPr>
        <w:t>Il est prévu d</w:t>
      </w:r>
      <w:r w:rsidR="00607CA3">
        <w:rPr>
          <w:rFonts w:eastAsia="Calibri"/>
          <w:noProof/>
          <w:lang w:val="fr-FR"/>
        </w:rPr>
        <w:t>’</w:t>
      </w:r>
      <w:r>
        <w:rPr>
          <w:rFonts w:eastAsia="Calibri"/>
          <w:noProof/>
          <w:lang w:val="fr-FR"/>
        </w:rPr>
        <w:t>y enregistrer également le dossier de traitement éducatif du détenu et le nombre d</w:t>
      </w:r>
      <w:r w:rsidR="00607CA3">
        <w:rPr>
          <w:rFonts w:eastAsia="Calibri"/>
          <w:noProof/>
          <w:lang w:val="fr-FR"/>
        </w:rPr>
        <w:t>’</w:t>
      </w:r>
      <w:r>
        <w:rPr>
          <w:rFonts w:eastAsia="Calibri"/>
          <w:noProof/>
          <w:lang w:val="fr-FR"/>
        </w:rPr>
        <w:t>infractions commises à l</w:t>
      </w:r>
      <w:r w:rsidR="00607CA3">
        <w:rPr>
          <w:rFonts w:eastAsia="Calibri"/>
          <w:noProof/>
          <w:lang w:val="fr-FR"/>
        </w:rPr>
        <w:t>’</w:t>
      </w:r>
      <w:r>
        <w:rPr>
          <w:rFonts w:eastAsia="Calibri"/>
          <w:noProof/>
          <w:lang w:val="fr-FR"/>
        </w:rPr>
        <w:t>intérieur du centre pénitentiaire afin d</w:t>
      </w:r>
      <w:r w:rsidR="00607CA3">
        <w:rPr>
          <w:rFonts w:eastAsia="Calibri"/>
          <w:noProof/>
          <w:lang w:val="fr-FR"/>
        </w:rPr>
        <w:t>’</w:t>
      </w:r>
      <w:r>
        <w:rPr>
          <w:rFonts w:eastAsia="Calibri"/>
          <w:noProof/>
          <w:lang w:val="fr-FR"/>
        </w:rPr>
        <w:t>obtenir la meilleure fiabilité possible des données</w:t>
      </w:r>
      <w:r w:rsidRPr="00191307">
        <w:rPr>
          <w:rFonts w:eastAsia="Calibri"/>
          <w:noProof/>
          <w:lang w:val="fr-FR"/>
        </w:rPr>
        <w:t>.</w:t>
      </w:r>
    </w:p>
    <w:p w:rsidR="00596826" w:rsidRPr="00191307" w:rsidRDefault="00596826" w:rsidP="00596826">
      <w:pPr>
        <w:pStyle w:val="SingleTxtG"/>
        <w:rPr>
          <w:rFonts w:eastAsia="Calibri"/>
          <w:noProof/>
          <w:kern w:val="1"/>
          <w:lang w:val="fr-FR"/>
        </w:rPr>
      </w:pPr>
      <w:r w:rsidRPr="00191307">
        <w:rPr>
          <w:rFonts w:eastAsia="Calibri"/>
          <w:noProof/>
          <w:kern w:val="1"/>
          <w:lang w:val="fr-FR"/>
        </w:rPr>
        <w:t>128.</w:t>
      </w:r>
      <w:r w:rsidRPr="00191307">
        <w:rPr>
          <w:rFonts w:eastAsia="Calibri"/>
          <w:noProof/>
          <w:kern w:val="1"/>
          <w:lang w:val="fr-FR"/>
        </w:rPr>
        <w:tab/>
        <w:t xml:space="preserve">En </w:t>
      </w:r>
      <w:r>
        <w:rPr>
          <w:rFonts w:eastAsia="Calibri"/>
          <w:noProof/>
          <w:kern w:val="1"/>
          <w:lang w:val="fr-FR"/>
        </w:rPr>
        <w:t xml:space="preserve">janvier </w:t>
      </w:r>
      <w:r w:rsidRPr="00191307">
        <w:rPr>
          <w:rFonts w:eastAsia="Calibri"/>
          <w:noProof/>
          <w:kern w:val="1"/>
          <w:lang w:val="fr-FR"/>
        </w:rPr>
        <w:t>2018</w:t>
      </w:r>
      <w:r>
        <w:rPr>
          <w:rFonts w:eastAsia="Calibri"/>
          <w:noProof/>
          <w:kern w:val="1"/>
          <w:lang w:val="fr-FR"/>
        </w:rPr>
        <w:t>,</w:t>
      </w:r>
      <w:r w:rsidRPr="00191307">
        <w:rPr>
          <w:rFonts w:eastAsia="Calibri"/>
          <w:noProof/>
          <w:kern w:val="1"/>
          <w:lang w:val="fr-FR"/>
        </w:rPr>
        <w:t xml:space="preserve"> </w:t>
      </w:r>
      <w:r>
        <w:rPr>
          <w:rFonts w:eastAsia="Calibri"/>
          <w:noProof/>
          <w:kern w:val="1"/>
          <w:lang w:val="fr-FR"/>
        </w:rPr>
        <w:t xml:space="preserve">le centre pénitentiaire </w:t>
      </w:r>
      <w:r w:rsidR="00527502" w:rsidRPr="00527502">
        <w:rPr>
          <w:rFonts w:eastAsia="MS Mincho"/>
          <w:noProof/>
          <w:kern w:val="1"/>
          <w:szCs w:val="22"/>
          <w:lang w:val="fr-FR"/>
        </w:rPr>
        <w:t>n</w:t>
      </w:r>
      <w:r w:rsidR="00527502" w:rsidRPr="00527502">
        <w:rPr>
          <w:rFonts w:eastAsia="MS Mincho"/>
          <w:noProof/>
          <w:kern w:val="1"/>
          <w:szCs w:val="22"/>
          <w:vertAlign w:val="superscript"/>
          <w:lang w:val="fr-FR"/>
        </w:rPr>
        <w:t>o</w:t>
      </w:r>
      <w:r w:rsidR="00527502">
        <w:rPr>
          <w:rFonts w:eastAsia="Calibri"/>
          <w:noProof/>
          <w:kern w:val="1"/>
          <w:lang w:val="fr-FR"/>
        </w:rPr>
        <w:t> </w:t>
      </w:r>
      <w:r>
        <w:rPr>
          <w:rFonts w:eastAsia="Calibri"/>
          <w:noProof/>
          <w:kern w:val="1"/>
          <w:lang w:val="fr-FR"/>
        </w:rPr>
        <w:t xml:space="preserve">1 de </w:t>
      </w:r>
      <w:r w:rsidRPr="00191307">
        <w:rPr>
          <w:rFonts w:eastAsia="Calibri"/>
          <w:noProof/>
          <w:kern w:val="1"/>
          <w:lang w:val="fr-FR"/>
        </w:rPr>
        <w:t xml:space="preserve">Punta de Rieles </w:t>
      </w:r>
      <w:r>
        <w:rPr>
          <w:rFonts w:eastAsia="Calibri"/>
          <w:noProof/>
          <w:kern w:val="1"/>
          <w:lang w:val="fr-FR"/>
        </w:rPr>
        <w:t>a été mis en service dans le cadre d</w:t>
      </w:r>
      <w:r w:rsidR="00607CA3">
        <w:rPr>
          <w:rFonts w:eastAsia="Calibri"/>
          <w:noProof/>
          <w:kern w:val="1"/>
          <w:lang w:val="fr-FR"/>
        </w:rPr>
        <w:t>’</w:t>
      </w:r>
      <w:r>
        <w:rPr>
          <w:rFonts w:eastAsia="Calibri"/>
          <w:noProof/>
          <w:kern w:val="1"/>
          <w:lang w:val="fr-FR"/>
        </w:rPr>
        <w:t>un partenariat public-privé</w:t>
      </w:r>
      <w:r w:rsidRPr="00191307">
        <w:rPr>
          <w:rFonts w:eastAsia="Calibri"/>
          <w:noProof/>
          <w:kern w:val="1"/>
          <w:lang w:val="fr-FR"/>
        </w:rPr>
        <w:t xml:space="preserve">. </w:t>
      </w:r>
      <w:r>
        <w:rPr>
          <w:rFonts w:eastAsia="Calibri"/>
          <w:noProof/>
          <w:kern w:val="1"/>
          <w:lang w:val="fr-FR"/>
        </w:rPr>
        <w:t xml:space="preserve">Au moment de </w:t>
      </w:r>
      <w:r w:rsidRPr="00C370F8">
        <w:rPr>
          <w:noProof/>
          <w:lang w:val="fr-FR"/>
        </w:rPr>
        <w:t>l</w:t>
      </w:r>
      <w:r w:rsidR="00607CA3">
        <w:rPr>
          <w:noProof/>
          <w:lang w:val="fr-FR"/>
        </w:rPr>
        <w:t>’</w:t>
      </w:r>
      <w:r w:rsidRPr="00C370F8">
        <w:rPr>
          <w:noProof/>
          <w:lang w:val="fr-FR"/>
        </w:rPr>
        <w:t>achèvement du présent rapport</w:t>
      </w:r>
      <w:r>
        <w:rPr>
          <w:noProof/>
          <w:lang w:val="fr-FR"/>
        </w:rPr>
        <w:t>, on y avait transféré 600 détenus des centres de la zone métropolitaine et de l</w:t>
      </w:r>
      <w:r w:rsidR="00607CA3">
        <w:rPr>
          <w:noProof/>
          <w:lang w:val="fr-FR"/>
        </w:rPr>
        <w:t>’</w:t>
      </w:r>
      <w:r>
        <w:rPr>
          <w:noProof/>
          <w:lang w:val="fr-FR"/>
        </w:rPr>
        <w:t>intérieur du pays</w:t>
      </w:r>
      <w:r w:rsidRPr="00191307">
        <w:rPr>
          <w:rFonts w:eastAsia="Calibri"/>
          <w:noProof/>
          <w:kern w:val="1"/>
          <w:lang w:val="fr-FR"/>
        </w:rPr>
        <w:t xml:space="preserve">. </w:t>
      </w:r>
      <w:r>
        <w:rPr>
          <w:rFonts w:eastAsia="Calibri"/>
          <w:noProof/>
          <w:kern w:val="1"/>
          <w:lang w:val="fr-FR"/>
        </w:rPr>
        <w:t>L</w:t>
      </w:r>
      <w:r w:rsidR="00607CA3">
        <w:rPr>
          <w:rFonts w:eastAsia="Calibri"/>
          <w:noProof/>
          <w:kern w:val="1"/>
          <w:lang w:val="fr-FR"/>
        </w:rPr>
        <w:t>’</w:t>
      </w:r>
      <w:r>
        <w:rPr>
          <w:rFonts w:eastAsia="Calibri"/>
          <w:noProof/>
          <w:kern w:val="1"/>
          <w:lang w:val="fr-FR"/>
        </w:rPr>
        <w:t>occupation de ce centre sera menée de façon systématique jusqu</w:t>
      </w:r>
      <w:r w:rsidR="00607CA3">
        <w:rPr>
          <w:rFonts w:eastAsia="Calibri"/>
          <w:noProof/>
          <w:kern w:val="1"/>
          <w:lang w:val="fr-FR"/>
        </w:rPr>
        <w:t>’</w:t>
      </w:r>
      <w:r>
        <w:rPr>
          <w:rFonts w:eastAsia="Calibri"/>
          <w:noProof/>
          <w:kern w:val="1"/>
          <w:lang w:val="fr-FR"/>
        </w:rPr>
        <w:t>à ce que le taux de 100</w:t>
      </w:r>
      <w:r w:rsidR="00527502">
        <w:rPr>
          <w:rFonts w:eastAsia="Calibri"/>
          <w:noProof/>
          <w:kern w:val="1"/>
          <w:lang w:val="fr-FR"/>
        </w:rPr>
        <w:t> </w:t>
      </w:r>
      <w:r>
        <w:rPr>
          <w:rFonts w:eastAsia="Calibri"/>
          <w:noProof/>
          <w:kern w:val="1"/>
          <w:lang w:val="fr-FR"/>
        </w:rPr>
        <w:t>% soit atteint</w:t>
      </w:r>
      <w:r w:rsidRPr="00191307">
        <w:rPr>
          <w:rFonts w:eastAsia="Calibri"/>
          <w:noProof/>
          <w:kern w:val="1"/>
          <w:lang w:val="fr-FR"/>
        </w:rPr>
        <w:t>.</w:t>
      </w:r>
    </w:p>
    <w:p w:rsidR="00596826" w:rsidRPr="00191307" w:rsidRDefault="00596826" w:rsidP="00596826">
      <w:pPr>
        <w:pStyle w:val="SingleTxtG"/>
        <w:rPr>
          <w:rFonts w:eastAsia="Calibri"/>
          <w:noProof/>
          <w:kern w:val="1"/>
          <w:lang w:val="fr-FR"/>
        </w:rPr>
      </w:pPr>
      <w:r w:rsidRPr="00191307">
        <w:rPr>
          <w:rFonts w:eastAsia="Calibri"/>
          <w:noProof/>
          <w:kern w:val="1"/>
          <w:lang w:val="fr-FR"/>
        </w:rPr>
        <w:t>129.</w:t>
      </w:r>
      <w:r w:rsidRPr="00191307">
        <w:rPr>
          <w:rFonts w:eastAsia="Calibri"/>
          <w:noProof/>
          <w:kern w:val="1"/>
          <w:lang w:val="fr-FR"/>
        </w:rPr>
        <w:tab/>
        <w:t>L</w:t>
      </w:r>
      <w:r w:rsidR="00607CA3">
        <w:rPr>
          <w:rFonts w:eastAsia="Calibri"/>
          <w:noProof/>
          <w:kern w:val="1"/>
          <w:lang w:val="fr-FR"/>
        </w:rPr>
        <w:t>’</w:t>
      </w:r>
      <w:r>
        <w:rPr>
          <w:rFonts w:eastAsia="Calibri"/>
          <w:noProof/>
          <w:kern w:val="1"/>
          <w:lang w:val="fr-FR"/>
        </w:rPr>
        <w:t>emplacement de ce centre a été choisi au moyen d</w:t>
      </w:r>
      <w:r w:rsidR="00607CA3">
        <w:rPr>
          <w:rFonts w:eastAsia="Calibri"/>
          <w:noProof/>
          <w:kern w:val="1"/>
          <w:lang w:val="fr-FR"/>
        </w:rPr>
        <w:t>’</w:t>
      </w:r>
      <w:r>
        <w:rPr>
          <w:rFonts w:eastAsia="Calibri"/>
          <w:noProof/>
          <w:kern w:val="1"/>
          <w:lang w:val="fr-FR"/>
        </w:rPr>
        <w:t>entretiens personnels réalisés à l</w:t>
      </w:r>
      <w:r w:rsidR="00607CA3">
        <w:rPr>
          <w:rFonts w:eastAsia="Calibri"/>
          <w:noProof/>
          <w:kern w:val="1"/>
          <w:lang w:val="fr-FR"/>
        </w:rPr>
        <w:t>’</w:t>
      </w:r>
      <w:r>
        <w:rPr>
          <w:rFonts w:eastAsia="Calibri"/>
          <w:noProof/>
          <w:kern w:val="1"/>
          <w:lang w:val="fr-FR"/>
        </w:rPr>
        <w:t xml:space="preserve">aide du Guide </w:t>
      </w:r>
      <w:r w:rsidRPr="00191307">
        <w:rPr>
          <w:rFonts w:eastAsia="Calibri"/>
          <w:noProof/>
          <w:kern w:val="1"/>
          <w:lang w:val="fr-FR"/>
        </w:rPr>
        <w:t>OASys</w:t>
      </w:r>
      <w:r>
        <w:rPr>
          <w:rFonts w:eastAsia="Calibri"/>
          <w:noProof/>
          <w:kern w:val="1"/>
          <w:lang w:val="fr-FR"/>
        </w:rPr>
        <w:t xml:space="preserve"> utilisé par la Banque interaméricaine de développement (BID).</w:t>
      </w:r>
      <w:r w:rsidRPr="00191307">
        <w:rPr>
          <w:rFonts w:eastAsia="Calibri"/>
          <w:noProof/>
          <w:kern w:val="1"/>
          <w:lang w:val="fr-FR"/>
        </w:rPr>
        <w:t xml:space="preserve"> </w:t>
      </w:r>
      <w:r>
        <w:rPr>
          <w:rFonts w:eastAsia="Calibri"/>
          <w:noProof/>
          <w:kern w:val="1"/>
          <w:lang w:val="fr-FR"/>
        </w:rPr>
        <w:t>Il s</w:t>
      </w:r>
      <w:r w:rsidR="00607CA3">
        <w:rPr>
          <w:rFonts w:eastAsia="Calibri"/>
          <w:noProof/>
          <w:kern w:val="1"/>
          <w:lang w:val="fr-FR"/>
        </w:rPr>
        <w:t>’</w:t>
      </w:r>
      <w:r>
        <w:rPr>
          <w:rFonts w:eastAsia="Calibri"/>
          <w:noProof/>
          <w:kern w:val="1"/>
          <w:lang w:val="fr-FR"/>
        </w:rPr>
        <w:t>agissait de déterminer d</w:t>
      </w:r>
      <w:r w:rsidR="00607CA3">
        <w:rPr>
          <w:rFonts w:eastAsia="Calibri"/>
          <w:noProof/>
          <w:kern w:val="1"/>
          <w:lang w:val="fr-FR"/>
        </w:rPr>
        <w:t>’</w:t>
      </w:r>
      <w:r>
        <w:rPr>
          <w:rFonts w:eastAsia="Calibri"/>
          <w:noProof/>
          <w:kern w:val="1"/>
          <w:lang w:val="fr-FR"/>
        </w:rPr>
        <w:t>éventuels niveaux de risque et de choisir les personnes qui possédaient le profil nécessaire pour être accueillies dans un centre dans lequel l</w:t>
      </w:r>
      <w:r w:rsidR="00607CA3">
        <w:rPr>
          <w:rFonts w:eastAsia="Calibri"/>
          <w:noProof/>
          <w:kern w:val="1"/>
          <w:lang w:val="fr-FR"/>
        </w:rPr>
        <w:t>’</w:t>
      </w:r>
      <w:r>
        <w:rPr>
          <w:rFonts w:eastAsia="Calibri"/>
          <w:noProof/>
          <w:kern w:val="1"/>
          <w:lang w:val="fr-FR"/>
        </w:rPr>
        <w:t>internement présentait des caractéristiques différentes de celles des autres centres relevant de l</w:t>
      </w:r>
      <w:r w:rsidR="00607CA3">
        <w:rPr>
          <w:rFonts w:eastAsia="Calibri"/>
          <w:noProof/>
          <w:kern w:val="1"/>
          <w:lang w:val="fr-FR"/>
        </w:rPr>
        <w:t>’</w:t>
      </w:r>
      <w:r>
        <w:rPr>
          <w:rFonts w:eastAsia="Calibri"/>
          <w:noProof/>
          <w:kern w:val="1"/>
          <w:lang w:val="fr-FR"/>
        </w:rPr>
        <w:t>Institut national de réinsertion, du point de vue tant de la construction du centre en question que de l</w:t>
      </w:r>
      <w:r w:rsidR="00607CA3">
        <w:rPr>
          <w:rFonts w:eastAsia="Calibri"/>
          <w:noProof/>
          <w:kern w:val="1"/>
          <w:lang w:val="fr-FR"/>
        </w:rPr>
        <w:t>’</w:t>
      </w:r>
      <w:r>
        <w:rPr>
          <w:rFonts w:eastAsia="Calibri"/>
          <w:noProof/>
          <w:kern w:val="1"/>
          <w:lang w:val="fr-FR"/>
        </w:rPr>
        <w:t>application d</w:t>
      </w:r>
      <w:r w:rsidR="00607CA3">
        <w:rPr>
          <w:rFonts w:eastAsia="Calibri"/>
          <w:noProof/>
          <w:kern w:val="1"/>
          <w:lang w:val="fr-FR"/>
        </w:rPr>
        <w:t>’</w:t>
      </w:r>
      <w:r>
        <w:rPr>
          <w:rFonts w:eastAsia="Calibri"/>
          <w:noProof/>
          <w:kern w:val="1"/>
          <w:lang w:val="fr-FR"/>
        </w:rPr>
        <w:t xml:space="preserve">un nouveau modèle </w:t>
      </w:r>
      <w:r w:rsidRPr="00191307">
        <w:rPr>
          <w:rFonts w:eastAsia="Calibri"/>
          <w:noProof/>
          <w:kern w:val="1"/>
          <w:lang w:val="fr-FR"/>
        </w:rPr>
        <w:t>de tra</w:t>
      </w:r>
      <w:r>
        <w:rPr>
          <w:rFonts w:eastAsia="Calibri"/>
          <w:noProof/>
          <w:kern w:val="1"/>
          <w:lang w:val="fr-FR"/>
        </w:rPr>
        <w:t>itement consistant en une prise en charge plus personnalisée qui met les nouvelles technologies au service de la sécurité des détenus et du personnel du centre</w:t>
      </w:r>
      <w:r w:rsidRPr="00191307">
        <w:rPr>
          <w:rFonts w:eastAsia="Calibri"/>
          <w:noProof/>
          <w:kern w:val="1"/>
          <w:lang w:val="fr-FR"/>
        </w:rPr>
        <w:t>.</w:t>
      </w:r>
    </w:p>
    <w:p w:rsidR="00596826" w:rsidRPr="00191307" w:rsidRDefault="00596826" w:rsidP="00596826">
      <w:pPr>
        <w:pStyle w:val="SingleTxtG"/>
        <w:rPr>
          <w:rFonts w:eastAsia="Calibri"/>
          <w:noProof/>
          <w:kern w:val="1"/>
          <w:lang w:val="fr-FR"/>
        </w:rPr>
      </w:pPr>
      <w:r w:rsidRPr="00191307">
        <w:rPr>
          <w:rFonts w:eastAsia="Calibri"/>
          <w:noProof/>
          <w:kern w:val="1"/>
          <w:lang w:val="fr-FR"/>
        </w:rPr>
        <w:t>130.</w:t>
      </w:r>
      <w:r w:rsidRPr="00191307">
        <w:rPr>
          <w:rFonts w:eastAsia="Calibri"/>
          <w:noProof/>
          <w:kern w:val="1"/>
          <w:lang w:val="fr-FR"/>
        </w:rPr>
        <w:tab/>
      </w:r>
      <w:r>
        <w:rPr>
          <w:rFonts w:eastAsia="Calibri"/>
          <w:noProof/>
          <w:kern w:val="1"/>
          <w:lang w:val="fr-FR"/>
        </w:rPr>
        <w:t>L</w:t>
      </w:r>
      <w:r w:rsidR="00607CA3">
        <w:rPr>
          <w:rFonts w:eastAsia="Calibri"/>
          <w:noProof/>
          <w:kern w:val="1"/>
          <w:lang w:val="fr-FR"/>
        </w:rPr>
        <w:t>’</w:t>
      </w:r>
      <w:r>
        <w:rPr>
          <w:rFonts w:eastAsia="Calibri"/>
          <w:noProof/>
          <w:kern w:val="1"/>
          <w:lang w:val="fr-FR"/>
        </w:rPr>
        <w:t>entrée en vigueur du nouveau Code de procédure pénale a également été l</w:t>
      </w:r>
      <w:r w:rsidR="00607CA3">
        <w:rPr>
          <w:rFonts w:eastAsia="Calibri"/>
          <w:noProof/>
          <w:kern w:val="1"/>
          <w:lang w:val="fr-FR"/>
        </w:rPr>
        <w:t>’</w:t>
      </w:r>
      <w:r>
        <w:rPr>
          <w:rFonts w:eastAsia="Calibri"/>
          <w:noProof/>
          <w:kern w:val="1"/>
          <w:lang w:val="fr-FR"/>
        </w:rPr>
        <w:t>occasion d</w:t>
      </w:r>
      <w:r w:rsidR="00607CA3">
        <w:rPr>
          <w:rFonts w:eastAsia="Calibri"/>
          <w:noProof/>
          <w:kern w:val="1"/>
          <w:lang w:val="fr-FR"/>
        </w:rPr>
        <w:t>’</w:t>
      </w:r>
      <w:r>
        <w:rPr>
          <w:rFonts w:eastAsia="Calibri"/>
          <w:noProof/>
          <w:kern w:val="1"/>
          <w:lang w:val="fr-FR"/>
        </w:rPr>
        <w:t>aménager certains quartiers des centres pénitentiaires dans le but d</w:t>
      </w:r>
      <w:r w:rsidR="00607CA3">
        <w:rPr>
          <w:rFonts w:eastAsia="Calibri"/>
          <w:noProof/>
          <w:kern w:val="1"/>
          <w:lang w:val="fr-FR"/>
        </w:rPr>
        <w:t>’</w:t>
      </w:r>
      <w:r>
        <w:rPr>
          <w:rFonts w:eastAsia="Calibri"/>
          <w:noProof/>
          <w:kern w:val="1"/>
          <w:lang w:val="fr-FR"/>
        </w:rPr>
        <w:t xml:space="preserve">appliquer </w:t>
      </w:r>
      <w:r w:rsidRPr="00191307">
        <w:rPr>
          <w:rFonts w:eastAsia="Calibri"/>
          <w:noProof/>
          <w:kern w:val="1"/>
          <w:lang w:val="fr-FR"/>
        </w:rPr>
        <w:t xml:space="preserve">la </w:t>
      </w:r>
      <w:r w:rsidRPr="00C22284">
        <w:rPr>
          <w:noProof/>
          <w:lang w:val="fr-FR"/>
        </w:rPr>
        <w:t>mise en détention provisoire à titre de mesure de contrainte</w:t>
      </w:r>
      <w:r w:rsidRPr="00411326">
        <w:t xml:space="preserve"> </w:t>
      </w:r>
      <w:r>
        <w:rPr>
          <w:rFonts w:eastAsia="Calibri"/>
          <w:noProof/>
          <w:kern w:val="1"/>
          <w:lang w:val="fr-FR"/>
        </w:rPr>
        <w:t>dans l</w:t>
      </w:r>
      <w:r w:rsidR="00607CA3">
        <w:rPr>
          <w:rFonts w:eastAsia="Calibri"/>
          <w:noProof/>
          <w:kern w:val="1"/>
          <w:lang w:val="fr-FR"/>
        </w:rPr>
        <w:t>’</w:t>
      </w:r>
      <w:r>
        <w:rPr>
          <w:rFonts w:eastAsia="Calibri"/>
          <w:noProof/>
          <w:kern w:val="1"/>
          <w:lang w:val="fr-FR"/>
        </w:rPr>
        <w:t>ensemble du pays d</w:t>
      </w:r>
      <w:r w:rsidR="00607CA3">
        <w:rPr>
          <w:rFonts w:eastAsia="Calibri"/>
          <w:noProof/>
          <w:kern w:val="1"/>
          <w:lang w:val="fr-FR"/>
        </w:rPr>
        <w:t>’</w:t>
      </w:r>
      <w:r>
        <w:rPr>
          <w:rFonts w:eastAsia="Calibri"/>
          <w:noProof/>
          <w:kern w:val="1"/>
          <w:lang w:val="fr-FR"/>
        </w:rPr>
        <w:t>une façon conforme aux dispositions de ce Code. Le Ministère de l</w:t>
      </w:r>
      <w:r w:rsidR="00607CA3">
        <w:rPr>
          <w:rFonts w:eastAsia="Calibri"/>
          <w:noProof/>
          <w:kern w:val="1"/>
          <w:lang w:val="fr-FR"/>
        </w:rPr>
        <w:t>’</w:t>
      </w:r>
      <w:r>
        <w:rPr>
          <w:rFonts w:eastAsia="Calibri"/>
          <w:noProof/>
          <w:kern w:val="1"/>
          <w:lang w:val="fr-FR"/>
        </w:rPr>
        <w:t>intérieur collabore directement avec le Bureau du Procureur général de la Nation en vue de donner une nouvelle impulsion à l</w:t>
      </w:r>
      <w:r w:rsidR="00607CA3">
        <w:rPr>
          <w:rFonts w:eastAsia="Calibri"/>
          <w:noProof/>
          <w:kern w:val="1"/>
          <w:lang w:val="fr-FR"/>
        </w:rPr>
        <w:t>’</w:t>
      </w:r>
      <w:r>
        <w:rPr>
          <w:rFonts w:eastAsia="Calibri"/>
          <w:noProof/>
          <w:kern w:val="1"/>
          <w:lang w:val="fr-FR"/>
        </w:rPr>
        <w:t>application des mesures alternatives à l</w:t>
      </w:r>
      <w:r w:rsidR="00607CA3">
        <w:rPr>
          <w:rFonts w:eastAsia="Calibri"/>
          <w:noProof/>
          <w:kern w:val="1"/>
          <w:lang w:val="fr-FR"/>
        </w:rPr>
        <w:t>’</w:t>
      </w:r>
      <w:r>
        <w:rPr>
          <w:rFonts w:eastAsia="Calibri"/>
          <w:noProof/>
          <w:kern w:val="1"/>
          <w:lang w:val="fr-FR"/>
        </w:rPr>
        <w:t>emprisonnement et d</w:t>
      </w:r>
      <w:r w:rsidR="00607CA3">
        <w:rPr>
          <w:rFonts w:eastAsia="Calibri"/>
          <w:noProof/>
          <w:kern w:val="1"/>
          <w:lang w:val="fr-FR"/>
        </w:rPr>
        <w:t>’</w:t>
      </w:r>
      <w:r>
        <w:rPr>
          <w:rFonts w:eastAsia="Calibri"/>
          <w:noProof/>
          <w:kern w:val="1"/>
          <w:lang w:val="fr-FR"/>
        </w:rPr>
        <w:t>en promouvoir l</w:t>
      </w:r>
      <w:r w:rsidR="00607CA3">
        <w:rPr>
          <w:rFonts w:eastAsia="Calibri"/>
          <w:noProof/>
          <w:kern w:val="1"/>
          <w:lang w:val="fr-FR"/>
        </w:rPr>
        <w:t>’</w:t>
      </w:r>
      <w:r>
        <w:rPr>
          <w:rFonts w:eastAsia="Calibri"/>
          <w:noProof/>
          <w:kern w:val="1"/>
          <w:lang w:val="fr-FR"/>
        </w:rPr>
        <w:t>utilisation et, ce faisant, de réduire l</w:t>
      </w:r>
      <w:r w:rsidR="00607CA3">
        <w:rPr>
          <w:rFonts w:eastAsia="Calibri"/>
          <w:noProof/>
          <w:kern w:val="1"/>
          <w:lang w:val="fr-FR"/>
        </w:rPr>
        <w:t>’</w:t>
      </w:r>
      <w:r>
        <w:rPr>
          <w:rFonts w:eastAsia="Calibri"/>
          <w:noProof/>
          <w:kern w:val="1"/>
          <w:lang w:val="fr-FR"/>
        </w:rPr>
        <w:t>imposition de peines privatives de liberté</w:t>
      </w:r>
      <w:r w:rsidRPr="00191307">
        <w:rPr>
          <w:rFonts w:eastAsia="Calibri"/>
          <w:noProof/>
          <w:kern w:val="1"/>
          <w:lang w:val="fr-FR"/>
        </w:rPr>
        <w:t xml:space="preserve">. </w:t>
      </w:r>
      <w:r>
        <w:rPr>
          <w:rFonts w:eastAsia="Calibri"/>
          <w:noProof/>
          <w:lang w:val="fr-FR"/>
        </w:rPr>
        <w:t>Dans le cadre de cette mission, l</w:t>
      </w:r>
      <w:r w:rsidR="00607CA3">
        <w:rPr>
          <w:rFonts w:eastAsia="Calibri"/>
          <w:noProof/>
          <w:lang w:val="fr-FR"/>
        </w:rPr>
        <w:t>’</w:t>
      </w:r>
      <w:r>
        <w:rPr>
          <w:rFonts w:eastAsia="Calibri"/>
          <w:noProof/>
          <w:lang w:val="fr-FR"/>
        </w:rPr>
        <w:t xml:space="preserve">Uruguay participe au programme </w:t>
      </w:r>
      <w:r w:rsidRPr="00191307">
        <w:rPr>
          <w:rFonts w:eastAsia="Calibri"/>
          <w:noProof/>
          <w:lang w:val="fr-FR"/>
        </w:rPr>
        <w:t xml:space="preserve">PAcCTO, </w:t>
      </w:r>
      <w:r>
        <w:rPr>
          <w:rFonts w:eastAsia="Calibri"/>
          <w:noProof/>
          <w:lang w:val="fr-FR"/>
        </w:rPr>
        <w:t xml:space="preserve">qui est un </w:t>
      </w:r>
      <w:r w:rsidRPr="00191307">
        <w:rPr>
          <w:rFonts w:eastAsia="Calibri"/>
          <w:noProof/>
          <w:lang w:val="fr-FR"/>
        </w:rPr>
        <w:t>program</w:t>
      </w:r>
      <w:r>
        <w:rPr>
          <w:rFonts w:eastAsia="Calibri"/>
          <w:noProof/>
          <w:lang w:val="fr-FR"/>
        </w:rPr>
        <w:t>me</w:t>
      </w:r>
      <w:r w:rsidRPr="00191307">
        <w:rPr>
          <w:rFonts w:eastAsia="Calibri"/>
          <w:noProof/>
          <w:lang w:val="fr-FR"/>
        </w:rPr>
        <w:t xml:space="preserve"> de coop</w:t>
      </w:r>
      <w:r>
        <w:rPr>
          <w:rFonts w:eastAsia="Calibri"/>
          <w:noProof/>
          <w:lang w:val="fr-FR"/>
        </w:rPr>
        <w:t xml:space="preserve">ération </w:t>
      </w:r>
      <w:r w:rsidRPr="00191307">
        <w:rPr>
          <w:rFonts w:eastAsia="Calibri"/>
          <w:noProof/>
          <w:lang w:val="fr-FR"/>
        </w:rPr>
        <w:t>interna</w:t>
      </w:r>
      <w:r>
        <w:rPr>
          <w:rFonts w:eastAsia="Calibri"/>
          <w:noProof/>
          <w:lang w:val="fr-FR"/>
        </w:rPr>
        <w:t>tionale entre l</w:t>
      </w:r>
      <w:r w:rsidR="00607CA3">
        <w:rPr>
          <w:rFonts w:eastAsia="Calibri"/>
          <w:noProof/>
          <w:lang w:val="fr-FR"/>
        </w:rPr>
        <w:t>’</w:t>
      </w:r>
      <w:r>
        <w:rPr>
          <w:rFonts w:eastAsia="Calibri"/>
          <w:noProof/>
          <w:lang w:val="fr-FR"/>
        </w:rPr>
        <w:t>Union européenne et l</w:t>
      </w:r>
      <w:r w:rsidR="00607CA3">
        <w:rPr>
          <w:rFonts w:eastAsia="Calibri"/>
          <w:noProof/>
          <w:lang w:val="fr-FR"/>
        </w:rPr>
        <w:t>’</w:t>
      </w:r>
      <w:r>
        <w:rPr>
          <w:rFonts w:eastAsia="Calibri"/>
          <w:noProof/>
          <w:lang w:val="fr-FR"/>
        </w:rPr>
        <w:t>Amérique latine se fixant comme objectif l</w:t>
      </w:r>
      <w:r w:rsidR="00607CA3">
        <w:rPr>
          <w:rFonts w:eastAsia="Calibri"/>
          <w:noProof/>
          <w:lang w:val="fr-FR"/>
        </w:rPr>
        <w:t>’</w:t>
      </w:r>
      <w:r>
        <w:rPr>
          <w:rFonts w:eastAsia="Calibri"/>
          <w:noProof/>
          <w:lang w:val="fr-FR"/>
        </w:rPr>
        <w:t>échange de données d</w:t>
      </w:r>
      <w:r w:rsidR="00607CA3">
        <w:rPr>
          <w:rFonts w:eastAsia="Calibri"/>
          <w:noProof/>
          <w:lang w:val="fr-FR"/>
        </w:rPr>
        <w:t>’</w:t>
      </w:r>
      <w:r>
        <w:rPr>
          <w:rFonts w:eastAsia="Calibri"/>
          <w:noProof/>
          <w:lang w:val="fr-FR"/>
        </w:rPr>
        <w:t>expérience et de bonnes pratiques dans la lutte contre la criminalité organisée ainsi que la formation à l</w:t>
      </w:r>
      <w:r w:rsidR="00607CA3">
        <w:rPr>
          <w:rFonts w:eastAsia="Calibri"/>
          <w:noProof/>
          <w:lang w:val="fr-FR"/>
        </w:rPr>
        <w:t>’</w:t>
      </w:r>
      <w:r>
        <w:rPr>
          <w:rFonts w:eastAsia="Calibri"/>
          <w:noProof/>
          <w:lang w:val="fr-FR"/>
        </w:rPr>
        <w:t>application et au suivi des mesures alternatives à l</w:t>
      </w:r>
      <w:r w:rsidR="00607CA3">
        <w:rPr>
          <w:rFonts w:eastAsia="Calibri"/>
          <w:noProof/>
          <w:lang w:val="fr-FR"/>
        </w:rPr>
        <w:t>’</w:t>
      </w:r>
      <w:r>
        <w:rPr>
          <w:rFonts w:eastAsia="Calibri"/>
          <w:noProof/>
          <w:lang w:val="fr-FR"/>
        </w:rPr>
        <w:t>emprisonnement. L</w:t>
      </w:r>
      <w:r w:rsidR="00607CA3">
        <w:rPr>
          <w:rFonts w:eastAsia="Calibri"/>
          <w:noProof/>
          <w:lang w:val="fr-FR"/>
        </w:rPr>
        <w:t>’</w:t>
      </w:r>
      <w:r>
        <w:rPr>
          <w:rFonts w:eastAsia="Calibri"/>
          <w:noProof/>
          <w:lang w:val="fr-FR"/>
        </w:rPr>
        <w:t>Uruguay a participé à deux ateliers régionaux, dont l</w:t>
      </w:r>
      <w:r w:rsidR="00607CA3">
        <w:rPr>
          <w:rFonts w:eastAsia="Calibri"/>
          <w:noProof/>
          <w:lang w:val="fr-FR"/>
        </w:rPr>
        <w:t>’</w:t>
      </w:r>
      <w:r>
        <w:rPr>
          <w:rFonts w:eastAsia="Calibri"/>
          <w:noProof/>
          <w:lang w:val="fr-FR"/>
        </w:rPr>
        <w:t>un, à Brasilia, portait sur la lutte contre l</w:t>
      </w:r>
      <w:r w:rsidR="00607CA3">
        <w:rPr>
          <w:rFonts w:eastAsia="Calibri"/>
          <w:noProof/>
          <w:lang w:val="fr-FR"/>
        </w:rPr>
        <w:t>’</w:t>
      </w:r>
      <w:r>
        <w:rPr>
          <w:rFonts w:eastAsia="Calibri"/>
          <w:noProof/>
          <w:lang w:val="fr-FR"/>
        </w:rPr>
        <w:t xml:space="preserve">infiltration du système pénitentiaire par </w:t>
      </w:r>
      <w:r w:rsidRPr="00191307">
        <w:rPr>
          <w:rFonts w:eastAsia="Calibri"/>
          <w:noProof/>
          <w:kern w:val="1"/>
          <w:lang w:val="fr-FR"/>
        </w:rPr>
        <w:t>la criminali</w:t>
      </w:r>
      <w:r>
        <w:rPr>
          <w:rFonts w:eastAsia="Calibri"/>
          <w:noProof/>
          <w:kern w:val="1"/>
          <w:lang w:val="fr-FR"/>
        </w:rPr>
        <w:t>té organisée et l</w:t>
      </w:r>
      <w:r w:rsidR="00607CA3">
        <w:rPr>
          <w:rFonts w:eastAsia="Calibri"/>
          <w:noProof/>
          <w:kern w:val="1"/>
          <w:lang w:val="fr-FR"/>
        </w:rPr>
        <w:t>’</w:t>
      </w:r>
      <w:r>
        <w:rPr>
          <w:rFonts w:eastAsia="Calibri"/>
          <w:noProof/>
          <w:kern w:val="1"/>
          <w:lang w:val="fr-FR"/>
        </w:rPr>
        <w:t>autre, tenu au Panama, sur l</w:t>
      </w:r>
      <w:r w:rsidR="00607CA3">
        <w:rPr>
          <w:rFonts w:eastAsia="Calibri"/>
          <w:noProof/>
          <w:kern w:val="1"/>
          <w:lang w:val="fr-FR"/>
        </w:rPr>
        <w:t>’</w:t>
      </w:r>
      <w:r>
        <w:rPr>
          <w:rFonts w:eastAsia="Calibri"/>
          <w:noProof/>
          <w:kern w:val="1"/>
          <w:lang w:val="fr-FR"/>
        </w:rPr>
        <w:t>exécution de mesures alternatives à l</w:t>
      </w:r>
      <w:r w:rsidR="00607CA3">
        <w:rPr>
          <w:rFonts w:eastAsia="Calibri"/>
          <w:noProof/>
          <w:kern w:val="1"/>
          <w:lang w:val="fr-FR"/>
        </w:rPr>
        <w:t>’</w:t>
      </w:r>
      <w:r>
        <w:rPr>
          <w:rFonts w:eastAsia="Calibri"/>
          <w:noProof/>
          <w:kern w:val="1"/>
          <w:lang w:val="fr-FR"/>
        </w:rPr>
        <w:t>emprisonnement</w:t>
      </w:r>
      <w:r w:rsidRPr="00191307">
        <w:rPr>
          <w:rFonts w:eastAsia="Calibri"/>
          <w:noProof/>
          <w:kern w:val="1"/>
          <w:lang w:val="fr-FR"/>
        </w:rPr>
        <w:t xml:space="preserve">. </w:t>
      </w:r>
      <w:r>
        <w:rPr>
          <w:rFonts w:eastAsia="Calibri"/>
          <w:noProof/>
          <w:kern w:val="1"/>
          <w:lang w:val="fr-FR"/>
        </w:rPr>
        <w:t xml:space="preserve">Dans le cadre du </w:t>
      </w:r>
      <w:r w:rsidRPr="00191307">
        <w:rPr>
          <w:rFonts w:eastAsia="Calibri"/>
          <w:noProof/>
          <w:kern w:val="1"/>
          <w:lang w:val="fr-FR"/>
        </w:rPr>
        <w:t>program</w:t>
      </w:r>
      <w:r>
        <w:rPr>
          <w:rFonts w:eastAsia="Calibri"/>
          <w:noProof/>
          <w:kern w:val="1"/>
          <w:lang w:val="fr-FR"/>
        </w:rPr>
        <w:t>me</w:t>
      </w:r>
      <w:r w:rsidRPr="00191307">
        <w:rPr>
          <w:rFonts w:eastAsia="Calibri"/>
          <w:noProof/>
          <w:kern w:val="1"/>
          <w:lang w:val="fr-FR"/>
        </w:rPr>
        <w:t xml:space="preserve"> PAcCTO</w:t>
      </w:r>
      <w:r>
        <w:rPr>
          <w:rFonts w:eastAsia="Calibri"/>
          <w:noProof/>
          <w:kern w:val="1"/>
          <w:lang w:val="fr-FR"/>
        </w:rPr>
        <w:t>, la prochaine rencontre régionale sur l</w:t>
      </w:r>
      <w:r w:rsidR="00607CA3">
        <w:rPr>
          <w:rFonts w:eastAsia="Calibri"/>
          <w:noProof/>
          <w:kern w:val="1"/>
          <w:lang w:val="fr-FR"/>
        </w:rPr>
        <w:t>’</w:t>
      </w:r>
      <w:r>
        <w:rPr>
          <w:rFonts w:eastAsia="Calibri"/>
          <w:noProof/>
          <w:kern w:val="1"/>
          <w:lang w:val="fr-FR"/>
        </w:rPr>
        <w:t>application des mesures alternatives à l</w:t>
      </w:r>
      <w:r w:rsidR="00607CA3">
        <w:rPr>
          <w:rFonts w:eastAsia="Calibri"/>
          <w:noProof/>
          <w:kern w:val="1"/>
          <w:lang w:val="fr-FR"/>
        </w:rPr>
        <w:t>’</w:t>
      </w:r>
      <w:r>
        <w:rPr>
          <w:rFonts w:eastAsia="Calibri"/>
          <w:noProof/>
          <w:kern w:val="1"/>
          <w:lang w:val="fr-FR"/>
        </w:rPr>
        <w:t xml:space="preserve">emprisonnement se tiendra en Uruguay en </w:t>
      </w:r>
      <w:r w:rsidRPr="00191307">
        <w:rPr>
          <w:rFonts w:eastAsia="Calibri"/>
          <w:noProof/>
          <w:kern w:val="1"/>
          <w:lang w:val="fr-FR"/>
        </w:rPr>
        <w:t>novembre 2018.</w:t>
      </w:r>
    </w:p>
    <w:p w:rsidR="00596826" w:rsidRPr="00191307" w:rsidRDefault="00596826" w:rsidP="00596826">
      <w:pPr>
        <w:pStyle w:val="SingleTxtG"/>
        <w:rPr>
          <w:rFonts w:eastAsia="Calibri"/>
          <w:noProof/>
          <w:kern w:val="1"/>
          <w:lang w:val="fr-FR"/>
        </w:rPr>
      </w:pPr>
      <w:r w:rsidRPr="00191307">
        <w:rPr>
          <w:rFonts w:eastAsia="Calibri"/>
          <w:noProof/>
          <w:kern w:val="1"/>
          <w:lang w:val="fr-FR"/>
        </w:rPr>
        <w:t>131.</w:t>
      </w:r>
      <w:r w:rsidRPr="00191307">
        <w:rPr>
          <w:rFonts w:eastAsia="Calibri"/>
          <w:noProof/>
          <w:kern w:val="1"/>
          <w:lang w:val="fr-FR"/>
        </w:rPr>
        <w:tab/>
      </w:r>
      <w:r w:rsidRPr="00B376D5">
        <w:rPr>
          <w:noProof/>
          <w:lang w:val="fr-FR"/>
        </w:rPr>
        <w:t>En ce qui concerne le travail des personnes détenues dans les centres pénitentiaires, en 2015, un pôle agricole a été créé à Canelones, dans lequel un groupe de détenus travaillent sous un régime de sécurité minimale. Leur tâche consiste principalement à cultiver des légumes qui sont utilisés quotidiennement pour nourrir les détenus des différents centres du système et le personnel pénitentiaire. À cela s</w:t>
      </w:r>
      <w:r w:rsidR="00607CA3">
        <w:rPr>
          <w:noProof/>
          <w:lang w:val="fr-FR"/>
        </w:rPr>
        <w:t>’</w:t>
      </w:r>
      <w:r w:rsidRPr="00B376D5">
        <w:rPr>
          <w:noProof/>
          <w:lang w:val="fr-FR"/>
        </w:rPr>
        <w:t>ajoutent la production de produits laitiers et l</w:t>
      </w:r>
      <w:r w:rsidR="00607CA3">
        <w:rPr>
          <w:noProof/>
          <w:lang w:val="fr-FR"/>
        </w:rPr>
        <w:t>’</w:t>
      </w:r>
      <w:r w:rsidRPr="00B376D5">
        <w:rPr>
          <w:noProof/>
          <w:lang w:val="fr-FR"/>
        </w:rPr>
        <w:t>élevage d</w:t>
      </w:r>
      <w:r w:rsidR="00607CA3">
        <w:rPr>
          <w:noProof/>
          <w:lang w:val="fr-FR"/>
        </w:rPr>
        <w:t>’</w:t>
      </w:r>
      <w:r w:rsidRPr="00B376D5">
        <w:rPr>
          <w:noProof/>
          <w:lang w:val="fr-FR"/>
        </w:rPr>
        <w:t>animaux dans certains</w:t>
      </w:r>
      <w:r w:rsidRPr="00411326">
        <w:t xml:space="preserve"> centres</w:t>
      </w:r>
      <w:r w:rsidRPr="00191307">
        <w:rPr>
          <w:rFonts w:eastAsia="Calibri"/>
          <w:noProof/>
          <w:kern w:val="1"/>
          <w:lang w:val="fr-FR"/>
        </w:rPr>
        <w:t xml:space="preserve">. </w:t>
      </w:r>
      <w:r>
        <w:rPr>
          <w:rFonts w:eastAsia="Calibri"/>
          <w:noProof/>
          <w:kern w:val="1"/>
          <w:lang w:val="fr-FR"/>
        </w:rPr>
        <w:t>Dans le courant de l</w:t>
      </w:r>
      <w:r w:rsidR="00607CA3">
        <w:rPr>
          <w:rFonts w:eastAsia="Calibri"/>
          <w:noProof/>
          <w:kern w:val="1"/>
          <w:lang w:val="fr-FR"/>
        </w:rPr>
        <w:t>’</w:t>
      </w:r>
      <w:r>
        <w:rPr>
          <w:rFonts w:eastAsia="Calibri"/>
          <w:noProof/>
          <w:kern w:val="1"/>
          <w:lang w:val="fr-FR"/>
        </w:rPr>
        <w:t xml:space="preserve">année </w:t>
      </w:r>
      <w:r w:rsidRPr="00191307">
        <w:rPr>
          <w:rFonts w:eastAsia="Calibri"/>
          <w:noProof/>
          <w:kern w:val="1"/>
          <w:lang w:val="fr-FR"/>
        </w:rPr>
        <w:t>2017</w:t>
      </w:r>
      <w:r>
        <w:rPr>
          <w:rFonts w:eastAsia="Calibri"/>
          <w:noProof/>
          <w:kern w:val="1"/>
          <w:lang w:val="fr-FR"/>
        </w:rPr>
        <w:t xml:space="preserve">, on a augmenté le nombre de postes de travail pour les détenus des différents centres, dont la proportion est passée de </w:t>
      </w:r>
      <w:r w:rsidRPr="00191307">
        <w:rPr>
          <w:rFonts w:eastAsia="Calibri"/>
          <w:noProof/>
          <w:kern w:val="1"/>
          <w:lang w:val="fr-FR"/>
        </w:rPr>
        <w:t xml:space="preserve">35,5 % en 2016 </w:t>
      </w:r>
      <w:r>
        <w:rPr>
          <w:rFonts w:eastAsia="Calibri"/>
          <w:noProof/>
          <w:kern w:val="1"/>
          <w:lang w:val="fr-FR"/>
        </w:rPr>
        <w:t>à</w:t>
      </w:r>
      <w:r w:rsidRPr="00191307">
        <w:rPr>
          <w:rFonts w:eastAsia="Calibri"/>
          <w:noProof/>
          <w:kern w:val="1"/>
          <w:lang w:val="fr-FR"/>
        </w:rPr>
        <w:t xml:space="preserve"> 46,5 % </w:t>
      </w:r>
      <w:r>
        <w:rPr>
          <w:rFonts w:eastAsia="Calibri"/>
          <w:noProof/>
          <w:kern w:val="1"/>
          <w:lang w:val="fr-FR"/>
        </w:rPr>
        <w:t xml:space="preserve">en </w:t>
      </w:r>
      <w:r w:rsidRPr="00191307">
        <w:rPr>
          <w:rFonts w:eastAsia="Calibri"/>
          <w:noProof/>
          <w:kern w:val="1"/>
          <w:lang w:val="fr-FR"/>
        </w:rPr>
        <w:t>d</w:t>
      </w:r>
      <w:r>
        <w:rPr>
          <w:rFonts w:eastAsia="Calibri"/>
          <w:noProof/>
          <w:kern w:val="1"/>
          <w:lang w:val="fr-FR"/>
        </w:rPr>
        <w:t>é</w:t>
      </w:r>
      <w:r w:rsidRPr="00191307">
        <w:rPr>
          <w:rFonts w:eastAsia="Calibri"/>
          <w:noProof/>
          <w:kern w:val="1"/>
          <w:lang w:val="fr-FR"/>
        </w:rPr>
        <w:t xml:space="preserve">cembre 2017. </w:t>
      </w:r>
      <w:r>
        <w:rPr>
          <w:rFonts w:eastAsia="Calibri"/>
          <w:noProof/>
          <w:kern w:val="1"/>
          <w:lang w:val="fr-FR"/>
        </w:rPr>
        <w:t>L</w:t>
      </w:r>
      <w:r w:rsidR="00607CA3">
        <w:rPr>
          <w:rFonts w:eastAsia="Calibri"/>
          <w:noProof/>
          <w:kern w:val="1"/>
          <w:lang w:val="fr-FR"/>
        </w:rPr>
        <w:t>’</w:t>
      </w:r>
      <w:r>
        <w:rPr>
          <w:rFonts w:eastAsia="Calibri"/>
          <w:noProof/>
          <w:kern w:val="1"/>
          <w:lang w:val="fr-FR"/>
        </w:rPr>
        <w:t xml:space="preserve">une des raisons </w:t>
      </w:r>
      <w:r w:rsidRPr="00191307">
        <w:rPr>
          <w:rFonts w:eastAsia="Calibri"/>
          <w:noProof/>
          <w:kern w:val="1"/>
          <w:lang w:val="fr-FR"/>
        </w:rPr>
        <w:t xml:space="preserve">importantes </w:t>
      </w:r>
      <w:r>
        <w:rPr>
          <w:rFonts w:eastAsia="Calibri"/>
          <w:noProof/>
          <w:kern w:val="1"/>
          <w:lang w:val="fr-FR"/>
        </w:rPr>
        <w:t xml:space="preserve">de cette augmentation a été la conclusion de nouveaux accords et </w:t>
      </w:r>
      <w:r>
        <w:rPr>
          <w:rFonts w:eastAsia="Calibri"/>
          <w:noProof/>
          <w:lang w:val="fr-FR"/>
        </w:rPr>
        <w:t xml:space="preserve">la </w:t>
      </w:r>
      <w:r>
        <w:rPr>
          <w:rFonts w:eastAsia="Calibri"/>
          <w:noProof/>
          <w:lang w:val="fr-FR"/>
        </w:rPr>
        <w:lastRenderedPageBreak/>
        <w:t>création et la mise en place des</w:t>
      </w:r>
      <w:r w:rsidRPr="00191307">
        <w:rPr>
          <w:rFonts w:eastAsia="Calibri"/>
          <w:noProof/>
          <w:lang w:val="fr-FR"/>
        </w:rPr>
        <w:t xml:space="preserve"> Brigad</w:t>
      </w:r>
      <w:r>
        <w:rPr>
          <w:rFonts w:eastAsia="Calibri"/>
          <w:noProof/>
          <w:lang w:val="fr-FR"/>
        </w:rPr>
        <w:t>e</w:t>
      </w:r>
      <w:r w:rsidRPr="00191307">
        <w:rPr>
          <w:rFonts w:eastAsia="Calibri"/>
          <w:noProof/>
          <w:lang w:val="fr-FR"/>
        </w:rPr>
        <w:t>s d</w:t>
      </w:r>
      <w:r w:rsidR="00607CA3">
        <w:rPr>
          <w:rFonts w:eastAsia="Calibri"/>
          <w:noProof/>
          <w:lang w:val="fr-FR"/>
        </w:rPr>
        <w:t>’</w:t>
      </w:r>
      <w:r>
        <w:rPr>
          <w:rFonts w:eastAsia="Calibri"/>
          <w:noProof/>
          <w:lang w:val="fr-FR"/>
        </w:rPr>
        <w:t>action citoyenne</w:t>
      </w:r>
      <w:r>
        <w:rPr>
          <w:rFonts w:eastAsia="Calibri"/>
          <w:noProof/>
          <w:kern w:val="1"/>
          <w:lang w:val="fr-FR"/>
        </w:rPr>
        <w:t xml:space="preserve"> dans tous les centres pénitentiaires</w:t>
      </w:r>
      <w:r w:rsidRPr="00191307">
        <w:rPr>
          <w:rFonts w:eastAsia="Calibri"/>
          <w:noProof/>
          <w:kern w:val="1"/>
          <w:lang w:val="fr-FR"/>
        </w:rPr>
        <w:t xml:space="preserve">. </w:t>
      </w:r>
      <w:r>
        <w:rPr>
          <w:rFonts w:eastAsia="Calibri"/>
          <w:noProof/>
          <w:kern w:val="1"/>
          <w:lang w:val="fr-FR"/>
        </w:rPr>
        <w:t>Par ailleurs, aux deux pôles industriels (un pour les hommes et l</w:t>
      </w:r>
      <w:r w:rsidR="00607CA3">
        <w:rPr>
          <w:rFonts w:eastAsia="Calibri"/>
          <w:noProof/>
          <w:kern w:val="1"/>
          <w:lang w:val="fr-FR"/>
        </w:rPr>
        <w:t>’</w:t>
      </w:r>
      <w:r>
        <w:rPr>
          <w:rFonts w:eastAsia="Calibri"/>
          <w:noProof/>
          <w:kern w:val="1"/>
          <w:lang w:val="fr-FR"/>
        </w:rPr>
        <w:t>autre pour les femmes) existants est venu s</w:t>
      </w:r>
      <w:r w:rsidR="00607CA3">
        <w:rPr>
          <w:rFonts w:eastAsia="Calibri"/>
          <w:noProof/>
          <w:kern w:val="1"/>
          <w:lang w:val="fr-FR"/>
        </w:rPr>
        <w:t>’</w:t>
      </w:r>
      <w:r>
        <w:rPr>
          <w:rFonts w:eastAsia="Calibri"/>
          <w:noProof/>
          <w:kern w:val="1"/>
          <w:lang w:val="fr-FR"/>
        </w:rPr>
        <w:t xml:space="preserve">ajouter le pôle industriel de </w:t>
      </w:r>
      <w:r w:rsidRPr="00191307">
        <w:rPr>
          <w:rFonts w:eastAsia="Calibri"/>
          <w:noProof/>
          <w:kern w:val="1"/>
          <w:lang w:val="fr-FR"/>
        </w:rPr>
        <w:t>Salto.</w:t>
      </w:r>
    </w:p>
    <w:p w:rsidR="00596826" w:rsidRPr="00191307" w:rsidRDefault="00596826" w:rsidP="00596826">
      <w:pPr>
        <w:pStyle w:val="SingleTxtG"/>
        <w:rPr>
          <w:rFonts w:eastAsia="Calibri"/>
          <w:noProof/>
          <w:lang w:val="fr-FR"/>
        </w:rPr>
      </w:pPr>
      <w:r w:rsidRPr="00191307">
        <w:rPr>
          <w:rFonts w:eastAsia="Calibri"/>
          <w:noProof/>
          <w:kern w:val="1"/>
          <w:lang w:val="fr-FR"/>
        </w:rPr>
        <w:t>132.</w:t>
      </w:r>
      <w:r w:rsidRPr="00191307">
        <w:rPr>
          <w:rFonts w:eastAsia="Calibri"/>
          <w:noProof/>
          <w:kern w:val="1"/>
          <w:lang w:val="fr-FR"/>
        </w:rPr>
        <w:tab/>
      </w:r>
      <w:r w:rsidRPr="00E67256">
        <w:rPr>
          <w:noProof/>
          <w:lang w:val="fr-FR"/>
        </w:rPr>
        <w:t>Pour ce qui est de l</w:t>
      </w:r>
      <w:r w:rsidR="00607CA3">
        <w:rPr>
          <w:noProof/>
          <w:lang w:val="fr-FR"/>
        </w:rPr>
        <w:t>’</w:t>
      </w:r>
      <w:r w:rsidRPr="00E67256">
        <w:rPr>
          <w:noProof/>
          <w:lang w:val="fr-FR"/>
        </w:rPr>
        <w:t>apprentissage, en mars 2018, 47</w:t>
      </w:r>
      <w:r w:rsidR="00527502">
        <w:rPr>
          <w:noProof/>
          <w:lang w:val="fr-FR"/>
        </w:rPr>
        <w:t> </w:t>
      </w:r>
      <w:r w:rsidRPr="00E67256">
        <w:rPr>
          <w:noProof/>
          <w:lang w:val="fr-FR"/>
        </w:rPr>
        <w:t>% des personnes détenues faisaient des études. Parmi celles-ci, 32</w:t>
      </w:r>
      <w:r w:rsidR="00527502">
        <w:rPr>
          <w:noProof/>
          <w:lang w:val="fr-FR"/>
        </w:rPr>
        <w:t> </w:t>
      </w:r>
      <w:r w:rsidRPr="00E67256">
        <w:rPr>
          <w:noProof/>
          <w:lang w:val="fr-FR"/>
        </w:rPr>
        <w:t>% suivaient une éducation formelle et 14</w:t>
      </w:r>
      <w:r w:rsidR="00527502">
        <w:rPr>
          <w:noProof/>
          <w:lang w:val="fr-FR"/>
        </w:rPr>
        <w:t> </w:t>
      </w:r>
      <w:r w:rsidRPr="00E67256">
        <w:rPr>
          <w:noProof/>
          <w:lang w:val="fr-FR"/>
        </w:rPr>
        <w:t>% une éducation non formelle</w:t>
      </w:r>
      <w:r>
        <w:rPr>
          <w:noProof/>
          <w:lang w:val="fr-FR"/>
        </w:rPr>
        <w:t xml:space="preserve">, et </w:t>
      </w:r>
      <w:r w:rsidRPr="00191307">
        <w:rPr>
          <w:rFonts w:eastAsia="Calibri"/>
          <w:noProof/>
          <w:kern w:val="1"/>
          <w:lang w:val="fr-FR"/>
        </w:rPr>
        <w:t>90 % son</w:t>
      </w:r>
      <w:r>
        <w:rPr>
          <w:rFonts w:eastAsia="Calibri"/>
          <w:noProof/>
          <w:kern w:val="1"/>
          <w:lang w:val="fr-FR"/>
        </w:rPr>
        <w:t xml:space="preserve">t des hommes et </w:t>
      </w:r>
      <w:r w:rsidRPr="00191307">
        <w:rPr>
          <w:rFonts w:eastAsia="Calibri"/>
          <w:noProof/>
          <w:kern w:val="1"/>
          <w:lang w:val="fr-FR"/>
        </w:rPr>
        <w:t xml:space="preserve">10 % </w:t>
      </w:r>
      <w:r>
        <w:rPr>
          <w:rFonts w:eastAsia="Calibri"/>
          <w:noProof/>
          <w:kern w:val="1"/>
          <w:lang w:val="fr-FR"/>
        </w:rPr>
        <w:t>des femmes</w:t>
      </w:r>
      <w:r w:rsidRPr="00191307">
        <w:rPr>
          <w:rFonts w:eastAsia="Calibri"/>
          <w:noProof/>
          <w:kern w:val="1"/>
          <w:lang w:val="fr-FR"/>
        </w:rPr>
        <w:t xml:space="preserve">. </w:t>
      </w:r>
      <w:r w:rsidRPr="00191307">
        <w:rPr>
          <w:rFonts w:eastAsia="Calibri"/>
          <w:noProof/>
          <w:lang w:val="fr-FR"/>
        </w:rPr>
        <w:t>La Direc</w:t>
      </w:r>
      <w:r>
        <w:rPr>
          <w:rFonts w:eastAsia="Calibri"/>
          <w:noProof/>
          <w:lang w:val="fr-FR"/>
        </w:rPr>
        <w:t>tion s</w:t>
      </w:r>
      <w:r w:rsidRPr="00191307">
        <w:rPr>
          <w:rFonts w:eastAsia="Calibri"/>
          <w:noProof/>
          <w:lang w:val="fr-FR"/>
        </w:rPr>
        <w:t>ectori</w:t>
      </w:r>
      <w:r>
        <w:rPr>
          <w:rFonts w:eastAsia="Calibri"/>
          <w:noProof/>
          <w:lang w:val="fr-FR"/>
        </w:rPr>
        <w:t>elle de l</w:t>
      </w:r>
      <w:r w:rsidR="00607CA3">
        <w:rPr>
          <w:rFonts w:eastAsia="Calibri"/>
          <w:noProof/>
          <w:lang w:val="fr-FR"/>
        </w:rPr>
        <w:t>’</w:t>
      </w:r>
      <w:r>
        <w:rPr>
          <w:rFonts w:eastAsia="Calibri"/>
          <w:noProof/>
          <w:lang w:val="fr-FR"/>
        </w:rPr>
        <w:t>é</w:t>
      </w:r>
      <w:r w:rsidRPr="00191307">
        <w:rPr>
          <w:rFonts w:eastAsia="Calibri"/>
          <w:noProof/>
          <w:lang w:val="fr-FR"/>
        </w:rPr>
        <w:t>duca</w:t>
      </w:r>
      <w:r>
        <w:rPr>
          <w:rFonts w:eastAsia="Calibri"/>
          <w:noProof/>
          <w:lang w:val="fr-FR"/>
        </w:rPr>
        <w:t xml:space="preserve">tion des jeunes et des adultes </w:t>
      </w:r>
      <w:r w:rsidRPr="00191307">
        <w:rPr>
          <w:rFonts w:eastAsia="Calibri"/>
          <w:noProof/>
          <w:lang w:val="fr-FR"/>
        </w:rPr>
        <w:t xml:space="preserve">de </w:t>
      </w:r>
      <w:r w:rsidRPr="000C5EBE">
        <w:rPr>
          <w:noProof/>
          <w:lang w:val="fr-FR"/>
        </w:rPr>
        <w:t>l</w:t>
      </w:r>
      <w:r w:rsidR="00607CA3">
        <w:rPr>
          <w:noProof/>
          <w:lang w:val="fr-FR"/>
        </w:rPr>
        <w:t>’</w:t>
      </w:r>
      <w:r w:rsidRPr="000C5EBE">
        <w:rPr>
          <w:noProof/>
          <w:lang w:val="fr-FR"/>
        </w:rPr>
        <w:t>Administration nationale de l</w:t>
      </w:r>
      <w:r w:rsidR="00607CA3">
        <w:rPr>
          <w:noProof/>
          <w:lang w:val="fr-FR"/>
        </w:rPr>
        <w:t>’</w:t>
      </w:r>
      <w:r w:rsidRPr="000C5EBE">
        <w:rPr>
          <w:noProof/>
          <w:lang w:val="fr-FR"/>
        </w:rPr>
        <w:t>enseignement public</w:t>
      </w:r>
      <w:r w:rsidRPr="00411326">
        <w:t xml:space="preserve"> </w:t>
      </w:r>
      <w:r w:rsidRPr="00191307">
        <w:rPr>
          <w:rFonts w:eastAsia="Calibri"/>
          <w:noProof/>
          <w:lang w:val="fr-FR"/>
        </w:rPr>
        <w:t xml:space="preserve">(ANEP) </w:t>
      </w:r>
      <w:r>
        <w:rPr>
          <w:rFonts w:eastAsia="Calibri"/>
          <w:noProof/>
          <w:lang w:val="fr-FR"/>
        </w:rPr>
        <w:t>envisage de di</w:t>
      </w:r>
      <w:r w:rsidRPr="00191307">
        <w:rPr>
          <w:rFonts w:eastAsia="Calibri"/>
          <w:noProof/>
          <w:lang w:val="fr-FR"/>
        </w:rPr>
        <w:t>minu</w:t>
      </w:r>
      <w:r>
        <w:rPr>
          <w:rFonts w:eastAsia="Calibri"/>
          <w:noProof/>
          <w:lang w:val="fr-FR"/>
        </w:rPr>
        <w:t>e</w:t>
      </w:r>
      <w:r w:rsidRPr="00191307">
        <w:rPr>
          <w:rFonts w:eastAsia="Calibri"/>
          <w:noProof/>
          <w:lang w:val="fr-FR"/>
        </w:rPr>
        <w:t>r la vuln</w:t>
      </w:r>
      <w:r>
        <w:rPr>
          <w:rFonts w:eastAsia="Calibri"/>
          <w:noProof/>
          <w:lang w:val="fr-FR"/>
        </w:rPr>
        <w:t>é</w:t>
      </w:r>
      <w:r w:rsidRPr="00191307">
        <w:rPr>
          <w:rFonts w:eastAsia="Calibri"/>
          <w:noProof/>
          <w:lang w:val="fr-FR"/>
        </w:rPr>
        <w:t>rabili</w:t>
      </w:r>
      <w:r>
        <w:rPr>
          <w:rFonts w:eastAsia="Calibri"/>
          <w:noProof/>
          <w:lang w:val="fr-FR"/>
        </w:rPr>
        <w:t>té de la population carcérale</w:t>
      </w:r>
      <w:r w:rsidRPr="00191307">
        <w:rPr>
          <w:rFonts w:eastAsia="Calibri"/>
          <w:noProof/>
          <w:lang w:val="fr-FR"/>
        </w:rPr>
        <w:t xml:space="preserve">, </w:t>
      </w:r>
      <w:r>
        <w:rPr>
          <w:rFonts w:eastAsia="Calibri"/>
          <w:noProof/>
          <w:lang w:val="fr-FR"/>
        </w:rPr>
        <w:t>de permettre aux personnes privées de liberté d</w:t>
      </w:r>
      <w:r w:rsidR="00607CA3">
        <w:rPr>
          <w:rFonts w:eastAsia="Calibri"/>
          <w:noProof/>
          <w:lang w:val="fr-FR"/>
        </w:rPr>
        <w:t>’</w:t>
      </w:r>
      <w:r>
        <w:rPr>
          <w:rFonts w:eastAsia="Calibri"/>
          <w:noProof/>
          <w:lang w:val="fr-FR"/>
        </w:rPr>
        <w:t>achever leurs études primaires et de créer des outils d</w:t>
      </w:r>
      <w:r w:rsidR="00607CA3">
        <w:rPr>
          <w:rFonts w:eastAsia="Calibri"/>
          <w:noProof/>
          <w:lang w:val="fr-FR"/>
        </w:rPr>
        <w:t>’</w:t>
      </w:r>
      <w:r>
        <w:rPr>
          <w:rFonts w:eastAsia="Calibri"/>
          <w:noProof/>
          <w:lang w:val="fr-FR"/>
        </w:rPr>
        <w:t>insertion professionnelle et d</w:t>
      </w:r>
      <w:r w:rsidR="00607CA3">
        <w:rPr>
          <w:rFonts w:eastAsia="Calibri"/>
          <w:noProof/>
          <w:lang w:val="fr-FR"/>
        </w:rPr>
        <w:t>’</w:t>
      </w:r>
      <w:r>
        <w:rPr>
          <w:rFonts w:eastAsia="Calibri"/>
          <w:noProof/>
          <w:lang w:val="fr-FR"/>
        </w:rPr>
        <w:t>expression artistique</w:t>
      </w:r>
      <w:r w:rsidRPr="00191307">
        <w:rPr>
          <w:rFonts w:eastAsia="Calibri"/>
          <w:noProof/>
          <w:lang w:val="fr-FR"/>
        </w:rPr>
        <w:t xml:space="preserve">. </w:t>
      </w:r>
      <w:r>
        <w:rPr>
          <w:rFonts w:eastAsia="Calibri"/>
          <w:noProof/>
          <w:lang w:val="fr-FR"/>
        </w:rPr>
        <w:t>Elle cible les détenus qui n</w:t>
      </w:r>
      <w:r w:rsidR="00607CA3">
        <w:rPr>
          <w:rFonts w:eastAsia="Calibri"/>
          <w:noProof/>
          <w:lang w:val="fr-FR"/>
        </w:rPr>
        <w:t>’</w:t>
      </w:r>
      <w:r>
        <w:rPr>
          <w:rFonts w:eastAsia="Calibri"/>
          <w:noProof/>
          <w:lang w:val="fr-FR"/>
        </w:rPr>
        <w:t>ont pas terminé le cycle d</w:t>
      </w:r>
      <w:r w:rsidR="00607CA3">
        <w:rPr>
          <w:rFonts w:eastAsia="Calibri"/>
          <w:noProof/>
          <w:lang w:val="fr-FR"/>
        </w:rPr>
        <w:t>’</w:t>
      </w:r>
      <w:r>
        <w:rPr>
          <w:rFonts w:eastAsia="Calibri"/>
          <w:noProof/>
          <w:lang w:val="fr-FR"/>
        </w:rPr>
        <w:t>études primaires ou ceux qui, ayant ou non achevé ce cycle, souhaitent participer à des ateliers</w:t>
      </w:r>
      <w:r w:rsidRPr="00191307">
        <w:rPr>
          <w:rFonts w:eastAsia="Calibri"/>
          <w:noProof/>
          <w:lang w:val="fr-FR"/>
        </w:rPr>
        <w:t xml:space="preserve">. La </w:t>
      </w:r>
      <w:r>
        <w:rPr>
          <w:rFonts w:eastAsia="Calibri"/>
          <w:noProof/>
          <w:lang w:val="fr-FR"/>
        </w:rPr>
        <w:t>demande d</w:t>
      </w:r>
      <w:r w:rsidR="00607CA3">
        <w:rPr>
          <w:rFonts w:eastAsia="Calibri"/>
          <w:noProof/>
          <w:lang w:val="fr-FR"/>
        </w:rPr>
        <w:t>’</w:t>
      </w:r>
      <w:r>
        <w:rPr>
          <w:rFonts w:eastAsia="Calibri"/>
          <w:noProof/>
          <w:lang w:val="fr-FR"/>
        </w:rPr>
        <w:t>enseignants est transmise par les référents éducatifs des centres pénitentiaires</w:t>
      </w:r>
      <w:r w:rsidRPr="00191307">
        <w:rPr>
          <w:rFonts w:eastAsia="Calibri"/>
          <w:noProof/>
          <w:lang w:val="fr-FR"/>
        </w:rPr>
        <w:t>. En 2017</w:t>
      </w:r>
      <w:r>
        <w:rPr>
          <w:rFonts w:eastAsia="Calibri"/>
          <w:noProof/>
          <w:lang w:val="fr-FR"/>
        </w:rPr>
        <w:t>, 1 200 détenus ont suivi (</w:t>
      </w:r>
      <w:r w:rsidRPr="00191307">
        <w:rPr>
          <w:rFonts w:eastAsia="Calibri"/>
          <w:noProof/>
          <w:lang w:val="fr-FR"/>
        </w:rPr>
        <w:t xml:space="preserve">441 </w:t>
      </w:r>
      <w:r>
        <w:rPr>
          <w:rFonts w:eastAsia="Calibri"/>
          <w:noProof/>
          <w:lang w:val="fr-FR"/>
        </w:rPr>
        <w:t>avec succès) les cours correspondants</w:t>
      </w:r>
      <w:r w:rsidRPr="00191307">
        <w:rPr>
          <w:rFonts w:eastAsia="Calibri"/>
          <w:noProof/>
          <w:lang w:val="fr-FR"/>
        </w:rPr>
        <w:t xml:space="preserve"> </w:t>
      </w:r>
      <w:r>
        <w:rPr>
          <w:rFonts w:eastAsia="Calibri"/>
          <w:noProof/>
          <w:lang w:val="fr-FR"/>
        </w:rPr>
        <w:t>et l</w:t>
      </w:r>
      <w:r w:rsidR="00607CA3">
        <w:rPr>
          <w:rFonts w:eastAsia="Calibri"/>
          <w:noProof/>
          <w:lang w:val="fr-FR"/>
        </w:rPr>
        <w:t>’</w:t>
      </w:r>
      <w:r>
        <w:rPr>
          <w:rFonts w:eastAsia="Calibri"/>
          <w:noProof/>
          <w:lang w:val="fr-FR"/>
        </w:rPr>
        <w:t xml:space="preserve">objectif de 3 600 détenus a été fixé </w:t>
      </w:r>
      <w:r w:rsidRPr="00191307">
        <w:rPr>
          <w:rFonts w:eastAsia="Calibri"/>
          <w:noProof/>
          <w:lang w:val="fr-FR"/>
        </w:rPr>
        <w:t>p</w:t>
      </w:r>
      <w:r>
        <w:rPr>
          <w:rFonts w:eastAsia="Calibri"/>
          <w:noProof/>
          <w:lang w:val="fr-FR"/>
        </w:rPr>
        <w:t>our</w:t>
      </w:r>
      <w:r w:rsidRPr="00191307">
        <w:rPr>
          <w:rFonts w:eastAsia="Calibri"/>
          <w:noProof/>
          <w:lang w:val="fr-FR"/>
        </w:rPr>
        <w:t xml:space="preserve"> 2018.</w:t>
      </w:r>
    </w:p>
    <w:p w:rsidR="00596826" w:rsidRPr="00191307" w:rsidRDefault="00596826" w:rsidP="00596826">
      <w:pPr>
        <w:pStyle w:val="SingleTxtG"/>
        <w:rPr>
          <w:rFonts w:eastAsia="Calibri"/>
          <w:noProof/>
          <w:kern w:val="1"/>
          <w:lang w:val="fr-FR"/>
        </w:rPr>
      </w:pPr>
      <w:r w:rsidRPr="00191307">
        <w:rPr>
          <w:rFonts w:eastAsia="Calibri"/>
          <w:noProof/>
          <w:kern w:val="1"/>
          <w:lang w:val="fr-FR"/>
        </w:rPr>
        <w:t>133.</w:t>
      </w:r>
      <w:r w:rsidRPr="00191307">
        <w:rPr>
          <w:rFonts w:eastAsia="Calibri"/>
          <w:noProof/>
          <w:kern w:val="1"/>
          <w:lang w:val="fr-FR"/>
        </w:rPr>
        <w:tab/>
      </w:r>
      <w:r>
        <w:rPr>
          <w:rFonts w:eastAsia="Calibri"/>
          <w:noProof/>
          <w:kern w:val="1"/>
          <w:lang w:val="fr-FR"/>
        </w:rPr>
        <w:t>En ce qui concerne les plaintes reçues pour mauvais traitements présumés, le système pénitentiaire met à la disposition des détenus et de leur famille des mécanismes de dépôt de plaintes respectueux des droits et de la dignité des personnes privées de liberté</w:t>
      </w:r>
      <w:r w:rsidRPr="00191307">
        <w:rPr>
          <w:rFonts w:eastAsia="Calibri"/>
          <w:noProof/>
          <w:kern w:val="1"/>
          <w:lang w:val="fr-FR"/>
        </w:rPr>
        <w:t xml:space="preserve">. </w:t>
      </w:r>
      <w:r>
        <w:rPr>
          <w:rFonts w:eastAsia="Calibri"/>
          <w:noProof/>
          <w:kern w:val="1"/>
          <w:lang w:val="fr-FR"/>
        </w:rPr>
        <w:t>Chaque plainte reçue fait l</w:t>
      </w:r>
      <w:r w:rsidR="00607CA3">
        <w:rPr>
          <w:rFonts w:eastAsia="Calibri"/>
          <w:noProof/>
          <w:kern w:val="1"/>
          <w:lang w:val="fr-FR"/>
        </w:rPr>
        <w:t>’</w:t>
      </w:r>
      <w:r>
        <w:rPr>
          <w:rFonts w:eastAsia="Calibri"/>
          <w:noProof/>
          <w:kern w:val="1"/>
          <w:lang w:val="fr-FR"/>
        </w:rPr>
        <w:t>objet d</w:t>
      </w:r>
      <w:r w:rsidR="00607CA3">
        <w:rPr>
          <w:rFonts w:eastAsia="Calibri"/>
          <w:noProof/>
          <w:kern w:val="1"/>
          <w:lang w:val="fr-FR"/>
        </w:rPr>
        <w:t>’</w:t>
      </w:r>
      <w:r>
        <w:rPr>
          <w:rFonts w:eastAsia="Calibri"/>
          <w:noProof/>
          <w:kern w:val="1"/>
          <w:lang w:val="fr-FR"/>
        </w:rPr>
        <w:t>une enquête administrative et, si elle est fondée, la justice pénale est saisie</w:t>
      </w:r>
      <w:r w:rsidRPr="00191307">
        <w:rPr>
          <w:rFonts w:eastAsia="Calibri"/>
          <w:noProof/>
          <w:kern w:val="1"/>
          <w:lang w:val="fr-FR"/>
        </w:rPr>
        <w:t>.</w:t>
      </w:r>
    </w:p>
    <w:p w:rsidR="00596826" w:rsidRPr="00191307" w:rsidRDefault="00596826" w:rsidP="00596826">
      <w:pPr>
        <w:pStyle w:val="SingleTxtG"/>
        <w:rPr>
          <w:rFonts w:eastAsia="Calibri"/>
          <w:noProof/>
          <w:kern w:val="1"/>
          <w:lang w:val="fr-FR"/>
        </w:rPr>
      </w:pPr>
      <w:r w:rsidRPr="00191307">
        <w:rPr>
          <w:rFonts w:eastAsia="Calibri"/>
          <w:noProof/>
          <w:lang w:val="fr-FR"/>
        </w:rPr>
        <w:t>134.</w:t>
      </w:r>
      <w:r w:rsidRPr="00191307">
        <w:rPr>
          <w:rFonts w:eastAsia="Calibri"/>
          <w:noProof/>
          <w:lang w:val="fr-FR"/>
        </w:rPr>
        <w:tab/>
        <w:t>A</w:t>
      </w:r>
      <w:r>
        <w:rPr>
          <w:rFonts w:eastAsia="Calibri"/>
          <w:noProof/>
          <w:lang w:val="fr-FR"/>
        </w:rPr>
        <w:t>u</w:t>
      </w:r>
      <w:r w:rsidRPr="00191307">
        <w:rPr>
          <w:rFonts w:eastAsia="Calibri"/>
          <w:noProof/>
          <w:lang w:val="fr-FR"/>
        </w:rPr>
        <w:t xml:space="preserve"> 31</w:t>
      </w:r>
      <w:r w:rsidR="00527502">
        <w:rPr>
          <w:rFonts w:eastAsia="Calibri"/>
          <w:noProof/>
          <w:lang w:val="fr-FR"/>
        </w:rPr>
        <w:t> </w:t>
      </w:r>
      <w:r>
        <w:rPr>
          <w:rFonts w:eastAsia="Calibri"/>
          <w:noProof/>
          <w:lang w:val="fr-FR"/>
        </w:rPr>
        <w:t xml:space="preserve">mars </w:t>
      </w:r>
      <w:r w:rsidRPr="00191307">
        <w:rPr>
          <w:rFonts w:eastAsia="Calibri"/>
          <w:noProof/>
          <w:lang w:val="fr-FR"/>
        </w:rPr>
        <w:t>2018, l</w:t>
      </w:r>
      <w:r>
        <w:rPr>
          <w:rFonts w:eastAsia="Calibri"/>
          <w:noProof/>
          <w:lang w:val="fr-FR"/>
        </w:rPr>
        <w:t xml:space="preserve">e centre pénitentiaire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5 (</w:t>
      </w:r>
      <w:r>
        <w:rPr>
          <w:rFonts w:eastAsia="Calibri"/>
          <w:noProof/>
          <w:lang w:val="fr-FR"/>
        </w:rPr>
        <w:t xml:space="preserve">Prison pour femmes de </w:t>
      </w:r>
      <w:r w:rsidRPr="00191307">
        <w:rPr>
          <w:rFonts w:eastAsia="Calibri"/>
          <w:noProof/>
          <w:lang w:val="fr-FR"/>
        </w:rPr>
        <w:t xml:space="preserve">Montevideo) </w:t>
      </w:r>
      <w:r>
        <w:rPr>
          <w:rFonts w:eastAsia="Calibri"/>
          <w:noProof/>
          <w:lang w:val="fr-FR"/>
        </w:rPr>
        <w:t xml:space="preserve">pouvait accueillir </w:t>
      </w:r>
      <w:r w:rsidRPr="00191307">
        <w:rPr>
          <w:rFonts w:eastAsia="Calibri"/>
          <w:noProof/>
          <w:lang w:val="fr-FR"/>
        </w:rPr>
        <w:t xml:space="preserve">394 </w:t>
      </w:r>
      <w:r>
        <w:rPr>
          <w:rFonts w:eastAsia="Calibri"/>
          <w:noProof/>
          <w:lang w:val="fr-FR"/>
        </w:rPr>
        <w:t xml:space="preserve">détenues réparties en quartiers de </w:t>
      </w:r>
      <w:r w:rsidRPr="00276791">
        <w:rPr>
          <w:noProof/>
          <w:lang w:val="fr-FR"/>
        </w:rPr>
        <w:t>sécurité minimale</w:t>
      </w:r>
      <w:r>
        <w:rPr>
          <w:noProof/>
          <w:lang w:val="fr-FR"/>
        </w:rPr>
        <w:t xml:space="preserve">, de </w:t>
      </w:r>
      <w:r w:rsidRPr="00276791">
        <w:rPr>
          <w:noProof/>
          <w:lang w:val="fr-FR"/>
        </w:rPr>
        <w:t xml:space="preserve">sécurité moyenne </w:t>
      </w:r>
      <w:r>
        <w:rPr>
          <w:noProof/>
          <w:lang w:val="fr-FR"/>
        </w:rPr>
        <w:t>et de haute sécurité</w:t>
      </w:r>
      <w:r w:rsidRPr="00191307">
        <w:rPr>
          <w:rFonts w:eastAsia="Calibri"/>
          <w:noProof/>
          <w:lang w:val="fr-FR"/>
        </w:rPr>
        <w:t>. La po</w:t>
      </w:r>
      <w:r>
        <w:rPr>
          <w:rFonts w:eastAsia="Calibri"/>
          <w:noProof/>
          <w:lang w:val="fr-FR"/>
        </w:rPr>
        <w:t>pulation carcérale s</w:t>
      </w:r>
      <w:r w:rsidR="00607CA3">
        <w:rPr>
          <w:rFonts w:eastAsia="Calibri"/>
          <w:noProof/>
          <w:lang w:val="fr-FR"/>
        </w:rPr>
        <w:t>’</w:t>
      </w:r>
      <w:r>
        <w:rPr>
          <w:rFonts w:eastAsia="Calibri"/>
          <w:noProof/>
          <w:lang w:val="fr-FR"/>
        </w:rPr>
        <w:t xml:space="preserve">établit à </w:t>
      </w:r>
      <w:r w:rsidRPr="00191307">
        <w:rPr>
          <w:rFonts w:eastAsia="Calibri"/>
          <w:noProof/>
          <w:lang w:val="fr-FR"/>
        </w:rPr>
        <w:t>240 person</w:t>
      </w:r>
      <w:r>
        <w:rPr>
          <w:rFonts w:eastAsia="Calibri"/>
          <w:noProof/>
          <w:lang w:val="fr-FR"/>
        </w:rPr>
        <w:t>nes</w:t>
      </w:r>
      <w:r w:rsidRPr="00191307">
        <w:rPr>
          <w:rFonts w:eastAsia="Calibri"/>
          <w:noProof/>
          <w:lang w:val="fr-FR"/>
        </w:rPr>
        <w:t xml:space="preserve">. </w:t>
      </w:r>
      <w:r>
        <w:rPr>
          <w:rFonts w:eastAsia="Calibri"/>
          <w:noProof/>
          <w:lang w:val="fr-FR"/>
        </w:rPr>
        <w:t>Ce centre présente certaines difficultés structurelles que l</w:t>
      </w:r>
      <w:r w:rsidR="00607CA3">
        <w:rPr>
          <w:rFonts w:eastAsia="Calibri"/>
          <w:noProof/>
          <w:lang w:val="fr-FR"/>
        </w:rPr>
        <w:t>’</w:t>
      </w:r>
      <w:r>
        <w:rPr>
          <w:rFonts w:eastAsia="Calibri"/>
          <w:noProof/>
          <w:lang w:val="fr-FR"/>
        </w:rPr>
        <w:t>on tente de régler de manière différenciée, mais définitive</w:t>
      </w:r>
      <w:r w:rsidRPr="00191307">
        <w:rPr>
          <w:rFonts w:eastAsia="Calibri"/>
          <w:noProof/>
          <w:lang w:val="fr-FR"/>
        </w:rPr>
        <w:t xml:space="preserve">. </w:t>
      </w:r>
      <w:r>
        <w:rPr>
          <w:rFonts w:eastAsia="Calibri"/>
          <w:noProof/>
          <w:lang w:val="fr-FR"/>
        </w:rPr>
        <w:t>À cet égard, il est prévu de réaménager les cellules de l</w:t>
      </w:r>
      <w:r w:rsidR="00607CA3">
        <w:rPr>
          <w:rFonts w:eastAsia="Calibri"/>
          <w:noProof/>
          <w:lang w:val="fr-FR"/>
        </w:rPr>
        <w:t>’</w:t>
      </w:r>
      <w:r>
        <w:rPr>
          <w:rFonts w:eastAsia="Calibri"/>
          <w:noProof/>
          <w:lang w:val="fr-FR"/>
        </w:rPr>
        <w:t>un des étages afin d</w:t>
      </w:r>
      <w:r w:rsidR="00607CA3">
        <w:rPr>
          <w:rFonts w:eastAsia="Calibri"/>
          <w:noProof/>
          <w:lang w:val="fr-FR"/>
        </w:rPr>
        <w:t>’</w:t>
      </w:r>
      <w:r>
        <w:rPr>
          <w:rFonts w:eastAsia="Calibri"/>
          <w:noProof/>
          <w:lang w:val="fr-FR"/>
        </w:rPr>
        <w:t>y améliorer les conditions de vie</w:t>
      </w:r>
      <w:r w:rsidRPr="00191307">
        <w:rPr>
          <w:rFonts w:eastAsia="Calibri"/>
          <w:noProof/>
          <w:lang w:val="fr-FR"/>
        </w:rPr>
        <w:t>. P</w:t>
      </w:r>
      <w:r>
        <w:rPr>
          <w:rFonts w:eastAsia="Calibri"/>
          <w:noProof/>
          <w:lang w:val="fr-FR"/>
        </w:rPr>
        <w:t>a</w:t>
      </w:r>
      <w:r w:rsidRPr="00191307">
        <w:rPr>
          <w:rFonts w:eastAsia="Calibri"/>
          <w:noProof/>
          <w:lang w:val="fr-FR"/>
        </w:rPr>
        <w:t xml:space="preserve">r </w:t>
      </w:r>
      <w:r>
        <w:rPr>
          <w:rFonts w:eastAsia="Calibri"/>
          <w:noProof/>
          <w:lang w:val="fr-FR"/>
        </w:rPr>
        <w:t>ailleurs, les récupérateurs de graisse sont nettoyés et entretenus pour pouvoir débarrasser périodiquement le bâtiment des graisses et eaux usées</w:t>
      </w:r>
      <w:r w:rsidRPr="00191307">
        <w:rPr>
          <w:rFonts w:eastAsia="Calibri"/>
          <w:noProof/>
          <w:lang w:val="fr-FR"/>
        </w:rPr>
        <w:t xml:space="preserve">. </w:t>
      </w:r>
      <w:r>
        <w:rPr>
          <w:rFonts w:eastAsia="Calibri"/>
          <w:noProof/>
          <w:lang w:val="fr-FR"/>
        </w:rPr>
        <w:t>Sur le plan architectural, il s</w:t>
      </w:r>
      <w:r w:rsidR="00607CA3">
        <w:rPr>
          <w:rFonts w:eastAsia="Calibri"/>
          <w:noProof/>
          <w:lang w:val="fr-FR"/>
        </w:rPr>
        <w:t>’</w:t>
      </w:r>
      <w:r>
        <w:rPr>
          <w:rFonts w:eastAsia="Calibri"/>
          <w:noProof/>
          <w:lang w:val="fr-FR"/>
        </w:rPr>
        <w:t>agit de remplacer les grandes fenêtres par des fenêtres plus petites afin de réduire le danger que présente le bris de vitres de grande taille, de diminuer le coût des vitres et d</w:t>
      </w:r>
      <w:r w:rsidR="00607CA3">
        <w:rPr>
          <w:rFonts w:eastAsia="Calibri"/>
          <w:noProof/>
          <w:lang w:val="fr-FR"/>
        </w:rPr>
        <w:t>’</w:t>
      </w:r>
      <w:r>
        <w:rPr>
          <w:rFonts w:eastAsia="Calibri"/>
          <w:noProof/>
          <w:lang w:val="fr-FR"/>
        </w:rPr>
        <w:t>en accélérer le remplacement</w:t>
      </w:r>
      <w:r w:rsidRPr="00191307">
        <w:rPr>
          <w:rFonts w:eastAsia="Calibri"/>
          <w:noProof/>
          <w:lang w:val="fr-FR"/>
        </w:rPr>
        <w:t xml:space="preserve">. </w:t>
      </w:r>
    </w:p>
    <w:p w:rsidR="00596826" w:rsidRPr="00191307" w:rsidRDefault="00596826" w:rsidP="00596826">
      <w:pPr>
        <w:pStyle w:val="SingleTxtG"/>
        <w:rPr>
          <w:rFonts w:eastAsia="Calibri"/>
          <w:noProof/>
          <w:lang w:val="fr-FR"/>
        </w:rPr>
      </w:pPr>
      <w:r w:rsidRPr="00191307">
        <w:rPr>
          <w:rFonts w:eastAsia="Calibri"/>
          <w:noProof/>
          <w:lang w:val="fr-FR"/>
        </w:rPr>
        <w:t>135.</w:t>
      </w:r>
      <w:r w:rsidRPr="00191307">
        <w:rPr>
          <w:rFonts w:eastAsia="Calibri"/>
          <w:noProof/>
          <w:lang w:val="fr-FR"/>
        </w:rPr>
        <w:tab/>
      </w:r>
      <w:r>
        <w:rPr>
          <w:rFonts w:eastAsia="Calibri"/>
          <w:noProof/>
          <w:lang w:val="fr-FR"/>
        </w:rPr>
        <w:t xml:space="preserve">On doit inaugurer en 2018 le nouveau centre pénitentiaire </w:t>
      </w:r>
      <w:r w:rsidRPr="00191307">
        <w:rPr>
          <w:rFonts w:eastAsia="Calibri"/>
          <w:noProof/>
          <w:lang w:val="fr-FR"/>
        </w:rPr>
        <w:t>Florida</w:t>
      </w:r>
      <w:r>
        <w:rPr>
          <w:rFonts w:eastAsia="Calibri"/>
          <w:noProof/>
          <w:lang w:val="fr-FR"/>
        </w:rPr>
        <w:t xml:space="preserv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29</w:t>
      </w:r>
      <w:r>
        <w:rPr>
          <w:rFonts w:eastAsia="Calibri"/>
          <w:noProof/>
          <w:lang w:val="fr-FR"/>
        </w:rPr>
        <w:t xml:space="preserve">), qui pourra accueillir </w:t>
      </w:r>
      <w:r w:rsidRPr="00191307">
        <w:rPr>
          <w:rFonts w:eastAsia="Calibri"/>
          <w:noProof/>
          <w:lang w:val="fr-FR"/>
        </w:rPr>
        <w:t xml:space="preserve">173 </w:t>
      </w:r>
      <w:r>
        <w:rPr>
          <w:rFonts w:eastAsia="Calibri"/>
          <w:noProof/>
          <w:lang w:val="fr-FR"/>
        </w:rPr>
        <w:t xml:space="preserve">détenus, dont </w:t>
      </w:r>
      <w:r w:rsidRPr="00191307">
        <w:rPr>
          <w:rFonts w:eastAsia="Calibri"/>
          <w:noProof/>
          <w:lang w:val="fr-FR"/>
        </w:rPr>
        <w:t xml:space="preserve">21 </w:t>
      </w:r>
      <w:r>
        <w:rPr>
          <w:rFonts w:eastAsia="Calibri"/>
          <w:noProof/>
          <w:lang w:val="fr-FR"/>
        </w:rPr>
        <w:t>femmes et mères accompagnées d</w:t>
      </w:r>
      <w:r w:rsidR="00607CA3">
        <w:rPr>
          <w:rFonts w:eastAsia="Calibri"/>
          <w:noProof/>
          <w:lang w:val="fr-FR"/>
        </w:rPr>
        <w:t>’</w:t>
      </w:r>
      <w:r>
        <w:rPr>
          <w:rFonts w:eastAsia="Calibri"/>
          <w:noProof/>
          <w:lang w:val="fr-FR"/>
        </w:rPr>
        <w:t>enfants</w:t>
      </w:r>
      <w:r w:rsidRPr="00191307">
        <w:rPr>
          <w:rFonts w:eastAsia="Calibri"/>
          <w:noProof/>
          <w:lang w:val="fr-FR"/>
        </w:rPr>
        <w:t xml:space="preserve">. En </w:t>
      </w:r>
      <w:r>
        <w:rPr>
          <w:rFonts w:eastAsia="Calibri"/>
          <w:noProof/>
          <w:lang w:val="fr-FR"/>
        </w:rPr>
        <w:t xml:space="preserve">janvier </w:t>
      </w:r>
      <w:r w:rsidRPr="00191307">
        <w:rPr>
          <w:rFonts w:eastAsia="Calibri"/>
          <w:noProof/>
          <w:lang w:val="fr-FR"/>
        </w:rPr>
        <w:t>2018</w:t>
      </w:r>
      <w:r>
        <w:rPr>
          <w:rFonts w:eastAsia="Calibri"/>
          <w:noProof/>
          <w:lang w:val="fr-FR"/>
        </w:rPr>
        <w:t>, on a, dans le cadre d</w:t>
      </w:r>
      <w:r w:rsidR="00607CA3">
        <w:rPr>
          <w:rFonts w:eastAsia="Calibri"/>
          <w:noProof/>
          <w:lang w:val="fr-FR"/>
        </w:rPr>
        <w:t>’</w:t>
      </w:r>
      <w:r>
        <w:rPr>
          <w:rFonts w:eastAsia="Calibri"/>
          <w:noProof/>
          <w:lang w:val="fr-FR"/>
        </w:rPr>
        <w:t xml:space="preserve">un partenariat public-privé, </w:t>
      </w:r>
      <w:r w:rsidRPr="00191307">
        <w:rPr>
          <w:rFonts w:eastAsia="Calibri"/>
          <w:noProof/>
          <w:lang w:val="fr-FR"/>
        </w:rPr>
        <w:t>inaugur</w:t>
      </w:r>
      <w:r>
        <w:rPr>
          <w:rFonts w:eastAsia="Calibri"/>
          <w:noProof/>
          <w:lang w:val="fr-FR"/>
        </w:rPr>
        <w:t>é</w:t>
      </w:r>
      <w:r w:rsidRPr="00312ACA">
        <w:rPr>
          <w:rFonts w:eastAsia="Calibri"/>
          <w:noProof/>
          <w:lang w:val="fr-FR"/>
        </w:rPr>
        <w:t xml:space="preserve"> </w:t>
      </w:r>
      <w:r>
        <w:rPr>
          <w:rFonts w:eastAsia="Calibri"/>
          <w:noProof/>
          <w:lang w:val="fr-FR"/>
        </w:rPr>
        <w:t>à</w:t>
      </w:r>
      <w:r w:rsidRPr="00191307">
        <w:rPr>
          <w:rFonts w:eastAsia="Calibri"/>
          <w:noProof/>
          <w:lang w:val="fr-FR"/>
        </w:rPr>
        <w:t xml:space="preserve"> Punta de Rieles</w:t>
      </w:r>
      <w:r>
        <w:rPr>
          <w:rFonts w:eastAsia="Calibri"/>
          <w:noProof/>
          <w:lang w:val="fr-FR"/>
        </w:rPr>
        <w:t xml:space="preserve"> le centre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1</w:t>
      </w:r>
      <w:r>
        <w:rPr>
          <w:rFonts w:eastAsia="Calibri"/>
          <w:noProof/>
          <w:lang w:val="fr-FR"/>
        </w:rPr>
        <w:t>, d</w:t>
      </w:r>
      <w:r w:rsidR="00607CA3">
        <w:rPr>
          <w:rFonts w:eastAsia="Calibri"/>
          <w:noProof/>
          <w:lang w:val="fr-FR"/>
        </w:rPr>
        <w:t>’</w:t>
      </w:r>
      <w:r>
        <w:rPr>
          <w:rFonts w:eastAsia="Calibri"/>
          <w:noProof/>
          <w:lang w:val="fr-FR"/>
        </w:rPr>
        <w:t xml:space="preserve">une capacité de </w:t>
      </w:r>
      <w:r w:rsidRPr="00191307">
        <w:rPr>
          <w:rFonts w:eastAsia="Calibri"/>
          <w:noProof/>
          <w:lang w:val="fr-FR"/>
        </w:rPr>
        <w:t>1</w:t>
      </w:r>
      <w:r w:rsidR="00527502">
        <w:rPr>
          <w:rFonts w:eastAsia="Calibri"/>
          <w:noProof/>
          <w:lang w:val="fr-FR"/>
        </w:rPr>
        <w:t> </w:t>
      </w:r>
      <w:r w:rsidRPr="00191307">
        <w:rPr>
          <w:rFonts w:eastAsia="Calibri"/>
          <w:noProof/>
          <w:lang w:val="fr-FR"/>
        </w:rPr>
        <w:t xml:space="preserve">960 </w:t>
      </w:r>
      <w:r>
        <w:rPr>
          <w:rFonts w:eastAsia="Calibri"/>
          <w:noProof/>
          <w:lang w:val="fr-FR"/>
        </w:rPr>
        <w:t>espaces d</w:t>
      </w:r>
      <w:r w:rsidR="00607CA3">
        <w:rPr>
          <w:rFonts w:eastAsia="Calibri"/>
          <w:noProof/>
          <w:lang w:val="fr-FR"/>
        </w:rPr>
        <w:t>’</w:t>
      </w:r>
      <w:r>
        <w:rPr>
          <w:rFonts w:eastAsia="Calibri"/>
          <w:noProof/>
          <w:lang w:val="fr-FR"/>
        </w:rPr>
        <w:t>accueil</w:t>
      </w:r>
      <w:r w:rsidRPr="00191307">
        <w:rPr>
          <w:rFonts w:eastAsia="Calibri"/>
          <w:noProof/>
          <w:lang w:val="fr-FR"/>
        </w:rPr>
        <w:t xml:space="preserve">. </w:t>
      </w:r>
      <w:r>
        <w:rPr>
          <w:rFonts w:eastAsia="Calibri"/>
          <w:noProof/>
          <w:lang w:val="fr-FR"/>
        </w:rPr>
        <w:t xml:space="preserve">Au </w:t>
      </w:r>
      <w:r w:rsidRPr="00C370F8">
        <w:rPr>
          <w:noProof/>
          <w:lang w:val="fr-FR"/>
        </w:rPr>
        <w:t>moment de l</w:t>
      </w:r>
      <w:r w:rsidR="00607CA3">
        <w:rPr>
          <w:noProof/>
          <w:lang w:val="fr-FR"/>
        </w:rPr>
        <w:t>’</w:t>
      </w:r>
      <w:r w:rsidRPr="00C370F8">
        <w:rPr>
          <w:noProof/>
          <w:lang w:val="fr-FR"/>
        </w:rPr>
        <w:t>achèvement du présent rapport</w:t>
      </w:r>
      <w:r>
        <w:rPr>
          <w:rFonts w:eastAsia="Calibri"/>
          <w:noProof/>
          <w:lang w:val="fr-FR"/>
        </w:rPr>
        <w:t>, un nouveau quartier était en construction au centre pénitentiaire d</w:t>
      </w:r>
      <w:r w:rsidR="00607CA3">
        <w:rPr>
          <w:rFonts w:eastAsia="Calibri"/>
          <w:noProof/>
          <w:lang w:val="fr-FR"/>
        </w:rPr>
        <w:t>’</w:t>
      </w:r>
      <w:r w:rsidRPr="00191307">
        <w:rPr>
          <w:rFonts w:eastAsia="Calibri"/>
          <w:noProof/>
          <w:lang w:val="fr-FR"/>
        </w:rPr>
        <w:t>Artigas</w:t>
      </w:r>
      <w:r>
        <w:rPr>
          <w:rFonts w:eastAsia="Calibri"/>
          <w:noProof/>
          <w:lang w:val="fr-FR"/>
        </w:rPr>
        <w:t xml:space="preserv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27</w:t>
      </w:r>
      <w:r>
        <w:rPr>
          <w:rFonts w:eastAsia="Calibri"/>
          <w:noProof/>
          <w:lang w:val="fr-FR"/>
        </w:rPr>
        <w:t>)</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136.</w:t>
      </w:r>
      <w:r w:rsidRPr="00191307">
        <w:rPr>
          <w:rFonts w:eastAsia="Calibri"/>
          <w:noProof/>
          <w:lang w:val="fr-FR"/>
        </w:rPr>
        <w:tab/>
      </w:r>
      <w:r>
        <w:rPr>
          <w:rFonts w:eastAsia="Calibri"/>
          <w:noProof/>
          <w:lang w:val="fr-FR"/>
        </w:rPr>
        <w:t xml:space="preserve">Le </w:t>
      </w:r>
      <w:r>
        <w:rPr>
          <w:noProof/>
          <w:lang w:val="fr-FR"/>
        </w:rPr>
        <w:t>délégué parlementaire aux affaires pénitentiaires</w:t>
      </w:r>
      <w:r>
        <w:rPr>
          <w:rFonts w:eastAsia="Calibri"/>
          <w:noProof/>
          <w:lang w:val="fr-FR"/>
        </w:rPr>
        <w:t xml:space="preserve"> a établi deux rapports sur la situation du centre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 xml:space="preserve">4 </w:t>
      </w:r>
      <w:r>
        <w:rPr>
          <w:rFonts w:eastAsia="Calibri"/>
          <w:noProof/>
          <w:lang w:val="fr-FR"/>
        </w:rPr>
        <w:t>et une note recommandant la fermeture du quartier d</w:t>
      </w:r>
      <w:r w:rsidR="00607CA3">
        <w:rPr>
          <w:rFonts w:eastAsia="Calibri"/>
          <w:noProof/>
          <w:lang w:val="fr-FR"/>
        </w:rPr>
        <w:t>’</w:t>
      </w:r>
      <w:r>
        <w:rPr>
          <w:rFonts w:eastAsia="Calibri"/>
          <w:noProof/>
          <w:lang w:val="fr-FR"/>
        </w:rPr>
        <w:t>hébergement temporaire connu sous le nom de « Boxes », dans l</w:t>
      </w:r>
      <w:r w:rsidR="00607CA3">
        <w:rPr>
          <w:rFonts w:eastAsia="Calibri"/>
          <w:noProof/>
          <w:lang w:val="fr-FR"/>
        </w:rPr>
        <w:t>’</w:t>
      </w:r>
      <w:r>
        <w:rPr>
          <w:rFonts w:eastAsia="Calibri"/>
          <w:noProof/>
          <w:lang w:val="fr-FR"/>
        </w:rPr>
        <w:t>aile 6, ainsi que deux notes adressées à l</w:t>
      </w:r>
      <w:r w:rsidR="00607CA3">
        <w:rPr>
          <w:rFonts w:eastAsia="Calibri"/>
          <w:noProof/>
          <w:lang w:val="fr-FR"/>
        </w:rPr>
        <w:t>’</w:t>
      </w:r>
      <w:r>
        <w:rPr>
          <w:rFonts w:eastAsia="Calibri"/>
          <w:noProof/>
          <w:lang w:val="fr-FR"/>
        </w:rPr>
        <w:t xml:space="preserve">Institut national de réinsertion sur les conditions matérielles du centre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 xml:space="preserve">5 </w:t>
      </w:r>
      <w:r w:rsidR="0006149A">
        <w:rPr>
          <w:rFonts w:eastAsia="Calibri"/>
          <w:noProof/>
          <w:lang w:val="fr-FR"/>
        </w:rPr>
        <w:t>−</w:t>
      </w:r>
      <w:r>
        <w:rPr>
          <w:rFonts w:eastAsia="Calibri"/>
          <w:noProof/>
          <w:lang w:val="fr-FR"/>
        </w:rPr>
        <w:t xml:space="preserve"> Prison pour femmes de </w:t>
      </w:r>
      <w:r w:rsidRPr="00191307">
        <w:rPr>
          <w:rFonts w:eastAsia="Calibri"/>
          <w:noProof/>
          <w:lang w:val="fr-FR"/>
        </w:rPr>
        <w:t>Montevideo</w:t>
      </w:r>
      <w:r>
        <w:rPr>
          <w:rFonts w:eastAsia="Calibri"/>
          <w:noProof/>
          <w:lang w:val="fr-FR"/>
        </w:rPr>
        <w:t xml:space="preserve"> </w:t>
      </w:r>
      <w:r w:rsidR="00527502">
        <w:rPr>
          <w:rFonts w:eastAsia="Calibri"/>
          <w:noProof/>
          <w:lang w:val="fr-FR"/>
        </w:rPr>
        <w:t>−</w:t>
      </w:r>
      <w:r>
        <w:rPr>
          <w:rFonts w:eastAsia="Calibri"/>
          <w:noProof/>
          <w:lang w:val="fr-FR"/>
        </w:rPr>
        <w:t xml:space="preserve"> et une</w:t>
      </w:r>
      <w:r w:rsidRPr="00191307">
        <w:rPr>
          <w:rFonts w:eastAsia="Calibri"/>
          <w:noProof/>
          <w:lang w:val="fr-FR"/>
        </w:rPr>
        <w:t xml:space="preserve"> not</w:t>
      </w:r>
      <w:r>
        <w:rPr>
          <w:rFonts w:eastAsia="Calibri"/>
          <w:noProof/>
          <w:lang w:val="fr-FR"/>
        </w:rPr>
        <w:t xml:space="preserve">e au même Institut recommandant la fermeture des cellules du centre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 xml:space="preserve">19. </w:t>
      </w:r>
      <w:r>
        <w:rPr>
          <w:rFonts w:eastAsia="Calibri"/>
          <w:noProof/>
          <w:lang w:val="fr-FR"/>
        </w:rPr>
        <w:t xml:space="preserve">Il a adressé des notes et des recommandations aux autorités et au Parlement au sujet des conditions de vie critiques faites aux détenus dans les centres </w:t>
      </w:r>
      <w:r w:rsidRPr="00191307">
        <w:rPr>
          <w:rFonts w:eastAsia="Calibri"/>
          <w:noProof/>
          <w:lang w:val="fr-FR"/>
        </w:rPr>
        <w:t>Canelones</w:t>
      </w:r>
      <w:r w:rsidRPr="0082255F">
        <w:rPr>
          <w:rFonts w:eastAsia="Calibri"/>
          <w:noProof/>
          <w:lang w:val="fr-FR"/>
        </w:rPr>
        <w:t xml:space="preserve"> </w:t>
      </w:r>
      <w:r>
        <w:rPr>
          <w:rFonts w:eastAsia="Calibri"/>
          <w:noProof/>
          <w:lang w:val="fr-FR"/>
        </w:rPr>
        <w:t>(</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7</w:t>
      </w:r>
      <w:r>
        <w:rPr>
          <w:rFonts w:eastAsia="Calibri"/>
          <w:noProof/>
          <w:lang w:val="fr-FR"/>
        </w:rPr>
        <w:t>)</w:t>
      </w:r>
      <w:r w:rsidRPr="00191307">
        <w:rPr>
          <w:rFonts w:eastAsia="Calibri"/>
          <w:noProof/>
          <w:lang w:val="fr-FR"/>
        </w:rPr>
        <w:t xml:space="preserve">, </w:t>
      </w:r>
      <w:r>
        <w:rPr>
          <w:rFonts w:eastAsia="Calibri"/>
          <w:noProof/>
          <w:lang w:val="fr-FR"/>
        </w:rPr>
        <w:t>Libertad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Pr>
          <w:rFonts w:eastAsia="Calibri"/>
          <w:noProof/>
          <w:lang w:val="fr-FR"/>
        </w:rPr>
        <w:t xml:space="preserve">3) et </w:t>
      </w:r>
      <w:r w:rsidRPr="00191307">
        <w:rPr>
          <w:rFonts w:eastAsia="Calibri"/>
          <w:noProof/>
          <w:lang w:val="fr-FR"/>
        </w:rPr>
        <w:t>Tacuarembó</w:t>
      </w:r>
      <w:r w:rsidRPr="0082255F">
        <w:rPr>
          <w:rFonts w:eastAsia="Calibri"/>
          <w:noProof/>
          <w:lang w:val="fr-FR"/>
        </w:rPr>
        <w:t xml:space="preserve"> </w:t>
      </w:r>
      <w:r>
        <w:rPr>
          <w:rFonts w:eastAsia="Calibri"/>
          <w:noProof/>
          <w:lang w:val="fr-FR"/>
        </w:rPr>
        <w:t>(</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rFonts w:eastAsia="Calibri"/>
          <w:noProof/>
          <w:lang w:val="fr-FR"/>
        </w:rPr>
        <w:t> </w:t>
      </w:r>
      <w:r w:rsidRPr="00191307">
        <w:rPr>
          <w:rFonts w:eastAsia="Calibri"/>
          <w:noProof/>
          <w:lang w:val="fr-FR"/>
        </w:rPr>
        <w:t>26</w:t>
      </w:r>
      <w:r>
        <w:rPr>
          <w:rFonts w:eastAsia="Calibri"/>
          <w:noProof/>
          <w:lang w:val="fr-FR"/>
        </w:rPr>
        <w:t>)</w:t>
      </w:r>
      <w:r w:rsidRPr="00191307">
        <w:rPr>
          <w:rFonts w:eastAsia="Calibri"/>
          <w:noProof/>
          <w:lang w:val="fr-FR"/>
        </w:rPr>
        <w:t>.</w:t>
      </w:r>
    </w:p>
    <w:p w:rsidR="00596826" w:rsidRPr="00191307" w:rsidRDefault="00596826" w:rsidP="00596826">
      <w:pPr>
        <w:pStyle w:val="SingleTxtG"/>
        <w:rPr>
          <w:rFonts w:eastAsia="Calibri"/>
          <w:noProof/>
          <w:lang w:val="fr-FR"/>
        </w:rPr>
      </w:pPr>
      <w:r w:rsidRPr="00191307">
        <w:rPr>
          <w:rFonts w:eastAsia="Calibri"/>
          <w:noProof/>
          <w:lang w:val="fr-FR"/>
        </w:rPr>
        <w:t>137.</w:t>
      </w:r>
      <w:r w:rsidRPr="00191307">
        <w:rPr>
          <w:rFonts w:eastAsia="Calibri"/>
          <w:noProof/>
          <w:lang w:val="fr-FR"/>
        </w:rPr>
        <w:tab/>
      </w:r>
      <w:r>
        <w:rPr>
          <w:rFonts w:eastAsia="Calibri"/>
          <w:noProof/>
          <w:lang w:val="fr-FR"/>
        </w:rPr>
        <w:t>Il importe de rappeler qu</w:t>
      </w:r>
      <w:r w:rsidR="00607CA3">
        <w:rPr>
          <w:rFonts w:eastAsia="Calibri"/>
          <w:noProof/>
          <w:lang w:val="fr-FR"/>
        </w:rPr>
        <w:t>’</w:t>
      </w:r>
      <w:r>
        <w:rPr>
          <w:rFonts w:eastAsia="Calibri"/>
          <w:noProof/>
          <w:lang w:val="fr-FR"/>
        </w:rPr>
        <w:t>en réponse aux demandes d</w:t>
      </w:r>
      <w:r w:rsidR="00607CA3">
        <w:rPr>
          <w:rFonts w:eastAsia="Calibri"/>
          <w:noProof/>
          <w:lang w:val="fr-FR"/>
        </w:rPr>
        <w:t>’</w:t>
      </w:r>
      <w:r>
        <w:rPr>
          <w:rFonts w:eastAsia="Calibri"/>
          <w:noProof/>
          <w:lang w:val="fr-FR"/>
        </w:rPr>
        <w:t xml:space="preserve">information formulées par le délégué </w:t>
      </w:r>
      <w:r w:rsidRPr="001B5F3E">
        <w:rPr>
          <w:noProof/>
          <w:lang w:val="fr-FR"/>
        </w:rPr>
        <w:t>parlementaire</w:t>
      </w:r>
      <w:r>
        <w:rPr>
          <w:noProof/>
          <w:lang w:val="fr-FR"/>
        </w:rPr>
        <w:t xml:space="preserve"> à la suite de ses visites dans les centres pénitentiaires, le Ministère de l</w:t>
      </w:r>
      <w:r w:rsidR="00607CA3">
        <w:rPr>
          <w:noProof/>
          <w:lang w:val="fr-FR"/>
        </w:rPr>
        <w:t>’</w:t>
      </w:r>
      <w:r>
        <w:rPr>
          <w:noProof/>
          <w:lang w:val="fr-FR"/>
        </w:rPr>
        <w:t>intérieur a fait les démarches nécessaires tant au niveau de l</w:t>
      </w:r>
      <w:r w:rsidR="00607CA3">
        <w:rPr>
          <w:noProof/>
          <w:lang w:val="fr-FR"/>
        </w:rPr>
        <w:t>’</w:t>
      </w:r>
      <w:r>
        <w:rPr>
          <w:noProof/>
          <w:lang w:val="fr-FR"/>
        </w:rPr>
        <w:t>Institut national de réinsertion qu</w:t>
      </w:r>
      <w:r w:rsidR="00607CA3">
        <w:rPr>
          <w:noProof/>
          <w:lang w:val="fr-FR"/>
        </w:rPr>
        <w:t>’</w:t>
      </w:r>
      <w:r>
        <w:rPr>
          <w:noProof/>
          <w:lang w:val="fr-FR"/>
        </w:rPr>
        <w:t>à celui des services compétents du Ministère</w:t>
      </w:r>
      <w:r w:rsidRPr="00191307">
        <w:rPr>
          <w:rFonts w:eastAsia="Calibri"/>
          <w:noProof/>
          <w:lang w:val="fr-FR"/>
        </w:rPr>
        <w:t>. L</w:t>
      </w:r>
      <w:r>
        <w:rPr>
          <w:rFonts w:eastAsia="Calibri"/>
          <w:noProof/>
          <w:lang w:val="fr-FR"/>
        </w:rPr>
        <w:t>e</w:t>
      </w:r>
      <w:r w:rsidRPr="00191307">
        <w:rPr>
          <w:rFonts w:eastAsia="Calibri"/>
          <w:noProof/>
          <w:lang w:val="fr-FR"/>
        </w:rPr>
        <w:t>s recom</w:t>
      </w:r>
      <w:r>
        <w:rPr>
          <w:rFonts w:eastAsia="Calibri"/>
          <w:noProof/>
          <w:lang w:val="fr-FR"/>
        </w:rPr>
        <w:t>ma</w:t>
      </w:r>
      <w:r w:rsidRPr="00191307">
        <w:rPr>
          <w:rFonts w:eastAsia="Calibri"/>
          <w:noProof/>
          <w:lang w:val="fr-FR"/>
        </w:rPr>
        <w:t>nda</w:t>
      </w:r>
      <w:r>
        <w:rPr>
          <w:rFonts w:eastAsia="Calibri"/>
          <w:noProof/>
          <w:lang w:val="fr-FR"/>
        </w:rPr>
        <w:t>tions du délégué parlementaire sont évaluées conjointement avec les responsables de l</w:t>
      </w:r>
      <w:r w:rsidR="00607CA3">
        <w:rPr>
          <w:rFonts w:eastAsia="Calibri"/>
          <w:noProof/>
          <w:lang w:val="fr-FR"/>
        </w:rPr>
        <w:t>’</w:t>
      </w:r>
      <w:r>
        <w:rPr>
          <w:rFonts w:eastAsia="Calibri"/>
          <w:noProof/>
          <w:lang w:val="fr-FR"/>
        </w:rPr>
        <w:t>Institut et, dans toute la mesure possible, il y est donné effet</w:t>
      </w:r>
      <w:r w:rsidRPr="00191307">
        <w:rPr>
          <w:rFonts w:eastAsia="Calibri"/>
          <w:noProof/>
          <w:lang w:val="fr-FR"/>
        </w:rPr>
        <w:t xml:space="preserve">. </w:t>
      </w:r>
    </w:p>
    <w:p w:rsidR="00596826" w:rsidRPr="00191307" w:rsidRDefault="00596826" w:rsidP="00596826">
      <w:pPr>
        <w:pStyle w:val="SingleTxtG"/>
        <w:rPr>
          <w:noProof/>
          <w:lang w:val="fr-FR" w:eastAsia="es-UY"/>
        </w:rPr>
      </w:pPr>
      <w:r w:rsidRPr="00191307">
        <w:rPr>
          <w:rFonts w:eastAsia="Calibri"/>
          <w:noProof/>
          <w:lang w:val="fr-FR"/>
        </w:rPr>
        <w:t>138.</w:t>
      </w:r>
      <w:r w:rsidRPr="00191307">
        <w:rPr>
          <w:rFonts w:eastAsia="Calibri"/>
          <w:noProof/>
          <w:lang w:val="fr-FR"/>
        </w:rPr>
        <w:tab/>
        <w:t xml:space="preserve">En </w:t>
      </w:r>
      <w:r>
        <w:rPr>
          <w:rFonts w:eastAsia="Calibri"/>
          <w:noProof/>
          <w:lang w:val="fr-FR"/>
        </w:rPr>
        <w:t xml:space="preserve">ce qui concerne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Pr>
          <w:rFonts w:eastAsia="Calibri"/>
          <w:noProof/>
          <w:lang w:val="fr-FR"/>
        </w:rPr>
        <w:t>,</w:t>
      </w:r>
      <w:r w:rsidRPr="00191307">
        <w:rPr>
          <w:rFonts w:eastAsia="Calibri"/>
          <w:noProof/>
          <w:lang w:val="fr-FR"/>
        </w:rPr>
        <w:t xml:space="preserve"> </w:t>
      </w:r>
      <w:r>
        <w:rPr>
          <w:rFonts w:eastAsia="Calibri"/>
          <w:noProof/>
          <w:lang w:val="fr-FR"/>
        </w:rPr>
        <w:t>le problème de la surpopulation carcérale ne se pose pas à ce jour dans ses centres de détention</w:t>
      </w:r>
      <w:r w:rsidRPr="00191307">
        <w:rPr>
          <w:rFonts w:eastAsia="Calibri"/>
          <w:noProof/>
          <w:lang w:val="fr-FR"/>
        </w:rPr>
        <w:t xml:space="preserve">. </w:t>
      </w:r>
      <w:r>
        <w:rPr>
          <w:rFonts w:eastAsia="Calibri"/>
          <w:noProof/>
          <w:lang w:val="fr-FR"/>
        </w:rPr>
        <w:t>Néanmoins, en dépit d</w:t>
      </w:r>
      <w:r w:rsidR="00607CA3">
        <w:rPr>
          <w:rFonts w:eastAsia="Calibri"/>
          <w:noProof/>
          <w:lang w:val="fr-FR"/>
        </w:rPr>
        <w:t>’</w:t>
      </w:r>
      <w:r>
        <w:rPr>
          <w:rFonts w:eastAsia="Calibri"/>
          <w:noProof/>
          <w:lang w:val="fr-FR"/>
        </w:rPr>
        <w:t>améliorations partielles, les conditions matérielles n</w:t>
      </w:r>
      <w:r w:rsidR="00607CA3">
        <w:rPr>
          <w:rFonts w:eastAsia="Calibri"/>
          <w:noProof/>
          <w:lang w:val="fr-FR"/>
        </w:rPr>
        <w:t>’</w:t>
      </w:r>
      <w:r>
        <w:rPr>
          <w:rFonts w:eastAsia="Calibri"/>
          <w:noProof/>
          <w:lang w:val="fr-FR"/>
        </w:rPr>
        <w:t>y sont pas conformes aux normes minimales applicables à la privation de liberté des mineurs</w:t>
      </w:r>
      <w:r w:rsidRPr="00191307">
        <w:rPr>
          <w:rFonts w:eastAsia="Calibri"/>
          <w:noProof/>
          <w:lang w:val="fr-FR"/>
        </w:rPr>
        <w:t xml:space="preserve">. </w:t>
      </w:r>
      <w:r>
        <w:rPr>
          <w:rFonts w:eastAsia="Calibri"/>
          <w:noProof/>
          <w:lang w:val="fr-FR"/>
        </w:rPr>
        <w:t>Afin de régler les problèmes matériels et de fermer l</w:t>
      </w:r>
      <w:r w:rsidR="00607CA3">
        <w:rPr>
          <w:rFonts w:eastAsia="Calibri"/>
          <w:noProof/>
          <w:lang w:val="fr-FR"/>
        </w:rPr>
        <w:t>’</w:t>
      </w:r>
      <w:r>
        <w:rPr>
          <w:rFonts w:eastAsia="Calibri"/>
          <w:noProof/>
          <w:lang w:val="fr-FR"/>
        </w:rPr>
        <w:t xml:space="preserve">un des quartiers de détention </w:t>
      </w:r>
      <w:r w:rsidRPr="00191307">
        <w:rPr>
          <w:rFonts w:eastAsia="Calibri"/>
          <w:noProof/>
          <w:lang w:val="fr-FR"/>
        </w:rPr>
        <w:t xml:space="preserve">(la </w:t>
      </w:r>
      <w:r>
        <w:rPr>
          <w:rFonts w:eastAsia="Calibri"/>
          <w:noProof/>
          <w:lang w:val="fr-FR"/>
        </w:rPr>
        <w:t>c</w:t>
      </w:r>
      <w:r w:rsidRPr="00191307">
        <w:rPr>
          <w:rFonts w:eastAsia="Calibri"/>
          <w:noProof/>
          <w:lang w:val="fr-FR"/>
        </w:rPr>
        <w:t>oloni</w:t>
      </w:r>
      <w:r>
        <w:rPr>
          <w:rFonts w:eastAsia="Calibri"/>
          <w:noProof/>
          <w:lang w:val="fr-FR"/>
        </w:rPr>
        <w:t>e</w:t>
      </w:r>
      <w:r w:rsidRPr="00191307">
        <w:rPr>
          <w:rFonts w:eastAsia="Calibri"/>
          <w:noProof/>
          <w:lang w:val="fr-FR"/>
        </w:rPr>
        <w:t xml:space="preserve"> Berro, qu</w:t>
      </w:r>
      <w:r>
        <w:rPr>
          <w:rFonts w:eastAsia="Calibri"/>
          <w:noProof/>
          <w:lang w:val="fr-FR"/>
        </w:rPr>
        <w:t>i comprend sept centres qui accueillent au total 197 adolescent</w:t>
      </w:r>
      <w:r w:rsidRPr="00191307">
        <w:rPr>
          <w:rFonts w:eastAsia="Calibri"/>
          <w:noProof/>
          <w:lang w:val="fr-FR"/>
        </w:rPr>
        <w:t>s)</w:t>
      </w:r>
      <w:r>
        <w:rPr>
          <w:rFonts w:eastAsia="Calibri"/>
          <w:noProof/>
          <w:lang w:val="fr-FR"/>
        </w:rPr>
        <w:t>, il est prévu de remplacer ce quartier par un nouveau complexe qui permette d</w:t>
      </w:r>
      <w:r w:rsidR="00607CA3">
        <w:rPr>
          <w:rFonts w:eastAsia="Calibri"/>
          <w:noProof/>
          <w:lang w:val="fr-FR"/>
        </w:rPr>
        <w:t>’</w:t>
      </w:r>
      <w:r>
        <w:rPr>
          <w:rFonts w:eastAsia="Calibri"/>
          <w:noProof/>
          <w:lang w:val="fr-FR"/>
        </w:rPr>
        <w:t xml:space="preserve">appliquer des mesures socioéducatives conformes à la réglementation nationale et internationale en </w:t>
      </w:r>
      <w:r>
        <w:rPr>
          <w:rFonts w:eastAsia="Calibri"/>
          <w:noProof/>
          <w:lang w:val="fr-FR"/>
        </w:rPr>
        <w:lastRenderedPageBreak/>
        <w:t xml:space="preserve">matière de </w:t>
      </w:r>
      <w:r w:rsidRPr="00191307">
        <w:rPr>
          <w:rFonts w:eastAsia="Calibri"/>
          <w:noProof/>
          <w:lang w:val="fr-FR"/>
        </w:rPr>
        <w:t>protec</w:t>
      </w:r>
      <w:r>
        <w:rPr>
          <w:rFonts w:eastAsia="Calibri"/>
          <w:noProof/>
          <w:lang w:val="fr-FR"/>
        </w:rPr>
        <w:t>tion des droits de l</w:t>
      </w:r>
      <w:r w:rsidR="00607CA3">
        <w:rPr>
          <w:rFonts w:eastAsia="Calibri"/>
          <w:noProof/>
          <w:lang w:val="fr-FR"/>
        </w:rPr>
        <w:t>’</w:t>
      </w:r>
      <w:r>
        <w:rPr>
          <w:rFonts w:eastAsia="Calibri"/>
          <w:noProof/>
          <w:lang w:val="fr-FR"/>
        </w:rPr>
        <w:t>homme</w:t>
      </w:r>
      <w:r w:rsidRPr="00191307">
        <w:rPr>
          <w:rFonts w:eastAsia="Calibri"/>
          <w:noProof/>
          <w:lang w:val="fr-FR"/>
        </w:rPr>
        <w:t>. S</w:t>
      </w:r>
      <w:r>
        <w:rPr>
          <w:rFonts w:eastAsia="Calibri"/>
          <w:noProof/>
          <w:lang w:val="fr-FR"/>
        </w:rPr>
        <w:t>on ouverture est prévue pour la fin de 2018 ou le début de 2019. Pa</w:t>
      </w:r>
      <w:r w:rsidRPr="00191307">
        <w:rPr>
          <w:rFonts w:eastAsia="Calibri"/>
          <w:noProof/>
          <w:lang w:val="fr-FR"/>
        </w:rPr>
        <w:t xml:space="preserve">r </w:t>
      </w:r>
      <w:r>
        <w:rPr>
          <w:rFonts w:eastAsia="Calibri"/>
          <w:noProof/>
          <w:lang w:val="fr-FR"/>
        </w:rPr>
        <w:t>ailleurs, les plaintes concernant les installations inaugurées en 2014 qui ne répondaient pas aux critères minimaux concernant l</w:t>
      </w:r>
      <w:r w:rsidR="00607CA3">
        <w:rPr>
          <w:rFonts w:eastAsia="Calibri"/>
          <w:noProof/>
          <w:lang w:val="fr-FR"/>
        </w:rPr>
        <w:t>’</w:t>
      </w:r>
      <w:r>
        <w:rPr>
          <w:rFonts w:eastAsia="Calibri"/>
          <w:noProof/>
          <w:lang w:val="fr-FR"/>
        </w:rPr>
        <w:t>accueil de mineurs privés de liberté ont été déposées</w:t>
      </w:r>
      <w:r w:rsidRPr="00191307">
        <w:rPr>
          <w:rFonts w:eastAsia="Calibri"/>
          <w:noProof/>
          <w:lang w:val="fr-FR"/>
        </w:rPr>
        <w:t xml:space="preserve">, </w:t>
      </w:r>
      <w:r>
        <w:rPr>
          <w:rFonts w:eastAsia="Calibri"/>
          <w:noProof/>
          <w:lang w:val="fr-FR"/>
        </w:rPr>
        <w:t>et les procédures judiciaires suivent leur cours</w:t>
      </w:r>
      <w:r w:rsidRPr="00191307">
        <w:rPr>
          <w:noProof/>
          <w:lang w:val="fr-FR" w:eastAsia="es-UY"/>
        </w:rPr>
        <w:t>.</w:t>
      </w:r>
      <w:r w:rsidRPr="00191307">
        <w:rPr>
          <w:i/>
          <w:noProof/>
          <w:sz w:val="22"/>
          <w:szCs w:val="22"/>
          <w:lang w:val="fr-FR" w:eastAsia="es-UY"/>
        </w:rPr>
        <w:t xml:space="preserve"> </w:t>
      </w:r>
      <w:r w:rsidRPr="000D19A8">
        <w:rPr>
          <w:noProof/>
          <w:lang w:val="fr-FR" w:eastAsia="es-UY"/>
        </w:rPr>
        <w:t>S</w:t>
      </w:r>
      <w:r w:rsidR="00607CA3">
        <w:rPr>
          <w:noProof/>
          <w:lang w:val="fr-FR" w:eastAsia="es-UY"/>
        </w:rPr>
        <w:t>’</w:t>
      </w:r>
      <w:r w:rsidRPr="000D19A8">
        <w:rPr>
          <w:noProof/>
          <w:lang w:val="fr-FR" w:eastAsia="es-UY"/>
        </w:rPr>
        <w:t xml:space="preserve">agissant </w:t>
      </w:r>
      <w:r>
        <w:rPr>
          <w:noProof/>
          <w:lang w:val="fr-FR" w:eastAsia="es-UY"/>
        </w:rPr>
        <w:t>du c</w:t>
      </w:r>
      <w:r w:rsidRPr="00191307">
        <w:rPr>
          <w:noProof/>
          <w:lang w:val="fr-FR" w:eastAsia="es-UY"/>
        </w:rPr>
        <w:t>entr</w:t>
      </w:r>
      <w:r>
        <w:rPr>
          <w:noProof/>
          <w:lang w:val="fr-FR" w:eastAsia="es-UY"/>
        </w:rPr>
        <w:t>e de détention pour femmes, on notera qu</w:t>
      </w:r>
      <w:r w:rsidR="00607CA3">
        <w:rPr>
          <w:noProof/>
          <w:lang w:val="fr-FR" w:eastAsia="es-UY"/>
        </w:rPr>
        <w:t>’</w:t>
      </w:r>
      <w:r>
        <w:rPr>
          <w:noProof/>
          <w:lang w:val="fr-FR" w:eastAsia="es-UY"/>
        </w:rPr>
        <w:t>il accueille moins de la moitié des adolescente</w:t>
      </w:r>
      <w:r w:rsidRPr="00191307">
        <w:rPr>
          <w:noProof/>
          <w:lang w:val="fr-FR" w:eastAsia="es-UY"/>
        </w:rPr>
        <w:t>s qu</w:t>
      </w:r>
      <w:r w:rsidR="00607CA3">
        <w:rPr>
          <w:noProof/>
          <w:lang w:val="fr-FR" w:eastAsia="es-UY"/>
        </w:rPr>
        <w:t>’</w:t>
      </w:r>
      <w:r>
        <w:rPr>
          <w:noProof/>
          <w:lang w:val="fr-FR" w:eastAsia="es-UY"/>
        </w:rPr>
        <w:t xml:space="preserve">il accueillait en </w:t>
      </w:r>
      <w:r w:rsidRPr="00191307">
        <w:rPr>
          <w:noProof/>
          <w:lang w:val="fr-FR" w:eastAsia="es-UY"/>
        </w:rPr>
        <w:t xml:space="preserve">2014 </w:t>
      </w:r>
      <w:r>
        <w:rPr>
          <w:noProof/>
          <w:lang w:val="fr-FR" w:eastAsia="es-UY"/>
        </w:rPr>
        <w:t>et que des crédits ont été alloués au titre de travaux de réfection et d</w:t>
      </w:r>
      <w:r w:rsidR="00607CA3">
        <w:rPr>
          <w:noProof/>
          <w:lang w:val="fr-FR" w:eastAsia="es-UY"/>
        </w:rPr>
        <w:t>’</w:t>
      </w:r>
      <w:r>
        <w:rPr>
          <w:noProof/>
          <w:lang w:val="fr-FR" w:eastAsia="es-UY"/>
        </w:rPr>
        <w:t>agrandissement à faire réaliser par le Ministère des transports et des travaux publics</w:t>
      </w:r>
      <w:r w:rsidRPr="00191307">
        <w:rPr>
          <w:noProof/>
          <w:lang w:val="fr-FR" w:eastAsia="es-UY"/>
        </w:rPr>
        <w:t>.</w:t>
      </w:r>
    </w:p>
    <w:p w:rsidR="00596826" w:rsidRPr="00FC2919" w:rsidRDefault="00596826" w:rsidP="00527502">
      <w:pPr>
        <w:pStyle w:val="H23G"/>
        <w:rPr>
          <w:noProof/>
          <w:lang w:val="fr-FR"/>
        </w:rPr>
      </w:pPr>
      <w:r w:rsidRPr="00411326">
        <w:tab/>
      </w:r>
      <w:r w:rsidRPr="00411326">
        <w:tab/>
      </w:r>
      <w:r w:rsidRPr="00FC2919">
        <w:rPr>
          <w:noProof/>
          <w:lang w:val="fr-FR"/>
        </w:rPr>
        <w:t>Réponse au</w:t>
      </w:r>
      <w:r>
        <w:rPr>
          <w:noProof/>
          <w:lang w:val="fr-FR"/>
        </w:rPr>
        <w:t xml:space="preserve"> paragraphe </w:t>
      </w:r>
      <w:r w:rsidRPr="00FC2919">
        <w:rPr>
          <w:noProof/>
          <w:lang w:val="fr-FR"/>
        </w:rPr>
        <w:t xml:space="preserve">20 de la </w:t>
      </w:r>
      <w:r>
        <w:rPr>
          <w:noProof/>
          <w:lang w:val="fr-FR"/>
        </w:rPr>
        <w:t>liste de points</w:t>
      </w:r>
    </w:p>
    <w:p w:rsidR="00596826" w:rsidRPr="0006149A" w:rsidRDefault="00596826" w:rsidP="00596826">
      <w:pPr>
        <w:pStyle w:val="SingleTxtG"/>
        <w:rPr>
          <w:rFonts w:eastAsia="Calibri"/>
          <w:noProof/>
          <w:spacing w:val="-2"/>
          <w:lang w:val="fr-FR"/>
        </w:rPr>
      </w:pPr>
      <w:r w:rsidRPr="00FC2919">
        <w:rPr>
          <w:rFonts w:eastAsia="Calibri"/>
          <w:noProof/>
          <w:lang w:val="fr-FR"/>
        </w:rPr>
        <w:t>139.</w:t>
      </w:r>
      <w:r w:rsidRPr="00FC2919">
        <w:rPr>
          <w:rFonts w:eastAsia="Calibri"/>
          <w:noProof/>
          <w:lang w:val="fr-FR"/>
        </w:rPr>
        <w:tab/>
      </w:r>
      <w:r>
        <w:rPr>
          <w:rFonts w:eastAsia="Calibri"/>
          <w:noProof/>
          <w:lang w:val="fr-FR"/>
        </w:rPr>
        <w:t xml:space="preserve">Dans le système pénitentiaire national, le </w:t>
      </w:r>
      <w:r w:rsidRPr="00FC2919">
        <w:rPr>
          <w:rFonts w:eastAsia="Calibri"/>
          <w:noProof/>
          <w:lang w:val="fr-FR"/>
        </w:rPr>
        <w:t>clima</w:t>
      </w:r>
      <w:r>
        <w:rPr>
          <w:rFonts w:eastAsia="Calibri"/>
          <w:noProof/>
          <w:lang w:val="fr-FR"/>
        </w:rPr>
        <w:t>t de cohabitation n</w:t>
      </w:r>
      <w:r w:rsidR="00607CA3">
        <w:rPr>
          <w:rFonts w:eastAsia="Calibri"/>
          <w:noProof/>
          <w:lang w:val="fr-FR"/>
        </w:rPr>
        <w:t>’</w:t>
      </w:r>
      <w:r>
        <w:rPr>
          <w:rFonts w:eastAsia="Calibri"/>
          <w:noProof/>
          <w:lang w:val="fr-FR"/>
        </w:rPr>
        <w:t xml:space="preserve">est pas </w:t>
      </w:r>
      <w:r w:rsidRPr="00FC2919">
        <w:rPr>
          <w:rFonts w:eastAsia="Calibri"/>
          <w:noProof/>
          <w:lang w:val="fr-FR"/>
        </w:rPr>
        <w:t>homog</w:t>
      </w:r>
      <w:r>
        <w:rPr>
          <w:rFonts w:eastAsia="Calibri"/>
          <w:noProof/>
          <w:lang w:val="fr-FR"/>
        </w:rPr>
        <w:t>ène</w:t>
      </w:r>
      <w:r w:rsidRPr="00FC2919">
        <w:rPr>
          <w:rFonts w:eastAsia="Calibri"/>
          <w:noProof/>
          <w:lang w:val="fr-FR"/>
        </w:rPr>
        <w:t>. A</w:t>
      </w:r>
      <w:r>
        <w:rPr>
          <w:rFonts w:eastAsia="Calibri"/>
          <w:noProof/>
          <w:lang w:val="fr-FR"/>
        </w:rPr>
        <w:t xml:space="preserve">u </w:t>
      </w:r>
      <w:r w:rsidRPr="00FC2919">
        <w:rPr>
          <w:rFonts w:eastAsia="Calibri"/>
          <w:noProof/>
          <w:lang w:val="fr-FR"/>
        </w:rPr>
        <w:t>2</w:t>
      </w:r>
      <w:r w:rsidR="00527502">
        <w:rPr>
          <w:rFonts w:eastAsia="Calibri"/>
          <w:noProof/>
          <w:lang w:val="fr-FR"/>
        </w:rPr>
        <w:t> </w:t>
      </w:r>
      <w:r w:rsidRPr="00FC2919">
        <w:rPr>
          <w:rFonts w:eastAsia="Calibri"/>
          <w:noProof/>
          <w:lang w:val="fr-FR"/>
        </w:rPr>
        <w:t>oct</w:t>
      </w:r>
      <w:r>
        <w:rPr>
          <w:rFonts w:eastAsia="Calibri"/>
          <w:noProof/>
          <w:lang w:val="fr-FR"/>
        </w:rPr>
        <w:t>o</w:t>
      </w:r>
      <w:r w:rsidRPr="00FC2919">
        <w:rPr>
          <w:rFonts w:eastAsia="Calibri"/>
          <w:noProof/>
          <w:lang w:val="fr-FR"/>
        </w:rPr>
        <w:t xml:space="preserve">bre 2017, </w:t>
      </w:r>
      <w:r>
        <w:rPr>
          <w:rFonts w:eastAsia="Calibri"/>
          <w:noProof/>
          <w:lang w:val="fr-FR"/>
        </w:rPr>
        <w:t xml:space="preserve">on avait enregistré </w:t>
      </w:r>
      <w:r w:rsidRPr="00FC2919">
        <w:rPr>
          <w:rFonts w:eastAsia="Calibri"/>
          <w:noProof/>
          <w:lang w:val="fr-FR"/>
        </w:rPr>
        <w:t xml:space="preserve">34 </w:t>
      </w:r>
      <w:r>
        <w:rPr>
          <w:rFonts w:eastAsia="Calibri"/>
          <w:noProof/>
          <w:lang w:val="fr-FR"/>
        </w:rPr>
        <w:t xml:space="preserve">décès </w:t>
      </w:r>
      <w:r w:rsidRPr="00FC2919">
        <w:rPr>
          <w:rFonts w:eastAsia="Calibri"/>
          <w:noProof/>
          <w:lang w:val="fr-FR"/>
        </w:rPr>
        <w:t>(</w:t>
      </w:r>
      <w:r>
        <w:rPr>
          <w:rFonts w:eastAsia="Calibri"/>
          <w:noProof/>
          <w:lang w:val="fr-FR"/>
        </w:rPr>
        <w:t xml:space="preserve">33 dans les centres et un pendant une permission de sortir), dont </w:t>
      </w:r>
      <w:r w:rsidRPr="00FC2919">
        <w:rPr>
          <w:rFonts w:eastAsia="Calibri"/>
          <w:noProof/>
          <w:lang w:val="fr-FR"/>
        </w:rPr>
        <w:t>11 homicid</w:t>
      </w:r>
      <w:r>
        <w:rPr>
          <w:rFonts w:eastAsia="Calibri"/>
          <w:noProof/>
          <w:lang w:val="fr-FR"/>
        </w:rPr>
        <w:t xml:space="preserve">es, </w:t>
      </w:r>
      <w:r w:rsidR="0006149A">
        <w:rPr>
          <w:rFonts w:eastAsia="Calibri"/>
          <w:noProof/>
          <w:lang w:val="fr-FR"/>
        </w:rPr>
        <w:t>8</w:t>
      </w:r>
      <w:r w:rsidRPr="00FC2919">
        <w:rPr>
          <w:rFonts w:eastAsia="Calibri"/>
          <w:noProof/>
          <w:lang w:val="fr-FR"/>
        </w:rPr>
        <w:t xml:space="preserve"> suicid</w:t>
      </w:r>
      <w:r>
        <w:rPr>
          <w:rFonts w:eastAsia="Calibri"/>
          <w:noProof/>
          <w:lang w:val="fr-FR"/>
        </w:rPr>
        <w:t>e</w:t>
      </w:r>
      <w:r w:rsidRPr="00FC2919">
        <w:rPr>
          <w:rFonts w:eastAsia="Calibri"/>
          <w:noProof/>
          <w:lang w:val="fr-FR"/>
        </w:rPr>
        <w:t xml:space="preserve">s </w:t>
      </w:r>
      <w:r>
        <w:rPr>
          <w:rFonts w:eastAsia="Calibri"/>
          <w:noProof/>
          <w:lang w:val="fr-FR"/>
        </w:rPr>
        <w:t xml:space="preserve">et </w:t>
      </w:r>
      <w:r w:rsidRPr="00FC2919">
        <w:rPr>
          <w:rFonts w:eastAsia="Calibri"/>
          <w:noProof/>
          <w:lang w:val="fr-FR"/>
        </w:rPr>
        <w:t>15</w:t>
      </w:r>
      <w:r>
        <w:rPr>
          <w:rFonts w:eastAsia="Calibri"/>
          <w:noProof/>
          <w:lang w:val="fr-FR"/>
        </w:rPr>
        <w:t xml:space="preserve"> décès dus à d</w:t>
      </w:r>
      <w:r w:rsidR="00607CA3">
        <w:rPr>
          <w:rFonts w:eastAsia="Calibri"/>
          <w:noProof/>
          <w:lang w:val="fr-FR"/>
        </w:rPr>
        <w:t>’</w:t>
      </w:r>
      <w:r>
        <w:rPr>
          <w:rFonts w:eastAsia="Calibri"/>
          <w:noProof/>
          <w:lang w:val="fr-FR"/>
        </w:rPr>
        <w:t>autres causes</w:t>
      </w:r>
      <w:r w:rsidRPr="00FC2919">
        <w:rPr>
          <w:rFonts w:eastAsia="Calibri"/>
          <w:noProof/>
          <w:lang w:val="fr-FR"/>
        </w:rPr>
        <w:t xml:space="preserve">. </w:t>
      </w:r>
      <w:r>
        <w:rPr>
          <w:rFonts w:eastAsia="Calibri"/>
          <w:noProof/>
          <w:lang w:val="fr-FR"/>
        </w:rPr>
        <w:t xml:space="preserve">Sur les </w:t>
      </w:r>
      <w:r w:rsidRPr="00FC2919">
        <w:rPr>
          <w:rFonts w:eastAsia="Calibri"/>
          <w:noProof/>
          <w:lang w:val="fr-FR"/>
        </w:rPr>
        <w:t xml:space="preserve">11 </w:t>
      </w:r>
      <w:r>
        <w:rPr>
          <w:rFonts w:eastAsia="Calibri"/>
          <w:noProof/>
          <w:lang w:val="fr-FR"/>
        </w:rPr>
        <w:t xml:space="preserve">décès enregistrés au </w:t>
      </w:r>
      <w:r w:rsidRPr="00FC2919">
        <w:rPr>
          <w:rFonts w:eastAsia="Calibri"/>
          <w:noProof/>
          <w:lang w:val="fr-FR"/>
        </w:rPr>
        <w:t>31</w:t>
      </w:r>
      <w:r w:rsidR="0006149A">
        <w:rPr>
          <w:rFonts w:eastAsia="Calibri"/>
          <w:noProof/>
          <w:lang w:val="fr-FR"/>
        </w:rPr>
        <w:t> </w:t>
      </w:r>
      <w:r>
        <w:rPr>
          <w:rFonts w:eastAsia="Calibri"/>
          <w:noProof/>
          <w:lang w:val="fr-FR"/>
        </w:rPr>
        <w:t>mars</w:t>
      </w:r>
      <w:r w:rsidRPr="00FC2919">
        <w:rPr>
          <w:rFonts w:eastAsia="Calibri"/>
          <w:noProof/>
          <w:lang w:val="fr-FR"/>
        </w:rPr>
        <w:t xml:space="preserve"> 2018</w:t>
      </w:r>
      <w:r>
        <w:rPr>
          <w:rFonts w:eastAsia="Calibri"/>
          <w:noProof/>
          <w:lang w:val="fr-FR"/>
        </w:rPr>
        <w:t xml:space="preserve">, on a relevé </w:t>
      </w:r>
      <w:r w:rsidR="00691AD9">
        <w:rPr>
          <w:rFonts w:eastAsia="Calibri"/>
          <w:noProof/>
          <w:lang w:val="fr-FR"/>
        </w:rPr>
        <w:t>5</w:t>
      </w:r>
      <w:r w:rsidRPr="00FC2919">
        <w:rPr>
          <w:rFonts w:eastAsia="Calibri"/>
          <w:noProof/>
          <w:lang w:val="fr-FR"/>
        </w:rPr>
        <w:t xml:space="preserve"> homicid</w:t>
      </w:r>
      <w:r>
        <w:rPr>
          <w:rFonts w:eastAsia="Calibri"/>
          <w:noProof/>
          <w:lang w:val="fr-FR"/>
        </w:rPr>
        <w:t>e</w:t>
      </w:r>
      <w:r w:rsidRPr="00FC2919">
        <w:rPr>
          <w:rFonts w:eastAsia="Calibri"/>
          <w:noProof/>
          <w:lang w:val="fr-FR"/>
        </w:rPr>
        <w:t xml:space="preserve">s, </w:t>
      </w:r>
      <w:r w:rsidR="00691AD9">
        <w:rPr>
          <w:rFonts w:eastAsia="Calibri"/>
          <w:noProof/>
          <w:lang w:val="fr-FR"/>
        </w:rPr>
        <w:t>2</w:t>
      </w:r>
      <w:r w:rsidRPr="00FC2919">
        <w:rPr>
          <w:rFonts w:eastAsia="Calibri"/>
          <w:noProof/>
          <w:lang w:val="fr-FR"/>
        </w:rPr>
        <w:t xml:space="preserve"> suicid</w:t>
      </w:r>
      <w:r>
        <w:rPr>
          <w:rFonts w:eastAsia="Calibri"/>
          <w:noProof/>
          <w:lang w:val="fr-FR"/>
        </w:rPr>
        <w:t>e</w:t>
      </w:r>
      <w:r w:rsidRPr="00FC2919">
        <w:rPr>
          <w:rFonts w:eastAsia="Calibri"/>
          <w:noProof/>
          <w:lang w:val="fr-FR"/>
        </w:rPr>
        <w:t xml:space="preserve">s </w:t>
      </w:r>
      <w:r>
        <w:rPr>
          <w:rFonts w:eastAsia="Calibri"/>
          <w:noProof/>
          <w:lang w:val="fr-FR"/>
        </w:rPr>
        <w:t>et</w:t>
      </w:r>
      <w:r w:rsidRPr="00FC2919">
        <w:rPr>
          <w:rFonts w:eastAsia="Calibri"/>
          <w:noProof/>
          <w:lang w:val="fr-FR"/>
        </w:rPr>
        <w:t xml:space="preserve"> </w:t>
      </w:r>
      <w:r w:rsidR="00691AD9">
        <w:rPr>
          <w:rFonts w:eastAsia="Calibri"/>
          <w:noProof/>
          <w:lang w:val="fr-FR"/>
        </w:rPr>
        <w:t>4</w:t>
      </w:r>
      <w:r w:rsidRPr="00FC2919">
        <w:rPr>
          <w:rFonts w:eastAsia="Calibri"/>
          <w:noProof/>
          <w:lang w:val="fr-FR"/>
        </w:rPr>
        <w:t xml:space="preserve"> </w:t>
      </w:r>
      <w:r>
        <w:rPr>
          <w:rFonts w:eastAsia="Calibri"/>
          <w:noProof/>
          <w:lang w:val="fr-FR"/>
        </w:rPr>
        <w:t>décès dus à d</w:t>
      </w:r>
      <w:r w:rsidR="00607CA3">
        <w:rPr>
          <w:rFonts w:eastAsia="Calibri"/>
          <w:noProof/>
          <w:lang w:val="fr-FR"/>
        </w:rPr>
        <w:t>’</w:t>
      </w:r>
      <w:r>
        <w:rPr>
          <w:rFonts w:eastAsia="Calibri"/>
          <w:noProof/>
          <w:lang w:val="fr-FR"/>
        </w:rPr>
        <w:t>autres causes</w:t>
      </w:r>
      <w:r w:rsidRPr="00FC2919">
        <w:rPr>
          <w:rFonts w:eastAsia="Calibri"/>
          <w:noProof/>
          <w:lang w:val="fr-FR"/>
        </w:rPr>
        <w:t xml:space="preserve">. </w:t>
      </w:r>
      <w:r>
        <w:rPr>
          <w:rFonts w:eastAsia="Calibri"/>
          <w:noProof/>
          <w:lang w:val="fr-FR"/>
        </w:rPr>
        <w:t xml:space="preserve">Tous les cas de décès sont immédiatement </w:t>
      </w:r>
      <w:r w:rsidRPr="0006149A">
        <w:rPr>
          <w:rFonts w:eastAsia="Calibri"/>
          <w:noProof/>
          <w:spacing w:val="-2"/>
          <w:lang w:val="fr-FR"/>
        </w:rPr>
        <w:t>notifiés à l</w:t>
      </w:r>
      <w:r w:rsidR="00607CA3" w:rsidRPr="0006149A">
        <w:rPr>
          <w:rFonts w:eastAsia="Calibri"/>
          <w:noProof/>
          <w:spacing w:val="-2"/>
          <w:lang w:val="fr-FR"/>
        </w:rPr>
        <w:t>’</w:t>
      </w:r>
      <w:r w:rsidRPr="0006149A">
        <w:rPr>
          <w:rFonts w:eastAsia="Calibri"/>
          <w:noProof/>
          <w:spacing w:val="-2"/>
          <w:lang w:val="fr-FR"/>
        </w:rPr>
        <w:t>autorité judiciaire compétente et font l</w:t>
      </w:r>
      <w:r w:rsidR="00607CA3" w:rsidRPr="0006149A">
        <w:rPr>
          <w:rFonts w:eastAsia="Calibri"/>
          <w:noProof/>
          <w:spacing w:val="-2"/>
          <w:lang w:val="fr-FR"/>
        </w:rPr>
        <w:t>’</w:t>
      </w:r>
      <w:r w:rsidRPr="0006149A">
        <w:rPr>
          <w:rFonts w:eastAsia="Calibri"/>
          <w:noProof/>
          <w:spacing w:val="-2"/>
          <w:lang w:val="fr-FR"/>
        </w:rPr>
        <w:t>objet d</w:t>
      </w:r>
      <w:r w:rsidR="00607CA3" w:rsidRPr="0006149A">
        <w:rPr>
          <w:rFonts w:eastAsia="Calibri"/>
          <w:noProof/>
          <w:spacing w:val="-2"/>
          <w:lang w:val="fr-FR"/>
        </w:rPr>
        <w:t>’</w:t>
      </w:r>
      <w:r w:rsidRPr="0006149A">
        <w:rPr>
          <w:rFonts w:eastAsia="Calibri"/>
          <w:noProof/>
          <w:spacing w:val="-2"/>
          <w:lang w:val="fr-FR"/>
        </w:rPr>
        <w:t xml:space="preserve">une </w:t>
      </w:r>
      <w:r w:rsidRPr="0006149A">
        <w:rPr>
          <w:rFonts w:eastAsia="Calibri"/>
          <w:noProof/>
          <w:lang w:val="fr-FR"/>
        </w:rPr>
        <w:t>enquête administrative</w:t>
      </w:r>
      <w:r w:rsidRPr="0006149A">
        <w:rPr>
          <w:rFonts w:eastAsia="Calibri"/>
          <w:noProof/>
          <w:spacing w:val="-2"/>
          <w:lang w:val="fr-FR"/>
        </w:rPr>
        <w:t xml:space="preserve"> interne.</w:t>
      </w:r>
    </w:p>
    <w:p w:rsidR="00596826" w:rsidRPr="00FC2919" w:rsidRDefault="00596826" w:rsidP="00596826">
      <w:pPr>
        <w:pStyle w:val="SingleTxtG"/>
        <w:rPr>
          <w:rFonts w:eastAsia="Calibri"/>
          <w:noProof/>
          <w:lang w:val="fr-FR"/>
        </w:rPr>
      </w:pPr>
      <w:r w:rsidRPr="00FC2919">
        <w:rPr>
          <w:rFonts w:eastAsia="Calibri"/>
          <w:noProof/>
          <w:lang w:val="fr-FR"/>
        </w:rPr>
        <w:t>140.</w:t>
      </w:r>
      <w:r w:rsidRPr="00FC2919">
        <w:rPr>
          <w:rFonts w:eastAsia="Calibri"/>
          <w:noProof/>
          <w:lang w:val="fr-FR"/>
        </w:rPr>
        <w:tab/>
      </w:r>
      <w:r>
        <w:rPr>
          <w:rFonts w:eastAsia="Calibri"/>
          <w:noProof/>
          <w:lang w:val="fr-FR"/>
        </w:rPr>
        <w:t>Au cours de la période considérée, on a adopté des mesures telles que les suivantes :</w:t>
      </w:r>
      <w:r w:rsidRPr="00FC2919">
        <w:rPr>
          <w:rFonts w:eastAsia="Calibri"/>
          <w:noProof/>
          <w:lang w:val="fr-FR"/>
        </w:rPr>
        <w:t xml:space="preserve"> </w:t>
      </w:r>
      <w:r>
        <w:rPr>
          <w:rFonts w:eastAsia="Calibri"/>
          <w:noProof/>
          <w:lang w:val="fr-FR"/>
        </w:rPr>
        <w:t xml:space="preserve">définition de nouveaux </w:t>
      </w:r>
      <w:r w:rsidRPr="00FC2919">
        <w:rPr>
          <w:rFonts w:eastAsia="Calibri"/>
          <w:noProof/>
          <w:lang w:val="fr-FR"/>
        </w:rPr>
        <w:t>par</w:t>
      </w:r>
      <w:r>
        <w:rPr>
          <w:rFonts w:eastAsia="Calibri"/>
          <w:noProof/>
          <w:lang w:val="fr-FR"/>
        </w:rPr>
        <w:t>amètres de classification de la population</w:t>
      </w:r>
      <w:r w:rsidR="00691AD9">
        <w:rPr>
          <w:rFonts w:eastAsia="Calibri"/>
          <w:noProof/>
          <w:lang w:val="fr-FR"/>
        </w:rPr>
        <w:t> </w:t>
      </w:r>
      <w:r w:rsidRPr="00FC2919">
        <w:rPr>
          <w:rFonts w:eastAsia="Calibri"/>
          <w:noProof/>
          <w:lang w:val="fr-FR"/>
        </w:rPr>
        <w:t>; diversifica</w:t>
      </w:r>
      <w:r>
        <w:rPr>
          <w:rFonts w:eastAsia="Calibri"/>
          <w:noProof/>
          <w:lang w:val="fr-FR"/>
        </w:rPr>
        <w:t xml:space="preserve">tion </w:t>
      </w:r>
      <w:r w:rsidRPr="00FC2919">
        <w:rPr>
          <w:rFonts w:eastAsia="Calibri"/>
          <w:noProof/>
          <w:lang w:val="fr-FR"/>
        </w:rPr>
        <w:t>de l</w:t>
      </w:r>
      <w:r w:rsidR="00607CA3">
        <w:rPr>
          <w:rFonts w:eastAsia="Calibri"/>
          <w:noProof/>
          <w:lang w:val="fr-FR"/>
        </w:rPr>
        <w:t>’</w:t>
      </w:r>
      <w:r>
        <w:rPr>
          <w:rFonts w:eastAsia="Calibri"/>
          <w:noProof/>
          <w:lang w:val="fr-FR"/>
        </w:rPr>
        <w:t xml:space="preserve">offre de traitement en fonction des nouveaux profils </w:t>
      </w:r>
      <w:r w:rsidRPr="00FC2919">
        <w:rPr>
          <w:rFonts w:eastAsia="Calibri"/>
          <w:noProof/>
          <w:lang w:val="fr-FR"/>
        </w:rPr>
        <w:t>de progres</w:t>
      </w:r>
      <w:r>
        <w:rPr>
          <w:rFonts w:eastAsia="Calibri"/>
          <w:noProof/>
          <w:lang w:val="fr-FR"/>
        </w:rPr>
        <w:t>sivité et de régressivité</w:t>
      </w:r>
      <w:r w:rsidR="00691AD9">
        <w:rPr>
          <w:rFonts w:eastAsia="Calibri"/>
          <w:noProof/>
          <w:lang w:val="fr-FR"/>
        </w:rPr>
        <w:t> </w:t>
      </w:r>
      <w:r w:rsidRPr="00FC2919">
        <w:rPr>
          <w:rFonts w:eastAsia="Calibri"/>
          <w:noProof/>
          <w:lang w:val="fr-FR"/>
        </w:rPr>
        <w:t xml:space="preserve">; </w:t>
      </w:r>
      <w:r>
        <w:rPr>
          <w:rFonts w:eastAsia="Calibri"/>
          <w:noProof/>
          <w:lang w:val="fr-FR"/>
        </w:rPr>
        <w:t>amélioration de la technicité et augmentation du nombre des contrôles ordinaires et spéciaux en général et, en particulier, des lieux de cohabitation des détenus</w:t>
      </w:r>
      <w:r w:rsidR="00691AD9">
        <w:rPr>
          <w:rFonts w:eastAsia="Calibri"/>
          <w:noProof/>
          <w:lang w:val="fr-FR"/>
        </w:rPr>
        <w:t> </w:t>
      </w:r>
      <w:r w:rsidRPr="00FC2919">
        <w:rPr>
          <w:rFonts w:eastAsia="Calibri"/>
          <w:noProof/>
          <w:lang w:val="fr-FR"/>
        </w:rPr>
        <w:t xml:space="preserve">; </w:t>
      </w:r>
      <w:r>
        <w:rPr>
          <w:rFonts w:eastAsia="Calibri"/>
          <w:noProof/>
          <w:lang w:val="fr-FR"/>
        </w:rPr>
        <w:t xml:space="preserve">et </w:t>
      </w:r>
      <w:r w:rsidRPr="00FC2919">
        <w:rPr>
          <w:rFonts w:eastAsia="Calibri"/>
          <w:noProof/>
          <w:lang w:val="fr-FR"/>
        </w:rPr>
        <w:t>r</w:t>
      </w:r>
      <w:r>
        <w:rPr>
          <w:rFonts w:eastAsia="Calibri"/>
          <w:noProof/>
          <w:lang w:val="fr-FR"/>
        </w:rPr>
        <w:t>é</w:t>
      </w:r>
      <w:r w:rsidRPr="00FC2919">
        <w:rPr>
          <w:rFonts w:eastAsia="Calibri"/>
          <w:noProof/>
          <w:lang w:val="fr-FR"/>
        </w:rPr>
        <w:t>para</w:t>
      </w:r>
      <w:r>
        <w:rPr>
          <w:rFonts w:eastAsia="Calibri"/>
          <w:noProof/>
          <w:lang w:val="fr-FR"/>
        </w:rPr>
        <w:t>tion, entretien et modification des infrastructures</w:t>
      </w:r>
      <w:r w:rsidRPr="00FC2919">
        <w:rPr>
          <w:rFonts w:eastAsia="Calibri"/>
          <w:noProof/>
          <w:lang w:val="fr-FR"/>
        </w:rPr>
        <w:t>.</w:t>
      </w:r>
    </w:p>
    <w:p w:rsidR="00596826" w:rsidRPr="00FC2919" w:rsidRDefault="00596826" w:rsidP="00596826">
      <w:pPr>
        <w:pStyle w:val="SingleTxtG"/>
        <w:rPr>
          <w:rFonts w:eastAsia="Calibri"/>
          <w:noProof/>
          <w:lang w:val="fr-FR"/>
        </w:rPr>
      </w:pPr>
      <w:r w:rsidRPr="00FC2919">
        <w:rPr>
          <w:rFonts w:eastAsia="Calibri"/>
          <w:noProof/>
          <w:lang w:val="fr-FR"/>
        </w:rPr>
        <w:t>141.</w:t>
      </w:r>
      <w:r w:rsidRPr="00FC2919">
        <w:rPr>
          <w:rFonts w:eastAsia="Calibri"/>
          <w:noProof/>
          <w:lang w:val="fr-FR"/>
        </w:rPr>
        <w:tab/>
      </w:r>
      <w:r>
        <w:rPr>
          <w:rFonts w:eastAsia="Calibri"/>
          <w:noProof/>
          <w:lang w:val="fr-FR"/>
        </w:rPr>
        <w:t xml:space="preserve">Le </w:t>
      </w:r>
      <w:r w:rsidRPr="00FC2919">
        <w:rPr>
          <w:rFonts w:eastAsia="Calibri"/>
          <w:noProof/>
          <w:lang w:val="fr-FR"/>
        </w:rPr>
        <w:t>28</w:t>
      </w:r>
      <w:r w:rsidR="00527502">
        <w:rPr>
          <w:rFonts w:eastAsia="Calibri"/>
          <w:noProof/>
          <w:lang w:val="fr-FR"/>
        </w:rPr>
        <w:t> </w:t>
      </w:r>
      <w:r>
        <w:rPr>
          <w:rFonts w:eastAsia="Calibri"/>
          <w:noProof/>
          <w:lang w:val="fr-FR"/>
        </w:rPr>
        <w:t xml:space="preserve">avril </w:t>
      </w:r>
      <w:r w:rsidRPr="00FC2919">
        <w:rPr>
          <w:rFonts w:eastAsia="Calibri"/>
          <w:noProof/>
          <w:lang w:val="fr-FR"/>
        </w:rPr>
        <w:t>de 2016</w:t>
      </w:r>
      <w:r>
        <w:rPr>
          <w:rFonts w:eastAsia="Calibri"/>
          <w:noProof/>
          <w:lang w:val="fr-FR"/>
        </w:rPr>
        <w:t xml:space="preserve">, le </w:t>
      </w:r>
      <w:r>
        <w:rPr>
          <w:noProof/>
          <w:lang w:val="fr-FR"/>
        </w:rPr>
        <w:t xml:space="preserve">délégué parlementaire aux affaires pénitentiaires a soumis au Parlement un rapport sur la situation de la violence au centre pénitentiaire </w:t>
      </w:r>
      <w:r w:rsidR="00527502" w:rsidRPr="00527502">
        <w:rPr>
          <w:rFonts w:eastAsia="MS Mincho"/>
          <w:noProof/>
          <w:szCs w:val="22"/>
          <w:lang w:val="fr-FR"/>
        </w:rPr>
        <w:t>n</w:t>
      </w:r>
      <w:r w:rsidR="00527502" w:rsidRPr="00527502">
        <w:rPr>
          <w:rFonts w:eastAsia="MS Mincho"/>
          <w:noProof/>
          <w:szCs w:val="22"/>
          <w:vertAlign w:val="superscript"/>
          <w:lang w:val="fr-FR"/>
        </w:rPr>
        <w:t>o</w:t>
      </w:r>
      <w:r w:rsidR="00527502">
        <w:rPr>
          <w:noProof/>
          <w:lang w:val="fr-FR"/>
        </w:rPr>
        <w:t> </w:t>
      </w:r>
      <w:r w:rsidRPr="00FC2919">
        <w:rPr>
          <w:rFonts w:eastAsia="Calibri"/>
          <w:noProof/>
          <w:lang w:val="fr-FR"/>
        </w:rPr>
        <w:t>4</w:t>
      </w:r>
      <w:r w:rsidRPr="00527502">
        <w:rPr>
          <w:rStyle w:val="Appelnotedebasdep"/>
        </w:rPr>
        <w:footnoteReference w:id="26"/>
      </w:r>
      <w:r w:rsidRPr="00FC2919">
        <w:rPr>
          <w:rFonts w:eastAsia="Calibri"/>
          <w:noProof/>
          <w:lang w:val="fr-FR"/>
        </w:rPr>
        <w:t xml:space="preserve">. </w:t>
      </w:r>
    </w:p>
    <w:p w:rsidR="00596826" w:rsidRPr="00FC2919" w:rsidRDefault="00596826" w:rsidP="00596826">
      <w:pPr>
        <w:pStyle w:val="SingleTxtG"/>
        <w:rPr>
          <w:rFonts w:eastAsia="Calibri"/>
          <w:noProof/>
          <w:lang w:val="fr-FR"/>
        </w:rPr>
      </w:pPr>
      <w:r>
        <w:rPr>
          <w:rFonts w:eastAsia="Calibri"/>
          <w:noProof/>
          <w:lang w:val="fr-FR"/>
        </w:rPr>
        <w:t>142.</w:t>
      </w:r>
      <w:r>
        <w:rPr>
          <w:rFonts w:eastAsia="Calibri"/>
          <w:noProof/>
          <w:lang w:val="fr-FR"/>
        </w:rPr>
        <w:tab/>
        <w:t>En nov</w:t>
      </w:r>
      <w:r w:rsidRPr="00FC2919">
        <w:rPr>
          <w:rFonts w:eastAsia="Calibri"/>
          <w:noProof/>
          <w:lang w:val="fr-FR"/>
        </w:rPr>
        <w:t xml:space="preserve">embre 2017, </w:t>
      </w:r>
      <w:r>
        <w:rPr>
          <w:rFonts w:eastAsia="Calibri"/>
          <w:noProof/>
          <w:lang w:val="fr-FR"/>
        </w:rPr>
        <w:t xml:space="preserve">le délégué </w:t>
      </w:r>
      <w:r w:rsidRPr="001B5F3E">
        <w:rPr>
          <w:noProof/>
          <w:lang w:val="fr-FR"/>
        </w:rPr>
        <w:t xml:space="preserve">parlementaire </w:t>
      </w:r>
      <w:r>
        <w:rPr>
          <w:noProof/>
          <w:lang w:val="fr-FR"/>
        </w:rPr>
        <w:t xml:space="preserve">a présenté un rapport spécial sur la violence au centre </w:t>
      </w:r>
      <w:r w:rsidRPr="00FC2919">
        <w:rPr>
          <w:rFonts w:eastAsia="Calibri"/>
          <w:noProof/>
          <w:lang w:val="fr-FR"/>
        </w:rPr>
        <w:t>Libertad</w:t>
      </w:r>
      <w:r>
        <w:rPr>
          <w:noProof/>
          <w:lang w:val="fr-FR"/>
        </w:rPr>
        <w:t xml:space="preserve"> (</w:t>
      </w:r>
      <w:r w:rsidR="0006149A" w:rsidRPr="0006149A">
        <w:rPr>
          <w:rFonts w:eastAsia="MS Mincho"/>
          <w:noProof/>
          <w:szCs w:val="22"/>
          <w:lang w:val="fr-FR"/>
        </w:rPr>
        <w:t>n</w:t>
      </w:r>
      <w:r w:rsidR="0006149A" w:rsidRPr="0006149A">
        <w:rPr>
          <w:rFonts w:eastAsia="MS Mincho"/>
          <w:noProof/>
          <w:szCs w:val="22"/>
          <w:vertAlign w:val="superscript"/>
          <w:lang w:val="fr-FR"/>
        </w:rPr>
        <w:t>o</w:t>
      </w:r>
      <w:r w:rsidR="0006149A">
        <w:rPr>
          <w:noProof/>
          <w:lang w:val="fr-FR"/>
        </w:rPr>
        <w:t> </w:t>
      </w:r>
      <w:r>
        <w:rPr>
          <w:noProof/>
          <w:lang w:val="fr-FR"/>
        </w:rPr>
        <w:t>3)</w:t>
      </w:r>
      <w:r>
        <w:rPr>
          <w:rFonts w:eastAsia="Calibri"/>
          <w:noProof/>
          <w:lang w:val="fr-FR"/>
        </w:rPr>
        <w:t xml:space="preserve">, car entre le mois de juillet et le mois de novembre, on y a enregistré </w:t>
      </w:r>
      <w:r w:rsidR="00691AD9">
        <w:rPr>
          <w:rFonts w:eastAsia="Calibri"/>
          <w:noProof/>
          <w:lang w:val="fr-FR"/>
        </w:rPr>
        <w:t>7</w:t>
      </w:r>
      <w:r>
        <w:rPr>
          <w:rFonts w:eastAsia="Calibri"/>
          <w:noProof/>
          <w:lang w:val="fr-FR"/>
        </w:rPr>
        <w:t xml:space="preserve"> cas de mort violente, à savoir </w:t>
      </w:r>
      <w:r w:rsidR="00691AD9">
        <w:rPr>
          <w:rFonts w:eastAsia="Calibri"/>
          <w:noProof/>
          <w:lang w:val="fr-FR"/>
        </w:rPr>
        <w:t>6</w:t>
      </w:r>
      <w:r>
        <w:rPr>
          <w:rFonts w:eastAsia="Calibri"/>
          <w:noProof/>
          <w:lang w:val="fr-FR"/>
        </w:rPr>
        <w:t xml:space="preserve"> homicides et </w:t>
      </w:r>
      <w:r w:rsidR="00691AD9">
        <w:rPr>
          <w:rFonts w:eastAsia="Calibri"/>
          <w:noProof/>
          <w:lang w:val="fr-FR"/>
        </w:rPr>
        <w:t>1</w:t>
      </w:r>
      <w:r>
        <w:rPr>
          <w:rFonts w:eastAsia="Calibri"/>
          <w:noProof/>
          <w:lang w:val="fr-FR"/>
        </w:rPr>
        <w:t xml:space="preserve"> suicide</w:t>
      </w:r>
      <w:r w:rsidRPr="00FC2919">
        <w:rPr>
          <w:rFonts w:eastAsia="Calibri"/>
          <w:noProof/>
          <w:lang w:val="fr-FR"/>
        </w:rPr>
        <w:t xml:space="preserve">. </w:t>
      </w:r>
      <w:r>
        <w:rPr>
          <w:rFonts w:eastAsia="Calibri"/>
          <w:noProof/>
          <w:lang w:val="fr-FR"/>
        </w:rPr>
        <w:t>De même, il a recommandé d</w:t>
      </w:r>
      <w:r w:rsidR="00607CA3">
        <w:rPr>
          <w:rFonts w:eastAsia="Calibri"/>
          <w:noProof/>
          <w:lang w:val="fr-FR"/>
        </w:rPr>
        <w:t>’</w:t>
      </w:r>
      <w:r>
        <w:rPr>
          <w:rFonts w:eastAsia="Calibri"/>
          <w:noProof/>
          <w:lang w:val="fr-FR"/>
        </w:rPr>
        <w:t>améliorer l</w:t>
      </w:r>
      <w:r w:rsidR="00607CA3">
        <w:rPr>
          <w:rFonts w:eastAsia="Calibri"/>
          <w:noProof/>
          <w:lang w:val="fr-FR"/>
        </w:rPr>
        <w:t>’</w:t>
      </w:r>
      <w:r>
        <w:rPr>
          <w:rFonts w:eastAsia="Calibri"/>
          <w:noProof/>
          <w:lang w:val="fr-FR"/>
        </w:rPr>
        <w:t>enregistrement des incidents violents et des automutilations pour permettre un suivi des niveaux de violence à l</w:t>
      </w:r>
      <w:r w:rsidR="00607CA3">
        <w:rPr>
          <w:rFonts w:eastAsia="Calibri"/>
          <w:noProof/>
          <w:lang w:val="fr-FR"/>
        </w:rPr>
        <w:t>’</w:t>
      </w:r>
      <w:r>
        <w:rPr>
          <w:rFonts w:eastAsia="Calibri"/>
          <w:noProof/>
          <w:lang w:val="fr-FR"/>
        </w:rPr>
        <w:t>intérieur des centres et prendre des mesures préventives</w:t>
      </w:r>
      <w:r w:rsidRPr="00527502">
        <w:rPr>
          <w:rStyle w:val="Appelnotedebasdep"/>
        </w:rPr>
        <w:footnoteReference w:id="27"/>
      </w:r>
      <w:r w:rsidRPr="00FC2919">
        <w:rPr>
          <w:rFonts w:eastAsia="Calibri"/>
          <w:noProof/>
          <w:lang w:val="fr-FR"/>
        </w:rPr>
        <w:t>.</w:t>
      </w:r>
    </w:p>
    <w:p w:rsidR="00596826" w:rsidRPr="00FC2919" w:rsidRDefault="00596826" w:rsidP="00596826">
      <w:pPr>
        <w:pStyle w:val="SingleTxtG"/>
        <w:rPr>
          <w:rFonts w:eastAsia="Calibri"/>
          <w:noProof/>
          <w:lang w:val="fr-FR"/>
        </w:rPr>
      </w:pPr>
      <w:r w:rsidRPr="00FC2919">
        <w:rPr>
          <w:rFonts w:eastAsia="Calibri"/>
          <w:noProof/>
          <w:lang w:val="fr-FR"/>
        </w:rPr>
        <w:t>143.</w:t>
      </w:r>
      <w:r w:rsidRPr="00FC2919">
        <w:rPr>
          <w:rFonts w:eastAsia="Calibri"/>
          <w:noProof/>
          <w:lang w:val="fr-FR"/>
        </w:rPr>
        <w:tab/>
      </w:r>
      <w:r>
        <w:rPr>
          <w:rFonts w:eastAsia="Calibri"/>
          <w:noProof/>
          <w:lang w:val="fr-FR"/>
        </w:rPr>
        <w:t>Il importe de rappeler qu</w:t>
      </w:r>
      <w:r w:rsidR="00607CA3">
        <w:rPr>
          <w:rFonts w:eastAsia="Calibri"/>
          <w:noProof/>
          <w:lang w:val="fr-FR"/>
        </w:rPr>
        <w:t>’</w:t>
      </w:r>
      <w:r>
        <w:rPr>
          <w:rFonts w:eastAsia="Calibri"/>
          <w:noProof/>
          <w:lang w:val="fr-FR"/>
        </w:rPr>
        <w:t>en réponse aux demandes d</w:t>
      </w:r>
      <w:r w:rsidR="00607CA3">
        <w:rPr>
          <w:rFonts w:eastAsia="Calibri"/>
          <w:noProof/>
          <w:lang w:val="fr-FR"/>
        </w:rPr>
        <w:t>’</w:t>
      </w:r>
      <w:r>
        <w:rPr>
          <w:rFonts w:eastAsia="Calibri"/>
          <w:noProof/>
          <w:lang w:val="fr-FR"/>
        </w:rPr>
        <w:t xml:space="preserve">information formulées par le délégué </w:t>
      </w:r>
      <w:r w:rsidRPr="001B5F3E">
        <w:rPr>
          <w:noProof/>
          <w:lang w:val="fr-FR"/>
        </w:rPr>
        <w:t>parlementaire</w:t>
      </w:r>
      <w:r>
        <w:rPr>
          <w:noProof/>
          <w:lang w:val="fr-FR"/>
        </w:rPr>
        <w:t xml:space="preserve"> à la suite de ses visites dans les centres pénitentiaires, le Ministère de l</w:t>
      </w:r>
      <w:r w:rsidR="00607CA3">
        <w:rPr>
          <w:noProof/>
          <w:lang w:val="fr-FR"/>
        </w:rPr>
        <w:t>’</w:t>
      </w:r>
      <w:r>
        <w:rPr>
          <w:noProof/>
          <w:lang w:val="fr-FR"/>
        </w:rPr>
        <w:t>intérieur a fait les démarches nécessaires tant au niveau de l</w:t>
      </w:r>
      <w:r w:rsidR="00607CA3">
        <w:rPr>
          <w:noProof/>
          <w:lang w:val="fr-FR"/>
        </w:rPr>
        <w:t>’</w:t>
      </w:r>
      <w:r>
        <w:rPr>
          <w:noProof/>
          <w:lang w:val="fr-FR"/>
        </w:rPr>
        <w:t>Institut national de réinsertion qu</w:t>
      </w:r>
      <w:r w:rsidR="00607CA3">
        <w:rPr>
          <w:noProof/>
          <w:lang w:val="fr-FR"/>
        </w:rPr>
        <w:t>’</w:t>
      </w:r>
      <w:r>
        <w:rPr>
          <w:noProof/>
          <w:lang w:val="fr-FR"/>
        </w:rPr>
        <w:t>à celui des services compétents du Ministère</w:t>
      </w:r>
      <w:r w:rsidRPr="00191307">
        <w:rPr>
          <w:rFonts w:eastAsia="Calibri"/>
          <w:noProof/>
          <w:lang w:val="fr-FR"/>
        </w:rPr>
        <w:t>. L</w:t>
      </w:r>
      <w:r>
        <w:rPr>
          <w:rFonts w:eastAsia="Calibri"/>
          <w:noProof/>
          <w:lang w:val="fr-FR"/>
        </w:rPr>
        <w:t>e</w:t>
      </w:r>
      <w:r w:rsidRPr="00191307">
        <w:rPr>
          <w:rFonts w:eastAsia="Calibri"/>
          <w:noProof/>
          <w:lang w:val="fr-FR"/>
        </w:rPr>
        <w:t>s recom</w:t>
      </w:r>
      <w:r>
        <w:rPr>
          <w:rFonts w:eastAsia="Calibri"/>
          <w:noProof/>
          <w:lang w:val="fr-FR"/>
        </w:rPr>
        <w:t>ma</w:t>
      </w:r>
      <w:r w:rsidRPr="00191307">
        <w:rPr>
          <w:rFonts w:eastAsia="Calibri"/>
          <w:noProof/>
          <w:lang w:val="fr-FR"/>
        </w:rPr>
        <w:t>nda</w:t>
      </w:r>
      <w:r>
        <w:rPr>
          <w:rFonts w:eastAsia="Calibri"/>
          <w:noProof/>
          <w:lang w:val="fr-FR"/>
        </w:rPr>
        <w:t>tions du délégué parlementaire sont évaluées conjointement avec les responsables de l</w:t>
      </w:r>
      <w:r w:rsidR="00607CA3">
        <w:rPr>
          <w:rFonts w:eastAsia="Calibri"/>
          <w:noProof/>
          <w:lang w:val="fr-FR"/>
        </w:rPr>
        <w:t>’</w:t>
      </w:r>
      <w:r>
        <w:rPr>
          <w:rFonts w:eastAsia="Calibri"/>
          <w:noProof/>
          <w:lang w:val="fr-FR"/>
        </w:rPr>
        <w:t>Institut et, dans toute la mesure possible, il y est donné effet</w:t>
      </w:r>
      <w:r w:rsidRPr="00FC2919">
        <w:rPr>
          <w:rFonts w:eastAsia="Calibri"/>
          <w:noProof/>
          <w:lang w:val="fr-FR"/>
        </w:rPr>
        <w:t>.</w:t>
      </w:r>
    </w:p>
    <w:p w:rsidR="00596826" w:rsidRPr="00FC2919" w:rsidRDefault="00596826" w:rsidP="00596826">
      <w:pPr>
        <w:pStyle w:val="H23G"/>
        <w:rPr>
          <w:rFonts w:eastAsia="Calibri"/>
          <w:noProof/>
          <w:lang w:val="fr-FR"/>
        </w:rPr>
      </w:pPr>
      <w:r w:rsidRPr="00FC2919">
        <w:rPr>
          <w:rFonts w:eastAsia="Calibri"/>
          <w:noProof/>
          <w:lang w:val="fr-FR"/>
        </w:rPr>
        <w:tab/>
      </w:r>
      <w:r w:rsidRPr="00FC2919">
        <w:rPr>
          <w:rFonts w:eastAsia="Calibri"/>
          <w:noProof/>
          <w:lang w:val="fr-FR"/>
        </w:rPr>
        <w:tab/>
        <w:t>Réponse au</w:t>
      </w:r>
      <w:r>
        <w:rPr>
          <w:rFonts w:eastAsia="Calibri"/>
          <w:noProof/>
          <w:lang w:val="fr-FR"/>
        </w:rPr>
        <w:t xml:space="preserve"> paragraphe </w:t>
      </w:r>
      <w:r w:rsidRPr="00FC2919">
        <w:rPr>
          <w:rFonts w:eastAsia="Calibri"/>
          <w:noProof/>
          <w:lang w:val="fr-FR"/>
        </w:rPr>
        <w:t xml:space="preserve">21 de la </w:t>
      </w:r>
      <w:r>
        <w:rPr>
          <w:rFonts w:eastAsia="Calibri"/>
          <w:noProof/>
          <w:lang w:val="fr-FR"/>
        </w:rPr>
        <w:t>liste de points</w:t>
      </w:r>
    </w:p>
    <w:p w:rsidR="00596826" w:rsidRPr="00FC2919" w:rsidRDefault="00596826" w:rsidP="00596826">
      <w:pPr>
        <w:pStyle w:val="SingleTxtG"/>
        <w:rPr>
          <w:rFonts w:eastAsia="Calibri"/>
          <w:noProof/>
          <w:lang w:val="fr-FR"/>
        </w:rPr>
      </w:pPr>
      <w:r w:rsidRPr="00FC2919">
        <w:rPr>
          <w:rFonts w:eastAsia="Calibri"/>
          <w:noProof/>
          <w:lang w:val="fr-FR"/>
        </w:rPr>
        <w:t>144.</w:t>
      </w:r>
      <w:r w:rsidRPr="00FC2919">
        <w:rPr>
          <w:rFonts w:eastAsia="Calibri"/>
          <w:noProof/>
          <w:lang w:val="fr-FR"/>
        </w:rPr>
        <w:tab/>
        <w:t xml:space="preserve">En </w:t>
      </w:r>
      <w:r>
        <w:rPr>
          <w:rFonts w:eastAsia="Calibri"/>
          <w:noProof/>
          <w:lang w:val="fr-FR"/>
        </w:rPr>
        <w:t xml:space="preserve">ce qui concerne les </w:t>
      </w:r>
      <w:r w:rsidRPr="00FC2919">
        <w:rPr>
          <w:rFonts w:eastAsia="Calibri"/>
          <w:noProof/>
          <w:lang w:val="fr-FR"/>
        </w:rPr>
        <w:t>informa</w:t>
      </w:r>
      <w:r>
        <w:rPr>
          <w:rFonts w:eastAsia="Calibri"/>
          <w:noProof/>
          <w:lang w:val="fr-FR"/>
        </w:rPr>
        <w:t>tions sur les personnes décédées dans les centres pénitentiaires, l</w:t>
      </w:r>
      <w:r w:rsidR="00607CA3">
        <w:rPr>
          <w:rFonts w:eastAsia="Calibri"/>
          <w:noProof/>
          <w:lang w:val="fr-FR"/>
        </w:rPr>
        <w:t>’</w:t>
      </w:r>
      <w:r>
        <w:rPr>
          <w:rFonts w:eastAsia="Calibri"/>
          <w:noProof/>
          <w:lang w:val="fr-FR"/>
        </w:rPr>
        <w:t>âge est enregistré à</w:t>
      </w:r>
      <w:r w:rsidRPr="00FC2919">
        <w:rPr>
          <w:rFonts w:eastAsia="Calibri"/>
          <w:noProof/>
          <w:lang w:val="fr-FR"/>
        </w:rPr>
        <w:t xml:space="preserve"> partir </w:t>
      </w:r>
      <w:r>
        <w:rPr>
          <w:rFonts w:eastAsia="Calibri"/>
          <w:noProof/>
          <w:lang w:val="fr-FR"/>
        </w:rPr>
        <w:t>de l</w:t>
      </w:r>
      <w:r w:rsidR="00607CA3">
        <w:rPr>
          <w:rFonts w:eastAsia="Calibri"/>
          <w:noProof/>
          <w:lang w:val="fr-FR"/>
        </w:rPr>
        <w:t>’</w:t>
      </w:r>
      <w:r>
        <w:rPr>
          <w:rFonts w:eastAsia="Calibri"/>
          <w:noProof/>
          <w:lang w:val="fr-FR"/>
        </w:rPr>
        <w:t xml:space="preserve">année </w:t>
      </w:r>
      <w:r w:rsidRPr="00FC2919">
        <w:rPr>
          <w:rFonts w:eastAsia="Calibri"/>
          <w:noProof/>
          <w:lang w:val="fr-FR"/>
        </w:rPr>
        <w:t xml:space="preserve">2016, </w:t>
      </w:r>
      <w:r>
        <w:rPr>
          <w:rFonts w:eastAsia="Calibri"/>
          <w:noProof/>
          <w:lang w:val="fr-FR"/>
        </w:rPr>
        <w:t>tandis que la nationalité l</w:t>
      </w:r>
      <w:r w:rsidR="00607CA3">
        <w:rPr>
          <w:rFonts w:eastAsia="Calibri"/>
          <w:noProof/>
          <w:lang w:val="fr-FR"/>
        </w:rPr>
        <w:t>’</w:t>
      </w:r>
      <w:r>
        <w:rPr>
          <w:rFonts w:eastAsia="Calibri"/>
          <w:noProof/>
          <w:lang w:val="fr-FR"/>
        </w:rPr>
        <w:t xml:space="preserve">est depuis </w:t>
      </w:r>
      <w:r w:rsidRPr="00FC2919">
        <w:rPr>
          <w:rFonts w:eastAsia="Calibri"/>
          <w:noProof/>
          <w:lang w:val="fr-FR"/>
        </w:rPr>
        <w:t>2018. L</w:t>
      </w:r>
      <w:r>
        <w:rPr>
          <w:rFonts w:eastAsia="Calibri"/>
          <w:noProof/>
          <w:lang w:val="fr-FR"/>
        </w:rPr>
        <w:t>e</w:t>
      </w:r>
      <w:r w:rsidRPr="00FC2919">
        <w:rPr>
          <w:rFonts w:eastAsia="Calibri"/>
          <w:noProof/>
          <w:lang w:val="fr-FR"/>
        </w:rPr>
        <w:t>s person</w:t>
      </w:r>
      <w:r>
        <w:rPr>
          <w:rFonts w:eastAsia="Calibri"/>
          <w:noProof/>
          <w:lang w:val="fr-FR"/>
        </w:rPr>
        <w:t xml:space="preserve">nes qui étaient décédées au </w:t>
      </w:r>
      <w:r w:rsidRPr="00FC2919">
        <w:rPr>
          <w:rFonts w:eastAsia="Calibri"/>
          <w:noProof/>
          <w:lang w:val="fr-FR"/>
        </w:rPr>
        <w:t>30</w:t>
      </w:r>
      <w:r w:rsidR="00527502">
        <w:rPr>
          <w:rFonts w:eastAsia="Calibri"/>
          <w:noProof/>
          <w:lang w:val="fr-FR"/>
        </w:rPr>
        <w:t> </w:t>
      </w:r>
      <w:r w:rsidRPr="00FC2919">
        <w:rPr>
          <w:rFonts w:eastAsia="Calibri"/>
          <w:noProof/>
          <w:lang w:val="fr-FR"/>
        </w:rPr>
        <w:t>a</w:t>
      </w:r>
      <w:r>
        <w:rPr>
          <w:rFonts w:eastAsia="Calibri"/>
          <w:noProof/>
          <w:lang w:val="fr-FR"/>
        </w:rPr>
        <w:t>v</w:t>
      </w:r>
      <w:r w:rsidRPr="00FC2919">
        <w:rPr>
          <w:rFonts w:eastAsia="Calibri"/>
          <w:noProof/>
          <w:lang w:val="fr-FR"/>
        </w:rPr>
        <w:t>ril 2018</w:t>
      </w:r>
      <w:r>
        <w:rPr>
          <w:rFonts w:eastAsia="Calibri"/>
          <w:noProof/>
          <w:lang w:val="fr-FR"/>
        </w:rPr>
        <w:t xml:space="preserve"> étaient de nationalité uruguayenne</w:t>
      </w:r>
      <w:r w:rsidRPr="00FC2919">
        <w:rPr>
          <w:rFonts w:eastAsia="Calibri"/>
          <w:noProof/>
          <w:lang w:val="fr-FR"/>
        </w:rPr>
        <w:t>.</w:t>
      </w:r>
    </w:p>
    <w:p w:rsidR="00596826" w:rsidRDefault="00596826" w:rsidP="00596826">
      <w:pPr>
        <w:pStyle w:val="SingleTxtG"/>
        <w:jc w:val="left"/>
        <w:rPr>
          <w:rFonts w:eastAsia="Calibri"/>
          <w:b/>
          <w:bCs/>
          <w:noProof/>
          <w:lang w:val="fr-FR"/>
        </w:rPr>
      </w:pPr>
      <w:r>
        <w:rPr>
          <w:rFonts w:eastAsia="Calibri"/>
          <w:noProof/>
          <w:lang w:val="fr-FR"/>
        </w:rPr>
        <w:t xml:space="preserve">Tableau </w:t>
      </w:r>
      <w:r w:rsidRPr="00FC2919">
        <w:rPr>
          <w:rFonts w:eastAsia="Calibri"/>
          <w:noProof/>
          <w:lang w:val="fr-FR"/>
        </w:rPr>
        <w:br/>
      </w:r>
      <w:r>
        <w:rPr>
          <w:rFonts w:eastAsia="Calibri"/>
          <w:b/>
          <w:bCs/>
          <w:noProof/>
          <w:lang w:val="fr-FR"/>
        </w:rPr>
        <w:t>Groupe d</w:t>
      </w:r>
      <w:r w:rsidR="00607CA3">
        <w:rPr>
          <w:rFonts w:eastAsia="Calibri"/>
          <w:b/>
          <w:bCs/>
          <w:noProof/>
          <w:lang w:val="fr-FR"/>
        </w:rPr>
        <w:t>’</w:t>
      </w:r>
      <w:r>
        <w:rPr>
          <w:rFonts w:eastAsia="Calibri"/>
          <w:b/>
          <w:bCs/>
          <w:noProof/>
          <w:lang w:val="fr-FR"/>
        </w:rPr>
        <w:t xml:space="preserve">âge des hommes décédés dans les centres pénitentiaires entre 2016 </w:t>
      </w:r>
      <w:r w:rsidR="00527502">
        <w:rPr>
          <w:rFonts w:eastAsia="Calibri"/>
          <w:b/>
          <w:bCs/>
          <w:noProof/>
          <w:lang w:val="fr-FR"/>
        </w:rPr>
        <w:br/>
      </w:r>
      <w:r>
        <w:rPr>
          <w:rFonts w:eastAsia="Calibri"/>
          <w:b/>
          <w:bCs/>
          <w:noProof/>
          <w:lang w:val="fr-FR"/>
        </w:rPr>
        <w:t>et le 30</w:t>
      </w:r>
      <w:r w:rsidR="00527502">
        <w:rPr>
          <w:rFonts w:eastAsia="Calibri"/>
          <w:b/>
          <w:bCs/>
          <w:noProof/>
          <w:lang w:val="fr-FR"/>
        </w:rPr>
        <w:t> </w:t>
      </w:r>
      <w:r>
        <w:rPr>
          <w:rFonts w:eastAsia="Calibri"/>
          <w:b/>
          <w:bCs/>
          <w:noProof/>
          <w:lang w:val="fr-FR"/>
        </w:rPr>
        <w:t>avril 2018 et cause du décès</w:t>
      </w:r>
      <w:r w:rsidRPr="00FC2919">
        <w:rPr>
          <w:rFonts w:eastAsia="Calibri"/>
          <w:b/>
          <w:bCs/>
          <w:noProof/>
          <w:lang w:val="fr-FR"/>
        </w:rP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1134"/>
        <w:gridCol w:w="756"/>
        <w:gridCol w:w="616"/>
        <w:gridCol w:w="504"/>
        <w:gridCol w:w="770"/>
        <w:gridCol w:w="615"/>
        <w:gridCol w:w="504"/>
        <w:gridCol w:w="812"/>
        <w:gridCol w:w="616"/>
        <w:gridCol w:w="504"/>
        <w:gridCol w:w="539"/>
      </w:tblGrid>
      <w:tr w:rsidR="00EF5258" w:rsidRPr="00002344" w:rsidTr="0006149A">
        <w:trPr>
          <w:tblHeader/>
        </w:trPr>
        <w:tc>
          <w:tcPr>
            <w:tcW w:w="1134" w:type="dxa"/>
            <w:vMerge w:val="restart"/>
            <w:tcBorders>
              <w:top w:val="single" w:sz="12" w:space="0" w:color="auto"/>
            </w:tcBorders>
            <w:shd w:val="clear" w:color="auto" w:fill="auto"/>
            <w:tcMar>
              <w:top w:w="100" w:type="nil"/>
              <w:right w:w="100" w:type="nil"/>
            </w:tcMar>
            <w:vAlign w:val="bottom"/>
          </w:tcPr>
          <w:p w:rsidR="00EF5258" w:rsidRPr="00002344" w:rsidRDefault="00EF5258" w:rsidP="00EF5258">
            <w:pPr>
              <w:spacing w:before="80" w:after="80" w:line="180" w:lineRule="exact"/>
              <w:rPr>
                <w:i/>
                <w:noProof/>
                <w:sz w:val="16"/>
                <w:szCs w:val="16"/>
                <w:lang w:val="fr-FR"/>
              </w:rPr>
            </w:pPr>
            <w:r w:rsidRPr="00002344">
              <w:rPr>
                <w:i/>
                <w:noProof/>
                <w:sz w:val="16"/>
                <w:szCs w:val="16"/>
                <w:lang w:val="fr-FR"/>
              </w:rPr>
              <w:t>Groupes d’âge</w:t>
            </w:r>
          </w:p>
        </w:tc>
        <w:tc>
          <w:tcPr>
            <w:tcW w:w="1876" w:type="dxa"/>
            <w:gridSpan w:val="3"/>
            <w:tcBorders>
              <w:top w:val="single" w:sz="12" w:space="0" w:color="auto"/>
              <w:bottom w:val="single" w:sz="4" w:space="0" w:color="auto"/>
              <w:right w:val="single" w:sz="24" w:space="0" w:color="FFFFFF" w:themeColor="background1"/>
            </w:tcBorders>
            <w:shd w:val="clear" w:color="auto" w:fill="auto"/>
            <w:tcMar>
              <w:top w:w="100" w:type="nil"/>
              <w:right w:w="100" w:type="nil"/>
            </w:tcMar>
            <w:vAlign w:val="bottom"/>
          </w:tcPr>
          <w:p w:rsidR="00EF5258" w:rsidRPr="00002344" w:rsidRDefault="00EF5258" w:rsidP="00EF5258">
            <w:pPr>
              <w:suppressAutoHyphens w:val="0"/>
              <w:spacing w:before="80" w:after="80" w:line="180" w:lineRule="exact"/>
              <w:jc w:val="center"/>
              <w:rPr>
                <w:i/>
                <w:noProof/>
                <w:sz w:val="16"/>
                <w:szCs w:val="16"/>
                <w:lang w:val="fr-FR"/>
              </w:rPr>
            </w:pPr>
            <w:r>
              <w:rPr>
                <w:i/>
                <w:noProof/>
                <w:sz w:val="16"/>
                <w:szCs w:val="16"/>
                <w:lang w:val="fr-FR"/>
              </w:rPr>
              <w:t>Année 2016</w:t>
            </w:r>
          </w:p>
        </w:tc>
        <w:tc>
          <w:tcPr>
            <w:tcW w:w="1889" w:type="dxa"/>
            <w:gridSpan w:val="3"/>
            <w:tcBorders>
              <w:top w:val="single" w:sz="12" w:space="0" w:color="auto"/>
              <w:left w:val="single" w:sz="24" w:space="0" w:color="FFFFFF" w:themeColor="background1"/>
              <w:bottom w:val="single" w:sz="4" w:space="0" w:color="auto"/>
              <w:right w:val="single" w:sz="24" w:space="0" w:color="FFFFFF" w:themeColor="background1"/>
            </w:tcBorders>
            <w:shd w:val="clear" w:color="auto" w:fill="auto"/>
            <w:tcMar>
              <w:top w:w="100" w:type="nil"/>
              <w:right w:w="100" w:type="nil"/>
            </w:tcMar>
            <w:vAlign w:val="bottom"/>
          </w:tcPr>
          <w:p w:rsidR="00EF5258" w:rsidRPr="00002344" w:rsidRDefault="00EF5258" w:rsidP="00EF5258">
            <w:pPr>
              <w:suppressAutoHyphens w:val="0"/>
              <w:spacing w:before="80" w:after="80" w:line="180" w:lineRule="exact"/>
              <w:jc w:val="center"/>
              <w:rPr>
                <w:i/>
                <w:noProof/>
                <w:sz w:val="16"/>
                <w:szCs w:val="16"/>
                <w:lang w:val="fr-FR"/>
              </w:rPr>
            </w:pPr>
            <w:r>
              <w:rPr>
                <w:i/>
                <w:noProof/>
                <w:sz w:val="16"/>
                <w:szCs w:val="16"/>
                <w:lang w:val="fr-FR"/>
              </w:rPr>
              <w:t>Année 2017</w:t>
            </w:r>
          </w:p>
        </w:tc>
        <w:tc>
          <w:tcPr>
            <w:tcW w:w="1932" w:type="dxa"/>
            <w:gridSpan w:val="3"/>
            <w:tcBorders>
              <w:top w:val="single" w:sz="12" w:space="0" w:color="auto"/>
              <w:left w:val="single" w:sz="24" w:space="0" w:color="FFFFFF" w:themeColor="background1"/>
              <w:bottom w:val="single" w:sz="4" w:space="0" w:color="auto"/>
            </w:tcBorders>
            <w:shd w:val="clear" w:color="auto" w:fill="auto"/>
            <w:tcMar>
              <w:top w:w="100" w:type="nil"/>
              <w:right w:w="100" w:type="nil"/>
            </w:tcMar>
            <w:vAlign w:val="bottom"/>
          </w:tcPr>
          <w:p w:rsidR="00EF5258" w:rsidRPr="00002344" w:rsidRDefault="00EF5258" w:rsidP="00EF5258">
            <w:pPr>
              <w:suppressAutoHyphens w:val="0"/>
              <w:spacing w:before="80" w:after="80" w:line="180" w:lineRule="exact"/>
              <w:jc w:val="center"/>
              <w:rPr>
                <w:i/>
                <w:noProof/>
                <w:sz w:val="16"/>
                <w:szCs w:val="16"/>
                <w:lang w:val="fr-FR"/>
              </w:rPr>
            </w:pPr>
            <w:r>
              <w:rPr>
                <w:i/>
                <w:noProof/>
                <w:sz w:val="16"/>
                <w:szCs w:val="16"/>
                <w:lang w:val="fr-FR"/>
              </w:rPr>
              <w:t>30 avril 2018</w:t>
            </w:r>
          </w:p>
        </w:tc>
        <w:tc>
          <w:tcPr>
            <w:tcW w:w="539" w:type="dxa"/>
            <w:vMerge w:val="restart"/>
            <w:tcBorders>
              <w:top w:val="single" w:sz="12" w:space="0" w:color="auto"/>
              <w:bottom w:val="single" w:sz="12" w:space="0" w:color="auto"/>
            </w:tcBorders>
            <w:shd w:val="clear" w:color="auto" w:fill="auto"/>
            <w:tcMar>
              <w:top w:w="100" w:type="nil"/>
              <w:right w:w="100" w:type="nil"/>
            </w:tcMar>
            <w:vAlign w:val="bottom"/>
          </w:tcPr>
          <w:p w:rsidR="00EF5258" w:rsidRPr="00EF5258" w:rsidRDefault="00EF5258" w:rsidP="00002344">
            <w:pPr>
              <w:spacing w:before="80" w:after="80" w:line="180" w:lineRule="exact"/>
              <w:jc w:val="right"/>
              <w:rPr>
                <w:b/>
                <w:i/>
                <w:noProof/>
                <w:sz w:val="16"/>
                <w:szCs w:val="16"/>
                <w:lang w:val="fr-FR"/>
              </w:rPr>
            </w:pPr>
            <w:r w:rsidRPr="00EF5258">
              <w:rPr>
                <w:b/>
                <w:i/>
                <w:noProof/>
                <w:sz w:val="16"/>
                <w:szCs w:val="16"/>
                <w:lang w:val="fr-FR"/>
              </w:rPr>
              <w:t>Total</w:t>
            </w:r>
          </w:p>
        </w:tc>
      </w:tr>
      <w:tr w:rsidR="00EF5258" w:rsidRPr="00002344" w:rsidTr="0006149A">
        <w:trPr>
          <w:tblHeader/>
        </w:trPr>
        <w:tc>
          <w:tcPr>
            <w:tcW w:w="1134" w:type="dxa"/>
            <w:vMerge/>
            <w:tcBorders>
              <w:bottom w:val="single" w:sz="12" w:space="0" w:color="auto"/>
            </w:tcBorders>
            <w:shd w:val="clear" w:color="auto" w:fill="auto"/>
            <w:tcMar>
              <w:top w:w="100" w:type="nil"/>
              <w:right w:w="100" w:type="nil"/>
            </w:tcMar>
          </w:tcPr>
          <w:p w:rsidR="00EF5258" w:rsidRPr="00002344" w:rsidRDefault="00EF5258" w:rsidP="00002344">
            <w:pPr>
              <w:suppressAutoHyphens w:val="0"/>
              <w:spacing w:before="80" w:after="80" w:line="180" w:lineRule="exact"/>
              <w:rPr>
                <w:i/>
                <w:noProof/>
                <w:sz w:val="16"/>
                <w:szCs w:val="16"/>
                <w:lang w:val="fr-FR"/>
              </w:rPr>
            </w:pPr>
          </w:p>
        </w:tc>
        <w:tc>
          <w:tcPr>
            <w:tcW w:w="756" w:type="dxa"/>
            <w:tcBorders>
              <w:top w:val="single" w:sz="4" w:space="0" w:color="auto"/>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Homicides</w:t>
            </w:r>
          </w:p>
        </w:tc>
        <w:tc>
          <w:tcPr>
            <w:tcW w:w="616" w:type="dxa"/>
            <w:tcBorders>
              <w:top w:val="single" w:sz="4" w:space="0" w:color="auto"/>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Suicides</w:t>
            </w:r>
          </w:p>
        </w:tc>
        <w:tc>
          <w:tcPr>
            <w:tcW w:w="504" w:type="dxa"/>
            <w:tcBorders>
              <w:top w:val="single" w:sz="4" w:space="0" w:color="auto"/>
              <w:bottom w:val="single" w:sz="12" w:space="0" w:color="auto"/>
              <w:right w:val="single" w:sz="24" w:space="0" w:color="FFFFFF" w:themeColor="background1"/>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Autres causes</w:t>
            </w:r>
          </w:p>
        </w:tc>
        <w:tc>
          <w:tcPr>
            <w:tcW w:w="770" w:type="dxa"/>
            <w:tcBorders>
              <w:top w:val="single" w:sz="4" w:space="0" w:color="auto"/>
              <w:left w:val="single" w:sz="24" w:space="0" w:color="FFFFFF" w:themeColor="background1"/>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Homicides</w:t>
            </w:r>
          </w:p>
        </w:tc>
        <w:tc>
          <w:tcPr>
            <w:tcW w:w="615" w:type="dxa"/>
            <w:tcBorders>
              <w:top w:val="single" w:sz="4" w:space="0" w:color="auto"/>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Suicides</w:t>
            </w:r>
          </w:p>
        </w:tc>
        <w:tc>
          <w:tcPr>
            <w:tcW w:w="504" w:type="dxa"/>
            <w:tcBorders>
              <w:top w:val="single" w:sz="4" w:space="0" w:color="auto"/>
              <w:bottom w:val="single" w:sz="12" w:space="0" w:color="auto"/>
              <w:right w:val="single" w:sz="24" w:space="0" w:color="FFFFFF" w:themeColor="background1"/>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Autres causes</w:t>
            </w:r>
          </w:p>
        </w:tc>
        <w:tc>
          <w:tcPr>
            <w:tcW w:w="812" w:type="dxa"/>
            <w:tcBorders>
              <w:top w:val="single" w:sz="4" w:space="0" w:color="auto"/>
              <w:left w:val="single" w:sz="24" w:space="0" w:color="FFFFFF" w:themeColor="background1"/>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Homicides</w:t>
            </w:r>
          </w:p>
        </w:tc>
        <w:tc>
          <w:tcPr>
            <w:tcW w:w="616" w:type="dxa"/>
            <w:tcBorders>
              <w:top w:val="single" w:sz="4" w:space="0" w:color="auto"/>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Suicides</w:t>
            </w:r>
          </w:p>
        </w:tc>
        <w:tc>
          <w:tcPr>
            <w:tcW w:w="504" w:type="dxa"/>
            <w:tcBorders>
              <w:top w:val="single" w:sz="4" w:space="0" w:color="auto"/>
              <w:bottom w:val="single" w:sz="12" w:space="0" w:color="auto"/>
            </w:tcBorders>
            <w:shd w:val="clear" w:color="auto" w:fill="auto"/>
            <w:tcMar>
              <w:top w:w="100" w:type="nil"/>
              <w:right w:w="100" w:type="nil"/>
            </w:tcMar>
            <w:vAlign w:val="bottom"/>
          </w:tcPr>
          <w:p w:rsidR="00EF5258" w:rsidRPr="00002344" w:rsidRDefault="00EF5258" w:rsidP="00002344">
            <w:pPr>
              <w:suppressAutoHyphens w:val="0"/>
              <w:spacing w:before="80" w:after="80" w:line="180" w:lineRule="exact"/>
              <w:jc w:val="right"/>
              <w:rPr>
                <w:i/>
                <w:noProof/>
                <w:sz w:val="16"/>
                <w:szCs w:val="16"/>
                <w:lang w:val="fr-FR"/>
              </w:rPr>
            </w:pPr>
            <w:r w:rsidRPr="00002344">
              <w:rPr>
                <w:i/>
                <w:noProof/>
                <w:sz w:val="16"/>
                <w:szCs w:val="16"/>
                <w:lang w:val="fr-FR"/>
              </w:rPr>
              <w:t>Autres causes</w:t>
            </w:r>
          </w:p>
        </w:tc>
        <w:tc>
          <w:tcPr>
            <w:tcW w:w="539" w:type="dxa"/>
            <w:vMerge/>
            <w:tcBorders>
              <w:bottom w:val="single" w:sz="12" w:space="0" w:color="auto"/>
            </w:tcBorders>
            <w:shd w:val="clear" w:color="auto" w:fill="auto"/>
            <w:tcMar>
              <w:top w:w="100" w:type="nil"/>
              <w:right w:w="100" w:type="nil"/>
            </w:tcMar>
            <w:vAlign w:val="bottom"/>
          </w:tcPr>
          <w:p w:rsidR="00EF5258" w:rsidRPr="00EF5258" w:rsidRDefault="00EF5258" w:rsidP="00002344">
            <w:pPr>
              <w:suppressAutoHyphens w:val="0"/>
              <w:spacing w:before="80" w:after="80" w:line="180" w:lineRule="exact"/>
              <w:jc w:val="right"/>
              <w:rPr>
                <w:b/>
                <w:i/>
                <w:noProof/>
                <w:sz w:val="16"/>
                <w:szCs w:val="16"/>
                <w:lang w:val="fr-FR"/>
              </w:rPr>
            </w:pPr>
          </w:p>
        </w:tc>
      </w:tr>
      <w:tr w:rsidR="00EF5258" w:rsidRPr="00527502" w:rsidTr="00EF5258">
        <w:tc>
          <w:tcPr>
            <w:tcW w:w="1134" w:type="dxa"/>
            <w:tcBorders>
              <w:top w:val="single" w:sz="12" w:space="0" w:color="auto"/>
            </w:tcBorders>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18 à 19</w:t>
            </w:r>
          </w:p>
        </w:tc>
        <w:tc>
          <w:tcPr>
            <w:tcW w:w="756"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616"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812"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tcBorders>
              <w:top w:val="single" w:sz="12"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tcBorders>
              <w:top w:val="single" w:sz="12" w:space="0" w:color="auto"/>
            </w:tcBorders>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3</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20 à 24</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4</w:t>
            </w: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16</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lastRenderedPageBreak/>
              <w:t>De 25 à 29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6</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5</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7</w:t>
            </w: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5</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25</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 xml:space="preserve">De 30 à 34 </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4</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4</w:t>
            </w: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22</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35 à 39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11</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40 à 44</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4</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45 à 49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3</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50 à 54</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6</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55 à 59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3</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8</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60 à 64</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1</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65 à 69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4</w:t>
            </w: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70 à 74</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p>
        </w:tc>
      </w:tr>
      <w:tr w:rsidR="00EF5258" w:rsidRPr="00527502" w:rsidTr="00EF5258">
        <w:tc>
          <w:tcPr>
            <w:tcW w:w="1134" w:type="dxa"/>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De 75 à 79</w:t>
            </w:r>
          </w:p>
        </w:tc>
        <w:tc>
          <w:tcPr>
            <w:tcW w:w="75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770"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2</w:t>
            </w:r>
          </w:p>
        </w:tc>
        <w:tc>
          <w:tcPr>
            <w:tcW w:w="812"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2</w:t>
            </w:r>
          </w:p>
        </w:tc>
      </w:tr>
      <w:tr w:rsidR="00EF5258" w:rsidRPr="00527502" w:rsidTr="00EF5258">
        <w:tc>
          <w:tcPr>
            <w:tcW w:w="1134" w:type="dxa"/>
            <w:tcBorders>
              <w:bottom w:val="single" w:sz="4" w:space="0" w:color="auto"/>
            </w:tcBorders>
            <w:shd w:val="clear" w:color="auto" w:fill="auto"/>
            <w:tcMar>
              <w:top w:w="100" w:type="nil"/>
              <w:right w:w="100" w:type="nil"/>
            </w:tcMar>
          </w:tcPr>
          <w:p w:rsidR="00EF5258" w:rsidRPr="00527502" w:rsidRDefault="00EF5258" w:rsidP="00EF5258">
            <w:pPr>
              <w:suppressAutoHyphens w:val="0"/>
              <w:spacing w:before="40" w:after="40" w:line="220" w:lineRule="exact"/>
              <w:rPr>
                <w:noProof/>
                <w:sz w:val="18"/>
                <w:lang w:val="fr-FR"/>
              </w:rPr>
            </w:pPr>
            <w:r w:rsidRPr="00527502">
              <w:rPr>
                <w:noProof/>
                <w:sz w:val="18"/>
                <w:lang w:val="fr-FR"/>
              </w:rPr>
              <w:t>80 ou plus</w:t>
            </w:r>
          </w:p>
        </w:tc>
        <w:tc>
          <w:tcPr>
            <w:tcW w:w="756"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770"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5"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r w:rsidRPr="00261336">
              <w:rPr>
                <w:rFonts w:eastAsia="Calibri"/>
                <w:sz w:val="18"/>
                <w:szCs w:val="18"/>
              </w:rPr>
              <w:t>1</w:t>
            </w:r>
          </w:p>
        </w:tc>
        <w:tc>
          <w:tcPr>
            <w:tcW w:w="812"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616"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04" w:type="dxa"/>
            <w:tcBorders>
              <w:bottom w:val="single" w:sz="4" w:space="0" w:color="auto"/>
            </w:tcBorders>
            <w:shd w:val="clear" w:color="auto" w:fill="auto"/>
            <w:tcMar>
              <w:top w:w="100" w:type="nil"/>
              <w:right w:w="100" w:type="nil"/>
            </w:tcMar>
            <w:vAlign w:val="bottom"/>
          </w:tcPr>
          <w:p w:rsidR="00EF5258" w:rsidRPr="00261336" w:rsidRDefault="00EF5258" w:rsidP="00EF5258">
            <w:pPr>
              <w:spacing w:before="40" w:after="40" w:line="220" w:lineRule="exact"/>
              <w:jc w:val="right"/>
              <w:rPr>
                <w:rFonts w:eastAsia="Calibri"/>
                <w:sz w:val="18"/>
                <w:szCs w:val="18"/>
              </w:rPr>
            </w:pPr>
          </w:p>
        </w:tc>
        <w:tc>
          <w:tcPr>
            <w:tcW w:w="539" w:type="dxa"/>
            <w:tcBorders>
              <w:bottom w:val="single" w:sz="4" w:space="0" w:color="auto"/>
            </w:tcBorders>
            <w:shd w:val="clear" w:color="auto" w:fill="auto"/>
            <w:tcMar>
              <w:top w:w="100" w:type="nil"/>
              <w:right w:w="100" w:type="nil"/>
            </w:tcMar>
            <w:vAlign w:val="bottom"/>
          </w:tcPr>
          <w:p w:rsidR="00EF5258" w:rsidRPr="00EF5258" w:rsidRDefault="00EF5258" w:rsidP="00EF5258">
            <w:pPr>
              <w:spacing w:before="40" w:after="40" w:line="220" w:lineRule="exact"/>
              <w:jc w:val="right"/>
              <w:rPr>
                <w:rFonts w:eastAsia="Calibri"/>
                <w:b/>
                <w:sz w:val="18"/>
                <w:szCs w:val="18"/>
              </w:rPr>
            </w:pPr>
            <w:r w:rsidRPr="00EF5258">
              <w:rPr>
                <w:rFonts w:eastAsia="Calibri"/>
                <w:b/>
                <w:sz w:val="18"/>
                <w:szCs w:val="18"/>
              </w:rPr>
              <w:t>2</w:t>
            </w:r>
          </w:p>
        </w:tc>
      </w:tr>
      <w:tr w:rsidR="00EF5258" w:rsidRPr="00527502" w:rsidTr="00EF5258">
        <w:tc>
          <w:tcPr>
            <w:tcW w:w="1134" w:type="dxa"/>
            <w:tcBorders>
              <w:top w:val="single" w:sz="4" w:space="0" w:color="auto"/>
              <w:bottom w:val="single" w:sz="4" w:space="0" w:color="auto"/>
            </w:tcBorders>
            <w:shd w:val="clear" w:color="auto" w:fill="auto"/>
            <w:tcMar>
              <w:top w:w="100" w:type="nil"/>
              <w:right w:w="100" w:type="nil"/>
            </w:tcMar>
          </w:tcPr>
          <w:p w:rsidR="00EF5258" w:rsidRPr="00527502" w:rsidRDefault="00EF5258" w:rsidP="00EF5258">
            <w:pPr>
              <w:suppressAutoHyphens w:val="0"/>
              <w:spacing w:before="80" w:after="80" w:line="220" w:lineRule="exact"/>
              <w:ind w:left="284"/>
              <w:rPr>
                <w:b/>
                <w:noProof/>
                <w:sz w:val="18"/>
                <w:lang w:val="fr-FR"/>
              </w:rPr>
            </w:pPr>
            <w:r w:rsidRPr="00527502">
              <w:rPr>
                <w:b/>
                <w:noProof/>
                <w:sz w:val="18"/>
                <w:lang w:val="fr-FR"/>
              </w:rPr>
              <w:t>Total</w:t>
            </w:r>
          </w:p>
        </w:tc>
        <w:tc>
          <w:tcPr>
            <w:tcW w:w="756"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16</w:t>
            </w:r>
          </w:p>
        </w:tc>
        <w:tc>
          <w:tcPr>
            <w:tcW w:w="616"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13</w:t>
            </w:r>
          </w:p>
        </w:tc>
        <w:tc>
          <w:tcPr>
            <w:tcW w:w="504"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20</w:t>
            </w:r>
          </w:p>
        </w:tc>
        <w:tc>
          <w:tcPr>
            <w:tcW w:w="770"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17</w:t>
            </w:r>
          </w:p>
        </w:tc>
        <w:tc>
          <w:tcPr>
            <w:tcW w:w="615"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9</w:t>
            </w:r>
          </w:p>
        </w:tc>
        <w:tc>
          <w:tcPr>
            <w:tcW w:w="504"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19</w:t>
            </w:r>
          </w:p>
        </w:tc>
        <w:tc>
          <w:tcPr>
            <w:tcW w:w="812"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6</w:t>
            </w:r>
          </w:p>
        </w:tc>
        <w:tc>
          <w:tcPr>
            <w:tcW w:w="616"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3</w:t>
            </w:r>
          </w:p>
        </w:tc>
        <w:tc>
          <w:tcPr>
            <w:tcW w:w="504" w:type="dxa"/>
            <w:tcBorders>
              <w:top w:val="single" w:sz="4" w:space="0" w:color="auto"/>
              <w:bottom w:val="single" w:sz="4" w:space="0" w:color="auto"/>
            </w:tcBorders>
            <w:shd w:val="clear" w:color="auto" w:fill="auto"/>
            <w:tcMar>
              <w:top w:w="100" w:type="nil"/>
              <w:right w:w="100" w:type="nil"/>
            </w:tcMar>
            <w:vAlign w:val="bottom"/>
          </w:tcPr>
          <w:p w:rsidR="00EF5258" w:rsidRPr="00CE461D" w:rsidRDefault="00EF5258" w:rsidP="00EF5258">
            <w:pPr>
              <w:spacing w:before="80" w:after="80" w:line="220" w:lineRule="exact"/>
              <w:jc w:val="right"/>
              <w:rPr>
                <w:rFonts w:eastAsia="Calibri"/>
                <w:b/>
                <w:sz w:val="18"/>
                <w:szCs w:val="18"/>
              </w:rPr>
            </w:pPr>
            <w:r w:rsidRPr="00CE461D">
              <w:rPr>
                <w:rFonts w:eastAsia="Calibri"/>
                <w:b/>
                <w:sz w:val="18"/>
                <w:szCs w:val="18"/>
              </w:rPr>
              <w:t>4</w:t>
            </w:r>
          </w:p>
        </w:tc>
        <w:tc>
          <w:tcPr>
            <w:tcW w:w="539" w:type="dxa"/>
            <w:tcBorders>
              <w:top w:val="single" w:sz="4" w:space="0" w:color="auto"/>
              <w:bottom w:val="single" w:sz="4" w:space="0" w:color="auto"/>
            </w:tcBorders>
            <w:shd w:val="clear" w:color="auto" w:fill="auto"/>
            <w:tcMar>
              <w:top w:w="100" w:type="nil"/>
              <w:right w:w="100" w:type="nil"/>
            </w:tcMar>
            <w:vAlign w:val="bottom"/>
          </w:tcPr>
          <w:p w:rsidR="00EF5258" w:rsidRPr="00EF5258" w:rsidRDefault="00EF5258" w:rsidP="00EF5258">
            <w:pPr>
              <w:spacing w:before="80" w:after="80" w:line="220" w:lineRule="exact"/>
              <w:jc w:val="right"/>
              <w:rPr>
                <w:rFonts w:eastAsia="Calibri"/>
                <w:b/>
                <w:sz w:val="18"/>
                <w:szCs w:val="18"/>
              </w:rPr>
            </w:pPr>
            <w:r w:rsidRPr="00EF5258">
              <w:rPr>
                <w:rFonts w:eastAsia="Calibri"/>
                <w:b/>
                <w:sz w:val="18"/>
                <w:szCs w:val="18"/>
              </w:rPr>
              <w:t>107</w:t>
            </w:r>
          </w:p>
        </w:tc>
      </w:tr>
      <w:tr w:rsidR="00EF5258" w:rsidRPr="00527502" w:rsidTr="00EF5258">
        <w:tc>
          <w:tcPr>
            <w:tcW w:w="1134" w:type="dxa"/>
            <w:tcBorders>
              <w:top w:val="single" w:sz="4" w:space="0" w:color="auto"/>
              <w:bottom w:val="single" w:sz="12" w:space="0" w:color="auto"/>
            </w:tcBorders>
            <w:shd w:val="clear" w:color="auto" w:fill="auto"/>
            <w:tcMar>
              <w:top w:w="100" w:type="nil"/>
              <w:right w:w="100" w:type="nil"/>
            </w:tcMar>
          </w:tcPr>
          <w:p w:rsidR="00596826" w:rsidRPr="00527502" w:rsidRDefault="00596826" w:rsidP="00EF5258">
            <w:pPr>
              <w:suppressAutoHyphens w:val="0"/>
              <w:spacing w:before="80" w:after="80" w:line="220" w:lineRule="exact"/>
              <w:ind w:left="284"/>
              <w:rPr>
                <w:b/>
                <w:noProof/>
                <w:sz w:val="18"/>
                <w:lang w:val="fr-FR"/>
              </w:rPr>
            </w:pPr>
            <w:r w:rsidRPr="00527502">
              <w:rPr>
                <w:b/>
                <w:noProof/>
                <w:sz w:val="18"/>
                <w:lang w:val="fr-FR"/>
              </w:rPr>
              <w:t xml:space="preserve">Total </w:t>
            </w:r>
            <w:r w:rsidR="00EF5258">
              <w:rPr>
                <w:b/>
                <w:noProof/>
                <w:sz w:val="18"/>
                <w:lang w:val="fr-FR"/>
              </w:rPr>
              <w:br/>
            </w:r>
            <w:r w:rsidRPr="00527502">
              <w:rPr>
                <w:b/>
                <w:noProof/>
                <w:sz w:val="18"/>
                <w:lang w:val="fr-FR"/>
              </w:rPr>
              <w:t>par année</w:t>
            </w:r>
          </w:p>
        </w:tc>
        <w:tc>
          <w:tcPr>
            <w:tcW w:w="1876" w:type="dxa"/>
            <w:gridSpan w:val="3"/>
            <w:tcBorders>
              <w:top w:val="single" w:sz="4" w:space="0" w:color="auto"/>
              <w:bottom w:val="single" w:sz="12" w:space="0" w:color="auto"/>
            </w:tcBorders>
            <w:shd w:val="clear" w:color="auto" w:fill="auto"/>
            <w:tcMar>
              <w:top w:w="100" w:type="nil"/>
              <w:right w:w="100" w:type="nil"/>
            </w:tcMar>
            <w:vAlign w:val="bottom"/>
          </w:tcPr>
          <w:p w:rsidR="00596826" w:rsidRPr="00527502" w:rsidRDefault="00EF5258" w:rsidP="00EF5258">
            <w:pPr>
              <w:suppressAutoHyphens w:val="0"/>
              <w:spacing w:before="80" w:after="80" w:line="220" w:lineRule="exact"/>
              <w:jc w:val="right"/>
              <w:rPr>
                <w:b/>
                <w:noProof/>
                <w:sz w:val="18"/>
                <w:lang w:val="fr-FR"/>
              </w:rPr>
            </w:pPr>
            <w:r>
              <w:rPr>
                <w:b/>
                <w:noProof/>
                <w:sz w:val="18"/>
                <w:lang w:val="fr-FR"/>
              </w:rPr>
              <w:t>49</w:t>
            </w:r>
          </w:p>
        </w:tc>
        <w:tc>
          <w:tcPr>
            <w:tcW w:w="1889" w:type="dxa"/>
            <w:gridSpan w:val="3"/>
            <w:tcBorders>
              <w:top w:val="single" w:sz="4" w:space="0" w:color="auto"/>
              <w:bottom w:val="single" w:sz="12" w:space="0" w:color="auto"/>
            </w:tcBorders>
            <w:shd w:val="clear" w:color="auto" w:fill="auto"/>
            <w:tcMar>
              <w:top w:w="100" w:type="nil"/>
              <w:right w:w="100" w:type="nil"/>
            </w:tcMar>
            <w:vAlign w:val="bottom"/>
          </w:tcPr>
          <w:p w:rsidR="00596826" w:rsidRPr="00EF5258" w:rsidRDefault="00EF5258" w:rsidP="00EF5258">
            <w:pPr>
              <w:suppressAutoHyphens w:val="0"/>
              <w:spacing w:before="80" w:after="80" w:line="220" w:lineRule="exact"/>
              <w:jc w:val="right"/>
              <w:rPr>
                <w:b/>
                <w:noProof/>
                <w:sz w:val="18"/>
                <w:lang w:val="fr-FR"/>
              </w:rPr>
            </w:pPr>
            <w:r w:rsidRPr="00EF5258">
              <w:rPr>
                <w:b/>
                <w:noProof/>
                <w:sz w:val="18"/>
                <w:lang w:val="fr-FR"/>
              </w:rPr>
              <w:t>45</w:t>
            </w:r>
          </w:p>
        </w:tc>
        <w:tc>
          <w:tcPr>
            <w:tcW w:w="1932" w:type="dxa"/>
            <w:gridSpan w:val="3"/>
            <w:tcBorders>
              <w:top w:val="single" w:sz="4" w:space="0" w:color="auto"/>
              <w:bottom w:val="single" w:sz="12" w:space="0" w:color="auto"/>
            </w:tcBorders>
            <w:shd w:val="clear" w:color="auto" w:fill="auto"/>
            <w:tcMar>
              <w:top w:w="100" w:type="nil"/>
              <w:right w:w="100" w:type="nil"/>
            </w:tcMar>
            <w:vAlign w:val="bottom"/>
          </w:tcPr>
          <w:p w:rsidR="00596826" w:rsidRPr="00EF5258" w:rsidRDefault="00EF5258" w:rsidP="00EF5258">
            <w:pPr>
              <w:suppressAutoHyphens w:val="0"/>
              <w:spacing w:before="80" w:after="80" w:line="220" w:lineRule="exact"/>
              <w:jc w:val="right"/>
              <w:rPr>
                <w:b/>
                <w:noProof/>
                <w:sz w:val="18"/>
                <w:lang w:val="fr-FR"/>
              </w:rPr>
            </w:pPr>
            <w:r w:rsidRPr="00EF5258">
              <w:rPr>
                <w:b/>
                <w:noProof/>
                <w:sz w:val="18"/>
                <w:lang w:val="fr-FR"/>
              </w:rPr>
              <w:t>13</w:t>
            </w:r>
          </w:p>
        </w:tc>
        <w:tc>
          <w:tcPr>
            <w:tcW w:w="539" w:type="dxa"/>
            <w:tcBorders>
              <w:top w:val="single" w:sz="4" w:space="0" w:color="auto"/>
              <w:bottom w:val="single" w:sz="12" w:space="0" w:color="auto"/>
            </w:tcBorders>
            <w:shd w:val="clear" w:color="auto" w:fill="auto"/>
            <w:tcMar>
              <w:top w:w="100" w:type="nil"/>
              <w:right w:w="100" w:type="nil"/>
            </w:tcMar>
            <w:vAlign w:val="bottom"/>
          </w:tcPr>
          <w:p w:rsidR="00596826" w:rsidRPr="00527502" w:rsidRDefault="00596826" w:rsidP="00EF5258">
            <w:pPr>
              <w:suppressAutoHyphens w:val="0"/>
              <w:spacing w:before="80" w:after="80" w:line="220" w:lineRule="exact"/>
              <w:jc w:val="right"/>
              <w:rPr>
                <w:noProof/>
                <w:sz w:val="18"/>
                <w:lang w:val="fr-FR"/>
              </w:rPr>
            </w:pPr>
          </w:p>
        </w:tc>
      </w:tr>
    </w:tbl>
    <w:p w:rsidR="00596826" w:rsidRPr="0006149A" w:rsidRDefault="00596826" w:rsidP="0006149A">
      <w:pPr>
        <w:pStyle w:val="SingleTxtG"/>
        <w:spacing w:before="120" w:after="240"/>
        <w:ind w:firstLine="170"/>
        <w:rPr>
          <w:noProof/>
          <w:sz w:val="18"/>
          <w:szCs w:val="18"/>
          <w:lang w:val="fr-FR"/>
        </w:rPr>
      </w:pPr>
      <w:r w:rsidRPr="0006149A">
        <w:rPr>
          <w:i/>
          <w:iCs/>
          <w:noProof/>
          <w:sz w:val="18"/>
          <w:szCs w:val="18"/>
          <w:lang w:val="fr-FR"/>
        </w:rPr>
        <w:t>Source </w:t>
      </w:r>
      <w:r w:rsidRPr="00691AD9">
        <w:rPr>
          <w:iCs/>
          <w:noProof/>
          <w:sz w:val="18"/>
          <w:szCs w:val="18"/>
          <w:lang w:val="fr-FR"/>
        </w:rPr>
        <w:t>:</w:t>
      </w:r>
      <w:r w:rsidRPr="0006149A">
        <w:rPr>
          <w:noProof/>
          <w:sz w:val="18"/>
          <w:szCs w:val="18"/>
          <w:lang w:val="fr-FR"/>
        </w:rPr>
        <w:t xml:space="preserve"> Ministère de l</w:t>
      </w:r>
      <w:r w:rsidR="00607CA3" w:rsidRPr="0006149A">
        <w:rPr>
          <w:noProof/>
          <w:sz w:val="18"/>
          <w:szCs w:val="18"/>
          <w:lang w:val="fr-FR"/>
        </w:rPr>
        <w:t>’</w:t>
      </w:r>
      <w:r w:rsidRPr="0006149A">
        <w:rPr>
          <w:noProof/>
          <w:sz w:val="18"/>
          <w:szCs w:val="18"/>
          <w:lang w:val="fr-FR"/>
        </w:rPr>
        <w:t>intérieur.</w:t>
      </w:r>
    </w:p>
    <w:p w:rsidR="00596826" w:rsidRPr="00FC2919" w:rsidRDefault="00596826" w:rsidP="00596826">
      <w:pPr>
        <w:pStyle w:val="SingleTxtG"/>
        <w:rPr>
          <w:rFonts w:eastAsia="Calibri"/>
          <w:noProof/>
          <w:lang w:val="fr-FR"/>
        </w:rPr>
      </w:pPr>
      <w:r w:rsidRPr="00FC2919">
        <w:rPr>
          <w:rFonts w:eastAsia="Calibri"/>
          <w:noProof/>
          <w:lang w:val="fr-FR"/>
        </w:rPr>
        <w:t>145.</w:t>
      </w:r>
      <w:r w:rsidRPr="00FC2919">
        <w:rPr>
          <w:rFonts w:eastAsia="Calibri"/>
          <w:noProof/>
          <w:lang w:val="fr-FR"/>
        </w:rPr>
        <w:tab/>
      </w:r>
      <w:r>
        <w:rPr>
          <w:rFonts w:eastAsia="Calibri"/>
          <w:noProof/>
          <w:lang w:val="fr-FR"/>
        </w:rPr>
        <w:t xml:space="preserve">Quant aux décès de femmes dans les centres pénitentiaires, il y en a eu trois </w:t>
      </w:r>
      <w:r w:rsidRPr="00FC2919">
        <w:rPr>
          <w:rFonts w:eastAsia="Calibri"/>
          <w:noProof/>
          <w:lang w:val="fr-FR"/>
        </w:rPr>
        <w:t>en 2015</w:t>
      </w:r>
      <w:r>
        <w:rPr>
          <w:rFonts w:eastAsia="Calibri"/>
          <w:noProof/>
          <w:lang w:val="fr-FR"/>
        </w:rPr>
        <w:t xml:space="preserve">, aucun </w:t>
      </w:r>
      <w:r w:rsidRPr="00FC2919">
        <w:rPr>
          <w:rFonts w:eastAsia="Calibri"/>
          <w:noProof/>
          <w:lang w:val="fr-FR"/>
        </w:rPr>
        <w:t xml:space="preserve">en 2016 </w:t>
      </w:r>
      <w:r>
        <w:rPr>
          <w:rFonts w:eastAsia="Calibri"/>
          <w:noProof/>
          <w:lang w:val="fr-FR"/>
        </w:rPr>
        <w:t xml:space="preserve">et deux </w:t>
      </w:r>
      <w:r w:rsidRPr="00FC2919">
        <w:rPr>
          <w:rFonts w:eastAsia="Calibri"/>
          <w:noProof/>
          <w:lang w:val="fr-FR"/>
        </w:rPr>
        <w:t xml:space="preserve">en </w:t>
      </w:r>
      <w:r w:rsidRPr="00FC2919">
        <w:rPr>
          <w:noProof/>
          <w:lang w:val="fr-FR"/>
        </w:rPr>
        <w:t>2017</w:t>
      </w:r>
      <w:r w:rsidRPr="00FC2919">
        <w:rPr>
          <w:rFonts w:eastAsia="Calibri"/>
          <w:noProof/>
          <w:lang w:val="fr-FR"/>
        </w:rPr>
        <w:t xml:space="preserve"> (un suicid</w:t>
      </w:r>
      <w:r>
        <w:rPr>
          <w:rFonts w:eastAsia="Calibri"/>
          <w:noProof/>
          <w:lang w:val="fr-FR"/>
        </w:rPr>
        <w:t>e</w:t>
      </w:r>
      <w:r w:rsidRPr="00FC2919">
        <w:rPr>
          <w:rFonts w:eastAsia="Calibri"/>
          <w:noProof/>
          <w:lang w:val="fr-FR"/>
        </w:rPr>
        <w:t xml:space="preserve"> </w:t>
      </w:r>
      <w:r>
        <w:rPr>
          <w:rFonts w:eastAsia="Calibri"/>
          <w:noProof/>
          <w:lang w:val="fr-FR"/>
        </w:rPr>
        <w:t>d</w:t>
      </w:r>
      <w:r w:rsidR="00607CA3">
        <w:rPr>
          <w:rFonts w:eastAsia="Calibri"/>
          <w:noProof/>
          <w:lang w:val="fr-FR"/>
        </w:rPr>
        <w:t>’</w:t>
      </w:r>
      <w:r>
        <w:rPr>
          <w:rFonts w:eastAsia="Calibri"/>
          <w:noProof/>
          <w:lang w:val="fr-FR"/>
        </w:rPr>
        <w:t>une femme du groupe d</w:t>
      </w:r>
      <w:r w:rsidR="00607CA3">
        <w:rPr>
          <w:rFonts w:eastAsia="Calibri"/>
          <w:noProof/>
          <w:lang w:val="fr-FR"/>
        </w:rPr>
        <w:t>’</w:t>
      </w:r>
      <w:r>
        <w:rPr>
          <w:rFonts w:eastAsia="Calibri"/>
          <w:noProof/>
          <w:lang w:val="fr-FR"/>
        </w:rPr>
        <w:t>âge des 25-29</w:t>
      </w:r>
      <w:r w:rsidR="0006149A">
        <w:rPr>
          <w:rFonts w:eastAsia="Calibri"/>
          <w:noProof/>
          <w:lang w:val="fr-FR"/>
        </w:rPr>
        <w:t> </w:t>
      </w:r>
      <w:r>
        <w:rPr>
          <w:rFonts w:eastAsia="Calibri"/>
          <w:noProof/>
          <w:lang w:val="fr-FR"/>
        </w:rPr>
        <w:t xml:space="preserve">ans </w:t>
      </w:r>
      <w:r w:rsidR="0006149A">
        <w:rPr>
          <w:rFonts w:eastAsia="Calibri"/>
          <w:noProof/>
          <w:lang w:val="fr-FR"/>
        </w:rPr>
        <w:t>−</w:t>
      </w:r>
      <w:r>
        <w:rPr>
          <w:rFonts w:eastAsia="Calibri"/>
          <w:noProof/>
          <w:lang w:val="fr-FR"/>
        </w:rPr>
        <w:t xml:space="preserve"> et un dû à d</w:t>
      </w:r>
      <w:r w:rsidR="00607CA3">
        <w:rPr>
          <w:rFonts w:eastAsia="Calibri"/>
          <w:noProof/>
          <w:lang w:val="fr-FR"/>
        </w:rPr>
        <w:t>’</w:t>
      </w:r>
      <w:r>
        <w:rPr>
          <w:rFonts w:eastAsia="Calibri"/>
          <w:noProof/>
          <w:lang w:val="fr-FR"/>
        </w:rPr>
        <w:t xml:space="preserve">autres causes </w:t>
      </w:r>
      <w:r w:rsidR="0006149A">
        <w:rPr>
          <w:rFonts w:eastAsia="Calibri"/>
          <w:noProof/>
          <w:lang w:val="fr-FR"/>
        </w:rPr>
        <w:t>−</w:t>
      </w:r>
      <w:r>
        <w:rPr>
          <w:rFonts w:eastAsia="Calibri"/>
          <w:noProof/>
          <w:lang w:val="fr-FR"/>
        </w:rPr>
        <w:t xml:space="preserve"> d</w:t>
      </w:r>
      <w:r w:rsidR="00607CA3">
        <w:rPr>
          <w:rFonts w:eastAsia="Calibri"/>
          <w:noProof/>
          <w:lang w:val="fr-FR"/>
        </w:rPr>
        <w:t>’</w:t>
      </w:r>
      <w:r>
        <w:rPr>
          <w:rFonts w:eastAsia="Calibri"/>
          <w:noProof/>
          <w:lang w:val="fr-FR"/>
        </w:rPr>
        <w:t>une femme du groupe d</w:t>
      </w:r>
      <w:r w:rsidR="00607CA3">
        <w:rPr>
          <w:rFonts w:eastAsia="Calibri"/>
          <w:noProof/>
          <w:lang w:val="fr-FR"/>
        </w:rPr>
        <w:t>’</w:t>
      </w:r>
      <w:r>
        <w:rPr>
          <w:rFonts w:eastAsia="Calibri"/>
          <w:noProof/>
          <w:lang w:val="fr-FR"/>
        </w:rPr>
        <w:t>âge des 55-59</w:t>
      </w:r>
      <w:r w:rsidR="00663397">
        <w:rPr>
          <w:rFonts w:eastAsia="Calibri"/>
          <w:noProof/>
          <w:lang w:val="fr-FR"/>
        </w:rPr>
        <w:t> </w:t>
      </w:r>
      <w:r>
        <w:rPr>
          <w:rFonts w:eastAsia="Calibri"/>
          <w:noProof/>
          <w:lang w:val="fr-FR"/>
        </w:rPr>
        <w:t>ans)</w:t>
      </w:r>
      <w:r w:rsidRPr="00FC2919">
        <w:rPr>
          <w:rFonts w:eastAsia="Calibri"/>
          <w:noProof/>
          <w:lang w:val="fr-FR"/>
        </w:rPr>
        <w:t>. A</w:t>
      </w:r>
      <w:r>
        <w:rPr>
          <w:rFonts w:eastAsia="Calibri"/>
          <w:noProof/>
          <w:lang w:val="fr-FR"/>
        </w:rPr>
        <w:t>u</w:t>
      </w:r>
      <w:r w:rsidRPr="00FC2919">
        <w:rPr>
          <w:rFonts w:eastAsia="Calibri"/>
          <w:noProof/>
          <w:lang w:val="fr-FR"/>
        </w:rPr>
        <w:t xml:space="preserve"> 30</w:t>
      </w:r>
      <w:r w:rsidR="00663397">
        <w:rPr>
          <w:rFonts w:eastAsia="Calibri"/>
          <w:noProof/>
          <w:lang w:val="fr-FR"/>
        </w:rPr>
        <w:t> </w:t>
      </w:r>
      <w:r w:rsidRPr="00FC2919">
        <w:rPr>
          <w:rFonts w:eastAsia="Calibri"/>
          <w:noProof/>
          <w:lang w:val="fr-FR"/>
        </w:rPr>
        <w:t>a</w:t>
      </w:r>
      <w:r>
        <w:rPr>
          <w:rFonts w:eastAsia="Calibri"/>
          <w:noProof/>
          <w:lang w:val="fr-FR"/>
        </w:rPr>
        <w:t>v</w:t>
      </w:r>
      <w:r w:rsidRPr="00FC2919">
        <w:rPr>
          <w:rFonts w:eastAsia="Calibri"/>
          <w:noProof/>
          <w:lang w:val="fr-FR"/>
        </w:rPr>
        <w:t>ril 2018</w:t>
      </w:r>
      <w:r>
        <w:rPr>
          <w:rFonts w:eastAsia="Calibri"/>
          <w:noProof/>
          <w:lang w:val="fr-FR"/>
        </w:rPr>
        <w:t>, on n</w:t>
      </w:r>
      <w:r w:rsidR="00607CA3">
        <w:rPr>
          <w:rFonts w:eastAsia="Calibri"/>
          <w:noProof/>
          <w:lang w:val="fr-FR"/>
        </w:rPr>
        <w:t>’</w:t>
      </w:r>
      <w:r>
        <w:rPr>
          <w:rFonts w:eastAsia="Calibri"/>
          <w:noProof/>
          <w:lang w:val="fr-FR"/>
        </w:rPr>
        <w:t>a enregistré aucun cas de décès de femme détenue</w:t>
      </w:r>
      <w:r w:rsidRPr="00FC2919">
        <w:rPr>
          <w:rFonts w:eastAsia="Calibri"/>
          <w:noProof/>
          <w:lang w:val="fr-FR"/>
        </w:rPr>
        <w:t>.</w:t>
      </w:r>
    </w:p>
    <w:p w:rsidR="00596826" w:rsidRPr="00FC2919" w:rsidRDefault="00596826" w:rsidP="00596826">
      <w:pPr>
        <w:pStyle w:val="SingleTxtG"/>
        <w:rPr>
          <w:rFonts w:eastAsia="Calibri"/>
          <w:noProof/>
          <w:lang w:val="fr-FR"/>
        </w:rPr>
      </w:pPr>
      <w:r w:rsidRPr="00FC2919">
        <w:rPr>
          <w:rFonts w:eastAsia="Calibri"/>
          <w:noProof/>
          <w:lang w:val="fr-FR"/>
        </w:rPr>
        <w:t>146.</w:t>
      </w:r>
      <w:r w:rsidRPr="00FC2919">
        <w:rPr>
          <w:rFonts w:eastAsia="Calibri"/>
          <w:noProof/>
          <w:lang w:val="fr-FR"/>
        </w:rPr>
        <w:tab/>
        <w:t>Com</w:t>
      </w:r>
      <w:r>
        <w:rPr>
          <w:rFonts w:eastAsia="Calibri"/>
          <w:noProof/>
          <w:lang w:val="fr-FR"/>
        </w:rPr>
        <w:t>me indiqué précédémment, tous les cas de décès sont immédiatement notifiés à l</w:t>
      </w:r>
      <w:r w:rsidR="00607CA3">
        <w:rPr>
          <w:rFonts w:eastAsia="Calibri"/>
          <w:noProof/>
          <w:lang w:val="fr-FR"/>
        </w:rPr>
        <w:t>’</w:t>
      </w:r>
      <w:r>
        <w:rPr>
          <w:rFonts w:eastAsia="Calibri"/>
          <w:noProof/>
          <w:lang w:val="fr-FR"/>
        </w:rPr>
        <w:t>autorité judiciaire compétente et font l</w:t>
      </w:r>
      <w:r w:rsidR="00607CA3">
        <w:rPr>
          <w:rFonts w:eastAsia="Calibri"/>
          <w:noProof/>
          <w:lang w:val="fr-FR"/>
        </w:rPr>
        <w:t>’</w:t>
      </w:r>
      <w:r>
        <w:rPr>
          <w:rFonts w:eastAsia="Calibri"/>
          <w:noProof/>
          <w:lang w:val="fr-FR"/>
        </w:rPr>
        <w:t>objet d</w:t>
      </w:r>
      <w:r w:rsidR="00607CA3">
        <w:rPr>
          <w:rFonts w:eastAsia="Calibri"/>
          <w:noProof/>
          <w:lang w:val="fr-FR"/>
        </w:rPr>
        <w:t>’</w:t>
      </w:r>
      <w:r>
        <w:rPr>
          <w:rFonts w:eastAsia="Calibri"/>
          <w:noProof/>
          <w:lang w:val="fr-FR"/>
        </w:rPr>
        <w:t>une enquête administrative interne</w:t>
      </w:r>
      <w:r w:rsidRPr="00FC2919">
        <w:rPr>
          <w:rFonts w:eastAsia="Calibri"/>
          <w:noProof/>
          <w:lang w:val="fr-FR"/>
        </w:rPr>
        <w:t>.</w:t>
      </w:r>
    </w:p>
    <w:p w:rsidR="00596826" w:rsidRPr="00FC2919" w:rsidRDefault="00596826" w:rsidP="00596826">
      <w:pPr>
        <w:pStyle w:val="SingleTxtG"/>
        <w:rPr>
          <w:rFonts w:eastAsia="Calibri"/>
          <w:noProof/>
          <w:lang w:val="fr-FR"/>
        </w:rPr>
      </w:pPr>
      <w:r w:rsidRPr="00FC2919">
        <w:rPr>
          <w:rFonts w:eastAsia="Calibri"/>
          <w:noProof/>
          <w:lang w:val="fr-FR"/>
        </w:rPr>
        <w:t>147.</w:t>
      </w:r>
      <w:r w:rsidRPr="00FC2919">
        <w:rPr>
          <w:rFonts w:eastAsia="Calibri"/>
          <w:noProof/>
          <w:lang w:val="fr-FR"/>
        </w:rPr>
        <w:tab/>
        <w:t xml:space="preserve">En novembre 2016, </w:t>
      </w:r>
      <w:r>
        <w:rPr>
          <w:rFonts w:eastAsia="Calibri"/>
          <w:noProof/>
          <w:lang w:val="fr-FR"/>
        </w:rPr>
        <w:t>le d</w:t>
      </w:r>
      <w:r>
        <w:rPr>
          <w:noProof/>
          <w:lang w:val="fr-FR"/>
        </w:rPr>
        <w:t>élégué parlementaire aux affaires pénitentiaires</w:t>
      </w:r>
      <w:r>
        <w:rPr>
          <w:rFonts w:eastAsia="Calibri"/>
          <w:noProof/>
          <w:lang w:val="fr-FR"/>
        </w:rPr>
        <w:t xml:space="preserve"> a soumis au</w:t>
      </w:r>
      <w:r w:rsidRPr="00FC2919">
        <w:rPr>
          <w:rFonts w:eastAsia="Calibri"/>
          <w:noProof/>
          <w:lang w:val="fr-FR"/>
        </w:rPr>
        <w:t xml:space="preserve"> Parl</w:t>
      </w:r>
      <w:r>
        <w:rPr>
          <w:rFonts w:eastAsia="Calibri"/>
          <w:noProof/>
          <w:lang w:val="fr-FR"/>
        </w:rPr>
        <w:t>e</w:t>
      </w:r>
      <w:r w:rsidRPr="00FC2919">
        <w:rPr>
          <w:rFonts w:eastAsia="Calibri"/>
          <w:noProof/>
          <w:lang w:val="fr-FR"/>
        </w:rPr>
        <w:t>ment</w:t>
      </w:r>
      <w:r>
        <w:rPr>
          <w:rFonts w:eastAsia="Calibri"/>
          <w:noProof/>
          <w:lang w:val="fr-FR"/>
        </w:rPr>
        <w:t xml:space="preserve"> le</w:t>
      </w:r>
      <w:r w:rsidRPr="00FC2919">
        <w:rPr>
          <w:rFonts w:eastAsia="Calibri"/>
          <w:noProof/>
          <w:lang w:val="fr-FR"/>
        </w:rPr>
        <w:t xml:space="preserve"> </w:t>
      </w:r>
      <w:r>
        <w:rPr>
          <w:rFonts w:eastAsia="Calibri"/>
          <w:noProof/>
          <w:lang w:val="fr-FR"/>
        </w:rPr>
        <w:t>rapport</w:t>
      </w:r>
      <w:r w:rsidRPr="00663397">
        <w:rPr>
          <w:rStyle w:val="Appelnotedebasdep"/>
        </w:rPr>
        <w:footnoteReference w:id="28"/>
      </w:r>
      <w:r>
        <w:rPr>
          <w:rFonts w:eastAsia="Calibri"/>
          <w:noProof/>
          <w:lang w:val="fr-FR"/>
        </w:rPr>
        <w:t xml:space="preserve"> </w:t>
      </w:r>
      <w:r w:rsidRPr="00FC2919">
        <w:rPr>
          <w:rFonts w:eastAsia="Calibri"/>
          <w:noProof/>
          <w:lang w:val="fr-FR"/>
        </w:rPr>
        <w:t>sp</w:t>
      </w:r>
      <w:r>
        <w:rPr>
          <w:rFonts w:eastAsia="Calibri"/>
          <w:noProof/>
          <w:lang w:val="fr-FR"/>
        </w:rPr>
        <w:t>é</w:t>
      </w:r>
      <w:r w:rsidRPr="00FC2919">
        <w:rPr>
          <w:rFonts w:eastAsia="Calibri"/>
          <w:noProof/>
          <w:lang w:val="fr-FR"/>
        </w:rPr>
        <w:t xml:space="preserve">cial </w:t>
      </w:r>
      <w:r>
        <w:rPr>
          <w:rFonts w:eastAsia="Calibri"/>
          <w:noProof/>
          <w:lang w:val="fr-FR"/>
        </w:rPr>
        <w:t>sur les décès survenus en prison cette année-là, qui a été rendu public</w:t>
      </w:r>
      <w:r w:rsidRPr="00FC2919">
        <w:rPr>
          <w:rFonts w:eastAsia="Calibri"/>
          <w:noProof/>
          <w:lang w:val="fr-FR"/>
        </w:rPr>
        <w:t xml:space="preserve">. </w:t>
      </w:r>
      <w:r>
        <w:rPr>
          <w:rFonts w:eastAsia="Calibri"/>
          <w:noProof/>
          <w:lang w:val="fr-FR"/>
        </w:rPr>
        <w:t xml:space="preserve">Sont également publiés deux bulletins statistiques pour les années </w:t>
      </w:r>
      <w:r w:rsidRPr="00FC2919">
        <w:rPr>
          <w:rFonts w:eastAsia="Calibri"/>
          <w:noProof/>
          <w:lang w:val="fr-FR"/>
        </w:rPr>
        <w:t xml:space="preserve">2016 </w:t>
      </w:r>
      <w:r>
        <w:rPr>
          <w:rFonts w:eastAsia="Calibri"/>
          <w:noProof/>
          <w:lang w:val="fr-FR"/>
        </w:rPr>
        <w:t xml:space="preserve">et </w:t>
      </w:r>
      <w:r w:rsidRPr="00FC2919">
        <w:rPr>
          <w:rFonts w:eastAsia="Calibri"/>
          <w:noProof/>
          <w:lang w:val="fr-FR"/>
        </w:rPr>
        <w:t>2017</w:t>
      </w:r>
      <w:r>
        <w:rPr>
          <w:rFonts w:eastAsia="Calibri"/>
          <w:noProof/>
          <w:lang w:val="fr-FR"/>
        </w:rPr>
        <w:t>, qui renseignent sur les décès survenus dans les centres pénitentiaires de l</w:t>
      </w:r>
      <w:r w:rsidR="00607CA3">
        <w:rPr>
          <w:rFonts w:eastAsia="Calibri"/>
          <w:noProof/>
          <w:lang w:val="fr-FR"/>
        </w:rPr>
        <w:t>’</w:t>
      </w:r>
      <w:r>
        <w:rPr>
          <w:rFonts w:eastAsia="Calibri"/>
          <w:noProof/>
          <w:lang w:val="fr-FR"/>
        </w:rPr>
        <w:t>ensemble du pays</w:t>
      </w:r>
      <w:r w:rsidRPr="00FC2919">
        <w:rPr>
          <w:rFonts w:eastAsia="Calibri"/>
          <w:noProof/>
          <w:lang w:val="fr-FR"/>
        </w:rPr>
        <w:t xml:space="preserve">. </w:t>
      </w:r>
      <w:r>
        <w:rPr>
          <w:rFonts w:eastAsia="Calibri"/>
          <w:noProof/>
          <w:lang w:val="fr-FR"/>
        </w:rPr>
        <w:t>De même, le rapport annuel pour 2017 contient un chapitre donnant des informations détaillées sur les décès en détention et les éléments relevés par le Bureau</w:t>
      </w:r>
      <w:r w:rsidRPr="00663397">
        <w:rPr>
          <w:rStyle w:val="Appelnotedebasdep"/>
        </w:rPr>
        <w:footnoteReference w:id="29"/>
      </w:r>
      <w:r w:rsidRPr="00FC2919">
        <w:rPr>
          <w:rFonts w:eastAsia="Calibri"/>
          <w:noProof/>
          <w:lang w:val="fr-FR"/>
        </w:rPr>
        <w:t>.</w:t>
      </w:r>
    </w:p>
    <w:p w:rsidR="00596826" w:rsidRPr="00FC2919" w:rsidRDefault="00596826" w:rsidP="00596826">
      <w:pPr>
        <w:pStyle w:val="SingleTxtG"/>
        <w:rPr>
          <w:rFonts w:eastAsia="Calibri"/>
          <w:noProof/>
          <w:lang w:val="fr-FR"/>
        </w:rPr>
      </w:pPr>
      <w:r w:rsidRPr="00FC2919">
        <w:rPr>
          <w:rFonts w:eastAsia="Calibri"/>
          <w:noProof/>
          <w:lang w:val="fr-FR"/>
        </w:rPr>
        <w:t>148.</w:t>
      </w:r>
      <w:r w:rsidRPr="00FC2919">
        <w:rPr>
          <w:rFonts w:eastAsia="Calibri"/>
          <w:noProof/>
          <w:lang w:val="fr-FR"/>
        </w:rPr>
        <w:tab/>
      </w:r>
      <w:r>
        <w:rPr>
          <w:rFonts w:eastAsia="Calibri"/>
          <w:noProof/>
          <w:lang w:val="fr-FR"/>
        </w:rPr>
        <w:t xml:space="preserve">Le </w:t>
      </w:r>
      <w:r w:rsidRPr="00FC2919">
        <w:rPr>
          <w:rFonts w:eastAsia="Calibri"/>
          <w:noProof/>
          <w:lang w:val="fr-FR"/>
        </w:rPr>
        <w:t>26</w:t>
      </w:r>
      <w:r w:rsidR="00663397">
        <w:rPr>
          <w:rFonts w:eastAsia="Calibri"/>
          <w:noProof/>
          <w:lang w:val="fr-FR"/>
        </w:rPr>
        <w:t> </w:t>
      </w:r>
      <w:r w:rsidRPr="00FC2919">
        <w:rPr>
          <w:rFonts w:eastAsia="Calibri"/>
          <w:noProof/>
          <w:lang w:val="fr-FR"/>
        </w:rPr>
        <w:t>a</w:t>
      </w:r>
      <w:r>
        <w:rPr>
          <w:rFonts w:eastAsia="Calibri"/>
          <w:noProof/>
          <w:lang w:val="fr-FR"/>
        </w:rPr>
        <w:t>v</w:t>
      </w:r>
      <w:r w:rsidRPr="00FC2919">
        <w:rPr>
          <w:rFonts w:eastAsia="Calibri"/>
          <w:noProof/>
          <w:lang w:val="fr-FR"/>
        </w:rPr>
        <w:t>ril 2018</w:t>
      </w:r>
      <w:r>
        <w:rPr>
          <w:rFonts w:eastAsia="Calibri"/>
          <w:noProof/>
          <w:lang w:val="fr-FR"/>
        </w:rPr>
        <w:t xml:space="preserve">, le délégué parlementaire a soumis à la Commission de suivi du système pénitentiaire son rapport annuel pour </w:t>
      </w:r>
      <w:r w:rsidRPr="00FC2919">
        <w:rPr>
          <w:rFonts w:eastAsia="Calibri"/>
          <w:noProof/>
          <w:lang w:val="fr-FR"/>
        </w:rPr>
        <w:t>2017</w:t>
      </w:r>
      <w:r w:rsidRPr="00663397">
        <w:rPr>
          <w:rStyle w:val="Appelnotedebasdep"/>
        </w:rPr>
        <w:footnoteReference w:id="30"/>
      </w:r>
      <w:r>
        <w:rPr>
          <w:rFonts w:eastAsia="Calibri"/>
          <w:noProof/>
          <w:lang w:val="fr-FR"/>
        </w:rPr>
        <w:t>, dans lequel il présente la situation des prisons à l</w:t>
      </w:r>
      <w:r w:rsidR="00607CA3">
        <w:rPr>
          <w:rFonts w:eastAsia="Calibri"/>
          <w:noProof/>
          <w:lang w:val="fr-FR"/>
        </w:rPr>
        <w:t>’</w:t>
      </w:r>
      <w:r>
        <w:rPr>
          <w:rFonts w:eastAsia="Calibri"/>
          <w:noProof/>
          <w:lang w:val="fr-FR"/>
        </w:rPr>
        <w:t>échelon national et donne des informations sur les décès</w:t>
      </w:r>
      <w:r w:rsidRPr="00FC2919">
        <w:rPr>
          <w:rFonts w:eastAsia="Calibri"/>
          <w:noProof/>
          <w:lang w:val="fr-FR"/>
        </w:rPr>
        <w:t>.</w:t>
      </w:r>
    </w:p>
    <w:p w:rsidR="00596826" w:rsidRPr="005B12BB" w:rsidRDefault="00596826" w:rsidP="00596826">
      <w:pPr>
        <w:pStyle w:val="H23G"/>
        <w:rPr>
          <w:rFonts w:eastAsia="Calibri"/>
          <w:noProof/>
          <w:lang w:val="fr-FR"/>
        </w:rPr>
      </w:pPr>
      <w:r w:rsidRPr="00411326">
        <w:rPr>
          <w:rFonts w:eastAsia="Calibri"/>
        </w:rPr>
        <w:tab/>
      </w:r>
      <w:r w:rsidRPr="00411326">
        <w:rPr>
          <w:rFonts w:eastAsia="Calibri"/>
        </w:rPr>
        <w:tab/>
      </w:r>
      <w:r w:rsidRPr="005B12BB">
        <w:rPr>
          <w:rFonts w:eastAsia="Calibri"/>
          <w:noProof/>
          <w:lang w:val="fr-FR"/>
        </w:rPr>
        <w:t>Réponse au paragraphe 22 de la liste de points</w:t>
      </w:r>
    </w:p>
    <w:p w:rsidR="00596826" w:rsidRPr="005B12BB" w:rsidRDefault="00596826" w:rsidP="00596826">
      <w:pPr>
        <w:pStyle w:val="SingleTxtG"/>
        <w:rPr>
          <w:rFonts w:eastAsia="Calibri"/>
          <w:noProof/>
          <w:lang w:val="fr-FR"/>
        </w:rPr>
      </w:pPr>
      <w:r w:rsidRPr="005B12BB">
        <w:rPr>
          <w:rFonts w:eastAsia="Calibri"/>
          <w:noProof/>
          <w:lang w:val="fr-FR"/>
        </w:rPr>
        <w:t>149.</w:t>
      </w:r>
      <w:r w:rsidRPr="005B12BB">
        <w:rPr>
          <w:rFonts w:eastAsia="Calibri"/>
          <w:noProof/>
          <w:lang w:val="fr-FR"/>
        </w:rPr>
        <w:tab/>
      </w:r>
      <w:r>
        <w:rPr>
          <w:rFonts w:eastAsia="Calibri"/>
          <w:noProof/>
          <w:lang w:val="fr-FR"/>
        </w:rPr>
        <w:t>Entrée en vigueur e</w:t>
      </w:r>
      <w:r w:rsidRPr="005B12BB">
        <w:rPr>
          <w:rFonts w:eastAsia="Calibri"/>
          <w:noProof/>
          <w:lang w:val="fr-FR"/>
        </w:rPr>
        <w:t xml:space="preserve">n </w:t>
      </w:r>
      <w:r>
        <w:rPr>
          <w:rFonts w:eastAsia="Calibri"/>
          <w:noProof/>
          <w:lang w:val="fr-FR"/>
        </w:rPr>
        <w:t xml:space="preserve">août 2017, la nouvelle loi sur la santé mentale </w:t>
      </w:r>
      <w:r w:rsidRPr="005B12BB">
        <w:rPr>
          <w:rFonts w:eastAsia="Calibri"/>
          <w:noProof/>
          <w:lang w:val="fr-FR"/>
        </w:rPr>
        <w:t>(</w:t>
      </w:r>
      <w:r>
        <w:rPr>
          <w:rFonts w:eastAsia="Calibri"/>
          <w:noProof/>
          <w:lang w:val="fr-FR"/>
        </w:rPr>
        <w:t xml:space="preserve">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5B12BB">
        <w:rPr>
          <w:rFonts w:eastAsia="Calibri"/>
          <w:noProof/>
          <w:lang w:val="fr-FR"/>
        </w:rPr>
        <w:t xml:space="preserve">19529) </w:t>
      </w:r>
      <w:r>
        <w:rPr>
          <w:rFonts w:eastAsia="Calibri"/>
          <w:noProof/>
          <w:lang w:val="fr-FR"/>
        </w:rPr>
        <w:t xml:space="preserve">a </w:t>
      </w:r>
      <w:r w:rsidRPr="00411326">
        <w:t xml:space="preserve">marqué un </w:t>
      </w:r>
      <w:r w:rsidRPr="00426BFE">
        <w:rPr>
          <w:noProof/>
          <w:lang w:val="fr-FR"/>
        </w:rPr>
        <w:t>changement de politique publique nationale</w:t>
      </w:r>
      <w:r w:rsidRPr="005B12BB">
        <w:rPr>
          <w:rFonts w:eastAsia="Calibri"/>
          <w:noProof/>
          <w:lang w:val="fr-FR"/>
        </w:rPr>
        <w:t>.</w:t>
      </w:r>
      <w:r>
        <w:rPr>
          <w:rFonts w:eastAsia="Calibri"/>
          <w:noProof/>
          <w:lang w:val="fr-FR"/>
        </w:rPr>
        <w:t xml:space="preserve"> Son</w:t>
      </w:r>
      <w:r w:rsidRPr="005B12BB">
        <w:rPr>
          <w:rFonts w:eastAsia="Calibri"/>
          <w:noProof/>
          <w:lang w:val="fr-FR"/>
        </w:rPr>
        <w:t xml:space="preserve"> </w:t>
      </w:r>
      <w:r w:rsidRPr="00426BFE">
        <w:rPr>
          <w:noProof/>
          <w:lang w:val="fr-FR"/>
        </w:rPr>
        <w:t>règlement d</w:t>
      </w:r>
      <w:r w:rsidR="00607CA3">
        <w:rPr>
          <w:noProof/>
          <w:lang w:val="fr-FR"/>
        </w:rPr>
        <w:t>’</w:t>
      </w:r>
      <w:r w:rsidRPr="00426BFE">
        <w:rPr>
          <w:noProof/>
          <w:lang w:val="fr-FR"/>
        </w:rPr>
        <w:t>application est en cours d</w:t>
      </w:r>
      <w:r w:rsidR="00607CA3">
        <w:rPr>
          <w:noProof/>
          <w:lang w:val="fr-FR"/>
        </w:rPr>
        <w:t>’</w:t>
      </w:r>
      <w:r w:rsidRPr="00426BFE">
        <w:rPr>
          <w:noProof/>
          <w:lang w:val="fr-FR"/>
        </w:rPr>
        <w:t>élaboration</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150.</w:t>
      </w:r>
      <w:r w:rsidRPr="005B12BB">
        <w:rPr>
          <w:rFonts w:eastAsia="Calibri"/>
          <w:noProof/>
          <w:lang w:val="fr-FR"/>
        </w:rPr>
        <w:tab/>
        <w:t>A</w:t>
      </w:r>
      <w:r>
        <w:rPr>
          <w:rFonts w:eastAsia="Calibri"/>
          <w:noProof/>
          <w:lang w:val="fr-FR"/>
        </w:rPr>
        <w:t xml:space="preserve">vec la promulgation de cette nouvelle loi sur la santé mentale, </w:t>
      </w:r>
      <w:r w:rsidRPr="00426BFE">
        <w:rPr>
          <w:rFonts w:eastAsia="Calibri"/>
          <w:noProof/>
          <w:lang w:val="fr-FR"/>
        </w:rPr>
        <w:t xml:space="preserve">il </w:t>
      </w:r>
      <w:r w:rsidRPr="00426BFE">
        <w:rPr>
          <w:noProof/>
          <w:lang w:val="fr-FR"/>
        </w:rPr>
        <w:t>s</w:t>
      </w:r>
      <w:r w:rsidR="00607CA3">
        <w:rPr>
          <w:noProof/>
          <w:lang w:val="fr-FR"/>
        </w:rPr>
        <w:t>’</w:t>
      </w:r>
      <w:r w:rsidRPr="00426BFE">
        <w:rPr>
          <w:noProof/>
          <w:lang w:val="fr-FR"/>
        </w:rPr>
        <w:t>est agi de repenser toute l</w:t>
      </w:r>
      <w:r w:rsidR="00607CA3">
        <w:rPr>
          <w:noProof/>
          <w:lang w:val="fr-FR"/>
        </w:rPr>
        <w:t>’</w:t>
      </w:r>
      <w:r w:rsidRPr="00426BFE">
        <w:rPr>
          <w:noProof/>
          <w:lang w:val="fr-FR"/>
        </w:rPr>
        <w:t>action menée pour promouvoir un modèle de désinstitutionnalisation</w:t>
      </w:r>
      <w:r w:rsidRPr="00426BFE">
        <w:rPr>
          <w:rFonts w:eastAsia="Calibri"/>
          <w:noProof/>
          <w:lang w:val="fr-FR"/>
        </w:rPr>
        <w:t>.</w:t>
      </w:r>
      <w:r w:rsidRPr="005B12BB">
        <w:rPr>
          <w:rFonts w:eastAsia="Calibri"/>
          <w:noProof/>
          <w:lang w:val="fr-FR"/>
        </w:rPr>
        <w:t xml:space="preserve"> </w:t>
      </w:r>
      <w:r>
        <w:rPr>
          <w:rFonts w:eastAsia="Calibri"/>
          <w:noProof/>
          <w:lang w:val="fr-FR"/>
        </w:rPr>
        <w:t xml:space="preserve">Les articles </w:t>
      </w:r>
      <w:r w:rsidRPr="005B12BB">
        <w:rPr>
          <w:rFonts w:eastAsia="Calibri"/>
          <w:noProof/>
          <w:lang w:val="fr-FR"/>
        </w:rPr>
        <w:t xml:space="preserve">30, 31, 32, 33, 34 </w:t>
      </w:r>
      <w:r>
        <w:rPr>
          <w:rFonts w:eastAsia="Calibri"/>
          <w:noProof/>
          <w:lang w:val="fr-FR"/>
        </w:rPr>
        <w:t>et</w:t>
      </w:r>
      <w:r w:rsidRPr="005B12BB">
        <w:rPr>
          <w:rFonts w:eastAsia="Calibri"/>
          <w:noProof/>
          <w:lang w:val="fr-FR"/>
        </w:rPr>
        <w:t xml:space="preserve"> 35</w:t>
      </w:r>
      <w:r>
        <w:rPr>
          <w:rFonts w:eastAsia="Calibri"/>
          <w:noProof/>
          <w:lang w:val="fr-FR"/>
        </w:rPr>
        <w:t xml:space="preserve"> de la 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5B12BB">
        <w:rPr>
          <w:rFonts w:eastAsia="Calibri"/>
          <w:noProof/>
          <w:lang w:val="fr-FR"/>
        </w:rPr>
        <w:t>19529</w:t>
      </w:r>
      <w:r>
        <w:rPr>
          <w:rFonts w:eastAsia="Calibri"/>
          <w:noProof/>
          <w:lang w:val="fr-FR"/>
        </w:rPr>
        <w:t xml:space="preserve"> énoncent les garanties de procédure applicables à l</w:t>
      </w:r>
      <w:r w:rsidR="00607CA3">
        <w:rPr>
          <w:rFonts w:eastAsia="Calibri"/>
          <w:noProof/>
          <w:lang w:val="fr-FR"/>
        </w:rPr>
        <w:t>’</w:t>
      </w:r>
      <w:r>
        <w:rPr>
          <w:rFonts w:eastAsia="Calibri"/>
          <w:noProof/>
          <w:lang w:val="fr-FR"/>
        </w:rPr>
        <w:t xml:space="preserve">internement sans consentement, et le Départemnt juridique fait office de </w:t>
      </w:r>
      <w:r w:rsidRPr="005B12BB">
        <w:rPr>
          <w:rFonts w:eastAsia="Calibri"/>
          <w:noProof/>
          <w:lang w:val="fr-FR"/>
        </w:rPr>
        <w:t>contr</w:t>
      </w:r>
      <w:r>
        <w:rPr>
          <w:rFonts w:eastAsia="Calibri"/>
          <w:noProof/>
          <w:lang w:val="fr-FR"/>
        </w:rPr>
        <w:t>ôleur institutionnel</w:t>
      </w:r>
      <w:r w:rsidRPr="005B12BB">
        <w:rPr>
          <w:rFonts w:eastAsia="Calibri"/>
          <w:noProof/>
          <w:lang w:val="fr-FR"/>
        </w:rPr>
        <w:t xml:space="preserve">. </w:t>
      </w:r>
      <w:r>
        <w:rPr>
          <w:rFonts w:eastAsia="Calibri"/>
          <w:noProof/>
          <w:lang w:val="fr-FR"/>
        </w:rPr>
        <w:t>À l</w:t>
      </w:r>
      <w:r w:rsidR="00607CA3">
        <w:rPr>
          <w:rFonts w:eastAsia="Calibri"/>
          <w:noProof/>
          <w:lang w:val="fr-FR"/>
        </w:rPr>
        <w:t>’</w:t>
      </w:r>
      <w:r>
        <w:rPr>
          <w:rFonts w:eastAsia="Calibri"/>
          <w:noProof/>
          <w:lang w:val="fr-FR"/>
        </w:rPr>
        <w:t xml:space="preserve">heure actuelle et en cette période de transition, cette population bénéficie des services suivants : </w:t>
      </w:r>
      <w:r w:rsidRPr="005B12BB">
        <w:rPr>
          <w:rFonts w:eastAsia="Calibri"/>
          <w:noProof/>
          <w:lang w:val="fr-FR"/>
        </w:rPr>
        <w:t>intern</w:t>
      </w:r>
      <w:r>
        <w:rPr>
          <w:rFonts w:eastAsia="Calibri"/>
          <w:noProof/>
          <w:lang w:val="fr-FR"/>
        </w:rPr>
        <w:t>ement à domicile</w:t>
      </w:r>
      <w:r w:rsidRPr="005B12BB">
        <w:rPr>
          <w:rFonts w:eastAsia="Calibri"/>
          <w:noProof/>
          <w:lang w:val="fr-FR"/>
        </w:rPr>
        <w:t xml:space="preserve">, </w:t>
      </w:r>
      <w:r>
        <w:rPr>
          <w:rFonts w:eastAsia="Calibri"/>
          <w:noProof/>
          <w:lang w:val="fr-FR"/>
        </w:rPr>
        <w:t>suivi à domicile</w:t>
      </w:r>
      <w:r w:rsidRPr="005B12BB">
        <w:rPr>
          <w:rFonts w:eastAsia="Calibri"/>
          <w:noProof/>
          <w:lang w:val="fr-FR"/>
        </w:rPr>
        <w:t xml:space="preserve">, </w:t>
      </w:r>
      <w:r w:rsidRPr="005B12BB">
        <w:rPr>
          <w:rFonts w:eastAsia="Calibri"/>
          <w:noProof/>
          <w:lang w:val="fr-FR"/>
        </w:rPr>
        <w:lastRenderedPageBreak/>
        <w:t>tra</w:t>
      </w:r>
      <w:r>
        <w:rPr>
          <w:rFonts w:eastAsia="Calibri"/>
          <w:noProof/>
          <w:lang w:val="fr-FR"/>
        </w:rPr>
        <w:t xml:space="preserve">itement ambulatoire en </w:t>
      </w:r>
      <w:r w:rsidRPr="005B12BB">
        <w:rPr>
          <w:rFonts w:eastAsia="Calibri"/>
          <w:noProof/>
          <w:lang w:val="fr-FR"/>
        </w:rPr>
        <w:t>pol</w:t>
      </w:r>
      <w:r>
        <w:rPr>
          <w:rFonts w:eastAsia="Calibri"/>
          <w:noProof/>
          <w:lang w:val="fr-FR"/>
        </w:rPr>
        <w:t>y</w:t>
      </w:r>
      <w:r w:rsidRPr="005B12BB">
        <w:rPr>
          <w:rFonts w:eastAsia="Calibri"/>
          <w:noProof/>
          <w:lang w:val="fr-FR"/>
        </w:rPr>
        <w:t>cl</w:t>
      </w:r>
      <w:r>
        <w:rPr>
          <w:rFonts w:eastAsia="Calibri"/>
          <w:noProof/>
          <w:lang w:val="fr-FR"/>
        </w:rPr>
        <w:t xml:space="preserve">inique et </w:t>
      </w:r>
      <w:r w:rsidRPr="005B12BB">
        <w:rPr>
          <w:rFonts w:eastAsia="Calibri"/>
          <w:noProof/>
          <w:lang w:val="fr-FR"/>
        </w:rPr>
        <w:t>po</w:t>
      </w:r>
      <w:r>
        <w:rPr>
          <w:rFonts w:eastAsia="Calibri"/>
          <w:noProof/>
          <w:lang w:val="fr-FR"/>
        </w:rPr>
        <w:t>s</w:t>
      </w:r>
      <w:r w:rsidRPr="005B12BB">
        <w:rPr>
          <w:rFonts w:eastAsia="Calibri"/>
          <w:noProof/>
          <w:lang w:val="fr-FR"/>
        </w:rPr>
        <w:t>sibili</w:t>
      </w:r>
      <w:r>
        <w:rPr>
          <w:rFonts w:eastAsia="Calibri"/>
          <w:noProof/>
          <w:lang w:val="fr-FR"/>
        </w:rPr>
        <w:t>té d</w:t>
      </w:r>
      <w:r w:rsidR="00607CA3">
        <w:rPr>
          <w:rFonts w:eastAsia="Calibri"/>
          <w:noProof/>
          <w:lang w:val="fr-FR"/>
        </w:rPr>
        <w:t>’</w:t>
      </w:r>
      <w:r>
        <w:rPr>
          <w:rFonts w:eastAsia="Calibri"/>
          <w:noProof/>
          <w:lang w:val="fr-FR"/>
        </w:rPr>
        <w:t>orientation vers différents centres de réadaptation</w:t>
      </w:r>
      <w:r w:rsidRPr="005B12BB">
        <w:rPr>
          <w:rFonts w:eastAsia="Calibri"/>
          <w:noProof/>
          <w:lang w:val="fr-FR"/>
        </w:rPr>
        <w:t xml:space="preserve">. </w:t>
      </w:r>
    </w:p>
    <w:p w:rsidR="00596826" w:rsidRPr="005B12BB" w:rsidRDefault="00596826" w:rsidP="00596826">
      <w:pPr>
        <w:pStyle w:val="SingleTxtG"/>
        <w:rPr>
          <w:rFonts w:eastAsia="Calibri"/>
          <w:noProof/>
          <w:lang w:val="fr-FR"/>
        </w:rPr>
      </w:pPr>
      <w:r w:rsidRPr="005B12BB">
        <w:rPr>
          <w:rFonts w:eastAsia="Calibri"/>
          <w:noProof/>
          <w:lang w:val="fr-FR"/>
        </w:rPr>
        <w:t>151.</w:t>
      </w:r>
      <w:r w:rsidRPr="005B12BB">
        <w:rPr>
          <w:rFonts w:eastAsia="Calibri"/>
          <w:noProof/>
          <w:lang w:val="fr-FR"/>
        </w:rPr>
        <w:tab/>
      </w:r>
      <w:r>
        <w:rPr>
          <w:rFonts w:eastAsia="Calibri"/>
          <w:noProof/>
          <w:lang w:val="fr-FR"/>
        </w:rPr>
        <w:t>Les dispositions de l</w:t>
      </w:r>
      <w:r w:rsidR="00607CA3">
        <w:rPr>
          <w:rFonts w:eastAsia="Calibri"/>
          <w:noProof/>
          <w:lang w:val="fr-FR"/>
        </w:rPr>
        <w:t>’</w:t>
      </w:r>
      <w:r>
        <w:rPr>
          <w:rFonts w:eastAsia="Calibri"/>
          <w:noProof/>
          <w:lang w:val="fr-FR"/>
        </w:rPr>
        <w:t>article 30 de la loi susvisée évoquent dans les termes ci-après le régime d</w:t>
      </w:r>
      <w:r w:rsidR="00607CA3">
        <w:rPr>
          <w:rFonts w:eastAsia="Calibri"/>
          <w:noProof/>
          <w:lang w:val="fr-FR"/>
        </w:rPr>
        <w:t>’</w:t>
      </w:r>
      <w:r>
        <w:rPr>
          <w:rFonts w:eastAsia="Calibri"/>
          <w:noProof/>
          <w:lang w:val="fr-FR"/>
        </w:rPr>
        <w:t>hospitalisation sans consentement :</w:t>
      </w:r>
      <w:r w:rsidRPr="005B12BB">
        <w:rPr>
          <w:rFonts w:eastAsia="Calibri"/>
          <w:noProof/>
          <w:lang w:val="fr-FR"/>
        </w:rPr>
        <w:t xml:space="preserve"> </w:t>
      </w:r>
      <w:r>
        <w:rPr>
          <w:rFonts w:eastAsia="Calibri"/>
          <w:noProof/>
          <w:lang w:val="fr-FR"/>
        </w:rPr>
        <w:t>« </w:t>
      </w:r>
      <w:r w:rsidRPr="005B12BB">
        <w:rPr>
          <w:rFonts w:eastAsia="Calibri"/>
          <w:noProof/>
          <w:lang w:val="fr-FR"/>
        </w:rPr>
        <w:t>la person</w:t>
      </w:r>
      <w:r>
        <w:rPr>
          <w:rFonts w:eastAsia="Calibri"/>
          <w:noProof/>
          <w:lang w:val="fr-FR"/>
        </w:rPr>
        <w:t>ne ne peut être hospitalisée sans son consentement ou retenue par un centre de soins où elle a été admise avec son consentement</w:t>
      </w:r>
      <w:r w:rsidRPr="005B12BB">
        <w:rPr>
          <w:rFonts w:eastAsia="Calibri"/>
          <w:noProof/>
          <w:lang w:val="fr-FR"/>
        </w:rPr>
        <w:t xml:space="preserve"> </w:t>
      </w:r>
      <w:r>
        <w:rPr>
          <w:rFonts w:eastAsia="Calibri"/>
          <w:noProof/>
          <w:lang w:val="fr-FR"/>
        </w:rPr>
        <w:t>que dans les cas suivants :</w:t>
      </w:r>
      <w:r w:rsidRPr="005B12BB">
        <w:rPr>
          <w:rFonts w:eastAsia="Calibri"/>
          <w:noProof/>
          <w:lang w:val="fr-FR"/>
        </w:rPr>
        <w:t xml:space="preserve"> A) </w:t>
      </w:r>
      <w:r>
        <w:rPr>
          <w:rFonts w:eastAsia="Calibri"/>
          <w:noProof/>
          <w:lang w:val="fr-FR"/>
        </w:rPr>
        <w:t xml:space="preserve">il existe un risque </w:t>
      </w:r>
      <w:r w:rsidRPr="005B12BB">
        <w:rPr>
          <w:rFonts w:eastAsia="Calibri"/>
          <w:noProof/>
          <w:lang w:val="fr-FR"/>
        </w:rPr>
        <w:t>i</w:t>
      </w:r>
      <w:r>
        <w:rPr>
          <w:rFonts w:eastAsia="Calibri"/>
          <w:noProof/>
          <w:lang w:val="fr-FR"/>
        </w:rPr>
        <w:t>m</w:t>
      </w:r>
      <w:r w:rsidRPr="005B12BB">
        <w:rPr>
          <w:rFonts w:eastAsia="Calibri"/>
          <w:noProof/>
          <w:lang w:val="fr-FR"/>
        </w:rPr>
        <w:t>minent</w:t>
      </w:r>
      <w:r>
        <w:rPr>
          <w:rFonts w:eastAsia="Calibri"/>
          <w:noProof/>
          <w:lang w:val="fr-FR"/>
        </w:rPr>
        <w:t xml:space="preserve"> pour sa vie ou celle de tiers</w:t>
      </w:r>
      <w:r w:rsidR="00663397">
        <w:rPr>
          <w:rFonts w:eastAsia="Calibri"/>
          <w:noProof/>
          <w:lang w:val="fr-FR"/>
        </w:rPr>
        <w:t> </w:t>
      </w:r>
      <w:r w:rsidRPr="005B12BB">
        <w:rPr>
          <w:rFonts w:eastAsia="Calibri"/>
          <w:noProof/>
          <w:lang w:val="fr-FR"/>
        </w:rPr>
        <w:t xml:space="preserve">; B) </w:t>
      </w:r>
      <w:r>
        <w:rPr>
          <w:rFonts w:eastAsia="Calibri"/>
          <w:noProof/>
          <w:lang w:val="fr-FR"/>
        </w:rPr>
        <w:t>sa capacité de jugement est altérée et le fait de ne pas l</w:t>
      </w:r>
      <w:r w:rsidR="00607CA3">
        <w:rPr>
          <w:rFonts w:eastAsia="Calibri"/>
          <w:noProof/>
          <w:lang w:val="fr-FR"/>
        </w:rPr>
        <w:t>’</w:t>
      </w:r>
      <w:r>
        <w:rPr>
          <w:rFonts w:eastAsia="Calibri"/>
          <w:noProof/>
          <w:lang w:val="fr-FR"/>
        </w:rPr>
        <w:t>hospitaliser peut entraîner une très forte dégradation de son état de santé ou l</w:t>
      </w:r>
      <w:r w:rsidR="00607CA3">
        <w:rPr>
          <w:rFonts w:eastAsia="Calibri"/>
          <w:noProof/>
          <w:lang w:val="fr-FR"/>
        </w:rPr>
        <w:t>’</w:t>
      </w:r>
      <w:r>
        <w:rPr>
          <w:rFonts w:eastAsia="Calibri"/>
          <w:noProof/>
          <w:lang w:val="fr-FR"/>
        </w:rPr>
        <w:t>empêcher de recevoir un traitement adéquat qui ne peut lui être administré que si elle est hospitalisée »</w:t>
      </w:r>
      <w:r w:rsidRPr="005B12BB">
        <w:rPr>
          <w:rFonts w:eastAsia="Calibri"/>
          <w:noProof/>
          <w:lang w:val="fr-FR"/>
        </w:rPr>
        <w:t xml:space="preserve">. </w:t>
      </w:r>
      <w:r>
        <w:rPr>
          <w:rFonts w:eastAsia="Calibri"/>
          <w:noProof/>
          <w:lang w:val="fr-FR"/>
        </w:rPr>
        <w:t>Il appartient au pouvoir exécutif de déterminer les situations considérées comme présentant un risque imminent et cet internement ne pourra avoir que des fins thérapeutiques</w:t>
      </w:r>
      <w:r w:rsidRPr="005B12BB">
        <w:rPr>
          <w:rFonts w:eastAsia="Calibri"/>
          <w:noProof/>
          <w:lang w:val="fr-FR"/>
        </w:rPr>
        <w:t xml:space="preserve">. </w:t>
      </w:r>
    </w:p>
    <w:p w:rsidR="00596826" w:rsidRPr="005B12BB" w:rsidRDefault="00596826" w:rsidP="00596826">
      <w:pPr>
        <w:pStyle w:val="SingleTxtG"/>
        <w:rPr>
          <w:rFonts w:eastAsia="Calibri"/>
          <w:noProof/>
          <w:lang w:val="fr-FR"/>
        </w:rPr>
      </w:pPr>
      <w:r w:rsidRPr="005B12BB">
        <w:rPr>
          <w:rFonts w:eastAsia="Calibri"/>
          <w:noProof/>
          <w:lang w:val="fr-FR"/>
        </w:rPr>
        <w:t>152.</w:t>
      </w:r>
      <w:r w:rsidRPr="005B12BB">
        <w:rPr>
          <w:rFonts w:eastAsia="Calibri"/>
          <w:noProof/>
          <w:lang w:val="fr-FR"/>
        </w:rPr>
        <w:tab/>
      </w:r>
      <w:r>
        <w:rPr>
          <w:rFonts w:eastAsia="Calibri"/>
          <w:noProof/>
          <w:lang w:val="fr-FR"/>
        </w:rPr>
        <w:t>En matière d</w:t>
      </w:r>
      <w:r w:rsidR="00607CA3">
        <w:rPr>
          <w:rFonts w:eastAsia="Calibri"/>
          <w:noProof/>
          <w:lang w:val="fr-FR"/>
        </w:rPr>
        <w:t>’</w:t>
      </w:r>
      <w:r>
        <w:rPr>
          <w:rFonts w:eastAsia="Calibri"/>
          <w:noProof/>
          <w:lang w:val="fr-FR"/>
        </w:rPr>
        <w:t>hospitalisation sans consentement, le</w:t>
      </w:r>
      <w:r w:rsidRPr="005B12BB">
        <w:rPr>
          <w:rFonts w:eastAsia="Calibri"/>
          <w:noProof/>
          <w:lang w:val="fr-FR"/>
        </w:rPr>
        <w:t>s formali</w:t>
      </w:r>
      <w:r>
        <w:rPr>
          <w:rFonts w:eastAsia="Calibri"/>
          <w:noProof/>
          <w:lang w:val="fr-FR"/>
        </w:rPr>
        <w:t>tés à accomplir sont les suivantes :</w:t>
      </w:r>
      <w:r w:rsidRPr="005B12BB">
        <w:rPr>
          <w:rFonts w:eastAsia="Calibri"/>
          <w:noProof/>
          <w:lang w:val="fr-FR"/>
        </w:rPr>
        <w:t xml:space="preserve"> d</w:t>
      </w:r>
      <w:r>
        <w:rPr>
          <w:rFonts w:eastAsia="Calibri"/>
          <w:noProof/>
          <w:lang w:val="fr-FR"/>
        </w:rPr>
        <w:t>é</w:t>
      </w:r>
      <w:r w:rsidRPr="005B12BB">
        <w:rPr>
          <w:rFonts w:eastAsia="Calibri"/>
          <w:noProof/>
          <w:lang w:val="fr-FR"/>
        </w:rPr>
        <w:t>clara</w:t>
      </w:r>
      <w:r>
        <w:rPr>
          <w:rFonts w:eastAsia="Calibri"/>
          <w:noProof/>
          <w:lang w:val="fr-FR"/>
        </w:rPr>
        <w:t>tion signée par le membre de la famille le plus proche, un autre proche parent ou un représentant légal, le cas échéant</w:t>
      </w:r>
      <w:r w:rsidRPr="005B12BB">
        <w:rPr>
          <w:rFonts w:eastAsia="Calibri"/>
          <w:noProof/>
          <w:lang w:val="fr-FR"/>
        </w:rPr>
        <w:t xml:space="preserve">. </w:t>
      </w:r>
      <w:r>
        <w:rPr>
          <w:rFonts w:eastAsia="Calibri"/>
          <w:noProof/>
          <w:lang w:val="fr-FR"/>
        </w:rPr>
        <w:t>Si aucune de ces personnes n</w:t>
      </w:r>
      <w:r w:rsidR="00607CA3">
        <w:rPr>
          <w:rFonts w:eastAsia="Calibri"/>
          <w:noProof/>
          <w:lang w:val="fr-FR"/>
        </w:rPr>
        <w:t>’</w:t>
      </w:r>
      <w:r>
        <w:rPr>
          <w:rFonts w:eastAsia="Calibri"/>
          <w:noProof/>
          <w:lang w:val="fr-FR"/>
        </w:rPr>
        <w:t>existe ou n</w:t>
      </w:r>
      <w:r w:rsidR="00607CA3">
        <w:rPr>
          <w:rFonts w:eastAsia="Calibri"/>
          <w:noProof/>
          <w:lang w:val="fr-FR"/>
        </w:rPr>
        <w:t>’</w:t>
      </w:r>
      <w:r>
        <w:rPr>
          <w:rFonts w:eastAsia="Calibri"/>
          <w:noProof/>
          <w:lang w:val="fr-FR"/>
        </w:rPr>
        <w:t>accepte de donner son consentement à l</w:t>
      </w:r>
      <w:r w:rsidR="00607CA3">
        <w:rPr>
          <w:rFonts w:eastAsia="Calibri"/>
          <w:noProof/>
          <w:lang w:val="fr-FR"/>
        </w:rPr>
        <w:t>’</w:t>
      </w:r>
      <w:r>
        <w:rPr>
          <w:rFonts w:eastAsia="Calibri"/>
          <w:noProof/>
          <w:lang w:val="fr-FR"/>
        </w:rPr>
        <w:t>hospitalisation et s</w:t>
      </w:r>
      <w:r w:rsidR="00607CA3">
        <w:rPr>
          <w:rFonts w:eastAsia="Calibri"/>
          <w:noProof/>
          <w:lang w:val="fr-FR"/>
        </w:rPr>
        <w:t>’</w:t>
      </w:r>
      <w:r>
        <w:rPr>
          <w:rFonts w:eastAsia="Calibri"/>
          <w:noProof/>
          <w:lang w:val="fr-FR"/>
        </w:rPr>
        <w:t>il se trouve que cette personne présente un danger imminent pour elle-même ou pour des tiers ou que sa capacité de jugement soit altérée, l</w:t>
      </w:r>
      <w:r w:rsidR="00607CA3">
        <w:rPr>
          <w:rFonts w:eastAsia="Calibri"/>
          <w:noProof/>
          <w:lang w:val="fr-FR"/>
        </w:rPr>
        <w:t>’</w:t>
      </w:r>
      <w:r>
        <w:rPr>
          <w:rFonts w:eastAsia="Calibri"/>
          <w:noProof/>
          <w:lang w:val="fr-FR"/>
        </w:rPr>
        <w:t>hospitalisation ne pourra avoir lieu que pour autant qu</w:t>
      </w:r>
      <w:r w:rsidR="00607CA3">
        <w:rPr>
          <w:rFonts w:eastAsia="Calibri"/>
          <w:noProof/>
          <w:lang w:val="fr-FR"/>
        </w:rPr>
        <w:t>’</w:t>
      </w:r>
      <w:r>
        <w:rPr>
          <w:rFonts w:eastAsia="Calibri"/>
          <w:noProof/>
          <w:lang w:val="fr-FR"/>
        </w:rPr>
        <w:t>un professionnel du service de santé considéré ait établi un rapport selon lequel cette personne remplit bien les conditions prévues à l</w:t>
      </w:r>
      <w:r w:rsidR="00607CA3">
        <w:rPr>
          <w:rFonts w:eastAsia="Calibri"/>
          <w:noProof/>
          <w:lang w:val="fr-FR"/>
        </w:rPr>
        <w:t>’</w:t>
      </w:r>
      <w:r>
        <w:rPr>
          <w:rFonts w:eastAsia="Calibri"/>
          <w:noProof/>
          <w:lang w:val="fr-FR"/>
        </w:rPr>
        <w:t>article 30 de la loi</w:t>
      </w:r>
      <w:r w:rsidRPr="005B12BB">
        <w:rPr>
          <w:rFonts w:eastAsia="Calibri"/>
          <w:noProof/>
          <w:lang w:val="fr-FR"/>
        </w:rPr>
        <w:t>. L</w:t>
      </w:r>
      <w:r>
        <w:rPr>
          <w:rFonts w:eastAsia="Calibri"/>
          <w:noProof/>
          <w:lang w:val="fr-FR"/>
        </w:rPr>
        <w:t>e</w:t>
      </w:r>
      <w:r w:rsidRPr="005B12BB">
        <w:rPr>
          <w:rFonts w:eastAsia="Calibri"/>
          <w:noProof/>
          <w:lang w:val="fr-FR"/>
        </w:rPr>
        <w:t>s méd</w:t>
      </w:r>
      <w:r>
        <w:rPr>
          <w:rFonts w:eastAsia="Calibri"/>
          <w:noProof/>
          <w:lang w:val="fr-FR"/>
        </w:rPr>
        <w:t>ecins qui établissent un tel rapport ne pourront pas avoir de liens de parenté avec cette personne ni être ses parents par alliance</w:t>
      </w:r>
      <w:r w:rsidRPr="005B12BB">
        <w:rPr>
          <w:rFonts w:eastAsia="Calibri"/>
          <w:noProof/>
          <w:lang w:val="fr-FR"/>
        </w:rPr>
        <w:t xml:space="preserve">. </w:t>
      </w:r>
      <w:r>
        <w:rPr>
          <w:rFonts w:eastAsia="Calibri"/>
          <w:noProof/>
          <w:lang w:val="fr-FR"/>
        </w:rPr>
        <w:t>Le rapport sera signé par deux médecins, dont un psychiatre</w:t>
      </w:r>
      <w:r w:rsidRPr="005B12BB">
        <w:rPr>
          <w:rFonts w:eastAsia="Calibri"/>
          <w:noProof/>
          <w:lang w:val="fr-FR"/>
        </w:rPr>
        <w:t>. L</w:t>
      </w:r>
      <w:r w:rsidR="00607CA3">
        <w:rPr>
          <w:rFonts w:eastAsia="Calibri"/>
          <w:noProof/>
          <w:lang w:val="fr-FR"/>
        </w:rPr>
        <w:t>’</w:t>
      </w:r>
      <w:r>
        <w:rPr>
          <w:rFonts w:eastAsia="Calibri"/>
          <w:noProof/>
          <w:lang w:val="fr-FR"/>
        </w:rPr>
        <w:t xml:space="preserve">internement ne pourra jamais avoir lieu si les conditions prévues aux articles 27 et 30 de la 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5B12BB">
        <w:rPr>
          <w:rFonts w:eastAsia="Calibri"/>
          <w:noProof/>
          <w:lang w:val="fr-FR"/>
        </w:rPr>
        <w:t xml:space="preserve">19529 </w:t>
      </w:r>
      <w:r>
        <w:rPr>
          <w:rFonts w:eastAsia="Calibri"/>
          <w:noProof/>
          <w:lang w:val="fr-FR"/>
        </w:rPr>
        <w:t>ne sont pas remplies</w:t>
      </w:r>
      <w:r w:rsidRPr="005B12BB">
        <w:rPr>
          <w:rFonts w:eastAsia="Calibri"/>
          <w:noProof/>
          <w:lang w:val="fr-FR"/>
        </w:rPr>
        <w:t xml:space="preserve">. </w:t>
      </w:r>
    </w:p>
    <w:p w:rsidR="00596826" w:rsidRPr="005B12BB" w:rsidRDefault="00596826" w:rsidP="00596826">
      <w:pPr>
        <w:pStyle w:val="SingleTxtG"/>
        <w:rPr>
          <w:rFonts w:eastAsia="Calibri"/>
          <w:noProof/>
          <w:lang w:val="fr-FR"/>
        </w:rPr>
      </w:pPr>
      <w:r w:rsidRPr="005B12BB">
        <w:rPr>
          <w:rFonts w:eastAsia="Calibri"/>
          <w:noProof/>
          <w:lang w:val="fr-FR"/>
        </w:rPr>
        <w:t>153.</w:t>
      </w:r>
      <w:r w:rsidRPr="005B12BB">
        <w:rPr>
          <w:rFonts w:eastAsia="Calibri"/>
          <w:noProof/>
          <w:lang w:val="fr-FR"/>
        </w:rPr>
        <w:tab/>
      </w:r>
      <w:r>
        <w:rPr>
          <w:rFonts w:eastAsia="Calibri"/>
          <w:noProof/>
          <w:lang w:val="fr-FR"/>
        </w:rPr>
        <w:t>Un exemple d</w:t>
      </w:r>
      <w:r w:rsidR="00607CA3">
        <w:rPr>
          <w:rFonts w:eastAsia="Calibri"/>
          <w:noProof/>
          <w:lang w:val="fr-FR"/>
        </w:rPr>
        <w:t>’</w:t>
      </w:r>
      <w:r>
        <w:rPr>
          <w:rFonts w:eastAsia="Calibri"/>
          <w:noProof/>
          <w:lang w:val="fr-FR"/>
        </w:rPr>
        <w:t>hospitalisation sans consentement est fourni par l</w:t>
      </w:r>
      <w:r w:rsidR="00607CA3">
        <w:rPr>
          <w:rFonts w:eastAsia="Calibri"/>
          <w:noProof/>
          <w:lang w:val="fr-FR"/>
        </w:rPr>
        <w:t>’</w:t>
      </w:r>
      <w:r>
        <w:rPr>
          <w:rFonts w:eastAsia="Calibri"/>
          <w:noProof/>
          <w:lang w:val="fr-FR"/>
        </w:rPr>
        <w:t>hospitalisation ordonnée par un tribunal sur la base d</w:t>
      </w:r>
      <w:r w:rsidR="00607CA3">
        <w:rPr>
          <w:rFonts w:eastAsia="Calibri"/>
          <w:noProof/>
          <w:lang w:val="fr-FR"/>
        </w:rPr>
        <w:t>’</w:t>
      </w:r>
      <w:r>
        <w:rPr>
          <w:rFonts w:eastAsia="Calibri"/>
          <w:noProof/>
          <w:lang w:val="fr-FR"/>
        </w:rPr>
        <w:t>un rapport médical justificatif.</w:t>
      </w:r>
      <w:r w:rsidRPr="005B12BB">
        <w:rPr>
          <w:rFonts w:eastAsia="Calibri"/>
          <w:noProof/>
          <w:lang w:val="fr-FR"/>
        </w:rPr>
        <w:t xml:space="preserve"> La </w:t>
      </w:r>
      <w:r>
        <w:rPr>
          <w:rFonts w:eastAsia="Calibri"/>
          <w:noProof/>
          <w:lang w:val="fr-FR"/>
        </w:rPr>
        <w:t>loi susvisée se fixe comme objectif la désinstitutionnalisation des personnes souffrant de troubles mentaux à la faveur d</w:t>
      </w:r>
      <w:r w:rsidR="00607CA3">
        <w:rPr>
          <w:rFonts w:eastAsia="Calibri"/>
          <w:noProof/>
          <w:lang w:val="fr-FR"/>
        </w:rPr>
        <w:t>’</w:t>
      </w:r>
      <w:r>
        <w:rPr>
          <w:rFonts w:eastAsia="Calibri"/>
          <w:noProof/>
          <w:lang w:val="fr-FR"/>
        </w:rPr>
        <w:t xml:space="preserve">un processus progressif de fermeture des </w:t>
      </w:r>
      <w:r w:rsidRPr="005F601B">
        <w:rPr>
          <w:noProof/>
          <w:lang w:val="fr-FR"/>
        </w:rPr>
        <w:t>structures asilaires et des hôpitaux psychiatriques</w:t>
      </w:r>
      <w:r w:rsidRPr="005F601B">
        <w:rPr>
          <w:rFonts w:eastAsia="Calibri"/>
          <w:noProof/>
          <w:lang w:val="fr-FR"/>
        </w:rPr>
        <w:t xml:space="preserve">, </w:t>
      </w:r>
      <w:r>
        <w:rPr>
          <w:rFonts w:eastAsia="Calibri"/>
          <w:noProof/>
          <w:lang w:val="fr-FR"/>
        </w:rPr>
        <w:t>auxquels se substituera un système de structures alternatives</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154.</w:t>
      </w:r>
      <w:r w:rsidRPr="005B12BB">
        <w:rPr>
          <w:rFonts w:eastAsia="Calibri"/>
          <w:noProof/>
          <w:lang w:val="fr-FR"/>
        </w:rPr>
        <w:tab/>
      </w:r>
      <w:r>
        <w:rPr>
          <w:rFonts w:eastAsia="Calibri"/>
          <w:noProof/>
          <w:lang w:val="fr-FR"/>
        </w:rPr>
        <w:t>Il importe de noter que le transfert en 2007 du Programme national du handicap (Pronadis) du Ministère de la santé au Ministère du développement social a permis d</w:t>
      </w:r>
      <w:r w:rsidR="00607CA3">
        <w:rPr>
          <w:rFonts w:eastAsia="Calibri"/>
          <w:noProof/>
          <w:lang w:val="fr-FR"/>
        </w:rPr>
        <w:t>’</w:t>
      </w:r>
      <w:r>
        <w:rPr>
          <w:rFonts w:eastAsia="Calibri"/>
          <w:noProof/>
          <w:lang w:val="fr-FR"/>
        </w:rPr>
        <w:t>adopter de nouvelles pratiques en matière de prise en charge du handicap fondées sur le modèle social</w:t>
      </w:r>
      <w:r w:rsidRPr="005B12BB">
        <w:rPr>
          <w:rFonts w:eastAsia="Calibri"/>
          <w:noProof/>
          <w:lang w:val="fr-FR"/>
        </w:rPr>
        <w:t xml:space="preserve">. En </w:t>
      </w:r>
      <w:r>
        <w:rPr>
          <w:rFonts w:eastAsia="Calibri"/>
          <w:noProof/>
          <w:lang w:val="fr-FR"/>
        </w:rPr>
        <w:t xml:space="preserve">ce qui concerne plus précisément le handicap psychosocial, </w:t>
      </w:r>
      <w:r w:rsidRPr="005B12BB">
        <w:rPr>
          <w:rFonts w:eastAsia="Calibri"/>
          <w:noProof/>
          <w:lang w:val="fr-FR"/>
        </w:rPr>
        <w:t>en 2016</w:t>
      </w:r>
      <w:r>
        <w:rPr>
          <w:rFonts w:eastAsia="Calibri"/>
          <w:noProof/>
          <w:lang w:val="fr-FR"/>
        </w:rPr>
        <w:t xml:space="preserve">, les « maisons assistées » </w:t>
      </w:r>
      <w:r w:rsidRPr="005B12BB">
        <w:rPr>
          <w:rFonts w:eastAsia="Calibri"/>
          <w:noProof/>
          <w:lang w:val="fr-FR"/>
        </w:rPr>
        <w:t xml:space="preserve"> </w:t>
      </w:r>
      <w:r>
        <w:rPr>
          <w:rFonts w:eastAsia="Calibri"/>
          <w:noProof/>
          <w:lang w:val="fr-FR"/>
        </w:rPr>
        <w:t>ont été rattachée</w:t>
      </w:r>
      <w:r w:rsidRPr="005B12BB">
        <w:rPr>
          <w:rFonts w:eastAsia="Calibri"/>
          <w:noProof/>
          <w:lang w:val="fr-FR"/>
        </w:rPr>
        <w:t xml:space="preserve">s </w:t>
      </w:r>
      <w:r>
        <w:rPr>
          <w:rFonts w:eastAsia="Calibri"/>
          <w:noProof/>
          <w:lang w:val="fr-FR"/>
        </w:rPr>
        <w:t>au Pronadis du Ministère du développement social</w:t>
      </w:r>
      <w:r w:rsidRPr="005B12BB">
        <w:rPr>
          <w:rFonts w:eastAsia="Calibri"/>
          <w:noProof/>
          <w:lang w:val="fr-FR"/>
        </w:rPr>
        <w:t xml:space="preserve">. </w:t>
      </w:r>
      <w:r>
        <w:rPr>
          <w:rFonts w:eastAsia="Calibri"/>
          <w:noProof/>
          <w:lang w:val="fr-FR"/>
        </w:rPr>
        <w:t>Elles sont gérées en accord avec le secteur de la santé mentale de l</w:t>
      </w:r>
      <w:r w:rsidR="00607CA3">
        <w:rPr>
          <w:rFonts w:eastAsia="Calibri"/>
          <w:noProof/>
          <w:lang w:val="fr-FR"/>
        </w:rPr>
        <w:t>’</w:t>
      </w:r>
      <w:r w:rsidRPr="00CA1065">
        <w:rPr>
          <w:noProof/>
          <w:lang w:val="fr-FR"/>
        </w:rPr>
        <w:t>Administration des services de santé de l</w:t>
      </w:r>
      <w:r w:rsidR="00607CA3">
        <w:rPr>
          <w:noProof/>
          <w:lang w:val="fr-FR"/>
        </w:rPr>
        <w:t>’</w:t>
      </w:r>
      <w:r w:rsidRPr="00CA1065">
        <w:rPr>
          <w:noProof/>
          <w:lang w:val="fr-FR"/>
        </w:rPr>
        <w:t>État</w:t>
      </w:r>
      <w:r w:rsidRPr="006509EF">
        <w:rPr>
          <w:rFonts w:eastAsia="Calibri"/>
          <w:noProof/>
          <w:lang w:val="fr-FR"/>
        </w:rPr>
        <w:t xml:space="preserve"> </w:t>
      </w:r>
      <w:r>
        <w:rPr>
          <w:rFonts w:eastAsia="Calibri"/>
          <w:noProof/>
          <w:lang w:val="fr-FR"/>
        </w:rPr>
        <w:t>et les populations vulnérables</w:t>
      </w:r>
      <w:r w:rsidRPr="005B12BB">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 xml:space="preserve">Unité de coordination des sorties de malades assistés étant chargée de la gestion technique </w:t>
      </w:r>
      <w:r w:rsidRPr="005B12BB">
        <w:rPr>
          <w:rFonts w:eastAsia="Calibri"/>
          <w:noProof/>
          <w:lang w:val="fr-FR"/>
        </w:rPr>
        <w:t>p</w:t>
      </w:r>
      <w:r>
        <w:rPr>
          <w:rFonts w:eastAsia="Calibri"/>
          <w:noProof/>
          <w:lang w:val="fr-FR"/>
        </w:rPr>
        <w:t xml:space="preserve">our </w:t>
      </w:r>
      <w:r w:rsidRPr="005B12BB">
        <w:rPr>
          <w:rFonts w:eastAsia="Calibri"/>
          <w:noProof/>
          <w:lang w:val="fr-FR"/>
        </w:rPr>
        <w:t xml:space="preserve">Montevideo. </w:t>
      </w:r>
      <w:r>
        <w:rPr>
          <w:rFonts w:eastAsia="Calibri"/>
          <w:noProof/>
          <w:lang w:val="fr-FR"/>
        </w:rPr>
        <w:t>Cette unité de gestion technique s</w:t>
      </w:r>
      <w:r w:rsidR="00607CA3">
        <w:rPr>
          <w:rFonts w:eastAsia="Calibri"/>
          <w:noProof/>
          <w:lang w:val="fr-FR"/>
        </w:rPr>
        <w:t>’</w:t>
      </w:r>
      <w:r>
        <w:rPr>
          <w:rFonts w:eastAsia="Calibri"/>
          <w:noProof/>
          <w:lang w:val="fr-FR"/>
        </w:rPr>
        <w:t>occupe des admissions et des sorties des résidents, l</w:t>
      </w:r>
      <w:r w:rsidR="00607CA3">
        <w:rPr>
          <w:rFonts w:eastAsia="Calibri"/>
          <w:noProof/>
          <w:lang w:val="fr-FR"/>
        </w:rPr>
        <w:t>’</w:t>
      </w:r>
      <w:r>
        <w:rPr>
          <w:rFonts w:eastAsia="Calibri"/>
          <w:noProof/>
          <w:lang w:val="fr-FR"/>
        </w:rPr>
        <w:t xml:space="preserve">accompagnement des coopératives de soins relevant du </w:t>
      </w:r>
      <w:r w:rsidRPr="005B12BB">
        <w:rPr>
          <w:rFonts w:eastAsia="Calibri"/>
          <w:noProof/>
          <w:lang w:val="fr-FR"/>
        </w:rPr>
        <w:t>Pronadis.</w:t>
      </w:r>
    </w:p>
    <w:p w:rsidR="00596826" w:rsidRPr="005B12BB" w:rsidRDefault="00596826" w:rsidP="00596826">
      <w:pPr>
        <w:pStyle w:val="SingleTxtG"/>
        <w:rPr>
          <w:rFonts w:eastAsia="Calibri"/>
          <w:noProof/>
          <w:lang w:val="fr-FR"/>
        </w:rPr>
      </w:pPr>
      <w:r w:rsidRPr="005B12BB">
        <w:rPr>
          <w:rFonts w:eastAsia="Calibri"/>
          <w:noProof/>
          <w:lang w:val="fr-FR"/>
        </w:rPr>
        <w:t>155.</w:t>
      </w:r>
      <w:r w:rsidRPr="005B12BB">
        <w:rPr>
          <w:rFonts w:eastAsia="Calibri"/>
          <w:noProof/>
          <w:lang w:val="fr-FR"/>
        </w:rPr>
        <w:tab/>
      </w:r>
      <w:r>
        <w:rPr>
          <w:rFonts w:eastAsia="Calibri"/>
          <w:noProof/>
          <w:lang w:val="fr-FR"/>
        </w:rPr>
        <w:t xml:space="preserve">Le </w:t>
      </w:r>
      <w:r w:rsidRPr="005B12BB">
        <w:rPr>
          <w:rFonts w:eastAsia="Calibri"/>
          <w:noProof/>
          <w:lang w:val="fr-FR"/>
        </w:rPr>
        <w:t xml:space="preserve">Pronadis </w:t>
      </w:r>
      <w:r>
        <w:rPr>
          <w:rFonts w:eastAsia="Calibri"/>
          <w:noProof/>
          <w:lang w:val="fr-FR"/>
        </w:rPr>
        <w:t>a élaboré un programme de travail qui met l</w:t>
      </w:r>
      <w:r w:rsidR="00607CA3">
        <w:rPr>
          <w:rFonts w:eastAsia="Calibri"/>
          <w:noProof/>
          <w:lang w:val="fr-FR"/>
        </w:rPr>
        <w:t>’</w:t>
      </w:r>
      <w:r>
        <w:rPr>
          <w:rFonts w:eastAsia="Calibri"/>
          <w:noProof/>
          <w:lang w:val="fr-FR"/>
        </w:rPr>
        <w:t>accent sur le modèle social du handicap et repose sur quatre principes directeurs considérés comme stratégiques pour la promotion de l</w:t>
      </w:r>
      <w:r w:rsidR="00607CA3">
        <w:rPr>
          <w:rFonts w:eastAsia="Calibri"/>
          <w:noProof/>
          <w:lang w:val="fr-FR"/>
        </w:rPr>
        <w:t>’</w:t>
      </w:r>
      <w:r>
        <w:rPr>
          <w:rFonts w:eastAsia="Calibri"/>
          <w:noProof/>
          <w:lang w:val="fr-FR"/>
        </w:rPr>
        <w:t>indépendance des activités quotidiennes des résidents et l</w:t>
      </w:r>
      <w:r w:rsidR="00607CA3">
        <w:rPr>
          <w:rFonts w:eastAsia="Calibri"/>
          <w:noProof/>
          <w:lang w:val="fr-FR"/>
        </w:rPr>
        <w:t>’</w:t>
      </w:r>
      <w:r>
        <w:rPr>
          <w:rFonts w:eastAsia="Calibri"/>
          <w:noProof/>
          <w:lang w:val="fr-FR"/>
        </w:rPr>
        <w:t>autonomisation de la prise des décisions, à savoir :</w:t>
      </w:r>
      <w:r w:rsidRPr="005B12BB">
        <w:rPr>
          <w:rFonts w:eastAsia="Calibri"/>
          <w:noProof/>
          <w:lang w:val="fr-FR"/>
        </w:rPr>
        <w:t xml:space="preserve"> 1. Planifica</w:t>
      </w:r>
      <w:r>
        <w:rPr>
          <w:rFonts w:eastAsia="Calibri"/>
          <w:noProof/>
          <w:lang w:val="fr-FR"/>
        </w:rPr>
        <w:t>tion</w:t>
      </w:r>
      <w:r w:rsidRPr="005B12BB">
        <w:rPr>
          <w:rFonts w:eastAsia="Calibri"/>
          <w:noProof/>
          <w:lang w:val="fr-FR"/>
        </w:rPr>
        <w:t>, organi</w:t>
      </w:r>
      <w:r>
        <w:rPr>
          <w:rFonts w:eastAsia="Calibri"/>
          <w:noProof/>
          <w:lang w:val="fr-FR"/>
        </w:rPr>
        <w:t>s</w:t>
      </w:r>
      <w:r w:rsidRPr="005B12BB">
        <w:rPr>
          <w:rFonts w:eastAsia="Calibri"/>
          <w:noProof/>
          <w:lang w:val="fr-FR"/>
        </w:rPr>
        <w:t>a</w:t>
      </w:r>
      <w:r>
        <w:rPr>
          <w:rFonts w:eastAsia="Calibri"/>
          <w:noProof/>
          <w:lang w:val="fr-FR"/>
        </w:rPr>
        <w:t>tion et gestion quotidienne des maisons</w:t>
      </w:r>
      <w:r w:rsidR="00663397">
        <w:rPr>
          <w:rFonts w:eastAsia="Calibri"/>
          <w:noProof/>
          <w:lang w:val="fr-FR"/>
        </w:rPr>
        <w:t> </w:t>
      </w:r>
      <w:r w:rsidRPr="005B12BB">
        <w:rPr>
          <w:rFonts w:eastAsia="Calibri"/>
          <w:noProof/>
          <w:lang w:val="fr-FR"/>
        </w:rPr>
        <w:t>; 2. Ac</w:t>
      </w:r>
      <w:r>
        <w:rPr>
          <w:rFonts w:eastAsia="Calibri"/>
          <w:noProof/>
          <w:lang w:val="fr-FR"/>
        </w:rPr>
        <w:t>c</w:t>
      </w:r>
      <w:r w:rsidRPr="005B12BB">
        <w:rPr>
          <w:rFonts w:eastAsia="Calibri"/>
          <w:noProof/>
          <w:lang w:val="fr-FR"/>
        </w:rPr>
        <w:t>ompa</w:t>
      </w:r>
      <w:r>
        <w:rPr>
          <w:rFonts w:eastAsia="Calibri"/>
          <w:noProof/>
          <w:lang w:val="fr-FR"/>
        </w:rPr>
        <w:t xml:space="preserve">gnement, </w:t>
      </w:r>
      <w:r w:rsidRPr="005B12BB">
        <w:rPr>
          <w:rFonts w:eastAsia="Calibri"/>
          <w:noProof/>
          <w:lang w:val="fr-FR"/>
        </w:rPr>
        <w:t>orienta</w:t>
      </w:r>
      <w:r>
        <w:rPr>
          <w:rFonts w:eastAsia="Calibri"/>
          <w:noProof/>
          <w:lang w:val="fr-FR"/>
        </w:rPr>
        <w:t xml:space="preserve">tion et </w:t>
      </w:r>
      <w:r w:rsidRPr="005B12BB">
        <w:rPr>
          <w:rFonts w:eastAsia="Calibri"/>
          <w:noProof/>
          <w:lang w:val="fr-FR"/>
        </w:rPr>
        <w:t>su</w:t>
      </w:r>
      <w:r>
        <w:rPr>
          <w:rFonts w:eastAsia="Calibri"/>
          <w:noProof/>
          <w:lang w:val="fr-FR"/>
        </w:rPr>
        <w:t>rveillance des coopé</w:t>
      </w:r>
      <w:r w:rsidRPr="005B12BB">
        <w:rPr>
          <w:rFonts w:eastAsia="Calibri"/>
          <w:noProof/>
          <w:lang w:val="fr-FR"/>
        </w:rPr>
        <w:t>rativ</w:t>
      </w:r>
      <w:r>
        <w:rPr>
          <w:rFonts w:eastAsia="Calibri"/>
          <w:noProof/>
          <w:lang w:val="fr-FR"/>
        </w:rPr>
        <w:t>e</w:t>
      </w:r>
      <w:r w:rsidRPr="005B12BB">
        <w:rPr>
          <w:rFonts w:eastAsia="Calibri"/>
          <w:noProof/>
          <w:lang w:val="fr-FR"/>
        </w:rPr>
        <w:t>s</w:t>
      </w:r>
      <w:r w:rsidR="00663397">
        <w:rPr>
          <w:rFonts w:eastAsia="Calibri"/>
          <w:noProof/>
          <w:lang w:val="fr-FR"/>
        </w:rPr>
        <w:t> </w:t>
      </w:r>
      <w:r w:rsidRPr="005B12BB">
        <w:rPr>
          <w:rFonts w:eastAsia="Calibri"/>
          <w:noProof/>
          <w:lang w:val="fr-FR"/>
        </w:rPr>
        <w:t>; 3. In</w:t>
      </w:r>
      <w:r>
        <w:rPr>
          <w:rFonts w:eastAsia="Calibri"/>
          <w:noProof/>
          <w:lang w:val="fr-FR"/>
        </w:rPr>
        <w:t>tégration des résidents sur les plans éducatif, socioprofessionnel et récréatif</w:t>
      </w:r>
      <w:r w:rsidR="00663397">
        <w:rPr>
          <w:rFonts w:eastAsia="Calibri"/>
          <w:noProof/>
          <w:lang w:val="fr-FR"/>
        </w:rPr>
        <w:t> </w:t>
      </w:r>
      <w:r w:rsidRPr="005B12BB">
        <w:rPr>
          <w:rFonts w:eastAsia="Calibri"/>
          <w:noProof/>
          <w:lang w:val="fr-FR"/>
        </w:rPr>
        <w:t>; 4. Coordina</w:t>
      </w:r>
      <w:r>
        <w:rPr>
          <w:rFonts w:eastAsia="Calibri"/>
          <w:noProof/>
          <w:lang w:val="fr-FR"/>
        </w:rPr>
        <w:t xml:space="preserve">tion </w:t>
      </w:r>
      <w:r w:rsidRPr="005B12BB">
        <w:rPr>
          <w:rFonts w:eastAsia="Calibri"/>
          <w:noProof/>
          <w:lang w:val="fr-FR"/>
        </w:rPr>
        <w:t>intersectori</w:t>
      </w:r>
      <w:r>
        <w:rPr>
          <w:rFonts w:eastAsia="Calibri"/>
          <w:noProof/>
          <w:lang w:val="fr-FR"/>
        </w:rPr>
        <w:t>elle</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156.</w:t>
      </w:r>
      <w:r w:rsidRPr="005B12BB">
        <w:rPr>
          <w:rFonts w:eastAsia="Calibri"/>
          <w:noProof/>
          <w:lang w:val="fr-FR"/>
        </w:rPr>
        <w:tab/>
        <w:t xml:space="preserve">En </w:t>
      </w:r>
      <w:r>
        <w:rPr>
          <w:rFonts w:eastAsia="Calibri"/>
          <w:noProof/>
          <w:lang w:val="fr-FR"/>
        </w:rPr>
        <w:t>ce qui concerne les mineurs, l</w:t>
      </w:r>
      <w:r w:rsidR="00607CA3">
        <w:rPr>
          <w:rFonts w:eastAsia="Calibri"/>
          <w:noProof/>
          <w:lang w:val="fr-FR"/>
        </w:rPr>
        <w:t>’</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adolescent</w:t>
      </w:r>
      <w:r w:rsidRPr="005B12BB">
        <w:rPr>
          <w:rFonts w:eastAsia="Calibri"/>
          <w:noProof/>
          <w:lang w:val="fr-FR"/>
        </w:rPr>
        <w:t xml:space="preserve"> </w:t>
      </w:r>
      <w:r>
        <w:rPr>
          <w:rFonts w:eastAsia="Calibri"/>
          <w:noProof/>
          <w:lang w:val="fr-FR"/>
        </w:rPr>
        <w:t xml:space="preserve">a, en 2016, pris en charge </w:t>
      </w:r>
      <w:r w:rsidRPr="005B12BB">
        <w:rPr>
          <w:rFonts w:eastAsia="Calibri"/>
          <w:noProof/>
          <w:lang w:val="fr-FR"/>
        </w:rPr>
        <w:t xml:space="preserve">558 </w:t>
      </w:r>
      <w:r>
        <w:rPr>
          <w:rFonts w:eastAsia="Calibri"/>
          <w:noProof/>
          <w:lang w:val="fr-FR"/>
        </w:rPr>
        <w:t>mineurs souffrant d</w:t>
      </w:r>
      <w:r w:rsidR="00607CA3">
        <w:rPr>
          <w:rFonts w:eastAsia="Calibri"/>
          <w:noProof/>
          <w:lang w:val="fr-FR"/>
        </w:rPr>
        <w:t>’</w:t>
      </w:r>
      <w:r>
        <w:rPr>
          <w:rFonts w:eastAsia="Calibri"/>
          <w:noProof/>
          <w:lang w:val="fr-FR"/>
        </w:rPr>
        <w:t xml:space="preserve">un handicap psychosocial. Ils y ont été admis </w:t>
      </w:r>
      <w:r w:rsidRPr="00E558EE">
        <w:rPr>
          <w:rFonts w:eastAsia="Calibri"/>
          <w:noProof/>
          <w:lang w:val="fr-FR"/>
        </w:rPr>
        <w:t>e</w:t>
      </w:r>
      <w:r w:rsidRPr="00E558EE">
        <w:rPr>
          <w:noProof/>
          <w:lang w:val="fr-FR"/>
        </w:rPr>
        <w:t>n application d</w:t>
      </w:r>
      <w:r w:rsidR="00607CA3">
        <w:rPr>
          <w:noProof/>
          <w:lang w:val="fr-FR"/>
        </w:rPr>
        <w:t>’</w:t>
      </w:r>
      <w:r w:rsidRPr="00E558EE">
        <w:rPr>
          <w:noProof/>
          <w:lang w:val="fr-FR"/>
        </w:rPr>
        <w:t>une ordonnance judiciaire</w:t>
      </w:r>
      <w:r w:rsidRPr="00411326">
        <w:t xml:space="preserve"> </w:t>
      </w:r>
      <w:r w:rsidRPr="005B12BB">
        <w:rPr>
          <w:rFonts w:eastAsia="Calibri"/>
          <w:noProof/>
          <w:lang w:val="fr-FR"/>
        </w:rPr>
        <w:t>(intern</w:t>
      </w:r>
      <w:r>
        <w:rPr>
          <w:rFonts w:eastAsia="Calibri"/>
          <w:noProof/>
          <w:lang w:val="fr-FR"/>
        </w:rPr>
        <w:t>ement sans consentement</w:t>
      </w:r>
      <w:r w:rsidRPr="005B12BB">
        <w:rPr>
          <w:rFonts w:eastAsia="Calibri"/>
          <w:noProof/>
          <w:lang w:val="fr-FR"/>
        </w:rPr>
        <w:t xml:space="preserve">). </w:t>
      </w:r>
      <w:r>
        <w:rPr>
          <w:rFonts w:eastAsia="Calibri"/>
          <w:noProof/>
          <w:lang w:val="fr-FR"/>
        </w:rPr>
        <w:t xml:space="preserve">Cette prise en charge est permanente pour </w:t>
      </w:r>
      <w:r w:rsidRPr="005B12BB">
        <w:rPr>
          <w:rFonts w:eastAsia="Calibri"/>
          <w:noProof/>
          <w:lang w:val="fr-FR"/>
        </w:rPr>
        <w:t xml:space="preserve">547 </w:t>
      </w:r>
      <w:r>
        <w:rPr>
          <w:rFonts w:eastAsia="Calibri"/>
          <w:noProof/>
          <w:lang w:val="fr-FR"/>
        </w:rPr>
        <w:t>d</w:t>
      </w:r>
      <w:r w:rsidR="00607CA3">
        <w:rPr>
          <w:rFonts w:eastAsia="Calibri"/>
          <w:noProof/>
          <w:lang w:val="fr-FR"/>
        </w:rPr>
        <w:t>’</w:t>
      </w:r>
      <w:r>
        <w:rPr>
          <w:rFonts w:eastAsia="Calibri"/>
          <w:noProof/>
          <w:lang w:val="fr-FR"/>
        </w:rPr>
        <w:t>entre eux, qui se répartissent comme suit</w:t>
      </w:r>
      <w:r w:rsidR="00663397">
        <w:rPr>
          <w:rFonts w:eastAsia="Calibri"/>
          <w:noProof/>
          <w:lang w:val="fr-FR"/>
        </w:rPr>
        <w:t> </w:t>
      </w:r>
      <w:r w:rsidRPr="005B12BB">
        <w:rPr>
          <w:rFonts w:eastAsia="Calibri"/>
          <w:noProof/>
          <w:lang w:val="fr-FR"/>
        </w:rPr>
        <w:t>:</w:t>
      </w:r>
    </w:p>
    <w:p w:rsidR="00596826" w:rsidRPr="005B12BB" w:rsidRDefault="00596826" w:rsidP="00596826">
      <w:pPr>
        <w:pStyle w:val="Bullet1G"/>
        <w:numPr>
          <w:ilvl w:val="0"/>
          <w:numId w:val="0"/>
        </w:numPr>
        <w:tabs>
          <w:tab w:val="left" w:pos="1701"/>
        </w:tabs>
        <w:ind w:left="1701" w:hanging="170"/>
        <w:rPr>
          <w:rFonts w:eastAsia="Calibri"/>
          <w:noProof/>
          <w:lang w:val="fr-FR"/>
        </w:rPr>
      </w:pPr>
      <w:r w:rsidRPr="005B12BB">
        <w:rPr>
          <w:rFonts w:eastAsia="Calibri"/>
          <w:noProof/>
          <w:lang w:val="fr-FR"/>
        </w:rPr>
        <w:t>•</w:t>
      </w:r>
      <w:r w:rsidRPr="005B12BB">
        <w:rPr>
          <w:rFonts w:eastAsia="Calibri"/>
          <w:noProof/>
          <w:lang w:val="fr-FR"/>
        </w:rPr>
        <w:tab/>
        <w:t xml:space="preserve">134 </w:t>
      </w:r>
      <w:r>
        <w:rPr>
          <w:rFonts w:eastAsia="Calibri"/>
          <w:noProof/>
          <w:lang w:val="fr-FR"/>
        </w:rPr>
        <w:t xml:space="preserve">garçons et filles âgés de </w:t>
      </w:r>
      <w:r w:rsidRPr="005B12BB">
        <w:rPr>
          <w:rFonts w:eastAsia="Calibri"/>
          <w:noProof/>
          <w:lang w:val="fr-FR"/>
        </w:rPr>
        <w:t xml:space="preserve">0 </w:t>
      </w:r>
      <w:r>
        <w:rPr>
          <w:rFonts w:eastAsia="Calibri"/>
          <w:noProof/>
          <w:lang w:val="fr-FR"/>
        </w:rPr>
        <w:t>à</w:t>
      </w:r>
      <w:r w:rsidRPr="005B12BB">
        <w:rPr>
          <w:rFonts w:eastAsia="Calibri"/>
          <w:noProof/>
          <w:lang w:val="fr-FR"/>
        </w:rPr>
        <w:t xml:space="preserve"> 3</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sidR="006F7A2B">
        <w:rPr>
          <w:rFonts w:eastAsia="Calibri"/>
          <w:noProof/>
          <w:lang w:val="fr-FR"/>
        </w:rPr>
        <w:t> </w:t>
      </w:r>
      <w:r w:rsidRPr="005B12BB">
        <w:rPr>
          <w:rFonts w:eastAsia="Calibri"/>
          <w:noProof/>
          <w:lang w:val="fr-FR"/>
        </w:rPr>
        <w:t xml:space="preserve">; 34 </w:t>
      </w:r>
      <w:r>
        <w:rPr>
          <w:rFonts w:eastAsia="Calibri"/>
          <w:noProof/>
          <w:lang w:val="fr-FR"/>
        </w:rPr>
        <w:t xml:space="preserve">âgés de </w:t>
      </w:r>
      <w:r w:rsidRPr="005B12BB">
        <w:rPr>
          <w:rFonts w:eastAsia="Calibri"/>
          <w:noProof/>
          <w:lang w:val="fr-FR"/>
        </w:rPr>
        <w:t xml:space="preserve">4 </w:t>
      </w:r>
      <w:r>
        <w:rPr>
          <w:rFonts w:eastAsia="Calibri"/>
          <w:noProof/>
          <w:lang w:val="fr-FR"/>
        </w:rPr>
        <w:t>et</w:t>
      </w:r>
      <w:r w:rsidRPr="005B12BB">
        <w:rPr>
          <w:rFonts w:eastAsia="Calibri"/>
          <w:noProof/>
          <w:lang w:val="fr-FR"/>
        </w:rPr>
        <w:t xml:space="preserve"> 5</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p>
    <w:p w:rsidR="00596826" w:rsidRPr="005B12BB" w:rsidRDefault="00596826" w:rsidP="00596826">
      <w:pPr>
        <w:pStyle w:val="Bullet1G"/>
        <w:numPr>
          <w:ilvl w:val="0"/>
          <w:numId w:val="0"/>
        </w:numPr>
        <w:tabs>
          <w:tab w:val="left" w:pos="1701"/>
        </w:tabs>
        <w:ind w:left="1701" w:hanging="170"/>
        <w:rPr>
          <w:rFonts w:eastAsia="Calibri"/>
          <w:noProof/>
          <w:lang w:val="fr-FR"/>
        </w:rPr>
      </w:pPr>
      <w:r w:rsidRPr="005B12BB">
        <w:rPr>
          <w:rFonts w:eastAsia="Calibri"/>
          <w:noProof/>
          <w:lang w:val="fr-FR"/>
        </w:rPr>
        <w:t>•</w:t>
      </w:r>
      <w:r w:rsidRPr="005B12BB">
        <w:rPr>
          <w:rFonts w:eastAsia="Calibri"/>
          <w:noProof/>
          <w:lang w:val="fr-FR"/>
        </w:rPr>
        <w:tab/>
        <w:t xml:space="preserve">159 </w:t>
      </w:r>
      <w:r>
        <w:rPr>
          <w:rFonts w:eastAsia="Calibri"/>
          <w:noProof/>
          <w:lang w:val="fr-FR"/>
        </w:rPr>
        <w:t>âgés de 6 à</w:t>
      </w:r>
      <w:r w:rsidRPr="005B12BB">
        <w:rPr>
          <w:rFonts w:eastAsia="Calibri"/>
          <w:noProof/>
          <w:lang w:val="fr-FR"/>
        </w:rPr>
        <w:t xml:space="preserve"> 12</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sidR="006F7A2B">
        <w:rPr>
          <w:rFonts w:eastAsia="Calibri"/>
          <w:noProof/>
          <w:lang w:val="fr-FR"/>
        </w:rPr>
        <w:t> </w:t>
      </w:r>
      <w:r w:rsidRPr="005B12BB">
        <w:rPr>
          <w:rFonts w:eastAsia="Calibri"/>
          <w:noProof/>
          <w:lang w:val="fr-FR"/>
        </w:rPr>
        <w:t xml:space="preserve">; 217 </w:t>
      </w:r>
      <w:r>
        <w:rPr>
          <w:rFonts w:eastAsia="Calibri"/>
          <w:noProof/>
          <w:lang w:val="fr-FR"/>
        </w:rPr>
        <w:t xml:space="preserve">âgés de </w:t>
      </w:r>
      <w:r w:rsidRPr="005B12BB">
        <w:rPr>
          <w:rFonts w:eastAsia="Calibri"/>
          <w:noProof/>
          <w:lang w:val="fr-FR"/>
        </w:rPr>
        <w:t xml:space="preserve">13 </w:t>
      </w:r>
      <w:r>
        <w:rPr>
          <w:rFonts w:eastAsia="Calibri"/>
          <w:noProof/>
          <w:lang w:val="fr-FR"/>
        </w:rPr>
        <w:t>à</w:t>
      </w:r>
      <w:r w:rsidRPr="005B12BB">
        <w:rPr>
          <w:rFonts w:eastAsia="Calibri"/>
          <w:noProof/>
          <w:lang w:val="fr-FR"/>
        </w:rPr>
        <w:t xml:space="preserve"> 17</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sidR="00691AD9">
        <w:rPr>
          <w:rFonts w:eastAsia="Calibri"/>
          <w:noProof/>
          <w:lang w:val="fr-FR"/>
        </w:rPr>
        <w:t> </w:t>
      </w:r>
      <w:r w:rsidRPr="005B12BB">
        <w:rPr>
          <w:rFonts w:eastAsia="Calibri"/>
          <w:noProof/>
          <w:lang w:val="fr-FR"/>
        </w:rPr>
        <w:t xml:space="preserve">; </w:t>
      </w:r>
      <w:r>
        <w:rPr>
          <w:rFonts w:eastAsia="Calibri"/>
          <w:noProof/>
          <w:lang w:val="fr-FR"/>
        </w:rPr>
        <w:t>et</w:t>
      </w:r>
      <w:r w:rsidRPr="005B12BB">
        <w:rPr>
          <w:rFonts w:eastAsia="Calibri"/>
          <w:noProof/>
          <w:lang w:val="fr-FR"/>
        </w:rPr>
        <w:t xml:space="preserve"> 3 </w:t>
      </w:r>
      <w:r>
        <w:rPr>
          <w:rFonts w:eastAsia="Calibri"/>
          <w:noProof/>
          <w:lang w:val="fr-FR"/>
        </w:rPr>
        <w:t>âgés de 18</w:t>
      </w:r>
      <w:r w:rsidR="00663397">
        <w:rPr>
          <w:rFonts w:eastAsia="Calibri"/>
          <w:noProof/>
          <w:lang w:val="fr-FR"/>
        </w:rPr>
        <w:t> </w:t>
      </w:r>
      <w:r>
        <w:rPr>
          <w:rFonts w:eastAsia="Calibri"/>
          <w:noProof/>
          <w:lang w:val="fr-FR"/>
        </w:rPr>
        <w:t>an</w:t>
      </w:r>
      <w:r w:rsidRPr="005B12BB">
        <w:rPr>
          <w:rFonts w:eastAsia="Calibri"/>
          <w:noProof/>
          <w:lang w:val="fr-FR"/>
        </w:rPr>
        <w:t xml:space="preserve">s </w:t>
      </w:r>
      <w:r>
        <w:rPr>
          <w:rFonts w:eastAsia="Calibri"/>
          <w:noProof/>
          <w:lang w:val="fr-FR"/>
        </w:rPr>
        <w:t>et plus</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157.</w:t>
      </w:r>
      <w:r w:rsidRPr="005B12BB">
        <w:rPr>
          <w:rFonts w:eastAsia="Calibri"/>
          <w:noProof/>
          <w:lang w:val="fr-FR"/>
        </w:rPr>
        <w:tab/>
      </w:r>
      <w:r>
        <w:rPr>
          <w:rFonts w:eastAsia="Calibri"/>
          <w:noProof/>
          <w:lang w:val="fr-FR"/>
        </w:rPr>
        <w:t>Pa</w:t>
      </w:r>
      <w:r w:rsidRPr="005B12BB">
        <w:rPr>
          <w:rFonts w:eastAsia="Calibri"/>
          <w:noProof/>
          <w:lang w:val="fr-FR"/>
        </w:rPr>
        <w:t xml:space="preserve">r </w:t>
      </w:r>
      <w:r>
        <w:rPr>
          <w:rFonts w:eastAsia="Calibri"/>
          <w:noProof/>
          <w:lang w:val="fr-FR"/>
        </w:rPr>
        <w:t xml:space="preserve">ailleurs, </w:t>
      </w:r>
      <w:r w:rsidR="00691AD9">
        <w:rPr>
          <w:rFonts w:eastAsia="Calibri"/>
          <w:noProof/>
          <w:lang w:val="fr-FR"/>
        </w:rPr>
        <w:t>5</w:t>
      </w:r>
      <w:r>
        <w:rPr>
          <w:rFonts w:eastAsia="Calibri"/>
          <w:noProof/>
          <w:lang w:val="fr-FR"/>
        </w:rPr>
        <w:t xml:space="preserve"> garçons et filles handicapés ont été pris en charge à temps complet :</w:t>
      </w:r>
      <w:r w:rsidRPr="005B12BB">
        <w:rPr>
          <w:rFonts w:eastAsia="Calibri"/>
          <w:noProof/>
          <w:lang w:val="fr-FR"/>
        </w:rPr>
        <w:t xml:space="preserve"> </w:t>
      </w:r>
      <w:r w:rsidR="00691AD9">
        <w:rPr>
          <w:rFonts w:eastAsia="Calibri"/>
          <w:noProof/>
          <w:lang w:val="fr-FR"/>
        </w:rPr>
        <w:t>1 </w:t>
      </w:r>
      <w:r>
        <w:rPr>
          <w:rFonts w:eastAsia="Calibri"/>
          <w:noProof/>
          <w:lang w:val="fr-FR"/>
        </w:rPr>
        <w:t>enfant</w:t>
      </w:r>
      <w:r w:rsidRPr="005B12BB">
        <w:rPr>
          <w:rFonts w:eastAsia="Calibri"/>
          <w:noProof/>
          <w:lang w:val="fr-FR"/>
        </w:rPr>
        <w:t xml:space="preserve"> </w:t>
      </w:r>
      <w:r>
        <w:rPr>
          <w:rFonts w:eastAsia="Calibri"/>
          <w:noProof/>
          <w:lang w:val="fr-FR"/>
        </w:rPr>
        <w:t xml:space="preserve">du groupe des </w:t>
      </w:r>
      <w:r w:rsidRPr="005B12BB">
        <w:rPr>
          <w:rFonts w:eastAsia="Calibri"/>
          <w:noProof/>
          <w:lang w:val="fr-FR"/>
        </w:rPr>
        <w:t>0</w:t>
      </w:r>
      <w:r w:rsidR="006F7A2B">
        <w:rPr>
          <w:rFonts w:eastAsia="Calibri"/>
          <w:noProof/>
          <w:lang w:val="fr-FR"/>
        </w:rPr>
        <w:t xml:space="preserve"> à </w:t>
      </w:r>
      <w:r w:rsidRPr="005B12BB">
        <w:rPr>
          <w:rFonts w:eastAsia="Calibri"/>
          <w:noProof/>
          <w:lang w:val="fr-FR"/>
        </w:rPr>
        <w:t>3</w:t>
      </w:r>
      <w:r w:rsidR="00663397">
        <w:rPr>
          <w:rFonts w:eastAsia="Calibri"/>
          <w:noProof/>
          <w:lang w:val="fr-FR"/>
        </w:rPr>
        <w:t> </w:t>
      </w:r>
      <w:r w:rsidRPr="005B12BB">
        <w:rPr>
          <w:rFonts w:eastAsia="Calibri"/>
          <w:noProof/>
          <w:lang w:val="fr-FR"/>
        </w:rPr>
        <w:t>a</w:t>
      </w:r>
      <w:r>
        <w:rPr>
          <w:rFonts w:eastAsia="Calibri"/>
          <w:noProof/>
          <w:lang w:val="fr-FR"/>
        </w:rPr>
        <w:t xml:space="preserve">ns, </w:t>
      </w:r>
      <w:r w:rsidR="00691AD9">
        <w:rPr>
          <w:rFonts w:eastAsia="Calibri"/>
          <w:noProof/>
          <w:lang w:val="fr-FR"/>
        </w:rPr>
        <w:t>1</w:t>
      </w:r>
      <w:r>
        <w:rPr>
          <w:rFonts w:eastAsia="Calibri"/>
          <w:noProof/>
          <w:lang w:val="fr-FR"/>
        </w:rPr>
        <w:t xml:space="preserve"> enfant</w:t>
      </w:r>
      <w:r w:rsidRPr="005B12BB">
        <w:rPr>
          <w:rFonts w:eastAsia="Calibri"/>
          <w:noProof/>
          <w:lang w:val="fr-FR"/>
        </w:rPr>
        <w:t xml:space="preserve"> </w:t>
      </w:r>
      <w:r>
        <w:rPr>
          <w:rFonts w:eastAsia="Calibri"/>
          <w:noProof/>
          <w:lang w:val="fr-FR"/>
        </w:rPr>
        <w:t xml:space="preserve">du groupe </w:t>
      </w:r>
      <w:r w:rsidRPr="005B12BB">
        <w:rPr>
          <w:rFonts w:eastAsia="Calibri"/>
          <w:noProof/>
          <w:lang w:val="fr-FR"/>
        </w:rPr>
        <w:t>de</w:t>
      </w:r>
      <w:r>
        <w:rPr>
          <w:rFonts w:eastAsia="Calibri"/>
          <w:noProof/>
          <w:lang w:val="fr-FR"/>
        </w:rPr>
        <w:t>s</w:t>
      </w:r>
      <w:r w:rsidRPr="005B12BB">
        <w:rPr>
          <w:rFonts w:eastAsia="Calibri"/>
          <w:noProof/>
          <w:lang w:val="fr-FR"/>
        </w:rPr>
        <w:t xml:space="preserve"> 4 </w:t>
      </w:r>
      <w:r>
        <w:rPr>
          <w:rFonts w:eastAsia="Calibri"/>
          <w:noProof/>
          <w:lang w:val="fr-FR"/>
        </w:rPr>
        <w:t>et</w:t>
      </w:r>
      <w:r w:rsidRPr="005B12BB">
        <w:rPr>
          <w:rFonts w:eastAsia="Calibri"/>
          <w:noProof/>
          <w:lang w:val="fr-FR"/>
        </w:rPr>
        <w:t xml:space="preserve"> 5</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 xml:space="preserve">s </w:t>
      </w:r>
      <w:r>
        <w:rPr>
          <w:rFonts w:eastAsia="Calibri"/>
          <w:noProof/>
          <w:lang w:val="fr-FR"/>
        </w:rPr>
        <w:t xml:space="preserve">et </w:t>
      </w:r>
      <w:r w:rsidR="00691AD9">
        <w:rPr>
          <w:rFonts w:eastAsia="Calibri"/>
          <w:noProof/>
          <w:lang w:val="fr-FR"/>
        </w:rPr>
        <w:t>3</w:t>
      </w:r>
      <w:r>
        <w:rPr>
          <w:rFonts w:eastAsia="Calibri"/>
          <w:noProof/>
          <w:lang w:val="fr-FR"/>
        </w:rPr>
        <w:t xml:space="preserve"> enfants du groupe des </w:t>
      </w:r>
      <w:r w:rsidRPr="005B12BB">
        <w:rPr>
          <w:rFonts w:eastAsia="Calibri"/>
          <w:noProof/>
          <w:lang w:val="fr-FR"/>
        </w:rPr>
        <w:t>13</w:t>
      </w:r>
      <w:r w:rsidR="006F7A2B">
        <w:rPr>
          <w:rFonts w:eastAsia="Calibri"/>
          <w:noProof/>
          <w:lang w:val="fr-FR"/>
        </w:rPr>
        <w:t xml:space="preserve"> à </w:t>
      </w:r>
      <w:r w:rsidRPr="005B12BB">
        <w:rPr>
          <w:rFonts w:eastAsia="Calibri"/>
          <w:noProof/>
          <w:lang w:val="fr-FR"/>
        </w:rPr>
        <w:t>17</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 xml:space="preserve">s. </w:t>
      </w:r>
      <w:r>
        <w:rPr>
          <w:rFonts w:eastAsia="Calibri"/>
          <w:noProof/>
          <w:lang w:val="fr-FR"/>
        </w:rPr>
        <w:t xml:space="preserve">Pour </w:t>
      </w:r>
      <w:r w:rsidR="00691AD9">
        <w:rPr>
          <w:rFonts w:eastAsia="Calibri"/>
          <w:noProof/>
          <w:lang w:val="fr-FR"/>
        </w:rPr>
        <w:t>6</w:t>
      </w:r>
      <w:r>
        <w:rPr>
          <w:rFonts w:eastAsia="Calibri"/>
          <w:noProof/>
          <w:lang w:val="fr-FR"/>
        </w:rPr>
        <w:t xml:space="preserve"> garçons, filles et adolescents, la modalité de prise en charge visait à répondre à des besoins éducatifs très spécifiques </w:t>
      </w:r>
      <w:r w:rsidRPr="005B12BB">
        <w:rPr>
          <w:rFonts w:eastAsia="Calibri"/>
          <w:noProof/>
          <w:lang w:val="fr-FR"/>
        </w:rPr>
        <w:t>(</w:t>
      </w:r>
      <w:r>
        <w:rPr>
          <w:rFonts w:eastAsia="Calibri"/>
          <w:noProof/>
          <w:lang w:val="fr-FR"/>
        </w:rPr>
        <w:t>c</w:t>
      </w:r>
      <w:r w:rsidRPr="005B12BB">
        <w:rPr>
          <w:rFonts w:eastAsia="Calibri"/>
          <w:noProof/>
          <w:lang w:val="fr-FR"/>
        </w:rPr>
        <w:t>l</w:t>
      </w:r>
      <w:r>
        <w:rPr>
          <w:rFonts w:eastAsia="Calibri"/>
          <w:noProof/>
          <w:lang w:val="fr-FR"/>
        </w:rPr>
        <w:t xml:space="preserve">iniques psychiatriques </w:t>
      </w:r>
      <w:r w:rsidRPr="005B12BB">
        <w:rPr>
          <w:rFonts w:eastAsia="Calibri"/>
          <w:noProof/>
          <w:lang w:val="fr-FR"/>
        </w:rPr>
        <w:t xml:space="preserve">de </w:t>
      </w:r>
      <w:r w:rsidR="00663397">
        <w:rPr>
          <w:rFonts w:eastAsia="Calibri"/>
          <w:noProof/>
          <w:lang w:val="fr-FR"/>
        </w:rPr>
        <w:t>vingt-quatre</w:t>
      </w:r>
      <w:r w:rsidRPr="005B12BB">
        <w:rPr>
          <w:rFonts w:eastAsia="Calibri"/>
          <w:noProof/>
          <w:lang w:val="fr-FR"/>
        </w:rPr>
        <w:t xml:space="preserve"> </w:t>
      </w:r>
      <w:r w:rsidRPr="005B12BB">
        <w:rPr>
          <w:rFonts w:eastAsia="Calibri"/>
          <w:noProof/>
          <w:lang w:val="fr-FR"/>
        </w:rPr>
        <w:lastRenderedPageBreak/>
        <w:t>h</w:t>
      </w:r>
      <w:r>
        <w:rPr>
          <w:rFonts w:eastAsia="Calibri"/>
          <w:noProof/>
          <w:lang w:val="fr-FR"/>
        </w:rPr>
        <w:t>eures</w:t>
      </w:r>
      <w:r w:rsidRPr="005B12BB">
        <w:rPr>
          <w:rFonts w:eastAsia="Calibri"/>
          <w:noProof/>
          <w:lang w:val="fr-FR"/>
        </w:rPr>
        <w:t xml:space="preserve">). </w:t>
      </w:r>
      <w:r w:rsidR="00691AD9">
        <w:rPr>
          <w:rFonts w:eastAsia="Calibri"/>
          <w:noProof/>
          <w:lang w:val="fr-FR"/>
        </w:rPr>
        <w:t>2</w:t>
      </w:r>
      <w:r>
        <w:rPr>
          <w:rFonts w:eastAsia="Calibri"/>
          <w:noProof/>
          <w:lang w:val="fr-FR"/>
        </w:rPr>
        <w:t xml:space="preserve"> d</w:t>
      </w:r>
      <w:r w:rsidR="00607CA3">
        <w:rPr>
          <w:rFonts w:eastAsia="Calibri"/>
          <w:noProof/>
          <w:lang w:val="fr-FR"/>
        </w:rPr>
        <w:t>’</w:t>
      </w:r>
      <w:r>
        <w:rPr>
          <w:rFonts w:eastAsia="Calibri"/>
          <w:noProof/>
          <w:lang w:val="fr-FR"/>
        </w:rPr>
        <w:t>entre eux appartiennent à la tranche d</w:t>
      </w:r>
      <w:r w:rsidR="00607CA3">
        <w:rPr>
          <w:rFonts w:eastAsia="Calibri"/>
          <w:noProof/>
          <w:lang w:val="fr-FR"/>
        </w:rPr>
        <w:t>’</w:t>
      </w:r>
      <w:r>
        <w:rPr>
          <w:rFonts w:eastAsia="Calibri"/>
          <w:noProof/>
          <w:lang w:val="fr-FR"/>
        </w:rPr>
        <w:t>âge des 6</w:t>
      </w:r>
      <w:r w:rsidR="006F7A2B">
        <w:rPr>
          <w:rFonts w:eastAsia="Calibri"/>
          <w:noProof/>
          <w:lang w:val="fr-FR"/>
        </w:rPr>
        <w:t xml:space="preserve"> à </w:t>
      </w:r>
      <w:r>
        <w:rPr>
          <w:rFonts w:eastAsia="Calibri"/>
          <w:noProof/>
          <w:lang w:val="fr-FR"/>
        </w:rPr>
        <w:t>12</w:t>
      </w:r>
      <w:r w:rsidR="00663397">
        <w:rPr>
          <w:rFonts w:eastAsia="Calibri"/>
          <w:noProof/>
          <w:lang w:val="fr-FR"/>
        </w:rPr>
        <w:t> </w:t>
      </w:r>
      <w:r>
        <w:rPr>
          <w:rFonts w:eastAsia="Calibri"/>
          <w:noProof/>
          <w:lang w:val="fr-FR"/>
        </w:rPr>
        <w:t xml:space="preserve">ans et les </w:t>
      </w:r>
      <w:r w:rsidR="00691AD9">
        <w:rPr>
          <w:rFonts w:eastAsia="Calibri"/>
          <w:noProof/>
          <w:lang w:val="fr-FR"/>
        </w:rPr>
        <w:t>4</w:t>
      </w:r>
      <w:r>
        <w:rPr>
          <w:rFonts w:eastAsia="Calibri"/>
          <w:noProof/>
          <w:lang w:val="fr-FR"/>
        </w:rPr>
        <w:t xml:space="preserve"> autres à la tranche des 13</w:t>
      </w:r>
      <w:r w:rsidR="006F7A2B">
        <w:rPr>
          <w:rFonts w:eastAsia="Calibri"/>
          <w:noProof/>
          <w:lang w:val="fr-FR"/>
        </w:rPr>
        <w:t xml:space="preserve"> à </w:t>
      </w:r>
      <w:r>
        <w:rPr>
          <w:rFonts w:eastAsia="Calibri"/>
          <w:noProof/>
          <w:lang w:val="fr-FR"/>
        </w:rPr>
        <w:t>17</w:t>
      </w:r>
      <w:r w:rsidR="00663397">
        <w:rPr>
          <w:rFonts w:eastAsia="Calibri"/>
          <w:noProof/>
          <w:lang w:val="fr-FR"/>
        </w:rPr>
        <w:t> </w:t>
      </w:r>
      <w:r>
        <w:rPr>
          <w:rFonts w:eastAsia="Calibri"/>
          <w:noProof/>
          <w:lang w:val="fr-FR"/>
        </w:rPr>
        <w:t>ans</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158.</w:t>
      </w:r>
      <w:r w:rsidRPr="005B12BB">
        <w:rPr>
          <w:rFonts w:eastAsia="Calibri"/>
          <w:noProof/>
          <w:lang w:val="fr-FR"/>
        </w:rPr>
        <w:tab/>
        <w:t>En 2017</w:t>
      </w:r>
      <w:r>
        <w:rPr>
          <w:rFonts w:eastAsia="Calibri"/>
          <w:noProof/>
          <w:lang w:val="fr-FR"/>
        </w:rPr>
        <w:t>,</w:t>
      </w:r>
      <w:r w:rsidRPr="005B12BB">
        <w:rPr>
          <w:rFonts w:eastAsia="Calibri"/>
          <w:noProof/>
          <w:lang w:val="fr-FR"/>
        </w:rPr>
        <w:t xml:space="preserve"> </w:t>
      </w:r>
      <w:r>
        <w:rPr>
          <w:rFonts w:eastAsia="Calibri"/>
          <w:noProof/>
          <w:lang w:val="fr-FR"/>
        </w:rPr>
        <w:t>l</w:t>
      </w:r>
      <w:r w:rsidR="00607CA3">
        <w:rPr>
          <w:rFonts w:eastAsia="Calibri"/>
          <w:noProof/>
          <w:lang w:val="fr-FR"/>
        </w:rPr>
        <w:t>’</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adolescent</w:t>
      </w:r>
      <w:r w:rsidRPr="005B12BB">
        <w:rPr>
          <w:rFonts w:eastAsia="Calibri"/>
          <w:noProof/>
          <w:lang w:val="fr-FR"/>
        </w:rPr>
        <w:t xml:space="preserve"> </w:t>
      </w:r>
      <w:r>
        <w:rPr>
          <w:rFonts w:eastAsia="Calibri"/>
          <w:noProof/>
          <w:lang w:val="fr-FR"/>
        </w:rPr>
        <w:t xml:space="preserve">a pris en charge </w:t>
      </w:r>
      <w:r w:rsidRPr="005B12BB">
        <w:rPr>
          <w:rFonts w:eastAsia="Calibri"/>
          <w:noProof/>
          <w:lang w:val="fr-FR"/>
        </w:rPr>
        <w:t>557</w:t>
      </w:r>
      <w:r w:rsidR="00663397">
        <w:rPr>
          <w:rFonts w:eastAsia="Calibri"/>
          <w:noProof/>
          <w:lang w:val="fr-FR"/>
        </w:rPr>
        <w:t> </w:t>
      </w:r>
      <w:r>
        <w:rPr>
          <w:rFonts w:eastAsia="Calibri"/>
          <w:noProof/>
          <w:lang w:val="fr-FR"/>
        </w:rPr>
        <w:t>mineurs</w:t>
      </w:r>
      <w:r w:rsidRPr="005B12BB">
        <w:rPr>
          <w:rFonts w:eastAsia="Calibri"/>
          <w:noProof/>
          <w:lang w:val="fr-FR"/>
        </w:rPr>
        <w:t xml:space="preserve">, </w:t>
      </w:r>
      <w:r>
        <w:rPr>
          <w:rFonts w:eastAsia="Calibri"/>
          <w:noProof/>
          <w:lang w:val="fr-FR"/>
        </w:rPr>
        <w:t xml:space="preserve">admis </w:t>
      </w:r>
      <w:r w:rsidRPr="00E558EE">
        <w:rPr>
          <w:rFonts w:eastAsia="Calibri"/>
          <w:noProof/>
          <w:lang w:val="fr-FR"/>
        </w:rPr>
        <w:t>e</w:t>
      </w:r>
      <w:r w:rsidRPr="00E558EE">
        <w:rPr>
          <w:noProof/>
          <w:lang w:val="fr-FR"/>
        </w:rPr>
        <w:t>n application d</w:t>
      </w:r>
      <w:r w:rsidR="00607CA3">
        <w:rPr>
          <w:noProof/>
          <w:lang w:val="fr-FR"/>
        </w:rPr>
        <w:t>’</w:t>
      </w:r>
      <w:r w:rsidRPr="00E558EE">
        <w:rPr>
          <w:noProof/>
          <w:lang w:val="fr-FR"/>
        </w:rPr>
        <w:t>une ordonnance judiciaire</w:t>
      </w:r>
      <w:r w:rsidRPr="00411326">
        <w:t xml:space="preserve"> </w:t>
      </w:r>
      <w:r w:rsidRPr="005B12BB">
        <w:rPr>
          <w:rFonts w:eastAsia="Calibri"/>
          <w:noProof/>
          <w:lang w:val="fr-FR"/>
        </w:rPr>
        <w:t>(intern</w:t>
      </w:r>
      <w:r>
        <w:rPr>
          <w:rFonts w:eastAsia="Calibri"/>
          <w:noProof/>
          <w:lang w:val="fr-FR"/>
        </w:rPr>
        <w:t>ement sans consentement</w:t>
      </w:r>
      <w:r w:rsidRPr="005B12BB">
        <w:rPr>
          <w:rFonts w:eastAsia="Calibri"/>
          <w:noProof/>
          <w:lang w:val="fr-FR"/>
        </w:rPr>
        <w:t xml:space="preserve">). </w:t>
      </w:r>
    </w:p>
    <w:p w:rsidR="00596826" w:rsidRPr="005B12BB" w:rsidRDefault="00596826" w:rsidP="00596826">
      <w:pPr>
        <w:pStyle w:val="SingleTxtG"/>
        <w:rPr>
          <w:rFonts w:eastAsia="Calibri"/>
          <w:noProof/>
          <w:lang w:val="fr-FR"/>
        </w:rPr>
      </w:pPr>
      <w:r w:rsidRPr="005B12BB">
        <w:rPr>
          <w:rFonts w:eastAsia="Calibri"/>
          <w:noProof/>
          <w:lang w:val="fr-FR"/>
        </w:rPr>
        <w:t>159.</w:t>
      </w:r>
      <w:r w:rsidRPr="005B12BB">
        <w:rPr>
          <w:rFonts w:eastAsia="Calibri"/>
          <w:noProof/>
          <w:lang w:val="fr-FR"/>
        </w:rPr>
        <w:tab/>
      </w:r>
      <w:r>
        <w:rPr>
          <w:rFonts w:eastAsia="Calibri"/>
          <w:noProof/>
          <w:lang w:val="fr-FR"/>
        </w:rPr>
        <w:t>La prise en charge permanente a bénéficié à :</w:t>
      </w:r>
    </w:p>
    <w:p w:rsidR="00596826" w:rsidRPr="005B12BB" w:rsidRDefault="00596826" w:rsidP="00596826">
      <w:pPr>
        <w:pStyle w:val="Bullet1G"/>
        <w:numPr>
          <w:ilvl w:val="0"/>
          <w:numId w:val="0"/>
        </w:numPr>
        <w:tabs>
          <w:tab w:val="left" w:pos="1701"/>
        </w:tabs>
        <w:ind w:left="1701" w:hanging="170"/>
        <w:rPr>
          <w:rFonts w:eastAsia="Calibri"/>
          <w:noProof/>
          <w:lang w:val="fr-FR"/>
        </w:rPr>
      </w:pPr>
      <w:r w:rsidRPr="005B12BB">
        <w:rPr>
          <w:rFonts w:eastAsia="Calibri"/>
          <w:noProof/>
          <w:lang w:val="fr-FR"/>
        </w:rPr>
        <w:t>•</w:t>
      </w:r>
      <w:r w:rsidRPr="005B12BB">
        <w:rPr>
          <w:rFonts w:eastAsia="Calibri"/>
          <w:noProof/>
          <w:lang w:val="fr-FR"/>
        </w:rPr>
        <w:tab/>
        <w:t xml:space="preserve">94 </w:t>
      </w:r>
      <w:r>
        <w:rPr>
          <w:rFonts w:eastAsia="Calibri"/>
          <w:noProof/>
          <w:lang w:val="fr-FR"/>
        </w:rPr>
        <w:t xml:space="preserve">filles et garçons du groupe des </w:t>
      </w:r>
      <w:r w:rsidRPr="005B12BB">
        <w:rPr>
          <w:rFonts w:eastAsia="Calibri"/>
          <w:noProof/>
          <w:lang w:val="fr-FR"/>
        </w:rPr>
        <w:t xml:space="preserve">0 </w:t>
      </w:r>
      <w:r>
        <w:rPr>
          <w:rFonts w:eastAsia="Calibri"/>
          <w:noProof/>
          <w:lang w:val="fr-FR"/>
        </w:rPr>
        <w:t>à</w:t>
      </w:r>
      <w:r w:rsidRPr="005B12BB">
        <w:rPr>
          <w:rFonts w:eastAsia="Calibri"/>
          <w:noProof/>
          <w:lang w:val="fr-FR"/>
        </w:rPr>
        <w:t xml:space="preserve"> 3</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p>
    <w:p w:rsidR="00596826" w:rsidRPr="005B12BB" w:rsidRDefault="00596826" w:rsidP="00596826">
      <w:pPr>
        <w:pStyle w:val="Bullet1G"/>
        <w:numPr>
          <w:ilvl w:val="0"/>
          <w:numId w:val="0"/>
        </w:numPr>
        <w:tabs>
          <w:tab w:val="left" w:pos="1701"/>
        </w:tabs>
        <w:ind w:left="1701" w:hanging="170"/>
        <w:rPr>
          <w:rFonts w:eastAsia="Calibri"/>
          <w:noProof/>
          <w:lang w:val="fr-FR"/>
        </w:rPr>
      </w:pPr>
      <w:r w:rsidRPr="005B12BB">
        <w:rPr>
          <w:rFonts w:eastAsia="Calibri"/>
          <w:noProof/>
          <w:lang w:val="fr-FR"/>
        </w:rPr>
        <w:t>•</w:t>
      </w:r>
      <w:r w:rsidRPr="005B12BB">
        <w:rPr>
          <w:rFonts w:eastAsia="Calibri"/>
          <w:noProof/>
          <w:lang w:val="fr-FR"/>
        </w:rPr>
        <w:tab/>
        <w:t xml:space="preserve">42 </w:t>
      </w:r>
      <w:r>
        <w:rPr>
          <w:rFonts w:eastAsia="Calibri"/>
          <w:noProof/>
          <w:lang w:val="fr-FR"/>
        </w:rPr>
        <w:t xml:space="preserve">du groupe des </w:t>
      </w:r>
      <w:r w:rsidRPr="005B12BB">
        <w:rPr>
          <w:rFonts w:eastAsia="Calibri"/>
          <w:noProof/>
          <w:lang w:val="fr-FR"/>
        </w:rPr>
        <w:t xml:space="preserve">4 </w:t>
      </w:r>
      <w:r>
        <w:rPr>
          <w:rFonts w:eastAsia="Calibri"/>
          <w:noProof/>
          <w:lang w:val="fr-FR"/>
        </w:rPr>
        <w:t xml:space="preserve">et </w:t>
      </w:r>
      <w:r w:rsidRPr="005B12BB">
        <w:rPr>
          <w:rFonts w:eastAsia="Calibri"/>
          <w:noProof/>
          <w:lang w:val="fr-FR"/>
        </w:rPr>
        <w:t>5</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sidR="00663397">
        <w:rPr>
          <w:rFonts w:eastAsia="Calibri"/>
          <w:noProof/>
          <w:lang w:val="fr-FR"/>
        </w:rPr>
        <w:t> </w:t>
      </w:r>
      <w:r w:rsidRPr="005B12BB">
        <w:rPr>
          <w:rFonts w:eastAsia="Calibri"/>
          <w:noProof/>
          <w:lang w:val="fr-FR"/>
        </w:rPr>
        <w:t xml:space="preserve">; 150 </w:t>
      </w:r>
      <w:r>
        <w:rPr>
          <w:rFonts w:eastAsia="Calibri"/>
          <w:noProof/>
          <w:lang w:val="fr-FR"/>
        </w:rPr>
        <w:t xml:space="preserve">du groupe </w:t>
      </w:r>
      <w:r w:rsidRPr="005B12BB">
        <w:rPr>
          <w:rFonts w:eastAsia="Calibri"/>
          <w:noProof/>
          <w:lang w:val="fr-FR"/>
        </w:rPr>
        <w:t>de</w:t>
      </w:r>
      <w:r>
        <w:rPr>
          <w:rFonts w:eastAsia="Calibri"/>
          <w:noProof/>
          <w:lang w:val="fr-FR"/>
        </w:rPr>
        <w:t>s</w:t>
      </w:r>
      <w:r w:rsidRPr="005B12BB">
        <w:rPr>
          <w:rFonts w:eastAsia="Calibri"/>
          <w:noProof/>
          <w:lang w:val="fr-FR"/>
        </w:rPr>
        <w:t xml:space="preserve"> 6</w:t>
      </w:r>
      <w:r w:rsidR="006F7A2B">
        <w:rPr>
          <w:rFonts w:eastAsia="Calibri"/>
          <w:noProof/>
          <w:lang w:val="fr-FR"/>
        </w:rPr>
        <w:t xml:space="preserve"> à </w:t>
      </w:r>
      <w:r w:rsidRPr="005B12BB">
        <w:rPr>
          <w:rFonts w:eastAsia="Calibri"/>
          <w:noProof/>
          <w:lang w:val="fr-FR"/>
        </w:rPr>
        <w:t>12</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p>
    <w:p w:rsidR="00596826" w:rsidRPr="005B12BB" w:rsidRDefault="00596826" w:rsidP="00596826">
      <w:pPr>
        <w:pStyle w:val="Bullet1G"/>
        <w:numPr>
          <w:ilvl w:val="0"/>
          <w:numId w:val="0"/>
        </w:numPr>
        <w:tabs>
          <w:tab w:val="left" w:pos="1701"/>
        </w:tabs>
        <w:ind w:left="1701" w:hanging="170"/>
        <w:rPr>
          <w:rFonts w:eastAsia="Calibri"/>
          <w:noProof/>
          <w:lang w:val="fr-FR"/>
        </w:rPr>
      </w:pPr>
      <w:r w:rsidRPr="005B12BB">
        <w:rPr>
          <w:rFonts w:eastAsia="Calibri"/>
          <w:noProof/>
          <w:lang w:val="fr-FR"/>
        </w:rPr>
        <w:t>•</w:t>
      </w:r>
      <w:r w:rsidRPr="005B12BB">
        <w:rPr>
          <w:rFonts w:eastAsia="Calibri"/>
          <w:noProof/>
          <w:lang w:val="fr-FR"/>
        </w:rPr>
        <w:tab/>
        <w:t xml:space="preserve">255 </w:t>
      </w:r>
      <w:r>
        <w:rPr>
          <w:rFonts w:eastAsia="Calibri"/>
          <w:noProof/>
          <w:lang w:val="fr-FR"/>
        </w:rPr>
        <w:t xml:space="preserve">du groupe des </w:t>
      </w:r>
      <w:r w:rsidRPr="005B12BB">
        <w:rPr>
          <w:rFonts w:eastAsia="Calibri"/>
          <w:noProof/>
          <w:lang w:val="fr-FR"/>
        </w:rPr>
        <w:t>13</w:t>
      </w:r>
      <w:r w:rsidR="006F7A2B">
        <w:rPr>
          <w:rFonts w:eastAsia="Calibri"/>
          <w:noProof/>
          <w:lang w:val="fr-FR"/>
        </w:rPr>
        <w:t xml:space="preserve"> à </w:t>
      </w:r>
      <w:r w:rsidRPr="005B12BB">
        <w:rPr>
          <w:rFonts w:eastAsia="Calibri"/>
          <w:noProof/>
          <w:lang w:val="fr-FR"/>
        </w:rPr>
        <w:t>17</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sidR="00663397">
        <w:rPr>
          <w:rFonts w:eastAsia="Calibri"/>
          <w:noProof/>
          <w:lang w:val="fr-FR"/>
        </w:rPr>
        <w:t> </w:t>
      </w:r>
      <w:r w:rsidRPr="005B12BB">
        <w:rPr>
          <w:rFonts w:eastAsia="Calibri"/>
          <w:noProof/>
          <w:lang w:val="fr-FR"/>
        </w:rPr>
        <w:t xml:space="preserve">; </w:t>
      </w:r>
      <w:r>
        <w:rPr>
          <w:rFonts w:eastAsia="Calibri"/>
          <w:noProof/>
          <w:lang w:val="fr-FR"/>
        </w:rPr>
        <w:t>et</w:t>
      </w:r>
      <w:r w:rsidRPr="005B12BB">
        <w:rPr>
          <w:rFonts w:eastAsia="Calibri"/>
          <w:noProof/>
          <w:lang w:val="fr-FR"/>
        </w:rPr>
        <w:t xml:space="preserve"> 2 </w:t>
      </w:r>
      <w:r>
        <w:rPr>
          <w:rFonts w:eastAsia="Calibri"/>
          <w:noProof/>
          <w:lang w:val="fr-FR"/>
        </w:rPr>
        <w:t xml:space="preserve">du groupe </w:t>
      </w:r>
      <w:r w:rsidRPr="005B12BB">
        <w:rPr>
          <w:rFonts w:eastAsia="Calibri"/>
          <w:noProof/>
          <w:lang w:val="fr-FR"/>
        </w:rPr>
        <w:t>de</w:t>
      </w:r>
      <w:r>
        <w:rPr>
          <w:rFonts w:eastAsia="Calibri"/>
          <w:noProof/>
          <w:lang w:val="fr-FR"/>
        </w:rPr>
        <w:t>s</w:t>
      </w:r>
      <w:r w:rsidRPr="005B12BB">
        <w:rPr>
          <w:rFonts w:eastAsia="Calibri"/>
          <w:noProof/>
          <w:lang w:val="fr-FR"/>
        </w:rPr>
        <w:t xml:space="preserve"> 18</w:t>
      </w:r>
      <w:r w:rsidR="00663397">
        <w:rPr>
          <w:rFonts w:eastAsia="Calibri"/>
          <w:noProof/>
          <w:lang w:val="fr-FR"/>
        </w:rPr>
        <w:t> </w:t>
      </w:r>
      <w:r w:rsidRPr="005B12BB">
        <w:rPr>
          <w:rFonts w:eastAsia="Calibri"/>
          <w:noProof/>
          <w:lang w:val="fr-FR"/>
        </w:rPr>
        <w:t>a</w:t>
      </w:r>
      <w:r>
        <w:rPr>
          <w:rFonts w:eastAsia="Calibri"/>
          <w:noProof/>
          <w:lang w:val="fr-FR"/>
        </w:rPr>
        <w:t>ns et plus</w:t>
      </w:r>
      <w:r w:rsidRPr="005B12BB">
        <w:rPr>
          <w:rFonts w:eastAsia="Calibri"/>
          <w:noProof/>
          <w:lang w:val="fr-FR"/>
        </w:rPr>
        <w:t xml:space="preserve">. </w:t>
      </w:r>
    </w:p>
    <w:p w:rsidR="00596826" w:rsidRPr="005B12BB" w:rsidRDefault="00596826" w:rsidP="00596826">
      <w:pPr>
        <w:pStyle w:val="SingleTxtG"/>
        <w:rPr>
          <w:rFonts w:eastAsia="Calibri"/>
          <w:noProof/>
          <w:lang w:val="fr-FR"/>
        </w:rPr>
      </w:pPr>
      <w:r w:rsidRPr="005B12BB">
        <w:rPr>
          <w:rFonts w:eastAsia="Calibri"/>
          <w:noProof/>
          <w:lang w:val="fr-FR"/>
        </w:rPr>
        <w:t>160.</w:t>
      </w:r>
      <w:r w:rsidRPr="005B12BB">
        <w:rPr>
          <w:rFonts w:eastAsia="Calibri"/>
          <w:noProof/>
          <w:lang w:val="fr-FR"/>
        </w:rPr>
        <w:tab/>
      </w:r>
      <w:r>
        <w:rPr>
          <w:rFonts w:eastAsia="Calibri"/>
          <w:noProof/>
          <w:lang w:val="fr-FR"/>
        </w:rPr>
        <w:t>Pa</w:t>
      </w:r>
      <w:r w:rsidRPr="005B12BB">
        <w:rPr>
          <w:rFonts w:eastAsia="Calibri"/>
          <w:noProof/>
          <w:lang w:val="fr-FR"/>
        </w:rPr>
        <w:t xml:space="preserve">r </w:t>
      </w:r>
      <w:r>
        <w:rPr>
          <w:rFonts w:eastAsia="Calibri"/>
          <w:noProof/>
          <w:lang w:val="fr-FR"/>
        </w:rPr>
        <w:t xml:space="preserve">ailleurs, ont été pris en charge à temps complet un garçon et une fille handicapés du groupe des </w:t>
      </w:r>
      <w:r w:rsidRPr="005B12BB">
        <w:rPr>
          <w:rFonts w:eastAsia="Calibri"/>
          <w:noProof/>
          <w:lang w:val="fr-FR"/>
        </w:rPr>
        <w:t>0</w:t>
      </w:r>
      <w:r w:rsidR="006F7A2B">
        <w:rPr>
          <w:rFonts w:eastAsia="Calibri"/>
          <w:noProof/>
          <w:lang w:val="fr-FR"/>
        </w:rPr>
        <w:t xml:space="preserve"> à </w:t>
      </w:r>
      <w:r w:rsidRPr="005B12BB">
        <w:rPr>
          <w:rFonts w:eastAsia="Calibri"/>
          <w:noProof/>
          <w:lang w:val="fr-FR"/>
        </w:rPr>
        <w:t>3</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 xml:space="preserve">s, </w:t>
      </w:r>
      <w:r>
        <w:rPr>
          <w:rFonts w:eastAsia="Calibri"/>
          <w:noProof/>
          <w:lang w:val="fr-FR"/>
        </w:rPr>
        <w:t>un enfant</w:t>
      </w:r>
      <w:r w:rsidRPr="005B12BB">
        <w:rPr>
          <w:rFonts w:eastAsia="Calibri"/>
          <w:noProof/>
          <w:lang w:val="fr-FR"/>
        </w:rPr>
        <w:t xml:space="preserve"> </w:t>
      </w:r>
      <w:r>
        <w:rPr>
          <w:rFonts w:eastAsia="Calibri"/>
          <w:noProof/>
          <w:lang w:val="fr-FR"/>
        </w:rPr>
        <w:t xml:space="preserve">du groupe </w:t>
      </w:r>
      <w:r w:rsidRPr="005B12BB">
        <w:rPr>
          <w:rFonts w:eastAsia="Calibri"/>
          <w:noProof/>
          <w:lang w:val="fr-FR"/>
        </w:rPr>
        <w:t>de</w:t>
      </w:r>
      <w:r>
        <w:rPr>
          <w:rFonts w:eastAsia="Calibri"/>
          <w:noProof/>
          <w:lang w:val="fr-FR"/>
        </w:rPr>
        <w:t>s</w:t>
      </w:r>
      <w:r w:rsidRPr="005B12BB">
        <w:rPr>
          <w:rFonts w:eastAsia="Calibri"/>
          <w:noProof/>
          <w:lang w:val="fr-FR"/>
        </w:rPr>
        <w:t xml:space="preserve"> </w:t>
      </w:r>
      <w:r>
        <w:rPr>
          <w:rFonts w:eastAsia="Calibri"/>
          <w:noProof/>
          <w:lang w:val="fr-FR"/>
        </w:rPr>
        <w:t>13</w:t>
      </w:r>
      <w:r w:rsidR="006F7A2B">
        <w:rPr>
          <w:rFonts w:eastAsia="Calibri"/>
          <w:noProof/>
          <w:lang w:val="fr-FR"/>
        </w:rPr>
        <w:t xml:space="preserve"> à </w:t>
      </w:r>
      <w:r>
        <w:rPr>
          <w:rFonts w:eastAsia="Calibri"/>
          <w:noProof/>
          <w:lang w:val="fr-FR"/>
        </w:rPr>
        <w:t>17</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 xml:space="preserve">s </w:t>
      </w:r>
      <w:r>
        <w:rPr>
          <w:rFonts w:eastAsia="Calibri"/>
          <w:noProof/>
          <w:lang w:val="fr-FR"/>
        </w:rPr>
        <w:t>et un enfant</w:t>
      </w:r>
      <w:r w:rsidRPr="005B12BB">
        <w:rPr>
          <w:rFonts w:eastAsia="Calibri"/>
          <w:noProof/>
          <w:lang w:val="fr-FR"/>
        </w:rPr>
        <w:t xml:space="preserve"> </w:t>
      </w:r>
      <w:r>
        <w:rPr>
          <w:rFonts w:eastAsia="Calibri"/>
          <w:noProof/>
          <w:lang w:val="fr-FR"/>
        </w:rPr>
        <w:t xml:space="preserve">du groupe des </w:t>
      </w:r>
      <w:r w:rsidRPr="005B12BB">
        <w:rPr>
          <w:rFonts w:eastAsia="Calibri"/>
          <w:noProof/>
          <w:lang w:val="fr-FR"/>
        </w:rPr>
        <w:t>1</w:t>
      </w:r>
      <w:r>
        <w:rPr>
          <w:rFonts w:eastAsia="Calibri"/>
          <w:noProof/>
          <w:lang w:val="fr-FR"/>
        </w:rPr>
        <w:t>8</w:t>
      </w:r>
      <w:r w:rsidR="00663397">
        <w:rPr>
          <w:rFonts w:eastAsia="Calibri"/>
          <w:noProof/>
          <w:lang w:val="fr-FR"/>
        </w:rPr>
        <w:t> </w:t>
      </w:r>
      <w:r w:rsidRPr="005B12BB">
        <w:rPr>
          <w:rFonts w:eastAsia="Calibri"/>
          <w:noProof/>
          <w:lang w:val="fr-FR"/>
        </w:rPr>
        <w:t>a</w:t>
      </w:r>
      <w:r>
        <w:rPr>
          <w:rFonts w:eastAsia="Calibri"/>
          <w:noProof/>
          <w:lang w:val="fr-FR"/>
        </w:rPr>
        <w:t>n</w:t>
      </w:r>
      <w:r w:rsidRPr="005B12BB">
        <w:rPr>
          <w:rFonts w:eastAsia="Calibri"/>
          <w:noProof/>
          <w:lang w:val="fr-FR"/>
        </w:rPr>
        <w:t>s</w:t>
      </w:r>
      <w:r>
        <w:rPr>
          <w:rFonts w:eastAsia="Calibri"/>
          <w:noProof/>
          <w:lang w:val="fr-FR"/>
        </w:rPr>
        <w:t xml:space="preserve"> et plus</w:t>
      </w:r>
      <w:r w:rsidRPr="005B12BB">
        <w:rPr>
          <w:rFonts w:eastAsia="Calibri"/>
          <w:noProof/>
          <w:lang w:val="fr-FR"/>
        </w:rPr>
        <w:t xml:space="preserve">. </w:t>
      </w:r>
      <w:r>
        <w:rPr>
          <w:rFonts w:eastAsia="Calibri"/>
          <w:noProof/>
          <w:lang w:val="fr-FR"/>
        </w:rPr>
        <w:t xml:space="preserve">Pour 10 garçons, filles et adolescents, la modalité de prise en charge visait à répondre à des besoins éducatifs très spécifiques </w:t>
      </w:r>
      <w:r w:rsidRPr="005B12BB">
        <w:rPr>
          <w:rFonts w:eastAsia="Calibri"/>
          <w:noProof/>
          <w:lang w:val="fr-FR"/>
        </w:rPr>
        <w:t>(</w:t>
      </w:r>
      <w:r>
        <w:rPr>
          <w:rFonts w:eastAsia="Calibri"/>
          <w:noProof/>
          <w:lang w:val="fr-FR"/>
        </w:rPr>
        <w:t>c</w:t>
      </w:r>
      <w:r w:rsidRPr="005B12BB">
        <w:rPr>
          <w:rFonts w:eastAsia="Calibri"/>
          <w:noProof/>
          <w:lang w:val="fr-FR"/>
        </w:rPr>
        <w:t>l</w:t>
      </w:r>
      <w:r>
        <w:rPr>
          <w:rFonts w:eastAsia="Calibri"/>
          <w:noProof/>
          <w:lang w:val="fr-FR"/>
        </w:rPr>
        <w:t xml:space="preserve">iniques psychiatriques </w:t>
      </w:r>
      <w:r w:rsidRPr="005B12BB">
        <w:rPr>
          <w:rFonts w:eastAsia="Calibri"/>
          <w:noProof/>
          <w:lang w:val="fr-FR"/>
        </w:rPr>
        <w:t xml:space="preserve">de </w:t>
      </w:r>
      <w:r w:rsidR="00663397">
        <w:rPr>
          <w:rFonts w:eastAsia="Calibri"/>
          <w:noProof/>
          <w:lang w:val="fr-FR"/>
        </w:rPr>
        <w:t>vingt-quatre</w:t>
      </w:r>
      <w:r w:rsidRPr="005B12BB">
        <w:rPr>
          <w:rFonts w:eastAsia="Calibri"/>
          <w:noProof/>
          <w:lang w:val="fr-FR"/>
        </w:rPr>
        <w:t xml:space="preserve"> h</w:t>
      </w:r>
      <w:r>
        <w:rPr>
          <w:rFonts w:eastAsia="Calibri"/>
          <w:noProof/>
          <w:lang w:val="fr-FR"/>
        </w:rPr>
        <w:t>eures</w:t>
      </w:r>
      <w:r w:rsidRPr="005B12BB">
        <w:rPr>
          <w:rFonts w:eastAsia="Calibri"/>
          <w:noProof/>
          <w:lang w:val="fr-FR"/>
        </w:rPr>
        <w:t xml:space="preserve">). </w:t>
      </w:r>
      <w:r w:rsidR="00691AD9">
        <w:rPr>
          <w:rFonts w:eastAsia="Calibri"/>
          <w:noProof/>
          <w:lang w:val="fr-FR"/>
        </w:rPr>
        <w:t>2</w:t>
      </w:r>
      <w:r>
        <w:rPr>
          <w:rFonts w:eastAsia="Calibri"/>
          <w:noProof/>
          <w:lang w:val="fr-FR"/>
        </w:rPr>
        <w:t xml:space="preserve"> d</w:t>
      </w:r>
      <w:r w:rsidR="00607CA3">
        <w:rPr>
          <w:rFonts w:eastAsia="Calibri"/>
          <w:noProof/>
          <w:lang w:val="fr-FR"/>
        </w:rPr>
        <w:t>’</w:t>
      </w:r>
      <w:r>
        <w:rPr>
          <w:rFonts w:eastAsia="Calibri"/>
          <w:noProof/>
          <w:lang w:val="fr-FR"/>
        </w:rPr>
        <w:t>entre eux appartiennent à la tranche d</w:t>
      </w:r>
      <w:r w:rsidR="00607CA3">
        <w:rPr>
          <w:rFonts w:eastAsia="Calibri"/>
          <w:noProof/>
          <w:lang w:val="fr-FR"/>
        </w:rPr>
        <w:t>’</w:t>
      </w:r>
      <w:r>
        <w:rPr>
          <w:rFonts w:eastAsia="Calibri"/>
          <w:noProof/>
          <w:lang w:val="fr-FR"/>
        </w:rPr>
        <w:t>âge des 6</w:t>
      </w:r>
      <w:r w:rsidR="006F7A2B">
        <w:rPr>
          <w:rFonts w:eastAsia="Calibri"/>
          <w:noProof/>
          <w:lang w:val="fr-FR"/>
        </w:rPr>
        <w:t xml:space="preserve"> à </w:t>
      </w:r>
      <w:r>
        <w:rPr>
          <w:rFonts w:eastAsia="Calibri"/>
          <w:noProof/>
          <w:lang w:val="fr-FR"/>
        </w:rPr>
        <w:t>12</w:t>
      </w:r>
      <w:r w:rsidR="00663397">
        <w:rPr>
          <w:rFonts w:eastAsia="Calibri"/>
          <w:noProof/>
          <w:lang w:val="fr-FR"/>
        </w:rPr>
        <w:t> </w:t>
      </w:r>
      <w:r>
        <w:rPr>
          <w:rFonts w:eastAsia="Calibri"/>
          <w:noProof/>
          <w:lang w:val="fr-FR"/>
        </w:rPr>
        <w:t>ans et les 8 autres à la tranche des 13</w:t>
      </w:r>
      <w:r w:rsidR="006F7A2B">
        <w:rPr>
          <w:rFonts w:eastAsia="Calibri"/>
          <w:noProof/>
          <w:lang w:val="fr-FR"/>
        </w:rPr>
        <w:t xml:space="preserve"> à </w:t>
      </w:r>
      <w:r>
        <w:rPr>
          <w:rFonts w:eastAsia="Calibri"/>
          <w:noProof/>
          <w:lang w:val="fr-FR"/>
        </w:rPr>
        <w:t>17</w:t>
      </w:r>
      <w:r w:rsidR="00663397">
        <w:rPr>
          <w:rFonts w:eastAsia="Calibri"/>
          <w:noProof/>
          <w:lang w:val="fr-FR"/>
        </w:rPr>
        <w:t> </w:t>
      </w:r>
      <w:r>
        <w:rPr>
          <w:rFonts w:eastAsia="Calibri"/>
          <w:noProof/>
          <w:lang w:val="fr-FR"/>
        </w:rPr>
        <w:t>ans</w:t>
      </w:r>
      <w:r w:rsidRPr="005B12BB">
        <w:rPr>
          <w:rFonts w:eastAsia="Calibri"/>
          <w:noProof/>
          <w:lang w:val="fr-FR"/>
        </w:rPr>
        <w:t>.</w:t>
      </w:r>
    </w:p>
    <w:p w:rsidR="00596826" w:rsidRPr="005B12BB" w:rsidRDefault="00596826" w:rsidP="00596826">
      <w:pPr>
        <w:pStyle w:val="SingleTxtG"/>
        <w:rPr>
          <w:rFonts w:eastAsia="Calibri"/>
          <w:noProof/>
          <w:lang w:val="fr-FR"/>
        </w:rPr>
      </w:pPr>
      <w:r w:rsidRPr="005B12BB">
        <w:rPr>
          <w:rFonts w:eastAsia="Calibri"/>
          <w:noProof/>
          <w:lang w:val="fr-FR"/>
        </w:rPr>
        <w:t>161.</w:t>
      </w:r>
      <w:r w:rsidRPr="005B12BB">
        <w:rPr>
          <w:rFonts w:eastAsia="Calibri"/>
          <w:noProof/>
          <w:lang w:val="fr-FR"/>
        </w:rPr>
        <w:tab/>
      </w:r>
      <w:r w:rsidRPr="00411326">
        <w:t xml:space="preserve">Le </w:t>
      </w:r>
      <w:r w:rsidRPr="00346E23">
        <w:rPr>
          <w:noProof/>
          <w:lang w:val="fr-FR"/>
        </w:rPr>
        <w:t>centre de santé de l</w:t>
      </w:r>
      <w:r w:rsidR="00607CA3">
        <w:rPr>
          <w:noProof/>
          <w:lang w:val="fr-FR"/>
        </w:rPr>
        <w:t>’</w:t>
      </w:r>
      <w:r w:rsidRPr="00346E23">
        <w:rPr>
          <w:noProof/>
          <w:lang w:val="fr-FR"/>
        </w:rPr>
        <w:t>Institut national de l</w:t>
      </w:r>
      <w:r w:rsidR="00607CA3">
        <w:rPr>
          <w:noProof/>
          <w:lang w:val="fr-FR"/>
        </w:rPr>
        <w:t>’</w:t>
      </w:r>
      <w:r w:rsidRPr="00346E23">
        <w:rPr>
          <w:noProof/>
          <w:lang w:val="fr-FR"/>
        </w:rPr>
        <w:t>enfant et de l</w:t>
      </w:r>
      <w:r w:rsidR="00607CA3">
        <w:rPr>
          <w:noProof/>
          <w:lang w:val="fr-FR"/>
        </w:rPr>
        <w:t>’</w:t>
      </w:r>
      <w:r w:rsidRPr="00346E23">
        <w:rPr>
          <w:noProof/>
          <w:lang w:val="fr-FR"/>
        </w:rPr>
        <w:t>adolescent</w:t>
      </w:r>
      <w:r>
        <w:rPr>
          <w:noProof/>
          <w:lang w:val="fr-FR"/>
        </w:rPr>
        <w:t xml:space="preserve"> met en place une réadaptation globale à l</w:t>
      </w:r>
      <w:r w:rsidR="00607CA3">
        <w:rPr>
          <w:noProof/>
          <w:lang w:val="fr-FR"/>
        </w:rPr>
        <w:t>’</w:t>
      </w:r>
      <w:r>
        <w:rPr>
          <w:noProof/>
          <w:lang w:val="fr-FR"/>
        </w:rPr>
        <w:t>intention d</w:t>
      </w:r>
      <w:r w:rsidR="00607CA3">
        <w:rPr>
          <w:noProof/>
          <w:lang w:val="fr-FR"/>
        </w:rPr>
        <w:t>’</w:t>
      </w:r>
      <w:r>
        <w:rPr>
          <w:noProof/>
          <w:lang w:val="fr-FR"/>
        </w:rPr>
        <w:t>un pourcentage de mineurs important</w:t>
      </w:r>
      <w:r w:rsidRPr="005B12BB">
        <w:rPr>
          <w:rFonts w:eastAsia="Calibri"/>
          <w:noProof/>
          <w:lang w:val="fr-FR"/>
        </w:rPr>
        <w:t xml:space="preserve">. </w:t>
      </w:r>
      <w:r>
        <w:rPr>
          <w:rFonts w:eastAsia="Calibri"/>
          <w:noProof/>
          <w:lang w:val="fr-FR"/>
        </w:rPr>
        <w:t>L</w:t>
      </w:r>
      <w:r w:rsidR="00607CA3">
        <w:rPr>
          <w:rFonts w:eastAsia="Calibri"/>
          <w:noProof/>
          <w:lang w:val="fr-FR"/>
        </w:rPr>
        <w:t>’</w:t>
      </w:r>
      <w:r>
        <w:rPr>
          <w:rFonts w:eastAsia="Calibri"/>
          <w:noProof/>
          <w:lang w:val="fr-FR"/>
        </w:rPr>
        <w:t>équipe comprend des psychomotriciens, des orthophoniste</w:t>
      </w:r>
      <w:r w:rsidRPr="005B12BB">
        <w:rPr>
          <w:rFonts w:eastAsia="Calibri"/>
          <w:noProof/>
          <w:lang w:val="fr-FR"/>
        </w:rPr>
        <w:t xml:space="preserve">s, </w:t>
      </w:r>
      <w:r>
        <w:rPr>
          <w:rFonts w:eastAsia="Calibri"/>
          <w:noProof/>
          <w:lang w:val="fr-FR"/>
        </w:rPr>
        <w:t>des psychologues</w:t>
      </w:r>
      <w:r w:rsidRPr="005B12BB">
        <w:rPr>
          <w:rFonts w:eastAsia="Calibri"/>
          <w:noProof/>
          <w:lang w:val="fr-FR"/>
        </w:rPr>
        <w:t xml:space="preserve">, </w:t>
      </w:r>
      <w:r>
        <w:rPr>
          <w:rFonts w:eastAsia="Calibri"/>
          <w:noProof/>
          <w:lang w:val="fr-FR"/>
        </w:rPr>
        <w:t>des psychopédagogues</w:t>
      </w:r>
      <w:r w:rsidRPr="005B12BB">
        <w:rPr>
          <w:rFonts w:eastAsia="Calibri"/>
          <w:noProof/>
          <w:lang w:val="fr-FR"/>
        </w:rPr>
        <w:t xml:space="preserve">, </w:t>
      </w:r>
      <w:r>
        <w:rPr>
          <w:rFonts w:eastAsia="Calibri"/>
          <w:noProof/>
          <w:lang w:val="fr-FR"/>
        </w:rPr>
        <w:t>des psychiatres de l</w:t>
      </w:r>
      <w:r w:rsidR="00607CA3">
        <w:rPr>
          <w:rFonts w:eastAsia="Calibri"/>
          <w:noProof/>
          <w:lang w:val="fr-FR"/>
        </w:rPr>
        <w:t>’</w:t>
      </w:r>
      <w:r>
        <w:rPr>
          <w:rFonts w:eastAsia="Calibri"/>
          <w:noProof/>
          <w:lang w:val="fr-FR"/>
        </w:rPr>
        <w:t>enfant, des pédiatres et des généralistes, ainsi que des otorhinolaryngologistes</w:t>
      </w:r>
      <w:r w:rsidRPr="005B12BB">
        <w:rPr>
          <w:rFonts w:eastAsia="Calibri"/>
          <w:noProof/>
          <w:lang w:val="fr-FR"/>
        </w:rPr>
        <w:t xml:space="preserve">, </w:t>
      </w:r>
      <w:r>
        <w:rPr>
          <w:rFonts w:eastAsia="Calibri"/>
          <w:noProof/>
          <w:lang w:val="fr-FR"/>
        </w:rPr>
        <w:t>des dermatologues, une éducatrice en santé sexuelle et des éducateurs sociaux ou éducatrices sociales</w:t>
      </w:r>
      <w:r w:rsidRPr="005B12BB">
        <w:rPr>
          <w:rFonts w:eastAsia="Calibri"/>
          <w:noProof/>
          <w:lang w:val="fr-FR"/>
        </w:rPr>
        <w:t xml:space="preserve">. </w:t>
      </w:r>
      <w:r>
        <w:rPr>
          <w:rFonts w:eastAsia="Calibri"/>
          <w:noProof/>
          <w:lang w:val="fr-FR"/>
        </w:rPr>
        <w:t>Il possède également une équipe d</w:t>
      </w:r>
      <w:r w:rsidR="00607CA3">
        <w:rPr>
          <w:rFonts w:eastAsia="Calibri"/>
          <w:noProof/>
          <w:lang w:val="fr-FR"/>
        </w:rPr>
        <w:t>’</w:t>
      </w:r>
      <w:r>
        <w:rPr>
          <w:rFonts w:eastAsia="Calibri"/>
          <w:noProof/>
          <w:lang w:val="fr-FR"/>
        </w:rPr>
        <w:t>odontologistes spécialisés dans le handicap</w:t>
      </w:r>
      <w:r w:rsidRPr="005B12BB">
        <w:rPr>
          <w:rFonts w:eastAsia="Calibri"/>
          <w:noProof/>
          <w:lang w:val="fr-FR"/>
        </w:rPr>
        <w:t xml:space="preserve">. </w:t>
      </w:r>
      <w:r>
        <w:rPr>
          <w:rFonts w:eastAsia="Calibri"/>
          <w:noProof/>
          <w:lang w:val="fr-FR"/>
        </w:rPr>
        <w:t>Les approches sont définies par des équipes spécifiques en fonction de la situation de chaque individu</w:t>
      </w:r>
      <w:r w:rsidRPr="005B12BB">
        <w:rPr>
          <w:rFonts w:eastAsia="Calibri"/>
          <w:noProof/>
          <w:lang w:val="fr-FR"/>
        </w:rPr>
        <w:t xml:space="preserve">. </w:t>
      </w:r>
      <w:r>
        <w:rPr>
          <w:rFonts w:eastAsia="Calibri"/>
          <w:noProof/>
          <w:lang w:val="fr-FR"/>
        </w:rPr>
        <w:t>L</w:t>
      </w:r>
      <w:r w:rsidR="00607CA3">
        <w:rPr>
          <w:rFonts w:eastAsia="Calibri"/>
          <w:noProof/>
          <w:lang w:val="fr-FR"/>
        </w:rPr>
        <w:t>’</w:t>
      </w:r>
      <w:r w:rsidRPr="005B12BB">
        <w:rPr>
          <w:rFonts w:eastAsia="Calibri"/>
          <w:noProof/>
          <w:lang w:val="fr-FR"/>
        </w:rPr>
        <w:t xml:space="preserve">Institut </w:t>
      </w:r>
      <w:r>
        <w:rPr>
          <w:rFonts w:eastAsia="Calibri"/>
          <w:noProof/>
          <w:lang w:val="fr-FR"/>
        </w:rPr>
        <w:t xml:space="preserve">procède à un suivi </w:t>
      </w:r>
      <w:r w:rsidRPr="00691AD9">
        <w:rPr>
          <w:rFonts w:eastAsia="Calibri"/>
          <w:noProof/>
          <w:spacing w:val="-2"/>
          <w:lang w:val="fr-FR"/>
        </w:rPr>
        <w:t>individuel de la prise en charge. La prise en charge directe représente plus de 2</w:t>
      </w:r>
      <w:r w:rsidR="00663397" w:rsidRPr="00691AD9">
        <w:rPr>
          <w:rFonts w:eastAsia="Calibri"/>
          <w:noProof/>
          <w:spacing w:val="-2"/>
          <w:lang w:val="fr-FR"/>
        </w:rPr>
        <w:t> </w:t>
      </w:r>
      <w:r w:rsidRPr="00691AD9">
        <w:rPr>
          <w:rFonts w:eastAsia="Calibri"/>
          <w:noProof/>
          <w:spacing w:val="-2"/>
          <w:lang w:val="fr-FR"/>
        </w:rPr>
        <w:t>000 demandes</w:t>
      </w:r>
      <w:r>
        <w:rPr>
          <w:rFonts w:eastAsia="Calibri"/>
          <w:noProof/>
          <w:lang w:val="fr-FR"/>
        </w:rPr>
        <w:t xml:space="preserve"> de renseignements</w:t>
      </w:r>
      <w:r w:rsidRPr="005B12BB">
        <w:rPr>
          <w:rFonts w:eastAsia="Calibri"/>
          <w:noProof/>
          <w:lang w:val="fr-FR"/>
        </w:rPr>
        <w:t xml:space="preserve"> mensu</w:t>
      </w:r>
      <w:r>
        <w:rPr>
          <w:rFonts w:eastAsia="Calibri"/>
          <w:noProof/>
          <w:lang w:val="fr-FR"/>
        </w:rPr>
        <w:t>el</w:t>
      </w:r>
      <w:r w:rsidRPr="005B12BB">
        <w:rPr>
          <w:rFonts w:eastAsia="Calibri"/>
          <w:noProof/>
          <w:lang w:val="fr-FR"/>
        </w:rPr>
        <w:t>les.</w:t>
      </w:r>
    </w:p>
    <w:p w:rsidR="00596826" w:rsidRPr="007238C6" w:rsidRDefault="00596826" w:rsidP="00663397">
      <w:pPr>
        <w:pStyle w:val="H1G"/>
        <w:rPr>
          <w:noProof/>
          <w:lang w:val="fr-FR"/>
        </w:rPr>
      </w:pPr>
      <w:r w:rsidRPr="00411326">
        <w:tab/>
      </w:r>
      <w:r w:rsidRPr="00411326">
        <w:tab/>
      </w:r>
      <w:r w:rsidRPr="007238C6">
        <w:rPr>
          <w:noProof/>
          <w:lang w:val="fr-FR"/>
        </w:rPr>
        <w:t>Art</w:t>
      </w:r>
      <w:r>
        <w:rPr>
          <w:noProof/>
          <w:lang w:val="fr-FR"/>
        </w:rPr>
        <w:t xml:space="preserve">icles </w:t>
      </w:r>
      <w:r w:rsidRPr="007238C6">
        <w:rPr>
          <w:noProof/>
          <w:lang w:val="fr-FR"/>
        </w:rPr>
        <w:t xml:space="preserve">12 </w:t>
      </w:r>
      <w:r>
        <w:rPr>
          <w:noProof/>
          <w:lang w:val="fr-FR"/>
        </w:rPr>
        <w:t>et</w:t>
      </w:r>
      <w:r w:rsidRPr="007238C6">
        <w:rPr>
          <w:noProof/>
          <w:lang w:val="fr-FR"/>
        </w:rPr>
        <w:t xml:space="preserve"> 13 </w:t>
      </w:r>
    </w:p>
    <w:p w:rsidR="00596826" w:rsidRPr="007238C6" w:rsidRDefault="00596826" w:rsidP="00596826">
      <w:pPr>
        <w:pStyle w:val="SingleTxtG"/>
        <w:rPr>
          <w:rFonts w:eastAsia="Calibri"/>
          <w:noProof/>
          <w:lang w:val="fr-FR"/>
        </w:rPr>
      </w:pPr>
      <w:r w:rsidRPr="007238C6">
        <w:rPr>
          <w:rFonts w:eastAsia="Calibri"/>
          <w:noProof/>
          <w:lang w:val="fr-FR"/>
        </w:rPr>
        <w:t>162.</w:t>
      </w:r>
      <w:r w:rsidRPr="007238C6">
        <w:rPr>
          <w:rFonts w:eastAsia="Calibri"/>
          <w:noProof/>
          <w:lang w:val="fr-FR"/>
        </w:rPr>
        <w:tab/>
        <w:t>Au cours de la période considérée, six actes apparemment délictueux, susceptibles d</w:t>
      </w:r>
      <w:r w:rsidR="00607CA3">
        <w:rPr>
          <w:rFonts w:eastAsia="Calibri"/>
          <w:noProof/>
          <w:lang w:val="fr-FR"/>
        </w:rPr>
        <w:t>’</w:t>
      </w:r>
      <w:r w:rsidRPr="007238C6">
        <w:rPr>
          <w:rFonts w:eastAsia="Calibri"/>
          <w:noProof/>
          <w:lang w:val="fr-FR"/>
        </w:rPr>
        <w:t>être assimilés à la torture ont été signalés. L</w:t>
      </w:r>
      <w:r w:rsidR="00607CA3">
        <w:rPr>
          <w:rFonts w:eastAsia="Calibri"/>
          <w:noProof/>
          <w:lang w:val="fr-FR"/>
        </w:rPr>
        <w:t>’</w:t>
      </w:r>
      <w:r w:rsidRPr="007238C6">
        <w:rPr>
          <w:rFonts w:eastAsia="Calibri"/>
          <w:noProof/>
          <w:lang w:val="fr-FR"/>
        </w:rPr>
        <w:t>un d</w:t>
      </w:r>
      <w:r w:rsidR="00607CA3">
        <w:rPr>
          <w:rFonts w:eastAsia="Calibri"/>
          <w:noProof/>
          <w:lang w:val="fr-FR"/>
        </w:rPr>
        <w:t>’</w:t>
      </w:r>
      <w:r w:rsidRPr="007238C6">
        <w:rPr>
          <w:rFonts w:eastAsia="Calibri"/>
          <w:noProof/>
          <w:lang w:val="fr-FR"/>
        </w:rPr>
        <w:t>eux concernait l</w:t>
      </w:r>
      <w:r w:rsidR="00607CA3">
        <w:rPr>
          <w:rFonts w:eastAsia="Calibri"/>
          <w:noProof/>
          <w:lang w:val="fr-FR"/>
        </w:rPr>
        <w:t>’</w:t>
      </w:r>
      <w:r w:rsidRPr="007238C6">
        <w:rPr>
          <w:rFonts w:eastAsia="Calibri"/>
          <w:noProof/>
          <w:lang w:val="fr-FR"/>
        </w:rPr>
        <w:t xml:space="preserve">opération répressive menée </w:t>
      </w:r>
      <w:r w:rsidRPr="007238C6">
        <w:rPr>
          <w:noProof/>
          <w:lang w:val="fr-FR"/>
        </w:rPr>
        <w:t>dans le centre pénitentiaire Libertad</w:t>
      </w:r>
      <w:r w:rsidRPr="007238C6">
        <w:rPr>
          <w:rFonts w:eastAsia="Calibri"/>
          <w:noProof/>
          <w:lang w:val="fr-FR"/>
        </w:rPr>
        <w:t xml:space="preserve"> en 2016. Les autres signalements ont fait état d</w:t>
      </w:r>
      <w:r w:rsidR="00607CA3">
        <w:rPr>
          <w:rFonts w:eastAsia="Calibri"/>
          <w:noProof/>
          <w:lang w:val="fr-FR"/>
        </w:rPr>
        <w:t>’</w:t>
      </w:r>
      <w:r w:rsidRPr="007238C6">
        <w:rPr>
          <w:rFonts w:eastAsia="Calibri"/>
          <w:noProof/>
          <w:lang w:val="fr-FR"/>
        </w:rPr>
        <w:t>actes de violence ponctuels qui s</w:t>
      </w:r>
      <w:r w:rsidR="00607CA3">
        <w:rPr>
          <w:rFonts w:eastAsia="Calibri"/>
          <w:noProof/>
          <w:lang w:val="fr-FR"/>
        </w:rPr>
        <w:t>’</w:t>
      </w:r>
      <w:r w:rsidRPr="007238C6">
        <w:rPr>
          <w:rFonts w:eastAsia="Calibri"/>
          <w:noProof/>
          <w:lang w:val="fr-FR"/>
        </w:rPr>
        <w:t xml:space="preserve">étaient produits en dehors de la chaîne de commandement des établissements considérés </w:t>
      </w:r>
      <w:r w:rsidR="00663397">
        <w:rPr>
          <w:rFonts w:eastAsia="Calibri"/>
          <w:noProof/>
          <w:lang w:val="fr-FR"/>
        </w:rPr>
        <w:t>−</w:t>
      </w:r>
      <w:r w:rsidRPr="007238C6">
        <w:rPr>
          <w:rFonts w:eastAsia="Calibri"/>
          <w:noProof/>
          <w:lang w:val="fr-FR"/>
        </w:rPr>
        <w:t xml:space="preserve"> centre pénitentiaire COMCAR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7238C6">
        <w:rPr>
          <w:rFonts w:eastAsia="Calibri"/>
          <w:noProof/>
          <w:lang w:val="fr-FR"/>
        </w:rPr>
        <w:t>4)</w:t>
      </w:r>
      <w:r w:rsidR="00663397">
        <w:rPr>
          <w:rFonts w:eastAsia="Calibri"/>
          <w:noProof/>
          <w:lang w:val="fr-FR"/>
        </w:rPr>
        <w:t> </w:t>
      </w:r>
      <w:r w:rsidRPr="007238C6">
        <w:rPr>
          <w:rFonts w:eastAsia="Calibri"/>
          <w:noProof/>
          <w:lang w:val="fr-FR"/>
        </w:rPr>
        <w:t xml:space="preserve">; </w:t>
      </w:r>
      <w:r w:rsidRPr="007238C6">
        <w:rPr>
          <w:noProof/>
          <w:lang w:val="fr-FR"/>
        </w:rPr>
        <w:t>centre pénitentiaire pour femmes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noProof/>
          <w:lang w:val="fr-FR"/>
        </w:rPr>
        <w:t> </w:t>
      </w:r>
      <w:r w:rsidRPr="007238C6">
        <w:rPr>
          <w:noProof/>
          <w:lang w:val="fr-FR"/>
        </w:rPr>
        <w:t>5)</w:t>
      </w:r>
      <w:r w:rsidR="00663397">
        <w:rPr>
          <w:noProof/>
          <w:lang w:val="fr-FR"/>
        </w:rPr>
        <w:t> </w:t>
      </w:r>
      <w:r w:rsidRPr="007238C6">
        <w:rPr>
          <w:rFonts w:eastAsia="Calibri"/>
          <w:noProof/>
          <w:lang w:val="fr-FR"/>
        </w:rPr>
        <w:t>; centre Canelones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7238C6">
        <w:rPr>
          <w:rFonts w:eastAsia="Calibri"/>
          <w:noProof/>
          <w:lang w:val="fr-FR"/>
        </w:rPr>
        <w:t xml:space="preserve">7) </w:t>
      </w:r>
      <w:r w:rsidR="00663397">
        <w:rPr>
          <w:rFonts w:eastAsia="Calibri"/>
          <w:noProof/>
          <w:lang w:val="fr-FR"/>
        </w:rPr>
        <w:t>−</w:t>
      </w:r>
      <w:r w:rsidRPr="007238C6">
        <w:rPr>
          <w:rFonts w:eastAsia="Calibri"/>
          <w:noProof/>
          <w:lang w:val="fr-FR"/>
        </w:rPr>
        <w:t>, dans lesquels des souffrances et des mauvais traitements avaient été infligés pour punir les détenus ou leur faire peur. Portées devant la justice pénale, ces affaires n</w:t>
      </w:r>
      <w:r w:rsidR="00607CA3">
        <w:rPr>
          <w:rFonts w:eastAsia="Calibri"/>
          <w:noProof/>
          <w:lang w:val="fr-FR"/>
        </w:rPr>
        <w:t>’</w:t>
      </w:r>
      <w:r w:rsidRPr="007238C6">
        <w:rPr>
          <w:rFonts w:eastAsia="Calibri"/>
          <w:noProof/>
          <w:lang w:val="fr-FR"/>
        </w:rPr>
        <w:t>avaient pas encore été jugées a</w:t>
      </w:r>
      <w:r w:rsidRPr="007238C6">
        <w:rPr>
          <w:noProof/>
          <w:lang w:val="fr-FR"/>
        </w:rPr>
        <w:t>u moment de l</w:t>
      </w:r>
      <w:r w:rsidR="00607CA3">
        <w:rPr>
          <w:noProof/>
          <w:lang w:val="fr-FR"/>
        </w:rPr>
        <w:t>’</w:t>
      </w:r>
      <w:r w:rsidRPr="007238C6">
        <w:rPr>
          <w:noProof/>
          <w:lang w:val="fr-FR"/>
        </w:rPr>
        <w:t>achèvement du présent rapport</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163.</w:t>
      </w:r>
      <w:r w:rsidRPr="007238C6">
        <w:rPr>
          <w:rFonts w:eastAsia="Calibri"/>
          <w:noProof/>
          <w:lang w:val="fr-FR"/>
        </w:rPr>
        <w:tab/>
        <w:t xml:space="preserve">Entre </w:t>
      </w:r>
      <w:r>
        <w:rPr>
          <w:rFonts w:eastAsia="Calibri"/>
          <w:noProof/>
          <w:lang w:val="fr-FR"/>
        </w:rPr>
        <w:t xml:space="preserve">le </w:t>
      </w:r>
      <w:r w:rsidRPr="007238C6">
        <w:rPr>
          <w:rFonts w:eastAsia="Calibri"/>
          <w:noProof/>
          <w:lang w:val="fr-FR"/>
        </w:rPr>
        <w:t>1</w:t>
      </w:r>
      <w:r w:rsidRPr="004751DF">
        <w:rPr>
          <w:rFonts w:eastAsia="Calibri"/>
          <w:noProof/>
          <w:vertAlign w:val="superscript"/>
          <w:lang w:val="fr-FR"/>
        </w:rPr>
        <w:t>er</w:t>
      </w:r>
      <w:r w:rsidR="00663397">
        <w:rPr>
          <w:rFonts w:eastAsia="Calibri"/>
          <w:noProof/>
          <w:lang w:val="fr-FR"/>
        </w:rPr>
        <w:t> </w:t>
      </w:r>
      <w:r>
        <w:rPr>
          <w:rFonts w:eastAsia="Calibri"/>
          <w:noProof/>
          <w:lang w:val="fr-FR"/>
        </w:rPr>
        <w:t xml:space="preserve">juin </w:t>
      </w:r>
      <w:r w:rsidRPr="007238C6">
        <w:rPr>
          <w:rFonts w:eastAsia="Calibri"/>
          <w:noProof/>
          <w:lang w:val="fr-FR"/>
        </w:rPr>
        <w:t xml:space="preserve">2016 </w:t>
      </w:r>
      <w:r>
        <w:rPr>
          <w:rFonts w:eastAsia="Calibri"/>
          <w:noProof/>
          <w:lang w:val="fr-FR"/>
        </w:rPr>
        <w:t xml:space="preserve">et le </w:t>
      </w:r>
      <w:r w:rsidRPr="007238C6">
        <w:rPr>
          <w:rFonts w:eastAsia="Calibri"/>
          <w:noProof/>
          <w:lang w:val="fr-FR"/>
        </w:rPr>
        <w:t>24</w:t>
      </w:r>
      <w:r w:rsidR="00663397">
        <w:rPr>
          <w:rFonts w:eastAsia="Calibri"/>
          <w:noProof/>
          <w:lang w:val="fr-FR"/>
        </w:rPr>
        <w:t> </w:t>
      </w:r>
      <w:r>
        <w:rPr>
          <w:rFonts w:eastAsia="Calibri"/>
          <w:noProof/>
          <w:lang w:val="fr-FR"/>
        </w:rPr>
        <w:t xml:space="preserve">juillet </w:t>
      </w:r>
      <w:r w:rsidRPr="007238C6">
        <w:rPr>
          <w:rFonts w:eastAsia="Calibri"/>
          <w:noProof/>
          <w:lang w:val="fr-FR"/>
        </w:rPr>
        <w:t>2017</w:t>
      </w:r>
      <w:r>
        <w:rPr>
          <w:rFonts w:eastAsia="Calibri"/>
          <w:noProof/>
          <w:lang w:val="fr-FR"/>
        </w:rPr>
        <w:t>, des plaintes ont été déposées auprès de</w:t>
      </w:r>
      <w:r w:rsidRPr="007238C6">
        <w:rPr>
          <w:rFonts w:eastAsia="Calibri"/>
          <w:noProof/>
          <w:lang w:val="fr-FR"/>
        </w:rPr>
        <w:t xml:space="preserve"> la </w:t>
      </w:r>
      <w:r w:rsidRPr="00A117E8">
        <w:rPr>
          <w:rFonts w:eastAsia="Calibri"/>
          <w:noProof/>
          <w:lang w:val="fr-FR"/>
        </w:rPr>
        <w:t>Direc</w:t>
      </w:r>
      <w:r>
        <w:rPr>
          <w:rFonts w:eastAsia="Calibri"/>
          <w:noProof/>
          <w:lang w:val="fr-FR"/>
        </w:rPr>
        <w:t xml:space="preserve">tion des affaires internes et du Service </w:t>
      </w:r>
      <w:r w:rsidRPr="00A117E8">
        <w:rPr>
          <w:rFonts w:eastAsia="Calibri"/>
          <w:noProof/>
          <w:lang w:val="fr-FR"/>
        </w:rPr>
        <w:t xml:space="preserve">de </w:t>
      </w:r>
      <w:r>
        <w:rPr>
          <w:rFonts w:eastAsia="Calibri"/>
          <w:noProof/>
          <w:lang w:val="fr-FR"/>
        </w:rPr>
        <w:t>gestion de la qualité (</w:t>
      </w:r>
      <w:r w:rsidRPr="00A117E8">
        <w:rPr>
          <w:rFonts w:eastAsia="Calibri"/>
          <w:noProof/>
          <w:lang w:val="fr-FR"/>
        </w:rPr>
        <w:t>0800-5000</w:t>
      </w:r>
      <w:r>
        <w:rPr>
          <w:rFonts w:eastAsia="Calibri"/>
          <w:noProof/>
          <w:lang w:val="fr-FR"/>
        </w:rPr>
        <w:t>)</w:t>
      </w:r>
      <w:r w:rsidRPr="00A117E8">
        <w:rPr>
          <w:rFonts w:eastAsia="Calibri"/>
          <w:noProof/>
          <w:lang w:val="fr-FR"/>
        </w:rPr>
        <w:t xml:space="preserve">. </w:t>
      </w:r>
      <w:r>
        <w:rPr>
          <w:rFonts w:eastAsia="Calibri"/>
          <w:noProof/>
          <w:lang w:val="fr-FR"/>
        </w:rPr>
        <w:t>Les plaintes de ce type faisaient état des mauvais traitements ci-après :</w:t>
      </w:r>
      <w:r w:rsidRPr="007238C6">
        <w:rPr>
          <w:rFonts w:eastAsia="Calibri"/>
          <w:noProof/>
          <w:lang w:val="fr-FR"/>
        </w:rPr>
        <w:t xml:space="preserve"> </w:t>
      </w:r>
      <w:r>
        <w:rPr>
          <w:rFonts w:eastAsia="Calibri"/>
          <w:noProof/>
          <w:lang w:val="fr-FR"/>
        </w:rPr>
        <w:t>situation sanitaire ou nutritionnelle préoccupante</w:t>
      </w:r>
      <w:r w:rsidRPr="007238C6">
        <w:rPr>
          <w:rFonts w:eastAsia="Calibri"/>
          <w:noProof/>
          <w:lang w:val="fr-FR"/>
        </w:rPr>
        <w:t xml:space="preserve">, conflits entre </w:t>
      </w:r>
      <w:r>
        <w:rPr>
          <w:rFonts w:eastAsia="Calibri"/>
          <w:noProof/>
          <w:lang w:val="fr-FR"/>
        </w:rPr>
        <w:t>détenus</w:t>
      </w:r>
      <w:r w:rsidRPr="007238C6">
        <w:rPr>
          <w:rFonts w:eastAsia="Calibri"/>
          <w:noProof/>
          <w:lang w:val="fr-FR"/>
        </w:rPr>
        <w:t xml:space="preserve">, </w:t>
      </w:r>
      <w:r>
        <w:rPr>
          <w:rFonts w:eastAsia="Calibri"/>
          <w:noProof/>
          <w:lang w:val="fr-FR"/>
        </w:rPr>
        <w:t>absence de permis de visite aux membres de la famille</w:t>
      </w:r>
      <w:r w:rsidRPr="007238C6">
        <w:rPr>
          <w:rFonts w:eastAsia="Calibri"/>
          <w:noProof/>
          <w:lang w:val="fr-FR"/>
        </w:rPr>
        <w:t xml:space="preserve">, </w:t>
      </w:r>
      <w:r>
        <w:rPr>
          <w:rFonts w:eastAsia="Calibri"/>
          <w:noProof/>
          <w:lang w:val="fr-FR"/>
        </w:rPr>
        <w:t>demandes de transfert et</w:t>
      </w:r>
      <w:r w:rsidRPr="007238C6">
        <w:rPr>
          <w:rFonts w:eastAsia="Calibri"/>
          <w:noProof/>
          <w:lang w:val="fr-FR"/>
        </w:rPr>
        <w:t xml:space="preserve"> </w:t>
      </w:r>
      <w:r>
        <w:rPr>
          <w:rFonts w:eastAsia="Calibri"/>
          <w:noProof/>
          <w:lang w:val="fr-FR"/>
        </w:rPr>
        <w:t xml:space="preserve">menaces proférées par des détenus et des gardiens. Au cours de cette période, </w:t>
      </w:r>
      <w:r w:rsidRPr="00A117E8">
        <w:rPr>
          <w:rFonts w:eastAsia="Calibri"/>
          <w:noProof/>
          <w:lang w:val="fr-FR"/>
        </w:rPr>
        <w:t>837</w:t>
      </w:r>
      <w:r>
        <w:rPr>
          <w:rFonts w:eastAsia="Calibri"/>
          <w:noProof/>
          <w:lang w:val="fr-FR"/>
        </w:rPr>
        <w:t xml:space="preserve"> cas ont été enregistrés : 106 plaintes émanaient de femmes détenues dans 10 centres pénitentiaires</w:t>
      </w:r>
      <w:r w:rsidRPr="00F607EB">
        <w:rPr>
          <w:rFonts w:eastAsia="Calibri"/>
          <w:b/>
          <w:noProof/>
          <w:lang w:val="fr-FR"/>
        </w:rPr>
        <w:t>,</w:t>
      </w:r>
      <w:r w:rsidRPr="00A117E8">
        <w:rPr>
          <w:rFonts w:eastAsia="Calibri"/>
          <w:noProof/>
          <w:lang w:val="fr-FR"/>
        </w:rPr>
        <w:t xml:space="preserve"> </w:t>
      </w:r>
      <w:r>
        <w:rPr>
          <w:rFonts w:eastAsia="Calibri"/>
          <w:noProof/>
          <w:lang w:val="fr-FR"/>
        </w:rPr>
        <w:t xml:space="preserve">dont </w:t>
      </w:r>
      <w:r w:rsidR="00691AD9">
        <w:rPr>
          <w:rFonts w:eastAsia="Calibri"/>
          <w:noProof/>
          <w:lang w:val="fr-FR"/>
        </w:rPr>
        <w:t>3</w:t>
      </w:r>
      <w:r>
        <w:rPr>
          <w:rFonts w:eastAsia="Calibri"/>
          <w:noProof/>
          <w:lang w:val="fr-FR"/>
        </w:rPr>
        <w:t xml:space="preserve"> citoyennes brésiliennes, et </w:t>
      </w:r>
      <w:r w:rsidRPr="00A117E8">
        <w:rPr>
          <w:rFonts w:eastAsia="Calibri"/>
          <w:noProof/>
          <w:lang w:val="fr-FR"/>
        </w:rPr>
        <w:t>731</w:t>
      </w:r>
      <w:r w:rsidR="00663397">
        <w:rPr>
          <w:rFonts w:eastAsia="Calibri"/>
          <w:noProof/>
          <w:lang w:val="fr-FR"/>
        </w:rPr>
        <w:t> </w:t>
      </w:r>
      <w:r>
        <w:rPr>
          <w:rFonts w:eastAsia="Calibri"/>
          <w:noProof/>
          <w:lang w:val="fr-FR"/>
        </w:rPr>
        <w:t>d</w:t>
      </w:r>
      <w:r w:rsidR="00607CA3">
        <w:rPr>
          <w:rFonts w:eastAsia="Calibri"/>
          <w:noProof/>
          <w:lang w:val="fr-FR"/>
        </w:rPr>
        <w:t>’</w:t>
      </w:r>
      <w:r>
        <w:rPr>
          <w:rFonts w:eastAsia="Calibri"/>
          <w:noProof/>
          <w:lang w:val="fr-FR"/>
        </w:rPr>
        <w:t xml:space="preserve">hommes détenus dans </w:t>
      </w:r>
      <w:r w:rsidRPr="00A117E8">
        <w:rPr>
          <w:rFonts w:eastAsia="Calibri"/>
          <w:noProof/>
          <w:lang w:val="fr-FR"/>
        </w:rPr>
        <w:t xml:space="preserve">22 </w:t>
      </w:r>
      <w:r>
        <w:rPr>
          <w:rFonts w:eastAsia="Calibri"/>
          <w:noProof/>
          <w:lang w:val="fr-FR"/>
        </w:rPr>
        <w:t>centres</w:t>
      </w:r>
      <w:r w:rsidRPr="00A117E8">
        <w:rPr>
          <w:rFonts w:eastAsia="Calibri"/>
          <w:noProof/>
          <w:lang w:val="fr-FR"/>
        </w:rPr>
        <w:t xml:space="preserve">, </w:t>
      </w:r>
      <w:r>
        <w:rPr>
          <w:rFonts w:eastAsia="Calibri"/>
          <w:noProof/>
          <w:lang w:val="fr-FR"/>
        </w:rPr>
        <w:t xml:space="preserve">dont </w:t>
      </w:r>
      <w:r w:rsidR="00691AD9">
        <w:rPr>
          <w:rFonts w:eastAsia="Calibri"/>
          <w:noProof/>
          <w:lang w:val="fr-FR"/>
        </w:rPr>
        <w:t>1</w:t>
      </w:r>
      <w:r>
        <w:rPr>
          <w:rFonts w:eastAsia="Calibri"/>
          <w:noProof/>
          <w:lang w:val="fr-FR"/>
        </w:rPr>
        <w:t xml:space="preserve"> citoyen paraguayen et </w:t>
      </w:r>
      <w:r w:rsidR="00691AD9">
        <w:rPr>
          <w:rFonts w:eastAsia="Calibri"/>
          <w:noProof/>
          <w:lang w:val="fr-FR"/>
        </w:rPr>
        <w:t>1</w:t>
      </w:r>
      <w:r>
        <w:rPr>
          <w:rFonts w:eastAsia="Calibri"/>
          <w:noProof/>
          <w:lang w:val="fr-FR"/>
        </w:rPr>
        <w:t xml:space="preserve"> citoyen argentin</w:t>
      </w:r>
      <w:r w:rsidRPr="00A117E8">
        <w:rPr>
          <w:rFonts w:eastAsia="Calibri"/>
          <w:noProof/>
          <w:lang w:val="fr-FR"/>
        </w:rPr>
        <w:t xml:space="preserve">. </w:t>
      </w:r>
      <w:r>
        <w:rPr>
          <w:rFonts w:eastAsia="Calibri"/>
          <w:noProof/>
          <w:lang w:val="fr-FR"/>
        </w:rPr>
        <w:t>Quatre-vingt-quinze pourcent des plaignants étaient</w:t>
      </w:r>
      <w:r w:rsidRPr="00A117E8">
        <w:rPr>
          <w:rFonts w:eastAsia="Calibri"/>
          <w:noProof/>
          <w:lang w:val="fr-FR"/>
        </w:rPr>
        <w:t xml:space="preserve"> de </w:t>
      </w:r>
      <w:r>
        <w:rPr>
          <w:rFonts w:eastAsia="Calibri"/>
          <w:noProof/>
          <w:lang w:val="fr-FR"/>
        </w:rPr>
        <w:t>race blanche</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164.</w:t>
      </w:r>
      <w:r w:rsidRPr="007238C6">
        <w:rPr>
          <w:rFonts w:eastAsia="Calibri"/>
          <w:noProof/>
          <w:lang w:val="fr-FR"/>
        </w:rPr>
        <w:tab/>
        <w:t xml:space="preserve">Entre </w:t>
      </w:r>
      <w:r>
        <w:rPr>
          <w:rFonts w:eastAsia="Calibri"/>
          <w:noProof/>
          <w:lang w:val="fr-FR"/>
        </w:rPr>
        <w:t xml:space="preserve">le </w:t>
      </w:r>
      <w:r w:rsidRPr="007238C6">
        <w:rPr>
          <w:rFonts w:eastAsia="Calibri"/>
          <w:noProof/>
          <w:lang w:val="fr-FR"/>
        </w:rPr>
        <w:t>1</w:t>
      </w:r>
      <w:r w:rsidRPr="0086146F">
        <w:rPr>
          <w:rFonts w:eastAsia="Calibri"/>
          <w:noProof/>
          <w:vertAlign w:val="superscript"/>
          <w:lang w:val="fr-FR"/>
        </w:rPr>
        <w:t>er</w:t>
      </w:r>
      <w:r w:rsidR="00663397">
        <w:rPr>
          <w:rFonts w:eastAsia="Calibri"/>
          <w:noProof/>
          <w:lang w:val="fr-FR"/>
        </w:rPr>
        <w:t> </w:t>
      </w:r>
      <w:r w:rsidRPr="007238C6">
        <w:rPr>
          <w:rFonts w:eastAsia="Calibri"/>
          <w:noProof/>
          <w:lang w:val="fr-FR"/>
        </w:rPr>
        <w:t>oct</w:t>
      </w:r>
      <w:r>
        <w:rPr>
          <w:rFonts w:eastAsia="Calibri"/>
          <w:noProof/>
          <w:lang w:val="fr-FR"/>
        </w:rPr>
        <w:t>o</w:t>
      </w:r>
      <w:r w:rsidRPr="007238C6">
        <w:rPr>
          <w:rFonts w:eastAsia="Calibri"/>
          <w:noProof/>
          <w:lang w:val="fr-FR"/>
        </w:rPr>
        <w:t xml:space="preserve">bre 2017 </w:t>
      </w:r>
      <w:r>
        <w:rPr>
          <w:rFonts w:eastAsia="Calibri"/>
          <w:noProof/>
          <w:lang w:val="fr-FR"/>
        </w:rPr>
        <w:t xml:space="preserve">et le </w:t>
      </w:r>
      <w:r w:rsidRPr="007238C6">
        <w:rPr>
          <w:rFonts w:eastAsia="Calibri"/>
          <w:noProof/>
          <w:lang w:val="fr-FR"/>
        </w:rPr>
        <w:t>28</w:t>
      </w:r>
      <w:r w:rsidR="00663397">
        <w:rPr>
          <w:rFonts w:eastAsia="Calibri"/>
          <w:noProof/>
          <w:lang w:val="fr-FR"/>
        </w:rPr>
        <w:t> </w:t>
      </w:r>
      <w:r>
        <w:rPr>
          <w:rFonts w:eastAsia="Calibri"/>
          <w:noProof/>
          <w:lang w:val="fr-FR"/>
        </w:rPr>
        <w:t xml:space="preserve">février </w:t>
      </w:r>
      <w:r w:rsidRPr="007238C6">
        <w:rPr>
          <w:rFonts w:eastAsia="Calibri"/>
          <w:noProof/>
          <w:lang w:val="fr-FR"/>
        </w:rPr>
        <w:t>2018</w:t>
      </w:r>
      <w:r>
        <w:rPr>
          <w:rFonts w:eastAsia="Calibri"/>
          <w:noProof/>
          <w:lang w:val="fr-FR"/>
        </w:rPr>
        <w:t>,</w:t>
      </w:r>
      <w:r w:rsidRPr="007238C6">
        <w:rPr>
          <w:rFonts w:eastAsia="Calibri"/>
          <w:noProof/>
          <w:lang w:val="fr-FR"/>
        </w:rPr>
        <w:t xml:space="preserve"> </w:t>
      </w:r>
      <w:r>
        <w:rPr>
          <w:rFonts w:eastAsia="Calibri"/>
          <w:noProof/>
          <w:lang w:val="fr-FR"/>
        </w:rPr>
        <w:t xml:space="preserve">le </w:t>
      </w:r>
      <w:r w:rsidRPr="007238C6">
        <w:rPr>
          <w:rFonts w:eastAsia="Calibri"/>
          <w:noProof/>
          <w:lang w:val="fr-FR"/>
        </w:rPr>
        <w:t>Servic</w:t>
      </w:r>
      <w:r>
        <w:rPr>
          <w:rFonts w:eastAsia="Calibri"/>
          <w:noProof/>
          <w:lang w:val="fr-FR"/>
        </w:rPr>
        <w:t xml:space="preserve">e de gestion de la qualité a reçu </w:t>
      </w:r>
      <w:r w:rsidRPr="007238C6">
        <w:rPr>
          <w:rFonts w:eastAsia="Calibri"/>
          <w:noProof/>
          <w:lang w:val="fr-FR"/>
        </w:rPr>
        <w:t xml:space="preserve">497 </w:t>
      </w:r>
      <w:r>
        <w:rPr>
          <w:rFonts w:eastAsia="Calibri"/>
          <w:noProof/>
          <w:lang w:val="fr-FR"/>
        </w:rPr>
        <w:t>plaintes émanant de 18 centres pénitentiaires</w:t>
      </w:r>
      <w:r w:rsidRPr="007238C6">
        <w:rPr>
          <w:rFonts w:eastAsia="Calibri"/>
          <w:noProof/>
          <w:lang w:val="fr-FR"/>
        </w:rPr>
        <w:t xml:space="preserve">. </w:t>
      </w:r>
      <w:r>
        <w:rPr>
          <w:rFonts w:eastAsia="Calibri"/>
          <w:noProof/>
          <w:lang w:val="fr-FR"/>
        </w:rPr>
        <w:t xml:space="preserve">Quatre-vingt-quinze pourcent des plaignans étaient </w:t>
      </w:r>
      <w:r w:rsidRPr="00A117E8">
        <w:rPr>
          <w:rFonts w:eastAsia="Calibri"/>
          <w:noProof/>
          <w:lang w:val="fr-FR"/>
        </w:rPr>
        <w:t xml:space="preserve">de </w:t>
      </w:r>
      <w:r>
        <w:rPr>
          <w:rFonts w:eastAsia="Calibri"/>
          <w:noProof/>
          <w:lang w:val="fr-FR"/>
        </w:rPr>
        <w:t>race blanche</w:t>
      </w:r>
      <w:r w:rsidRPr="007238C6">
        <w:rPr>
          <w:rFonts w:eastAsia="Calibri"/>
          <w:noProof/>
          <w:lang w:val="fr-FR"/>
        </w:rPr>
        <w:t>. T</w:t>
      </w:r>
      <w:r>
        <w:rPr>
          <w:rFonts w:eastAsia="Calibri"/>
          <w:noProof/>
          <w:lang w:val="fr-FR"/>
        </w:rPr>
        <w:t>ous les cas ont été renvoyés à l</w:t>
      </w:r>
      <w:r w:rsidR="00607CA3">
        <w:rPr>
          <w:rFonts w:eastAsia="Calibri"/>
          <w:noProof/>
          <w:lang w:val="fr-FR"/>
        </w:rPr>
        <w:t>’</w:t>
      </w:r>
      <w:r>
        <w:rPr>
          <w:rFonts w:eastAsia="Calibri"/>
          <w:noProof/>
          <w:lang w:val="fr-FR"/>
        </w:rPr>
        <w:t>Institut national de réinsertion</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165.</w:t>
      </w:r>
      <w:r w:rsidRPr="007238C6">
        <w:rPr>
          <w:rFonts w:eastAsia="Calibri"/>
          <w:noProof/>
          <w:lang w:val="fr-FR"/>
        </w:rPr>
        <w:tab/>
      </w:r>
      <w:r>
        <w:rPr>
          <w:rFonts w:eastAsia="Calibri"/>
          <w:noProof/>
          <w:lang w:val="fr-FR"/>
        </w:rPr>
        <w:t>Dans le rapport annuel qu</w:t>
      </w:r>
      <w:r w:rsidR="00607CA3">
        <w:rPr>
          <w:rFonts w:eastAsia="Calibri"/>
          <w:noProof/>
          <w:lang w:val="fr-FR"/>
        </w:rPr>
        <w:t>’</w:t>
      </w:r>
      <w:r>
        <w:rPr>
          <w:rFonts w:eastAsia="Calibri"/>
          <w:noProof/>
          <w:lang w:val="fr-FR"/>
        </w:rPr>
        <w:t>il a présenté en 2016 au Parlement, le délégué parlementaire aux affaires pénitentiaires</w:t>
      </w:r>
      <w:r w:rsidRPr="00D60F4E">
        <w:rPr>
          <w:rFonts w:eastAsia="Calibri"/>
          <w:noProof/>
          <w:lang w:val="fr-FR"/>
        </w:rPr>
        <w:t xml:space="preserve"> </w:t>
      </w:r>
      <w:r>
        <w:rPr>
          <w:rFonts w:eastAsia="Calibri"/>
          <w:noProof/>
          <w:lang w:val="fr-FR"/>
        </w:rPr>
        <w:t xml:space="preserve">analyse le système pénitentiaire au niveau national et indique que </w:t>
      </w:r>
      <w:r w:rsidRPr="007238C6">
        <w:rPr>
          <w:rFonts w:eastAsia="Calibri"/>
          <w:noProof/>
          <w:lang w:val="fr-FR"/>
        </w:rPr>
        <w:t>33</w:t>
      </w:r>
      <w:r w:rsidR="00663397">
        <w:rPr>
          <w:rFonts w:eastAsia="Calibri"/>
          <w:noProof/>
          <w:lang w:val="fr-FR"/>
        </w:rPr>
        <w:t> </w:t>
      </w:r>
      <w:r w:rsidRPr="007238C6">
        <w:rPr>
          <w:rFonts w:eastAsia="Calibri"/>
          <w:noProof/>
          <w:lang w:val="fr-FR"/>
        </w:rPr>
        <w:t>% de</w:t>
      </w:r>
      <w:r>
        <w:rPr>
          <w:rFonts w:eastAsia="Calibri"/>
          <w:noProof/>
          <w:lang w:val="fr-FR"/>
        </w:rPr>
        <w:t>s détenus vivent dans des conditions constitutives d</w:t>
      </w:r>
      <w:r w:rsidR="00607CA3">
        <w:rPr>
          <w:rFonts w:eastAsia="Calibri"/>
          <w:noProof/>
          <w:lang w:val="fr-FR"/>
        </w:rPr>
        <w:t>’</w:t>
      </w:r>
      <w:r>
        <w:rPr>
          <w:rFonts w:eastAsia="Calibri"/>
          <w:noProof/>
          <w:lang w:val="fr-FR"/>
        </w:rPr>
        <w:t xml:space="preserve">un « traitement </w:t>
      </w:r>
      <w:r>
        <w:rPr>
          <w:rFonts w:eastAsia="Calibri"/>
          <w:noProof/>
          <w:lang w:val="fr-FR"/>
        </w:rPr>
        <w:lastRenderedPageBreak/>
        <w:t xml:space="preserve">cruel, inhumain ou dégradant ». Pour garantir un traitement adéquat, il a présenté devant la justice </w:t>
      </w:r>
      <w:r w:rsidRPr="007238C6">
        <w:rPr>
          <w:rFonts w:eastAsia="Calibri"/>
          <w:noProof/>
          <w:lang w:val="fr-FR"/>
        </w:rPr>
        <w:t>un</w:t>
      </w:r>
      <w:r>
        <w:rPr>
          <w:rFonts w:eastAsia="Calibri"/>
          <w:noProof/>
          <w:lang w:val="fr-FR"/>
        </w:rPr>
        <w:t xml:space="preserve"> recours d</w:t>
      </w:r>
      <w:r w:rsidR="00607CA3">
        <w:rPr>
          <w:rFonts w:eastAsia="Calibri"/>
          <w:noProof/>
          <w:lang w:val="fr-FR"/>
        </w:rPr>
        <w:t>’</w:t>
      </w:r>
      <w:r w:rsidRPr="00222D04">
        <w:rPr>
          <w:rFonts w:eastAsia="Calibri"/>
          <w:i/>
          <w:noProof/>
          <w:lang w:val="fr-FR"/>
        </w:rPr>
        <w:t>amparo</w:t>
      </w:r>
      <w:r w:rsidRPr="007238C6">
        <w:rPr>
          <w:rFonts w:eastAsia="Calibri"/>
          <w:noProof/>
          <w:lang w:val="fr-FR"/>
        </w:rPr>
        <w:t xml:space="preserve"> </w:t>
      </w:r>
      <w:r>
        <w:rPr>
          <w:rFonts w:eastAsia="Calibri"/>
          <w:noProof/>
          <w:lang w:val="fr-FR"/>
        </w:rPr>
        <w:t xml:space="preserve">concernant un groupe de détenus du centre pénitentiaire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Pr>
          <w:rFonts w:eastAsia="Calibri"/>
          <w:noProof/>
          <w:lang w:val="fr-FR"/>
        </w:rPr>
        <w:t>4</w:t>
      </w:r>
      <w:r w:rsidRPr="007238C6">
        <w:rPr>
          <w:rFonts w:eastAsia="Calibri"/>
          <w:noProof/>
          <w:lang w:val="fr-FR"/>
        </w:rPr>
        <w:t xml:space="preserve">, </w:t>
      </w:r>
      <w:r>
        <w:rPr>
          <w:rFonts w:eastAsia="Calibri"/>
          <w:noProof/>
          <w:lang w:val="fr-FR"/>
        </w:rPr>
        <w:t>à la suite duquel la justice a obligé le Ministère de l</w:t>
      </w:r>
      <w:r w:rsidR="00607CA3">
        <w:rPr>
          <w:rFonts w:eastAsia="Calibri"/>
          <w:noProof/>
          <w:lang w:val="fr-FR"/>
        </w:rPr>
        <w:t>’</w:t>
      </w:r>
      <w:r>
        <w:rPr>
          <w:rFonts w:eastAsia="Calibri"/>
          <w:noProof/>
          <w:lang w:val="fr-FR"/>
        </w:rPr>
        <w:t>intérieur à appliquer à ces détenus un traitement conforme aux Règles Nelson Mandela</w:t>
      </w:r>
      <w:r w:rsidRPr="007238C6">
        <w:rPr>
          <w:rFonts w:eastAsia="Calibri"/>
          <w:noProof/>
          <w:lang w:val="fr-FR"/>
        </w:rPr>
        <w:t>. En a</w:t>
      </w:r>
      <w:r>
        <w:rPr>
          <w:rFonts w:eastAsia="Calibri"/>
          <w:noProof/>
          <w:lang w:val="fr-FR"/>
        </w:rPr>
        <w:t>v</w:t>
      </w:r>
      <w:r w:rsidRPr="007238C6">
        <w:rPr>
          <w:rFonts w:eastAsia="Calibri"/>
          <w:noProof/>
          <w:lang w:val="fr-FR"/>
        </w:rPr>
        <w:t>ril 2018</w:t>
      </w:r>
      <w:r>
        <w:rPr>
          <w:rFonts w:eastAsia="Calibri"/>
          <w:noProof/>
          <w:lang w:val="fr-FR"/>
        </w:rPr>
        <w:t>, le délégué a présenté devant le Bureau du Procureur général de la Nation une plainte concernant les faits survenus à l</w:t>
      </w:r>
      <w:r w:rsidR="00607CA3">
        <w:rPr>
          <w:rFonts w:eastAsia="Calibri"/>
          <w:noProof/>
          <w:lang w:val="fr-FR"/>
        </w:rPr>
        <w:t>’</w:t>
      </w:r>
      <w:r>
        <w:rPr>
          <w:rFonts w:eastAsia="Calibri"/>
          <w:noProof/>
          <w:lang w:val="fr-FR"/>
        </w:rPr>
        <w:t>occasion d</w:t>
      </w:r>
      <w:r w:rsidR="00607CA3">
        <w:rPr>
          <w:rFonts w:eastAsia="Calibri"/>
          <w:noProof/>
          <w:lang w:val="fr-FR"/>
        </w:rPr>
        <w:t>’</w:t>
      </w:r>
      <w:r>
        <w:rPr>
          <w:rFonts w:eastAsia="Calibri"/>
          <w:noProof/>
          <w:lang w:val="fr-FR"/>
        </w:rPr>
        <w:t>une inspection effectuée le 19</w:t>
      </w:r>
      <w:r w:rsidR="00663397">
        <w:rPr>
          <w:rFonts w:eastAsia="Calibri"/>
          <w:noProof/>
          <w:lang w:val="fr-FR"/>
        </w:rPr>
        <w:t> </w:t>
      </w:r>
      <w:r>
        <w:rPr>
          <w:rFonts w:eastAsia="Calibri"/>
          <w:noProof/>
          <w:lang w:val="fr-FR"/>
        </w:rPr>
        <w:t>avril au centre pénitentiaire P</w:t>
      </w:r>
      <w:r w:rsidRPr="007238C6">
        <w:rPr>
          <w:rFonts w:eastAsia="Calibri"/>
          <w:noProof/>
          <w:lang w:val="fr-FR"/>
        </w:rPr>
        <w:t>unta de Rieles</w:t>
      </w:r>
      <w:r>
        <w:rPr>
          <w:rFonts w:eastAsia="Calibri"/>
          <w:noProof/>
          <w:lang w:val="fr-FR"/>
        </w:rPr>
        <w:t xml:space="preserve">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Pr>
          <w:rFonts w:eastAsia="Calibri"/>
          <w:noProof/>
          <w:lang w:val="fr-FR"/>
        </w:rPr>
        <w:t>1) en s</w:t>
      </w:r>
      <w:r w:rsidR="00607CA3">
        <w:rPr>
          <w:rFonts w:eastAsia="Calibri"/>
          <w:noProof/>
          <w:lang w:val="fr-FR"/>
        </w:rPr>
        <w:t>’</w:t>
      </w:r>
      <w:r>
        <w:rPr>
          <w:rFonts w:eastAsia="Calibri"/>
          <w:noProof/>
          <w:lang w:val="fr-FR"/>
        </w:rPr>
        <w:t>appuyant sur le témoignage et avec le consentement de 30 détenus.</w:t>
      </w:r>
    </w:p>
    <w:p w:rsidR="00596826" w:rsidRPr="007238C6" w:rsidRDefault="00596826" w:rsidP="00596826">
      <w:pPr>
        <w:pStyle w:val="SingleTxtG"/>
        <w:rPr>
          <w:rFonts w:eastAsia="Calibri"/>
          <w:noProof/>
          <w:lang w:val="fr-FR"/>
        </w:rPr>
      </w:pPr>
      <w:r w:rsidRPr="007238C6">
        <w:rPr>
          <w:rFonts w:eastAsia="Calibri"/>
          <w:noProof/>
          <w:lang w:val="fr-FR"/>
        </w:rPr>
        <w:t>166.</w:t>
      </w:r>
      <w:r w:rsidRPr="007238C6">
        <w:rPr>
          <w:rFonts w:eastAsia="Calibri"/>
          <w:noProof/>
          <w:lang w:val="fr-FR"/>
        </w:rPr>
        <w:tab/>
      </w:r>
      <w:r>
        <w:rPr>
          <w:rFonts w:eastAsia="Calibri"/>
          <w:noProof/>
          <w:lang w:val="fr-FR"/>
        </w:rPr>
        <w:t xml:space="preserve">Le </w:t>
      </w:r>
      <w:r w:rsidRPr="007238C6">
        <w:rPr>
          <w:rFonts w:eastAsia="Calibri"/>
          <w:noProof/>
          <w:lang w:val="fr-FR"/>
        </w:rPr>
        <w:t>26</w:t>
      </w:r>
      <w:r w:rsidR="00663397">
        <w:rPr>
          <w:rFonts w:eastAsia="Calibri"/>
          <w:noProof/>
          <w:lang w:val="fr-FR"/>
        </w:rPr>
        <w:t> </w:t>
      </w:r>
      <w:r w:rsidRPr="007238C6">
        <w:rPr>
          <w:rFonts w:eastAsia="Calibri"/>
          <w:noProof/>
          <w:lang w:val="fr-FR"/>
        </w:rPr>
        <w:t>a</w:t>
      </w:r>
      <w:r>
        <w:rPr>
          <w:rFonts w:eastAsia="Calibri"/>
          <w:noProof/>
          <w:lang w:val="fr-FR"/>
        </w:rPr>
        <w:t>v</w:t>
      </w:r>
      <w:r w:rsidRPr="007238C6">
        <w:rPr>
          <w:rFonts w:eastAsia="Calibri"/>
          <w:noProof/>
          <w:lang w:val="fr-FR"/>
        </w:rPr>
        <w:t>ril 2018</w:t>
      </w:r>
      <w:r>
        <w:rPr>
          <w:rFonts w:eastAsia="Calibri"/>
          <w:noProof/>
          <w:lang w:val="fr-FR"/>
        </w:rPr>
        <w:t xml:space="preserve">, le délégué a présenté à la </w:t>
      </w:r>
      <w:r w:rsidRPr="007238C6">
        <w:rPr>
          <w:rFonts w:eastAsia="Calibri"/>
          <w:noProof/>
          <w:lang w:val="fr-FR"/>
        </w:rPr>
        <w:t>Com</w:t>
      </w:r>
      <w:r>
        <w:rPr>
          <w:rFonts w:eastAsia="Calibri"/>
          <w:noProof/>
          <w:lang w:val="fr-FR"/>
        </w:rPr>
        <w:t>mission de suivi du système pénitentiaire son rapport pour l</w:t>
      </w:r>
      <w:r w:rsidR="00607CA3">
        <w:rPr>
          <w:rFonts w:eastAsia="Calibri"/>
          <w:noProof/>
          <w:lang w:val="fr-FR"/>
        </w:rPr>
        <w:t>’</w:t>
      </w:r>
      <w:r>
        <w:rPr>
          <w:rFonts w:eastAsia="Calibri"/>
          <w:noProof/>
          <w:lang w:val="fr-FR"/>
        </w:rPr>
        <w:t xml:space="preserve">année </w:t>
      </w:r>
      <w:r w:rsidRPr="007238C6">
        <w:rPr>
          <w:rFonts w:eastAsia="Calibri"/>
          <w:noProof/>
          <w:lang w:val="fr-FR"/>
        </w:rPr>
        <w:t>2017</w:t>
      </w:r>
      <w:r w:rsidRPr="00663397">
        <w:rPr>
          <w:rStyle w:val="Appelnotedebasdep"/>
        </w:rPr>
        <w:footnoteReference w:id="31"/>
      </w:r>
      <w:r>
        <w:rPr>
          <w:rFonts w:eastAsia="Calibri"/>
          <w:noProof/>
          <w:lang w:val="fr-FR"/>
        </w:rPr>
        <w:t xml:space="preserve">, où il expose </w:t>
      </w:r>
      <w:r w:rsidRPr="007238C6">
        <w:rPr>
          <w:rFonts w:eastAsia="Calibri"/>
          <w:noProof/>
          <w:lang w:val="fr-FR"/>
        </w:rPr>
        <w:t>la situa</w:t>
      </w:r>
      <w:r>
        <w:rPr>
          <w:rFonts w:eastAsia="Calibri"/>
          <w:noProof/>
          <w:lang w:val="fr-FR"/>
        </w:rPr>
        <w:t>tion des prisons au niveau national</w:t>
      </w:r>
      <w:r w:rsidRPr="007238C6">
        <w:rPr>
          <w:rFonts w:eastAsia="Calibri"/>
          <w:noProof/>
          <w:lang w:val="fr-FR"/>
        </w:rPr>
        <w:t xml:space="preserve">. </w:t>
      </w:r>
      <w:r>
        <w:rPr>
          <w:rFonts w:eastAsia="Calibri"/>
          <w:noProof/>
          <w:lang w:val="fr-FR"/>
        </w:rPr>
        <w:t>Ce rapport annuel procède à un classement des centres pénitentiaires en vue de faire le point de la situation du système, d</w:t>
      </w:r>
      <w:r w:rsidR="00607CA3">
        <w:rPr>
          <w:rFonts w:eastAsia="Calibri"/>
          <w:noProof/>
          <w:lang w:val="fr-FR"/>
        </w:rPr>
        <w:t>’</w:t>
      </w:r>
      <w:r>
        <w:rPr>
          <w:rFonts w:eastAsia="Calibri"/>
          <w:noProof/>
          <w:lang w:val="fr-FR"/>
        </w:rPr>
        <w:t>en identifier les points les plus sensibles dans l</w:t>
      </w:r>
      <w:r w:rsidR="00607CA3">
        <w:rPr>
          <w:rFonts w:eastAsia="Calibri"/>
          <w:noProof/>
          <w:lang w:val="fr-FR"/>
        </w:rPr>
        <w:t>’</w:t>
      </w:r>
      <w:r>
        <w:rPr>
          <w:rFonts w:eastAsia="Calibri"/>
          <w:noProof/>
          <w:lang w:val="fr-FR"/>
        </w:rPr>
        <w:t>optique de la protection des droits de l</w:t>
      </w:r>
      <w:r w:rsidR="00607CA3">
        <w:rPr>
          <w:rFonts w:eastAsia="Calibri"/>
          <w:noProof/>
          <w:lang w:val="fr-FR"/>
        </w:rPr>
        <w:t>’</w:t>
      </w:r>
      <w:r>
        <w:rPr>
          <w:rFonts w:eastAsia="Calibri"/>
          <w:noProof/>
          <w:lang w:val="fr-FR"/>
        </w:rPr>
        <w:t>homme et de contribuer à la mise en place d</w:t>
      </w:r>
      <w:r w:rsidR="00607CA3">
        <w:rPr>
          <w:rFonts w:eastAsia="Calibri"/>
          <w:noProof/>
          <w:lang w:val="fr-FR"/>
        </w:rPr>
        <w:t>’</w:t>
      </w:r>
      <w:r>
        <w:rPr>
          <w:rFonts w:eastAsia="Calibri"/>
          <w:noProof/>
          <w:lang w:val="fr-FR"/>
        </w:rPr>
        <w:t>actions concrètes d</w:t>
      </w:r>
      <w:r w:rsidR="00607CA3">
        <w:rPr>
          <w:rFonts w:eastAsia="Calibri"/>
          <w:noProof/>
          <w:lang w:val="fr-FR"/>
        </w:rPr>
        <w:t>’</w:t>
      </w:r>
      <w:r>
        <w:rPr>
          <w:rFonts w:eastAsia="Calibri"/>
          <w:noProof/>
          <w:lang w:val="fr-FR"/>
        </w:rPr>
        <w:t>amélioration des lieux sensibles</w:t>
      </w:r>
      <w:r w:rsidRPr="007238C6">
        <w:rPr>
          <w:rFonts w:eastAsia="Calibri"/>
          <w:noProof/>
          <w:lang w:val="fr-FR"/>
        </w:rPr>
        <w:t xml:space="preserve">. </w:t>
      </w:r>
      <w:r>
        <w:rPr>
          <w:rFonts w:eastAsia="Calibri"/>
          <w:noProof/>
          <w:lang w:val="fr-FR"/>
        </w:rPr>
        <w:t xml:space="preserve">Cette analyse amène le délégué à conclure que </w:t>
      </w:r>
      <w:r w:rsidRPr="007238C6">
        <w:rPr>
          <w:rFonts w:eastAsia="Calibri"/>
          <w:noProof/>
          <w:lang w:val="fr-FR"/>
        </w:rPr>
        <w:t>30 % de</w:t>
      </w:r>
      <w:r>
        <w:rPr>
          <w:rFonts w:eastAsia="Calibri"/>
          <w:noProof/>
          <w:lang w:val="fr-FR"/>
        </w:rPr>
        <w:t>s détenus vivent dans des conditions constitutives d</w:t>
      </w:r>
      <w:r w:rsidR="00607CA3">
        <w:rPr>
          <w:rFonts w:eastAsia="Calibri"/>
          <w:noProof/>
          <w:lang w:val="fr-FR"/>
        </w:rPr>
        <w:t>’</w:t>
      </w:r>
      <w:r>
        <w:rPr>
          <w:rFonts w:eastAsia="Calibri"/>
          <w:noProof/>
          <w:lang w:val="fr-FR"/>
        </w:rPr>
        <w:t xml:space="preserve">un « traitement </w:t>
      </w:r>
      <w:r w:rsidRPr="007238C6">
        <w:rPr>
          <w:rFonts w:eastAsia="Calibri"/>
          <w:noProof/>
          <w:lang w:val="fr-FR"/>
        </w:rPr>
        <w:t>cruel, inhuma</w:t>
      </w:r>
      <w:r>
        <w:rPr>
          <w:rFonts w:eastAsia="Calibri"/>
          <w:noProof/>
          <w:lang w:val="fr-FR"/>
        </w:rPr>
        <w:t xml:space="preserve">in ou </w:t>
      </w:r>
      <w:r w:rsidRPr="007238C6">
        <w:rPr>
          <w:rFonts w:eastAsia="Calibri"/>
          <w:noProof/>
          <w:lang w:val="fr-FR"/>
        </w:rPr>
        <w:t>d</w:t>
      </w:r>
      <w:r>
        <w:rPr>
          <w:rFonts w:eastAsia="Calibri"/>
          <w:noProof/>
          <w:lang w:val="fr-FR"/>
        </w:rPr>
        <w:t>é</w:t>
      </w:r>
      <w:r w:rsidRPr="007238C6">
        <w:rPr>
          <w:rFonts w:eastAsia="Calibri"/>
          <w:noProof/>
          <w:lang w:val="fr-FR"/>
        </w:rPr>
        <w:t>gradant</w:t>
      </w:r>
      <w:r>
        <w:rPr>
          <w:rFonts w:eastAsia="Calibri"/>
          <w:noProof/>
          <w:lang w:val="fr-FR"/>
        </w:rPr>
        <w:t> »</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167.</w:t>
      </w:r>
      <w:r w:rsidRPr="007238C6">
        <w:rPr>
          <w:rFonts w:eastAsia="Calibri"/>
          <w:noProof/>
          <w:lang w:val="fr-FR"/>
        </w:rPr>
        <w:tab/>
      </w:r>
      <w:r>
        <w:rPr>
          <w:rFonts w:eastAsia="Calibri"/>
          <w:noProof/>
          <w:lang w:val="fr-FR"/>
        </w:rPr>
        <w:t>Par ailleurs, le rapport du délégué a été analysé conjointement par la Commission de suivi et les autorités pénitentiaires nationales à la fin du mois de mai de l</w:t>
      </w:r>
      <w:r w:rsidR="00607CA3">
        <w:rPr>
          <w:rFonts w:eastAsia="Calibri"/>
          <w:noProof/>
          <w:lang w:val="fr-FR"/>
        </w:rPr>
        <w:t>’</w:t>
      </w:r>
      <w:r>
        <w:rPr>
          <w:rFonts w:eastAsia="Calibri"/>
          <w:noProof/>
          <w:lang w:val="fr-FR"/>
        </w:rPr>
        <w:t>année en cours. Le Ministère de l</w:t>
      </w:r>
      <w:r w:rsidR="00607CA3">
        <w:rPr>
          <w:rFonts w:eastAsia="Calibri"/>
          <w:noProof/>
          <w:lang w:val="fr-FR"/>
        </w:rPr>
        <w:t>’</w:t>
      </w:r>
      <w:r>
        <w:rPr>
          <w:rFonts w:eastAsia="Calibri"/>
          <w:noProof/>
          <w:lang w:val="fr-FR"/>
        </w:rPr>
        <w:t>intérieur classe le concept de traitement cruel, inhumain ou dégradant sous celui de torture</w:t>
      </w:r>
      <w:r w:rsidRPr="007238C6">
        <w:rPr>
          <w:rFonts w:eastAsia="Calibri"/>
          <w:noProof/>
          <w:lang w:val="fr-FR"/>
        </w:rPr>
        <w:t xml:space="preserve">. </w:t>
      </w:r>
      <w:r>
        <w:rPr>
          <w:rFonts w:eastAsia="Calibri"/>
          <w:noProof/>
          <w:lang w:val="fr-FR"/>
        </w:rPr>
        <w:t>À cet égard, il considère que, si certains centres pénitentiaires du pays présentent des déficiences, on ne peut pas parler, tant s</w:t>
      </w:r>
      <w:r w:rsidR="00607CA3">
        <w:rPr>
          <w:rFonts w:eastAsia="Calibri"/>
          <w:noProof/>
          <w:lang w:val="fr-FR"/>
        </w:rPr>
        <w:t>’</w:t>
      </w:r>
      <w:r>
        <w:rPr>
          <w:rFonts w:eastAsia="Calibri"/>
          <w:noProof/>
          <w:lang w:val="fr-FR"/>
        </w:rPr>
        <w:t xml:space="preserve">en faut, de torture ou de traitements </w:t>
      </w:r>
      <w:r w:rsidRPr="007238C6">
        <w:rPr>
          <w:rFonts w:eastAsia="Calibri"/>
          <w:noProof/>
          <w:lang w:val="fr-FR"/>
        </w:rPr>
        <w:t>cruel</w:t>
      </w:r>
      <w:r>
        <w:rPr>
          <w:rFonts w:eastAsia="Calibri"/>
          <w:noProof/>
          <w:lang w:val="fr-FR"/>
        </w:rPr>
        <w:t>s</w:t>
      </w:r>
      <w:r w:rsidRPr="007238C6">
        <w:rPr>
          <w:rFonts w:eastAsia="Calibri"/>
          <w:noProof/>
          <w:lang w:val="fr-FR"/>
        </w:rPr>
        <w:t>, inhuma</w:t>
      </w:r>
      <w:r>
        <w:rPr>
          <w:rFonts w:eastAsia="Calibri"/>
          <w:noProof/>
          <w:lang w:val="fr-FR"/>
        </w:rPr>
        <w:t xml:space="preserve">ins ou </w:t>
      </w:r>
      <w:r w:rsidRPr="007238C6">
        <w:rPr>
          <w:rFonts w:eastAsia="Calibri"/>
          <w:noProof/>
          <w:lang w:val="fr-FR"/>
        </w:rPr>
        <w:t>d</w:t>
      </w:r>
      <w:r>
        <w:rPr>
          <w:rFonts w:eastAsia="Calibri"/>
          <w:noProof/>
          <w:lang w:val="fr-FR"/>
        </w:rPr>
        <w:t>é</w:t>
      </w:r>
      <w:r w:rsidRPr="007238C6">
        <w:rPr>
          <w:rFonts w:eastAsia="Calibri"/>
          <w:noProof/>
          <w:lang w:val="fr-FR"/>
        </w:rPr>
        <w:t>gradant</w:t>
      </w:r>
      <w:r>
        <w:rPr>
          <w:rFonts w:eastAsia="Calibri"/>
          <w:noProof/>
          <w:lang w:val="fr-FR"/>
        </w:rPr>
        <w:t>s</w:t>
      </w:r>
      <w:r w:rsidRPr="007238C6">
        <w:rPr>
          <w:rFonts w:eastAsia="Calibri"/>
          <w:noProof/>
          <w:lang w:val="fr-FR"/>
        </w:rPr>
        <w:t>. L</w:t>
      </w:r>
      <w:r>
        <w:rPr>
          <w:rFonts w:eastAsia="Calibri"/>
          <w:noProof/>
          <w:lang w:val="fr-FR"/>
        </w:rPr>
        <w:t>e</w:t>
      </w:r>
      <w:r w:rsidRPr="007238C6">
        <w:rPr>
          <w:rFonts w:eastAsia="Calibri"/>
          <w:noProof/>
          <w:lang w:val="fr-FR"/>
        </w:rPr>
        <w:t>s pol</w:t>
      </w:r>
      <w:r>
        <w:rPr>
          <w:rFonts w:eastAsia="Calibri"/>
          <w:noProof/>
          <w:lang w:val="fr-FR"/>
        </w:rPr>
        <w:t xml:space="preserve">itiques de traitement des personnes privées de liberté </w:t>
      </w:r>
      <w:r w:rsidRPr="007238C6">
        <w:rPr>
          <w:rFonts w:eastAsia="Calibri"/>
          <w:noProof/>
          <w:lang w:val="fr-FR"/>
        </w:rPr>
        <w:t>s</w:t>
      </w:r>
      <w:r>
        <w:rPr>
          <w:rFonts w:eastAsia="Calibri"/>
          <w:noProof/>
          <w:lang w:val="fr-FR"/>
        </w:rPr>
        <w:t xml:space="preserve">ont conformes aux </w:t>
      </w:r>
      <w:r w:rsidRPr="007238C6">
        <w:rPr>
          <w:rFonts w:eastAsia="Calibri"/>
          <w:noProof/>
          <w:lang w:val="fr-FR"/>
        </w:rPr>
        <w:t>norm</w:t>
      </w:r>
      <w:r>
        <w:rPr>
          <w:rFonts w:eastAsia="Calibri"/>
          <w:noProof/>
          <w:lang w:val="fr-FR"/>
        </w:rPr>
        <w:t>e</w:t>
      </w:r>
      <w:r w:rsidRPr="007238C6">
        <w:rPr>
          <w:rFonts w:eastAsia="Calibri"/>
          <w:noProof/>
          <w:lang w:val="fr-FR"/>
        </w:rPr>
        <w:t>s interna</w:t>
      </w:r>
      <w:r>
        <w:rPr>
          <w:rFonts w:eastAsia="Calibri"/>
          <w:noProof/>
          <w:lang w:val="fr-FR"/>
        </w:rPr>
        <w:t>t</w:t>
      </w:r>
      <w:r w:rsidRPr="007238C6">
        <w:rPr>
          <w:rFonts w:eastAsia="Calibri"/>
          <w:noProof/>
          <w:lang w:val="fr-FR"/>
        </w:rPr>
        <w:t xml:space="preserve">ionales </w:t>
      </w:r>
      <w:r>
        <w:rPr>
          <w:rFonts w:eastAsia="Calibri"/>
          <w:noProof/>
          <w:lang w:val="fr-FR"/>
        </w:rPr>
        <w:t>et aucun effort n</w:t>
      </w:r>
      <w:r w:rsidR="00607CA3">
        <w:rPr>
          <w:rFonts w:eastAsia="Calibri"/>
          <w:noProof/>
          <w:lang w:val="fr-FR"/>
        </w:rPr>
        <w:t>’</w:t>
      </w:r>
      <w:r>
        <w:rPr>
          <w:rFonts w:eastAsia="Calibri"/>
          <w:noProof/>
          <w:lang w:val="fr-FR"/>
        </w:rPr>
        <w:t>est épargné pour appliquer avec la plus grande rigueur les instruments internationaux relatifs aux droits de l</w:t>
      </w:r>
      <w:r w:rsidR="00607CA3">
        <w:rPr>
          <w:rFonts w:eastAsia="Calibri"/>
          <w:noProof/>
          <w:lang w:val="fr-FR"/>
        </w:rPr>
        <w:t>’</w:t>
      </w:r>
      <w:r>
        <w:rPr>
          <w:rFonts w:eastAsia="Calibri"/>
          <w:noProof/>
          <w:lang w:val="fr-FR"/>
        </w:rPr>
        <w:t>homme auxquels l</w:t>
      </w:r>
      <w:r w:rsidR="00607CA3">
        <w:rPr>
          <w:rFonts w:eastAsia="Calibri"/>
          <w:noProof/>
          <w:lang w:val="fr-FR"/>
        </w:rPr>
        <w:t>’</w:t>
      </w:r>
      <w:r w:rsidRPr="007238C6">
        <w:rPr>
          <w:rFonts w:eastAsia="Calibri"/>
          <w:noProof/>
          <w:lang w:val="fr-FR"/>
        </w:rPr>
        <w:t>Uruguay es</w:t>
      </w:r>
      <w:r>
        <w:rPr>
          <w:rFonts w:eastAsia="Calibri"/>
          <w:noProof/>
          <w:lang w:val="fr-FR"/>
        </w:rPr>
        <w:t>t</w:t>
      </w:r>
      <w:r w:rsidRPr="007238C6">
        <w:rPr>
          <w:rFonts w:eastAsia="Calibri"/>
          <w:noProof/>
          <w:lang w:val="fr-FR"/>
        </w:rPr>
        <w:t xml:space="preserve"> part</w:t>
      </w:r>
      <w:r>
        <w:rPr>
          <w:rFonts w:eastAsia="Calibri"/>
          <w:noProof/>
          <w:lang w:val="fr-FR"/>
        </w:rPr>
        <w:t>i</w:t>
      </w:r>
      <w:r w:rsidRPr="007238C6">
        <w:rPr>
          <w:rFonts w:eastAsia="Calibri"/>
          <w:noProof/>
          <w:lang w:val="fr-FR"/>
        </w:rPr>
        <w:t xml:space="preserve">e. </w:t>
      </w:r>
      <w:r>
        <w:rPr>
          <w:rFonts w:eastAsia="Calibri"/>
          <w:noProof/>
          <w:lang w:val="fr-FR"/>
        </w:rPr>
        <w:t>Il n</w:t>
      </w:r>
      <w:r w:rsidR="00607CA3">
        <w:rPr>
          <w:rFonts w:eastAsia="Calibri"/>
          <w:noProof/>
          <w:lang w:val="fr-FR"/>
        </w:rPr>
        <w:t>’</w:t>
      </w:r>
      <w:r>
        <w:rPr>
          <w:rFonts w:eastAsia="Calibri"/>
          <w:noProof/>
          <w:lang w:val="fr-FR"/>
        </w:rPr>
        <w:t>est pas question pour autant de ne pas reconnaître que, dans certains centres, il existe des espaces où les conditions de vie sont inadéquates : c</w:t>
      </w:r>
      <w:r w:rsidR="00607CA3">
        <w:rPr>
          <w:rFonts w:eastAsia="Calibri"/>
          <w:noProof/>
          <w:lang w:val="fr-FR"/>
        </w:rPr>
        <w:t>’</w:t>
      </w:r>
      <w:r>
        <w:rPr>
          <w:rFonts w:eastAsia="Calibri"/>
          <w:noProof/>
          <w:lang w:val="fr-FR"/>
        </w:rPr>
        <w:t>est la raison pour laquelle l</w:t>
      </w:r>
      <w:r w:rsidR="00607CA3">
        <w:rPr>
          <w:rFonts w:eastAsia="Calibri"/>
          <w:noProof/>
          <w:lang w:val="fr-FR"/>
        </w:rPr>
        <w:t>’</w:t>
      </w:r>
      <w:r>
        <w:rPr>
          <w:rFonts w:eastAsia="Calibri"/>
          <w:noProof/>
          <w:lang w:val="fr-FR"/>
        </w:rPr>
        <w:t>on a construit et aménagé de nouveaux lieux de détention et multiplié les possibilités de prise en charge socioéducative, dans la mesure où les ressources existantes l</w:t>
      </w:r>
      <w:r w:rsidR="00607CA3">
        <w:rPr>
          <w:rFonts w:eastAsia="Calibri"/>
          <w:noProof/>
          <w:lang w:val="fr-FR"/>
        </w:rPr>
        <w:t>’</w:t>
      </w:r>
      <w:r>
        <w:rPr>
          <w:rFonts w:eastAsia="Calibri"/>
          <w:noProof/>
          <w:lang w:val="fr-FR"/>
        </w:rPr>
        <w:t>ont permis. Les situations sont diverses, tout comme les besoins des détenus</w:t>
      </w:r>
      <w:r w:rsidRPr="007238C6">
        <w:rPr>
          <w:rFonts w:eastAsia="Calibri"/>
          <w:noProof/>
          <w:lang w:val="fr-FR"/>
        </w:rPr>
        <w:t xml:space="preserve">. </w:t>
      </w:r>
      <w:r>
        <w:rPr>
          <w:rFonts w:eastAsia="Calibri"/>
          <w:noProof/>
          <w:lang w:val="fr-FR"/>
        </w:rPr>
        <w:t>On analyse chaque cas afin d</w:t>
      </w:r>
      <w:r w:rsidR="00607CA3">
        <w:rPr>
          <w:rFonts w:eastAsia="Calibri"/>
          <w:noProof/>
          <w:lang w:val="fr-FR"/>
        </w:rPr>
        <w:t>’</w:t>
      </w:r>
      <w:r>
        <w:rPr>
          <w:rFonts w:eastAsia="Calibri"/>
          <w:noProof/>
          <w:lang w:val="fr-FR"/>
        </w:rPr>
        <w:t xml:space="preserve">évaluer les améliorations qui pourraient être apportées, avec les ressources disponibles, aux conditions existant sur les plans éducatif et professionnel et sur celui de la cohabitation. </w:t>
      </w:r>
    </w:p>
    <w:p w:rsidR="00596826" w:rsidRPr="007238C6" w:rsidRDefault="00596826" w:rsidP="00596826">
      <w:pPr>
        <w:pStyle w:val="SingleTxtG"/>
        <w:rPr>
          <w:rFonts w:eastAsia="Calibri"/>
          <w:noProof/>
          <w:lang w:val="fr-FR"/>
        </w:rPr>
      </w:pPr>
      <w:r w:rsidRPr="007238C6">
        <w:rPr>
          <w:rFonts w:eastAsia="Calibri"/>
          <w:noProof/>
          <w:lang w:val="fr-FR"/>
        </w:rPr>
        <w:t>168.</w:t>
      </w:r>
      <w:r w:rsidRPr="007238C6">
        <w:rPr>
          <w:rFonts w:eastAsia="Calibri"/>
          <w:noProof/>
          <w:lang w:val="fr-FR"/>
        </w:rPr>
        <w:tab/>
      </w:r>
      <w:r w:rsidRPr="00D23F05">
        <w:rPr>
          <w:noProof/>
          <w:lang w:val="fr-FR"/>
        </w:rPr>
        <w:t xml:space="preserve">En vertu de la 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noProof/>
          <w:lang w:val="fr-FR"/>
        </w:rPr>
        <w:t> </w:t>
      </w:r>
      <w:r w:rsidRPr="00D23F05">
        <w:rPr>
          <w:noProof/>
          <w:lang w:val="fr-FR"/>
        </w:rPr>
        <w:t xml:space="preserve">19355 de décembre 2015, on a créé une équipe spéciale des violations graves des </w:t>
      </w:r>
      <w:r>
        <w:rPr>
          <w:noProof/>
          <w:lang w:val="fr-FR"/>
        </w:rPr>
        <w:t>droits de l</w:t>
      </w:r>
      <w:r w:rsidR="00607CA3">
        <w:rPr>
          <w:noProof/>
          <w:lang w:val="fr-FR"/>
        </w:rPr>
        <w:t>’</w:t>
      </w:r>
      <w:r>
        <w:rPr>
          <w:noProof/>
          <w:lang w:val="fr-FR"/>
        </w:rPr>
        <w:t>homme</w:t>
      </w:r>
      <w:r w:rsidRPr="00D23F05">
        <w:rPr>
          <w:noProof/>
          <w:lang w:val="fr-FR"/>
        </w:rPr>
        <w:t xml:space="preserve"> au sein de la Direction des affaires internes du Ministère de l</w:t>
      </w:r>
      <w:r w:rsidR="00607CA3">
        <w:rPr>
          <w:noProof/>
          <w:lang w:val="fr-FR"/>
        </w:rPr>
        <w:t>’</w:t>
      </w:r>
      <w:r w:rsidRPr="00D23F05">
        <w:rPr>
          <w:noProof/>
          <w:lang w:val="fr-FR"/>
        </w:rPr>
        <w:t xml:space="preserve">intérieur. Elle collabore directement avec les fonctionnaires du pouvoir judiciaire et le Bureau du Procureur général de la </w:t>
      </w:r>
      <w:r>
        <w:rPr>
          <w:noProof/>
          <w:lang w:val="fr-FR"/>
        </w:rPr>
        <w:t>N</w:t>
      </w:r>
      <w:r w:rsidRPr="00D23F05">
        <w:rPr>
          <w:noProof/>
          <w:lang w:val="fr-FR"/>
        </w:rPr>
        <w:t>ation</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169.</w:t>
      </w:r>
      <w:r w:rsidRPr="007238C6">
        <w:rPr>
          <w:rFonts w:eastAsia="Calibri"/>
          <w:noProof/>
          <w:lang w:val="fr-FR"/>
        </w:rPr>
        <w:tab/>
      </w:r>
      <w:r w:rsidRPr="00AD5268">
        <w:rPr>
          <w:noProof/>
          <w:lang w:val="fr-FR"/>
        </w:rPr>
        <w:t xml:space="preserve">En vertu de la 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noProof/>
          <w:lang w:val="fr-FR"/>
        </w:rPr>
        <w:t> </w:t>
      </w:r>
      <w:r w:rsidRPr="00AD5268">
        <w:rPr>
          <w:noProof/>
          <w:lang w:val="fr-FR"/>
        </w:rPr>
        <w:t>19550 d</w:t>
      </w:r>
      <w:r w:rsidR="00607CA3">
        <w:rPr>
          <w:noProof/>
          <w:lang w:val="fr-FR"/>
        </w:rPr>
        <w:t>’</w:t>
      </w:r>
      <w:r w:rsidRPr="00AD5268">
        <w:rPr>
          <w:noProof/>
          <w:lang w:val="fr-FR"/>
        </w:rPr>
        <w:t>octobre 2017, le Bureau du Procureur général de la Nation a pu transformer un service juridique national en service juridique spécialisé chargé des crimes contre l</w:t>
      </w:r>
      <w:r w:rsidR="00607CA3">
        <w:rPr>
          <w:noProof/>
          <w:lang w:val="fr-FR"/>
        </w:rPr>
        <w:t>’</w:t>
      </w:r>
      <w:r w:rsidRPr="00AD5268">
        <w:rPr>
          <w:noProof/>
          <w:lang w:val="fr-FR"/>
        </w:rPr>
        <w:t>humanité</w:t>
      </w:r>
      <w:r w:rsidRPr="00663397">
        <w:rPr>
          <w:rStyle w:val="Appelnotedebasdep"/>
        </w:rPr>
        <w:footnoteReference w:id="32"/>
      </w:r>
      <w:r w:rsidRPr="00AD5268">
        <w:rPr>
          <w:rFonts w:eastAsia="Calibri"/>
          <w:noProof/>
          <w:lang w:val="fr-FR"/>
        </w:rPr>
        <w:t>. C</w:t>
      </w:r>
      <w:r w:rsidRPr="00AD5268">
        <w:rPr>
          <w:noProof/>
          <w:lang w:val="fr-FR"/>
        </w:rPr>
        <w:t xml:space="preserve">onformément à la décision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noProof/>
          <w:lang w:val="fr-FR"/>
        </w:rPr>
        <w:t> </w:t>
      </w:r>
      <w:r w:rsidRPr="00AD5268">
        <w:rPr>
          <w:noProof/>
          <w:lang w:val="fr-FR"/>
        </w:rPr>
        <w:t>075/2018</w:t>
      </w:r>
      <w:r w:rsidRPr="00AD5268">
        <w:rPr>
          <w:rFonts w:eastAsia="Calibri"/>
          <w:noProof/>
          <w:lang w:val="fr-FR"/>
        </w:rPr>
        <w:t xml:space="preserve"> de février 2018, </w:t>
      </w:r>
      <w:r w:rsidRPr="00AD5268">
        <w:rPr>
          <w:noProof/>
          <w:lang w:val="fr-FR"/>
        </w:rPr>
        <w:t>le service juridique de la vingt-cinquième juridiction de Montevideo a été transformé en service juridique spécialisé chargé des crimes contre l</w:t>
      </w:r>
      <w:r w:rsidR="00607CA3">
        <w:rPr>
          <w:noProof/>
          <w:lang w:val="fr-FR"/>
        </w:rPr>
        <w:t>’</w:t>
      </w:r>
      <w:r w:rsidRPr="00AD5268">
        <w:rPr>
          <w:noProof/>
          <w:lang w:val="fr-FR"/>
        </w:rPr>
        <w:t>humanité et une équipe a été mise en place en son sein</w:t>
      </w:r>
      <w:r w:rsidRPr="007238C6">
        <w:rPr>
          <w:rFonts w:eastAsia="Calibri"/>
          <w:noProof/>
          <w:lang w:val="fr-FR"/>
        </w:rPr>
        <w:t xml:space="preserve"> </w:t>
      </w:r>
      <w:r>
        <w:rPr>
          <w:rFonts w:eastAsia="Calibri"/>
          <w:noProof/>
          <w:lang w:val="fr-FR"/>
        </w:rPr>
        <w:t>pour connaître au niveau national des violations des droits de l</w:t>
      </w:r>
      <w:r w:rsidR="00607CA3">
        <w:rPr>
          <w:rFonts w:eastAsia="Calibri"/>
          <w:noProof/>
          <w:lang w:val="fr-FR"/>
        </w:rPr>
        <w:t>’</w:t>
      </w:r>
      <w:r>
        <w:rPr>
          <w:rFonts w:eastAsia="Calibri"/>
          <w:noProof/>
          <w:lang w:val="fr-FR"/>
        </w:rPr>
        <w:t xml:space="preserve">homme commises pendant la période indiquée dans la loi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sidRPr="007238C6">
        <w:rPr>
          <w:rFonts w:eastAsia="Calibri"/>
          <w:noProof/>
          <w:lang w:val="fr-FR"/>
        </w:rPr>
        <w:t>18596</w:t>
      </w:r>
      <w:r w:rsidRPr="00663397">
        <w:rPr>
          <w:rStyle w:val="Appelnotedebasdep"/>
        </w:rPr>
        <w:footnoteReference w:id="33"/>
      </w:r>
      <w:r w:rsidRPr="007238C6">
        <w:rPr>
          <w:rFonts w:eastAsia="Calibri"/>
          <w:noProof/>
          <w:lang w:val="fr-FR"/>
        </w:rPr>
        <w:t xml:space="preserve"> (</w:t>
      </w:r>
      <w:r>
        <w:rPr>
          <w:rFonts w:eastAsia="Calibri"/>
          <w:noProof/>
          <w:lang w:val="fr-FR"/>
        </w:rPr>
        <w:t xml:space="preserve">entre </w:t>
      </w:r>
      <w:r w:rsidRPr="007238C6">
        <w:rPr>
          <w:rFonts w:eastAsia="Calibri"/>
          <w:noProof/>
          <w:lang w:val="fr-FR"/>
        </w:rPr>
        <w:t>1</w:t>
      </w:r>
      <w:r w:rsidRPr="00AD5268">
        <w:rPr>
          <w:rFonts w:eastAsia="Calibri"/>
          <w:noProof/>
          <w:vertAlign w:val="superscript"/>
          <w:lang w:val="fr-FR"/>
        </w:rPr>
        <w:t>er</w:t>
      </w:r>
      <w:r w:rsidR="00663397">
        <w:rPr>
          <w:rFonts w:eastAsia="Calibri"/>
          <w:noProof/>
          <w:lang w:val="fr-FR"/>
        </w:rPr>
        <w:t> </w:t>
      </w:r>
      <w:r>
        <w:rPr>
          <w:rFonts w:eastAsia="Calibri"/>
          <w:noProof/>
          <w:lang w:val="fr-FR"/>
        </w:rPr>
        <w:t xml:space="preserve">juin </w:t>
      </w:r>
      <w:r w:rsidRPr="007238C6">
        <w:rPr>
          <w:rFonts w:eastAsia="Calibri"/>
          <w:noProof/>
          <w:lang w:val="fr-FR"/>
        </w:rPr>
        <w:t xml:space="preserve">1968 </w:t>
      </w:r>
      <w:r>
        <w:rPr>
          <w:rFonts w:eastAsia="Calibri"/>
          <w:noProof/>
          <w:lang w:val="fr-FR"/>
        </w:rPr>
        <w:t xml:space="preserve">et le </w:t>
      </w:r>
      <w:r w:rsidRPr="007238C6">
        <w:rPr>
          <w:rFonts w:eastAsia="Calibri"/>
          <w:noProof/>
          <w:lang w:val="fr-FR"/>
        </w:rPr>
        <w:t>28</w:t>
      </w:r>
      <w:r w:rsidR="00663397">
        <w:rPr>
          <w:rFonts w:eastAsia="Calibri"/>
          <w:noProof/>
          <w:lang w:val="fr-FR"/>
        </w:rPr>
        <w:t> </w:t>
      </w:r>
      <w:r w:rsidRPr="007238C6">
        <w:rPr>
          <w:rFonts w:eastAsia="Calibri"/>
          <w:noProof/>
          <w:lang w:val="fr-FR"/>
        </w:rPr>
        <w:t>f</w:t>
      </w:r>
      <w:r>
        <w:rPr>
          <w:rFonts w:eastAsia="Calibri"/>
          <w:noProof/>
          <w:lang w:val="fr-FR"/>
        </w:rPr>
        <w:t xml:space="preserve">évrier </w:t>
      </w:r>
      <w:r w:rsidRPr="007238C6">
        <w:rPr>
          <w:rFonts w:eastAsia="Calibri"/>
          <w:noProof/>
          <w:lang w:val="fr-FR"/>
        </w:rPr>
        <w:t xml:space="preserve">1985). </w:t>
      </w:r>
      <w:r w:rsidRPr="00411326">
        <w:t xml:space="preserve">Ce </w:t>
      </w:r>
      <w:r w:rsidRPr="00AD5268">
        <w:rPr>
          <w:noProof/>
          <w:lang w:val="fr-FR"/>
        </w:rPr>
        <w:t>service juridique spécialisé chargé des crimes contre l</w:t>
      </w:r>
      <w:r w:rsidR="00607CA3">
        <w:rPr>
          <w:noProof/>
          <w:lang w:val="fr-FR"/>
        </w:rPr>
        <w:t>’</w:t>
      </w:r>
      <w:r w:rsidRPr="00AD5268">
        <w:rPr>
          <w:noProof/>
          <w:lang w:val="fr-FR"/>
        </w:rPr>
        <w:t>humanité</w:t>
      </w:r>
      <w:r w:rsidRPr="00411326">
        <w:t xml:space="preserve"> </w:t>
      </w:r>
      <w:r w:rsidRPr="00675859">
        <w:rPr>
          <w:noProof/>
          <w:lang w:val="fr-FR"/>
        </w:rPr>
        <w:t>prévoit qu</w:t>
      </w:r>
      <w:r w:rsidR="00607CA3">
        <w:rPr>
          <w:noProof/>
          <w:lang w:val="fr-FR"/>
        </w:rPr>
        <w:t>’</w:t>
      </w:r>
      <w:r w:rsidRPr="00675859">
        <w:rPr>
          <w:noProof/>
          <w:lang w:val="fr-FR"/>
        </w:rPr>
        <w:t>une recherche complète sera effectuée dans le cadre d</w:t>
      </w:r>
      <w:r w:rsidR="00607CA3">
        <w:rPr>
          <w:noProof/>
          <w:lang w:val="fr-FR"/>
        </w:rPr>
        <w:t>’</w:t>
      </w:r>
      <w:r w:rsidRPr="00675859">
        <w:rPr>
          <w:noProof/>
          <w:lang w:val="fr-FR"/>
        </w:rPr>
        <w:t>une enquête sérieuse et spécialisée qui permettra de sanctionner les responsables et de fournir des réparations à leurs victimes de sorte que la justice soit rendue et que la vérité soit établie afin de contribuer à la reconstruction de la société grâce à l</w:t>
      </w:r>
      <w:r w:rsidR="00607CA3">
        <w:rPr>
          <w:noProof/>
          <w:lang w:val="fr-FR"/>
        </w:rPr>
        <w:t>’</w:t>
      </w:r>
      <w:r w:rsidRPr="00675859">
        <w:rPr>
          <w:noProof/>
          <w:lang w:val="fr-FR"/>
        </w:rPr>
        <w:t>établissement de mécanismes institutionnels qui garantissent la non-répétition d</w:t>
      </w:r>
      <w:r w:rsidR="00607CA3">
        <w:rPr>
          <w:noProof/>
          <w:lang w:val="fr-FR"/>
        </w:rPr>
        <w:t>’</w:t>
      </w:r>
      <w:r w:rsidRPr="00675859">
        <w:rPr>
          <w:noProof/>
          <w:lang w:val="fr-FR"/>
        </w:rPr>
        <w:t>actes de ce type</w:t>
      </w:r>
      <w:r w:rsidRPr="00675859">
        <w:rPr>
          <w:rFonts w:eastAsia="Calibri"/>
          <w:noProof/>
          <w:lang w:val="fr-FR"/>
        </w:rPr>
        <w:t>.</w:t>
      </w:r>
      <w:r w:rsidRPr="007238C6">
        <w:rPr>
          <w:rFonts w:eastAsia="Calibri"/>
          <w:noProof/>
          <w:lang w:val="fr-FR"/>
        </w:rPr>
        <w:t xml:space="preserve"> P</w:t>
      </w:r>
      <w:r>
        <w:rPr>
          <w:rFonts w:eastAsia="Calibri"/>
          <w:noProof/>
          <w:lang w:val="fr-FR"/>
        </w:rPr>
        <w:t>our pouvoir régler de manière efficace et dans un délai raisonnable ces affaires, ce service spécialisé doté d</w:t>
      </w:r>
      <w:r w:rsidR="00607CA3">
        <w:rPr>
          <w:rFonts w:eastAsia="Calibri"/>
          <w:noProof/>
          <w:lang w:val="fr-FR"/>
        </w:rPr>
        <w:t>’</w:t>
      </w:r>
      <w:r>
        <w:rPr>
          <w:rFonts w:eastAsia="Calibri"/>
          <w:noProof/>
          <w:lang w:val="fr-FR"/>
        </w:rPr>
        <w:t xml:space="preserve">un personnel hautement qualifié </w:t>
      </w:r>
      <w:r w:rsidRPr="007238C6">
        <w:rPr>
          <w:rFonts w:eastAsia="Calibri"/>
          <w:noProof/>
          <w:lang w:val="fr-FR"/>
        </w:rPr>
        <w:t xml:space="preserve">se </w:t>
      </w:r>
      <w:r>
        <w:rPr>
          <w:rFonts w:eastAsia="Calibri"/>
          <w:noProof/>
          <w:lang w:val="fr-FR"/>
        </w:rPr>
        <w:t xml:space="preserve">concentrera sur les affaires en cours ou nouvellement </w:t>
      </w:r>
      <w:r>
        <w:rPr>
          <w:rFonts w:eastAsia="Calibri"/>
          <w:noProof/>
          <w:lang w:val="fr-FR"/>
        </w:rPr>
        <w:lastRenderedPageBreak/>
        <w:t>engagées à travers le pays, ce qui permettra de centraliser et d</w:t>
      </w:r>
      <w:r w:rsidR="00607CA3">
        <w:rPr>
          <w:rFonts w:eastAsia="Calibri"/>
          <w:noProof/>
          <w:lang w:val="fr-FR"/>
        </w:rPr>
        <w:t>’</w:t>
      </w:r>
      <w:r>
        <w:rPr>
          <w:rFonts w:eastAsia="Calibri"/>
          <w:noProof/>
          <w:lang w:val="fr-FR"/>
        </w:rPr>
        <w:t>harmoniser les critères d</w:t>
      </w:r>
      <w:r w:rsidR="00607CA3">
        <w:rPr>
          <w:rFonts w:eastAsia="Calibri"/>
          <w:noProof/>
          <w:lang w:val="fr-FR"/>
        </w:rPr>
        <w:t>’</w:t>
      </w:r>
      <w:r>
        <w:rPr>
          <w:rFonts w:eastAsia="Calibri"/>
          <w:noProof/>
          <w:lang w:val="fr-FR"/>
        </w:rPr>
        <w:t>intervention dans le domaine judiciaire</w:t>
      </w:r>
      <w:r w:rsidRPr="007238C6">
        <w:rPr>
          <w:rFonts w:eastAsia="Calibri"/>
          <w:noProof/>
          <w:lang w:val="fr-FR"/>
        </w:rPr>
        <w:t>.</w:t>
      </w:r>
    </w:p>
    <w:p w:rsidR="00596826" w:rsidRPr="007238C6" w:rsidRDefault="00596826" w:rsidP="00596826">
      <w:pPr>
        <w:pStyle w:val="SingleTxtG"/>
        <w:rPr>
          <w:noProof/>
          <w:lang w:val="fr-FR"/>
        </w:rPr>
      </w:pPr>
      <w:r>
        <w:rPr>
          <w:iCs/>
          <w:noProof/>
          <w:lang w:val="fr-FR"/>
        </w:rPr>
        <w:t>170.</w:t>
      </w:r>
      <w:r>
        <w:rPr>
          <w:iCs/>
          <w:noProof/>
          <w:lang w:val="fr-FR"/>
        </w:rPr>
        <w:tab/>
        <w:t xml:space="preserve">En </w:t>
      </w:r>
      <w:r w:rsidRPr="007238C6">
        <w:rPr>
          <w:iCs/>
          <w:noProof/>
          <w:lang w:val="fr-FR"/>
        </w:rPr>
        <w:t>a</w:t>
      </w:r>
      <w:r>
        <w:rPr>
          <w:iCs/>
          <w:noProof/>
          <w:lang w:val="fr-FR"/>
        </w:rPr>
        <w:t>v</w:t>
      </w:r>
      <w:r w:rsidRPr="007238C6">
        <w:rPr>
          <w:iCs/>
          <w:noProof/>
          <w:lang w:val="fr-FR"/>
        </w:rPr>
        <w:t xml:space="preserve">ril </w:t>
      </w:r>
      <w:r>
        <w:rPr>
          <w:iCs/>
          <w:noProof/>
          <w:lang w:val="fr-FR"/>
        </w:rPr>
        <w:t xml:space="preserve">et mai </w:t>
      </w:r>
      <w:r w:rsidRPr="007238C6">
        <w:rPr>
          <w:iCs/>
          <w:noProof/>
          <w:lang w:val="fr-FR"/>
        </w:rPr>
        <w:t xml:space="preserve">2018, </w:t>
      </w:r>
      <w:r>
        <w:rPr>
          <w:iCs/>
          <w:noProof/>
          <w:lang w:val="fr-FR"/>
        </w:rPr>
        <w:t>le procureur chargé de leur dossier a requis l</w:t>
      </w:r>
      <w:r w:rsidR="00607CA3">
        <w:rPr>
          <w:iCs/>
          <w:noProof/>
          <w:lang w:val="fr-FR"/>
        </w:rPr>
        <w:t>’</w:t>
      </w:r>
      <w:r>
        <w:rPr>
          <w:iCs/>
          <w:noProof/>
          <w:lang w:val="fr-FR"/>
        </w:rPr>
        <w:t>inculpation des personnes suivantes :</w:t>
      </w:r>
      <w:r w:rsidRPr="007238C6">
        <w:rPr>
          <w:iCs/>
          <w:noProof/>
          <w:lang w:val="fr-FR"/>
        </w:rPr>
        <w:t xml:space="preserve"> </w:t>
      </w:r>
      <w:r w:rsidR="00691AD9">
        <w:rPr>
          <w:iCs/>
          <w:noProof/>
          <w:lang w:val="fr-FR"/>
        </w:rPr>
        <w:t>4</w:t>
      </w:r>
      <w:r>
        <w:rPr>
          <w:iCs/>
          <w:noProof/>
          <w:lang w:val="fr-FR"/>
        </w:rPr>
        <w:t xml:space="preserve"> militaires à la retraite en tant qu</w:t>
      </w:r>
      <w:r w:rsidR="00607CA3">
        <w:rPr>
          <w:iCs/>
          <w:noProof/>
          <w:lang w:val="fr-FR"/>
        </w:rPr>
        <w:t>’</w:t>
      </w:r>
      <w:r>
        <w:rPr>
          <w:iCs/>
          <w:noProof/>
          <w:lang w:val="fr-FR"/>
        </w:rPr>
        <w:t>auteurs en concours d</w:t>
      </w:r>
      <w:r w:rsidR="00607CA3">
        <w:rPr>
          <w:iCs/>
          <w:noProof/>
          <w:lang w:val="fr-FR"/>
        </w:rPr>
        <w:t>’</w:t>
      </w:r>
      <w:r>
        <w:rPr>
          <w:iCs/>
          <w:noProof/>
          <w:lang w:val="fr-FR"/>
        </w:rPr>
        <w:t>infractions de privation de liberté et de mauvais traitements</w:t>
      </w:r>
      <w:r w:rsidRPr="007238C6">
        <w:rPr>
          <w:noProof/>
          <w:shd w:val="clear" w:color="auto" w:fill="FFFFFF"/>
          <w:lang w:val="fr-FR"/>
        </w:rPr>
        <w:t xml:space="preserve"> </w:t>
      </w:r>
      <w:r>
        <w:rPr>
          <w:noProof/>
          <w:shd w:val="clear" w:color="auto" w:fill="FFFFFF"/>
          <w:lang w:val="fr-FR"/>
        </w:rPr>
        <w:t>sans cumul avec des infractions de mauvais traitements à l</w:t>
      </w:r>
      <w:r w:rsidR="00607CA3">
        <w:rPr>
          <w:noProof/>
          <w:shd w:val="clear" w:color="auto" w:fill="FFFFFF"/>
          <w:lang w:val="fr-FR"/>
        </w:rPr>
        <w:t>’</w:t>
      </w:r>
      <w:r>
        <w:rPr>
          <w:noProof/>
          <w:shd w:val="clear" w:color="auto" w:fill="FFFFFF"/>
          <w:lang w:val="fr-FR"/>
        </w:rPr>
        <w:t xml:space="preserve">égard de personnes détenues en </w:t>
      </w:r>
      <w:r w:rsidRPr="007238C6">
        <w:rPr>
          <w:noProof/>
          <w:shd w:val="clear" w:color="auto" w:fill="FFFFFF"/>
          <w:lang w:val="fr-FR"/>
        </w:rPr>
        <w:t>novembre 1978</w:t>
      </w:r>
      <w:r w:rsidRPr="00663397">
        <w:rPr>
          <w:rStyle w:val="Appelnotedebasdep"/>
        </w:rPr>
        <w:footnoteReference w:id="34"/>
      </w:r>
      <w:r w:rsidR="00663397">
        <w:rPr>
          <w:noProof/>
          <w:shd w:val="clear" w:color="auto" w:fill="FFFFFF"/>
          <w:lang w:val="fr-FR"/>
        </w:rPr>
        <w:t> </w:t>
      </w:r>
      <w:r w:rsidRPr="007238C6">
        <w:rPr>
          <w:iCs/>
          <w:noProof/>
          <w:lang w:val="fr-FR"/>
        </w:rPr>
        <w:t xml:space="preserve">; </w:t>
      </w:r>
      <w:r w:rsidR="00691AD9">
        <w:rPr>
          <w:iCs/>
          <w:noProof/>
          <w:lang w:val="fr-FR"/>
        </w:rPr>
        <w:t>4</w:t>
      </w:r>
      <w:r>
        <w:rPr>
          <w:iCs/>
          <w:noProof/>
          <w:lang w:val="fr-FR"/>
        </w:rPr>
        <w:t xml:space="preserve"> militaires pour un homicide commis en </w:t>
      </w:r>
      <w:r w:rsidRPr="007238C6">
        <w:rPr>
          <w:noProof/>
          <w:shd w:val="clear" w:color="auto" w:fill="FFFFFF"/>
          <w:lang w:val="fr-FR"/>
        </w:rPr>
        <w:t xml:space="preserve">1972, </w:t>
      </w:r>
      <w:r>
        <w:rPr>
          <w:noProof/>
          <w:shd w:val="clear" w:color="auto" w:fill="FFFFFF"/>
          <w:lang w:val="fr-FR"/>
        </w:rPr>
        <w:t xml:space="preserve">dont </w:t>
      </w:r>
      <w:r w:rsidR="00691AD9">
        <w:rPr>
          <w:noProof/>
          <w:shd w:val="clear" w:color="auto" w:fill="FFFFFF"/>
          <w:lang w:val="fr-FR"/>
        </w:rPr>
        <w:t>2</w:t>
      </w:r>
      <w:r>
        <w:rPr>
          <w:noProof/>
          <w:shd w:val="clear" w:color="auto" w:fill="FFFFFF"/>
          <w:lang w:val="fr-FR"/>
        </w:rPr>
        <w:t xml:space="preserve"> en tant qu</w:t>
      </w:r>
      <w:r w:rsidR="00607CA3">
        <w:rPr>
          <w:noProof/>
          <w:shd w:val="clear" w:color="auto" w:fill="FFFFFF"/>
          <w:lang w:val="fr-FR"/>
        </w:rPr>
        <w:t>’</w:t>
      </w:r>
      <w:r>
        <w:rPr>
          <w:noProof/>
          <w:shd w:val="clear" w:color="auto" w:fill="FFFFFF"/>
          <w:lang w:val="fr-FR"/>
        </w:rPr>
        <w:t>auteurs d</w:t>
      </w:r>
      <w:r w:rsidR="00607CA3">
        <w:rPr>
          <w:noProof/>
          <w:shd w:val="clear" w:color="auto" w:fill="FFFFFF"/>
          <w:lang w:val="fr-FR"/>
        </w:rPr>
        <w:t>’</w:t>
      </w:r>
      <w:r>
        <w:rPr>
          <w:lang w:val="fr-FR" w:eastAsia="fr-FR"/>
        </w:rPr>
        <w:t>infractions d</w:t>
      </w:r>
      <w:r w:rsidR="00607CA3">
        <w:rPr>
          <w:lang w:val="fr-FR" w:eastAsia="fr-FR"/>
        </w:rPr>
        <w:t>’</w:t>
      </w:r>
      <w:r>
        <w:rPr>
          <w:lang w:val="fr-FR" w:eastAsia="fr-FR"/>
        </w:rPr>
        <w:t xml:space="preserve">homicide particulièrement aggravé et </w:t>
      </w:r>
      <w:r w:rsidR="00691AD9">
        <w:rPr>
          <w:lang w:val="fr-FR" w:eastAsia="fr-FR"/>
        </w:rPr>
        <w:t>1</w:t>
      </w:r>
      <w:r>
        <w:rPr>
          <w:lang w:val="fr-FR" w:eastAsia="fr-FR"/>
        </w:rPr>
        <w:t xml:space="preserve"> autre </w:t>
      </w:r>
      <w:r>
        <w:rPr>
          <w:noProof/>
          <w:shd w:val="clear" w:color="auto" w:fill="FFFFFF"/>
          <w:lang w:val="fr-FR"/>
        </w:rPr>
        <w:t>en tant qu</w:t>
      </w:r>
      <w:r w:rsidR="00607CA3">
        <w:rPr>
          <w:noProof/>
          <w:shd w:val="clear" w:color="auto" w:fill="FFFFFF"/>
          <w:lang w:val="fr-FR"/>
        </w:rPr>
        <w:t>’</w:t>
      </w:r>
      <w:r>
        <w:rPr>
          <w:noProof/>
          <w:shd w:val="clear" w:color="auto" w:fill="FFFFFF"/>
          <w:lang w:val="fr-FR"/>
        </w:rPr>
        <w:t>auteur d</w:t>
      </w:r>
      <w:r w:rsidR="00607CA3">
        <w:rPr>
          <w:noProof/>
          <w:shd w:val="clear" w:color="auto" w:fill="FFFFFF"/>
          <w:lang w:val="fr-FR"/>
        </w:rPr>
        <w:t>’</w:t>
      </w:r>
      <w:r>
        <w:rPr>
          <w:noProof/>
          <w:shd w:val="clear" w:color="auto" w:fill="FFFFFF"/>
          <w:lang w:val="fr-FR"/>
        </w:rPr>
        <w:t xml:space="preserve">une </w:t>
      </w:r>
      <w:r>
        <w:rPr>
          <w:lang w:val="fr-FR" w:eastAsia="fr-FR"/>
        </w:rPr>
        <w:t>infraction d</w:t>
      </w:r>
      <w:r w:rsidR="00607CA3">
        <w:rPr>
          <w:lang w:val="fr-FR" w:eastAsia="fr-FR"/>
        </w:rPr>
        <w:t>’</w:t>
      </w:r>
      <w:r>
        <w:rPr>
          <w:lang w:val="fr-FR" w:eastAsia="fr-FR"/>
        </w:rPr>
        <w:t>homicide particulièrement aggravé</w:t>
      </w:r>
      <w:r>
        <w:rPr>
          <w:noProof/>
          <w:shd w:val="clear" w:color="auto" w:fill="FFFFFF"/>
          <w:lang w:val="fr-FR"/>
        </w:rPr>
        <w:t xml:space="preserve"> commise en concours réel avec une infraction d</w:t>
      </w:r>
      <w:r w:rsidR="00607CA3">
        <w:rPr>
          <w:noProof/>
          <w:shd w:val="clear" w:color="auto" w:fill="FFFFFF"/>
          <w:lang w:val="fr-FR"/>
        </w:rPr>
        <w:t>’</w:t>
      </w:r>
      <w:r>
        <w:rPr>
          <w:noProof/>
          <w:shd w:val="clear" w:color="auto" w:fill="FFFFFF"/>
          <w:lang w:val="fr-FR"/>
        </w:rPr>
        <w:t>abus d</w:t>
      </w:r>
      <w:r w:rsidR="00607CA3">
        <w:rPr>
          <w:noProof/>
          <w:shd w:val="clear" w:color="auto" w:fill="FFFFFF"/>
          <w:lang w:val="fr-FR"/>
        </w:rPr>
        <w:t>’</w:t>
      </w:r>
      <w:r>
        <w:rPr>
          <w:noProof/>
          <w:shd w:val="clear" w:color="auto" w:fill="FFFFFF"/>
          <w:lang w:val="fr-FR"/>
        </w:rPr>
        <w:t>autorité</w:t>
      </w:r>
      <w:r w:rsidRPr="00663397">
        <w:rPr>
          <w:rStyle w:val="Appelnotedebasdep"/>
        </w:rPr>
        <w:footnoteReference w:id="35"/>
      </w:r>
      <w:r w:rsidR="00663397">
        <w:rPr>
          <w:noProof/>
          <w:shd w:val="clear" w:color="auto" w:fill="FFFFFF"/>
          <w:lang w:val="fr-FR"/>
        </w:rPr>
        <w:t> </w:t>
      </w:r>
      <w:r w:rsidRPr="007238C6">
        <w:rPr>
          <w:noProof/>
          <w:lang w:val="fr-FR"/>
        </w:rPr>
        <w:t xml:space="preserve">; </w:t>
      </w:r>
      <w:r w:rsidR="00691AD9">
        <w:rPr>
          <w:iCs/>
          <w:noProof/>
          <w:lang w:val="fr-FR"/>
        </w:rPr>
        <w:t>6</w:t>
      </w:r>
      <w:r>
        <w:rPr>
          <w:iCs/>
          <w:noProof/>
          <w:lang w:val="fr-FR"/>
        </w:rPr>
        <w:t xml:space="preserve"> hommes pour violations des droits de l</w:t>
      </w:r>
      <w:r w:rsidR="00607CA3">
        <w:rPr>
          <w:iCs/>
          <w:noProof/>
          <w:lang w:val="fr-FR"/>
        </w:rPr>
        <w:t>’</w:t>
      </w:r>
      <w:r>
        <w:rPr>
          <w:iCs/>
          <w:noProof/>
          <w:lang w:val="fr-FR"/>
        </w:rPr>
        <w:t xml:space="preserve">homme, en particulier pour les tortures auxquelles les victimes ont été soumises, pendant les années </w:t>
      </w:r>
      <w:r w:rsidR="00691AD9">
        <w:rPr>
          <w:iCs/>
          <w:noProof/>
          <w:lang w:val="fr-FR"/>
        </w:rPr>
        <w:t>19</w:t>
      </w:r>
      <w:r>
        <w:rPr>
          <w:iCs/>
          <w:noProof/>
          <w:lang w:val="fr-FR"/>
        </w:rPr>
        <w:t xml:space="preserve">70, dans les locaux du Bataillon du génie </w:t>
      </w:r>
      <w:r w:rsidR="00663397" w:rsidRPr="00663397">
        <w:rPr>
          <w:rFonts w:eastAsia="MS Mincho"/>
          <w:iCs/>
          <w:noProof/>
          <w:szCs w:val="22"/>
          <w:lang w:val="fr-FR"/>
        </w:rPr>
        <w:t>n</w:t>
      </w:r>
      <w:r w:rsidR="00663397" w:rsidRPr="00663397">
        <w:rPr>
          <w:rFonts w:eastAsia="MS Mincho"/>
          <w:iCs/>
          <w:noProof/>
          <w:szCs w:val="22"/>
          <w:vertAlign w:val="superscript"/>
          <w:lang w:val="fr-FR"/>
        </w:rPr>
        <w:t>o</w:t>
      </w:r>
      <w:r w:rsidR="00663397">
        <w:rPr>
          <w:iCs/>
          <w:noProof/>
          <w:lang w:val="fr-FR"/>
        </w:rPr>
        <w:t> </w:t>
      </w:r>
      <w:r w:rsidRPr="007238C6">
        <w:rPr>
          <w:iCs/>
          <w:noProof/>
          <w:lang w:val="fr-FR"/>
        </w:rPr>
        <w:t xml:space="preserve">4 </w:t>
      </w:r>
      <w:r>
        <w:rPr>
          <w:iCs/>
          <w:noProof/>
          <w:lang w:val="fr-FR"/>
        </w:rPr>
        <w:t xml:space="preserve">à la </w:t>
      </w:r>
      <w:r w:rsidRPr="007238C6">
        <w:rPr>
          <w:iCs/>
          <w:noProof/>
          <w:lang w:val="fr-FR"/>
        </w:rPr>
        <w:t>Laguna del Sauce</w:t>
      </w:r>
      <w:r w:rsidRPr="00663397">
        <w:rPr>
          <w:rStyle w:val="Appelnotedebasdep"/>
        </w:rPr>
        <w:footnoteReference w:id="36"/>
      </w:r>
      <w:r w:rsidR="00663397">
        <w:rPr>
          <w:iCs/>
          <w:noProof/>
          <w:lang w:val="fr-FR"/>
        </w:rPr>
        <w:t> </w:t>
      </w:r>
      <w:r w:rsidRPr="007238C6">
        <w:rPr>
          <w:iCs/>
          <w:noProof/>
          <w:lang w:val="fr-FR"/>
        </w:rPr>
        <w:t xml:space="preserve">; </w:t>
      </w:r>
      <w:r>
        <w:rPr>
          <w:iCs/>
          <w:noProof/>
          <w:lang w:val="fr-FR"/>
        </w:rPr>
        <w:t xml:space="preserve">et </w:t>
      </w:r>
      <w:r w:rsidR="00691AD9">
        <w:rPr>
          <w:iCs/>
          <w:noProof/>
          <w:lang w:val="fr-FR"/>
        </w:rPr>
        <w:t>3</w:t>
      </w:r>
      <w:r w:rsidRPr="007238C6">
        <w:rPr>
          <w:iCs/>
          <w:noProof/>
          <w:lang w:val="fr-FR"/>
        </w:rPr>
        <w:t xml:space="preserve"> milita</w:t>
      </w:r>
      <w:r>
        <w:rPr>
          <w:iCs/>
          <w:noProof/>
          <w:lang w:val="fr-FR"/>
        </w:rPr>
        <w:t>i</w:t>
      </w:r>
      <w:r w:rsidRPr="007238C6">
        <w:rPr>
          <w:iCs/>
          <w:noProof/>
          <w:lang w:val="fr-FR"/>
        </w:rPr>
        <w:t xml:space="preserve">res </w:t>
      </w:r>
      <w:r>
        <w:rPr>
          <w:iCs/>
          <w:noProof/>
          <w:lang w:val="fr-FR"/>
        </w:rPr>
        <w:t>pour l</w:t>
      </w:r>
      <w:r w:rsidR="00607CA3">
        <w:rPr>
          <w:iCs/>
          <w:noProof/>
          <w:lang w:val="fr-FR"/>
        </w:rPr>
        <w:t>’</w:t>
      </w:r>
      <w:r>
        <w:rPr>
          <w:iCs/>
          <w:noProof/>
          <w:lang w:val="fr-FR"/>
        </w:rPr>
        <w:t>« </w:t>
      </w:r>
      <w:r w:rsidRPr="007238C6">
        <w:rPr>
          <w:noProof/>
          <w:lang w:val="fr-FR"/>
        </w:rPr>
        <w:t>Op</w:t>
      </w:r>
      <w:r>
        <w:rPr>
          <w:noProof/>
          <w:lang w:val="fr-FR"/>
        </w:rPr>
        <w:t xml:space="preserve">ération </w:t>
      </w:r>
      <w:r w:rsidRPr="007238C6">
        <w:rPr>
          <w:noProof/>
          <w:lang w:val="fr-FR"/>
        </w:rPr>
        <w:t>Morgan</w:t>
      </w:r>
      <w:r>
        <w:rPr>
          <w:noProof/>
          <w:lang w:val="fr-FR"/>
        </w:rPr>
        <w:t> »</w:t>
      </w:r>
      <w:r w:rsidRPr="007238C6">
        <w:rPr>
          <w:noProof/>
          <w:lang w:val="fr-FR"/>
        </w:rPr>
        <w:t xml:space="preserve">, </w:t>
      </w:r>
      <w:r>
        <w:rPr>
          <w:noProof/>
          <w:lang w:val="fr-FR"/>
        </w:rPr>
        <w:t>menée à partir d</w:t>
      </w:r>
      <w:r w:rsidR="00607CA3">
        <w:rPr>
          <w:noProof/>
          <w:lang w:val="fr-FR"/>
        </w:rPr>
        <w:t>’</w:t>
      </w:r>
      <w:r>
        <w:rPr>
          <w:noProof/>
          <w:lang w:val="fr-FR"/>
        </w:rPr>
        <w:t xml:space="preserve">octobre </w:t>
      </w:r>
      <w:r w:rsidRPr="007238C6">
        <w:rPr>
          <w:noProof/>
          <w:lang w:val="fr-FR"/>
        </w:rPr>
        <w:t>1975.</w:t>
      </w:r>
    </w:p>
    <w:p w:rsidR="00596826" w:rsidRPr="007238C6" w:rsidRDefault="00596826" w:rsidP="00596826">
      <w:pPr>
        <w:pStyle w:val="SingleTxtG"/>
        <w:rPr>
          <w:noProof/>
          <w:lang w:val="fr-FR"/>
        </w:rPr>
      </w:pPr>
      <w:r w:rsidRPr="007238C6">
        <w:rPr>
          <w:noProof/>
          <w:lang w:val="fr-FR"/>
        </w:rPr>
        <w:t>171.</w:t>
      </w:r>
      <w:r w:rsidRPr="007238C6">
        <w:rPr>
          <w:noProof/>
          <w:lang w:val="fr-FR"/>
        </w:rPr>
        <w:tab/>
      </w:r>
      <w:r>
        <w:rPr>
          <w:noProof/>
          <w:lang w:val="fr-FR"/>
        </w:rPr>
        <w:t>En tant que pays contributeur de troupes, l</w:t>
      </w:r>
      <w:r w:rsidR="00607CA3">
        <w:rPr>
          <w:noProof/>
          <w:lang w:val="fr-FR"/>
        </w:rPr>
        <w:t>’</w:t>
      </w:r>
      <w:r>
        <w:rPr>
          <w:noProof/>
          <w:lang w:val="fr-FR"/>
        </w:rPr>
        <w:t>Uruguay attach</w:t>
      </w:r>
      <w:r w:rsidRPr="007238C6">
        <w:rPr>
          <w:noProof/>
          <w:lang w:val="fr-FR"/>
        </w:rPr>
        <w:t xml:space="preserve">e la </w:t>
      </w:r>
      <w:r>
        <w:rPr>
          <w:noProof/>
          <w:lang w:val="fr-FR"/>
        </w:rPr>
        <w:t>plus grande importance</w:t>
      </w:r>
      <w:r w:rsidRPr="007238C6">
        <w:rPr>
          <w:noProof/>
          <w:lang w:val="fr-FR"/>
        </w:rPr>
        <w:t xml:space="preserve"> </w:t>
      </w:r>
      <w:r>
        <w:rPr>
          <w:noProof/>
          <w:lang w:val="fr-FR"/>
        </w:rPr>
        <w:t>à la lutte contre les cas d</w:t>
      </w:r>
      <w:r w:rsidR="00607CA3">
        <w:rPr>
          <w:noProof/>
          <w:lang w:val="fr-FR"/>
        </w:rPr>
        <w:t>’</w:t>
      </w:r>
      <w:r>
        <w:rPr>
          <w:noProof/>
          <w:lang w:val="fr-FR"/>
        </w:rPr>
        <w:t>exploitation sexuelle et d</w:t>
      </w:r>
      <w:r w:rsidR="00607CA3">
        <w:rPr>
          <w:noProof/>
          <w:lang w:val="fr-FR"/>
        </w:rPr>
        <w:t>’</w:t>
      </w:r>
      <w:r>
        <w:rPr>
          <w:noProof/>
          <w:lang w:val="fr-FR"/>
        </w:rPr>
        <w:t>atteintes sexuelles dans les opérations de maintien de la paix et, à cet égard, il s</w:t>
      </w:r>
      <w:r w:rsidR="00607CA3">
        <w:rPr>
          <w:noProof/>
          <w:lang w:val="fr-FR"/>
        </w:rPr>
        <w:t>’</w:t>
      </w:r>
      <w:r>
        <w:rPr>
          <w:noProof/>
          <w:lang w:val="fr-FR"/>
        </w:rPr>
        <w:t>est fortement engagé en faveur de la politique de « tolérance zéro » de l</w:t>
      </w:r>
      <w:r w:rsidR="00607CA3">
        <w:rPr>
          <w:noProof/>
          <w:lang w:val="fr-FR"/>
        </w:rPr>
        <w:t>’</w:t>
      </w:r>
      <w:r>
        <w:rPr>
          <w:noProof/>
          <w:lang w:val="fr-FR"/>
        </w:rPr>
        <w:t>Organisation des Nations Unies, témoignant ainsi tant de l</w:t>
      </w:r>
      <w:r w:rsidR="00607CA3">
        <w:rPr>
          <w:noProof/>
          <w:lang w:val="fr-FR"/>
        </w:rPr>
        <w:t>’</w:t>
      </w:r>
      <w:r>
        <w:rPr>
          <w:noProof/>
          <w:lang w:val="fr-FR"/>
        </w:rPr>
        <w:t>attachement du pays à la paix et à la sécurité internationales que du strict respect des droits et de la dignité de la personne qui est le sien depuis toujours</w:t>
      </w:r>
      <w:r w:rsidRPr="007238C6">
        <w:rPr>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172.</w:t>
      </w:r>
      <w:r w:rsidRPr="007238C6">
        <w:rPr>
          <w:rFonts w:eastAsia="Calibri"/>
          <w:noProof/>
          <w:lang w:val="fr-FR"/>
        </w:rPr>
        <w:tab/>
        <w:t>En</w:t>
      </w:r>
      <w:r>
        <w:rPr>
          <w:rFonts w:eastAsia="Calibri"/>
          <w:noProof/>
          <w:lang w:val="fr-FR"/>
        </w:rPr>
        <w:t xml:space="preserve"> ce qui concerne la prévention des violences sexuelles dans les opérations de maintien de la paix</w:t>
      </w:r>
      <w:r w:rsidRPr="007238C6">
        <w:rPr>
          <w:rFonts w:eastAsia="Calibri"/>
          <w:noProof/>
          <w:lang w:val="fr-FR"/>
        </w:rPr>
        <w:t xml:space="preserve">, </w:t>
      </w:r>
      <w:r>
        <w:rPr>
          <w:rFonts w:eastAsia="Calibri"/>
          <w:noProof/>
          <w:lang w:val="fr-FR"/>
        </w:rPr>
        <w:t>des cours de formation préalable au déploiement sont dispensés au personnel dans ce domaine et, en particulier, sur la politique de tolérance zéro de l</w:t>
      </w:r>
      <w:r w:rsidR="00607CA3">
        <w:rPr>
          <w:rFonts w:eastAsia="Calibri"/>
          <w:noProof/>
          <w:lang w:val="fr-FR"/>
        </w:rPr>
        <w:t>’</w:t>
      </w:r>
      <w:r>
        <w:rPr>
          <w:rFonts w:eastAsia="Calibri"/>
          <w:noProof/>
          <w:lang w:val="fr-FR"/>
        </w:rPr>
        <w:t>Organisation des Nations Unies</w:t>
      </w:r>
      <w:r w:rsidRPr="007238C6">
        <w:rPr>
          <w:rFonts w:eastAsia="Calibri"/>
          <w:noProof/>
          <w:lang w:val="fr-FR"/>
        </w:rPr>
        <w:t xml:space="preserve">. </w:t>
      </w:r>
      <w:r>
        <w:rPr>
          <w:rFonts w:eastAsia="Calibri"/>
          <w:noProof/>
          <w:lang w:val="fr-FR"/>
        </w:rPr>
        <w:t>De même, le Ministère de la défense nationale, par l</w:t>
      </w:r>
      <w:r w:rsidR="00607CA3">
        <w:rPr>
          <w:rFonts w:eastAsia="Calibri"/>
          <w:noProof/>
          <w:lang w:val="fr-FR"/>
        </w:rPr>
        <w:t>’</w:t>
      </w:r>
      <w:r>
        <w:rPr>
          <w:rFonts w:eastAsia="Calibri"/>
          <w:noProof/>
          <w:lang w:val="fr-FR"/>
        </w:rPr>
        <w:t xml:space="preserve">ordonnance </w:t>
      </w:r>
      <w:r w:rsidR="00663397" w:rsidRPr="00663397">
        <w:rPr>
          <w:rFonts w:eastAsia="MS Mincho"/>
          <w:noProof/>
          <w:szCs w:val="22"/>
          <w:lang w:val="fr-FR"/>
        </w:rPr>
        <w:t>n</w:t>
      </w:r>
      <w:r w:rsidR="00663397" w:rsidRPr="00663397">
        <w:rPr>
          <w:rFonts w:eastAsia="MS Mincho"/>
          <w:noProof/>
          <w:szCs w:val="22"/>
          <w:vertAlign w:val="superscript"/>
          <w:lang w:val="fr-FR"/>
        </w:rPr>
        <w:t>o</w:t>
      </w:r>
      <w:r w:rsidR="00663397">
        <w:rPr>
          <w:rFonts w:eastAsia="Calibri"/>
          <w:noProof/>
          <w:lang w:val="fr-FR"/>
        </w:rPr>
        <w:t> </w:t>
      </w:r>
      <w:r>
        <w:rPr>
          <w:rFonts w:eastAsia="Calibri"/>
          <w:noProof/>
          <w:lang w:val="fr-FR"/>
        </w:rPr>
        <w:t xml:space="preserve">102/15 prise par le Ministère le </w:t>
      </w:r>
      <w:r w:rsidRPr="007238C6">
        <w:rPr>
          <w:rFonts w:eastAsia="Calibri"/>
          <w:noProof/>
          <w:lang w:val="fr-FR"/>
        </w:rPr>
        <w:t>16</w:t>
      </w:r>
      <w:r w:rsidR="00663397">
        <w:rPr>
          <w:rFonts w:eastAsia="Calibri"/>
          <w:noProof/>
          <w:lang w:val="fr-FR"/>
        </w:rPr>
        <w:t> </w:t>
      </w:r>
      <w:r w:rsidRPr="007238C6">
        <w:rPr>
          <w:rFonts w:eastAsia="Calibri"/>
          <w:noProof/>
          <w:lang w:val="fr-FR"/>
        </w:rPr>
        <w:t>ju</w:t>
      </w:r>
      <w:r>
        <w:rPr>
          <w:rFonts w:eastAsia="Calibri"/>
          <w:noProof/>
          <w:lang w:val="fr-FR"/>
        </w:rPr>
        <w:t xml:space="preserve">in </w:t>
      </w:r>
      <w:r w:rsidRPr="007238C6">
        <w:rPr>
          <w:rFonts w:eastAsia="Calibri"/>
          <w:noProof/>
          <w:lang w:val="fr-FR"/>
        </w:rPr>
        <w:t xml:space="preserve">2015, </w:t>
      </w:r>
      <w:r>
        <w:rPr>
          <w:rFonts w:eastAsia="Calibri"/>
          <w:noProof/>
          <w:lang w:val="fr-FR"/>
        </w:rPr>
        <w:t xml:space="preserve">a établi </w:t>
      </w:r>
      <w:r w:rsidRPr="007238C6">
        <w:rPr>
          <w:rFonts w:eastAsia="Calibri"/>
          <w:noProof/>
          <w:lang w:val="fr-FR"/>
        </w:rPr>
        <w:t xml:space="preserve">un </w:t>
      </w:r>
      <w:r>
        <w:rPr>
          <w:rFonts w:eastAsia="Calibri"/>
          <w:noProof/>
          <w:lang w:val="fr-FR"/>
        </w:rPr>
        <w:t>« p</w:t>
      </w:r>
      <w:r w:rsidRPr="007238C6">
        <w:rPr>
          <w:rFonts w:eastAsia="Calibri"/>
          <w:noProof/>
          <w:lang w:val="fr-FR"/>
        </w:rPr>
        <w:t>rotocol</w:t>
      </w:r>
      <w:r>
        <w:rPr>
          <w:rFonts w:eastAsia="Calibri"/>
          <w:noProof/>
          <w:lang w:val="fr-FR"/>
        </w:rPr>
        <w:t>e</w:t>
      </w:r>
      <w:r w:rsidRPr="007238C6">
        <w:rPr>
          <w:rFonts w:eastAsia="Calibri"/>
          <w:noProof/>
          <w:lang w:val="fr-FR"/>
        </w:rPr>
        <w:t xml:space="preserve"> de </w:t>
      </w:r>
      <w:r>
        <w:rPr>
          <w:rFonts w:eastAsia="Calibri"/>
          <w:noProof/>
          <w:lang w:val="fr-FR"/>
        </w:rPr>
        <w:t>traitement des allégations de violences sexuelles, d</w:t>
      </w:r>
      <w:r w:rsidR="00607CA3">
        <w:rPr>
          <w:rFonts w:eastAsia="Calibri"/>
          <w:noProof/>
          <w:lang w:val="fr-FR"/>
        </w:rPr>
        <w:t>’</w:t>
      </w:r>
      <w:r>
        <w:rPr>
          <w:rFonts w:eastAsia="Calibri"/>
          <w:noProof/>
          <w:lang w:val="fr-FR"/>
        </w:rPr>
        <w:t>exploitation sexuelle et de paternité »</w:t>
      </w:r>
      <w:r w:rsidRPr="00663397">
        <w:rPr>
          <w:rStyle w:val="Appelnotedebasdep"/>
        </w:rPr>
        <w:footnoteReference w:id="37"/>
      </w:r>
      <w:r w:rsidRPr="007238C6">
        <w:rPr>
          <w:rFonts w:eastAsia="Calibri"/>
          <w:noProof/>
          <w:lang w:val="fr-FR"/>
        </w:rPr>
        <w:t>. En 2017</w:t>
      </w:r>
      <w:r>
        <w:rPr>
          <w:rFonts w:eastAsia="Calibri"/>
          <w:noProof/>
          <w:lang w:val="fr-FR"/>
        </w:rPr>
        <w:t xml:space="preserve">, la huitième édition du cours intitulé </w:t>
      </w:r>
      <w:r w:rsidRPr="007238C6">
        <w:rPr>
          <w:rFonts w:eastAsia="Calibri"/>
          <w:noProof/>
          <w:lang w:val="fr-FR"/>
        </w:rPr>
        <w:t xml:space="preserve"> </w:t>
      </w:r>
      <w:r>
        <w:rPr>
          <w:rFonts w:eastAsia="Calibri"/>
          <w:noProof/>
          <w:lang w:val="fr-FR"/>
        </w:rPr>
        <w:t>« Questions relatives au traitement judiciaire des violences sexuelles faites aux enfants »</w:t>
      </w:r>
      <w:r w:rsidRPr="007238C6">
        <w:rPr>
          <w:rFonts w:eastAsia="Calibri"/>
          <w:noProof/>
          <w:lang w:val="fr-FR"/>
        </w:rPr>
        <w:t xml:space="preserve"> </w:t>
      </w:r>
      <w:r>
        <w:rPr>
          <w:rFonts w:eastAsia="Calibri"/>
          <w:noProof/>
          <w:lang w:val="fr-FR"/>
        </w:rPr>
        <w:t xml:space="preserve">a été organisée </w:t>
      </w:r>
      <w:r w:rsidRPr="007238C6">
        <w:rPr>
          <w:rFonts w:eastAsia="Calibri"/>
          <w:noProof/>
          <w:lang w:val="fr-FR"/>
        </w:rPr>
        <w:t>en coordina</w:t>
      </w:r>
      <w:r>
        <w:rPr>
          <w:rFonts w:eastAsia="Calibri"/>
          <w:noProof/>
          <w:lang w:val="fr-FR"/>
        </w:rPr>
        <w:t xml:space="preserve">tion avec le </w:t>
      </w:r>
      <w:r w:rsidRPr="007238C6">
        <w:rPr>
          <w:rFonts w:eastAsia="Calibri"/>
          <w:noProof/>
          <w:lang w:val="fr-FR"/>
        </w:rPr>
        <w:t>Centr</w:t>
      </w:r>
      <w:r>
        <w:rPr>
          <w:rFonts w:eastAsia="Calibri"/>
          <w:noProof/>
          <w:lang w:val="fr-FR"/>
        </w:rPr>
        <w:t>e de formation du Bureau du Procureur général de la Nation, du Centre d</w:t>
      </w:r>
      <w:r w:rsidR="00607CA3">
        <w:rPr>
          <w:rFonts w:eastAsia="Calibri"/>
          <w:noProof/>
          <w:lang w:val="fr-FR"/>
        </w:rPr>
        <w:t>’</w:t>
      </w:r>
      <w:r>
        <w:rPr>
          <w:rFonts w:eastAsia="Calibri"/>
          <w:noProof/>
          <w:lang w:val="fr-FR"/>
        </w:rPr>
        <w:t>études judiciaires et du Fonds des Nations Unies pour l</w:t>
      </w:r>
      <w:r w:rsidR="00607CA3">
        <w:rPr>
          <w:rFonts w:eastAsia="Calibri"/>
          <w:noProof/>
          <w:lang w:val="fr-FR"/>
        </w:rPr>
        <w:t>’</w:t>
      </w:r>
      <w:r>
        <w:rPr>
          <w:rFonts w:eastAsia="Calibri"/>
          <w:noProof/>
          <w:lang w:val="fr-FR"/>
        </w:rPr>
        <w:t>enfance (UNICEF)</w:t>
      </w:r>
      <w:r w:rsidRPr="007238C6">
        <w:rPr>
          <w:rFonts w:eastAsia="Calibri"/>
          <w:noProof/>
          <w:lang w:val="fr-FR"/>
        </w:rPr>
        <w:t xml:space="preserve">. </w:t>
      </w:r>
      <w:r>
        <w:rPr>
          <w:rFonts w:eastAsia="Calibri"/>
          <w:noProof/>
          <w:lang w:val="fr-FR"/>
        </w:rPr>
        <w:t xml:space="preserve">Le Bureau du Procureur général a désigné pour y participer </w:t>
      </w:r>
      <w:r w:rsidRPr="007238C6">
        <w:rPr>
          <w:rFonts w:eastAsia="Calibri"/>
          <w:noProof/>
          <w:lang w:val="fr-FR"/>
        </w:rPr>
        <w:t xml:space="preserve">20 </w:t>
      </w:r>
      <w:r>
        <w:rPr>
          <w:rFonts w:eastAsia="Calibri"/>
          <w:noProof/>
          <w:lang w:val="fr-FR"/>
        </w:rPr>
        <w:t xml:space="preserve">procureurs </w:t>
      </w:r>
      <w:r w:rsidRPr="007238C6">
        <w:rPr>
          <w:rFonts w:eastAsia="Calibri"/>
          <w:noProof/>
          <w:lang w:val="fr-FR"/>
        </w:rPr>
        <w:t xml:space="preserve">de Montevideo </w:t>
      </w:r>
      <w:r>
        <w:rPr>
          <w:rFonts w:eastAsia="Calibri"/>
          <w:noProof/>
          <w:lang w:val="fr-FR"/>
        </w:rPr>
        <w:t>et de l</w:t>
      </w:r>
      <w:r w:rsidR="00607CA3">
        <w:rPr>
          <w:rFonts w:eastAsia="Calibri"/>
          <w:noProof/>
          <w:lang w:val="fr-FR"/>
        </w:rPr>
        <w:t>’</w:t>
      </w:r>
      <w:r>
        <w:rPr>
          <w:rFonts w:eastAsia="Calibri"/>
          <w:noProof/>
          <w:lang w:val="fr-FR"/>
        </w:rPr>
        <w:t>intérieur du pays</w:t>
      </w:r>
      <w:r w:rsidRPr="007238C6">
        <w:rPr>
          <w:rFonts w:eastAsia="Calibri"/>
          <w:noProof/>
          <w:lang w:val="fr-FR"/>
        </w:rPr>
        <w:t>.</w:t>
      </w:r>
    </w:p>
    <w:p w:rsidR="00596826" w:rsidRPr="007238C6" w:rsidRDefault="00596826" w:rsidP="00596826">
      <w:pPr>
        <w:pStyle w:val="SingleTxtG"/>
        <w:rPr>
          <w:rFonts w:ascii="Times" w:hAnsi="Times"/>
          <w:noProof/>
          <w:lang w:val="fr-FR"/>
        </w:rPr>
      </w:pPr>
      <w:r w:rsidRPr="007238C6">
        <w:rPr>
          <w:iCs/>
          <w:noProof/>
          <w:lang w:val="fr-FR"/>
        </w:rPr>
        <w:t>173.</w:t>
      </w:r>
      <w:r w:rsidRPr="007238C6">
        <w:rPr>
          <w:iCs/>
          <w:noProof/>
          <w:lang w:val="fr-FR"/>
        </w:rPr>
        <w:tab/>
        <w:t xml:space="preserve">En </w:t>
      </w:r>
      <w:r>
        <w:rPr>
          <w:iCs/>
          <w:noProof/>
          <w:lang w:val="fr-FR"/>
        </w:rPr>
        <w:t>ce qui concerne la procédure pénale sur laquelle le Comité demande des précisions, cette procédure s</w:t>
      </w:r>
      <w:r w:rsidR="00607CA3">
        <w:rPr>
          <w:iCs/>
          <w:noProof/>
          <w:lang w:val="fr-FR"/>
        </w:rPr>
        <w:t>’</w:t>
      </w:r>
      <w:r>
        <w:rPr>
          <w:iCs/>
          <w:noProof/>
          <w:lang w:val="fr-FR"/>
        </w:rPr>
        <w:t xml:space="preserve">est achevée en août </w:t>
      </w:r>
      <w:r w:rsidRPr="007238C6">
        <w:rPr>
          <w:iCs/>
          <w:noProof/>
          <w:lang w:val="fr-FR"/>
        </w:rPr>
        <w:t xml:space="preserve">2013 </w:t>
      </w:r>
      <w:r>
        <w:rPr>
          <w:iCs/>
          <w:noProof/>
          <w:lang w:val="fr-FR"/>
        </w:rPr>
        <w:t>par un jugement de condamnation pour actes de violence privée commis par les quatre accusés</w:t>
      </w:r>
      <w:r w:rsidRPr="007238C6">
        <w:rPr>
          <w:iCs/>
          <w:noProof/>
          <w:lang w:val="fr-FR"/>
        </w:rPr>
        <w:t xml:space="preserve">, </w:t>
      </w:r>
      <w:r>
        <w:rPr>
          <w:iCs/>
          <w:noProof/>
          <w:lang w:val="fr-FR"/>
        </w:rPr>
        <w:t>conformément à la qualification juridique retenue par le ministère publique, ce qui a mis fin à l</w:t>
      </w:r>
      <w:r w:rsidR="00607CA3">
        <w:rPr>
          <w:iCs/>
          <w:noProof/>
          <w:lang w:val="fr-FR"/>
        </w:rPr>
        <w:t>’</w:t>
      </w:r>
      <w:r>
        <w:rPr>
          <w:iCs/>
          <w:noProof/>
          <w:lang w:val="fr-FR"/>
        </w:rPr>
        <w:t>information judiciaire ouverte en temps utile</w:t>
      </w:r>
      <w:r w:rsidRPr="00422532">
        <w:rPr>
          <w:b/>
          <w:iCs/>
          <w:noProof/>
          <w:lang w:val="fr-FR"/>
        </w:rPr>
        <w:t xml:space="preserve"> </w:t>
      </w:r>
      <w:r>
        <w:rPr>
          <w:iCs/>
          <w:noProof/>
          <w:lang w:val="fr-FR"/>
        </w:rPr>
        <w:t xml:space="preserve">à la suite de </w:t>
      </w:r>
      <w:r w:rsidRPr="007238C6">
        <w:rPr>
          <w:iCs/>
          <w:noProof/>
          <w:lang w:val="fr-FR"/>
        </w:rPr>
        <w:t xml:space="preserve">la </w:t>
      </w:r>
      <w:r>
        <w:rPr>
          <w:iCs/>
          <w:noProof/>
          <w:lang w:val="fr-FR"/>
        </w:rPr>
        <w:t>plainte déposée par le pouvoir exécutif lui</w:t>
      </w:r>
      <w:r w:rsidR="00776EA3">
        <w:rPr>
          <w:iCs/>
          <w:noProof/>
          <w:lang w:val="fr-FR"/>
        </w:rPr>
        <w:noBreakHyphen/>
      </w:r>
      <w:r>
        <w:rPr>
          <w:iCs/>
          <w:noProof/>
          <w:lang w:val="fr-FR"/>
        </w:rPr>
        <w:t xml:space="preserve">même (Ministère de la défense). </w:t>
      </w:r>
    </w:p>
    <w:p w:rsidR="00596826" w:rsidRPr="007238C6" w:rsidRDefault="00596826" w:rsidP="00596826">
      <w:pPr>
        <w:pStyle w:val="SingleTxtG"/>
        <w:rPr>
          <w:rFonts w:eastAsia="Calibri"/>
          <w:noProof/>
          <w:lang w:val="fr-FR"/>
        </w:rPr>
      </w:pPr>
      <w:r w:rsidRPr="007238C6">
        <w:rPr>
          <w:rFonts w:eastAsia="Calibri"/>
          <w:noProof/>
          <w:lang w:val="fr-FR"/>
        </w:rPr>
        <w:t>174.</w:t>
      </w:r>
      <w:r w:rsidRPr="007238C6">
        <w:rPr>
          <w:rFonts w:eastAsia="Calibri"/>
          <w:noProof/>
          <w:lang w:val="fr-FR"/>
        </w:rPr>
        <w:tab/>
        <w:t>L</w:t>
      </w:r>
      <w:r>
        <w:rPr>
          <w:rFonts w:eastAsia="Calibri"/>
          <w:noProof/>
          <w:lang w:val="fr-FR"/>
        </w:rPr>
        <w:t>e</w:t>
      </w:r>
      <w:r w:rsidRPr="007238C6">
        <w:rPr>
          <w:rFonts w:eastAsia="Calibri"/>
          <w:noProof/>
          <w:lang w:val="fr-FR"/>
        </w:rPr>
        <w:t>s proc</w:t>
      </w:r>
      <w:r>
        <w:rPr>
          <w:rFonts w:eastAsia="Calibri"/>
          <w:noProof/>
          <w:lang w:val="fr-FR"/>
        </w:rPr>
        <w:t xml:space="preserve">édures </w:t>
      </w:r>
      <w:r w:rsidRPr="007238C6">
        <w:rPr>
          <w:rFonts w:eastAsia="Calibri"/>
          <w:noProof/>
          <w:lang w:val="fr-FR"/>
        </w:rPr>
        <w:t>disciplina</w:t>
      </w:r>
      <w:r>
        <w:rPr>
          <w:rFonts w:eastAsia="Calibri"/>
          <w:noProof/>
          <w:lang w:val="fr-FR"/>
        </w:rPr>
        <w:t>ires</w:t>
      </w:r>
      <w:r w:rsidRPr="007238C6">
        <w:rPr>
          <w:rFonts w:eastAsia="Calibri"/>
          <w:noProof/>
          <w:lang w:val="fr-FR"/>
        </w:rPr>
        <w:t xml:space="preserve"> </w:t>
      </w:r>
      <w:r>
        <w:rPr>
          <w:rFonts w:eastAsia="Calibri"/>
          <w:noProof/>
          <w:lang w:val="fr-FR"/>
        </w:rPr>
        <w:t>les plus pertinentes engagées à propos de mauvais traitements présumés</w:t>
      </w:r>
      <w:r w:rsidRPr="007238C6">
        <w:rPr>
          <w:rFonts w:eastAsia="Calibri"/>
          <w:noProof/>
          <w:lang w:val="fr-FR"/>
        </w:rPr>
        <w:t xml:space="preserve"> </w:t>
      </w:r>
      <w:r>
        <w:rPr>
          <w:rFonts w:eastAsia="Calibri"/>
          <w:noProof/>
          <w:lang w:val="fr-FR"/>
        </w:rPr>
        <w:t>ont été menées au Centre</w:t>
      </w:r>
      <w:r w:rsidRPr="007238C6">
        <w:rPr>
          <w:rFonts w:eastAsia="Calibri"/>
          <w:noProof/>
          <w:lang w:val="fr-FR"/>
        </w:rPr>
        <w:t xml:space="preserve"> SER, </w:t>
      </w:r>
      <w:r>
        <w:rPr>
          <w:rFonts w:eastAsia="Calibri"/>
          <w:noProof/>
          <w:lang w:val="fr-FR"/>
        </w:rPr>
        <w:t xml:space="preserve">devenu depuis le </w:t>
      </w:r>
      <w:r w:rsidRPr="007238C6">
        <w:rPr>
          <w:rFonts w:eastAsia="Calibri"/>
          <w:noProof/>
          <w:lang w:val="fr-FR"/>
        </w:rPr>
        <w:t xml:space="preserve">MD1. </w:t>
      </w:r>
      <w:r>
        <w:rPr>
          <w:rFonts w:eastAsia="Calibri"/>
          <w:noProof/>
          <w:lang w:val="fr-FR"/>
        </w:rPr>
        <w:t>Ces procédures ont débouché sur le dépôt d</w:t>
      </w:r>
      <w:r w:rsidR="00607CA3">
        <w:rPr>
          <w:rFonts w:eastAsia="Calibri"/>
          <w:noProof/>
          <w:lang w:val="fr-FR"/>
        </w:rPr>
        <w:t>’</w:t>
      </w:r>
      <w:r>
        <w:rPr>
          <w:rFonts w:eastAsia="Calibri"/>
          <w:noProof/>
          <w:lang w:val="fr-FR"/>
        </w:rPr>
        <w:t>une plainte pour les actes commis et une inculpation avec ou sans placement en détention (selon le cas) des fonctionnaires concernés.</w:t>
      </w:r>
      <w:r w:rsidRPr="007238C6">
        <w:rPr>
          <w:rFonts w:eastAsia="Calibri"/>
          <w:noProof/>
          <w:lang w:val="fr-FR"/>
        </w:rPr>
        <w:t xml:space="preserve"> </w:t>
      </w:r>
      <w:r>
        <w:rPr>
          <w:rFonts w:eastAsia="Calibri"/>
          <w:noProof/>
          <w:lang w:val="fr-FR"/>
        </w:rPr>
        <w:t>À la suite des procédures administrative</w:t>
      </w:r>
      <w:r w:rsidRPr="007238C6">
        <w:rPr>
          <w:rFonts w:eastAsia="Calibri"/>
          <w:noProof/>
          <w:lang w:val="fr-FR"/>
        </w:rPr>
        <w:t>s, pr</w:t>
      </w:r>
      <w:r>
        <w:rPr>
          <w:rFonts w:eastAsia="Calibri"/>
          <w:noProof/>
          <w:lang w:val="fr-FR"/>
        </w:rPr>
        <w:t>é</w:t>
      </w:r>
      <w:r w:rsidRPr="007238C6">
        <w:rPr>
          <w:rFonts w:eastAsia="Calibri"/>
          <w:noProof/>
          <w:lang w:val="fr-FR"/>
        </w:rPr>
        <w:t>c</w:t>
      </w:r>
      <w:r>
        <w:rPr>
          <w:rFonts w:eastAsia="Calibri"/>
          <w:noProof/>
          <w:lang w:val="fr-FR"/>
        </w:rPr>
        <w:t>é</w:t>
      </w:r>
      <w:r w:rsidRPr="007238C6">
        <w:rPr>
          <w:rFonts w:eastAsia="Calibri"/>
          <w:noProof/>
          <w:lang w:val="fr-FR"/>
        </w:rPr>
        <w:t>d</w:t>
      </w:r>
      <w:r>
        <w:rPr>
          <w:rFonts w:eastAsia="Calibri"/>
          <w:noProof/>
          <w:lang w:val="fr-FR"/>
        </w:rPr>
        <w:t>ée</w:t>
      </w:r>
      <w:r w:rsidRPr="007238C6">
        <w:rPr>
          <w:rFonts w:eastAsia="Calibri"/>
          <w:noProof/>
          <w:lang w:val="fr-FR"/>
        </w:rPr>
        <w:t>s g</w:t>
      </w:r>
      <w:r>
        <w:rPr>
          <w:rFonts w:eastAsia="Calibri"/>
          <w:noProof/>
          <w:lang w:val="fr-FR"/>
        </w:rPr>
        <w:t>é</w:t>
      </w:r>
      <w:r w:rsidRPr="007238C6">
        <w:rPr>
          <w:rFonts w:eastAsia="Calibri"/>
          <w:noProof/>
          <w:lang w:val="fr-FR"/>
        </w:rPr>
        <w:t>n</w:t>
      </w:r>
      <w:r>
        <w:rPr>
          <w:rFonts w:eastAsia="Calibri"/>
          <w:noProof/>
          <w:lang w:val="fr-FR"/>
        </w:rPr>
        <w:t>é</w:t>
      </w:r>
      <w:r w:rsidRPr="007238C6">
        <w:rPr>
          <w:rFonts w:eastAsia="Calibri"/>
          <w:noProof/>
          <w:lang w:val="fr-FR"/>
        </w:rPr>
        <w:t>ral</w:t>
      </w:r>
      <w:r>
        <w:rPr>
          <w:rFonts w:eastAsia="Calibri"/>
          <w:noProof/>
          <w:lang w:val="fr-FR"/>
        </w:rPr>
        <w:t>e</w:t>
      </w:r>
      <w:r w:rsidRPr="007238C6">
        <w:rPr>
          <w:rFonts w:eastAsia="Calibri"/>
          <w:noProof/>
          <w:lang w:val="fr-FR"/>
        </w:rPr>
        <w:t>ment</w:t>
      </w:r>
      <w:r>
        <w:rPr>
          <w:rFonts w:eastAsia="Calibri"/>
          <w:noProof/>
          <w:lang w:val="fr-FR"/>
        </w:rPr>
        <w:t xml:space="preserve"> d</w:t>
      </w:r>
      <w:r w:rsidR="00607CA3">
        <w:rPr>
          <w:rFonts w:eastAsia="Calibri"/>
          <w:noProof/>
          <w:lang w:val="fr-FR"/>
        </w:rPr>
        <w:t>’</w:t>
      </w:r>
      <w:r>
        <w:rPr>
          <w:rFonts w:eastAsia="Calibri"/>
          <w:noProof/>
          <w:lang w:val="fr-FR"/>
        </w:rPr>
        <w:t>une</w:t>
      </w:r>
      <w:r w:rsidRPr="007238C6">
        <w:rPr>
          <w:rFonts w:eastAsia="Calibri"/>
          <w:noProof/>
          <w:lang w:val="fr-FR"/>
        </w:rPr>
        <w:t xml:space="preserve"> </w:t>
      </w:r>
      <w:r>
        <w:rPr>
          <w:rFonts w:eastAsia="Calibri"/>
          <w:noProof/>
          <w:lang w:val="fr-FR"/>
        </w:rPr>
        <w:t>mesure conservatoire de suspension de fonctions</w:t>
      </w:r>
      <w:r w:rsidRPr="007238C6">
        <w:rPr>
          <w:rFonts w:eastAsia="Calibri"/>
          <w:noProof/>
          <w:lang w:val="fr-FR"/>
        </w:rPr>
        <w:t xml:space="preserve">, </w:t>
      </w:r>
      <w:r>
        <w:rPr>
          <w:rFonts w:eastAsia="Calibri"/>
          <w:noProof/>
          <w:lang w:val="fr-FR"/>
        </w:rPr>
        <w:t>trois fonctionnaires ont été révoqués et plus de 10</w:t>
      </w:r>
      <w:r w:rsidR="00776EA3">
        <w:rPr>
          <w:rFonts w:eastAsia="Calibri"/>
          <w:noProof/>
          <w:lang w:val="fr-FR"/>
        </w:rPr>
        <w:t> </w:t>
      </w:r>
      <w:r>
        <w:rPr>
          <w:rFonts w:eastAsia="Calibri"/>
          <w:noProof/>
          <w:lang w:val="fr-FR"/>
        </w:rPr>
        <w:t>autres ont fait l</w:t>
      </w:r>
      <w:r w:rsidR="00607CA3">
        <w:rPr>
          <w:rFonts w:eastAsia="Calibri"/>
          <w:noProof/>
          <w:lang w:val="fr-FR"/>
        </w:rPr>
        <w:t>’</w:t>
      </w:r>
      <w:r>
        <w:rPr>
          <w:rFonts w:eastAsia="Calibri"/>
          <w:noProof/>
          <w:lang w:val="fr-FR"/>
        </w:rPr>
        <w:t>objet de sanctions</w:t>
      </w:r>
      <w:r w:rsidRPr="007238C6">
        <w:rPr>
          <w:rFonts w:eastAsia="Calibri"/>
          <w:noProof/>
          <w:lang w:val="fr-FR"/>
        </w:rPr>
        <w:t>. L</w:t>
      </w:r>
      <w:r>
        <w:rPr>
          <w:rFonts w:eastAsia="Calibri"/>
          <w:noProof/>
          <w:lang w:val="fr-FR"/>
        </w:rPr>
        <w:t>es adolescent</w:t>
      </w:r>
      <w:r w:rsidRPr="007238C6">
        <w:rPr>
          <w:rFonts w:eastAsia="Calibri"/>
          <w:noProof/>
          <w:lang w:val="fr-FR"/>
        </w:rPr>
        <w:t xml:space="preserve">s </w:t>
      </w:r>
      <w:r>
        <w:rPr>
          <w:rFonts w:eastAsia="Calibri"/>
          <w:noProof/>
          <w:lang w:val="fr-FR"/>
        </w:rPr>
        <w:t>concernés sont de sexe masculin et ont entre 17 et 19</w:t>
      </w:r>
      <w:r w:rsidR="00776EA3">
        <w:rPr>
          <w:rFonts w:eastAsia="Calibri"/>
          <w:noProof/>
          <w:lang w:val="fr-FR"/>
        </w:rPr>
        <w:t> </w:t>
      </w:r>
      <w:r>
        <w:rPr>
          <w:rFonts w:eastAsia="Calibri"/>
          <w:noProof/>
          <w:lang w:val="fr-FR"/>
        </w:rPr>
        <w:t>ans</w:t>
      </w:r>
      <w:r w:rsidRPr="007238C6">
        <w:rPr>
          <w:rFonts w:eastAsia="Calibri"/>
          <w:noProof/>
          <w:lang w:val="fr-FR"/>
        </w:rPr>
        <w:t>.</w:t>
      </w:r>
    </w:p>
    <w:p w:rsidR="00596826" w:rsidRPr="007238C6" w:rsidRDefault="00596826" w:rsidP="00596826">
      <w:pPr>
        <w:pStyle w:val="SingleTxtG"/>
        <w:rPr>
          <w:noProof/>
          <w:lang w:val="fr-FR" w:eastAsia="es-UY"/>
        </w:rPr>
      </w:pPr>
      <w:r w:rsidRPr="007238C6">
        <w:rPr>
          <w:rFonts w:eastAsia="Calibri"/>
          <w:noProof/>
          <w:lang w:val="fr-FR"/>
        </w:rPr>
        <w:t>175.</w:t>
      </w:r>
      <w:r w:rsidRPr="007238C6">
        <w:rPr>
          <w:rFonts w:eastAsia="Calibri"/>
          <w:noProof/>
          <w:lang w:val="fr-FR"/>
        </w:rPr>
        <w:tab/>
      </w:r>
      <w:r>
        <w:rPr>
          <w:rFonts w:eastAsia="Calibri"/>
          <w:noProof/>
          <w:lang w:val="fr-FR"/>
        </w:rPr>
        <w:t>Vingt-six procédures d</w:t>
      </w:r>
      <w:r w:rsidR="00607CA3">
        <w:rPr>
          <w:rFonts w:eastAsia="Calibri"/>
          <w:noProof/>
          <w:lang w:val="fr-FR"/>
        </w:rPr>
        <w:t>’</w:t>
      </w:r>
      <w:r>
        <w:rPr>
          <w:rFonts w:eastAsia="Calibri"/>
          <w:noProof/>
          <w:lang w:val="fr-FR"/>
        </w:rPr>
        <w:t>instruction portant sur des allégations d</w:t>
      </w:r>
      <w:r w:rsidR="00607CA3">
        <w:rPr>
          <w:rFonts w:eastAsia="Calibri"/>
          <w:noProof/>
          <w:lang w:val="fr-FR"/>
        </w:rPr>
        <w:t>’</w:t>
      </w:r>
      <w:r>
        <w:rPr>
          <w:rFonts w:eastAsia="Calibri"/>
          <w:noProof/>
          <w:lang w:val="fr-FR"/>
        </w:rPr>
        <w:t>actes de torture ont été engagées à la suite des inculpations décidées par le tribunal pénal compétent pour des faits survenus le 24</w:t>
      </w:r>
      <w:r w:rsidR="00776EA3">
        <w:rPr>
          <w:rFonts w:eastAsia="Calibri"/>
          <w:noProof/>
          <w:lang w:val="fr-FR"/>
        </w:rPr>
        <w:t> </w:t>
      </w:r>
      <w:r>
        <w:rPr>
          <w:rFonts w:eastAsia="Calibri"/>
          <w:noProof/>
          <w:lang w:val="fr-FR"/>
        </w:rPr>
        <w:t>juillet 2015</w:t>
      </w:r>
      <w:r w:rsidRPr="007238C6">
        <w:rPr>
          <w:noProof/>
          <w:lang w:val="fr-FR" w:eastAsia="es-UY"/>
        </w:rPr>
        <w:t xml:space="preserve">. </w:t>
      </w:r>
      <w:r>
        <w:rPr>
          <w:noProof/>
          <w:lang w:val="fr-FR" w:eastAsia="es-UY"/>
        </w:rPr>
        <w:t>Ces procédures judiciaires sont en cours pour 12</w:t>
      </w:r>
      <w:r w:rsidR="00776EA3">
        <w:rPr>
          <w:noProof/>
          <w:lang w:val="fr-FR" w:eastAsia="es-UY"/>
        </w:rPr>
        <w:t> </w:t>
      </w:r>
      <w:r>
        <w:rPr>
          <w:noProof/>
          <w:lang w:val="fr-FR" w:eastAsia="es-UY"/>
        </w:rPr>
        <w:t>fonctionnaires et, par suite, les enquêtes administratives ne sont pas closes</w:t>
      </w:r>
      <w:r w:rsidRPr="007238C6">
        <w:rPr>
          <w:noProof/>
          <w:lang w:val="fr-FR" w:eastAsia="es-UY"/>
        </w:rPr>
        <w:t>. L</w:t>
      </w:r>
      <w:r>
        <w:rPr>
          <w:noProof/>
          <w:lang w:val="fr-FR" w:eastAsia="es-UY"/>
        </w:rPr>
        <w:t>e</w:t>
      </w:r>
      <w:r w:rsidRPr="007238C6">
        <w:rPr>
          <w:noProof/>
          <w:lang w:val="fr-FR" w:eastAsia="es-UY"/>
        </w:rPr>
        <w:t xml:space="preserve">s </w:t>
      </w:r>
      <w:r>
        <w:rPr>
          <w:noProof/>
          <w:lang w:val="fr-FR" w:eastAsia="es-UY"/>
        </w:rPr>
        <w:t xml:space="preserve">autres </w:t>
      </w:r>
      <w:r>
        <w:rPr>
          <w:noProof/>
          <w:lang w:val="fr-FR" w:eastAsia="es-UY"/>
        </w:rPr>
        <w:lastRenderedPageBreak/>
        <w:t xml:space="preserve">fonctionnaires </w:t>
      </w:r>
      <w:r>
        <w:rPr>
          <w:noProof/>
          <w:lang w:val="fr-FR"/>
        </w:rPr>
        <w:t>ont bénéficié d</w:t>
      </w:r>
      <w:r w:rsidR="00607CA3">
        <w:rPr>
          <w:noProof/>
          <w:lang w:val="fr-FR"/>
        </w:rPr>
        <w:t>’</w:t>
      </w:r>
      <w:r>
        <w:rPr>
          <w:noProof/>
          <w:lang w:val="fr-FR"/>
        </w:rPr>
        <w:t>un non-lieu et les procédures administratives ont été closes et classées</w:t>
      </w:r>
      <w:r w:rsidRPr="007238C6">
        <w:rPr>
          <w:noProof/>
          <w:lang w:val="fr-FR" w:eastAsia="es-UY"/>
        </w:rPr>
        <w:t>.</w:t>
      </w:r>
    </w:p>
    <w:p w:rsidR="00596826" w:rsidRPr="007238C6" w:rsidRDefault="00596826" w:rsidP="00596826">
      <w:pPr>
        <w:pStyle w:val="SingleTxtG"/>
        <w:rPr>
          <w:rFonts w:eastAsia="Calibri"/>
          <w:noProof/>
          <w:lang w:val="fr-FR"/>
        </w:rPr>
      </w:pPr>
      <w:r w:rsidRPr="007238C6">
        <w:rPr>
          <w:rFonts w:eastAsia="Calibri"/>
          <w:noProof/>
          <w:lang w:val="fr-FR"/>
        </w:rPr>
        <w:t>176.</w:t>
      </w:r>
      <w:r w:rsidRPr="007238C6">
        <w:rPr>
          <w:rFonts w:eastAsia="Calibri"/>
          <w:noProof/>
          <w:lang w:val="fr-FR"/>
        </w:rPr>
        <w:tab/>
      </w:r>
      <w:r>
        <w:rPr>
          <w:rFonts w:eastAsia="Calibri"/>
          <w:noProof/>
          <w:lang w:val="fr-FR"/>
        </w:rPr>
        <w:t>Aucune mesure de réparation n</w:t>
      </w:r>
      <w:r w:rsidR="00607CA3">
        <w:rPr>
          <w:rFonts w:eastAsia="Calibri"/>
          <w:noProof/>
          <w:lang w:val="fr-FR"/>
        </w:rPr>
        <w:t>’</w:t>
      </w:r>
      <w:r>
        <w:rPr>
          <w:rFonts w:eastAsia="Calibri"/>
          <w:noProof/>
          <w:lang w:val="fr-FR"/>
        </w:rPr>
        <w:t>a été adoptée, et les plaintes des adolescent</w:t>
      </w:r>
      <w:r w:rsidRPr="007238C6">
        <w:rPr>
          <w:rFonts w:eastAsia="Calibri"/>
          <w:noProof/>
          <w:lang w:val="fr-FR"/>
        </w:rPr>
        <w:t xml:space="preserve">s </w:t>
      </w:r>
      <w:r>
        <w:rPr>
          <w:rFonts w:eastAsia="Calibri"/>
          <w:noProof/>
          <w:lang w:val="fr-FR"/>
        </w:rPr>
        <w:t>et de leur famille sont examinées par la justice civile sans qu</w:t>
      </w:r>
      <w:r w:rsidR="00607CA3">
        <w:rPr>
          <w:rFonts w:eastAsia="Calibri"/>
          <w:noProof/>
          <w:lang w:val="fr-FR"/>
        </w:rPr>
        <w:t>’</w:t>
      </w:r>
      <w:r>
        <w:rPr>
          <w:rFonts w:eastAsia="Calibri"/>
          <w:noProof/>
          <w:lang w:val="fr-FR"/>
        </w:rPr>
        <w:t>un jugement ayant force de chose jugée ait encore été rendu</w:t>
      </w:r>
      <w:r w:rsidRPr="007238C6">
        <w:rPr>
          <w:rFonts w:eastAsia="Calibri"/>
          <w:noProof/>
          <w:lang w:val="fr-FR"/>
        </w:rPr>
        <w:t>. La protec</w:t>
      </w:r>
      <w:r>
        <w:rPr>
          <w:rFonts w:eastAsia="Calibri"/>
          <w:noProof/>
          <w:lang w:val="fr-FR"/>
        </w:rPr>
        <w:t>tion des victimes et des éventuels témoins est assurée comme suit : les plaintes sont reçues de manière confidentielle, les procédures disciplinaires qui s</w:t>
      </w:r>
      <w:r w:rsidR="00607CA3">
        <w:rPr>
          <w:rFonts w:eastAsia="Calibri"/>
          <w:noProof/>
          <w:lang w:val="fr-FR"/>
        </w:rPr>
        <w:t>’</w:t>
      </w:r>
      <w:r>
        <w:rPr>
          <w:rFonts w:eastAsia="Calibri"/>
          <w:noProof/>
          <w:lang w:val="fr-FR"/>
        </w:rPr>
        <w:t>imposent sont engagées et les mesures provisoires de protection les plus appropriées sont prises, qui consistent en général à déplacer la victime et, le cas échéant, les éventuels agresseurs</w:t>
      </w:r>
      <w:r w:rsidRPr="007238C6">
        <w:rPr>
          <w:rFonts w:eastAsia="Calibri"/>
          <w:noProof/>
          <w:lang w:val="fr-FR"/>
        </w:rPr>
        <w:t>.</w:t>
      </w:r>
    </w:p>
    <w:p w:rsidR="00596826" w:rsidRPr="007238C6" w:rsidRDefault="00596826" w:rsidP="00596826">
      <w:pPr>
        <w:pStyle w:val="SingleTxtG"/>
        <w:rPr>
          <w:rFonts w:eastAsia="Calibri"/>
          <w:noProof/>
          <w:lang w:val="fr-FR"/>
        </w:rPr>
      </w:pPr>
      <w:r w:rsidRPr="007238C6">
        <w:rPr>
          <w:rFonts w:eastAsia="Calibri"/>
          <w:noProof/>
          <w:lang w:val="fr-FR"/>
        </w:rPr>
        <w:t>177.</w:t>
      </w:r>
      <w:r w:rsidRPr="007238C6">
        <w:rPr>
          <w:rFonts w:eastAsia="Calibri"/>
          <w:noProof/>
          <w:lang w:val="fr-FR"/>
        </w:rPr>
        <w:tab/>
        <w:t xml:space="preserve">En </w:t>
      </w:r>
      <w:r>
        <w:rPr>
          <w:rFonts w:eastAsia="Calibri"/>
          <w:noProof/>
          <w:lang w:val="fr-FR"/>
        </w:rPr>
        <w:t>ce qui concerne l</w:t>
      </w:r>
      <w:r w:rsidR="00607CA3">
        <w:rPr>
          <w:rFonts w:eastAsia="Calibri"/>
          <w:noProof/>
          <w:lang w:val="fr-FR"/>
        </w:rPr>
        <w:t>’</w:t>
      </w:r>
      <w:r w:rsidRPr="007238C6">
        <w:rPr>
          <w:rFonts w:eastAsia="Calibri"/>
          <w:noProof/>
          <w:lang w:val="fr-FR"/>
        </w:rPr>
        <w:t>administra</w:t>
      </w:r>
      <w:r>
        <w:rPr>
          <w:rFonts w:eastAsia="Calibri"/>
          <w:noProof/>
          <w:lang w:val="fr-FR"/>
        </w:rPr>
        <w:t xml:space="preserve">tion de </w:t>
      </w:r>
      <w:r w:rsidRPr="007238C6">
        <w:rPr>
          <w:rFonts w:eastAsia="Calibri"/>
          <w:noProof/>
          <w:lang w:val="fr-FR"/>
        </w:rPr>
        <w:t>m</w:t>
      </w:r>
      <w:r>
        <w:rPr>
          <w:rFonts w:eastAsia="Calibri"/>
          <w:noProof/>
          <w:lang w:val="fr-FR"/>
        </w:rPr>
        <w:t>é</w:t>
      </w:r>
      <w:r w:rsidRPr="007238C6">
        <w:rPr>
          <w:rFonts w:eastAsia="Calibri"/>
          <w:noProof/>
          <w:lang w:val="fr-FR"/>
        </w:rPr>
        <w:t xml:space="preserve">dicaments </w:t>
      </w:r>
      <w:r>
        <w:rPr>
          <w:rFonts w:eastAsia="Calibri"/>
          <w:noProof/>
          <w:lang w:val="fr-FR"/>
        </w:rPr>
        <w:t xml:space="preserve">à des mineurs placés dans les centres relevant de </w:t>
      </w:r>
      <w:r w:rsidRPr="00897E42">
        <w:rPr>
          <w:rFonts w:eastAsia="Calibri"/>
          <w:noProof/>
          <w:lang w:val="fr-FR"/>
        </w:rPr>
        <w:t>l</w:t>
      </w:r>
      <w:r w:rsidR="00607CA3">
        <w:rPr>
          <w:rFonts w:eastAsia="Calibri"/>
          <w:noProof/>
          <w:lang w:val="fr-FR"/>
        </w:rPr>
        <w:t>’</w:t>
      </w:r>
      <w:r w:rsidRPr="00897E42">
        <w:rPr>
          <w:noProof/>
          <w:lang w:val="fr-FR"/>
        </w:rPr>
        <w:t>Institut national pour l</w:t>
      </w:r>
      <w:r w:rsidR="00607CA3">
        <w:rPr>
          <w:noProof/>
          <w:lang w:val="fr-FR"/>
        </w:rPr>
        <w:t>’</w:t>
      </w:r>
      <w:r w:rsidRPr="00897E42">
        <w:rPr>
          <w:noProof/>
          <w:lang w:val="fr-FR"/>
        </w:rPr>
        <w:t>insertion sociale des adolescents</w:t>
      </w:r>
      <w:r w:rsidRPr="007238C6">
        <w:rPr>
          <w:rFonts w:eastAsia="Calibri"/>
          <w:noProof/>
          <w:lang w:val="fr-FR"/>
        </w:rPr>
        <w:t xml:space="preserve">, </w:t>
      </w:r>
      <w:r>
        <w:rPr>
          <w:rFonts w:eastAsia="Calibri"/>
          <w:noProof/>
          <w:lang w:val="fr-FR"/>
        </w:rPr>
        <w:t>en</w:t>
      </w:r>
      <w:r w:rsidRPr="007238C6">
        <w:rPr>
          <w:rFonts w:eastAsia="Calibri"/>
          <w:noProof/>
          <w:lang w:val="fr-FR"/>
        </w:rPr>
        <w:t xml:space="preserve"> </w:t>
      </w:r>
      <w:r w:rsidRPr="007238C6">
        <w:rPr>
          <w:noProof/>
          <w:lang w:val="fr-FR"/>
        </w:rPr>
        <w:t>2013</w:t>
      </w:r>
      <w:r>
        <w:rPr>
          <w:noProof/>
          <w:lang w:val="fr-FR"/>
        </w:rPr>
        <w:t>, on a confirmé qu</w:t>
      </w:r>
      <w:r w:rsidR="00607CA3">
        <w:rPr>
          <w:noProof/>
          <w:lang w:val="fr-FR"/>
        </w:rPr>
        <w:t>’</w:t>
      </w:r>
      <w:r>
        <w:rPr>
          <w:noProof/>
          <w:lang w:val="fr-FR"/>
        </w:rPr>
        <w:t>un fait de cette nature qui s</w:t>
      </w:r>
      <w:r w:rsidR="00607CA3">
        <w:rPr>
          <w:noProof/>
          <w:lang w:val="fr-FR"/>
        </w:rPr>
        <w:t>’</w:t>
      </w:r>
      <w:r>
        <w:rPr>
          <w:noProof/>
          <w:lang w:val="fr-FR"/>
        </w:rPr>
        <w:t xml:space="preserve">était produit au centre </w:t>
      </w:r>
      <w:r w:rsidRPr="007238C6">
        <w:rPr>
          <w:rFonts w:eastAsia="Calibri"/>
          <w:noProof/>
          <w:lang w:val="fr-FR"/>
        </w:rPr>
        <w:t xml:space="preserve">Desafío </w:t>
      </w:r>
      <w:r>
        <w:rPr>
          <w:rFonts w:eastAsia="Calibri"/>
          <w:noProof/>
          <w:lang w:val="fr-FR"/>
        </w:rPr>
        <w:t>avait été classé a</w:t>
      </w:r>
      <w:r w:rsidR="00691AD9">
        <w:rPr>
          <w:rFonts w:eastAsia="Calibri"/>
          <w:noProof/>
          <w:lang w:val="fr-FR"/>
        </w:rPr>
        <w:t>u</w:t>
      </w:r>
      <w:r>
        <w:rPr>
          <w:rFonts w:eastAsia="Calibri"/>
          <w:noProof/>
          <w:lang w:val="fr-FR"/>
        </w:rPr>
        <w:t xml:space="preserve"> mois de février de l</w:t>
      </w:r>
      <w:r w:rsidR="00607CA3">
        <w:rPr>
          <w:rFonts w:eastAsia="Calibri"/>
          <w:noProof/>
          <w:lang w:val="fr-FR"/>
        </w:rPr>
        <w:t>’</w:t>
      </w:r>
      <w:r>
        <w:rPr>
          <w:rFonts w:eastAsia="Calibri"/>
          <w:noProof/>
          <w:lang w:val="fr-FR"/>
        </w:rPr>
        <w:t>année en cours</w:t>
      </w:r>
      <w:r w:rsidRPr="007238C6">
        <w:rPr>
          <w:rFonts w:eastAsia="Calibri"/>
          <w:noProof/>
          <w:lang w:val="fr-FR"/>
        </w:rPr>
        <w:t>. En 2014</w:t>
      </w:r>
      <w:r>
        <w:rPr>
          <w:rFonts w:eastAsia="Calibri"/>
          <w:noProof/>
          <w:lang w:val="fr-FR"/>
        </w:rPr>
        <w:t>,</w:t>
      </w:r>
      <w:r w:rsidRPr="007238C6">
        <w:rPr>
          <w:rFonts w:eastAsia="Calibri"/>
          <w:noProof/>
          <w:lang w:val="fr-FR"/>
        </w:rPr>
        <w:t xml:space="preserve"> </w:t>
      </w:r>
      <w:r>
        <w:rPr>
          <w:rFonts w:eastAsia="Calibri"/>
          <w:noProof/>
          <w:lang w:val="fr-FR"/>
        </w:rPr>
        <w:t>on a eu connaissance d</w:t>
      </w:r>
      <w:r w:rsidR="00607CA3">
        <w:rPr>
          <w:rFonts w:eastAsia="Calibri"/>
          <w:noProof/>
          <w:lang w:val="fr-FR"/>
        </w:rPr>
        <w:t>’</w:t>
      </w:r>
      <w:r>
        <w:rPr>
          <w:rFonts w:eastAsia="Calibri"/>
          <w:noProof/>
          <w:lang w:val="fr-FR"/>
        </w:rPr>
        <w:t>un autre fait de cette nature survenu au même centre</w:t>
      </w:r>
      <w:r w:rsidR="00776EA3">
        <w:rPr>
          <w:rFonts w:eastAsia="Calibri"/>
          <w:noProof/>
          <w:lang w:val="fr-FR"/>
        </w:rPr>
        <w:t> </w:t>
      </w:r>
      <w:r>
        <w:rPr>
          <w:rFonts w:eastAsia="Calibri"/>
          <w:noProof/>
          <w:lang w:val="fr-FR"/>
        </w:rPr>
        <w:t xml:space="preserve">; le Département chargé des enquêtes en est actuellement saisi. En </w:t>
      </w:r>
      <w:r w:rsidRPr="007238C6">
        <w:rPr>
          <w:rFonts w:eastAsia="Calibri"/>
          <w:noProof/>
          <w:lang w:val="fr-FR"/>
        </w:rPr>
        <w:t>2016</w:t>
      </w:r>
      <w:r>
        <w:rPr>
          <w:rFonts w:eastAsia="Calibri"/>
          <w:noProof/>
          <w:lang w:val="fr-FR"/>
        </w:rPr>
        <w:t>,</w:t>
      </w:r>
      <w:r w:rsidRPr="007238C6">
        <w:rPr>
          <w:rFonts w:eastAsia="Calibri"/>
          <w:noProof/>
          <w:lang w:val="fr-FR"/>
        </w:rPr>
        <w:t xml:space="preserve"> </w:t>
      </w:r>
      <w:r>
        <w:rPr>
          <w:rFonts w:eastAsia="Calibri"/>
          <w:noProof/>
          <w:lang w:val="fr-FR"/>
        </w:rPr>
        <w:t xml:space="preserve">on a signalé </w:t>
      </w:r>
      <w:r>
        <w:rPr>
          <w:noProof/>
          <w:lang w:val="fr-FR"/>
        </w:rPr>
        <w:t>qu</w:t>
      </w:r>
      <w:r w:rsidR="00607CA3">
        <w:rPr>
          <w:noProof/>
          <w:lang w:val="fr-FR"/>
        </w:rPr>
        <w:t>’</w:t>
      </w:r>
      <w:r>
        <w:rPr>
          <w:noProof/>
          <w:lang w:val="fr-FR"/>
        </w:rPr>
        <w:t>un fait de cette nature s</w:t>
      </w:r>
      <w:r w:rsidR="00607CA3">
        <w:rPr>
          <w:noProof/>
          <w:lang w:val="fr-FR"/>
        </w:rPr>
        <w:t>’</w:t>
      </w:r>
      <w:r>
        <w:rPr>
          <w:noProof/>
          <w:lang w:val="fr-FR"/>
        </w:rPr>
        <w:t xml:space="preserve">était produit au centre </w:t>
      </w:r>
      <w:r w:rsidRPr="007238C6">
        <w:rPr>
          <w:rFonts w:eastAsia="Calibri"/>
          <w:noProof/>
          <w:lang w:val="fr-FR"/>
        </w:rPr>
        <w:t>CIAF</w:t>
      </w:r>
      <w:r w:rsidR="00776EA3">
        <w:rPr>
          <w:rFonts w:eastAsia="Calibri"/>
          <w:noProof/>
          <w:lang w:val="fr-FR"/>
        </w:rPr>
        <w:t> </w:t>
      </w:r>
      <w:r>
        <w:rPr>
          <w:rFonts w:eastAsia="Calibri"/>
          <w:noProof/>
          <w:lang w:val="fr-FR"/>
        </w:rPr>
        <w:t>;</w:t>
      </w:r>
      <w:r w:rsidRPr="007238C6">
        <w:rPr>
          <w:rFonts w:eastAsia="Calibri"/>
          <w:noProof/>
          <w:lang w:val="fr-FR"/>
        </w:rPr>
        <w:t xml:space="preserve"> </w:t>
      </w:r>
      <w:r>
        <w:rPr>
          <w:rFonts w:eastAsia="Calibri"/>
          <w:noProof/>
          <w:lang w:val="fr-FR"/>
        </w:rPr>
        <w:t>le Département chargé des enquêtes en est actuellement saisi</w:t>
      </w:r>
      <w:r w:rsidRPr="007238C6">
        <w:rPr>
          <w:rFonts w:eastAsia="Calibri"/>
          <w:noProof/>
          <w:lang w:val="fr-FR"/>
        </w:rPr>
        <w:t>.</w:t>
      </w:r>
    </w:p>
    <w:p w:rsidR="00596826" w:rsidRPr="000B4CDB" w:rsidRDefault="00596826" w:rsidP="00776EA3">
      <w:pPr>
        <w:pStyle w:val="H1G"/>
        <w:rPr>
          <w:noProof/>
          <w:lang w:val="fr-FR"/>
        </w:rPr>
      </w:pPr>
      <w:r w:rsidRPr="00411326">
        <w:tab/>
      </w:r>
      <w:r w:rsidRPr="00411326">
        <w:tab/>
      </w:r>
      <w:r w:rsidRPr="000B4CDB">
        <w:rPr>
          <w:noProof/>
          <w:lang w:val="fr-FR"/>
        </w:rPr>
        <w:t>Art</w:t>
      </w:r>
      <w:r>
        <w:rPr>
          <w:noProof/>
          <w:lang w:val="fr-FR"/>
        </w:rPr>
        <w:t xml:space="preserve">icle </w:t>
      </w:r>
      <w:r w:rsidRPr="000B4CDB">
        <w:rPr>
          <w:noProof/>
          <w:lang w:val="fr-FR"/>
        </w:rPr>
        <w:t xml:space="preserve">14 </w:t>
      </w:r>
    </w:p>
    <w:p w:rsidR="00596826" w:rsidRPr="000B4CDB" w:rsidRDefault="00596826" w:rsidP="00596826">
      <w:pPr>
        <w:pStyle w:val="SingleTxtG"/>
        <w:rPr>
          <w:noProof/>
          <w:lang w:val="fr-FR"/>
        </w:rPr>
      </w:pPr>
      <w:r w:rsidRPr="000B4CDB">
        <w:rPr>
          <w:rFonts w:eastAsia="Calibri"/>
          <w:noProof/>
          <w:lang w:val="fr-FR"/>
        </w:rPr>
        <w:t>178.</w:t>
      </w:r>
      <w:r w:rsidRPr="000B4CDB">
        <w:rPr>
          <w:rFonts w:eastAsia="Calibri"/>
          <w:noProof/>
          <w:lang w:val="fr-FR"/>
        </w:rPr>
        <w:tab/>
        <w:t xml:space="preserve">En Uruguay, </w:t>
      </w:r>
      <w:r>
        <w:rPr>
          <w:rFonts w:eastAsia="Calibri"/>
          <w:noProof/>
          <w:lang w:val="fr-FR"/>
        </w:rPr>
        <w:t>il est juridiquement possible, d</w:t>
      </w:r>
      <w:r w:rsidR="00607CA3">
        <w:rPr>
          <w:rFonts w:eastAsia="Calibri"/>
          <w:noProof/>
          <w:lang w:val="fr-FR"/>
        </w:rPr>
        <w:t>’</w:t>
      </w:r>
      <w:r>
        <w:rPr>
          <w:rFonts w:eastAsia="Calibri"/>
          <w:noProof/>
          <w:lang w:val="fr-FR"/>
        </w:rPr>
        <w:t>une façon générale, pour toute personne lésée par un acte illicite d</w:t>
      </w:r>
      <w:r w:rsidR="00607CA3">
        <w:rPr>
          <w:rFonts w:eastAsia="Calibri"/>
          <w:noProof/>
          <w:lang w:val="fr-FR"/>
        </w:rPr>
        <w:t>’</w:t>
      </w:r>
      <w:r>
        <w:rPr>
          <w:rFonts w:eastAsia="Calibri"/>
          <w:noProof/>
          <w:lang w:val="fr-FR"/>
        </w:rPr>
        <w:t>un sujet (de droit privé ou de droit public) d</w:t>
      </w:r>
      <w:r w:rsidR="00607CA3">
        <w:rPr>
          <w:rFonts w:eastAsia="Calibri"/>
          <w:noProof/>
          <w:lang w:val="fr-FR"/>
        </w:rPr>
        <w:t>’</w:t>
      </w:r>
      <w:r>
        <w:rPr>
          <w:rFonts w:eastAsia="Calibri"/>
          <w:noProof/>
          <w:lang w:val="fr-FR"/>
        </w:rPr>
        <w:t>obtenir une indemnisation correspondant au préjudice subi en saisissant un tribunal.</w:t>
      </w:r>
      <w:r w:rsidRPr="000B4CDB">
        <w:rPr>
          <w:rFonts w:eastAsia="Calibri"/>
          <w:noProof/>
          <w:lang w:val="fr-FR"/>
        </w:rPr>
        <w:t xml:space="preserve"> </w:t>
      </w:r>
      <w:r>
        <w:rPr>
          <w:rFonts w:eastAsia="Calibri"/>
          <w:noProof/>
          <w:lang w:val="fr-FR"/>
        </w:rPr>
        <w:t>Toutefois, les informations en matière d</w:t>
      </w:r>
      <w:r w:rsidR="00607CA3">
        <w:rPr>
          <w:rFonts w:eastAsia="Calibri"/>
          <w:noProof/>
          <w:lang w:val="fr-FR"/>
        </w:rPr>
        <w:t>’</w:t>
      </w:r>
      <w:r>
        <w:rPr>
          <w:rFonts w:eastAsia="Calibri"/>
          <w:noProof/>
          <w:lang w:val="fr-FR"/>
        </w:rPr>
        <w:t>indemnisation n</w:t>
      </w:r>
      <w:r w:rsidR="00607CA3">
        <w:rPr>
          <w:rFonts w:eastAsia="Calibri"/>
          <w:noProof/>
          <w:lang w:val="fr-FR"/>
        </w:rPr>
        <w:t>’</w:t>
      </w:r>
      <w:r>
        <w:rPr>
          <w:rFonts w:eastAsia="Calibri"/>
          <w:noProof/>
          <w:lang w:val="fr-FR"/>
        </w:rPr>
        <w:t>étant pas systématisées, il n</w:t>
      </w:r>
      <w:r w:rsidR="00607CA3">
        <w:rPr>
          <w:rFonts w:eastAsia="Calibri"/>
          <w:noProof/>
          <w:lang w:val="fr-FR"/>
        </w:rPr>
        <w:t>’</w:t>
      </w:r>
      <w:r>
        <w:rPr>
          <w:rFonts w:eastAsia="Calibri"/>
          <w:noProof/>
          <w:lang w:val="fr-FR"/>
        </w:rPr>
        <w:t>est pas possible d</w:t>
      </w:r>
      <w:r w:rsidR="00607CA3">
        <w:rPr>
          <w:rFonts w:eastAsia="Calibri"/>
          <w:noProof/>
          <w:lang w:val="fr-FR"/>
        </w:rPr>
        <w:t>’</w:t>
      </w:r>
      <w:r>
        <w:rPr>
          <w:rFonts w:eastAsia="Calibri"/>
          <w:noProof/>
          <w:lang w:val="fr-FR"/>
        </w:rPr>
        <w:t>indiquer le nombre total d</w:t>
      </w:r>
      <w:r w:rsidR="00607CA3">
        <w:rPr>
          <w:rFonts w:eastAsia="Calibri"/>
          <w:noProof/>
          <w:lang w:val="fr-FR"/>
        </w:rPr>
        <w:t>’</w:t>
      </w:r>
      <w:r>
        <w:rPr>
          <w:rFonts w:eastAsia="Calibri"/>
          <w:noProof/>
          <w:lang w:val="fr-FR"/>
        </w:rPr>
        <w:t>indemnisations et de réparations qui ont été accordées dans le pays</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179.</w:t>
      </w:r>
      <w:r w:rsidRPr="000B4CDB">
        <w:rPr>
          <w:rFonts w:eastAsia="Calibri"/>
          <w:noProof/>
          <w:lang w:val="fr-FR"/>
        </w:rPr>
        <w:tab/>
        <w:t xml:space="preserve">La </w:t>
      </w:r>
      <w:r>
        <w:rPr>
          <w:rFonts w:eastAsia="Calibri"/>
          <w:noProof/>
          <w:lang w:val="fr-FR"/>
        </w:rPr>
        <w:t xml:space="preserve">loi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18596</w:t>
      </w:r>
      <w:r w:rsidRPr="00776EA3">
        <w:rPr>
          <w:rStyle w:val="Appelnotedebasdep"/>
        </w:rPr>
        <w:footnoteReference w:id="38"/>
      </w:r>
      <w:r w:rsidRPr="000B4CDB">
        <w:rPr>
          <w:rFonts w:eastAsia="Calibri"/>
          <w:noProof/>
          <w:lang w:val="fr-FR"/>
        </w:rPr>
        <w:t>, d</w:t>
      </w:r>
      <w:r>
        <w:rPr>
          <w:rFonts w:eastAsia="Calibri"/>
          <w:noProof/>
          <w:lang w:val="fr-FR"/>
        </w:rPr>
        <w:t>u</w:t>
      </w:r>
      <w:r w:rsidRPr="000B4CDB">
        <w:rPr>
          <w:rFonts w:eastAsia="Calibri"/>
          <w:noProof/>
          <w:lang w:val="fr-FR"/>
        </w:rPr>
        <w:t xml:space="preserve"> 18</w:t>
      </w:r>
      <w:r w:rsidR="00776EA3">
        <w:rPr>
          <w:rFonts w:eastAsia="Calibri"/>
          <w:noProof/>
          <w:lang w:val="fr-FR"/>
        </w:rPr>
        <w:t> </w:t>
      </w:r>
      <w:r w:rsidRPr="000B4CDB">
        <w:rPr>
          <w:rFonts w:eastAsia="Calibri"/>
          <w:noProof/>
          <w:lang w:val="fr-FR"/>
        </w:rPr>
        <w:t>se</w:t>
      </w:r>
      <w:r>
        <w:rPr>
          <w:rFonts w:eastAsia="Calibri"/>
          <w:noProof/>
          <w:lang w:val="fr-FR"/>
        </w:rPr>
        <w:t>p</w:t>
      </w:r>
      <w:r w:rsidRPr="000B4CDB">
        <w:rPr>
          <w:rFonts w:eastAsia="Calibri"/>
          <w:noProof/>
          <w:lang w:val="fr-FR"/>
        </w:rPr>
        <w:t>tembre 2009</w:t>
      </w:r>
      <w:r w:rsidRPr="008D6F69">
        <w:rPr>
          <w:rFonts w:eastAsia="Calibri"/>
          <w:noProof/>
          <w:lang w:val="fr-FR"/>
        </w:rPr>
        <w:t xml:space="preserve">, </w:t>
      </w:r>
      <w:r w:rsidRPr="008D6F69">
        <w:rPr>
          <w:noProof/>
          <w:lang w:val="fr-FR"/>
        </w:rPr>
        <w:t>a reconnu l</w:t>
      </w:r>
      <w:r w:rsidR="00607CA3">
        <w:rPr>
          <w:noProof/>
          <w:lang w:val="fr-FR"/>
        </w:rPr>
        <w:t>’</w:t>
      </w:r>
      <w:r w:rsidRPr="008D6F69">
        <w:rPr>
          <w:noProof/>
          <w:lang w:val="fr-FR"/>
        </w:rPr>
        <w:t>illégitimité de l</w:t>
      </w:r>
      <w:r w:rsidR="00607CA3">
        <w:rPr>
          <w:noProof/>
          <w:lang w:val="fr-FR"/>
        </w:rPr>
        <w:t>’</w:t>
      </w:r>
      <w:r w:rsidRPr="008D6F69">
        <w:rPr>
          <w:noProof/>
          <w:lang w:val="fr-FR"/>
        </w:rPr>
        <w:t>action de l</w:t>
      </w:r>
      <w:r w:rsidR="00607CA3">
        <w:rPr>
          <w:noProof/>
          <w:lang w:val="fr-FR"/>
        </w:rPr>
        <w:t>’</w:t>
      </w:r>
      <w:r w:rsidRPr="008D6F69">
        <w:rPr>
          <w:noProof/>
          <w:lang w:val="fr-FR"/>
        </w:rPr>
        <w:t>État qui a entraîné la rupture de l</w:t>
      </w:r>
      <w:r w:rsidR="00607CA3">
        <w:rPr>
          <w:noProof/>
          <w:lang w:val="fr-FR"/>
        </w:rPr>
        <w:t>’</w:t>
      </w:r>
      <w:r w:rsidRPr="008D6F69">
        <w:rPr>
          <w:noProof/>
          <w:lang w:val="fr-FR"/>
        </w:rPr>
        <w:t>état de droit</w:t>
      </w:r>
      <w:r w:rsidRPr="008D6F69">
        <w:rPr>
          <w:rFonts w:eastAsia="Calibri"/>
          <w:noProof/>
          <w:lang w:val="fr-FR"/>
        </w:rPr>
        <w:t xml:space="preserve"> entr</w:t>
      </w:r>
      <w:r w:rsidRPr="000B4CDB">
        <w:rPr>
          <w:rFonts w:eastAsia="Calibri"/>
          <w:noProof/>
          <w:lang w:val="fr-FR"/>
        </w:rPr>
        <w:t xml:space="preserve">e </w:t>
      </w:r>
      <w:r>
        <w:rPr>
          <w:rFonts w:eastAsia="Calibri"/>
          <w:noProof/>
          <w:lang w:val="fr-FR"/>
        </w:rPr>
        <w:t xml:space="preserve">le </w:t>
      </w:r>
      <w:r w:rsidRPr="000B4CDB">
        <w:rPr>
          <w:rFonts w:eastAsia="Calibri"/>
          <w:noProof/>
          <w:lang w:val="fr-FR"/>
        </w:rPr>
        <w:t>27</w:t>
      </w:r>
      <w:r w:rsidR="00776EA3">
        <w:rPr>
          <w:rFonts w:eastAsia="Calibri"/>
          <w:noProof/>
          <w:lang w:val="fr-FR"/>
        </w:rPr>
        <w:t> </w:t>
      </w:r>
      <w:r>
        <w:rPr>
          <w:rFonts w:eastAsia="Calibri"/>
          <w:noProof/>
          <w:lang w:val="fr-FR"/>
        </w:rPr>
        <w:t xml:space="preserve">juin </w:t>
      </w:r>
      <w:r w:rsidRPr="000B4CDB">
        <w:rPr>
          <w:rFonts w:eastAsia="Calibri"/>
          <w:noProof/>
          <w:lang w:val="fr-FR"/>
        </w:rPr>
        <w:t xml:space="preserve">1973 </w:t>
      </w:r>
      <w:r>
        <w:rPr>
          <w:rFonts w:eastAsia="Calibri"/>
          <w:noProof/>
          <w:lang w:val="fr-FR"/>
        </w:rPr>
        <w:t xml:space="preserve">et le </w:t>
      </w:r>
      <w:r w:rsidRPr="000B4CDB">
        <w:rPr>
          <w:rFonts w:eastAsia="Calibri"/>
          <w:noProof/>
          <w:lang w:val="fr-FR"/>
        </w:rPr>
        <w:t>28</w:t>
      </w:r>
      <w:r w:rsidR="00776EA3">
        <w:rPr>
          <w:rFonts w:eastAsia="Calibri"/>
          <w:noProof/>
          <w:lang w:val="fr-FR"/>
        </w:rPr>
        <w:t> </w:t>
      </w:r>
      <w:r>
        <w:rPr>
          <w:rFonts w:eastAsia="Calibri"/>
          <w:noProof/>
          <w:lang w:val="fr-FR"/>
        </w:rPr>
        <w:t xml:space="preserve">février </w:t>
      </w:r>
      <w:r w:rsidRPr="000B4CDB">
        <w:rPr>
          <w:rFonts w:eastAsia="Calibri"/>
          <w:noProof/>
          <w:lang w:val="fr-FR"/>
        </w:rPr>
        <w:t>1985.</w:t>
      </w:r>
    </w:p>
    <w:p w:rsidR="00596826" w:rsidRPr="000B4CDB" w:rsidRDefault="00596826" w:rsidP="00596826">
      <w:pPr>
        <w:pStyle w:val="SingleTxtG"/>
        <w:rPr>
          <w:rFonts w:eastAsia="Calibri"/>
          <w:b/>
          <w:noProof/>
          <w:lang w:val="fr-FR"/>
        </w:rPr>
      </w:pPr>
      <w:r w:rsidRPr="000B4CDB">
        <w:rPr>
          <w:rFonts w:eastAsia="Calibri"/>
          <w:noProof/>
          <w:lang w:val="fr-FR"/>
        </w:rPr>
        <w:t>180.</w:t>
      </w:r>
      <w:r w:rsidRPr="000B4CDB">
        <w:rPr>
          <w:rFonts w:eastAsia="Calibri"/>
          <w:noProof/>
          <w:lang w:val="fr-FR"/>
        </w:rPr>
        <w:tab/>
      </w:r>
      <w:r>
        <w:rPr>
          <w:rFonts w:eastAsia="Calibri"/>
          <w:noProof/>
          <w:lang w:val="fr-FR"/>
        </w:rPr>
        <w:t>Considérant l</w:t>
      </w:r>
      <w:r w:rsidR="00607CA3">
        <w:rPr>
          <w:rFonts w:eastAsia="Calibri"/>
          <w:noProof/>
          <w:lang w:val="fr-FR"/>
        </w:rPr>
        <w:t>’</w:t>
      </w:r>
      <w:r>
        <w:rPr>
          <w:rFonts w:eastAsia="Calibri"/>
          <w:noProof/>
          <w:lang w:val="fr-FR"/>
        </w:rPr>
        <w:t>État uruguayen responsable</w:t>
      </w:r>
      <w:r w:rsidRPr="000B4CDB">
        <w:rPr>
          <w:rFonts w:eastAsia="Calibri"/>
          <w:noProof/>
          <w:lang w:val="fr-FR"/>
        </w:rPr>
        <w:t xml:space="preserve">, </w:t>
      </w:r>
      <w:r w:rsidRPr="008D6F69">
        <w:rPr>
          <w:noProof/>
          <w:lang w:val="fr-FR"/>
        </w:rPr>
        <w:t>par l</w:t>
      </w:r>
      <w:r w:rsidR="00607CA3">
        <w:rPr>
          <w:noProof/>
          <w:lang w:val="fr-FR"/>
        </w:rPr>
        <w:t>’</w:t>
      </w:r>
      <w:r w:rsidRPr="008D6F69">
        <w:rPr>
          <w:noProof/>
          <w:lang w:val="fr-FR"/>
        </w:rPr>
        <w:t>exercice ou la carence de la puissance pu</w:t>
      </w:r>
      <w:r w:rsidRPr="00411326">
        <w:t xml:space="preserve">blique, </w:t>
      </w:r>
      <w:r>
        <w:rPr>
          <w:rFonts w:eastAsia="Calibri"/>
          <w:noProof/>
          <w:lang w:val="fr-FR"/>
        </w:rPr>
        <w:t>de la pratique systématique de la torture</w:t>
      </w:r>
      <w:r w:rsidRPr="000B4CDB">
        <w:rPr>
          <w:rFonts w:eastAsia="Calibri"/>
          <w:noProof/>
          <w:lang w:val="fr-FR"/>
        </w:rPr>
        <w:t xml:space="preserve">, </w:t>
      </w:r>
      <w:r>
        <w:rPr>
          <w:rFonts w:eastAsia="Calibri"/>
          <w:noProof/>
          <w:lang w:val="fr-FR"/>
        </w:rPr>
        <w:t xml:space="preserve">des disparitions forcées et de la détention extrajudiciaire </w:t>
      </w:r>
      <w:r w:rsidRPr="000B4CDB">
        <w:rPr>
          <w:rFonts w:eastAsia="Calibri"/>
          <w:noProof/>
          <w:lang w:val="fr-FR"/>
        </w:rPr>
        <w:t xml:space="preserve">entre </w:t>
      </w:r>
      <w:r>
        <w:rPr>
          <w:rFonts w:eastAsia="Calibri"/>
          <w:noProof/>
          <w:lang w:val="fr-FR"/>
        </w:rPr>
        <w:t>le</w:t>
      </w:r>
      <w:r w:rsidRPr="000B4CDB">
        <w:rPr>
          <w:rFonts w:eastAsia="Calibri"/>
          <w:noProof/>
          <w:lang w:val="fr-FR"/>
        </w:rPr>
        <w:t xml:space="preserve"> 13</w:t>
      </w:r>
      <w:r w:rsidR="00776EA3">
        <w:rPr>
          <w:rFonts w:eastAsia="Calibri"/>
          <w:noProof/>
          <w:lang w:val="fr-FR"/>
        </w:rPr>
        <w:t> </w:t>
      </w:r>
      <w:r>
        <w:rPr>
          <w:rFonts w:eastAsia="Calibri"/>
          <w:noProof/>
          <w:lang w:val="fr-FR"/>
        </w:rPr>
        <w:t xml:space="preserve">juin </w:t>
      </w:r>
      <w:r w:rsidRPr="000B4CDB">
        <w:rPr>
          <w:rFonts w:eastAsia="Calibri"/>
          <w:noProof/>
          <w:lang w:val="fr-FR"/>
        </w:rPr>
        <w:t xml:space="preserve">1968 </w:t>
      </w:r>
      <w:r>
        <w:rPr>
          <w:rFonts w:eastAsia="Calibri"/>
          <w:noProof/>
          <w:lang w:val="fr-FR"/>
        </w:rPr>
        <w:t xml:space="preserve">et le </w:t>
      </w:r>
      <w:r w:rsidRPr="000B4CDB">
        <w:rPr>
          <w:rFonts w:eastAsia="Calibri"/>
          <w:noProof/>
          <w:lang w:val="fr-FR"/>
        </w:rPr>
        <w:t>26</w:t>
      </w:r>
      <w:r w:rsidR="00776EA3">
        <w:rPr>
          <w:rFonts w:eastAsia="Calibri"/>
          <w:noProof/>
          <w:lang w:val="fr-FR"/>
        </w:rPr>
        <w:t> </w:t>
      </w:r>
      <w:r>
        <w:rPr>
          <w:rFonts w:eastAsia="Calibri"/>
          <w:noProof/>
          <w:lang w:val="fr-FR"/>
        </w:rPr>
        <w:t xml:space="preserve">juin </w:t>
      </w:r>
      <w:r w:rsidRPr="000B4CDB">
        <w:rPr>
          <w:rFonts w:eastAsia="Calibri"/>
          <w:noProof/>
          <w:lang w:val="fr-FR"/>
        </w:rPr>
        <w:t xml:space="preserve">1973, </w:t>
      </w:r>
      <w:r>
        <w:rPr>
          <w:rFonts w:eastAsia="Calibri"/>
          <w:noProof/>
          <w:lang w:val="fr-FR"/>
        </w:rPr>
        <w:t>la loi susvisée a accordé aux victimes (définies aux articles 4 et 5) le droit à une réparation intégrale</w:t>
      </w:r>
      <w:r w:rsidRPr="000B4CDB">
        <w:rPr>
          <w:rFonts w:eastAsia="Calibri"/>
          <w:noProof/>
          <w:lang w:val="fr-FR"/>
        </w:rPr>
        <w:t xml:space="preserve">. </w:t>
      </w:r>
      <w:r>
        <w:rPr>
          <w:rFonts w:eastAsia="Calibri"/>
          <w:noProof/>
          <w:lang w:val="fr-FR"/>
        </w:rPr>
        <w:t xml:space="preserve">Aux termes de cette loi, les victimes bénéficieront de mesures </w:t>
      </w:r>
      <w:r w:rsidRPr="000B4CDB">
        <w:rPr>
          <w:rFonts w:eastAsia="Calibri"/>
          <w:noProof/>
          <w:lang w:val="fr-FR"/>
        </w:rPr>
        <w:t>ad</w:t>
      </w:r>
      <w:r>
        <w:rPr>
          <w:rFonts w:eastAsia="Calibri"/>
          <w:noProof/>
          <w:lang w:val="fr-FR"/>
        </w:rPr>
        <w:t xml:space="preserve">équates </w:t>
      </w:r>
      <w:r w:rsidRPr="00075685">
        <w:rPr>
          <w:rFonts w:eastAsia="Calibri"/>
          <w:noProof/>
          <w:lang w:val="fr-FR"/>
        </w:rPr>
        <w:t xml:space="preserve">de </w:t>
      </w:r>
      <w:r w:rsidRPr="00075685">
        <w:rPr>
          <w:noProof/>
          <w:lang w:val="fr-FR"/>
        </w:rPr>
        <w:t>restitution, indemnisation, réadaptation et satisfaction, ainsi qu</w:t>
      </w:r>
      <w:r w:rsidRPr="00411326">
        <w:t xml:space="preserve">e de </w:t>
      </w:r>
      <w:r w:rsidRPr="000B4CDB">
        <w:rPr>
          <w:rFonts w:eastAsia="Calibri"/>
          <w:noProof/>
          <w:lang w:val="fr-FR"/>
        </w:rPr>
        <w:t>garant</w:t>
      </w:r>
      <w:r>
        <w:rPr>
          <w:rFonts w:eastAsia="Calibri"/>
          <w:noProof/>
          <w:lang w:val="fr-FR"/>
        </w:rPr>
        <w:t>ie</w:t>
      </w:r>
      <w:r w:rsidRPr="000B4CDB">
        <w:rPr>
          <w:rFonts w:eastAsia="Calibri"/>
          <w:noProof/>
          <w:lang w:val="fr-FR"/>
        </w:rPr>
        <w:t>s de no</w:t>
      </w:r>
      <w:r>
        <w:rPr>
          <w:rFonts w:eastAsia="Calibri"/>
          <w:noProof/>
          <w:lang w:val="fr-FR"/>
        </w:rPr>
        <w:t>n-</w:t>
      </w:r>
      <w:r w:rsidRPr="000B4CDB">
        <w:rPr>
          <w:rFonts w:eastAsia="Calibri"/>
          <w:noProof/>
          <w:lang w:val="fr-FR"/>
        </w:rPr>
        <w:t>r</w:t>
      </w:r>
      <w:r>
        <w:rPr>
          <w:rFonts w:eastAsia="Calibri"/>
          <w:noProof/>
          <w:lang w:val="fr-FR"/>
        </w:rPr>
        <w:t>é</w:t>
      </w:r>
      <w:r w:rsidRPr="000B4CDB">
        <w:rPr>
          <w:rFonts w:eastAsia="Calibri"/>
          <w:noProof/>
          <w:lang w:val="fr-FR"/>
        </w:rPr>
        <w:t>p</w:t>
      </w:r>
      <w:r>
        <w:rPr>
          <w:rFonts w:eastAsia="Calibri"/>
          <w:noProof/>
          <w:lang w:val="fr-FR"/>
        </w:rPr>
        <w:t>é</w:t>
      </w:r>
      <w:r w:rsidRPr="000B4CDB">
        <w:rPr>
          <w:rFonts w:eastAsia="Calibri"/>
          <w:noProof/>
          <w:lang w:val="fr-FR"/>
        </w:rPr>
        <w:t>ti</w:t>
      </w:r>
      <w:r>
        <w:rPr>
          <w:rFonts w:eastAsia="Calibri"/>
          <w:noProof/>
          <w:lang w:val="fr-FR"/>
        </w:rPr>
        <w:t>tion</w:t>
      </w:r>
      <w:r w:rsidRPr="000B4CDB">
        <w:rPr>
          <w:rFonts w:eastAsia="Calibri"/>
          <w:noProof/>
          <w:lang w:val="fr-FR"/>
        </w:rPr>
        <w:t xml:space="preserve">. </w:t>
      </w:r>
    </w:p>
    <w:p w:rsidR="00596826" w:rsidRPr="000B4CDB" w:rsidRDefault="00596826" w:rsidP="00596826">
      <w:pPr>
        <w:pStyle w:val="SingleTxtG"/>
        <w:rPr>
          <w:rFonts w:ascii="Times" w:hAnsi="Times"/>
          <w:noProof/>
          <w:lang w:val="fr-FR"/>
        </w:rPr>
      </w:pPr>
      <w:r w:rsidRPr="000B4CDB">
        <w:rPr>
          <w:iCs/>
          <w:noProof/>
          <w:lang w:val="fr-FR"/>
        </w:rPr>
        <w:t>181.</w:t>
      </w:r>
      <w:r w:rsidRPr="000B4CDB">
        <w:rPr>
          <w:iCs/>
          <w:noProof/>
          <w:lang w:val="fr-FR"/>
        </w:rPr>
        <w:tab/>
      </w:r>
      <w:r>
        <w:rPr>
          <w:iCs/>
          <w:noProof/>
          <w:lang w:val="fr-FR"/>
        </w:rPr>
        <w:t xml:space="preserve">Étant donné </w:t>
      </w:r>
      <w:r w:rsidRPr="000B4CDB">
        <w:rPr>
          <w:iCs/>
          <w:noProof/>
          <w:lang w:val="fr-FR"/>
        </w:rPr>
        <w:t>qu</w:t>
      </w:r>
      <w:r w:rsidR="00607CA3">
        <w:rPr>
          <w:iCs/>
          <w:noProof/>
          <w:lang w:val="fr-FR"/>
        </w:rPr>
        <w:t>’</w:t>
      </w:r>
      <w:r>
        <w:rPr>
          <w:iCs/>
          <w:noProof/>
          <w:lang w:val="fr-FR"/>
        </w:rPr>
        <w:t>aucun cas de torture ou de mauvais traitement n</w:t>
      </w:r>
      <w:r w:rsidR="00607CA3">
        <w:rPr>
          <w:iCs/>
          <w:noProof/>
          <w:lang w:val="fr-FR"/>
        </w:rPr>
        <w:t>’</w:t>
      </w:r>
      <w:r>
        <w:rPr>
          <w:iCs/>
          <w:noProof/>
          <w:lang w:val="fr-FR"/>
        </w:rPr>
        <w:t>a été repéré en tant que tel, aucune activité concrète de réadaptation n</w:t>
      </w:r>
      <w:r w:rsidR="00607CA3">
        <w:rPr>
          <w:iCs/>
          <w:noProof/>
          <w:lang w:val="fr-FR"/>
        </w:rPr>
        <w:t>’</w:t>
      </w:r>
      <w:r>
        <w:rPr>
          <w:iCs/>
          <w:noProof/>
          <w:lang w:val="fr-FR"/>
        </w:rPr>
        <w:t>a été menée, sans préjudice des programmes généraux de réparation  pouvant être utilisés pour de tels scénarios</w:t>
      </w:r>
      <w:r w:rsidRPr="000B4CDB">
        <w:rPr>
          <w:iCs/>
          <w:noProof/>
          <w:lang w:val="fr-FR"/>
        </w:rPr>
        <w:t>.</w:t>
      </w:r>
    </w:p>
    <w:p w:rsidR="00596826" w:rsidRPr="000B4CDB" w:rsidRDefault="00596826" w:rsidP="00776EA3">
      <w:pPr>
        <w:pStyle w:val="H1G"/>
        <w:rPr>
          <w:noProof/>
          <w:lang w:val="fr-FR"/>
        </w:rPr>
      </w:pPr>
      <w:r w:rsidRPr="000B4CDB">
        <w:rPr>
          <w:noProof/>
          <w:lang w:val="fr-FR"/>
        </w:rPr>
        <w:tab/>
      </w:r>
      <w:r w:rsidRPr="000B4CDB">
        <w:rPr>
          <w:noProof/>
          <w:lang w:val="fr-FR"/>
        </w:rPr>
        <w:tab/>
        <w:t>Art</w:t>
      </w:r>
      <w:r>
        <w:rPr>
          <w:noProof/>
          <w:lang w:val="fr-FR"/>
        </w:rPr>
        <w:t xml:space="preserve">icle </w:t>
      </w:r>
      <w:r w:rsidRPr="000B4CDB">
        <w:rPr>
          <w:noProof/>
          <w:lang w:val="fr-FR"/>
        </w:rPr>
        <w:t xml:space="preserve">15 </w:t>
      </w:r>
    </w:p>
    <w:p w:rsidR="00596826" w:rsidRPr="000B4CDB" w:rsidRDefault="00596826" w:rsidP="00596826">
      <w:pPr>
        <w:pStyle w:val="SingleTxtG"/>
        <w:rPr>
          <w:rFonts w:eastAsia="Calibri"/>
          <w:noProof/>
          <w:lang w:val="fr-FR"/>
        </w:rPr>
      </w:pPr>
      <w:r w:rsidRPr="000B4CDB">
        <w:rPr>
          <w:rFonts w:eastAsia="Calibri"/>
          <w:noProof/>
          <w:lang w:val="fr-FR"/>
        </w:rPr>
        <w:t>182.</w:t>
      </w:r>
      <w:r w:rsidRPr="000B4CDB">
        <w:rPr>
          <w:rFonts w:eastAsia="Calibri"/>
          <w:noProof/>
          <w:lang w:val="fr-FR"/>
        </w:rPr>
        <w:tab/>
      </w:r>
      <w:r>
        <w:rPr>
          <w:rFonts w:eastAsia="Calibri"/>
          <w:noProof/>
          <w:lang w:val="fr-FR"/>
        </w:rPr>
        <w:t>On ne connaît aucun exemple d</w:t>
      </w:r>
      <w:r w:rsidR="00607CA3">
        <w:rPr>
          <w:rFonts w:eastAsia="Calibri"/>
          <w:noProof/>
          <w:lang w:val="fr-FR"/>
        </w:rPr>
        <w:t>’</w:t>
      </w:r>
      <w:r>
        <w:rPr>
          <w:rFonts w:eastAsia="Calibri"/>
          <w:noProof/>
          <w:lang w:val="fr-FR"/>
        </w:rPr>
        <w:t>affaires dans lesquelles les tribunaux auraient rendu un non-lieu au motif que les éléments de preuve ou les témoignages avaient été obtenus par la torture ou des mauvais traitements</w:t>
      </w:r>
      <w:r w:rsidRPr="000B4CDB">
        <w:rPr>
          <w:rFonts w:eastAsia="Calibri"/>
          <w:noProof/>
          <w:lang w:val="fr-FR"/>
        </w:rPr>
        <w:t xml:space="preserve">. </w:t>
      </w:r>
      <w:r>
        <w:rPr>
          <w:rFonts w:eastAsia="Calibri"/>
          <w:noProof/>
          <w:lang w:val="fr-FR"/>
        </w:rPr>
        <w:t xml:space="preserve">Il convient de noter que la loi </w:t>
      </w:r>
      <w:r w:rsidR="00691AD9" w:rsidRPr="00691AD9">
        <w:rPr>
          <w:rFonts w:eastAsia="MS Mincho"/>
          <w:noProof/>
          <w:szCs w:val="22"/>
          <w:lang w:val="fr-FR"/>
        </w:rPr>
        <w:t>n</w:t>
      </w:r>
      <w:r w:rsidR="00691AD9" w:rsidRPr="00691AD9">
        <w:rPr>
          <w:rFonts w:eastAsia="MS Mincho"/>
          <w:noProof/>
          <w:szCs w:val="22"/>
          <w:vertAlign w:val="superscript"/>
          <w:lang w:val="fr-FR"/>
        </w:rPr>
        <w:t>o</w:t>
      </w:r>
      <w:r w:rsidR="00691AD9">
        <w:rPr>
          <w:rFonts w:eastAsia="Calibri"/>
          <w:noProof/>
          <w:lang w:val="fr-FR"/>
        </w:rPr>
        <w:t> </w:t>
      </w:r>
      <w:r w:rsidRPr="000B4CDB">
        <w:rPr>
          <w:rFonts w:eastAsia="Calibri"/>
          <w:noProof/>
          <w:lang w:val="fr-FR"/>
        </w:rPr>
        <w:t xml:space="preserve">18315 </w:t>
      </w:r>
      <w:r>
        <w:rPr>
          <w:rFonts w:eastAsia="Calibri"/>
          <w:noProof/>
          <w:lang w:val="fr-FR"/>
        </w:rPr>
        <w:t>sur les procédures de la police</w:t>
      </w:r>
      <w:r w:rsidRPr="000B4CDB">
        <w:rPr>
          <w:rFonts w:eastAsia="Calibri"/>
          <w:noProof/>
          <w:lang w:val="fr-FR"/>
        </w:rPr>
        <w:t xml:space="preserve"> </w:t>
      </w:r>
      <w:r>
        <w:rPr>
          <w:rFonts w:eastAsia="Calibri"/>
          <w:noProof/>
          <w:lang w:val="fr-FR"/>
        </w:rPr>
        <w:t>décourage cette pratique dans la mesure où les éléments de preuve ou les témoignages ne sont pas considérés comme tels</w:t>
      </w:r>
      <w:r w:rsidRPr="000B4CDB">
        <w:rPr>
          <w:rFonts w:eastAsia="Calibri"/>
          <w:noProof/>
          <w:lang w:val="fr-FR"/>
        </w:rPr>
        <w:t xml:space="preserve"> </w:t>
      </w:r>
      <w:r>
        <w:rPr>
          <w:rFonts w:eastAsia="Calibri"/>
          <w:noProof/>
          <w:lang w:val="fr-FR"/>
        </w:rPr>
        <w:t>si l</w:t>
      </w:r>
      <w:r w:rsidR="00607CA3">
        <w:rPr>
          <w:rFonts w:eastAsia="Calibri"/>
          <w:noProof/>
          <w:lang w:val="fr-FR"/>
        </w:rPr>
        <w:t>’</w:t>
      </w:r>
      <w:r>
        <w:rPr>
          <w:rFonts w:eastAsia="Calibri"/>
          <w:noProof/>
          <w:lang w:val="fr-FR"/>
        </w:rPr>
        <w:t>on constate qu</w:t>
      </w:r>
      <w:r w:rsidR="00607CA3">
        <w:rPr>
          <w:rFonts w:eastAsia="Calibri"/>
          <w:noProof/>
          <w:lang w:val="fr-FR"/>
        </w:rPr>
        <w:t>’</w:t>
      </w:r>
      <w:r>
        <w:rPr>
          <w:rFonts w:eastAsia="Calibri"/>
          <w:noProof/>
          <w:lang w:val="fr-FR"/>
        </w:rPr>
        <w:t>il y a eu recours à la torture ou à des mauvais traitements</w:t>
      </w:r>
      <w:r w:rsidRPr="000B4CDB">
        <w:rPr>
          <w:rFonts w:eastAsia="Calibri"/>
          <w:noProof/>
          <w:lang w:val="fr-FR"/>
        </w:rPr>
        <w:t xml:space="preserve">. </w:t>
      </w:r>
      <w:r>
        <w:rPr>
          <w:rFonts w:eastAsia="Calibri"/>
          <w:noProof/>
          <w:lang w:val="fr-FR"/>
        </w:rPr>
        <w:t>De même, le nouveau Code de procédure pénale interdit aux fonctionnaires de police de procéder à un interrogatoire sans l</w:t>
      </w:r>
      <w:r w:rsidR="00607CA3">
        <w:rPr>
          <w:rFonts w:eastAsia="Calibri"/>
          <w:noProof/>
          <w:lang w:val="fr-FR"/>
        </w:rPr>
        <w:t>’</w:t>
      </w:r>
      <w:r>
        <w:rPr>
          <w:rFonts w:eastAsia="Calibri"/>
          <w:noProof/>
          <w:lang w:val="fr-FR"/>
        </w:rPr>
        <w:t>autorisation du procureur, en plus du fait que la personne interrogée doit être accompagnée de son avocat</w:t>
      </w:r>
      <w:r w:rsidRPr="000B4CDB">
        <w:rPr>
          <w:rFonts w:eastAsia="Calibri"/>
          <w:noProof/>
          <w:lang w:val="fr-FR"/>
        </w:rPr>
        <w:t>.</w:t>
      </w:r>
    </w:p>
    <w:p w:rsidR="00596826" w:rsidRPr="000B4CDB" w:rsidRDefault="00596826" w:rsidP="00596826">
      <w:pPr>
        <w:pStyle w:val="H1G"/>
        <w:rPr>
          <w:rFonts w:eastAsia="Calibri"/>
          <w:noProof/>
          <w:lang w:val="fr-FR"/>
        </w:rPr>
      </w:pPr>
      <w:r w:rsidRPr="000B4CDB">
        <w:rPr>
          <w:rFonts w:eastAsia="Calibri"/>
          <w:noProof/>
          <w:lang w:val="fr-FR"/>
        </w:rPr>
        <w:tab/>
      </w:r>
      <w:r w:rsidRPr="000B4CDB">
        <w:rPr>
          <w:rFonts w:eastAsia="Calibri"/>
          <w:noProof/>
          <w:lang w:val="fr-FR"/>
        </w:rPr>
        <w:tab/>
        <w:t>Art</w:t>
      </w:r>
      <w:r>
        <w:rPr>
          <w:rFonts w:eastAsia="Calibri"/>
          <w:noProof/>
          <w:lang w:val="fr-FR"/>
        </w:rPr>
        <w:t xml:space="preserve">icle </w:t>
      </w:r>
      <w:r w:rsidRPr="000B4CDB">
        <w:rPr>
          <w:rFonts w:eastAsia="Calibri"/>
          <w:noProof/>
          <w:lang w:val="fr-FR"/>
        </w:rPr>
        <w:t>16</w:t>
      </w:r>
    </w:p>
    <w:p w:rsidR="00596826" w:rsidRPr="000B4CDB" w:rsidRDefault="00596826" w:rsidP="00596826">
      <w:pPr>
        <w:pStyle w:val="SingleTxtG"/>
        <w:rPr>
          <w:rFonts w:eastAsia="Calibri"/>
          <w:noProof/>
          <w:lang w:val="fr-FR"/>
        </w:rPr>
      </w:pPr>
      <w:r w:rsidRPr="000B4CDB">
        <w:rPr>
          <w:rFonts w:eastAsia="Calibri"/>
          <w:noProof/>
          <w:lang w:val="fr-FR"/>
        </w:rPr>
        <w:t>183.</w:t>
      </w:r>
      <w:r w:rsidRPr="000B4CDB">
        <w:rPr>
          <w:rFonts w:eastAsia="Calibri"/>
          <w:noProof/>
          <w:lang w:val="fr-FR"/>
        </w:rPr>
        <w:tab/>
        <w:t>En se</w:t>
      </w:r>
      <w:r>
        <w:rPr>
          <w:rFonts w:eastAsia="Calibri"/>
          <w:noProof/>
          <w:lang w:val="fr-FR"/>
        </w:rPr>
        <w:t>p</w:t>
      </w:r>
      <w:r w:rsidRPr="000B4CDB">
        <w:rPr>
          <w:rFonts w:eastAsia="Calibri"/>
          <w:noProof/>
          <w:lang w:val="fr-FR"/>
        </w:rPr>
        <w:t xml:space="preserve">tembre 2016, </w:t>
      </w:r>
      <w:r>
        <w:rPr>
          <w:rFonts w:eastAsia="Calibri"/>
          <w:noProof/>
          <w:lang w:val="fr-FR"/>
        </w:rPr>
        <w:t>dans le cadre du mois de la diversité, le Ministère de l</w:t>
      </w:r>
      <w:r w:rsidR="00607CA3">
        <w:rPr>
          <w:rFonts w:eastAsia="Calibri"/>
          <w:noProof/>
          <w:lang w:val="fr-FR"/>
        </w:rPr>
        <w:t>’</w:t>
      </w:r>
      <w:r>
        <w:rPr>
          <w:rFonts w:eastAsia="Calibri"/>
          <w:noProof/>
          <w:lang w:val="fr-FR"/>
        </w:rPr>
        <w:t>intérieur a, avec l</w:t>
      </w:r>
      <w:r w:rsidR="00607CA3">
        <w:rPr>
          <w:rFonts w:eastAsia="Calibri"/>
          <w:noProof/>
          <w:lang w:val="fr-FR"/>
        </w:rPr>
        <w:t>’</w:t>
      </w:r>
      <w:r>
        <w:rPr>
          <w:rFonts w:eastAsia="Calibri"/>
          <w:noProof/>
          <w:lang w:val="fr-FR"/>
        </w:rPr>
        <w:t xml:space="preserve">appui du Fonds des Nations Unies pour la population (FNUAP), présenté le Guide </w:t>
      </w:r>
      <w:r>
        <w:rPr>
          <w:rFonts w:eastAsia="Calibri"/>
          <w:noProof/>
          <w:lang w:val="fr-FR"/>
        </w:rPr>
        <w:lastRenderedPageBreak/>
        <w:t>pratique de formation de la police intitulé « Pourquoi introduire l</w:t>
      </w:r>
      <w:r w:rsidR="00607CA3">
        <w:rPr>
          <w:rFonts w:eastAsia="Calibri"/>
          <w:noProof/>
          <w:lang w:val="fr-FR"/>
        </w:rPr>
        <w:t>’</w:t>
      </w:r>
      <w:r>
        <w:rPr>
          <w:rFonts w:eastAsia="Calibri"/>
          <w:noProof/>
          <w:lang w:val="fr-FR"/>
        </w:rPr>
        <w:t>approche genre et diversité sexuelle dans les politiques de sécurité</w:t>
      </w:r>
      <w:r w:rsidR="00776EA3">
        <w:rPr>
          <w:rFonts w:eastAsia="Calibri"/>
          <w:noProof/>
          <w:lang w:val="fr-FR"/>
        </w:rPr>
        <w:t> </w:t>
      </w:r>
      <w:r w:rsidRPr="000B4CDB">
        <w:rPr>
          <w:rFonts w:eastAsia="Calibri"/>
          <w:noProof/>
          <w:lang w:val="fr-FR"/>
        </w:rPr>
        <w:t>?</w:t>
      </w:r>
      <w:r>
        <w:rPr>
          <w:rFonts w:eastAsia="Calibri"/>
          <w:noProof/>
          <w:lang w:val="fr-FR"/>
        </w:rPr>
        <w:t> »</w:t>
      </w:r>
      <w:r w:rsidRPr="000B4CDB">
        <w:rPr>
          <w:rFonts w:eastAsia="Calibri"/>
          <w:noProof/>
          <w:lang w:val="fr-FR"/>
        </w:rPr>
        <w:t xml:space="preserve">, </w:t>
      </w:r>
      <w:r>
        <w:rPr>
          <w:rFonts w:eastAsia="Calibri"/>
          <w:noProof/>
          <w:lang w:val="fr-FR"/>
        </w:rPr>
        <w:t>qui a pour objectif de fournir des concepts de base et des outils méthodologiques permettant d</w:t>
      </w:r>
      <w:r w:rsidR="00607CA3">
        <w:rPr>
          <w:rFonts w:eastAsia="Calibri"/>
          <w:noProof/>
          <w:lang w:val="fr-FR"/>
        </w:rPr>
        <w:t>’</w:t>
      </w:r>
      <w:r>
        <w:rPr>
          <w:rFonts w:eastAsia="Calibri"/>
          <w:noProof/>
          <w:lang w:val="fr-FR"/>
        </w:rPr>
        <w:t>intervenir efficacement</w:t>
      </w:r>
      <w:r w:rsidRPr="000B4CDB">
        <w:rPr>
          <w:rFonts w:eastAsia="Calibri"/>
          <w:noProof/>
          <w:lang w:val="fr-FR"/>
        </w:rPr>
        <w:t xml:space="preserve">. </w:t>
      </w:r>
      <w:r>
        <w:rPr>
          <w:rFonts w:eastAsia="Calibri"/>
          <w:noProof/>
          <w:lang w:val="fr-FR"/>
        </w:rPr>
        <w:t xml:space="preserve">Le cours de </w:t>
      </w:r>
      <w:r w:rsidRPr="000B4CDB">
        <w:rPr>
          <w:rFonts w:eastAsia="Calibri"/>
          <w:noProof/>
          <w:lang w:val="fr-FR"/>
        </w:rPr>
        <w:t>forma</w:t>
      </w:r>
      <w:r>
        <w:rPr>
          <w:rFonts w:eastAsia="Calibri"/>
          <w:noProof/>
          <w:lang w:val="fr-FR"/>
        </w:rPr>
        <w:t>tion de futurs formateurs à la diversité a été dispensé avec l</w:t>
      </w:r>
      <w:r w:rsidR="00607CA3">
        <w:rPr>
          <w:rFonts w:eastAsia="Calibri"/>
          <w:noProof/>
          <w:lang w:val="fr-FR"/>
        </w:rPr>
        <w:t>’</w:t>
      </w:r>
      <w:r>
        <w:rPr>
          <w:rFonts w:eastAsia="Calibri"/>
          <w:noProof/>
          <w:lang w:val="fr-FR"/>
        </w:rPr>
        <w:t xml:space="preserve">appui du FNUAP et suivi avec succès par </w:t>
      </w:r>
      <w:r w:rsidRPr="000B4CDB">
        <w:rPr>
          <w:rFonts w:eastAsia="Calibri"/>
          <w:noProof/>
          <w:lang w:val="fr-FR"/>
        </w:rPr>
        <w:t>45 polic</w:t>
      </w:r>
      <w:r>
        <w:rPr>
          <w:rFonts w:eastAsia="Calibri"/>
          <w:noProof/>
          <w:lang w:val="fr-FR"/>
        </w:rPr>
        <w:t>iers</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184.</w:t>
      </w:r>
      <w:r w:rsidRPr="000B4CDB">
        <w:rPr>
          <w:rFonts w:eastAsia="Calibri"/>
          <w:noProof/>
          <w:lang w:val="fr-FR"/>
        </w:rPr>
        <w:tab/>
        <w:t>En 2017</w:t>
      </w:r>
      <w:r>
        <w:rPr>
          <w:rFonts w:eastAsia="Calibri"/>
          <w:noProof/>
          <w:lang w:val="fr-FR"/>
        </w:rPr>
        <w:t>,</w:t>
      </w:r>
      <w:r w:rsidRPr="000B4CDB">
        <w:rPr>
          <w:rFonts w:eastAsia="Calibri"/>
          <w:noProof/>
          <w:lang w:val="fr-FR"/>
        </w:rPr>
        <w:t xml:space="preserve"> </w:t>
      </w:r>
      <w:r>
        <w:rPr>
          <w:rFonts w:eastAsia="Calibri"/>
          <w:noProof/>
          <w:lang w:val="fr-FR"/>
        </w:rPr>
        <w:t>la Direction nationale de la formation de la police a assuré différentes formations dans le cadre de stages pour le passage de grade, telles que la formation présentielle aux procédures de la police dans l</w:t>
      </w:r>
      <w:r w:rsidR="00607CA3">
        <w:rPr>
          <w:rFonts w:eastAsia="Calibri"/>
          <w:noProof/>
          <w:lang w:val="fr-FR"/>
        </w:rPr>
        <w:t>’</w:t>
      </w:r>
      <w:r>
        <w:rPr>
          <w:rFonts w:eastAsia="Calibri"/>
          <w:noProof/>
          <w:lang w:val="fr-FR"/>
        </w:rPr>
        <w:t>optique des droits de l</w:t>
      </w:r>
      <w:r w:rsidR="00607CA3">
        <w:rPr>
          <w:rFonts w:eastAsia="Calibri"/>
          <w:noProof/>
          <w:lang w:val="fr-FR"/>
        </w:rPr>
        <w:t>’</w:t>
      </w:r>
      <w:r>
        <w:rPr>
          <w:rFonts w:eastAsia="Calibri"/>
          <w:noProof/>
          <w:lang w:val="fr-FR"/>
        </w:rPr>
        <w:t>homme et les formations dispensées dans le cadre d</w:t>
      </w:r>
      <w:r w:rsidR="00607CA3">
        <w:rPr>
          <w:rFonts w:eastAsia="Calibri"/>
          <w:noProof/>
          <w:lang w:val="fr-FR"/>
        </w:rPr>
        <w:t>’</w:t>
      </w:r>
      <w:r>
        <w:rPr>
          <w:rFonts w:eastAsia="Calibri"/>
          <w:noProof/>
          <w:lang w:val="fr-FR"/>
        </w:rPr>
        <w:t xml:space="preserve">un accord entre le Ministère du développement social et la </w:t>
      </w:r>
      <w:r w:rsidRPr="000B4CDB">
        <w:rPr>
          <w:rFonts w:eastAsia="Calibri"/>
          <w:noProof/>
          <w:lang w:val="fr-FR"/>
        </w:rPr>
        <w:t>Facult</w:t>
      </w:r>
      <w:r>
        <w:rPr>
          <w:rFonts w:eastAsia="Calibri"/>
          <w:noProof/>
          <w:lang w:val="fr-FR"/>
        </w:rPr>
        <w:t>é</w:t>
      </w:r>
      <w:r w:rsidRPr="000B4CDB">
        <w:rPr>
          <w:rFonts w:eastAsia="Calibri"/>
          <w:noProof/>
          <w:lang w:val="fr-FR"/>
        </w:rPr>
        <w:t xml:space="preserve"> de</w:t>
      </w:r>
      <w:r>
        <w:rPr>
          <w:rFonts w:eastAsia="Calibri"/>
          <w:noProof/>
          <w:lang w:val="fr-FR"/>
        </w:rPr>
        <w:t>s</w:t>
      </w:r>
      <w:r w:rsidRPr="000B4CDB">
        <w:rPr>
          <w:rFonts w:eastAsia="Calibri"/>
          <w:noProof/>
          <w:lang w:val="fr-FR"/>
        </w:rPr>
        <w:t xml:space="preserve"> </w:t>
      </w:r>
      <w:r>
        <w:rPr>
          <w:rFonts w:eastAsia="Calibri"/>
          <w:noProof/>
          <w:lang w:val="fr-FR"/>
        </w:rPr>
        <w:t>sc</w:t>
      </w:r>
      <w:r w:rsidRPr="000B4CDB">
        <w:rPr>
          <w:rFonts w:eastAsia="Calibri"/>
          <w:noProof/>
          <w:lang w:val="fr-FR"/>
        </w:rPr>
        <w:t>ienc</w:t>
      </w:r>
      <w:r>
        <w:rPr>
          <w:rFonts w:eastAsia="Calibri"/>
          <w:noProof/>
          <w:lang w:val="fr-FR"/>
        </w:rPr>
        <w:t>e</w:t>
      </w:r>
      <w:r w:rsidRPr="000B4CDB">
        <w:rPr>
          <w:rFonts w:eastAsia="Calibri"/>
          <w:noProof/>
          <w:lang w:val="fr-FR"/>
        </w:rPr>
        <w:t xml:space="preserve">s </w:t>
      </w:r>
      <w:r>
        <w:rPr>
          <w:rFonts w:eastAsia="Calibri"/>
          <w:noProof/>
          <w:lang w:val="fr-FR"/>
        </w:rPr>
        <w:t>s</w:t>
      </w:r>
      <w:r w:rsidRPr="000B4CDB">
        <w:rPr>
          <w:rFonts w:eastAsia="Calibri"/>
          <w:noProof/>
          <w:lang w:val="fr-FR"/>
        </w:rPr>
        <w:t>ociales (Universi</w:t>
      </w:r>
      <w:r>
        <w:rPr>
          <w:rFonts w:eastAsia="Calibri"/>
          <w:noProof/>
          <w:lang w:val="fr-FR"/>
        </w:rPr>
        <w:t xml:space="preserve">té </w:t>
      </w:r>
      <w:r w:rsidRPr="000B4CDB">
        <w:rPr>
          <w:rFonts w:eastAsia="Calibri"/>
          <w:noProof/>
          <w:lang w:val="fr-FR"/>
        </w:rPr>
        <w:t>de la R</w:t>
      </w:r>
      <w:r>
        <w:rPr>
          <w:rFonts w:eastAsia="Calibri"/>
          <w:noProof/>
          <w:lang w:val="fr-FR"/>
        </w:rPr>
        <w:t>é</w:t>
      </w:r>
      <w:r w:rsidRPr="000B4CDB">
        <w:rPr>
          <w:rFonts w:eastAsia="Calibri"/>
          <w:noProof/>
          <w:lang w:val="fr-FR"/>
        </w:rPr>
        <w:t>p</w:t>
      </w:r>
      <w:r>
        <w:rPr>
          <w:rFonts w:eastAsia="Calibri"/>
          <w:noProof/>
          <w:lang w:val="fr-FR"/>
        </w:rPr>
        <w:t>ublique</w:t>
      </w:r>
      <w:r w:rsidRPr="000B4CDB">
        <w:rPr>
          <w:rFonts w:eastAsia="Calibri"/>
          <w:noProof/>
          <w:lang w:val="fr-FR"/>
        </w:rPr>
        <w:t xml:space="preserve">). </w:t>
      </w:r>
      <w:r>
        <w:rPr>
          <w:rFonts w:eastAsia="Calibri"/>
          <w:noProof/>
          <w:lang w:val="fr-FR"/>
        </w:rPr>
        <w:t>À cet égard, des journées ont été organisées avec des spécialistes des enquêtes pénales pour analyser des cas non élucidés de féminicide et autres crimes de haine</w:t>
      </w:r>
      <w:r w:rsidRPr="000B4CDB">
        <w:rPr>
          <w:rFonts w:eastAsia="Calibri"/>
          <w:noProof/>
          <w:lang w:val="fr-FR"/>
        </w:rPr>
        <w:t xml:space="preserve">, </w:t>
      </w:r>
      <w:r>
        <w:rPr>
          <w:rFonts w:eastAsia="Calibri"/>
          <w:noProof/>
          <w:lang w:val="fr-FR"/>
        </w:rPr>
        <w:t xml:space="preserve">avec la </w:t>
      </w:r>
      <w:r w:rsidRPr="000B4CDB">
        <w:rPr>
          <w:rFonts w:eastAsia="Calibri"/>
          <w:noProof/>
          <w:lang w:val="fr-FR"/>
        </w:rPr>
        <w:t>participa</w:t>
      </w:r>
      <w:r>
        <w:rPr>
          <w:rFonts w:eastAsia="Calibri"/>
          <w:noProof/>
          <w:lang w:val="fr-FR"/>
        </w:rPr>
        <w:t>tion du Ministère de l</w:t>
      </w:r>
      <w:r w:rsidR="00607CA3">
        <w:rPr>
          <w:rFonts w:eastAsia="Calibri"/>
          <w:noProof/>
          <w:lang w:val="fr-FR"/>
        </w:rPr>
        <w:t>’</w:t>
      </w:r>
      <w:r>
        <w:rPr>
          <w:rFonts w:eastAsia="Calibri"/>
          <w:noProof/>
          <w:lang w:val="fr-FR"/>
        </w:rPr>
        <w:t xml:space="preserve">intérieur </w:t>
      </w:r>
      <w:r w:rsidRPr="000B4CDB">
        <w:rPr>
          <w:rFonts w:eastAsia="Calibri"/>
          <w:noProof/>
          <w:lang w:val="fr-FR"/>
        </w:rPr>
        <w:t>(</w:t>
      </w:r>
      <w:r>
        <w:rPr>
          <w:rFonts w:eastAsia="Calibri"/>
          <w:noProof/>
          <w:lang w:val="fr-FR"/>
        </w:rPr>
        <w:t>préfectures de police de</w:t>
      </w:r>
      <w:r w:rsidRPr="000B4CDB">
        <w:rPr>
          <w:rFonts w:eastAsia="Calibri"/>
          <w:noProof/>
          <w:lang w:val="fr-FR"/>
        </w:rPr>
        <w:t xml:space="preserve"> Montevideo </w:t>
      </w:r>
      <w:r>
        <w:rPr>
          <w:rFonts w:eastAsia="Calibri"/>
          <w:noProof/>
          <w:lang w:val="fr-FR"/>
        </w:rPr>
        <w:t xml:space="preserve">et de </w:t>
      </w:r>
      <w:r w:rsidRPr="000B4CDB">
        <w:rPr>
          <w:rFonts w:eastAsia="Calibri"/>
          <w:noProof/>
          <w:lang w:val="fr-FR"/>
        </w:rPr>
        <w:t>Canelones, Direc</w:t>
      </w:r>
      <w:r>
        <w:rPr>
          <w:rFonts w:eastAsia="Calibri"/>
          <w:noProof/>
          <w:lang w:val="fr-FR"/>
        </w:rPr>
        <w:t>tion nationale de la police scientifique</w:t>
      </w:r>
      <w:r w:rsidRPr="000B4CDB">
        <w:rPr>
          <w:rFonts w:eastAsia="Calibri"/>
          <w:noProof/>
          <w:lang w:val="fr-FR"/>
        </w:rPr>
        <w:t>, Direc</w:t>
      </w:r>
      <w:r>
        <w:rPr>
          <w:rFonts w:eastAsia="Calibri"/>
          <w:noProof/>
          <w:lang w:val="fr-FR"/>
        </w:rPr>
        <w:t xml:space="preserve">tion générale de la lutte contre le crime organisé </w:t>
      </w:r>
      <w:r w:rsidRPr="000B4CDB">
        <w:rPr>
          <w:rFonts w:eastAsia="Calibri"/>
          <w:noProof/>
          <w:lang w:val="fr-FR"/>
        </w:rPr>
        <w:t>e</w:t>
      </w:r>
      <w:r>
        <w:rPr>
          <w:rFonts w:eastAsia="Calibri"/>
          <w:noProof/>
          <w:lang w:val="fr-FR"/>
        </w:rPr>
        <w:t>t</w:t>
      </w:r>
      <w:r w:rsidRPr="000B4CDB">
        <w:rPr>
          <w:rFonts w:eastAsia="Calibri"/>
          <w:noProof/>
          <w:lang w:val="fr-FR"/>
        </w:rPr>
        <w:t xml:space="preserve"> INTERPOL </w:t>
      </w:r>
      <w:r>
        <w:rPr>
          <w:rFonts w:eastAsia="Calibri"/>
          <w:noProof/>
          <w:lang w:val="fr-FR"/>
        </w:rPr>
        <w:t>et</w:t>
      </w:r>
      <w:r w:rsidRPr="000B4CDB">
        <w:rPr>
          <w:rFonts w:eastAsia="Calibri"/>
          <w:noProof/>
          <w:lang w:val="fr-FR"/>
        </w:rPr>
        <w:t xml:space="preserve"> Divisi</w:t>
      </w:r>
      <w:r>
        <w:rPr>
          <w:rFonts w:eastAsia="Calibri"/>
          <w:noProof/>
          <w:lang w:val="fr-FR"/>
        </w:rPr>
        <w:t>on des politiques de genre</w:t>
      </w:r>
      <w:r w:rsidRPr="000B4CDB">
        <w:rPr>
          <w:rFonts w:eastAsia="Calibri"/>
          <w:noProof/>
          <w:lang w:val="fr-FR"/>
        </w:rPr>
        <w:t xml:space="preserve">) </w:t>
      </w:r>
      <w:r>
        <w:rPr>
          <w:rFonts w:eastAsia="Calibri"/>
          <w:noProof/>
          <w:lang w:val="fr-FR"/>
        </w:rPr>
        <w:t>et le Bureau du Procureur général de la Nation</w:t>
      </w:r>
      <w:r w:rsidRPr="000B4CDB">
        <w:rPr>
          <w:rFonts w:eastAsia="Calibri"/>
          <w:noProof/>
          <w:lang w:val="fr-FR"/>
        </w:rPr>
        <w:t xml:space="preserve">. </w:t>
      </w:r>
      <w:r>
        <w:rPr>
          <w:rFonts w:eastAsia="Calibri"/>
          <w:noProof/>
          <w:lang w:val="fr-FR"/>
        </w:rPr>
        <w:t>En collaboration avec des experts et des policiers spécialisés, les cas d</w:t>
      </w:r>
      <w:r w:rsidR="00607CA3">
        <w:rPr>
          <w:rFonts w:eastAsia="Calibri"/>
          <w:noProof/>
          <w:lang w:val="fr-FR"/>
        </w:rPr>
        <w:t>’</w:t>
      </w:r>
      <w:r>
        <w:rPr>
          <w:rFonts w:eastAsia="Calibri"/>
          <w:noProof/>
          <w:lang w:val="fr-FR"/>
        </w:rPr>
        <w:t>homicide de femmes trans non élucidés survenus en 2012 en Uruguay ont été réexaminés</w:t>
      </w:r>
      <w:r w:rsidRPr="000B4CDB">
        <w:rPr>
          <w:rFonts w:eastAsia="Calibri"/>
          <w:noProof/>
          <w:lang w:val="fr-FR"/>
        </w:rPr>
        <w:t xml:space="preserve">. </w:t>
      </w:r>
      <w:r>
        <w:rPr>
          <w:rFonts w:eastAsia="Calibri"/>
          <w:noProof/>
          <w:lang w:val="fr-FR"/>
        </w:rPr>
        <w:t xml:space="preserve">De même, la Direction nationale de la formation de la police a organisé dans ses locaux un séminaire international sur la formation pénale en matière de féminicides et autres crimes de haine, dans le but de contribuer à la </w:t>
      </w:r>
      <w:r w:rsidRPr="000B4CDB">
        <w:rPr>
          <w:rFonts w:eastAsia="Calibri"/>
          <w:noProof/>
          <w:lang w:val="fr-FR"/>
        </w:rPr>
        <w:t>profes</w:t>
      </w:r>
      <w:r>
        <w:rPr>
          <w:rFonts w:eastAsia="Calibri"/>
          <w:noProof/>
          <w:lang w:val="fr-FR"/>
        </w:rPr>
        <w:t>s</w:t>
      </w:r>
      <w:r w:rsidRPr="000B4CDB">
        <w:rPr>
          <w:rFonts w:eastAsia="Calibri"/>
          <w:noProof/>
          <w:lang w:val="fr-FR"/>
        </w:rPr>
        <w:t>ion</w:t>
      </w:r>
      <w:r>
        <w:rPr>
          <w:rFonts w:eastAsia="Calibri"/>
          <w:noProof/>
          <w:lang w:val="fr-FR"/>
        </w:rPr>
        <w:t>n</w:t>
      </w:r>
      <w:r w:rsidRPr="000B4CDB">
        <w:rPr>
          <w:rFonts w:eastAsia="Calibri"/>
          <w:noProof/>
          <w:lang w:val="fr-FR"/>
        </w:rPr>
        <w:t>ali</w:t>
      </w:r>
      <w:r>
        <w:rPr>
          <w:rFonts w:eastAsia="Calibri"/>
          <w:noProof/>
          <w:lang w:val="fr-FR"/>
        </w:rPr>
        <w:t>s</w:t>
      </w:r>
      <w:r w:rsidRPr="000B4CDB">
        <w:rPr>
          <w:rFonts w:eastAsia="Calibri"/>
          <w:noProof/>
          <w:lang w:val="fr-FR"/>
        </w:rPr>
        <w:t>a</w:t>
      </w:r>
      <w:r>
        <w:rPr>
          <w:rFonts w:eastAsia="Calibri"/>
          <w:noProof/>
          <w:lang w:val="fr-FR"/>
        </w:rPr>
        <w:t>tion et à la spécialisation des agents du système judiciaire</w:t>
      </w:r>
      <w:r w:rsidRPr="000B4CDB">
        <w:rPr>
          <w:rFonts w:eastAsia="Calibri"/>
          <w:noProof/>
          <w:lang w:val="fr-FR"/>
        </w:rPr>
        <w:t xml:space="preserve"> </w:t>
      </w:r>
      <w:r>
        <w:rPr>
          <w:rFonts w:eastAsia="Calibri"/>
          <w:noProof/>
          <w:lang w:val="fr-FR"/>
        </w:rPr>
        <w:t xml:space="preserve">en ce qui concerne les enquêtes sur les infractions liées à la violence fondée sur le genre, et de renforcer les mesures </w:t>
      </w:r>
      <w:r w:rsidRPr="000B4CDB">
        <w:rPr>
          <w:rFonts w:eastAsia="Calibri"/>
          <w:noProof/>
          <w:lang w:val="fr-FR"/>
        </w:rPr>
        <w:t>de pr</w:t>
      </w:r>
      <w:r>
        <w:rPr>
          <w:rFonts w:eastAsia="Calibri"/>
          <w:noProof/>
          <w:lang w:val="fr-FR"/>
        </w:rPr>
        <w:t>é</w:t>
      </w:r>
      <w:r w:rsidRPr="000B4CDB">
        <w:rPr>
          <w:rFonts w:eastAsia="Calibri"/>
          <w:noProof/>
          <w:lang w:val="fr-FR"/>
        </w:rPr>
        <w:t>ven</w:t>
      </w:r>
      <w:r>
        <w:rPr>
          <w:rFonts w:eastAsia="Calibri"/>
          <w:noProof/>
          <w:lang w:val="fr-FR"/>
        </w:rPr>
        <w:t>tion, d</w:t>
      </w:r>
      <w:r w:rsidR="00607CA3">
        <w:rPr>
          <w:rFonts w:eastAsia="Calibri"/>
          <w:noProof/>
          <w:lang w:val="fr-FR"/>
        </w:rPr>
        <w:t>’</w:t>
      </w:r>
      <w:r>
        <w:rPr>
          <w:rFonts w:eastAsia="Calibri"/>
          <w:noProof/>
          <w:lang w:val="fr-FR"/>
        </w:rPr>
        <w:t>enquête, de protection et de répression</w:t>
      </w:r>
      <w:r w:rsidRPr="000B4CDB">
        <w:rPr>
          <w:rFonts w:eastAsia="Calibri"/>
          <w:noProof/>
          <w:lang w:val="fr-FR"/>
        </w:rPr>
        <w:t xml:space="preserve">. En </w:t>
      </w:r>
      <w:r>
        <w:rPr>
          <w:rFonts w:eastAsia="Calibri"/>
          <w:noProof/>
          <w:lang w:val="fr-FR"/>
        </w:rPr>
        <w:t>outre, on a réuni les informations nécessaires à l</w:t>
      </w:r>
      <w:r w:rsidR="00607CA3">
        <w:rPr>
          <w:rFonts w:eastAsia="Calibri"/>
          <w:noProof/>
          <w:lang w:val="fr-FR"/>
        </w:rPr>
        <w:t>’</w:t>
      </w:r>
      <w:r>
        <w:rPr>
          <w:rFonts w:eastAsia="Calibri"/>
          <w:noProof/>
          <w:lang w:val="fr-FR"/>
        </w:rPr>
        <w:t>é</w:t>
      </w:r>
      <w:r w:rsidRPr="000B4CDB">
        <w:rPr>
          <w:rFonts w:eastAsia="Calibri"/>
          <w:noProof/>
          <w:lang w:val="fr-FR"/>
        </w:rPr>
        <w:t>labora</w:t>
      </w:r>
      <w:r>
        <w:rPr>
          <w:rFonts w:eastAsia="Calibri"/>
          <w:noProof/>
          <w:lang w:val="fr-FR"/>
        </w:rPr>
        <w:t>tion d</w:t>
      </w:r>
      <w:r w:rsidR="00607CA3">
        <w:rPr>
          <w:rFonts w:eastAsia="Calibri"/>
          <w:noProof/>
          <w:lang w:val="fr-FR"/>
        </w:rPr>
        <w:t>’</w:t>
      </w:r>
      <w:r>
        <w:rPr>
          <w:rFonts w:eastAsia="Calibri"/>
          <w:noProof/>
          <w:lang w:val="fr-FR"/>
        </w:rPr>
        <w:t>un protocole</w:t>
      </w:r>
      <w:r w:rsidRPr="000B4CDB">
        <w:rPr>
          <w:rFonts w:eastAsia="Calibri"/>
          <w:noProof/>
          <w:lang w:val="fr-FR"/>
        </w:rPr>
        <w:t xml:space="preserve"> na</w:t>
      </w:r>
      <w:r>
        <w:rPr>
          <w:rFonts w:eastAsia="Calibri"/>
          <w:noProof/>
          <w:lang w:val="fr-FR"/>
        </w:rPr>
        <w:t>t</w:t>
      </w:r>
      <w:r w:rsidRPr="000B4CDB">
        <w:rPr>
          <w:rFonts w:eastAsia="Calibri"/>
          <w:noProof/>
          <w:lang w:val="fr-FR"/>
        </w:rPr>
        <w:t xml:space="preserve">ional </w:t>
      </w:r>
      <w:r>
        <w:rPr>
          <w:rFonts w:eastAsia="Calibri"/>
          <w:noProof/>
          <w:lang w:val="fr-FR"/>
        </w:rPr>
        <w:t>d</w:t>
      </w:r>
      <w:r w:rsidR="00607CA3">
        <w:rPr>
          <w:rFonts w:eastAsia="Calibri"/>
          <w:noProof/>
          <w:lang w:val="fr-FR"/>
        </w:rPr>
        <w:t>’</w:t>
      </w:r>
      <w:r>
        <w:rPr>
          <w:rFonts w:eastAsia="Calibri"/>
          <w:noProof/>
          <w:lang w:val="fr-FR"/>
        </w:rPr>
        <w:t>enquête pénale sur les féminicides et les tentatives de féminicide</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185.</w:t>
      </w:r>
      <w:r w:rsidRPr="000B4CDB">
        <w:rPr>
          <w:rFonts w:eastAsia="Calibri"/>
          <w:noProof/>
          <w:lang w:val="fr-FR"/>
        </w:rPr>
        <w:tab/>
      </w:r>
      <w:r>
        <w:rPr>
          <w:rFonts w:eastAsia="Calibri"/>
          <w:noProof/>
          <w:lang w:val="fr-FR"/>
        </w:rPr>
        <w:t xml:space="preserve">En liaison avec la mise en application du nouveau Code de procédure pénale, le Bureau du Procureur général a pris les décisions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637/2017</w:t>
      </w:r>
      <w:r w:rsidRPr="00776EA3">
        <w:rPr>
          <w:rStyle w:val="Appelnotedebasdep"/>
        </w:rPr>
        <w:footnoteReference w:id="39"/>
      </w:r>
      <w:r>
        <w:rPr>
          <w:rFonts w:eastAsia="Calibri"/>
          <w:noProof/>
          <w:lang w:val="fr-FR"/>
        </w:rPr>
        <w:t xml:space="preserve"> et</w:t>
      </w:r>
      <w:r w:rsidRPr="000B4CDB">
        <w:rPr>
          <w:rFonts w:eastAsia="Calibri"/>
          <w:noProof/>
          <w:lang w:val="fr-FR"/>
        </w:rPr>
        <w:t xml:space="preserve">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645/2017</w:t>
      </w:r>
      <w:r w:rsidRPr="00776EA3">
        <w:rPr>
          <w:rStyle w:val="Appelnotedebasdep"/>
        </w:rPr>
        <w:footnoteReference w:id="40"/>
      </w:r>
      <w:r w:rsidRPr="000B4CDB">
        <w:rPr>
          <w:rFonts w:eastAsia="Calibri"/>
          <w:noProof/>
          <w:lang w:val="fr-FR"/>
        </w:rPr>
        <w:t xml:space="preserve">, </w:t>
      </w:r>
      <w:r>
        <w:rPr>
          <w:rFonts w:eastAsia="Calibri"/>
          <w:noProof/>
          <w:lang w:val="fr-FR"/>
        </w:rPr>
        <w:t xml:space="preserve">qui ont créé à Montevideo des </w:t>
      </w:r>
      <w:r w:rsidRPr="003A4E20">
        <w:rPr>
          <w:noProof/>
          <w:lang w:val="fr-FR"/>
        </w:rPr>
        <w:t>bureaux spécialisés dans la poursuite des infractions sexuelles, de la violence familiale et de la violence fondée sur le genre de premier et de deuxième</w:t>
      </w:r>
      <w:r w:rsidRPr="00411326">
        <w:t xml:space="preserve"> </w:t>
      </w:r>
      <w:r w:rsidRPr="00411326">
        <w:rPr>
          <w:i/>
        </w:rPr>
        <w:t>turno</w:t>
      </w:r>
      <w:r w:rsidRPr="00411326">
        <w:t>,</w:t>
      </w:r>
      <w:r w:rsidRPr="000B4CDB">
        <w:rPr>
          <w:rFonts w:eastAsia="Calibri"/>
          <w:noProof/>
          <w:lang w:val="fr-FR"/>
        </w:rPr>
        <w:t xml:space="preserve"> </w:t>
      </w:r>
      <w:r>
        <w:rPr>
          <w:rFonts w:eastAsia="Calibri"/>
          <w:noProof/>
          <w:lang w:val="fr-FR"/>
        </w:rPr>
        <w:t xml:space="preserve">et en ont défini les compétences, de manière à professionnaliser </w:t>
      </w:r>
      <w:r w:rsidRPr="000B4CDB">
        <w:rPr>
          <w:rFonts w:eastAsia="Calibri"/>
          <w:noProof/>
          <w:lang w:val="fr-FR"/>
        </w:rPr>
        <w:t>l</w:t>
      </w:r>
      <w:r>
        <w:rPr>
          <w:rFonts w:eastAsia="Calibri"/>
          <w:noProof/>
          <w:lang w:val="fr-FR"/>
        </w:rPr>
        <w:t>es enquêtes et poursuites pénales dont les infractions de ce type font l</w:t>
      </w:r>
      <w:r w:rsidR="00607CA3">
        <w:rPr>
          <w:rFonts w:eastAsia="Calibri"/>
          <w:noProof/>
          <w:lang w:val="fr-FR"/>
        </w:rPr>
        <w:t>’</w:t>
      </w:r>
      <w:r>
        <w:rPr>
          <w:rFonts w:eastAsia="Calibri"/>
          <w:noProof/>
          <w:lang w:val="fr-FR"/>
        </w:rPr>
        <w:t>objet.</w:t>
      </w:r>
    </w:p>
    <w:p w:rsidR="00596826" w:rsidRPr="000B4CDB" w:rsidRDefault="00596826" w:rsidP="00596826">
      <w:pPr>
        <w:pStyle w:val="SingleTxtG"/>
        <w:rPr>
          <w:rFonts w:eastAsia="Calibri"/>
          <w:noProof/>
          <w:lang w:val="fr-FR"/>
        </w:rPr>
      </w:pPr>
      <w:r w:rsidRPr="000B4CDB">
        <w:rPr>
          <w:rFonts w:eastAsia="Calibri"/>
          <w:noProof/>
          <w:lang w:val="fr-FR"/>
        </w:rPr>
        <w:t>186.</w:t>
      </w:r>
      <w:r w:rsidRPr="000B4CDB">
        <w:rPr>
          <w:rFonts w:eastAsia="Calibri"/>
          <w:noProof/>
          <w:lang w:val="fr-FR"/>
        </w:rPr>
        <w:tab/>
      </w:r>
      <w:r>
        <w:rPr>
          <w:rFonts w:eastAsia="Calibri"/>
          <w:noProof/>
          <w:lang w:val="fr-FR"/>
        </w:rPr>
        <w:t>Le</w:t>
      </w:r>
      <w:r w:rsidRPr="000B4CDB">
        <w:rPr>
          <w:rFonts w:eastAsia="Calibri"/>
          <w:noProof/>
          <w:lang w:val="fr-FR"/>
        </w:rPr>
        <w:t xml:space="preserve"> Program</w:t>
      </w:r>
      <w:r>
        <w:rPr>
          <w:rFonts w:eastAsia="Calibri"/>
          <w:noProof/>
          <w:lang w:val="fr-FR"/>
        </w:rPr>
        <w:t xml:space="preserve">me Apprendre en continu </w:t>
      </w:r>
      <w:r w:rsidRPr="000B4CDB">
        <w:rPr>
          <w:rFonts w:eastAsia="Calibri"/>
          <w:noProof/>
          <w:lang w:val="fr-FR"/>
        </w:rPr>
        <w:t>d</w:t>
      </w:r>
      <w:r>
        <w:rPr>
          <w:rFonts w:eastAsia="Calibri"/>
          <w:noProof/>
          <w:lang w:val="fr-FR"/>
        </w:rPr>
        <w:t xml:space="preserve">u </w:t>
      </w:r>
      <w:r w:rsidRPr="000B4CDB">
        <w:rPr>
          <w:rFonts w:eastAsia="Calibri"/>
          <w:noProof/>
          <w:lang w:val="fr-FR"/>
        </w:rPr>
        <w:t>Minist</w:t>
      </w:r>
      <w:r>
        <w:rPr>
          <w:rFonts w:eastAsia="Calibri"/>
          <w:noProof/>
          <w:lang w:val="fr-FR"/>
        </w:rPr>
        <w:t>ère de l</w:t>
      </w:r>
      <w:r w:rsidR="00607CA3">
        <w:rPr>
          <w:rFonts w:eastAsia="Calibri"/>
          <w:noProof/>
          <w:lang w:val="fr-FR"/>
        </w:rPr>
        <w:t>’</w:t>
      </w:r>
      <w:r>
        <w:rPr>
          <w:rFonts w:eastAsia="Calibri"/>
          <w:noProof/>
          <w:lang w:val="fr-FR"/>
        </w:rPr>
        <w:t>éducation et de la culture oriente quant à lui ses activités dans l</w:t>
      </w:r>
      <w:r w:rsidR="00607CA3">
        <w:rPr>
          <w:rFonts w:eastAsia="Calibri"/>
          <w:noProof/>
          <w:lang w:val="fr-FR"/>
        </w:rPr>
        <w:t>’</w:t>
      </w:r>
      <w:r>
        <w:rPr>
          <w:rFonts w:eastAsia="Calibri"/>
          <w:noProof/>
          <w:lang w:val="fr-FR"/>
        </w:rPr>
        <w:t>optique des droits de l</w:t>
      </w:r>
      <w:r w:rsidR="00607CA3">
        <w:rPr>
          <w:rFonts w:eastAsia="Calibri"/>
          <w:noProof/>
          <w:lang w:val="fr-FR"/>
        </w:rPr>
        <w:t>’</w:t>
      </w:r>
      <w:r>
        <w:rPr>
          <w:rFonts w:eastAsia="Calibri"/>
          <w:noProof/>
          <w:lang w:val="fr-FR"/>
        </w:rPr>
        <w:t>homme et celle des questions de genre, en intégrant, de manière à la fois transversale et particulière, ces dimensions dans ses éléments, Certaines unités de l</w:t>
      </w:r>
      <w:r w:rsidR="00607CA3">
        <w:rPr>
          <w:rFonts w:eastAsia="Calibri"/>
          <w:noProof/>
          <w:lang w:val="fr-FR"/>
        </w:rPr>
        <w:t>’</w:t>
      </w:r>
      <w:r>
        <w:rPr>
          <w:rFonts w:eastAsia="Calibri"/>
          <w:noProof/>
          <w:lang w:val="fr-FR"/>
        </w:rPr>
        <w:t>Institut national de réinsertion disposent, sur leur demande, d</w:t>
      </w:r>
      <w:r w:rsidR="00607CA3">
        <w:rPr>
          <w:rFonts w:eastAsia="Calibri"/>
          <w:noProof/>
          <w:lang w:val="fr-FR"/>
        </w:rPr>
        <w:t>’</w:t>
      </w:r>
      <w:r>
        <w:rPr>
          <w:rFonts w:eastAsia="Calibri"/>
          <w:noProof/>
          <w:lang w:val="fr-FR"/>
        </w:rPr>
        <w:t>espaces spécifiques de formation aux questions de genre qui accueillent des hommes aussi bien que des femmes</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187.</w:t>
      </w:r>
      <w:r w:rsidRPr="000B4CDB">
        <w:rPr>
          <w:rFonts w:eastAsia="Calibri"/>
          <w:noProof/>
          <w:lang w:val="fr-FR"/>
        </w:rPr>
        <w:tab/>
        <w:t>La</w:t>
      </w:r>
      <w:r>
        <w:rPr>
          <w:rFonts w:eastAsia="Calibri"/>
          <w:noProof/>
          <w:lang w:val="fr-FR"/>
        </w:rPr>
        <w:t xml:space="preserve"> loi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18214 d</w:t>
      </w:r>
      <w:r>
        <w:rPr>
          <w:rFonts w:eastAsia="Calibri"/>
          <w:noProof/>
          <w:lang w:val="fr-FR"/>
        </w:rPr>
        <w:t>u</w:t>
      </w:r>
      <w:r w:rsidRPr="000B4CDB">
        <w:rPr>
          <w:rFonts w:eastAsia="Calibri"/>
          <w:noProof/>
          <w:lang w:val="fr-FR"/>
        </w:rPr>
        <w:t xml:space="preserve"> 9</w:t>
      </w:r>
      <w:r w:rsidR="00776EA3">
        <w:rPr>
          <w:rFonts w:eastAsia="Calibri"/>
          <w:noProof/>
          <w:lang w:val="fr-FR"/>
        </w:rPr>
        <w:t> </w:t>
      </w:r>
      <w:r w:rsidRPr="000B4CDB">
        <w:rPr>
          <w:rFonts w:eastAsia="Calibri"/>
          <w:noProof/>
          <w:lang w:val="fr-FR"/>
        </w:rPr>
        <w:t>d</w:t>
      </w:r>
      <w:r>
        <w:rPr>
          <w:rFonts w:eastAsia="Calibri"/>
          <w:noProof/>
          <w:lang w:val="fr-FR"/>
        </w:rPr>
        <w:t>é</w:t>
      </w:r>
      <w:r w:rsidRPr="000B4CDB">
        <w:rPr>
          <w:rFonts w:eastAsia="Calibri"/>
          <w:noProof/>
          <w:lang w:val="fr-FR"/>
        </w:rPr>
        <w:t xml:space="preserve">cembre 2007 </w:t>
      </w:r>
      <w:r>
        <w:rPr>
          <w:rFonts w:eastAsia="Calibri"/>
          <w:noProof/>
          <w:lang w:val="fr-FR"/>
        </w:rPr>
        <w:t>portant modification du Code de l</w:t>
      </w:r>
      <w:r w:rsidR="00607CA3">
        <w:rPr>
          <w:rFonts w:eastAsia="Calibri"/>
          <w:noProof/>
          <w:lang w:val="fr-FR"/>
        </w:rPr>
        <w:t>’</w:t>
      </w:r>
      <w:r>
        <w:rPr>
          <w:rFonts w:eastAsia="Calibri"/>
          <w:noProof/>
          <w:lang w:val="fr-FR"/>
        </w:rPr>
        <w:t xml:space="preserve">enfance </w:t>
      </w:r>
      <w:r>
        <w:rPr>
          <w:noProof/>
          <w:lang w:val="fr-FR"/>
        </w:rPr>
        <w:t>et de l</w:t>
      </w:r>
      <w:r w:rsidR="00607CA3">
        <w:rPr>
          <w:noProof/>
          <w:lang w:val="fr-FR"/>
        </w:rPr>
        <w:t>’</w:t>
      </w:r>
      <w:r>
        <w:rPr>
          <w:noProof/>
          <w:lang w:val="fr-FR"/>
        </w:rPr>
        <w:t>adolescence</w:t>
      </w:r>
      <w:r w:rsidRPr="000B4CDB">
        <w:rPr>
          <w:rFonts w:eastAsia="Calibri"/>
          <w:noProof/>
          <w:lang w:val="fr-FR"/>
        </w:rPr>
        <w:t xml:space="preserve"> </w:t>
      </w:r>
      <w:r>
        <w:rPr>
          <w:rFonts w:eastAsia="Calibri"/>
          <w:noProof/>
          <w:lang w:val="fr-FR"/>
        </w:rPr>
        <w:t>a interdit aux parents, responsables ou toute autre personne chargée de la prise en charge, du traitement, de l</w:t>
      </w:r>
      <w:r w:rsidR="00607CA3">
        <w:rPr>
          <w:rFonts w:eastAsia="Calibri"/>
          <w:noProof/>
          <w:lang w:val="fr-FR"/>
        </w:rPr>
        <w:t>’</w:t>
      </w:r>
      <w:r>
        <w:rPr>
          <w:rFonts w:eastAsia="Calibri"/>
          <w:noProof/>
          <w:lang w:val="fr-FR"/>
        </w:rPr>
        <w:t>éducation ou de la surveillance d</w:t>
      </w:r>
      <w:r w:rsidR="00607CA3">
        <w:rPr>
          <w:rFonts w:eastAsia="Calibri"/>
          <w:noProof/>
          <w:lang w:val="fr-FR"/>
        </w:rPr>
        <w:t>’</w:t>
      </w:r>
      <w:r>
        <w:rPr>
          <w:rFonts w:eastAsia="Calibri"/>
          <w:noProof/>
          <w:lang w:val="fr-FR"/>
        </w:rPr>
        <w:t>enfants et d</w:t>
      </w:r>
      <w:r w:rsidR="00607CA3">
        <w:rPr>
          <w:rFonts w:eastAsia="Calibri"/>
          <w:noProof/>
          <w:lang w:val="fr-FR"/>
        </w:rPr>
        <w:t>’</w:t>
      </w:r>
      <w:r>
        <w:rPr>
          <w:rFonts w:eastAsia="Calibri"/>
          <w:noProof/>
          <w:lang w:val="fr-FR"/>
        </w:rPr>
        <w:t xml:space="preserve">adolescents de </w:t>
      </w:r>
      <w:r w:rsidRPr="00256821">
        <w:rPr>
          <w:noProof/>
          <w:lang w:val="fr-FR"/>
        </w:rPr>
        <w:t>recourir à l</w:t>
      </w:r>
      <w:r w:rsidR="00607CA3">
        <w:rPr>
          <w:noProof/>
          <w:lang w:val="fr-FR"/>
        </w:rPr>
        <w:t>’</w:t>
      </w:r>
      <w:r w:rsidRPr="00256821">
        <w:rPr>
          <w:noProof/>
          <w:lang w:val="fr-FR"/>
        </w:rPr>
        <w:t xml:space="preserve">égard de ces derniers à des châtiments corporels ou </w:t>
      </w:r>
      <w:r>
        <w:rPr>
          <w:noProof/>
          <w:lang w:val="fr-FR"/>
        </w:rPr>
        <w:t xml:space="preserve">à </w:t>
      </w:r>
      <w:r w:rsidRPr="00256821">
        <w:rPr>
          <w:noProof/>
          <w:lang w:val="fr-FR"/>
        </w:rPr>
        <w:t>tout autre type de traitement humiliant comme mesure de correction ou de discipline</w:t>
      </w:r>
      <w:r w:rsidRPr="000B4CDB">
        <w:rPr>
          <w:rFonts w:eastAsia="Calibri"/>
          <w:noProof/>
          <w:lang w:val="fr-FR"/>
        </w:rPr>
        <w:t xml:space="preserve">. </w:t>
      </w:r>
      <w:r>
        <w:rPr>
          <w:rFonts w:eastAsia="Calibri"/>
          <w:noProof/>
          <w:lang w:val="fr-FR"/>
        </w:rPr>
        <w:t>Elle a exclu la possibilité pour les parents ou responsables de se prévaloir de l</w:t>
      </w:r>
      <w:r w:rsidR="00607CA3">
        <w:rPr>
          <w:rFonts w:eastAsia="Calibri"/>
          <w:noProof/>
          <w:lang w:val="fr-FR"/>
        </w:rPr>
        <w:t>’</w:t>
      </w:r>
      <w:r>
        <w:rPr>
          <w:rFonts w:eastAsia="Calibri"/>
          <w:noProof/>
          <w:lang w:val="fr-FR"/>
        </w:rPr>
        <w:t>autorité paternelle ou de la tutelle qu</w:t>
      </w:r>
      <w:r w:rsidR="00607CA3">
        <w:rPr>
          <w:rFonts w:eastAsia="Calibri"/>
          <w:noProof/>
          <w:lang w:val="fr-FR"/>
        </w:rPr>
        <w:t>’</w:t>
      </w:r>
      <w:r>
        <w:rPr>
          <w:rFonts w:eastAsia="Calibri"/>
          <w:noProof/>
          <w:lang w:val="fr-FR"/>
        </w:rPr>
        <w:t xml:space="preserve">ils exercent sur un enfant pour recourir à </w:t>
      </w:r>
      <w:r w:rsidRPr="00256821">
        <w:rPr>
          <w:noProof/>
          <w:lang w:val="fr-FR"/>
        </w:rPr>
        <w:t xml:space="preserve">des châtiments corporels ou </w:t>
      </w:r>
      <w:r>
        <w:rPr>
          <w:noProof/>
          <w:lang w:val="fr-FR"/>
        </w:rPr>
        <w:t xml:space="preserve">à </w:t>
      </w:r>
      <w:r w:rsidRPr="00256821">
        <w:rPr>
          <w:noProof/>
          <w:lang w:val="fr-FR"/>
        </w:rPr>
        <w:t xml:space="preserve">tout autre type de traitement humiliant </w:t>
      </w:r>
      <w:r>
        <w:rPr>
          <w:noProof/>
          <w:lang w:val="fr-FR"/>
        </w:rPr>
        <w:t>comme mesure de punition</w:t>
      </w:r>
      <w:r w:rsidRPr="000B4CDB">
        <w:rPr>
          <w:rFonts w:eastAsia="Calibri"/>
          <w:noProof/>
          <w:lang w:val="fr-FR"/>
        </w:rPr>
        <w:t xml:space="preserve">. </w:t>
      </w:r>
      <w:r>
        <w:rPr>
          <w:rFonts w:eastAsia="Calibri"/>
          <w:noProof/>
          <w:lang w:val="fr-FR"/>
        </w:rPr>
        <w:t>Elle a supprimé les articles du Code civil qui autorisaient les parents et les tuteurs à corriger modérément un mineur et à saisir la justice pour le faire interner (</w:t>
      </w:r>
      <w:r w:rsidRPr="00287D99">
        <w:rPr>
          <w:noProof/>
          <w:lang w:val="fr-FR"/>
        </w:rPr>
        <w:t>Institut uruguayen de</w:t>
      </w:r>
      <w:r w:rsidRPr="00287D99">
        <w:rPr>
          <w:rFonts w:eastAsia="Calibri"/>
          <w:noProof/>
          <w:lang w:val="fr-FR"/>
        </w:rPr>
        <w:t xml:space="preserve"> l</w:t>
      </w:r>
      <w:r w:rsidR="00607CA3">
        <w:rPr>
          <w:rFonts w:eastAsia="Calibri"/>
          <w:noProof/>
          <w:lang w:val="fr-FR"/>
        </w:rPr>
        <w:t>’</w:t>
      </w:r>
      <w:r w:rsidRPr="00287D99">
        <w:rPr>
          <w:rFonts w:eastAsia="Calibri"/>
          <w:noProof/>
          <w:lang w:val="fr-FR"/>
        </w:rPr>
        <w:t>enfant et de l</w:t>
      </w:r>
      <w:r w:rsidR="00607CA3">
        <w:rPr>
          <w:rFonts w:eastAsia="Calibri"/>
          <w:noProof/>
          <w:lang w:val="fr-FR"/>
        </w:rPr>
        <w:t>’</w:t>
      </w:r>
      <w:r w:rsidRPr="00287D99">
        <w:rPr>
          <w:rFonts w:eastAsia="Calibri"/>
          <w:noProof/>
          <w:lang w:val="fr-FR"/>
        </w:rPr>
        <w:t>adolescent</w:t>
      </w:r>
      <w:r w:rsidRPr="000B4CDB">
        <w:rPr>
          <w:rFonts w:eastAsia="Calibri"/>
          <w:noProof/>
          <w:lang w:val="fr-FR"/>
        </w:rPr>
        <w:t>)</w:t>
      </w:r>
      <w:r>
        <w:rPr>
          <w:rFonts w:eastAsia="Calibri"/>
          <w:noProof/>
          <w:lang w:val="fr-FR"/>
        </w:rPr>
        <w:t xml:space="preserve"> (art</w:t>
      </w:r>
      <w:r w:rsidR="00776EA3">
        <w:rPr>
          <w:rFonts w:eastAsia="Calibri"/>
          <w:noProof/>
          <w:lang w:val="fr-FR"/>
        </w:rPr>
        <w:t>. </w:t>
      </w:r>
      <w:r w:rsidRPr="000B4CDB">
        <w:rPr>
          <w:rFonts w:eastAsia="Calibri"/>
          <w:noProof/>
          <w:lang w:val="fr-FR"/>
        </w:rPr>
        <w:t xml:space="preserve">261 </w:t>
      </w:r>
      <w:r>
        <w:rPr>
          <w:rFonts w:eastAsia="Calibri"/>
          <w:noProof/>
          <w:lang w:val="fr-FR"/>
        </w:rPr>
        <w:t>et</w:t>
      </w:r>
      <w:r w:rsidRPr="000B4CDB">
        <w:rPr>
          <w:rFonts w:eastAsia="Calibri"/>
          <w:noProof/>
          <w:lang w:val="fr-FR"/>
        </w:rPr>
        <w:t xml:space="preserve"> 384, </w:t>
      </w:r>
      <w:r w:rsidR="00776EA3">
        <w:rPr>
          <w:rFonts w:eastAsia="Calibri"/>
          <w:noProof/>
          <w:lang w:val="fr-FR"/>
        </w:rPr>
        <w:t xml:space="preserve">deuxième et troisième </w:t>
      </w:r>
      <w:r>
        <w:rPr>
          <w:rFonts w:eastAsia="Calibri"/>
          <w:noProof/>
          <w:lang w:val="fr-FR"/>
        </w:rPr>
        <w:t>paragraphes</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188.</w:t>
      </w:r>
      <w:r w:rsidRPr="000B4CDB">
        <w:rPr>
          <w:rFonts w:eastAsia="Calibri"/>
          <w:noProof/>
          <w:lang w:val="fr-FR"/>
        </w:rPr>
        <w:tab/>
      </w:r>
      <w:r w:rsidRPr="004E7CDD">
        <w:rPr>
          <w:rFonts w:eastAsia="Calibri"/>
          <w:noProof/>
          <w:lang w:val="fr-FR"/>
        </w:rPr>
        <w:t>L</w:t>
      </w:r>
      <w:r w:rsidR="00607CA3">
        <w:rPr>
          <w:rFonts w:eastAsia="Calibri"/>
          <w:noProof/>
          <w:lang w:val="fr-FR"/>
        </w:rPr>
        <w:t>’</w:t>
      </w:r>
      <w:r w:rsidRPr="004E7CDD">
        <w:rPr>
          <w:noProof/>
          <w:lang w:val="fr-FR"/>
        </w:rPr>
        <w:t>antenne locale du Système intégré de protection des enfants et des adolescents contre la violence</w:t>
      </w:r>
      <w:r w:rsidRPr="000B4CDB">
        <w:rPr>
          <w:rFonts w:eastAsia="Calibri"/>
          <w:noProof/>
          <w:lang w:val="fr-FR"/>
        </w:rPr>
        <w:t xml:space="preserve"> es</w:t>
      </w:r>
      <w:r>
        <w:rPr>
          <w:rFonts w:eastAsia="Calibri"/>
          <w:noProof/>
          <w:lang w:val="fr-FR"/>
        </w:rPr>
        <w:t>t</w:t>
      </w:r>
      <w:r w:rsidRPr="000B4CDB">
        <w:rPr>
          <w:rFonts w:eastAsia="Calibri"/>
          <w:noProof/>
          <w:lang w:val="fr-FR"/>
        </w:rPr>
        <w:t xml:space="preserve"> un espac</w:t>
      </w:r>
      <w:r>
        <w:rPr>
          <w:rFonts w:eastAsia="Calibri"/>
          <w:noProof/>
          <w:lang w:val="fr-FR"/>
        </w:rPr>
        <w:t>e</w:t>
      </w:r>
      <w:r w:rsidRPr="000B4CDB">
        <w:rPr>
          <w:rFonts w:eastAsia="Calibri"/>
          <w:noProof/>
          <w:lang w:val="fr-FR"/>
        </w:rPr>
        <w:t xml:space="preserve"> interinstitu</w:t>
      </w:r>
      <w:r>
        <w:rPr>
          <w:rFonts w:eastAsia="Calibri"/>
          <w:noProof/>
          <w:lang w:val="fr-FR"/>
        </w:rPr>
        <w:t>tionnel d</w:t>
      </w:r>
      <w:r w:rsidR="00607CA3">
        <w:rPr>
          <w:rFonts w:eastAsia="Calibri"/>
          <w:noProof/>
          <w:lang w:val="fr-FR"/>
        </w:rPr>
        <w:t>’</w:t>
      </w:r>
      <w:r>
        <w:rPr>
          <w:rFonts w:eastAsia="Calibri"/>
          <w:noProof/>
          <w:lang w:val="fr-FR"/>
        </w:rPr>
        <w:t>accueil d</w:t>
      </w:r>
      <w:r w:rsidR="00607CA3">
        <w:rPr>
          <w:rFonts w:eastAsia="Calibri"/>
          <w:noProof/>
          <w:lang w:val="fr-FR"/>
        </w:rPr>
        <w:t>’</w:t>
      </w:r>
      <w:r>
        <w:rPr>
          <w:rFonts w:eastAsia="Calibri"/>
          <w:noProof/>
          <w:lang w:val="fr-FR"/>
        </w:rPr>
        <w:t>enfants et d</w:t>
      </w:r>
      <w:r w:rsidR="00607CA3">
        <w:rPr>
          <w:rFonts w:eastAsia="Calibri"/>
          <w:noProof/>
          <w:lang w:val="fr-FR"/>
        </w:rPr>
        <w:t>’</w:t>
      </w:r>
      <w:r>
        <w:rPr>
          <w:rFonts w:eastAsia="Calibri"/>
          <w:noProof/>
          <w:lang w:val="fr-FR"/>
        </w:rPr>
        <w:t xml:space="preserve">adolescents ayant fait face à </w:t>
      </w:r>
      <w:r w:rsidRPr="005826C3">
        <w:rPr>
          <w:rFonts w:eastAsia="Calibri"/>
          <w:noProof/>
          <w:lang w:val="fr-FR"/>
        </w:rPr>
        <w:t xml:space="preserve">des </w:t>
      </w:r>
      <w:r w:rsidRPr="005826C3">
        <w:rPr>
          <w:noProof/>
          <w:lang w:val="fr-FR"/>
        </w:rPr>
        <w:t>situations d</w:t>
      </w:r>
      <w:r>
        <w:rPr>
          <w:noProof/>
          <w:lang w:val="fr-FR"/>
        </w:rPr>
        <w:t>e violence</w:t>
      </w:r>
      <w:r w:rsidRPr="005826C3">
        <w:rPr>
          <w:noProof/>
          <w:lang w:val="fr-FR"/>
        </w:rPr>
        <w:t xml:space="preserve"> sexuel</w:t>
      </w:r>
      <w:r>
        <w:rPr>
          <w:noProof/>
          <w:lang w:val="fr-FR"/>
        </w:rPr>
        <w:t>le</w:t>
      </w:r>
      <w:r w:rsidRPr="005826C3">
        <w:rPr>
          <w:noProof/>
          <w:lang w:val="fr-FR"/>
        </w:rPr>
        <w:t xml:space="preserve"> et de maltraitance</w:t>
      </w:r>
      <w:r w:rsidRPr="000B4CDB">
        <w:rPr>
          <w:rFonts w:eastAsia="Calibri"/>
          <w:noProof/>
          <w:lang w:val="fr-FR"/>
        </w:rPr>
        <w:t xml:space="preserve">, </w:t>
      </w:r>
      <w:r>
        <w:rPr>
          <w:rFonts w:eastAsia="Calibri"/>
          <w:noProof/>
          <w:lang w:val="fr-FR"/>
        </w:rPr>
        <w:t>où s</w:t>
      </w:r>
      <w:r w:rsidR="00607CA3">
        <w:rPr>
          <w:rFonts w:eastAsia="Calibri"/>
          <w:noProof/>
          <w:lang w:val="fr-FR"/>
        </w:rPr>
        <w:t>’</w:t>
      </w:r>
      <w:r>
        <w:rPr>
          <w:rFonts w:eastAsia="Calibri"/>
          <w:noProof/>
          <w:lang w:val="fr-FR"/>
        </w:rPr>
        <w:t>activent des techniciens des institutions membres du système</w:t>
      </w:r>
      <w:r w:rsidRPr="000B4CDB">
        <w:rPr>
          <w:rFonts w:eastAsia="Calibri"/>
          <w:noProof/>
          <w:lang w:val="fr-FR"/>
        </w:rPr>
        <w:t xml:space="preserve">. </w:t>
      </w:r>
      <w:r>
        <w:rPr>
          <w:rFonts w:eastAsia="Calibri"/>
          <w:noProof/>
          <w:lang w:val="fr-FR"/>
        </w:rPr>
        <w:t>Vingt-sept de ces antennes sont opérationnelles sur le territoire national</w:t>
      </w:r>
      <w:r w:rsidRPr="000B4CDB">
        <w:rPr>
          <w:rFonts w:eastAsia="Calibri"/>
          <w:noProof/>
          <w:lang w:val="fr-FR"/>
        </w:rPr>
        <w:t xml:space="preserve">. </w:t>
      </w:r>
    </w:p>
    <w:p w:rsidR="00596826" w:rsidRPr="000B4CDB" w:rsidRDefault="00596826" w:rsidP="00596826">
      <w:pPr>
        <w:pStyle w:val="SingleTxtG"/>
        <w:rPr>
          <w:rFonts w:eastAsia="Calibri"/>
          <w:noProof/>
          <w:lang w:val="fr-FR"/>
        </w:rPr>
      </w:pPr>
      <w:r w:rsidRPr="000B4CDB">
        <w:rPr>
          <w:rFonts w:eastAsia="Calibri"/>
          <w:noProof/>
          <w:lang w:val="fr-FR"/>
        </w:rPr>
        <w:lastRenderedPageBreak/>
        <w:t>189.</w:t>
      </w:r>
      <w:r w:rsidRPr="000B4CDB">
        <w:rPr>
          <w:rFonts w:eastAsia="Calibri"/>
          <w:noProof/>
          <w:lang w:val="fr-FR"/>
        </w:rPr>
        <w:tab/>
        <w:t>La Divisi</w:t>
      </w:r>
      <w:r>
        <w:rPr>
          <w:rFonts w:eastAsia="Calibri"/>
          <w:noProof/>
          <w:lang w:val="fr-FR"/>
        </w:rPr>
        <w:t>on des questions de genre du Ministère de l</w:t>
      </w:r>
      <w:r w:rsidR="00607CA3">
        <w:rPr>
          <w:rFonts w:eastAsia="Calibri"/>
          <w:noProof/>
          <w:lang w:val="fr-FR"/>
        </w:rPr>
        <w:t>’</w:t>
      </w:r>
      <w:r>
        <w:rPr>
          <w:rFonts w:eastAsia="Calibri"/>
          <w:noProof/>
          <w:lang w:val="fr-FR"/>
        </w:rPr>
        <w:t>intérieur a dispensé des cours et organisé des ateliers sur l</w:t>
      </w:r>
      <w:r w:rsidR="00607CA3">
        <w:rPr>
          <w:rFonts w:eastAsia="Calibri"/>
          <w:noProof/>
          <w:lang w:val="fr-FR"/>
        </w:rPr>
        <w:t>’</w:t>
      </w:r>
      <w:r>
        <w:rPr>
          <w:rFonts w:eastAsia="Calibri"/>
          <w:noProof/>
          <w:lang w:val="fr-FR"/>
        </w:rPr>
        <w:t>activité de la police, dans l</w:t>
      </w:r>
      <w:r w:rsidR="00607CA3">
        <w:rPr>
          <w:rFonts w:eastAsia="Calibri"/>
          <w:noProof/>
          <w:lang w:val="fr-FR"/>
        </w:rPr>
        <w:t>’</w:t>
      </w:r>
      <w:r>
        <w:rPr>
          <w:rFonts w:eastAsia="Calibri"/>
          <w:noProof/>
          <w:lang w:val="fr-FR"/>
        </w:rPr>
        <w:t>optique des droits de l</w:t>
      </w:r>
      <w:r w:rsidR="00607CA3">
        <w:rPr>
          <w:rFonts w:eastAsia="Calibri"/>
          <w:noProof/>
          <w:lang w:val="fr-FR"/>
        </w:rPr>
        <w:t>’</w:t>
      </w:r>
      <w:r>
        <w:rPr>
          <w:rFonts w:eastAsia="Calibri"/>
          <w:noProof/>
          <w:lang w:val="fr-FR"/>
        </w:rPr>
        <w:t>homme et des questions de genre. L</w:t>
      </w:r>
      <w:r w:rsidR="00607CA3">
        <w:rPr>
          <w:rFonts w:eastAsia="Calibri"/>
          <w:noProof/>
          <w:lang w:val="fr-FR"/>
        </w:rPr>
        <w:t>’</w:t>
      </w:r>
      <w:r>
        <w:rPr>
          <w:rFonts w:eastAsia="Calibri"/>
          <w:noProof/>
          <w:lang w:val="fr-FR"/>
        </w:rPr>
        <w:t xml:space="preserve">un des modules de ces cours et ateliers est consacré au Protocole </w:t>
      </w:r>
      <w:r w:rsidRPr="000B4CDB">
        <w:rPr>
          <w:rFonts w:eastAsia="Calibri"/>
          <w:noProof/>
          <w:lang w:val="fr-FR"/>
        </w:rPr>
        <w:t>de com</w:t>
      </w:r>
      <w:r>
        <w:rPr>
          <w:rFonts w:eastAsia="Calibri"/>
          <w:noProof/>
          <w:lang w:val="fr-FR"/>
        </w:rPr>
        <w:t>m</w:t>
      </w:r>
      <w:r w:rsidRPr="000B4CDB">
        <w:rPr>
          <w:rFonts w:eastAsia="Calibri"/>
          <w:noProof/>
          <w:lang w:val="fr-FR"/>
        </w:rPr>
        <w:t>unica</w:t>
      </w:r>
      <w:r>
        <w:rPr>
          <w:rFonts w:eastAsia="Calibri"/>
          <w:noProof/>
          <w:lang w:val="fr-FR"/>
        </w:rPr>
        <w:t>tion appliqué par la police pour faire face aux situations de violence auxquelles sont confrontés des enfants et des adolescents, protocole qui s</w:t>
      </w:r>
      <w:r w:rsidR="00607CA3">
        <w:rPr>
          <w:rFonts w:eastAsia="Calibri"/>
          <w:noProof/>
          <w:lang w:val="fr-FR"/>
        </w:rPr>
        <w:t>’</w:t>
      </w:r>
      <w:r>
        <w:rPr>
          <w:rFonts w:eastAsia="Calibri"/>
          <w:noProof/>
          <w:lang w:val="fr-FR"/>
        </w:rPr>
        <w:t>impose au Ministère de l</w:t>
      </w:r>
      <w:r w:rsidR="00607CA3">
        <w:rPr>
          <w:rFonts w:eastAsia="Calibri"/>
          <w:noProof/>
          <w:lang w:val="fr-FR"/>
        </w:rPr>
        <w:t>’</w:t>
      </w:r>
      <w:r>
        <w:rPr>
          <w:rFonts w:eastAsia="Calibri"/>
          <w:noProof/>
          <w:lang w:val="fr-FR"/>
        </w:rPr>
        <w:t>intérieur</w:t>
      </w:r>
      <w:r w:rsidRPr="000B4CDB">
        <w:rPr>
          <w:rFonts w:eastAsia="Calibri"/>
          <w:noProof/>
          <w:lang w:val="fr-FR"/>
        </w:rPr>
        <w:t xml:space="preserve">. </w:t>
      </w:r>
      <w:r>
        <w:rPr>
          <w:rFonts w:eastAsia="Calibri"/>
          <w:noProof/>
          <w:lang w:val="fr-FR"/>
        </w:rPr>
        <w:t>Le</w:t>
      </w:r>
      <w:r w:rsidRPr="000B4CDB">
        <w:rPr>
          <w:rFonts w:eastAsia="Calibri"/>
          <w:noProof/>
          <w:lang w:val="fr-FR"/>
        </w:rPr>
        <w:t xml:space="preserve"> </w:t>
      </w:r>
      <w:r>
        <w:rPr>
          <w:rFonts w:eastAsia="Calibri"/>
          <w:noProof/>
          <w:lang w:val="fr-FR"/>
        </w:rPr>
        <w:t>« Protocole d</w:t>
      </w:r>
      <w:r w:rsidR="00607CA3">
        <w:rPr>
          <w:rFonts w:eastAsia="Calibri"/>
          <w:noProof/>
          <w:lang w:val="fr-FR"/>
        </w:rPr>
        <w:t>’</w:t>
      </w:r>
      <w:r>
        <w:rPr>
          <w:rFonts w:eastAsia="Calibri"/>
          <w:noProof/>
          <w:lang w:val="fr-FR"/>
        </w:rPr>
        <w:t>action pour les enfants et adolescents privés de liberté et sous tutelle »</w:t>
      </w:r>
      <w:r w:rsidRPr="000B4CDB">
        <w:rPr>
          <w:rFonts w:eastAsia="Calibri"/>
          <w:noProof/>
          <w:lang w:val="fr-FR"/>
        </w:rPr>
        <w:t xml:space="preserve">, </w:t>
      </w:r>
      <w:r>
        <w:rPr>
          <w:rFonts w:eastAsia="Calibri"/>
          <w:noProof/>
          <w:lang w:val="fr-FR"/>
        </w:rPr>
        <w:t>élaboré sous l</w:t>
      </w:r>
      <w:r w:rsidR="00607CA3">
        <w:rPr>
          <w:rFonts w:eastAsia="Calibri"/>
          <w:noProof/>
          <w:lang w:val="fr-FR"/>
        </w:rPr>
        <w:t>’</w:t>
      </w:r>
      <w:r>
        <w:rPr>
          <w:rFonts w:eastAsia="Calibri"/>
          <w:noProof/>
          <w:lang w:val="fr-FR"/>
        </w:rPr>
        <w:t>impulsion du Ministère de l</w:t>
      </w:r>
      <w:r w:rsidR="00607CA3">
        <w:rPr>
          <w:rFonts w:eastAsia="Calibri"/>
          <w:noProof/>
          <w:lang w:val="fr-FR"/>
        </w:rPr>
        <w:t>’</w:t>
      </w:r>
      <w:r>
        <w:rPr>
          <w:rFonts w:eastAsia="Calibri"/>
          <w:noProof/>
          <w:lang w:val="fr-FR"/>
        </w:rPr>
        <w:t>intérieur dans un cadre interinstitutionnel</w:t>
      </w:r>
      <w:r w:rsidRPr="000B4CDB">
        <w:rPr>
          <w:rFonts w:eastAsia="Calibri"/>
          <w:noProof/>
          <w:lang w:val="fr-FR"/>
        </w:rPr>
        <w:t xml:space="preserve">, </w:t>
      </w:r>
      <w:r>
        <w:rPr>
          <w:rFonts w:eastAsia="Calibri"/>
          <w:noProof/>
          <w:lang w:val="fr-FR"/>
        </w:rPr>
        <w:t>prévoit les mesures que les acteurs du système pénal doivent prendre selon que l</w:t>
      </w:r>
      <w:r w:rsidR="00607CA3">
        <w:rPr>
          <w:rFonts w:eastAsia="Calibri"/>
          <w:noProof/>
          <w:lang w:val="fr-FR"/>
        </w:rPr>
        <w:t>’</w:t>
      </w:r>
      <w:r>
        <w:rPr>
          <w:rFonts w:eastAsia="Calibri"/>
          <w:noProof/>
          <w:lang w:val="fr-FR"/>
        </w:rPr>
        <w:t>arrestation a été opérée en flagrant délit ou de façon planifiée</w:t>
      </w:r>
      <w:r w:rsidRPr="000B4CDB">
        <w:rPr>
          <w:rFonts w:eastAsia="Calibri"/>
          <w:noProof/>
          <w:lang w:val="fr-FR"/>
        </w:rPr>
        <w:t xml:space="preserve">, </w:t>
      </w:r>
      <w:r>
        <w:rPr>
          <w:rFonts w:eastAsia="Calibri"/>
          <w:noProof/>
          <w:lang w:val="fr-FR"/>
        </w:rPr>
        <w:t>lorsqu</w:t>
      </w:r>
      <w:r w:rsidR="00607CA3">
        <w:rPr>
          <w:rFonts w:eastAsia="Calibri"/>
          <w:noProof/>
          <w:lang w:val="fr-FR"/>
        </w:rPr>
        <w:t>’</w:t>
      </w:r>
      <w:r>
        <w:rPr>
          <w:rFonts w:eastAsia="Calibri"/>
          <w:noProof/>
          <w:lang w:val="fr-FR"/>
        </w:rPr>
        <w:t>ils ont affaire à des enfants</w:t>
      </w:r>
      <w:r w:rsidRPr="000B4CDB">
        <w:rPr>
          <w:rFonts w:eastAsia="Calibri"/>
          <w:noProof/>
          <w:lang w:val="fr-FR"/>
        </w:rPr>
        <w:t>. En a</w:t>
      </w:r>
      <w:r>
        <w:rPr>
          <w:rFonts w:eastAsia="Calibri"/>
          <w:noProof/>
          <w:lang w:val="fr-FR"/>
        </w:rPr>
        <w:t>vr</w:t>
      </w:r>
      <w:r w:rsidRPr="000B4CDB">
        <w:rPr>
          <w:rFonts w:eastAsia="Calibri"/>
          <w:noProof/>
          <w:lang w:val="fr-FR"/>
        </w:rPr>
        <w:t>il 2017</w:t>
      </w:r>
      <w:r>
        <w:rPr>
          <w:rFonts w:eastAsia="Calibri"/>
          <w:noProof/>
          <w:lang w:val="fr-FR"/>
        </w:rPr>
        <w:t>,</w:t>
      </w:r>
      <w:r w:rsidRPr="000B4CDB">
        <w:rPr>
          <w:rFonts w:eastAsia="Calibri"/>
          <w:noProof/>
          <w:lang w:val="fr-FR"/>
        </w:rPr>
        <w:t xml:space="preserve"> </w:t>
      </w:r>
      <w:r>
        <w:rPr>
          <w:rFonts w:eastAsia="Calibri"/>
          <w:noProof/>
          <w:lang w:val="fr-FR"/>
        </w:rPr>
        <w:t>une formation à ce Protocole a été dispensée à toutes les institutions qui l</w:t>
      </w:r>
      <w:r w:rsidR="00607CA3">
        <w:rPr>
          <w:rFonts w:eastAsia="Calibri"/>
          <w:noProof/>
          <w:lang w:val="fr-FR"/>
        </w:rPr>
        <w:t>’</w:t>
      </w:r>
      <w:r>
        <w:rPr>
          <w:rFonts w:eastAsia="Calibri"/>
          <w:noProof/>
          <w:lang w:val="fr-FR"/>
        </w:rPr>
        <w:t>avaient approuvé</w:t>
      </w:r>
      <w:r w:rsidRPr="00776EA3">
        <w:rPr>
          <w:rStyle w:val="Appelnotedebasdep"/>
        </w:rPr>
        <w:footnoteReference w:id="41"/>
      </w:r>
      <w:r w:rsidRPr="000B4CDB">
        <w:rPr>
          <w:rFonts w:eastAsia="Calibri"/>
          <w:noProof/>
          <w:lang w:val="fr-FR"/>
        </w:rPr>
        <w:t>. En ju</w:t>
      </w:r>
      <w:r>
        <w:rPr>
          <w:rFonts w:eastAsia="Calibri"/>
          <w:noProof/>
          <w:lang w:val="fr-FR"/>
        </w:rPr>
        <w:t xml:space="preserve">in de la même année, le Bureau du Procureur général </w:t>
      </w:r>
      <w:r w:rsidRPr="000B4CDB">
        <w:rPr>
          <w:rFonts w:eastAsia="Calibri"/>
          <w:noProof/>
          <w:lang w:val="fr-FR"/>
        </w:rPr>
        <w:t>s</w:t>
      </w:r>
      <w:r w:rsidR="00607CA3">
        <w:rPr>
          <w:rFonts w:eastAsia="Calibri"/>
          <w:noProof/>
          <w:lang w:val="fr-FR"/>
        </w:rPr>
        <w:t>’</w:t>
      </w:r>
      <w:r>
        <w:rPr>
          <w:rFonts w:eastAsia="Calibri"/>
          <w:noProof/>
          <w:lang w:val="fr-FR"/>
        </w:rPr>
        <w:t xml:space="preserve">est inscrit dans le cadre de la mise en application </w:t>
      </w:r>
      <w:r w:rsidRPr="000B4CDB">
        <w:rPr>
          <w:rFonts w:eastAsia="Calibri"/>
          <w:noProof/>
          <w:lang w:val="fr-FR"/>
        </w:rPr>
        <w:t>d</w:t>
      </w:r>
      <w:r>
        <w:rPr>
          <w:rFonts w:eastAsia="Calibri"/>
          <w:noProof/>
          <w:lang w:val="fr-FR"/>
        </w:rPr>
        <w:t xml:space="preserve">u nouveau </w:t>
      </w:r>
      <w:r w:rsidRPr="000B4CDB">
        <w:rPr>
          <w:rFonts w:eastAsia="Calibri"/>
          <w:noProof/>
          <w:lang w:val="fr-FR"/>
        </w:rPr>
        <w:t>C</w:t>
      </w:r>
      <w:r>
        <w:rPr>
          <w:rFonts w:eastAsia="Calibri"/>
          <w:noProof/>
          <w:lang w:val="fr-FR"/>
        </w:rPr>
        <w:t>ode de procédure pénale</w:t>
      </w:r>
      <w:r w:rsidRPr="000B4CDB">
        <w:rPr>
          <w:rFonts w:eastAsia="Calibri"/>
          <w:noProof/>
          <w:lang w:val="fr-FR"/>
        </w:rPr>
        <w:t xml:space="preserve">. </w:t>
      </w:r>
      <w:r>
        <w:rPr>
          <w:rFonts w:eastAsia="Calibri"/>
          <w:noProof/>
          <w:lang w:val="fr-FR"/>
        </w:rPr>
        <w:t xml:space="preserve">De même, la loi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19580</w:t>
      </w:r>
      <w:r>
        <w:rPr>
          <w:rFonts w:eastAsia="Calibri"/>
          <w:noProof/>
          <w:lang w:val="fr-FR"/>
        </w:rPr>
        <w:t xml:space="preserve"> sur la violence à l</w:t>
      </w:r>
      <w:r w:rsidR="00607CA3">
        <w:rPr>
          <w:rFonts w:eastAsia="Calibri"/>
          <w:noProof/>
          <w:lang w:val="fr-FR"/>
        </w:rPr>
        <w:t>’</w:t>
      </w:r>
      <w:r>
        <w:rPr>
          <w:rFonts w:eastAsia="Calibri"/>
          <w:noProof/>
          <w:lang w:val="fr-FR"/>
        </w:rPr>
        <w:t>égard des femmes fondée sur le genre</w:t>
      </w:r>
      <w:r w:rsidRPr="000B4CDB">
        <w:rPr>
          <w:rFonts w:eastAsia="Calibri"/>
          <w:noProof/>
          <w:lang w:val="fr-FR"/>
        </w:rPr>
        <w:t>, de d</w:t>
      </w:r>
      <w:r>
        <w:rPr>
          <w:rFonts w:eastAsia="Calibri"/>
          <w:noProof/>
          <w:lang w:val="fr-FR"/>
        </w:rPr>
        <w:t>é</w:t>
      </w:r>
      <w:r w:rsidRPr="000B4CDB">
        <w:rPr>
          <w:rFonts w:eastAsia="Calibri"/>
          <w:noProof/>
          <w:lang w:val="fr-FR"/>
        </w:rPr>
        <w:t xml:space="preserve">cembre 2017, </w:t>
      </w:r>
      <w:r>
        <w:rPr>
          <w:rFonts w:eastAsia="Calibri"/>
          <w:noProof/>
          <w:lang w:val="fr-FR"/>
        </w:rPr>
        <w:t>élève au rang de « </w:t>
      </w:r>
      <w:r w:rsidRPr="000B4CDB">
        <w:rPr>
          <w:rFonts w:eastAsia="Calibri"/>
          <w:noProof/>
          <w:lang w:val="fr-FR"/>
        </w:rPr>
        <w:t>priorit</w:t>
      </w:r>
      <w:r>
        <w:rPr>
          <w:rFonts w:eastAsia="Calibri"/>
          <w:noProof/>
          <w:lang w:val="fr-FR"/>
        </w:rPr>
        <w:t>é l</w:t>
      </w:r>
      <w:r w:rsidR="00607CA3">
        <w:rPr>
          <w:rFonts w:eastAsia="Calibri"/>
          <w:noProof/>
          <w:lang w:val="fr-FR"/>
        </w:rPr>
        <w:t>’</w:t>
      </w:r>
      <w:r>
        <w:rPr>
          <w:rFonts w:eastAsia="Calibri"/>
          <w:noProof/>
          <w:lang w:val="fr-FR"/>
        </w:rPr>
        <w:t>élimination de la violence faite aux femmes, aux enfants et aux adolescents, l</w:t>
      </w:r>
      <w:r w:rsidR="00607CA3">
        <w:rPr>
          <w:rFonts w:eastAsia="Calibri"/>
          <w:noProof/>
          <w:lang w:val="fr-FR"/>
        </w:rPr>
        <w:t>’</w:t>
      </w:r>
      <w:r>
        <w:rPr>
          <w:rFonts w:eastAsia="Calibri"/>
          <w:noProof/>
          <w:lang w:val="fr-FR"/>
        </w:rPr>
        <w:t>État se devant d</w:t>
      </w:r>
      <w:r w:rsidR="00607CA3">
        <w:rPr>
          <w:rFonts w:eastAsia="Calibri"/>
          <w:noProof/>
          <w:lang w:val="fr-FR"/>
        </w:rPr>
        <w:t>’</w:t>
      </w:r>
      <w:r>
        <w:rPr>
          <w:rFonts w:eastAsia="Calibri"/>
          <w:noProof/>
          <w:lang w:val="fr-FR"/>
        </w:rPr>
        <w:t>y mettre fin en exerçant la diligence voulue. »</w:t>
      </w:r>
      <w:r w:rsidR="00776EA3">
        <w:rPr>
          <w:rFonts w:eastAsia="Calibri"/>
          <w:noProof/>
          <w:lang w:val="fr-FR"/>
        </w:rPr>
        <w:t>.</w:t>
      </w:r>
    </w:p>
    <w:p w:rsidR="00596826" w:rsidRPr="000B4CDB" w:rsidRDefault="00596826" w:rsidP="00776EA3">
      <w:pPr>
        <w:pStyle w:val="H1G"/>
        <w:rPr>
          <w:noProof/>
          <w:lang w:val="fr-FR"/>
        </w:rPr>
      </w:pPr>
      <w:r w:rsidRPr="000B4CDB">
        <w:rPr>
          <w:noProof/>
          <w:lang w:val="fr-FR"/>
        </w:rPr>
        <w:tab/>
      </w:r>
      <w:r w:rsidRPr="000B4CDB">
        <w:rPr>
          <w:noProof/>
          <w:lang w:val="fr-FR"/>
        </w:rPr>
        <w:tab/>
      </w:r>
      <w:r>
        <w:rPr>
          <w:noProof/>
          <w:lang w:val="fr-FR"/>
        </w:rPr>
        <w:t xml:space="preserve">Autres questions </w:t>
      </w:r>
    </w:p>
    <w:p w:rsidR="00596826" w:rsidRPr="000B4CDB" w:rsidRDefault="00596826" w:rsidP="00596826">
      <w:pPr>
        <w:pStyle w:val="SingleTxtG"/>
        <w:rPr>
          <w:noProof/>
          <w:lang w:val="fr-FR" w:eastAsia="es-UY"/>
        </w:rPr>
      </w:pPr>
      <w:r w:rsidRPr="000B4CDB">
        <w:rPr>
          <w:noProof/>
          <w:lang w:val="fr-FR" w:eastAsia="es-UY"/>
        </w:rPr>
        <w:t>190.</w:t>
      </w:r>
      <w:r w:rsidRPr="000B4CDB">
        <w:rPr>
          <w:noProof/>
          <w:lang w:val="fr-FR" w:eastAsia="es-UY"/>
        </w:rPr>
        <w:tab/>
      </w:r>
      <w:r>
        <w:rPr>
          <w:noProof/>
          <w:lang w:val="fr-FR" w:eastAsia="es-UY"/>
        </w:rPr>
        <w:t>L</w:t>
      </w:r>
      <w:r w:rsidR="00607CA3">
        <w:rPr>
          <w:noProof/>
          <w:lang w:val="fr-FR" w:eastAsia="es-UY"/>
        </w:rPr>
        <w:t>’</w:t>
      </w:r>
      <w:r w:rsidRPr="000B4CDB">
        <w:rPr>
          <w:noProof/>
          <w:lang w:val="fr-FR" w:eastAsia="es-UY"/>
        </w:rPr>
        <w:t>Uruguay</w:t>
      </w:r>
      <w:r>
        <w:rPr>
          <w:noProof/>
          <w:lang w:val="fr-FR" w:eastAsia="es-UY"/>
        </w:rPr>
        <w:t xml:space="preserve"> a travaillé à la mise au point d</w:t>
      </w:r>
      <w:r w:rsidR="00607CA3">
        <w:rPr>
          <w:noProof/>
          <w:lang w:val="fr-FR" w:eastAsia="es-UY"/>
        </w:rPr>
        <w:t>’</w:t>
      </w:r>
      <w:r>
        <w:rPr>
          <w:noProof/>
          <w:lang w:val="fr-FR" w:eastAsia="es-UY"/>
        </w:rPr>
        <w:t>une stratégie nationale de lutte contre le terrorisme, ce qui cadre bien avec l</w:t>
      </w:r>
      <w:r w:rsidR="00607CA3">
        <w:rPr>
          <w:noProof/>
          <w:lang w:val="fr-FR" w:eastAsia="es-UY"/>
        </w:rPr>
        <w:t>’</w:t>
      </w:r>
      <w:r>
        <w:rPr>
          <w:noProof/>
          <w:lang w:val="fr-FR" w:eastAsia="es-UY"/>
        </w:rPr>
        <w:t>engagement qu</w:t>
      </w:r>
      <w:r w:rsidR="00607CA3">
        <w:rPr>
          <w:noProof/>
          <w:lang w:val="fr-FR" w:eastAsia="es-UY"/>
        </w:rPr>
        <w:t>’</w:t>
      </w:r>
      <w:r>
        <w:rPr>
          <w:noProof/>
          <w:lang w:val="fr-FR" w:eastAsia="es-UY"/>
        </w:rPr>
        <w:t>il a pris de traiter efficacement le problème sous tous ses aspects</w:t>
      </w:r>
      <w:r w:rsidRPr="000B4CDB">
        <w:rPr>
          <w:noProof/>
          <w:lang w:val="fr-FR" w:eastAsia="es-UY"/>
        </w:rPr>
        <w:t xml:space="preserve">. </w:t>
      </w:r>
      <w:r>
        <w:rPr>
          <w:noProof/>
          <w:lang w:val="fr-FR" w:eastAsia="es-UY"/>
        </w:rPr>
        <w:t>Cette stratégie, qui reflète l</w:t>
      </w:r>
      <w:r w:rsidR="00607CA3">
        <w:rPr>
          <w:noProof/>
          <w:lang w:val="fr-FR" w:eastAsia="es-UY"/>
        </w:rPr>
        <w:t>’</w:t>
      </w:r>
      <w:r>
        <w:rPr>
          <w:noProof/>
          <w:lang w:val="fr-FR" w:eastAsia="es-UY"/>
        </w:rPr>
        <w:t>attachement du pays à la paix et à la sécurité régionales et internationales, est mise en œuvre dans le strict respect de l</w:t>
      </w:r>
      <w:r w:rsidR="00607CA3">
        <w:rPr>
          <w:noProof/>
          <w:lang w:val="fr-FR" w:eastAsia="es-UY"/>
        </w:rPr>
        <w:t>’</w:t>
      </w:r>
      <w:r>
        <w:rPr>
          <w:noProof/>
          <w:lang w:val="fr-FR" w:eastAsia="es-UY"/>
        </w:rPr>
        <w:t>état de droit, du droit international et des droits de l</w:t>
      </w:r>
      <w:r w:rsidR="00607CA3">
        <w:rPr>
          <w:noProof/>
          <w:lang w:val="fr-FR" w:eastAsia="es-UY"/>
        </w:rPr>
        <w:t>’</w:t>
      </w:r>
      <w:r>
        <w:rPr>
          <w:noProof/>
          <w:lang w:val="fr-FR" w:eastAsia="es-UY"/>
        </w:rPr>
        <w:t>homme</w:t>
      </w:r>
      <w:r w:rsidRPr="000B4CDB">
        <w:rPr>
          <w:noProof/>
          <w:lang w:val="fr-FR" w:eastAsia="es-UY"/>
        </w:rPr>
        <w:t>.</w:t>
      </w:r>
    </w:p>
    <w:p w:rsidR="00596826" w:rsidRPr="000B4CDB" w:rsidRDefault="00596826" w:rsidP="00596826">
      <w:pPr>
        <w:pStyle w:val="SingleTxtG"/>
        <w:rPr>
          <w:noProof/>
          <w:lang w:val="fr-FR" w:eastAsia="es-UY"/>
        </w:rPr>
      </w:pPr>
      <w:r w:rsidRPr="000B4CDB">
        <w:rPr>
          <w:noProof/>
          <w:lang w:val="fr-FR" w:eastAsia="es-UY"/>
        </w:rPr>
        <w:t>191.</w:t>
      </w:r>
      <w:r w:rsidRPr="000B4CDB">
        <w:rPr>
          <w:noProof/>
          <w:lang w:val="fr-FR" w:eastAsia="es-UY"/>
        </w:rPr>
        <w:tab/>
      </w:r>
      <w:r>
        <w:rPr>
          <w:noProof/>
          <w:lang w:val="fr-FR" w:eastAsia="es-UY"/>
        </w:rPr>
        <w:t>L</w:t>
      </w:r>
      <w:r w:rsidR="00607CA3">
        <w:rPr>
          <w:noProof/>
          <w:lang w:val="fr-FR" w:eastAsia="es-UY"/>
        </w:rPr>
        <w:t>’</w:t>
      </w:r>
      <w:r>
        <w:rPr>
          <w:noProof/>
          <w:lang w:val="fr-FR" w:eastAsia="es-UY"/>
        </w:rPr>
        <w:t>élaboration de cette stratégie s</w:t>
      </w:r>
      <w:r w:rsidR="00607CA3">
        <w:rPr>
          <w:noProof/>
          <w:lang w:val="fr-FR" w:eastAsia="es-UY"/>
        </w:rPr>
        <w:t>’</w:t>
      </w:r>
      <w:r>
        <w:rPr>
          <w:noProof/>
          <w:lang w:val="fr-FR" w:eastAsia="es-UY"/>
        </w:rPr>
        <w:t xml:space="preserve">est appuyée sur les résolutions </w:t>
      </w:r>
      <w:r w:rsidRPr="000B4CDB">
        <w:rPr>
          <w:noProof/>
          <w:lang w:val="fr-FR" w:eastAsia="es-UY"/>
        </w:rPr>
        <w:t>1373</w:t>
      </w:r>
      <w:r w:rsidR="00776EA3">
        <w:rPr>
          <w:noProof/>
          <w:lang w:val="fr-FR" w:eastAsia="es-UY"/>
        </w:rPr>
        <w:t> </w:t>
      </w:r>
      <w:r w:rsidRPr="000B4CDB">
        <w:rPr>
          <w:noProof/>
          <w:lang w:val="fr-FR" w:eastAsia="es-UY"/>
        </w:rPr>
        <w:t>(2001), 1624</w:t>
      </w:r>
      <w:r w:rsidR="00776EA3">
        <w:rPr>
          <w:noProof/>
          <w:lang w:val="fr-FR" w:eastAsia="es-UY"/>
        </w:rPr>
        <w:t> </w:t>
      </w:r>
      <w:r w:rsidRPr="000B4CDB">
        <w:rPr>
          <w:noProof/>
          <w:lang w:val="fr-FR" w:eastAsia="es-UY"/>
        </w:rPr>
        <w:t xml:space="preserve">(2005) </w:t>
      </w:r>
      <w:r>
        <w:rPr>
          <w:noProof/>
          <w:lang w:val="fr-FR" w:eastAsia="es-UY"/>
        </w:rPr>
        <w:t>et autres résolutions postérieures du Conseil de sécurité, qui définissent les principes et orientations de base devant guider l</w:t>
      </w:r>
      <w:r w:rsidR="00607CA3">
        <w:rPr>
          <w:noProof/>
          <w:lang w:val="fr-FR" w:eastAsia="es-UY"/>
        </w:rPr>
        <w:t>’</w:t>
      </w:r>
      <w:r>
        <w:rPr>
          <w:noProof/>
          <w:lang w:val="fr-FR" w:eastAsia="es-UY"/>
        </w:rPr>
        <w:t>action multilatérale à engager contre le terrorisme</w:t>
      </w:r>
      <w:r w:rsidRPr="000B4CDB">
        <w:rPr>
          <w:noProof/>
          <w:lang w:val="fr-FR" w:eastAsia="es-UY"/>
        </w:rPr>
        <w:t>.</w:t>
      </w:r>
    </w:p>
    <w:p w:rsidR="00596826" w:rsidRPr="000B4CDB" w:rsidRDefault="00596826" w:rsidP="00596826">
      <w:pPr>
        <w:pStyle w:val="SingleTxtG"/>
        <w:rPr>
          <w:noProof/>
          <w:lang w:val="fr-FR" w:eastAsia="es-UY"/>
        </w:rPr>
      </w:pPr>
      <w:r w:rsidRPr="000B4CDB">
        <w:rPr>
          <w:noProof/>
          <w:lang w:val="fr-FR" w:eastAsia="es-UY"/>
        </w:rPr>
        <w:t>192.</w:t>
      </w:r>
      <w:r w:rsidRPr="000B4CDB">
        <w:rPr>
          <w:noProof/>
          <w:lang w:val="fr-FR" w:eastAsia="es-UY"/>
        </w:rPr>
        <w:tab/>
        <w:t>En mat</w:t>
      </w:r>
      <w:r>
        <w:rPr>
          <w:noProof/>
          <w:lang w:val="fr-FR" w:eastAsia="es-UY"/>
        </w:rPr>
        <w:t xml:space="preserve">ière législative, il convient de noter que le </w:t>
      </w:r>
      <w:r w:rsidRPr="000B4CDB">
        <w:rPr>
          <w:noProof/>
          <w:lang w:val="fr-FR" w:eastAsia="es-UY"/>
        </w:rPr>
        <w:t>pro</w:t>
      </w:r>
      <w:r>
        <w:rPr>
          <w:noProof/>
          <w:lang w:val="fr-FR" w:eastAsia="es-UY"/>
        </w:rPr>
        <w:t>jet de loi intitulé « </w:t>
      </w:r>
      <w:r w:rsidRPr="000B4CDB">
        <w:rPr>
          <w:noProof/>
          <w:lang w:val="fr-FR" w:eastAsia="es-UY"/>
        </w:rPr>
        <w:t>L</w:t>
      </w:r>
      <w:r>
        <w:rPr>
          <w:noProof/>
          <w:lang w:val="fr-FR" w:eastAsia="es-UY"/>
        </w:rPr>
        <w:t xml:space="preserve">oi antiterroriste générale », qui a été soumis au Parlement en décembre </w:t>
      </w:r>
      <w:r w:rsidRPr="000B4CDB">
        <w:rPr>
          <w:noProof/>
          <w:lang w:val="fr-FR" w:eastAsia="es-UY"/>
        </w:rPr>
        <w:t xml:space="preserve">2016, </w:t>
      </w:r>
      <w:r>
        <w:rPr>
          <w:noProof/>
          <w:lang w:val="fr-FR" w:eastAsia="es-UY"/>
        </w:rPr>
        <w:t xml:space="preserve">est actuellement examiné par </w:t>
      </w:r>
      <w:r w:rsidRPr="000B4CDB">
        <w:rPr>
          <w:noProof/>
          <w:lang w:val="fr-FR" w:eastAsia="es-UY"/>
        </w:rPr>
        <w:t>la Com</w:t>
      </w:r>
      <w:r>
        <w:rPr>
          <w:noProof/>
          <w:lang w:val="fr-FR" w:eastAsia="es-UY"/>
        </w:rPr>
        <w:t>mission des affaires internationales du Sénat</w:t>
      </w:r>
      <w:r w:rsidRPr="00776EA3">
        <w:rPr>
          <w:rStyle w:val="Appelnotedebasdep"/>
        </w:rPr>
        <w:footnoteReference w:id="42"/>
      </w:r>
      <w:r w:rsidRPr="000B4CDB">
        <w:rPr>
          <w:noProof/>
          <w:lang w:val="fr-FR" w:eastAsia="es-UY"/>
        </w:rPr>
        <w:t xml:space="preserve">. </w:t>
      </w:r>
      <w:r>
        <w:rPr>
          <w:noProof/>
          <w:lang w:val="fr-FR" w:eastAsia="es-UY"/>
        </w:rPr>
        <w:t>Ce projet contient une disposition très spécifique qui définit clairement les actes de terrorisme</w:t>
      </w:r>
      <w:r w:rsidRPr="000B4CDB">
        <w:rPr>
          <w:noProof/>
          <w:lang w:val="fr-FR" w:eastAsia="es-UY"/>
        </w:rPr>
        <w:t xml:space="preserve">. </w:t>
      </w:r>
      <w:r>
        <w:rPr>
          <w:noProof/>
          <w:lang w:val="fr-FR" w:eastAsia="es-UY"/>
        </w:rPr>
        <w:t>L</w:t>
      </w:r>
      <w:r w:rsidR="00607CA3">
        <w:rPr>
          <w:noProof/>
          <w:lang w:val="fr-FR" w:eastAsia="es-UY"/>
        </w:rPr>
        <w:t>’</w:t>
      </w:r>
      <w:r>
        <w:rPr>
          <w:noProof/>
          <w:lang w:val="fr-FR" w:eastAsia="es-UY"/>
        </w:rPr>
        <w:t>adoption de ce projet de loi permettrait à l</w:t>
      </w:r>
      <w:r w:rsidR="00607CA3">
        <w:rPr>
          <w:noProof/>
          <w:lang w:val="fr-FR" w:eastAsia="es-UY"/>
        </w:rPr>
        <w:t>’</w:t>
      </w:r>
      <w:r w:rsidRPr="000B4CDB">
        <w:rPr>
          <w:noProof/>
          <w:lang w:val="fr-FR" w:eastAsia="es-UY"/>
        </w:rPr>
        <w:t xml:space="preserve">Uruguay </w:t>
      </w:r>
      <w:r>
        <w:rPr>
          <w:noProof/>
          <w:lang w:val="fr-FR" w:eastAsia="es-UY"/>
        </w:rPr>
        <w:t xml:space="preserve">de remplir les engagements pris en vertu des </w:t>
      </w:r>
      <w:r w:rsidRPr="000B4CDB">
        <w:rPr>
          <w:noProof/>
          <w:lang w:val="fr-FR" w:eastAsia="es-UY"/>
        </w:rPr>
        <w:t>m</w:t>
      </w:r>
      <w:r>
        <w:rPr>
          <w:noProof/>
          <w:lang w:val="fr-FR" w:eastAsia="es-UY"/>
        </w:rPr>
        <w:t>u</w:t>
      </w:r>
      <w:r w:rsidRPr="000B4CDB">
        <w:rPr>
          <w:noProof/>
          <w:lang w:val="fr-FR" w:eastAsia="es-UY"/>
        </w:rPr>
        <w:t xml:space="preserve">ltiples </w:t>
      </w:r>
      <w:r>
        <w:rPr>
          <w:noProof/>
          <w:lang w:val="fr-FR" w:eastAsia="es-UY"/>
        </w:rPr>
        <w:t>instruments internationaux</w:t>
      </w:r>
      <w:r w:rsidRPr="000B4CDB">
        <w:rPr>
          <w:noProof/>
          <w:lang w:val="fr-FR" w:eastAsia="es-UY"/>
        </w:rPr>
        <w:t xml:space="preserve"> </w:t>
      </w:r>
      <w:r>
        <w:rPr>
          <w:noProof/>
          <w:lang w:val="fr-FR" w:eastAsia="es-UY"/>
        </w:rPr>
        <w:t xml:space="preserve">de lutte </w:t>
      </w:r>
      <w:r w:rsidRPr="000B4CDB">
        <w:rPr>
          <w:noProof/>
          <w:lang w:val="fr-FR" w:eastAsia="es-UY"/>
        </w:rPr>
        <w:t>contr</w:t>
      </w:r>
      <w:r>
        <w:rPr>
          <w:noProof/>
          <w:lang w:val="fr-FR" w:eastAsia="es-UY"/>
        </w:rPr>
        <w:t>e</w:t>
      </w:r>
      <w:r w:rsidRPr="000B4CDB">
        <w:rPr>
          <w:noProof/>
          <w:lang w:val="fr-FR" w:eastAsia="es-UY"/>
        </w:rPr>
        <w:t xml:space="preserve"> </w:t>
      </w:r>
      <w:r>
        <w:rPr>
          <w:noProof/>
          <w:lang w:val="fr-FR" w:eastAsia="es-UY"/>
        </w:rPr>
        <w:t>le terrorisme</w:t>
      </w:r>
      <w:r w:rsidRPr="000B4CDB">
        <w:rPr>
          <w:noProof/>
          <w:lang w:val="fr-FR" w:eastAsia="es-UY"/>
        </w:rPr>
        <w:t>, qu</w:t>
      </w:r>
      <w:r>
        <w:rPr>
          <w:noProof/>
          <w:lang w:val="fr-FR" w:eastAsia="es-UY"/>
        </w:rPr>
        <w:t>i font obligation aux États signataires d</w:t>
      </w:r>
      <w:r w:rsidR="00607CA3">
        <w:rPr>
          <w:noProof/>
          <w:lang w:val="fr-FR" w:eastAsia="es-UY"/>
        </w:rPr>
        <w:t>’</w:t>
      </w:r>
      <w:r>
        <w:rPr>
          <w:noProof/>
          <w:lang w:val="fr-FR" w:eastAsia="es-UY"/>
        </w:rPr>
        <w:t>incriminer dans leur droit interne une série d</w:t>
      </w:r>
      <w:r w:rsidR="00607CA3">
        <w:rPr>
          <w:noProof/>
          <w:lang w:val="fr-FR" w:eastAsia="es-UY"/>
        </w:rPr>
        <w:t>’</w:t>
      </w:r>
      <w:r>
        <w:rPr>
          <w:noProof/>
          <w:lang w:val="fr-FR" w:eastAsia="es-UY"/>
        </w:rPr>
        <w:t>infractions. Ces instruments sont notamment les suivants :</w:t>
      </w:r>
      <w:r w:rsidRPr="000B4CDB">
        <w:rPr>
          <w:noProof/>
          <w:lang w:val="fr-FR" w:eastAsia="es-UY"/>
        </w:rPr>
        <w:t xml:space="preserve"> </w:t>
      </w:r>
      <w:r w:rsidRPr="008A2754">
        <w:rPr>
          <w:noProof/>
          <w:lang w:val="fr-FR"/>
        </w:rPr>
        <w:t>Convention internationale pour la répression des actes de terrorisme nucléaire</w:t>
      </w:r>
      <w:r w:rsidRPr="008A2754">
        <w:rPr>
          <w:noProof/>
          <w:lang w:val="fr-FR" w:eastAsia="es-UY"/>
        </w:rPr>
        <w:t xml:space="preserve">, </w:t>
      </w:r>
      <w:r w:rsidRPr="008A2754">
        <w:rPr>
          <w:noProof/>
          <w:lang w:val="fr-FR"/>
        </w:rPr>
        <w:t>Convention interna</w:t>
      </w:r>
      <w:r>
        <w:rPr>
          <w:noProof/>
          <w:lang w:val="fr-FR"/>
        </w:rPr>
        <w:t xml:space="preserve">tionale pour la répression des </w:t>
      </w:r>
      <w:r w:rsidRPr="008A2754">
        <w:rPr>
          <w:noProof/>
          <w:lang w:val="fr-FR"/>
        </w:rPr>
        <w:t>attentats terroristes à l</w:t>
      </w:r>
      <w:r w:rsidR="00607CA3">
        <w:rPr>
          <w:noProof/>
          <w:lang w:val="fr-FR"/>
        </w:rPr>
        <w:t>’</w:t>
      </w:r>
      <w:r w:rsidRPr="008A2754">
        <w:rPr>
          <w:noProof/>
          <w:lang w:val="fr-FR"/>
        </w:rPr>
        <w:t>explosif, Convention sur la prévention et la répression des infractions contre les personnes jouissant d</w:t>
      </w:r>
      <w:r w:rsidR="00607CA3">
        <w:rPr>
          <w:noProof/>
          <w:lang w:val="fr-FR"/>
        </w:rPr>
        <w:t>’</w:t>
      </w:r>
      <w:r w:rsidRPr="008A2754">
        <w:rPr>
          <w:noProof/>
          <w:lang w:val="fr-FR"/>
        </w:rPr>
        <w:t>une protection internationale, y compris les agents diplomatiques</w:t>
      </w:r>
      <w:r>
        <w:rPr>
          <w:noProof/>
          <w:lang w:val="fr-FR"/>
        </w:rPr>
        <w:t>,</w:t>
      </w:r>
      <w:r w:rsidRPr="008A2754">
        <w:rPr>
          <w:noProof/>
          <w:lang w:val="fr-FR"/>
        </w:rPr>
        <w:t xml:space="preserve"> et Convention pour la répression de la capture illicite d</w:t>
      </w:r>
      <w:r w:rsidR="00607CA3">
        <w:rPr>
          <w:noProof/>
          <w:lang w:val="fr-FR"/>
        </w:rPr>
        <w:t>’</w:t>
      </w:r>
      <w:r w:rsidRPr="008A2754">
        <w:rPr>
          <w:noProof/>
          <w:lang w:val="fr-FR"/>
        </w:rPr>
        <w:t>aéronef</w:t>
      </w:r>
      <w:r w:rsidRPr="008A2754">
        <w:rPr>
          <w:noProof/>
          <w:lang w:val="fr-FR" w:eastAsia="es-UY"/>
        </w:rPr>
        <w:t>s</w:t>
      </w:r>
      <w:r w:rsidRPr="000B4CDB">
        <w:rPr>
          <w:noProof/>
          <w:lang w:val="fr-FR" w:eastAsia="es-UY"/>
        </w:rPr>
        <w:t>.</w:t>
      </w:r>
    </w:p>
    <w:p w:rsidR="00596826" w:rsidRPr="000B4CDB" w:rsidRDefault="00596826" w:rsidP="00596826">
      <w:pPr>
        <w:pStyle w:val="SingleTxtG"/>
        <w:rPr>
          <w:noProof/>
          <w:lang w:val="fr-FR" w:eastAsia="es-UY"/>
        </w:rPr>
      </w:pPr>
      <w:r w:rsidRPr="000B4CDB">
        <w:rPr>
          <w:noProof/>
          <w:lang w:val="fr-FR" w:eastAsia="es-UY"/>
        </w:rPr>
        <w:t>193.</w:t>
      </w:r>
      <w:r w:rsidRPr="000B4CDB">
        <w:rPr>
          <w:noProof/>
          <w:lang w:val="fr-FR" w:eastAsia="es-UY"/>
        </w:rPr>
        <w:tab/>
        <w:t>P</w:t>
      </w:r>
      <w:r>
        <w:rPr>
          <w:noProof/>
          <w:lang w:val="fr-FR" w:eastAsia="es-UY"/>
        </w:rPr>
        <w:t>ar ailleurs, le projet de loi intitulé « Loi générale contre le blanchiment de l</w:t>
      </w:r>
      <w:r w:rsidR="00607CA3">
        <w:rPr>
          <w:noProof/>
          <w:lang w:val="fr-FR" w:eastAsia="es-UY"/>
        </w:rPr>
        <w:t>’</w:t>
      </w:r>
      <w:r>
        <w:rPr>
          <w:noProof/>
          <w:lang w:val="fr-FR" w:eastAsia="es-UY"/>
        </w:rPr>
        <w:t>argent</w:t>
      </w:r>
      <w:r w:rsidR="00776EA3">
        <w:rPr>
          <w:noProof/>
          <w:lang w:val="fr-FR" w:eastAsia="es-UY"/>
        </w:rPr>
        <w:t> </w:t>
      </w:r>
      <w:r>
        <w:rPr>
          <w:noProof/>
          <w:lang w:val="fr-FR" w:eastAsia="es-UY"/>
        </w:rPr>
        <w:t>» a été adopté par le Sénat et est actuellement examiné par la Commision spéciale</w:t>
      </w:r>
      <w:r w:rsidRPr="000B4CDB">
        <w:rPr>
          <w:noProof/>
          <w:lang w:val="fr-FR" w:eastAsia="es-UY"/>
        </w:rPr>
        <w:t xml:space="preserve">. </w:t>
      </w:r>
      <w:r w:rsidRPr="000B4CDB">
        <w:rPr>
          <w:rFonts w:eastAsia="Calibri"/>
          <w:noProof/>
          <w:lang w:val="fr-FR"/>
        </w:rPr>
        <w:t xml:space="preserve">La </w:t>
      </w:r>
      <w:r>
        <w:rPr>
          <w:rFonts w:eastAsia="Calibri"/>
          <w:noProof/>
          <w:lang w:val="fr-FR"/>
        </w:rPr>
        <w:t xml:space="preserve">loi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19574 de d</w:t>
      </w:r>
      <w:r>
        <w:rPr>
          <w:rFonts w:eastAsia="Calibri"/>
          <w:noProof/>
          <w:lang w:val="fr-FR"/>
        </w:rPr>
        <w:t>é</w:t>
      </w:r>
      <w:r w:rsidRPr="000B4CDB">
        <w:rPr>
          <w:rFonts w:eastAsia="Calibri"/>
          <w:noProof/>
          <w:lang w:val="fr-FR"/>
        </w:rPr>
        <w:t>cembre 2017 (</w:t>
      </w:r>
      <w:r>
        <w:rPr>
          <w:rFonts w:eastAsia="Calibri"/>
          <w:noProof/>
          <w:lang w:val="fr-FR"/>
        </w:rPr>
        <w:t>loi générale) pré</w:t>
      </w:r>
      <w:r w:rsidRPr="000B4CDB">
        <w:rPr>
          <w:rFonts w:eastAsia="Calibri"/>
          <w:noProof/>
          <w:lang w:val="fr-FR"/>
        </w:rPr>
        <w:t>v</w:t>
      </w:r>
      <w:r>
        <w:rPr>
          <w:rFonts w:eastAsia="Calibri"/>
          <w:noProof/>
          <w:lang w:val="fr-FR"/>
        </w:rPr>
        <w:t>oit</w:t>
      </w:r>
      <w:r w:rsidRPr="000B4CDB">
        <w:rPr>
          <w:rFonts w:eastAsia="Calibri"/>
          <w:noProof/>
          <w:lang w:val="fr-FR"/>
        </w:rPr>
        <w:t xml:space="preserve"> la cr</w:t>
      </w:r>
      <w:r>
        <w:rPr>
          <w:rFonts w:eastAsia="Calibri"/>
          <w:noProof/>
          <w:lang w:val="fr-FR"/>
        </w:rPr>
        <w:t>é</w:t>
      </w:r>
      <w:r w:rsidRPr="000B4CDB">
        <w:rPr>
          <w:rFonts w:eastAsia="Calibri"/>
          <w:noProof/>
          <w:lang w:val="fr-FR"/>
        </w:rPr>
        <w:t>a</w:t>
      </w:r>
      <w:r>
        <w:rPr>
          <w:rFonts w:eastAsia="Calibri"/>
          <w:noProof/>
          <w:lang w:val="fr-FR"/>
        </w:rPr>
        <w:t>tion d</w:t>
      </w:r>
      <w:r w:rsidR="00607CA3">
        <w:rPr>
          <w:rFonts w:eastAsia="Calibri"/>
          <w:noProof/>
          <w:lang w:val="fr-FR"/>
        </w:rPr>
        <w:t>’</w:t>
      </w:r>
      <w:r>
        <w:rPr>
          <w:rFonts w:eastAsia="Calibri"/>
          <w:noProof/>
          <w:lang w:val="fr-FR"/>
        </w:rPr>
        <w:t>une commission de coordination de la lutte contre le blanchiment de l</w:t>
      </w:r>
      <w:r w:rsidR="00607CA3">
        <w:rPr>
          <w:rFonts w:eastAsia="Calibri"/>
          <w:noProof/>
          <w:lang w:val="fr-FR"/>
        </w:rPr>
        <w:t>’</w:t>
      </w:r>
      <w:r>
        <w:rPr>
          <w:rFonts w:eastAsia="Calibri"/>
          <w:noProof/>
          <w:lang w:val="fr-FR"/>
        </w:rPr>
        <w:t>argent et le financement du terrorisme</w:t>
      </w:r>
      <w:r w:rsidRPr="000B4CDB">
        <w:rPr>
          <w:rFonts w:eastAsia="Calibri"/>
          <w:noProof/>
          <w:lang w:val="fr-FR"/>
        </w:rPr>
        <w:t xml:space="preserve">; </w:t>
      </w:r>
      <w:r>
        <w:rPr>
          <w:rFonts w:eastAsia="Calibri"/>
          <w:noProof/>
          <w:lang w:val="fr-FR"/>
        </w:rPr>
        <w:t xml:space="preserve">reconnaît les droits des tiers de bonne foi </w:t>
      </w:r>
      <w:r w:rsidRPr="000B4CDB">
        <w:rPr>
          <w:rFonts w:eastAsia="Calibri"/>
          <w:noProof/>
          <w:lang w:val="fr-FR"/>
        </w:rPr>
        <w:t>(art.</w:t>
      </w:r>
      <w:r w:rsidR="00776EA3">
        <w:rPr>
          <w:rFonts w:eastAsia="Calibri"/>
          <w:noProof/>
          <w:lang w:val="fr-FR"/>
        </w:rPr>
        <w:t> </w:t>
      </w:r>
      <w:r w:rsidRPr="000B4CDB">
        <w:rPr>
          <w:rFonts w:eastAsia="Calibri"/>
          <w:noProof/>
          <w:lang w:val="fr-FR"/>
        </w:rPr>
        <w:t xml:space="preserve">55); </w:t>
      </w:r>
      <w:r>
        <w:rPr>
          <w:rFonts w:eastAsia="Calibri"/>
          <w:noProof/>
          <w:lang w:val="fr-FR"/>
        </w:rPr>
        <w:t>exige l</w:t>
      </w:r>
      <w:r w:rsidR="00607CA3">
        <w:rPr>
          <w:rFonts w:eastAsia="Calibri"/>
          <w:noProof/>
          <w:lang w:val="fr-FR"/>
        </w:rPr>
        <w:t>’</w:t>
      </w:r>
      <w:r>
        <w:rPr>
          <w:rFonts w:eastAsia="Calibri"/>
          <w:noProof/>
          <w:lang w:val="fr-FR"/>
        </w:rPr>
        <w:t>a</w:t>
      </w:r>
      <w:r w:rsidRPr="000B4CDB">
        <w:rPr>
          <w:rFonts w:eastAsia="Calibri"/>
          <w:noProof/>
          <w:lang w:val="fr-FR"/>
        </w:rPr>
        <w:t>utori</w:t>
      </w:r>
      <w:r>
        <w:rPr>
          <w:rFonts w:eastAsia="Calibri"/>
          <w:noProof/>
          <w:lang w:val="fr-FR"/>
        </w:rPr>
        <w:t xml:space="preserve">sation du tribunal pénal au cas où les actes des agents infiltrés risqueraient de porter atteinte aux droits fondamentaux </w:t>
      </w:r>
      <w:r w:rsidRPr="000B4CDB">
        <w:rPr>
          <w:rFonts w:eastAsia="Calibri"/>
          <w:noProof/>
          <w:lang w:val="fr-FR"/>
        </w:rPr>
        <w:t>(intimi</w:t>
      </w:r>
      <w:r>
        <w:rPr>
          <w:rFonts w:eastAsia="Calibri"/>
          <w:noProof/>
          <w:lang w:val="fr-FR"/>
        </w:rPr>
        <w:t>té, domicile et</w:t>
      </w:r>
      <w:r w:rsidRPr="000B4CDB">
        <w:rPr>
          <w:rFonts w:eastAsia="Calibri"/>
          <w:noProof/>
          <w:lang w:val="fr-FR"/>
        </w:rPr>
        <w:t xml:space="preserve"> inviolabili</w:t>
      </w:r>
      <w:r>
        <w:rPr>
          <w:rFonts w:eastAsia="Calibri"/>
          <w:noProof/>
          <w:lang w:val="fr-FR"/>
        </w:rPr>
        <w:t xml:space="preserve">té des </w:t>
      </w:r>
      <w:r w:rsidRPr="000B4CDB">
        <w:rPr>
          <w:rFonts w:eastAsia="Calibri"/>
          <w:noProof/>
          <w:lang w:val="fr-FR"/>
        </w:rPr>
        <w:t>com</w:t>
      </w:r>
      <w:r>
        <w:rPr>
          <w:rFonts w:eastAsia="Calibri"/>
          <w:noProof/>
          <w:lang w:val="fr-FR"/>
        </w:rPr>
        <w:t>m</w:t>
      </w:r>
      <w:r w:rsidRPr="000B4CDB">
        <w:rPr>
          <w:rFonts w:eastAsia="Calibri"/>
          <w:noProof/>
          <w:lang w:val="fr-FR"/>
        </w:rPr>
        <w:t>unica</w:t>
      </w:r>
      <w:r>
        <w:rPr>
          <w:rFonts w:eastAsia="Calibri"/>
          <w:noProof/>
          <w:lang w:val="fr-FR"/>
        </w:rPr>
        <w:t xml:space="preserve">tions </w:t>
      </w:r>
      <w:r w:rsidRPr="000B4CDB">
        <w:rPr>
          <w:rFonts w:eastAsia="Calibri"/>
          <w:noProof/>
          <w:lang w:val="fr-FR"/>
        </w:rPr>
        <w:t>entre particul</w:t>
      </w:r>
      <w:r>
        <w:rPr>
          <w:rFonts w:eastAsia="Calibri"/>
          <w:noProof/>
          <w:lang w:val="fr-FR"/>
        </w:rPr>
        <w:t>ier</w:t>
      </w:r>
      <w:r w:rsidRPr="000B4CDB">
        <w:rPr>
          <w:rFonts w:eastAsia="Calibri"/>
          <w:noProof/>
          <w:lang w:val="fr-FR"/>
        </w:rPr>
        <w:t>s).</w:t>
      </w:r>
      <w:r>
        <w:rPr>
          <w:rFonts w:eastAsia="Calibri"/>
          <w:noProof/>
          <w:lang w:val="fr-FR"/>
        </w:rPr>
        <w:t xml:space="preserve"> De plus, elle qualifie</w:t>
      </w:r>
      <w:r w:rsidRPr="000B4CDB">
        <w:rPr>
          <w:rFonts w:eastAsia="Calibri"/>
          <w:noProof/>
          <w:lang w:val="fr-FR"/>
        </w:rPr>
        <w:t xml:space="preserve"> </w:t>
      </w:r>
      <w:r>
        <w:rPr>
          <w:rFonts w:eastAsia="Calibri"/>
          <w:noProof/>
          <w:lang w:val="fr-FR"/>
        </w:rPr>
        <w:t>d</w:t>
      </w:r>
      <w:r w:rsidR="00607CA3">
        <w:rPr>
          <w:rFonts w:eastAsia="Calibri"/>
          <w:noProof/>
          <w:lang w:val="fr-FR"/>
        </w:rPr>
        <w:t>’</w:t>
      </w:r>
      <w:r>
        <w:rPr>
          <w:rFonts w:eastAsia="Calibri"/>
          <w:noProof/>
          <w:lang w:val="fr-FR"/>
        </w:rPr>
        <w:t>activité constitutive d</w:t>
      </w:r>
      <w:r w:rsidR="00607CA3">
        <w:rPr>
          <w:rFonts w:eastAsia="Calibri"/>
          <w:noProof/>
          <w:lang w:val="fr-FR"/>
        </w:rPr>
        <w:t>’</w:t>
      </w:r>
      <w:r>
        <w:rPr>
          <w:rFonts w:eastAsia="Calibri"/>
          <w:noProof/>
          <w:lang w:val="fr-FR"/>
        </w:rPr>
        <w:t xml:space="preserve">une infraction principale tout comportement illégal prévu par le </w:t>
      </w:r>
      <w:r w:rsidRPr="00411326">
        <w:t xml:space="preserve">Protocole </w:t>
      </w:r>
      <w:r w:rsidRPr="00201553">
        <w:rPr>
          <w:noProof/>
          <w:lang w:val="fr-FR"/>
        </w:rPr>
        <w:t>facultatif se rapportant à la Convention relative aux droits de l</w:t>
      </w:r>
      <w:r w:rsidR="00607CA3">
        <w:rPr>
          <w:noProof/>
          <w:lang w:val="fr-FR"/>
        </w:rPr>
        <w:t>’</w:t>
      </w:r>
      <w:r w:rsidRPr="00201553">
        <w:rPr>
          <w:noProof/>
          <w:lang w:val="fr-FR"/>
        </w:rPr>
        <w:t>enfant, concernant la vente d</w:t>
      </w:r>
      <w:r w:rsidR="00607CA3">
        <w:rPr>
          <w:noProof/>
          <w:lang w:val="fr-FR"/>
        </w:rPr>
        <w:t>’</w:t>
      </w:r>
      <w:r w:rsidRPr="00201553">
        <w:rPr>
          <w:noProof/>
          <w:lang w:val="fr-FR"/>
        </w:rPr>
        <w:t>enfants, la prostitution des enfants et la pornographie mettant en scène des enfants,</w:t>
      </w:r>
      <w:r w:rsidRPr="00411326">
        <w:t xml:space="preserve"> </w:t>
      </w:r>
      <w:r w:rsidRPr="000B4CDB">
        <w:rPr>
          <w:rFonts w:eastAsia="Calibri"/>
          <w:noProof/>
          <w:lang w:val="fr-FR"/>
        </w:rPr>
        <w:t>o</w:t>
      </w:r>
      <w:r>
        <w:rPr>
          <w:rFonts w:eastAsia="Calibri"/>
          <w:noProof/>
          <w:lang w:val="fr-FR"/>
        </w:rPr>
        <w:t>u</w:t>
      </w:r>
      <w:r w:rsidRPr="000B4CDB">
        <w:rPr>
          <w:rFonts w:eastAsia="Calibri"/>
          <w:noProof/>
          <w:lang w:val="fr-FR"/>
        </w:rPr>
        <w:t xml:space="preserve"> </w:t>
      </w:r>
      <w:r>
        <w:rPr>
          <w:rFonts w:eastAsia="Calibri"/>
          <w:noProof/>
          <w:lang w:val="fr-FR"/>
        </w:rPr>
        <w:t>toute infraction de traite, de trafic ou d</w:t>
      </w:r>
      <w:r w:rsidR="00607CA3">
        <w:rPr>
          <w:rFonts w:eastAsia="Calibri"/>
          <w:noProof/>
          <w:lang w:val="fr-FR"/>
        </w:rPr>
        <w:t>’</w:t>
      </w:r>
      <w:r>
        <w:rPr>
          <w:rFonts w:eastAsia="Calibri"/>
          <w:noProof/>
          <w:lang w:val="fr-FR"/>
        </w:rPr>
        <w:t xml:space="preserve">exploitation sexuelle des personnes </w:t>
      </w:r>
      <w:r w:rsidRPr="000B4CDB">
        <w:rPr>
          <w:rFonts w:eastAsia="Calibri"/>
          <w:noProof/>
          <w:lang w:val="fr-FR"/>
        </w:rPr>
        <w:t>(art.</w:t>
      </w:r>
      <w:r w:rsidR="00776EA3">
        <w:rPr>
          <w:rFonts w:eastAsia="Calibri"/>
          <w:noProof/>
          <w:lang w:val="fr-FR"/>
        </w:rPr>
        <w:t> </w:t>
      </w:r>
      <w:r w:rsidRPr="000B4CDB">
        <w:rPr>
          <w:rFonts w:eastAsia="Calibri"/>
          <w:noProof/>
          <w:lang w:val="fr-FR"/>
        </w:rPr>
        <w:t>34)</w:t>
      </w:r>
      <w:r w:rsidR="00776EA3">
        <w:rPr>
          <w:rFonts w:eastAsia="Calibri"/>
          <w:noProof/>
          <w:lang w:val="fr-FR"/>
        </w:rPr>
        <w:t> </w:t>
      </w:r>
      <w:r w:rsidRPr="000B4CDB">
        <w:rPr>
          <w:rFonts w:eastAsia="Calibri"/>
          <w:noProof/>
          <w:lang w:val="fr-FR"/>
        </w:rPr>
        <w:t>; pr</w:t>
      </w:r>
      <w:r>
        <w:rPr>
          <w:rFonts w:eastAsia="Calibri"/>
          <w:noProof/>
          <w:lang w:val="fr-FR"/>
        </w:rPr>
        <w:t>évoit</w:t>
      </w:r>
      <w:r w:rsidRPr="000B4CDB">
        <w:rPr>
          <w:rFonts w:eastAsia="Calibri"/>
          <w:noProof/>
          <w:lang w:val="fr-FR"/>
        </w:rPr>
        <w:t xml:space="preserve"> </w:t>
      </w:r>
      <w:r>
        <w:rPr>
          <w:rFonts w:eastAsia="Calibri"/>
          <w:noProof/>
          <w:lang w:val="fr-FR"/>
        </w:rPr>
        <w:t xml:space="preserve">la </w:t>
      </w:r>
      <w:r w:rsidRPr="000B4CDB">
        <w:rPr>
          <w:rFonts w:eastAsia="Calibri"/>
          <w:noProof/>
          <w:lang w:val="fr-FR"/>
        </w:rPr>
        <w:t>protec</w:t>
      </w:r>
      <w:r>
        <w:rPr>
          <w:rFonts w:eastAsia="Calibri"/>
          <w:noProof/>
          <w:lang w:val="fr-FR"/>
        </w:rPr>
        <w:t xml:space="preserve">tion des </w:t>
      </w:r>
      <w:r w:rsidRPr="000B4CDB">
        <w:rPr>
          <w:rFonts w:eastAsia="Calibri"/>
          <w:noProof/>
          <w:lang w:val="fr-FR"/>
        </w:rPr>
        <w:t>v</w:t>
      </w:r>
      <w:r>
        <w:rPr>
          <w:rFonts w:eastAsia="Calibri"/>
          <w:noProof/>
          <w:lang w:val="fr-FR"/>
        </w:rPr>
        <w:t>ictime</w:t>
      </w:r>
      <w:r w:rsidRPr="000B4CDB">
        <w:rPr>
          <w:rFonts w:eastAsia="Calibri"/>
          <w:noProof/>
          <w:lang w:val="fr-FR"/>
        </w:rPr>
        <w:t xml:space="preserve">s, </w:t>
      </w:r>
      <w:r>
        <w:rPr>
          <w:rFonts w:eastAsia="Calibri"/>
          <w:noProof/>
          <w:lang w:val="fr-FR"/>
        </w:rPr>
        <w:t xml:space="preserve">des </w:t>
      </w:r>
      <w:r w:rsidRPr="000B4CDB">
        <w:rPr>
          <w:rFonts w:eastAsia="Calibri"/>
          <w:noProof/>
          <w:lang w:val="fr-FR"/>
        </w:rPr>
        <w:t>t</w:t>
      </w:r>
      <w:r>
        <w:rPr>
          <w:rFonts w:eastAsia="Calibri"/>
          <w:noProof/>
          <w:lang w:val="fr-FR"/>
        </w:rPr>
        <w:t xml:space="preserve">émoins et des </w:t>
      </w:r>
      <w:r w:rsidRPr="000B4CDB">
        <w:rPr>
          <w:rFonts w:eastAsia="Calibri"/>
          <w:noProof/>
          <w:lang w:val="fr-FR"/>
        </w:rPr>
        <w:t>col</w:t>
      </w:r>
      <w:r>
        <w:rPr>
          <w:rFonts w:eastAsia="Calibri"/>
          <w:noProof/>
          <w:lang w:val="fr-FR"/>
        </w:rPr>
        <w:t>l</w:t>
      </w:r>
      <w:r w:rsidRPr="000B4CDB">
        <w:rPr>
          <w:rFonts w:eastAsia="Calibri"/>
          <w:noProof/>
          <w:lang w:val="fr-FR"/>
        </w:rPr>
        <w:t>abora</w:t>
      </w:r>
      <w:r>
        <w:rPr>
          <w:rFonts w:eastAsia="Calibri"/>
          <w:noProof/>
          <w:lang w:val="fr-FR"/>
        </w:rPr>
        <w:t xml:space="preserve">teurs de </w:t>
      </w:r>
      <w:r>
        <w:rPr>
          <w:rFonts w:eastAsia="Calibri"/>
          <w:noProof/>
          <w:lang w:val="fr-FR"/>
        </w:rPr>
        <w:lastRenderedPageBreak/>
        <w:t>justice (art.</w:t>
      </w:r>
      <w:r w:rsidR="00776EA3">
        <w:rPr>
          <w:rFonts w:eastAsia="Calibri"/>
          <w:noProof/>
          <w:lang w:val="fr-FR"/>
        </w:rPr>
        <w:t> </w:t>
      </w:r>
      <w:r>
        <w:rPr>
          <w:rFonts w:eastAsia="Calibri"/>
          <w:noProof/>
          <w:lang w:val="fr-FR"/>
        </w:rPr>
        <w:t>65)</w:t>
      </w:r>
      <w:r w:rsidR="006F7A2B">
        <w:rPr>
          <w:rFonts w:eastAsia="Calibri"/>
          <w:noProof/>
          <w:lang w:val="fr-FR"/>
        </w:rPr>
        <w:t> </w:t>
      </w:r>
      <w:r w:rsidRPr="000B4CDB">
        <w:rPr>
          <w:rFonts w:eastAsia="Calibri"/>
          <w:noProof/>
          <w:lang w:val="fr-FR"/>
        </w:rPr>
        <w:t xml:space="preserve">; </w:t>
      </w:r>
      <w:r>
        <w:rPr>
          <w:rFonts w:eastAsia="Calibri"/>
          <w:noProof/>
          <w:lang w:val="fr-FR"/>
        </w:rPr>
        <w:t>définit les infractions que commet tout agent qui divulgue le lieu où se trouvent des personnes protégées</w:t>
      </w:r>
      <w:r w:rsidRPr="000B4CDB">
        <w:rPr>
          <w:rFonts w:eastAsia="Calibri"/>
          <w:noProof/>
          <w:lang w:val="fr-FR"/>
        </w:rPr>
        <w:t>.</w:t>
      </w:r>
    </w:p>
    <w:p w:rsidR="00596826" w:rsidRPr="000B4CDB" w:rsidRDefault="00596826" w:rsidP="00776EA3">
      <w:pPr>
        <w:pStyle w:val="H1G"/>
        <w:rPr>
          <w:rFonts w:eastAsia="Calibri"/>
          <w:noProof/>
          <w:lang w:val="fr-FR"/>
        </w:rPr>
      </w:pPr>
      <w:r w:rsidRPr="000B4CDB">
        <w:rPr>
          <w:rFonts w:eastAsia="Calibri"/>
          <w:noProof/>
          <w:lang w:val="fr-FR"/>
        </w:rPr>
        <w:tab/>
      </w:r>
      <w:r w:rsidRPr="000B4CDB">
        <w:rPr>
          <w:rFonts w:eastAsia="Calibri"/>
          <w:noProof/>
          <w:lang w:val="fr-FR"/>
        </w:rPr>
        <w:tab/>
      </w:r>
      <w:r w:rsidRPr="00A14FC0">
        <w:rPr>
          <w:noProof/>
          <w:lang w:val="fr-FR"/>
        </w:rPr>
        <w:t>Renseignements d</w:t>
      </w:r>
      <w:r w:rsidR="00607CA3">
        <w:rPr>
          <w:noProof/>
          <w:lang w:val="fr-FR"/>
        </w:rPr>
        <w:t>’</w:t>
      </w:r>
      <w:r w:rsidRPr="00A14FC0">
        <w:rPr>
          <w:noProof/>
          <w:lang w:val="fr-FR"/>
        </w:rPr>
        <w:t xml:space="preserve">ordre général sur les autres mesures et faits nouveaux concernant la mise en oeuvre de la Convention </w:t>
      </w:r>
      <w:r w:rsidR="00776EA3">
        <w:rPr>
          <w:noProof/>
          <w:lang w:val="fr-FR"/>
        </w:rPr>
        <w:br/>
      </w:r>
      <w:r w:rsidRPr="00A14FC0">
        <w:rPr>
          <w:noProof/>
          <w:lang w:val="fr-FR"/>
        </w:rPr>
        <w:t>dans l</w:t>
      </w:r>
      <w:r w:rsidR="00607CA3">
        <w:rPr>
          <w:noProof/>
          <w:lang w:val="fr-FR"/>
        </w:rPr>
        <w:t>’</w:t>
      </w:r>
      <w:r w:rsidRPr="00A14FC0">
        <w:rPr>
          <w:noProof/>
          <w:lang w:val="fr-FR"/>
        </w:rPr>
        <w:t>État partie</w:t>
      </w:r>
      <w:r w:rsidRPr="00411326">
        <w:rPr>
          <w:sz w:val="23"/>
          <w:szCs w:val="23"/>
        </w:rPr>
        <w:t xml:space="preserve"> </w:t>
      </w:r>
    </w:p>
    <w:p w:rsidR="00596826" w:rsidRPr="000B4CDB" w:rsidRDefault="00596826" w:rsidP="00776EA3">
      <w:pPr>
        <w:pStyle w:val="H23G"/>
        <w:rPr>
          <w:noProof/>
          <w:lang w:val="fr-FR"/>
        </w:rPr>
      </w:pPr>
      <w:r w:rsidRPr="000B4CDB">
        <w:rPr>
          <w:noProof/>
          <w:lang w:val="fr-FR"/>
        </w:rPr>
        <w:tab/>
      </w:r>
      <w:r w:rsidRPr="000B4CDB">
        <w:rPr>
          <w:noProof/>
          <w:lang w:val="fr-FR"/>
        </w:rPr>
        <w:tab/>
        <w:t>R</w:t>
      </w:r>
      <w:r>
        <w:rPr>
          <w:noProof/>
          <w:lang w:val="fr-FR"/>
        </w:rPr>
        <w:t xml:space="preserve">éponse au paragraphe </w:t>
      </w:r>
      <w:r w:rsidRPr="000B4CDB">
        <w:rPr>
          <w:noProof/>
          <w:lang w:val="fr-FR"/>
        </w:rPr>
        <w:t>34 de la liste de points</w:t>
      </w:r>
    </w:p>
    <w:p w:rsidR="00596826" w:rsidRPr="000B4CDB" w:rsidRDefault="00596826" w:rsidP="00596826">
      <w:pPr>
        <w:pStyle w:val="SingleTxtG"/>
        <w:rPr>
          <w:rFonts w:eastAsia="Calibri"/>
          <w:noProof/>
          <w:lang w:val="fr-FR"/>
        </w:rPr>
      </w:pPr>
      <w:r w:rsidRPr="000B4CDB">
        <w:rPr>
          <w:rFonts w:eastAsia="Calibri"/>
          <w:noProof/>
          <w:lang w:val="fr-FR"/>
        </w:rPr>
        <w:t>194.</w:t>
      </w:r>
      <w:r w:rsidRPr="000B4CDB">
        <w:rPr>
          <w:rFonts w:eastAsia="Calibri"/>
          <w:noProof/>
          <w:lang w:val="fr-FR"/>
        </w:rPr>
        <w:tab/>
      </w:r>
      <w:r>
        <w:rPr>
          <w:rFonts w:eastAsia="Calibri"/>
          <w:noProof/>
          <w:lang w:val="fr-FR"/>
        </w:rPr>
        <w:t xml:space="preserve">Le décret </w:t>
      </w:r>
      <w:r w:rsidR="00776EA3" w:rsidRPr="00776EA3">
        <w:rPr>
          <w:rFonts w:eastAsia="MS Mincho"/>
          <w:noProof/>
          <w:szCs w:val="22"/>
          <w:lang w:val="fr-FR"/>
        </w:rPr>
        <w:t>n</w:t>
      </w:r>
      <w:r w:rsidR="00776EA3" w:rsidRPr="00776EA3">
        <w:rPr>
          <w:rFonts w:eastAsia="MS Mincho"/>
          <w:noProof/>
          <w:szCs w:val="22"/>
          <w:vertAlign w:val="superscript"/>
          <w:lang w:val="fr-FR"/>
        </w:rPr>
        <w:t>o</w:t>
      </w:r>
      <w:r w:rsidR="00776EA3">
        <w:rPr>
          <w:rFonts w:eastAsia="Calibri"/>
          <w:noProof/>
          <w:lang w:val="fr-FR"/>
        </w:rPr>
        <w:t> </w:t>
      </w:r>
      <w:r w:rsidRPr="000B4CDB">
        <w:rPr>
          <w:rFonts w:eastAsia="Calibri"/>
          <w:noProof/>
          <w:lang w:val="fr-FR"/>
        </w:rPr>
        <w:t>358/2016 d</w:t>
      </w:r>
      <w:r>
        <w:rPr>
          <w:rFonts w:eastAsia="Calibri"/>
          <w:noProof/>
          <w:lang w:val="fr-FR"/>
        </w:rPr>
        <w:t>u</w:t>
      </w:r>
      <w:r w:rsidRPr="000B4CDB">
        <w:rPr>
          <w:rFonts w:eastAsia="Calibri"/>
          <w:noProof/>
          <w:lang w:val="fr-FR"/>
        </w:rPr>
        <w:t xml:space="preserve"> 14</w:t>
      </w:r>
      <w:r w:rsidR="00776EA3">
        <w:rPr>
          <w:rFonts w:eastAsia="Calibri"/>
          <w:noProof/>
          <w:lang w:val="fr-FR"/>
        </w:rPr>
        <w:t> </w:t>
      </w:r>
      <w:r w:rsidRPr="000B4CDB">
        <w:rPr>
          <w:noProof/>
          <w:lang w:val="fr-FR"/>
        </w:rPr>
        <w:t>novembre</w:t>
      </w:r>
      <w:r w:rsidRPr="000B4CDB">
        <w:rPr>
          <w:rFonts w:eastAsia="Calibri"/>
          <w:noProof/>
          <w:lang w:val="fr-FR"/>
        </w:rPr>
        <w:t xml:space="preserve"> 2016, </w:t>
      </w:r>
      <w:r>
        <w:rPr>
          <w:rFonts w:eastAsia="Calibri"/>
          <w:noProof/>
          <w:lang w:val="fr-FR"/>
        </w:rPr>
        <w:t xml:space="preserve">portant création du </w:t>
      </w:r>
      <w:r w:rsidRPr="0044481C">
        <w:rPr>
          <w:noProof/>
          <w:lang w:val="fr-FR"/>
        </w:rPr>
        <w:t>réseau interinstitutions chargé de l</w:t>
      </w:r>
      <w:r w:rsidR="00607CA3">
        <w:rPr>
          <w:noProof/>
          <w:lang w:val="fr-FR"/>
        </w:rPr>
        <w:t>’</w:t>
      </w:r>
      <w:r w:rsidRPr="0044481C">
        <w:rPr>
          <w:noProof/>
          <w:lang w:val="fr-FR"/>
        </w:rPr>
        <w:t xml:space="preserve">établissement des rapports et du suivi de la mise en œuvre des recommandations et observations formulées dans le domaine des </w:t>
      </w:r>
      <w:r>
        <w:rPr>
          <w:noProof/>
          <w:lang w:val="fr-FR"/>
        </w:rPr>
        <w:t>droits de l</w:t>
      </w:r>
      <w:r w:rsidR="00607CA3">
        <w:rPr>
          <w:noProof/>
          <w:lang w:val="fr-FR"/>
        </w:rPr>
        <w:t>’</w:t>
      </w:r>
      <w:r>
        <w:rPr>
          <w:noProof/>
          <w:lang w:val="fr-FR"/>
        </w:rPr>
        <w:t>homme</w:t>
      </w:r>
      <w:r w:rsidRPr="00411326">
        <w:t xml:space="preserve"> </w:t>
      </w:r>
      <w:r w:rsidRPr="000B4CDB">
        <w:rPr>
          <w:rFonts w:eastAsia="Calibri"/>
          <w:noProof/>
          <w:lang w:val="fr-FR"/>
        </w:rPr>
        <w:t>(</w:t>
      </w:r>
      <w:r>
        <w:rPr>
          <w:rFonts w:eastAsia="Calibri"/>
          <w:noProof/>
          <w:lang w:val="fr-FR"/>
        </w:rPr>
        <w:t>le réseau</w:t>
      </w:r>
      <w:r w:rsidRPr="000B4CDB">
        <w:rPr>
          <w:rFonts w:eastAsia="Calibri"/>
          <w:noProof/>
          <w:lang w:val="fr-FR"/>
        </w:rPr>
        <w:t xml:space="preserve">) </w:t>
      </w:r>
      <w:r>
        <w:rPr>
          <w:rFonts w:eastAsia="Calibri"/>
          <w:noProof/>
          <w:lang w:val="fr-FR"/>
        </w:rPr>
        <w:t xml:space="preserve">et mettant en place le logiciel </w:t>
      </w:r>
      <w:r w:rsidRPr="00411326">
        <w:rPr>
          <w:i/>
        </w:rPr>
        <w:t xml:space="preserve">SIMORE </w:t>
      </w:r>
      <w:r w:rsidRPr="00411326">
        <w:t>(</w:t>
      </w:r>
      <w:r>
        <w:rPr>
          <w:noProof/>
          <w:lang w:val="fr-FR"/>
        </w:rPr>
        <w:t>s</w:t>
      </w:r>
      <w:r w:rsidRPr="00B76F9D">
        <w:rPr>
          <w:noProof/>
          <w:lang w:val="fr-FR"/>
        </w:rPr>
        <w:t>ystème de suivi des recommandations</w:t>
      </w:r>
      <w:r w:rsidRPr="00411326">
        <w:t>)</w:t>
      </w:r>
      <w:r w:rsidRPr="000B4CDB">
        <w:rPr>
          <w:rFonts w:eastAsia="Calibri"/>
          <w:noProof/>
          <w:lang w:val="fr-FR"/>
        </w:rPr>
        <w:t xml:space="preserve"> </w:t>
      </w:r>
      <w:r>
        <w:rPr>
          <w:rFonts w:eastAsia="Calibri"/>
          <w:noProof/>
          <w:lang w:val="fr-FR"/>
        </w:rPr>
        <w:t>en tant que support informatique public d</w:t>
      </w:r>
      <w:r w:rsidR="00607CA3">
        <w:rPr>
          <w:rFonts w:eastAsia="Calibri"/>
          <w:noProof/>
          <w:lang w:val="fr-FR"/>
        </w:rPr>
        <w:t>’</w:t>
      </w:r>
      <w:r>
        <w:rPr>
          <w:rFonts w:eastAsia="Calibri"/>
          <w:noProof/>
          <w:lang w:val="fr-FR"/>
        </w:rPr>
        <w:t>enregistrement des mesures prises par l</w:t>
      </w:r>
      <w:r w:rsidR="00607CA3">
        <w:rPr>
          <w:rFonts w:eastAsia="Calibri"/>
          <w:noProof/>
          <w:lang w:val="fr-FR"/>
        </w:rPr>
        <w:t>’</w:t>
      </w:r>
      <w:r>
        <w:rPr>
          <w:rFonts w:eastAsia="Calibri"/>
          <w:noProof/>
          <w:lang w:val="fr-FR"/>
        </w:rPr>
        <w:t>État pour donner suite aux recommandations et observations formulées par le système universel de protection des droits de l</w:t>
      </w:r>
      <w:r w:rsidR="00607CA3">
        <w:rPr>
          <w:rFonts w:eastAsia="Calibri"/>
          <w:noProof/>
          <w:lang w:val="fr-FR"/>
        </w:rPr>
        <w:t>’</w:t>
      </w:r>
      <w:r>
        <w:rPr>
          <w:rFonts w:eastAsia="Calibri"/>
          <w:noProof/>
          <w:lang w:val="fr-FR"/>
        </w:rPr>
        <w:t>homme</w:t>
      </w:r>
      <w:r w:rsidRPr="000B4CDB">
        <w:rPr>
          <w:rFonts w:eastAsia="Calibri"/>
          <w:noProof/>
          <w:lang w:val="fr-FR"/>
        </w:rPr>
        <w:t xml:space="preserve">, </w:t>
      </w:r>
      <w:r>
        <w:rPr>
          <w:rFonts w:eastAsia="Calibri"/>
          <w:noProof/>
          <w:lang w:val="fr-FR"/>
        </w:rPr>
        <w:t>a permis de lancer une coopération interinstitutions visant à améliorer les méthodes que le pays utilise pour communiquer avec la communauté internationale et à honorer concrètement au niveau national les engagements pris en matière de droits de l</w:t>
      </w:r>
      <w:r w:rsidR="00607CA3">
        <w:rPr>
          <w:rFonts w:eastAsia="Calibri"/>
          <w:noProof/>
          <w:lang w:val="fr-FR"/>
        </w:rPr>
        <w:t>’</w:t>
      </w:r>
      <w:r>
        <w:rPr>
          <w:rFonts w:eastAsia="Calibri"/>
          <w:noProof/>
          <w:lang w:val="fr-FR"/>
        </w:rPr>
        <w:t>homme.</w:t>
      </w:r>
      <w:r w:rsidRPr="000B4CDB">
        <w:rPr>
          <w:rFonts w:eastAsia="Calibri"/>
          <w:noProof/>
          <w:lang w:val="fr-FR"/>
        </w:rPr>
        <w:t xml:space="preserve"> </w:t>
      </w:r>
    </w:p>
    <w:p w:rsidR="00596826" w:rsidRPr="000B4CDB" w:rsidRDefault="00596826" w:rsidP="00596826">
      <w:pPr>
        <w:pStyle w:val="SingleTxtG"/>
        <w:rPr>
          <w:rFonts w:eastAsia="Calibri"/>
          <w:noProof/>
          <w:lang w:val="fr-FR"/>
        </w:rPr>
      </w:pPr>
      <w:r w:rsidRPr="000B4CDB">
        <w:rPr>
          <w:rFonts w:eastAsia="Calibri"/>
          <w:noProof/>
          <w:lang w:val="fr-FR"/>
        </w:rPr>
        <w:t>195.</w:t>
      </w:r>
      <w:r w:rsidRPr="000B4CDB">
        <w:rPr>
          <w:rFonts w:eastAsia="Calibri"/>
          <w:noProof/>
          <w:lang w:val="fr-FR"/>
        </w:rPr>
        <w:tab/>
        <w:t>La consolida</w:t>
      </w:r>
      <w:r>
        <w:rPr>
          <w:rFonts w:eastAsia="Calibri"/>
          <w:noProof/>
          <w:lang w:val="fr-FR"/>
        </w:rPr>
        <w:t>tion du réseau interinstitutions et l</w:t>
      </w:r>
      <w:r w:rsidR="00607CA3">
        <w:rPr>
          <w:rFonts w:eastAsia="Calibri"/>
          <w:noProof/>
          <w:lang w:val="fr-FR"/>
        </w:rPr>
        <w:t>’</w:t>
      </w:r>
      <w:r>
        <w:rPr>
          <w:rFonts w:eastAsia="Calibri"/>
          <w:noProof/>
          <w:lang w:val="fr-FR"/>
        </w:rPr>
        <w:t xml:space="preserve">application du logiciel </w:t>
      </w:r>
      <w:r w:rsidRPr="000B4CDB">
        <w:rPr>
          <w:rFonts w:eastAsia="Calibri"/>
          <w:noProof/>
          <w:lang w:val="fr-FR"/>
        </w:rPr>
        <w:t>SIMORE</w:t>
      </w:r>
      <w:r w:rsidRPr="00776EA3">
        <w:rPr>
          <w:rStyle w:val="Appelnotedebasdep"/>
        </w:rPr>
        <w:footnoteReference w:id="43"/>
      </w:r>
      <w:r w:rsidRPr="000B4CDB">
        <w:rPr>
          <w:rFonts w:eastAsia="Calibri"/>
          <w:noProof/>
          <w:lang w:val="fr-FR"/>
        </w:rPr>
        <w:t xml:space="preserve"> </w:t>
      </w:r>
      <w:r>
        <w:rPr>
          <w:rFonts w:eastAsia="Calibri"/>
          <w:noProof/>
          <w:lang w:val="fr-FR"/>
        </w:rPr>
        <w:t xml:space="preserve">ont permis de mettre en place le </w:t>
      </w:r>
      <w:r w:rsidRPr="00D31919">
        <w:rPr>
          <w:noProof/>
          <w:lang w:val="fr-FR"/>
        </w:rPr>
        <w:t>mécanisme national d</w:t>
      </w:r>
      <w:r w:rsidR="00607CA3">
        <w:rPr>
          <w:noProof/>
          <w:lang w:val="fr-FR"/>
        </w:rPr>
        <w:t>’</w:t>
      </w:r>
      <w:r w:rsidRPr="00D31919">
        <w:rPr>
          <w:noProof/>
          <w:lang w:val="fr-FR"/>
        </w:rPr>
        <w:t>établissement de rapports et de suivi des recommandations</w:t>
      </w:r>
      <w:r w:rsidRPr="00D31919">
        <w:rPr>
          <w:rFonts w:eastAsia="Calibri"/>
          <w:noProof/>
          <w:lang w:val="fr-FR"/>
        </w:rPr>
        <w:t xml:space="preserve"> </w:t>
      </w:r>
      <w:r w:rsidRPr="000B4CDB">
        <w:rPr>
          <w:rFonts w:eastAsia="Calibri"/>
          <w:noProof/>
          <w:lang w:val="fr-FR"/>
        </w:rPr>
        <w:t>(</w:t>
      </w:r>
      <w:r>
        <w:rPr>
          <w:rFonts w:eastAsia="Calibri"/>
          <w:noProof/>
          <w:lang w:val="fr-FR"/>
        </w:rPr>
        <w:t>le mécanisme national</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196.</w:t>
      </w:r>
      <w:r w:rsidRPr="000B4CDB">
        <w:rPr>
          <w:rFonts w:eastAsia="Calibri"/>
          <w:noProof/>
          <w:lang w:val="fr-FR"/>
        </w:rPr>
        <w:tab/>
      </w:r>
      <w:r>
        <w:rPr>
          <w:rFonts w:eastAsia="Calibri"/>
          <w:noProof/>
          <w:lang w:val="fr-FR"/>
        </w:rPr>
        <w:t>E</w:t>
      </w:r>
      <w:r w:rsidRPr="000B4CDB">
        <w:rPr>
          <w:rFonts w:eastAsia="Calibri"/>
          <w:noProof/>
          <w:lang w:val="fr-FR"/>
        </w:rPr>
        <w:t>n Uruguay</w:t>
      </w:r>
      <w:r>
        <w:rPr>
          <w:rFonts w:eastAsia="Calibri"/>
          <w:noProof/>
          <w:lang w:val="fr-FR"/>
        </w:rPr>
        <w:t xml:space="preserve">, le mécanisme national </w:t>
      </w:r>
      <w:r w:rsidRPr="000B4CDB">
        <w:rPr>
          <w:rFonts w:eastAsia="Calibri"/>
          <w:noProof/>
          <w:lang w:val="fr-FR"/>
        </w:rPr>
        <w:t>es</w:t>
      </w:r>
      <w:r>
        <w:rPr>
          <w:rFonts w:eastAsia="Calibri"/>
          <w:noProof/>
          <w:lang w:val="fr-FR"/>
        </w:rPr>
        <w:t>t</w:t>
      </w:r>
      <w:r w:rsidRPr="000B4CDB">
        <w:rPr>
          <w:rFonts w:eastAsia="Calibri"/>
          <w:noProof/>
          <w:lang w:val="fr-FR"/>
        </w:rPr>
        <w:t xml:space="preserve"> coord</w:t>
      </w:r>
      <w:r>
        <w:rPr>
          <w:rFonts w:eastAsia="Calibri"/>
          <w:noProof/>
          <w:lang w:val="fr-FR"/>
        </w:rPr>
        <w:t xml:space="preserve">onné par </w:t>
      </w:r>
      <w:r w:rsidRPr="000B4CDB">
        <w:rPr>
          <w:rFonts w:eastAsia="Calibri"/>
          <w:noProof/>
          <w:lang w:val="fr-FR"/>
        </w:rPr>
        <w:t>la Direc</w:t>
      </w:r>
      <w:r>
        <w:rPr>
          <w:rFonts w:eastAsia="Calibri"/>
          <w:noProof/>
          <w:lang w:val="fr-FR"/>
        </w:rPr>
        <w:t>tion des droits de l</w:t>
      </w:r>
      <w:r w:rsidR="00607CA3">
        <w:rPr>
          <w:rFonts w:eastAsia="Calibri"/>
          <w:noProof/>
          <w:lang w:val="fr-FR"/>
        </w:rPr>
        <w:t>’</w:t>
      </w:r>
      <w:r>
        <w:rPr>
          <w:rFonts w:eastAsia="Calibri"/>
          <w:noProof/>
          <w:lang w:val="fr-FR"/>
        </w:rPr>
        <w:t>homme et du droit humanitaire du Ministère des relations extérieures, et est constitué par un réseau interinstitutions qui regroupe les trois branches du pouvoir de l</w:t>
      </w:r>
      <w:r w:rsidR="00607CA3">
        <w:rPr>
          <w:rFonts w:eastAsia="Calibri"/>
          <w:noProof/>
          <w:lang w:val="fr-FR"/>
        </w:rPr>
        <w:t>’</w:t>
      </w:r>
      <w:r>
        <w:rPr>
          <w:rFonts w:eastAsia="Calibri"/>
          <w:noProof/>
          <w:lang w:val="fr-FR"/>
        </w:rPr>
        <w:t>État, les</w:t>
      </w:r>
      <w:r w:rsidRPr="000B4CDB">
        <w:rPr>
          <w:rFonts w:eastAsia="Calibri"/>
          <w:noProof/>
          <w:lang w:val="fr-FR"/>
        </w:rPr>
        <w:t xml:space="preserve"> </w:t>
      </w:r>
      <w:r>
        <w:rPr>
          <w:rFonts w:eastAsia="Calibri"/>
          <w:noProof/>
          <w:lang w:val="fr-FR"/>
        </w:rPr>
        <w:t>autorités départementales</w:t>
      </w:r>
      <w:r w:rsidRPr="000B4CDB">
        <w:rPr>
          <w:rFonts w:eastAsia="Calibri"/>
          <w:noProof/>
          <w:lang w:val="fr-FR"/>
        </w:rPr>
        <w:t xml:space="preserve">, </w:t>
      </w:r>
      <w:r>
        <w:rPr>
          <w:rFonts w:eastAsia="Calibri"/>
          <w:noProof/>
          <w:lang w:val="fr-FR"/>
        </w:rPr>
        <w:t>les services décentralisés et les entités autonomes</w:t>
      </w:r>
      <w:r w:rsidRPr="00776EA3">
        <w:rPr>
          <w:rStyle w:val="Appelnotedebasdep"/>
        </w:rPr>
        <w:footnoteReference w:id="44"/>
      </w:r>
      <w:r w:rsidRPr="000B4CDB">
        <w:rPr>
          <w:rFonts w:eastAsia="Calibri"/>
          <w:noProof/>
          <w:lang w:val="fr-FR"/>
        </w:rPr>
        <w:t>. L</w:t>
      </w:r>
      <w:r w:rsidR="00607CA3">
        <w:rPr>
          <w:rFonts w:eastAsia="Calibri"/>
          <w:noProof/>
          <w:lang w:val="fr-FR"/>
        </w:rPr>
        <w:t>’</w:t>
      </w:r>
      <w:r>
        <w:rPr>
          <w:lang w:val="fr-FR" w:eastAsia="fr-FR"/>
        </w:rPr>
        <w:t>Institution nationale des droits de l</w:t>
      </w:r>
      <w:r w:rsidR="00607CA3">
        <w:rPr>
          <w:lang w:val="fr-FR" w:eastAsia="fr-FR"/>
        </w:rPr>
        <w:t>’</w:t>
      </w:r>
      <w:r>
        <w:rPr>
          <w:lang w:val="fr-FR" w:eastAsia="fr-FR"/>
        </w:rPr>
        <w:t>homme et service du Défenseur du peuple</w:t>
      </w:r>
      <w:r w:rsidRPr="000B4CDB">
        <w:rPr>
          <w:rFonts w:eastAsia="Calibri"/>
          <w:noProof/>
          <w:lang w:val="fr-FR"/>
        </w:rPr>
        <w:t xml:space="preserve"> </w:t>
      </w:r>
      <w:r>
        <w:rPr>
          <w:rFonts w:eastAsia="Calibri"/>
          <w:noProof/>
          <w:lang w:val="fr-FR"/>
        </w:rPr>
        <w:t>joue le rôle d</w:t>
      </w:r>
      <w:r w:rsidR="00607CA3">
        <w:rPr>
          <w:rFonts w:eastAsia="Calibri"/>
          <w:noProof/>
          <w:lang w:val="fr-FR"/>
        </w:rPr>
        <w:t>’</w:t>
      </w:r>
      <w:r>
        <w:rPr>
          <w:rFonts w:eastAsia="Calibri"/>
          <w:noProof/>
          <w:lang w:val="fr-FR"/>
        </w:rPr>
        <w:t>observatrice permanente du mécanisme national en participant à toutes ses instances</w:t>
      </w:r>
      <w:r w:rsidRPr="000B4CDB">
        <w:rPr>
          <w:rFonts w:eastAsia="Calibri"/>
          <w:noProof/>
          <w:lang w:val="fr-FR"/>
        </w:rPr>
        <w:t xml:space="preserve">. </w:t>
      </w:r>
    </w:p>
    <w:p w:rsidR="00596826" w:rsidRPr="000B4CDB" w:rsidRDefault="00596826" w:rsidP="00596826">
      <w:pPr>
        <w:pStyle w:val="SingleTxtG"/>
        <w:rPr>
          <w:rFonts w:eastAsia="Calibri"/>
          <w:noProof/>
          <w:lang w:val="fr-FR"/>
        </w:rPr>
      </w:pPr>
      <w:r w:rsidRPr="000B4CDB">
        <w:rPr>
          <w:rFonts w:eastAsia="Calibri"/>
          <w:noProof/>
          <w:lang w:val="fr-FR"/>
        </w:rPr>
        <w:t>197.</w:t>
      </w:r>
      <w:r w:rsidRPr="000B4CDB">
        <w:rPr>
          <w:rFonts w:eastAsia="Calibri"/>
          <w:noProof/>
          <w:lang w:val="fr-FR"/>
        </w:rPr>
        <w:tab/>
      </w:r>
      <w:r>
        <w:rPr>
          <w:rFonts w:eastAsia="Calibri"/>
          <w:noProof/>
          <w:lang w:val="fr-FR"/>
        </w:rPr>
        <w:t>Le travail interinstitutions s</w:t>
      </w:r>
      <w:r w:rsidR="00607CA3">
        <w:rPr>
          <w:rFonts w:eastAsia="Calibri"/>
          <w:noProof/>
          <w:lang w:val="fr-FR"/>
        </w:rPr>
        <w:t>’</w:t>
      </w:r>
      <w:r>
        <w:rPr>
          <w:rFonts w:eastAsia="Calibri"/>
          <w:noProof/>
          <w:lang w:val="fr-FR"/>
        </w:rPr>
        <w:t xml:space="preserve">effectue à travers </w:t>
      </w:r>
      <w:r w:rsidRPr="000B4CDB">
        <w:rPr>
          <w:rFonts w:eastAsia="Calibri"/>
          <w:noProof/>
          <w:lang w:val="fr-FR"/>
        </w:rPr>
        <w:t>la participa</w:t>
      </w:r>
      <w:r>
        <w:rPr>
          <w:rFonts w:eastAsia="Calibri"/>
          <w:noProof/>
          <w:lang w:val="fr-FR"/>
        </w:rPr>
        <w:t>tion à sept groupes de travail thématiques :</w:t>
      </w:r>
      <w:r w:rsidRPr="000B4CDB">
        <w:rPr>
          <w:rFonts w:eastAsia="Calibri"/>
          <w:noProof/>
          <w:lang w:val="fr-FR"/>
        </w:rPr>
        <w:t xml:space="preserve"> </w:t>
      </w:r>
      <w:r>
        <w:rPr>
          <w:rFonts w:eastAsia="Calibri"/>
          <w:noProof/>
          <w:lang w:val="fr-FR"/>
        </w:rPr>
        <w:t>femme</w:t>
      </w:r>
      <w:r w:rsidRPr="000B4CDB">
        <w:rPr>
          <w:rFonts w:eastAsia="Calibri"/>
          <w:noProof/>
          <w:lang w:val="fr-FR"/>
        </w:rPr>
        <w:t xml:space="preserve">; </w:t>
      </w:r>
      <w:r>
        <w:rPr>
          <w:rFonts w:eastAsia="Calibri"/>
          <w:noProof/>
          <w:lang w:val="fr-FR"/>
        </w:rPr>
        <w:t>enfants et adolescent</w:t>
      </w:r>
      <w:r w:rsidRPr="000B4CDB">
        <w:rPr>
          <w:rFonts w:eastAsia="Calibri"/>
          <w:noProof/>
          <w:lang w:val="fr-FR"/>
        </w:rPr>
        <w:t xml:space="preserve">s; </w:t>
      </w:r>
      <w:r>
        <w:rPr>
          <w:rFonts w:eastAsia="Calibri"/>
          <w:noProof/>
          <w:lang w:val="fr-FR"/>
        </w:rPr>
        <w:t>d</w:t>
      </w:r>
      <w:r w:rsidRPr="000B4CDB">
        <w:rPr>
          <w:rFonts w:eastAsia="Calibri"/>
          <w:noProof/>
          <w:lang w:val="fr-FR"/>
        </w:rPr>
        <w:t>iscrimina</w:t>
      </w:r>
      <w:r>
        <w:rPr>
          <w:rFonts w:eastAsia="Calibri"/>
          <w:noProof/>
          <w:lang w:val="fr-FR"/>
        </w:rPr>
        <w:t>tion</w:t>
      </w:r>
      <w:r w:rsidR="008B3C54">
        <w:rPr>
          <w:rFonts w:eastAsia="Calibri"/>
          <w:noProof/>
          <w:lang w:val="fr-FR"/>
        </w:rPr>
        <w:t> </w:t>
      </w:r>
      <w:r w:rsidRPr="000B4CDB">
        <w:rPr>
          <w:rFonts w:eastAsia="Calibri"/>
          <w:noProof/>
          <w:lang w:val="fr-FR"/>
        </w:rPr>
        <w:t xml:space="preserve">; </w:t>
      </w:r>
      <w:r>
        <w:rPr>
          <w:rFonts w:eastAsia="Calibri"/>
          <w:noProof/>
          <w:lang w:val="fr-FR"/>
        </w:rPr>
        <w:t>droits des personnes handicapées</w:t>
      </w:r>
      <w:r w:rsidR="00776EA3">
        <w:rPr>
          <w:rFonts w:eastAsia="Calibri"/>
          <w:noProof/>
          <w:lang w:val="fr-FR"/>
        </w:rPr>
        <w:t> </w:t>
      </w:r>
      <w:r w:rsidRPr="000B4CDB">
        <w:rPr>
          <w:rFonts w:eastAsia="Calibri"/>
          <w:noProof/>
          <w:lang w:val="fr-FR"/>
        </w:rPr>
        <w:t xml:space="preserve">; </w:t>
      </w:r>
      <w:r>
        <w:rPr>
          <w:rFonts w:eastAsia="Calibri"/>
          <w:noProof/>
          <w:lang w:val="fr-FR"/>
        </w:rPr>
        <w:t>mémoire</w:t>
      </w:r>
      <w:r w:rsidRPr="000B4CDB">
        <w:rPr>
          <w:rFonts w:eastAsia="Calibri"/>
          <w:noProof/>
          <w:lang w:val="fr-FR"/>
        </w:rPr>
        <w:t xml:space="preserve">, </w:t>
      </w:r>
      <w:r>
        <w:rPr>
          <w:rFonts w:eastAsia="Calibri"/>
          <w:noProof/>
          <w:lang w:val="fr-FR"/>
        </w:rPr>
        <w:t>vérité et justice</w:t>
      </w:r>
      <w:r w:rsidR="00776EA3">
        <w:rPr>
          <w:rFonts w:eastAsia="Calibri"/>
          <w:noProof/>
          <w:lang w:val="fr-FR"/>
        </w:rPr>
        <w:t> </w:t>
      </w:r>
      <w:r w:rsidRPr="000B4CDB">
        <w:rPr>
          <w:rFonts w:eastAsia="Calibri"/>
          <w:noProof/>
          <w:lang w:val="fr-FR"/>
        </w:rPr>
        <w:t xml:space="preserve">; </w:t>
      </w:r>
      <w:r>
        <w:rPr>
          <w:rFonts w:eastAsia="Calibri"/>
          <w:noProof/>
          <w:lang w:val="fr-FR"/>
        </w:rPr>
        <w:t>personnes privées de liberté</w:t>
      </w:r>
      <w:r w:rsidRPr="000B4CDB">
        <w:rPr>
          <w:rFonts w:eastAsia="Calibri"/>
          <w:noProof/>
          <w:lang w:val="fr-FR"/>
        </w:rPr>
        <w:t>/</w:t>
      </w:r>
      <w:r>
        <w:rPr>
          <w:rFonts w:eastAsia="Calibri"/>
          <w:noProof/>
          <w:lang w:val="fr-FR"/>
        </w:rPr>
        <w:t>personnes placées en institution</w:t>
      </w:r>
      <w:r w:rsidR="00776EA3">
        <w:rPr>
          <w:rFonts w:eastAsia="Calibri"/>
          <w:noProof/>
          <w:lang w:val="fr-FR"/>
        </w:rPr>
        <w:t> </w:t>
      </w:r>
      <w:r w:rsidRPr="000B4CDB">
        <w:rPr>
          <w:rFonts w:eastAsia="Calibri"/>
          <w:noProof/>
          <w:lang w:val="fr-FR"/>
        </w:rPr>
        <w:t xml:space="preserve">; </w:t>
      </w:r>
      <w:r>
        <w:rPr>
          <w:rFonts w:eastAsia="Calibri"/>
          <w:noProof/>
          <w:lang w:val="fr-FR"/>
        </w:rPr>
        <w:t>renforcement institutionnel</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198.</w:t>
      </w:r>
      <w:r w:rsidRPr="000B4CDB">
        <w:rPr>
          <w:rFonts w:eastAsia="Calibri"/>
          <w:noProof/>
          <w:lang w:val="fr-FR"/>
        </w:rPr>
        <w:tab/>
        <w:t>L</w:t>
      </w:r>
      <w:r>
        <w:rPr>
          <w:rFonts w:eastAsia="Calibri"/>
          <w:noProof/>
          <w:lang w:val="fr-FR"/>
        </w:rPr>
        <w:t xml:space="preserve">e groupe de travail sur les personnes privées de liberté examine la suite donnée aux recommandations que le </w:t>
      </w:r>
      <w:r w:rsidRPr="000B4CDB">
        <w:rPr>
          <w:rFonts w:eastAsia="Calibri"/>
          <w:noProof/>
          <w:lang w:val="fr-FR"/>
        </w:rPr>
        <w:t>Comité contr</w:t>
      </w:r>
      <w:r>
        <w:rPr>
          <w:rFonts w:eastAsia="Calibri"/>
          <w:noProof/>
          <w:lang w:val="fr-FR"/>
        </w:rPr>
        <w:t>e</w:t>
      </w:r>
      <w:r w:rsidRPr="000B4CDB">
        <w:rPr>
          <w:rFonts w:eastAsia="Calibri"/>
          <w:noProof/>
          <w:lang w:val="fr-FR"/>
        </w:rPr>
        <w:t xml:space="preserve"> la </w:t>
      </w:r>
      <w:r>
        <w:rPr>
          <w:rFonts w:eastAsia="Calibri"/>
          <w:noProof/>
          <w:lang w:val="fr-FR"/>
        </w:rPr>
        <w:t>t</w:t>
      </w:r>
      <w:r w:rsidRPr="000B4CDB">
        <w:rPr>
          <w:rFonts w:eastAsia="Calibri"/>
          <w:noProof/>
          <w:lang w:val="fr-FR"/>
        </w:rPr>
        <w:t>ortur</w:t>
      </w:r>
      <w:r>
        <w:rPr>
          <w:rFonts w:eastAsia="Calibri"/>
          <w:noProof/>
          <w:lang w:val="fr-FR"/>
        </w:rPr>
        <w:t>e</w:t>
      </w:r>
      <w:r w:rsidRPr="000B4CDB">
        <w:rPr>
          <w:rFonts w:eastAsia="Calibri"/>
          <w:noProof/>
          <w:lang w:val="fr-FR"/>
        </w:rPr>
        <w:t xml:space="preserve"> </w:t>
      </w:r>
      <w:r>
        <w:rPr>
          <w:rFonts w:eastAsia="Calibri"/>
          <w:noProof/>
          <w:lang w:val="fr-FR"/>
        </w:rPr>
        <w:t>a formulées pour le pays, en tant qu</w:t>
      </w:r>
      <w:r w:rsidR="00607CA3">
        <w:rPr>
          <w:rFonts w:eastAsia="Calibri"/>
          <w:noProof/>
          <w:lang w:val="fr-FR"/>
        </w:rPr>
        <w:t>’</w:t>
      </w:r>
      <w:r>
        <w:rPr>
          <w:rFonts w:eastAsia="Calibri"/>
          <w:noProof/>
          <w:lang w:val="fr-FR"/>
        </w:rPr>
        <w:t xml:space="preserve">État partie à la </w:t>
      </w:r>
      <w:r w:rsidRPr="000B4CDB">
        <w:rPr>
          <w:rFonts w:eastAsia="Calibri"/>
          <w:noProof/>
          <w:lang w:val="fr-FR"/>
        </w:rPr>
        <w:t>Conven</w:t>
      </w:r>
      <w:r>
        <w:rPr>
          <w:rFonts w:eastAsia="Calibri"/>
          <w:noProof/>
          <w:lang w:val="fr-FR"/>
        </w:rPr>
        <w:t>tion contre</w:t>
      </w:r>
      <w:r w:rsidRPr="000B4CDB">
        <w:rPr>
          <w:rFonts w:eastAsia="Calibri"/>
          <w:noProof/>
          <w:lang w:val="fr-FR"/>
        </w:rPr>
        <w:t xml:space="preserve"> la </w:t>
      </w:r>
      <w:r>
        <w:rPr>
          <w:rFonts w:eastAsia="Calibri"/>
          <w:noProof/>
          <w:lang w:val="fr-FR"/>
        </w:rPr>
        <w:t>t</w:t>
      </w:r>
      <w:r w:rsidRPr="000B4CDB">
        <w:rPr>
          <w:rFonts w:eastAsia="Calibri"/>
          <w:noProof/>
          <w:lang w:val="fr-FR"/>
        </w:rPr>
        <w:t>ortur</w:t>
      </w:r>
      <w:r>
        <w:rPr>
          <w:rFonts w:eastAsia="Calibri"/>
          <w:noProof/>
          <w:lang w:val="fr-FR"/>
        </w:rPr>
        <w:t>e</w:t>
      </w:r>
      <w:r w:rsidRPr="000B4CDB">
        <w:rPr>
          <w:rFonts w:eastAsia="Calibri"/>
          <w:noProof/>
          <w:lang w:val="fr-FR"/>
        </w:rPr>
        <w:t xml:space="preserve"> </w:t>
      </w:r>
      <w:r>
        <w:rPr>
          <w:rFonts w:eastAsia="Calibri"/>
          <w:noProof/>
          <w:lang w:val="fr-FR"/>
        </w:rPr>
        <w:t>et autres peines ou traitements cruels, inhumains ou dégradants</w:t>
      </w:r>
      <w:r w:rsidRPr="000B4CDB">
        <w:rPr>
          <w:rFonts w:eastAsia="Calibri"/>
          <w:noProof/>
          <w:lang w:val="fr-FR"/>
        </w:rPr>
        <w:t xml:space="preserve">. </w:t>
      </w:r>
      <w:r>
        <w:rPr>
          <w:rFonts w:eastAsia="Calibri"/>
          <w:noProof/>
          <w:lang w:val="fr-FR"/>
        </w:rPr>
        <w:t>Le groupe suit également la mise en œuvre des recommandations relatives à la torture, aux mauvais traitements et aux traitements cruels, inhumains ou dégradants émises par d</w:t>
      </w:r>
      <w:r w:rsidR="00607CA3">
        <w:rPr>
          <w:rFonts w:eastAsia="Calibri"/>
          <w:noProof/>
          <w:lang w:val="fr-FR"/>
        </w:rPr>
        <w:t>’</w:t>
      </w:r>
      <w:r>
        <w:rPr>
          <w:rFonts w:eastAsia="Calibri"/>
          <w:noProof/>
          <w:lang w:val="fr-FR"/>
        </w:rPr>
        <w:t xml:space="preserve">autres </w:t>
      </w:r>
      <w:r w:rsidRPr="0012480E">
        <w:rPr>
          <w:noProof/>
          <w:lang w:val="fr-FR"/>
        </w:rPr>
        <w:t>mécanismes des Nations Unies chargés de la protection des droits de l</w:t>
      </w:r>
      <w:r w:rsidR="00607CA3">
        <w:rPr>
          <w:noProof/>
          <w:lang w:val="fr-FR"/>
        </w:rPr>
        <w:t>’</w:t>
      </w:r>
      <w:r w:rsidRPr="0012480E">
        <w:rPr>
          <w:noProof/>
          <w:lang w:val="fr-FR"/>
        </w:rPr>
        <w:t>homme</w:t>
      </w:r>
      <w:r w:rsidRPr="0012480E">
        <w:rPr>
          <w:rFonts w:eastAsia="Calibri"/>
          <w:noProof/>
          <w:lang w:val="fr-FR"/>
        </w:rPr>
        <w:t>,</w:t>
      </w:r>
      <w:r w:rsidRPr="000B4CDB">
        <w:rPr>
          <w:rFonts w:eastAsia="Calibri"/>
          <w:noProof/>
          <w:lang w:val="fr-FR"/>
        </w:rPr>
        <w:t xml:space="preserve"> </w:t>
      </w:r>
      <w:r w:rsidRPr="000B4CDB">
        <w:rPr>
          <w:rFonts w:eastAsia="Calibri"/>
          <w:noProof/>
          <w:lang w:val="fr-FR"/>
        </w:rPr>
        <w:lastRenderedPageBreak/>
        <w:t>t</w:t>
      </w:r>
      <w:r>
        <w:rPr>
          <w:rFonts w:eastAsia="Calibri"/>
          <w:noProof/>
          <w:lang w:val="fr-FR"/>
        </w:rPr>
        <w:t>els que les procédures spéciales et l</w:t>
      </w:r>
      <w:r w:rsidR="00607CA3">
        <w:rPr>
          <w:rFonts w:eastAsia="Calibri"/>
          <w:noProof/>
          <w:lang w:val="fr-FR"/>
        </w:rPr>
        <w:t>’</w:t>
      </w:r>
      <w:r>
        <w:rPr>
          <w:rFonts w:eastAsia="Calibri"/>
          <w:noProof/>
          <w:lang w:val="fr-FR"/>
        </w:rPr>
        <w:t>Examen périodique universel du Conseil des droits de l</w:t>
      </w:r>
      <w:r w:rsidR="00607CA3">
        <w:rPr>
          <w:rFonts w:eastAsia="Calibri"/>
          <w:noProof/>
          <w:lang w:val="fr-FR"/>
        </w:rPr>
        <w:t>’</w:t>
      </w:r>
      <w:r>
        <w:rPr>
          <w:rFonts w:eastAsia="Calibri"/>
          <w:noProof/>
          <w:lang w:val="fr-FR"/>
        </w:rPr>
        <w:t>homme</w:t>
      </w:r>
      <w:r w:rsidRPr="000B4CDB">
        <w:rPr>
          <w:rFonts w:eastAsia="Calibri"/>
          <w:noProof/>
          <w:lang w:val="fr-FR"/>
        </w:rPr>
        <w:t>.</w:t>
      </w:r>
    </w:p>
    <w:p w:rsidR="00596826" w:rsidRPr="000B4CDB" w:rsidRDefault="00596826" w:rsidP="00596826">
      <w:pPr>
        <w:pStyle w:val="SingleTxtG"/>
        <w:rPr>
          <w:rFonts w:eastAsia="Calibri"/>
          <w:noProof/>
          <w:lang w:val="fr-FR"/>
        </w:rPr>
      </w:pPr>
      <w:r w:rsidRPr="000B4CDB">
        <w:rPr>
          <w:rFonts w:eastAsia="Calibri"/>
          <w:noProof/>
          <w:lang w:val="fr-FR"/>
        </w:rPr>
        <w:t>199.</w:t>
      </w:r>
      <w:r w:rsidRPr="000B4CDB">
        <w:rPr>
          <w:rFonts w:eastAsia="Calibri"/>
          <w:noProof/>
          <w:lang w:val="fr-FR"/>
        </w:rPr>
        <w:tab/>
        <w:t>L</w:t>
      </w:r>
      <w:r>
        <w:rPr>
          <w:rFonts w:eastAsia="Calibri"/>
          <w:noProof/>
          <w:lang w:val="fr-FR"/>
        </w:rPr>
        <w:t xml:space="preserve">e réseau interinstitutions doit notamment incorporer dans le logiciel </w:t>
      </w:r>
      <w:r w:rsidRPr="000B4CDB">
        <w:rPr>
          <w:rFonts w:eastAsia="Calibri"/>
          <w:noProof/>
          <w:lang w:val="fr-FR"/>
        </w:rPr>
        <w:t xml:space="preserve">SIMORE </w:t>
      </w:r>
      <w:r>
        <w:rPr>
          <w:rFonts w:eastAsia="Calibri"/>
          <w:noProof/>
          <w:lang w:val="fr-FR"/>
        </w:rPr>
        <w:t>des données sur les progrès réalisés dans la mise en œuvre des recommandations faites à l</w:t>
      </w:r>
      <w:r w:rsidR="00607CA3">
        <w:rPr>
          <w:rFonts w:eastAsia="Calibri"/>
          <w:noProof/>
          <w:lang w:val="fr-FR"/>
        </w:rPr>
        <w:t>’</w:t>
      </w:r>
      <w:r>
        <w:rPr>
          <w:rFonts w:eastAsia="Calibri"/>
          <w:noProof/>
          <w:lang w:val="fr-FR"/>
        </w:rPr>
        <w:t xml:space="preserve">Uruguay par le </w:t>
      </w:r>
      <w:r w:rsidRPr="00CD2D26">
        <w:rPr>
          <w:noProof/>
          <w:lang w:val="fr-FR"/>
        </w:rPr>
        <w:t>système universel de promotion et de protection des droits de l</w:t>
      </w:r>
      <w:r w:rsidR="00607CA3">
        <w:rPr>
          <w:noProof/>
          <w:lang w:val="fr-FR"/>
        </w:rPr>
        <w:t>’</w:t>
      </w:r>
      <w:r w:rsidRPr="00CD2D26">
        <w:rPr>
          <w:noProof/>
          <w:lang w:val="fr-FR"/>
        </w:rPr>
        <w:t>homme</w:t>
      </w:r>
      <w:r w:rsidRPr="000B4CDB">
        <w:rPr>
          <w:rFonts w:eastAsia="Calibri"/>
          <w:noProof/>
          <w:lang w:val="fr-FR"/>
        </w:rPr>
        <w:t xml:space="preserve"> (</w:t>
      </w:r>
      <w:r>
        <w:rPr>
          <w:rFonts w:eastAsia="Calibri"/>
          <w:noProof/>
          <w:lang w:val="fr-FR"/>
        </w:rPr>
        <w:t>organes conventionnels</w:t>
      </w:r>
      <w:r w:rsidRPr="000B4CDB">
        <w:rPr>
          <w:rFonts w:eastAsia="Calibri"/>
          <w:noProof/>
          <w:lang w:val="fr-FR"/>
        </w:rPr>
        <w:t xml:space="preserve">, </w:t>
      </w:r>
      <w:r>
        <w:rPr>
          <w:rFonts w:eastAsia="Calibri"/>
          <w:noProof/>
          <w:lang w:val="fr-FR"/>
        </w:rPr>
        <w:t>procédures spéciales et</w:t>
      </w:r>
      <w:r w:rsidRPr="000B4CDB">
        <w:rPr>
          <w:rFonts w:eastAsia="Calibri"/>
          <w:noProof/>
          <w:lang w:val="fr-FR"/>
        </w:rPr>
        <w:t xml:space="preserve"> </w:t>
      </w:r>
      <w:r w:rsidRPr="000B4CDB">
        <w:rPr>
          <w:noProof/>
          <w:lang w:val="fr-FR"/>
        </w:rPr>
        <w:t>Examen</w:t>
      </w:r>
      <w:r w:rsidRPr="000B4CDB">
        <w:rPr>
          <w:rFonts w:eastAsia="Calibri"/>
          <w:noProof/>
          <w:lang w:val="fr-FR"/>
        </w:rPr>
        <w:t xml:space="preserve"> </w:t>
      </w:r>
      <w:r>
        <w:rPr>
          <w:rFonts w:eastAsia="Calibri"/>
          <w:noProof/>
          <w:lang w:val="fr-FR"/>
        </w:rPr>
        <w:t>périodique universel du Conseil des droits de l</w:t>
      </w:r>
      <w:r w:rsidR="00607CA3">
        <w:rPr>
          <w:rFonts w:eastAsia="Calibri"/>
          <w:noProof/>
          <w:lang w:val="fr-FR"/>
        </w:rPr>
        <w:t>’</w:t>
      </w:r>
      <w:r>
        <w:rPr>
          <w:rFonts w:eastAsia="Calibri"/>
          <w:noProof/>
          <w:lang w:val="fr-FR"/>
        </w:rPr>
        <w:t>homme</w:t>
      </w:r>
      <w:r w:rsidRPr="000B4CDB">
        <w:rPr>
          <w:rFonts w:eastAsia="Calibri"/>
          <w:noProof/>
          <w:lang w:val="fr-FR"/>
        </w:rPr>
        <w:t>).</w:t>
      </w:r>
    </w:p>
    <w:p w:rsidR="00BA41F4" w:rsidRDefault="00596826" w:rsidP="00596826">
      <w:pPr>
        <w:pStyle w:val="SingleTxtG"/>
        <w:rPr>
          <w:rFonts w:eastAsia="Calibri"/>
          <w:noProof/>
          <w:lang w:val="fr-FR"/>
        </w:rPr>
      </w:pPr>
      <w:r w:rsidRPr="000B4CDB">
        <w:rPr>
          <w:rFonts w:eastAsia="Calibri"/>
          <w:noProof/>
          <w:lang w:val="fr-FR"/>
        </w:rPr>
        <w:t>200.</w:t>
      </w:r>
      <w:r w:rsidRPr="000B4CDB">
        <w:rPr>
          <w:rFonts w:eastAsia="Calibri"/>
          <w:noProof/>
          <w:lang w:val="fr-FR"/>
        </w:rPr>
        <w:tab/>
      </w:r>
      <w:r>
        <w:rPr>
          <w:rFonts w:eastAsia="Calibri"/>
          <w:noProof/>
          <w:lang w:val="fr-FR"/>
        </w:rPr>
        <w:t xml:space="preserve">Le mécanisme national peut utiliser le </w:t>
      </w:r>
      <w:r w:rsidRPr="00005914">
        <w:rPr>
          <w:noProof/>
          <w:lang w:val="fr-FR"/>
        </w:rPr>
        <w:t>système de dialogue et de consultation mis en place par le Ministère des relations extérieures</w:t>
      </w:r>
      <w:r w:rsidRPr="000B4CDB">
        <w:rPr>
          <w:rFonts w:eastAsia="Calibri"/>
          <w:noProof/>
          <w:lang w:val="fr-FR"/>
        </w:rPr>
        <w:t xml:space="preserve"> </w:t>
      </w:r>
      <w:r>
        <w:rPr>
          <w:rFonts w:eastAsia="Calibri"/>
          <w:noProof/>
          <w:lang w:val="fr-FR"/>
        </w:rPr>
        <w:t>en tant que voie officielle de communication avec les organisations de la société civile</w:t>
      </w:r>
      <w:r w:rsidRPr="000B4CDB">
        <w:rPr>
          <w:rFonts w:eastAsia="Calibri"/>
          <w:noProof/>
          <w:lang w:val="fr-FR"/>
        </w:rPr>
        <w:t>. Conform</w:t>
      </w:r>
      <w:r>
        <w:rPr>
          <w:rFonts w:eastAsia="Calibri"/>
          <w:noProof/>
          <w:lang w:val="fr-FR"/>
        </w:rPr>
        <w:t xml:space="preserve">ément au décret </w:t>
      </w:r>
      <w:r w:rsidR="005B6DE7" w:rsidRPr="005B6DE7">
        <w:rPr>
          <w:rFonts w:eastAsia="MS Mincho"/>
          <w:noProof/>
          <w:szCs w:val="22"/>
          <w:lang w:val="fr-FR"/>
        </w:rPr>
        <w:t>n</w:t>
      </w:r>
      <w:r w:rsidR="005B6DE7" w:rsidRPr="005B6DE7">
        <w:rPr>
          <w:rFonts w:eastAsia="MS Mincho"/>
          <w:noProof/>
          <w:szCs w:val="22"/>
          <w:vertAlign w:val="superscript"/>
          <w:lang w:val="fr-FR"/>
        </w:rPr>
        <w:t>o</w:t>
      </w:r>
      <w:r w:rsidR="005B6DE7">
        <w:rPr>
          <w:rFonts w:eastAsia="Calibri"/>
          <w:noProof/>
          <w:lang w:val="fr-FR"/>
        </w:rPr>
        <w:t> </w:t>
      </w:r>
      <w:r w:rsidRPr="000B4CDB">
        <w:rPr>
          <w:rFonts w:eastAsia="Calibri"/>
          <w:noProof/>
          <w:lang w:val="fr-FR"/>
        </w:rPr>
        <w:t xml:space="preserve">89/2018, </w:t>
      </w:r>
      <w:r>
        <w:rPr>
          <w:rFonts w:eastAsia="Calibri"/>
          <w:noProof/>
          <w:lang w:val="fr-FR"/>
        </w:rPr>
        <w:t>pris le 9</w:t>
      </w:r>
      <w:r w:rsidR="00691AD9">
        <w:rPr>
          <w:rFonts w:eastAsia="Calibri"/>
          <w:noProof/>
          <w:lang w:val="fr-FR"/>
        </w:rPr>
        <w:t> </w:t>
      </w:r>
      <w:r>
        <w:rPr>
          <w:rFonts w:eastAsia="Calibri"/>
          <w:noProof/>
          <w:lang w:val="fr-FR"/>
        </w:rPr>
        <w:t xml:space="preserve">avril dernier, dans le cadre du mécanisme national, le </w:t>
      </w:r>
      <w:r w:rsidRPr="00005914">
        <w:rPr>
          <w:noProof/>
          <w:lang w:val="fr-FR"/>
        </w:rPr>
        <w:t>Ministère des relations extérieures</w:t>
      </w:r>
      <w:r w:rsidRPr="000B4CDB">
        <w:rPr>
          <w:rFonts w:eastAsia="Calibri"/>
          <w:noProof/>
          <w:lang w:val="fr-FR"/>
        </w:rPr>
        <w:t xml:space="preserve"> </w:t>
      </w:r>
      <w:r>
        <w:rPr>
          <w:rFonts w:eastAsia="Calibri"/>
          <w:noProof/>
          <w:lang w:val="fr-FR"/>
        </w:rPr>
        <w:t>s</w:t>
      </w:r>
      <w:r w:rsidR="00607CA3">
        <w:rPr>
          <w:rFonts w:eastAsia="Calibri"/>
          <w:noProof/>
          <w:lang w:val="fr-FR"/>
        </w:rPr>
        <w:t>’</w:t>
      </w:r>
      <w:r>
        <w:rPr>
          <w:rFonts w:eastAsia="Calibri"/>
          <w:noProof/>
          <w:lang w:val="fr-FR"/>
        </w:rPr>
        <w:t>engage à faire appel publiquement, de lui-même ou à la demande des bureaux interinstitutionnels</w:t>
      </w:r>
      <w:r w:rsidRPr="000B4CDB">
        <w:rPr>
          <w:rFonts w:eastAsia="Calibri"/>
          <w:noProof/>
          <w:lang w:val="fr-FR"/>
        </w:rPr>
        <w:t xml:space="preserve">, </w:t>
      </w:r>
      <w:r>
        <w:rPr>
          <w:rFonts w:eastAsia="Calibri"/>
          <w:noProof/>
          <w:lang w:val="fr-FR"/>
        </w:rPr>
        <w:t>aux organisations de la société civile qui s</w:t>
      </w:r>
      <w:r w:rsidR="00607CA3">
        <w:rPr>
          <w:rFonts w:eastAsia="Calibri"/>
          <w:noProof/>
          <w:lang w:val="fr-FR"/>
        </w:rPr>
        <w:t>’</w:t>
      </w:r>
      <w:r>
        <w:rPr>
          <w:rFonts w:eastAsia="Calibri"/>
          <w:noProof/>
          <w:lang w:val="fr-FR"/>
        </w:rPr>
        <w:t>occupent des questions abordées dans les rapports à présenter aux organes conventionnels et en vue de l</w:t>
      </w:r>
      <w:r w:rsidR="00607CA3">
        <w:rPr>
          <w:rFonts w:eastAsia="Calibri"/>
          <w:noProof/>
          <w:lang w:val="fr-FR"/>
        </w:rPr>
        <w:t>’</w:t>
      </w:r>
      <w:r>
        <w:rPr>
          <w:rFonts w:eastAsia="Calibri"/>
          <w:noProof/>
          <w:lang w:val="fr-FR"/>
        </w:rPr>
        <w:t>Examen périodique universel, avant l</w:t>
      </w:r>
      <w:r w:rsidR="00607CA3">
        <w:rPr>
          <w:rFonts w:eastAsia="Calibri"/>
          <w:noProof/>
          <w:lang w:val="fr-FR"/>
        </w:rPr>
        <w:t>’</w:t>
      </w:r>
      <w:r>
        <w:rPr>
          <w:rFonts w:eastAsia="Calibri"/>
          <w:noProof/>
          <w:lang w:val="fr-FR"/>
        </w:rPr>
        <w:t>envoi de ces rapports, favorisant ainsi un espace de dialogue entre l</w:t>
      </w:r>
      <w:r w:rsidR="00607CA3">
        <w:rPr>
          <w:rFonts w:eastAsia="Calibri"/>
          <w:noProof/>
          <w:lang w:val="fr-FR"/>
        </w:rPr>
        <w:t>’</w:t>
      </w:r>
      <w:r>
        <w:rPr>
          <w:rFonts w:eastAsia="Calibri"/>
          <w:noProof/>
          <w:lang w:val="fr-FR"/>
        </w:rPr>
        <w:t>État et la société civile au sujet des rapports en question</w:t>
      </w:r>
      <w:r w:rsidRPr="000B4CDB">
        <w:rPr>
          <w:rFonts w:eastAsia="Calibri"/>
          <w:noProof/>
          <w:lang w:val="fr-FR"/>
        </w:rPr>
        <w:t>.</w:t>
      </w:r>
    </w:p>
    <w:p w:rsidR="00596826" w:rsidRPr="00596826" w:rsidRDefault="00596826" w:rsidP="00596826">
      <w:pPr>
        <w:pStyle w:val="SingleTxtG"/>
        <w:spacing w:before="240" w:after="0"/>
        <w:jc w:val="center"/>
        <w:rPr>
          <w:u w:val="single"/>
        </w:rPr>
      </w:pPr>
      <w:r>
        <w:rPr>
          <w:u w:val="single"/>
        </w:rPr>
        <w:tab/>
      </w:r>
      <w:r>
        <w:rPr>
          <w:u w:val="single"/>
        </w:rPr>
        <w:tab/>
      </w:r>
      <w:r>
        <w:rPr>
          <w:u w:val="single"/>
        </w:rPr>
        <w:tab/>
      </w:r>
    </w:p>
    <w:sectPr w:rsidR="00596826" w:rsidRPr="00596826" w:rsidSect="005968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2B" w:rsidRPr="009C4D45" w:rsidRDefault="006F7A2B" w:rsidP="009C4D45"/>
  </w:endnote>
  <w:endnote w:type="continuationSeparator" w:id="0">
    <w:p w:rsidR="006F7A2B" w:rsidRPr="009C4D45" w:rsidRDefault="006F7A2B" w:rsidP="009C4D45"/>
  </w:endnote>
  <w:endnote w:type="continuationNotice" w:id="1">
    <w:p w:rsidR="006F7A2B" w:rsidRDefault="006F7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MS P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2B" w:rsidRPr="00596826" w:rsidRDefault="006F7A2B" w:rsidP="00596826">
    <w:pPr>
      <w:tabs>
        <w:tab w:val="right" w:pos="9638"/>
      </w:tabs>
    </w:pPr>
    <w:r w:rsidRPr="00596826">
      <w:rPr>
        <w:b/>
        <w:sz w:val="18"/>
      </w:rPr>
      <w:fldChar w:fldCharType="begin"/>
    </w:r>
    <w:r w:rsidRPr="00596826">
      <w:rPr>
        <w:b/>
        <w:sz w:val="18"/>
      </w:rPr>
      <w:instrText xml:space="preserve"> PAGE  \* MERGEFORMAT </w:instrText>
    </w:r>
    <w:r w:rsidRPr="00596826">
      <w:rPr>
        <w:b/>
        <w:sz w:val="18"/>
      </w:rPr>
      <w:fldChar w:fldCharType="separate"/>
    </w:r>
    <w:r w:rsidRPr="00596826">
      <w:rPr>
        <w:b/>
        <w:noProof/>
        <w:sz w:val="18"/>
      </w:rPr>
      <w:t>2</w:t>
    </w:r>
    <w:r w:rsidRPr="00596826">
      <w:rPr>
        <w:b/>
        <w:sz w:val="18"/>
      </w:rPr>
      <w:fldChar w:fldCharType="end"/>
    </w:r>
    <w:r>
      <w:rPr>
        <w:b/>
        <w:sz w:val="18"/>
      </w:rPr>
      <w:tab/>
    </w:r>
    <w:r>
      <w:t>GE.19-00008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2B" w:rsidRPr="00596826" w:rsidRDefault="006F7A2B" w:rsidP="00596826">
    <w:pPr>
      <w:tabs>
        <w:tab w:val="right" w:pos="9638"/>
      </w:tabs>
      <w:rPr>
        <w:b/>
        <w:sz w:val="18"/>
      </w:rPr>
    </w:pPr>
    <w:r>
      <w:t>GE.19-00008</w:t>
    </w:r>
    <w:r>
      <w:tab/>
    </w:r>
    <w:r w:rsidRPr="00596826">
      <w:rPr>
        <w:b/>
        <w:sz w:val="18"/>
      </w:rPr>
      <w:fldChar w:fldCharType="begin"/>
    </w:r>
    <w:r w:rsidRPr="00596826">
      <w:rPr>
        <w:b/>
        <w:sz w:val="18"/>
      </w:rPr>
      <w:instrText xml:space="preserve"> PAGE  \* MERGEFORMAT </w:instrText>
    </w:r>
    <w:r w:rsidRPr="00596826">
      <w:rPr>
        <w:b/>
        <w:sz w:val="18"/>
      </w:rPr>
      <w:fldChar w:fldCharType="separate"/>
    </w:r>
    <w:r w:rsidRPr="00596826">
      <w:rPr>
        <w:b/>
        <w:noProof/>
        <w:sz w:val="18"/>
      </w:rPr>
      <w:t>3</w:t>
    </w:r>
    <w:r w:rsidRPr="005968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2B" w:rsidRPr="00596826" w:rsidRDefault="006F7A2B" w:rsidP="00596826">
    <w:pPr>
      <w:spacing w:before="120"/>
    </w:pPr>
    <w: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19-00008  (F)    220819    120919</w:t>
    </w:r>
    <w:r>
      <w:br/>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sidRPr="00596826">
      <w:rPr>
        <w:rFonts w:ascii="C39T30Lfz" w:hAnsi="C39T30Lfz"/>
        <w:sz w:val="56"/>
      </w:rPr>
      <w:t></w:t>
    </w:r>
    <w:r>
      <w:rPr>
        <w:noProof/>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URY/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RY/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2B" w:rsidRPr="009C4D45" w:rsidRDefault="006F7A2B" w:rsidP="009C4D45">
      <w:pPr>
        <w:tabs>
          <w:tab w:val="right" w:pos="2155"/>
        </w:tabs>
        <w:spacing w:after="80"/>
        <w:ind w:left="680"/>
        <w:rPr>
          <w:u w:val="single"/>
        </w:rPr>
      </w:pPr>
      <w:r>
        <w:rPr>
          <w:u w:val="single"/>
        </w:rPr>
        <w:tab/>
      </w:r>
    </w:p>
  </w:footnote>
  <w:footnote w:type="continuationSeparator" w:id="0">
    <w:p w:rsidR="006F7A2B" w:rsidRPr="00035AE4" w:rsidRDefault="006F7A2B" w:rsidP="00035AE4">
      <w:pPr>
        <w:tabs>
          <w:tab w:val="right" w:pos="2155"/>
        </w:tabs>
        <w:spacing w:after="80"/>
        <w:ind w:left="680"/>
        <w:rPr>
          <w:u w:val="single"/>
        </w:rPr>
      </w:pPr>
      <w:r>
        <w:rPr>
          <w:u w:val="single"/>
        </w:rPr>
        <w:tab/>
      </w:r>
    </w:p>
  </w:footnote>
  <w:footnote w:type="continuationNotice" w:id="1">
    <w:p w:rsidR="006F7A2B" w:rsidRPr="00035AE4" w:rsidRDefault="006F7A2B">
      <w:pPr>
        <w:spacing w:line="240" w:lineRule="auto"/>
        <w:rPr>
          <w:sz w:val="2"/>
          <w:szCs w:val="2"/>
        </w:rPr>
      </w:pPr>
    </w:p>
  </w:footnote>
  <w:footnote w:id="2">
    <w:p w:rsidR="006F7A2B" w:rsidRPr="00366663" w:rsidRDefault="006F7A2B">
      <w:pPr>
        <w:pStyle w:val="Notedebasdepage"/>
      </w:pPr>
      <w:r>
        <w:rPr>
          <w:rStyle w:val="Appelnotedebasdep"/>
        </w:rPr>
        <w:tab/>
      </w:r>
      <w:r w:rsidRPr="00366663">
        <w:rPr>
          <w:rStyle w:val="Appelnotedebasdep"/>
          <w:sz w:val="20"/>
          <w:vertAlign w:val="baseline"/>
        </w:rPr>
        <w:t>*</w:t>
      </w:r>
      <w:r>
        <w:rPr>
          <w:rStyle w:val="Appelnotedebasdep"/>
          <w:sz w:val="20"/>
          <w:vertAlign w:val="baseline"/>
        </w:rPr>
        <w:tab/>
      </w:r>
      <w:r w:rsidRPr="008D4A7D">
        <w:rPr>
          <w:noProof/>
          <w:lang w:val="fr-FR"/>
        </w:rPr>
        <w:t xml:space="preserve">Le </w:t>
      </w:r>
      <w:r>
        <w:rPr>
          <w:noProof/>
          <w:lang w:val="fr-FR"/>
        </w:rPr>
        <w:t xml:space="preserve">Comité a examiné le </w:t>
      </w:r>
      <w:r w:rsidRPr="008D4A7D">
        <w:rPr>
          <w:noProof/>
          <w:lang w:val="fr-FR"/>
        </w:rPr>
        <w:t>troisième rapport périodique de l</w:t>
      </w:r>
      <w:r>
        <w:rPr>
          <w:noProof/>
          <w:lang w:val="fr-FR"/>
        </w:rPr>
        <w:t>’</w:t>
      </w:r>
      <w:r w:rsidRPr="008D4A7D">
        <w:rPr>
          <w:noProof/>
          <w:lang w:val="fr-FR"/>
        </w:rPr>
        <w:t xml:space="preserve">Uruguay </w:t>
      </w:r>
      <w:r w:rsidRPr="008D4A7D">
        <w:rPr>
          <w:noProof/>
          <w:szCs w:val="18"/>
          <w:lang w:val="fr-FR"/>
        </w:rPr>
        <w:t xml:space="preserve">(CAT/C/URY/3) </w:t>
      </w:r>
      <w:r w:rsidRPr="008D4A7D">
        <w:rPr>
          <w:noProof/>
          <w:lang w:val="fr-FR"/>
        </w:rPr>
        <w:t xml:space="preserve">à ses </w:t>
      </w:r>
      <w:r w:rsidRPr="008D4A7D">
        <w:rPr>
          <w:noProof/>
          <w:szCs w:val="18"/>
          <w:lang w:val="fr-FR"/>
        </w:rPr>
        <w:t>1212</w:t>
      </w:r>
      <w:r w:rsidRPr="008D4A7D">
        <w:rPr>
          <w:noProof/>
          <w:szCs w:val="18"/>
          <w:vertAlign w:val="superscript"/>
          <w:lang w:val="fr-FR"/>
        </w:rPr>
        <w:t>e</w:t>
      </w:r>
      <w:r w:rsidRPr="008D4A7D">
        <w:rPr>
          <w:noProof/>
          <w:szCs w:val="18"/>
          <w:lang w:val="fr-FR"/>
        </w:rPr>
        <w:t xml:space="preserve"> et</w:t>
      </w:r>
      <w:r>
        <w:rPr>
          <w:noProof/>
          <w:szCs w:val="18"/>
          <w:lang w:val="fr-FR"/>
        </w:rPr>
        <w:t> </w:t>
      </w:r>
      <w:r w:rsidRPr="008D4A7D">
        <w:rPr>
          <w:noProof/>
          <w:szCs w:val="18"/>
          <w:lang w:val="fr-FR"/>
        </w:rPr>
        <w:t>1215</w:t>
      </w:r>
      <w:r w:rsidRPr="008D4A7D">
        <w:rPr>
          <w:noProof/>
          <w:szCs w:val="18"/>
          <w:vertAlign w:val="superscript"/>
          <w:lang w:val="fr-FR"/>
        </w:rPr>
        <w:t>e</w:t>
      </w:r>
      <w:r>
        <w:rPr>
          <w:noProof/>
          <w:szCs w:val="18"/>
          <w:lang w:val="fr-FR"/>
        </w:rPr>
        <w:t> </w:t>
      </w:r>
      <w:r w:rsidRPr="008D4A7D">
        <w:rPr>
          <w:noProof/>
          <w:szCs w:val="18"/>
          <w:lang w:val="fr-FR"/>
        </w:rPr>
        <w:t xml:space="preserve">séances (CAT/C/SR.1212 et 1215). </w:t>
      </w:r>
      <w:r>
        <w:rPr>
          <w:noProof/>
          <w:szCs w:val="18"/>
          <w:lang w:val="fr-FR"/>
        </w:rPr>
        <w:t xml:space="preserve">À l’issue de cet </w:t>
      </w:r>
      <w:r w:rsidRPr="008D4A7D">
        <w:rPr>
          <w:noProof/>
          <w:szCs w:val="18"/>
          <w:lang w:val="fr-FR"/>
        </w:rPr>
        <w:t xml:space="preserve">examen du rapport, </w:t>
      </w:r>
      <w:r>
        <w:rPr>
          <w:noProof/>
          <w:szCs w:val="18"/>
          <w:lang w:val="fr-FR"/>
        </w:rPr>
        <w:t>il</w:t>
      </w:r>
      <w:r w:rsidRPr="008D4A7D">
        <w:rPr>
          <w:noProof/>
          <w:szCs w:val="18"/>
          <w:lang w:val="fr-FR"/>
        </w:rPr>
        <w:t xml:space="preserve"> a adopté </w:t>
      </w:r>
      <w:r>
        <w:rPr>
          <w:noProof/>
          <w:szCs w:val="18"/>
          <w:lang w:val="fr-FR"/>
        </w:rPr>
        <w:t>d</w:t>
      </w:r>
      <w:r w:rsidRPr="008D4A7D">
        <w:rPr>
          <w:noProof/>
          <w:szCs w:val="18"/>
          <w:lang w:val="fr-FR"/>
        </w:rPr>
        <w:t>es observations finales (CAT/C/URY/CO/3)</w:t>
      </w:r>
      <w:r w:rsidRPr="008D4A7D">
        <w:rPr>
          <w:noProof/>
          <w:lang w:val="fr-FR"/>
        </w:rPr>
        <w:t>.</w:t>
      </w:r>
    </w:p>
  </w:footnote>
  <w:footnote w:id="3">
    <w:p w:rsidR="006F7A2B" w:rsidRPr="008D4A7D" w:rsidRDefault="006F7A2B" w:rsidP="00366663">
      <w:pPr>
        <w:pStyle w:val="Notedebasdepage"/>
        <w:rPr>
          <w:noProof/>
          <w:lang w:val="fr-FR"/>
        </w:rPr>
      </w:pPr>
      <w:r w:rsidRPr="008D4A7D">
        <w:rPr>
          <w:noProof/>
          <w:lang w:val="fr-FR"/>
        </w:rPr>
        <w:tab/>
      </w:r>
      <w:r w:rsidRPr="00596826">
        <w:rPr>
          <w:noProof/>
          <w:lang w:val="fr-FR"/>
        </w:rPr>
        <w:t>**</w:t>
      </w:r>
      <w:r w:rsidRPr="00596826">
        <w:rPr>
          <w:noProof/>
          <w:lang w:val="fr-FR"/>
        </w:rPr>
        <w:tab/>
      </w:r>
      <w:r w:rsidRPr="00366663">
        <w:rPr>
          <w:noProof/>
          <w:szCs w:val="18"/>
          <w:lang w:val="fr-FR"/>
        </w:rPr>
        <w:t>La</w:t>
      </w:r>
      <w:r w:rsidRPr="008D4A7D">
        <w:rPr>
          <w:noProof/>
          <w:color w:val="000000"/>
          <w:lang w:val="fr-FR"/>
        </w:rPr>
        <w:t xml:space="preserve"> version originale du présent document n</w:t>
      </w:r>
      <w:r>
        <w:rPr>
          <w:noProof/>
          <w:color w:val="000000"/>
          <w:lang w:val="fr-FR"/>
        </w:rPr>
        <w:t>’</w:t>
      </w:r>
      <w:r w:rsidRPr="008D4A7D">
        <w:rPr>
          <w:noProof/>
          <w:color w:val="000000"/>
          <w:lang w:val="fr-FR"/>
        </w:rPr>
        <w:t>a pas été revue par les services d</w:t>
      </w:r>
      <w:r>
        <w:rPr>
          <w:noProof/>
          <w:color w:val="000000"/>
          <w:lang w:val="fr-FR"/>
        </w:rPr>
        <w:t>’</w:t>
      </w:r>
      <w:r w:rsidRPr="008D4A7D">
        <w:rPr>
          <w:noProof/>
          <w:color w:val="000000"/>
          <w:lang w:val="fr-FR"/>
        </w:rPr>
        <w:t>édition</w:t>
      </w:r>
      <w:r w:rsidRPr="008D4A7D">
        <w:rPr>
          <w:noProof/>
          <w:lang w:val="fr-FR"/>
        </w:rPr>
        <w:t>.</w:t>
      </w:r>
    </w:p>
  </w:footnote>
  <w:footnote w:id="4">
    <w:p w:rsidR="006F7A2B" w:rsidRPr="008D4A7D" w:rsidRDefault="006F7A2B" w:rsidP="00C43E89">
      <w:pPr>
        <w:pStyle w:val="Notedebasdepage"/>
        <w:rPr>
          <w:noProof/>
          <w:lang w:val="fr-FR"/>
        </w:rPr>
      </w:pPr>
      <w:r w:rsidRPr="00596826">
        <w:rPr>
          <w:noProof/>
          <w:lang w:val="fr-FR"/>
        </w:rPr>
        <w:tab/>
        <w:t>***</w:t>
      </w:r>
      <w:r w:rsidRPr="00596826">
        <w:rPr>
          <w:noProof/>
          <w:lang w:val="fr-FR"/>
        </w:rPr>
        <w:tab/>
      </w:r>
      <w:r w:rsidRPr="00366663">
        <w:rPr>
          <w:noProof/>
          <w:szCs w:val="18"/>
          <w:lang w:val="fr-FR"/>
        </w:rPr>
        <w:t>Les</w:t>
      </w:r>
      <w:r w:rsidRPr="008D4A7D">
        <w:rPr>
          <w:noProof/>
          <w:lang w:val="fr-FR"/>
        </w:rPr>
        <w:t xml:space="preserve"> annexes au présent rapport </w:t>
      </w:r>
      <w:r>
        <w:rPr>
          <w:noProof/>
          <w:lang w:val="fr-FR"/>
        </w:rPr>
        <w:t>peuvent être consultées aux archives du</w:t>
      </w:r>
      <w:r w:rsidRPr="008D4A7D">
        <w:rPr>
          <w:noProof/>
          <w:lang w:val="fr-FR"/>
        </w:rPr>
        <w:t xml:space="preserve"> secrétariat. Elles sont également accessibles sur le site Internet du Comité contre la torture.</w:t>
      </w:r>
    </w:p>
  </w:footnote>
  <w:footnote w:id="5">
    <w:p w:rsidR="006F7A2B" w:rsidRDefault="006F7A2B">
      <w:pPr>
        <w:pStyle w:val="Notedebasdepage"/>
      </w:pPr>
      <w:r>
        <w:tab/>
      </w:r>
      <w:r>
        <w:rPr>
          <w:rStyle w:val="Appelnotedebasdep"/>
        </w:rPr>
        <w:footnoteRef/>
      </w:r>
      <w:r>
        <w:tab/>
      </w:r>
      <w:r>
        <w:rPr>
          <w:noProof/>
          <w:lang w:val="fr-FR"/>
        </w:rPr>
        <w:t xml:space="preserve">On trouvera d’autres renseignements sur le </w:t>
      </w:r>
      <w:r w:rsidRPr="000F6095">
        <w:rPr>
          <w:noProof/>
          <w:lang w:val="fr-FR"/>
        </w:rPr>
        <w:t>mécanisme national d</w:t>
      </w:r>
      <w:r>
        <w:rPr>
          <w:noProof/>
          <w:lang w:val="fr-FR"/>
        </w:rPr>
        <w:t>’</w:t>
      </w:r>
      <w:r w:rsidRPr="000F6095">
        <w:rPr>
          <w:noProof/>
          <w:lang w:val="fr-FR"/>
        </w:rPr>
        <w:t>établissement de rapports et de suivi des recommandations</w:t>
      </w:r>
      <w:r w:rsidRPr="00411326">
        <w:t xml:space="preserve"> </w:t>
      </w:r>
      <w:r>
        <w:rPr>
          <w:noProof/>
          <w:lang w:val="fr-FR"/>
        </w:rPr>
        <w:t xml:space="preserve">dans la réponse au paragraphe </w:t>
      </w:r>
      <w:r w:rsidRPr="008D4A7D">
        <w:rPr>
          <w:noProof/>
          <w:lang w:val="fr-FR"/>
        </w:rPr>
        <w:t>34</w:t>
      </w:r>
      <w:r>
        <w:rPr>
          <w:noProof/>
          <w:lang w:val="fr-FR"/>
        </w:rPr>
        <w:t xml:space="preserve"> de la liste de points</w:t>
      </w:r>
      <w:r w:rsidRPr="008D4A7D">
        <w:rPr>
          <w:noProof/>
          <w:lang w:val="fr-FR"/>
        </w:rPr>
        <w:t>.</w:t>
      </w:r>
    </w:p>
  </w:footnote>
  <w:footnote w:id="6">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r>
        <w:rPr>
          <w:noProof/>
          <w:lang w:val="fr-FR"/>
        </w:rPr>
        <w:t xml:space="preserve">On trouvera d’autres renseignements sur le </w:t>
      </w:r>
      <w:r w:rsidRPr="000F6095">
        <w:rPr>
          <w:noProof/>
          <w:lang w:val="fr-FR"/>
        </w:rPr>
        <w:t>mécanisme national d</w:t>
      </w:r>
      <w:r>
        <w:rPr>
          <w:noProof/>
          <w:lang w:val="fr-FR"/>
        </w:rPr>
        <w:t>’</w:t>
      </w:r>
      <w:r w:rsidRPr="000F6095">
        <w:rPr>
          <w:noProof/>
          <w:lang w:val="fr-FR"/>
        </w:rPr>
        <w:t>établissement de rapports et de suivi des recommandations</w:t>
      </w:r>
      <w:r w:rsidRPr="00411326">
        <w:t xml:space="preserve"> </w:t>
      </w:r>
      <w:r>
        <w:rPr>
          <w:noProof/>
          <w:lang w:val="fr-FR"/>
        </w:rPr>
        <w:t xml:space="preserve">dans la réponse au paragraphe </w:t>
      </w:r>
      <w:r w:rsidRPr="008D4A7D">
        <w:rPr>
          <w:noProof/>
          <w:lang w:val="fr-FR"/>
        </w:rPr>
        <w:t>34</w:t>
      </w:r>
      <w:r>
        <w:rPr>
          <w:noProof/>
          <w:lang w:val="fr-FR"/>
        </w:rPr>
        <w:t xml:space="preserve"> de la liste de points</w:t>
      </w:r>
      <w:r w:rsidRPr="008D4A7D">
        <w:rPr>
          <w:noProof/>
          <w:lang w:val="fr-FR"/>
        </w:rPr>
        <w:t xml:space="preserve">. </w:t>
      </w:r>
    </w:p>
  </w:footnote>
  <w:footnote w:id="7">
    <w:p w:rsidR="006F7A2B" w:rsidRPr="00300644"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r w:rsidRPr="00300644">
        <w:rPr>
          <w:noProof/>
          <w:lang w:val="fr-FR"/>
        </w:rPr>
        <w:t>L</w:t>
      </w:r>
      <w:r>
        <w:rPr>
          <w:noProof/>
          <w:lang w:val="fr-FR"/>
        </w:rPr>
        <w:t xml:space="preserve">oi </w:t>
      </w:r>
      <w:r w:rsidRPr="00607CA3">
        <w:rPr>
          <w:rFonts w:eastAsia="MS Mincho"/>
          <w:noProof/>
          <w:szCs w:val="22"/>
          <w:lang w:val="fr-FR"/>
        </w:rPr>
        <w:t>n</w:t>
      </w:r>
      <w:r w:rsidRPr="00607CA3">
        <w:rPr>
          <w:rFonts w:eastAsia="MS Mincho"/>
          <w:noProof/>
          <w:szCs w:val="22"/>
          <w:vertAlign w:val="superscript"/>
          <w:lang w:val="fr-FR"/>
        </w:rPr>
        <w:t>o</w:t>
      </w:r>
      <w:r>
        <w:rPr>
          <w:noProof/>
          <w:lang w:val="fr-FR"/>
        </w:rPr>
        <w:t> </w:t>
      </w:r>
      <w:r w:rsidRPr="00300644">
        <w:rPr>
          <w:noProof/>
          <w:lang w:val="fr-FR"/>
        </w:rPr>
        <w:t xml:space="preserve">19293 </w:t>
      </w:r>
      <w:r>
        <w:rPr>
          <w:noProof/>
          <w:lang w:val="fr-FR"/>
        </w:rPr>
        <w:t>et ses modifications</w:t>
      </w:r>
      <w:r w:rsidRPr="00300644">
        <w:rPr>
          <w:noProof/>
          <w:lang w:val="fr-FR"/>
        </w:rPr>
        <w:t>.</w:t>
      </w:r>
    </w:p>
  </w:footnote>
  <w:footnote w:id="8">
    <w:p w:rsidR="006F7A2B" w:rsidRPr="00300644" w:rsidRDefault="006F7A2B" w:rsidP="00366663">
      <w:pPr>
        <w:pStyle w:val="Notedebasdepage"/>
        <w:rPr>
          <w:noProof/>
          <w:lang w:val="fr-FR"/>
        </w:rPr>
      </w:pPr>
      <w:r w:rsidRPr="00300644">
        <w:rPr>
          <w:noProof/>
          <w:lang w:val="fr-FR"/>
        </w:rPr>
        <w:tab/>
      </w:r>
      <w:r w:rsidRPr="008B3C54">
        <w:rPr>
          <w:rStyle w:val="Appelnotedebasdep"/>
        </w:rPr>
        <w:footnoteRef/>
      </w:r>
      <w:r w:rsidRPr="00300644">
        <w:rPr>
          <w:noProof/>
          <w:lang w:val="fr-FR"/>
        </w:rPr>
        <w:t xml:space="preserve"> </w:t>
      </w:r>
      <w:r w:rsidRPr="00300644">
        <w:rPr>
          <w:noProof/>
          <w:lang w:val="fr-FR"/>
        </w:rPr>
        <w:tab/>
        <w:t>P</w:t>
      </w:r>
      <w:r>
        <w:rPr>
          <w:noProof/>
          <w:lang w:val="fr-FR"/>
        </w:rPr>
        <w:t>our d’autres renseignements :</w:t>
      </w:r>
      <w:r w:rsidRPr="00300644">
        <w:rPr>
          <w:noProof/>
          <w:lang w:val="fr-FR"/>
        </w:rPr>
        <w:t xml:space="preserve"> </w:t>
      </w:r>
      <w:hyperlink r:id="rId1" w:history="1">
        <w:r w:rsidRPr="00300644">
          <w:rPr>
            <w:noProof/>
            <w:szCs w:val="18"/>
            <w:lang w:val="fr-FR"/>
          </w:rPr>
          <w:t>http://www.impo.com.uy/bases/leyes-originales/19293-2014/49</w:t>
        </w:r>
      </w:hyperlink>
      <w:r w:rsidRPr="00300644">
        <w:rPr>
          <w:noProof/>
          <w:lang w:val="fr-FR"/>
        </w:rPr>
        <w:t>.</w:t>
      </w:r>
    </w:p>
  </w:footnote>
  <w:footnote w:id="9">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t>Po</w:t>
      </w:r>
      <w:r>
        <w:rPr>
          <w:noProof/>
          <w:lang w:val="fr-FR"/>
        </w:rPr>
        <w:t>u</w:t>
      </w:r>
      <w:r w:rsidRPr="008D4A7D">
        <w:rPr>
          <w:noProof/>
          <w:lang w:val="fr-FR"/>
        </w:rPr>
        <w:t>r</w:t>
      </w:r>
      <w:r>
        <w:rPr>
          <w:noProof/>
          <w:lang w:val="fr-FR"/>
        </w:rPr>
        <w:t xml:space="preserve"> d’autres renseignements :</w:t>
      </w:r>
      <w:r w:rsidRPr="008D4A7D">
        <w:rPr>
          <w:noProof/>
          <w:lang w:val="fr-FR"/>
        </w:rPr>
        <w:t xml:space="preserve"> https://parlamento.gub.uy/documentosyleyes/ficha-asunto/105583/tramite.</w:t>
      </w:r>
    </w:p>
  </w:footnote>
  <w:footnote w:id="10">
    <w:p w:rsidR="006F7A2B" w:rsidRPr="00B5112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ab/>
      </w:r>
      <w:hyperlink r:id="rId2" w:history="1">
        <w:r w:rsidRPr="00B5112D">
          <w:rPr>
            <w:noProof/>
            <w:szCs w:val="18"/>
            <w:lang w:val="fr-FR"/>
          </w:rPr>
          <w:t>https://admin.parlamento.gub.uy/htmlstat/pl/otrosdocumentos/comisionadministrativa/Presupuesto</w:t>
        </w:r>
      </w:hyperlink>
      <w:r w:rsidRPr="00B5112D">
        <w:rPr>
          <w:noProof/>
          <w:lang w:val="fr-FR"/>
        </w:rPr>
        <w:br/>
        <w:t>CA2015.pdf.</w:t>
      </w:r>
    </w:p>
  </w:footnote>
  <w:footnote w:id="11">
    <w:p w:rsidR="006F7A2B" w:rsidRPr="00B5112D" w:rsidRDefault="006F7A2B" w:rsidP="00366663">
      <w:pPr>
        <w:pStyle w:val="Notedebasdepage"/>
        <w:rPr>
          <w:noProof/>
          <w:lang w:val="fr-FR"/>
        </w:rPr>
      </w:pPr>
      <w:r w:rsidRPr="00B5112D">
        <w:rPr>
          <w:noProof/>
          <w:lang w:val="fr-FR"/>
        </w:rPr>
        <w:tab/>
      </w:r>
      <w:r w:rsidRPr="008B3C54">
        <w:rPr>
          <w:rStyle w:val="Appelnotedebasdep"/>
        </w:rPr>
        <w:footnoteRef/>
      </w:r>
      <w:r w:rsidRPr="00B5112D">
        <w:rPr>
          <w:noProof/>
          <w:lang w:val="fr-FR"/>
        </w:rPr>
        <w:tab/>
        <w:t>https://admin.parlamento.gub.uy/htmlstat/pl/otrosdocumentos/ComisionAdministrativa/</w:t>
      </w:r>
      <w:r w:rsidRPr="00B5112D">
        <w:rPr>
          <w:noProof/>
          <w:lang w:val="fr-FR"/>
        </w:rPr>
        <w:br/>
        <w:t>RendicionCA2017.pdf.</w:t>
      </w:r>
    </w:p>
  </w:footnote>
  <w:footnote w:id="12">
    <w:p w:rsidR="006F7A2B" w:rsidRPr="00B5112D" w:rsidRDefault="006F7A2B" w:rsidP="00366663">
      <w:pPr>
        <w:pStyle w:val="Notedebasdepage"/>
        <w:rPr>
          <w:noProof/>
          <w:lang w:val="fr-FR"/>
        </w:rPr>
      </w:pPr>
      <w:r w:rsidRPr="00B5112D">
        <w:rPr>
          <w:noProof/>
          <w:lang w:val="fr-FR"/>
        </w:rPr>
        <w:tab/>
      </w:r>
      <w:r w:rsidRPr="008B3C54">
        <w:rPr>
          <w:rStyle w:val="Appelnotedebasdep"/>
        </w:rPr>
        <w:footnoteRef/>
      </w:r>
      <w:r>
        <w:rPr>
          <w:noProof/>
          <w:lang w:val="fr-FR"/>
        </w:rPr>
        <w:t xml:space="preserve"> </w:t>
      </w:r>
      <w:r>
        <w:rPr>
          <w:noProof/>
          <w:lang w:val="fr-FR"/>
        </w:rPr>
        <w:tab/>
        <w:t xml:space="preserve">Loi </w:t>
      </w:r>
      <w:r w:rsidRPr="00E2492B">
        <w:rPr>
          <w:rFonts w:eastAsia="MS Mincho"/>
          <w:noProof/>
          <w:szCs w:val="22"/>
          <w:lang w:val="fr-FR"/>
        </w:rPr>
        <w:t>n</w:t>
      </w:r>
      <w:r w:rsidRPr="00E2492B">
        <w:rPr>
          <w:rFonts w:eastAsia="MS Mincho"/>
          <w:noProof/>
          <w:szCs w:val="22"/>
          <w:vertAlign w:val="superscript"/>
          <w:lang w:val="fr-FR"/>
        </w:rPr>
        <w:t>o</w:t>
      </w:r>
      <w:r>
        <w:rPr>
          <w:noProof/>
          <w:lang w:val="fr-FR"/>
        </w:rPr>
        <w:t> </w:t>
      </w:r>
      <w:r w:rsidRPr="00B5112D">
        <w:rPr>
          <w:noProof/>
          <w:lang w:val="fr-FR"/>
        </w:rPr>
        <w:t xml:space="preserve">19293 </w:t>
      </w:r>
      <w:r>
        <w:rPr>
          <w:noProof/>
          <w:lang w:val="fr-FR"/>
        </w:rPr>
        <w:t xml:space="preserve">et ses </w:t>
      </w:r>
      <w:r w:rsidRPr="00B5112D">
        <w:rPr>
          <w:noProof/>
          <w:lang w:val="fr-FR"/>
        </w:rPr>
        <w:t>modificati</w:t>
      </w:r>
      <w:r>
        <w:rPr>
          <w:noProof/>
          <w:lang w:val="fr-FR"/>
        </w:rPr>
        <w:t>on</w:t>
      </w:r>
      <w:r w:rsidRPr="00B5112D">
        <w:rPr>
          <w:noProof/>
          <w:lang w:val="fr-FR"/>
        </w:rPr>
        <w:t>s.</w:t>
      </w:r>
      <w:r>
        <w:rPr>
          <w:noProof/>
          <w:lang w:val="fr-FR"/>
        </w:rPr>
        <w:t xml:space="preserve"> Elle est entrée en vigueur le 1</w:t>
      </w:r>
      <w:r w:rsidRPr="000525D1">
        <w:rPr>
          <w:noProof/>
          <w:vertAlign w:val="superscript"/>
          <w:lang w:val="fr-FR"/>
        </w:rPr>
        <w:t>er</w:t>
      </w:r>
      <w:r>
        <w:rPr>
          <w:noProof/>
          <w:lang w:val="fr-FR"/>
        </w:rPr>
        <w:t> </w:t>
      </w:r>
      <w:r w:rsidRPr="00B5112D">
        <w:rPr>
          <w:noProof/>
          <w:lang w:val="fr-FR"/>
        </w:rPr>
        <w:t>novembre 2017.</w:t>
      </w:r>
    </w:p>
  </w:footnote>
  <w:footnote w:id="13">
    <w:p w:rsidR="006F7A2B" w:rsidRPr="008D4A7D" w:rsidRDefault="006F7A2B" w:rsidP="00366663">
      <w:pPr>
        <w:pStyle w:val="Notedebasdepage"/>
        <w:rPr>
          <w:noProof/>
          <w:lang w:val="fr-FR"/>
        </w:rPr>
      </w:pPr>
      <w:r w:rsidRPr="00B5112D">
        <w:rPr>
          <w:noProof/>
          <w:lang w:val="fr-FR"/>
        </w:rPr>
        <w:tab/>
      </w:r>
      <w:r w:rsidRPr="008B3C54">
        <w:rPr>
          <w:rStyle w:val="Appelnotedebasdep"/>
        </w:rPr>
        <w:footnoteRef/>
      </w:r>
      <w:r w:rsidRPr="00B5112D">
        <w:rPr>
          <w:noProof/>
          <w:lang w:val="fr-FR"/>
        </w:rPr>
        <w:t xml:space="preserve"> </w:t>
      </w:r>
      <w:r w:rsidRPr="00B5112D">
        <w:rPr>
          <w:noProof/>
          <w:lang w:val="fr-FR"/>
        </w:rPr>
        <w:tab/>
      </w:r>
      <w:r>
        <w:rPr>
          <w:noProof/>
          <w:lang w:val="fr-FR"/>
        </w:rPr>
        <w:t xml:space="preserve">Décision </w:t>
      </w:r>
      <w:r w:rsidRPr="00E2492B">
        <w:rPr>
          <w:rFonts w:eastAsia="MS Mincho"/>
          <w:noProof/>
          <w:szCs w:val="22"/>
          <w:lang w:val="fr-FR"/>
        </w:rPr>
        <w:t>n</w:t>
      </w:r>
      <w:r w:rsidRPr="00E2492B">
        <w:rPr>
          <w:rFonts w:eastAsia="MS Mincho"/>
          <w:noProof/>
          <w:szCs w:val="22"/>
          <w:vertAlign w:val="superscript"/>
          <w:lang w:val="fr-FR"/>
        </w:rPr>
        <w:t>o</w:t>
      </w:r>
      <w:r>
        <w:rPr>
          <w:noProof/>
          <w:lang w:val="fr-FR"/>
        </w:rPr>
        <w:t> </w:t>
      </w:r>
      <w:r w:rsidRPr="00B5112D">
        <w:rPr>
          <w:noProof/>
          <w:lang w:val="fr-FR"/>
        </w:rPr>
        <w:t>7772</w:t>
      </w:r>
      <w:r>
        <w:rPr>
          <w:noProof/>
          <w:lang w:val="fr-FR"/>
        </w:rPr>
        <w:t> :</w:t>
      </w:r>
      <w:r w:rsidRPr="00B5112D">
        <w:rPr>
          <w:noProof/>
          <w:lang w:val="fr-FR"/>
        </w:rPr>
        <w:t xml:space="preserve"> v</w:t>
      </w:r>
      <w:r>
        <w:rPr>
          <w:noProof/>
          <w:lang w:val="fr-FR"/>
        </w:rPr>
        <w:t xml:space="preserve">oir annexe </w:t>
      </w:r>
      <w:r w:rsidRPr="00E2492B">
        <w:rPr>
          <w:rFonts w:eastAsia="MS Mincho"/>
          <w:noProof/>
          <w:szCs w:val="22"/>
          <w:lang w:val="fr-FR"/>
        </w:rPr>
        <w:t>n</w:t>
      </w:r>
      <w:r w:rsidRPr="00E2492B">
        <w:rPr>
          <w:rFonts w:eastAsia="MS Mincho"/>
          <w:noProof/>
          <w:szCs w:val="22"/>
          <w:vertAlign w:val="superscript"/>
          <w:lang w:val="fr-FR"/>
        </w:rPr>
        <w:t>o</w:t>
      </w:r>
      <w:r>
        <w:rPr>
          <w:noProof/>
          <w:lang w:val="fr-FR"/>
        </w:rPr>
        <w:t> </w:t>
      </w:r>
      <w:r w:rsidRPr="00B5112D">
        <w:rPr>
          <w:noProof/>
          <w:lang w:val="fr-FR"/>
        </w:rPr>
        <w:t>1</w:t>
      </w:r>
      <w:r w:rsidRPr="008D4A7D">
        <w:rPr>
          <w:noProof/>
          <w:lang w:val="fr-FR"/>
        </w:rPr>
        <w:t>.</w:t>
      </w:r>
    </w:p>
  </w:footnote>
  <w:footnote w:id="14">
    <w:p w:rsidR="006F7A2B" w:rsidRPr="00B127D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r w:rsidRPr="00B127DD">
        <w:rPr>
          <w:noProof/>
          <w:lang w:val="fr-FR"/>
        </w:rPr>
        <w:t>http://www.impo.com.uy/bases/leyes-originales/19293-2014/46.</w:t>
      </w:r>
    </w:p>
  </w:footnote>
  <w:footnote w:id="15">
    <w:p w:rsidR="006F7A2B" w:rsidRPr="00B127DD" w:rsidRDefault="006F7A2B" w:rsidP="00366663">
      <w:pPr>
        <w:pStyle w:val="Notedebasdepage"/>
        <w:rPr>
          <w:noProof/>
          <w:lang w:val="fr-FR"/>
        </w:rPr>
      </w:pPr>
      <w:r w:rsidRPr="00B127DD">
        <w:rPr>
          <w:noProof/>
          <w:lang w:val="fr-FR"/>
        </w:rPr>
        <w:tab/>
      </w:r>
      <w:r w:rsidRPr="008B3C54">
        <w:rPr>
          <w:rStyle w:val="Appelnotedebasdep"/>
        </w:rPr>
        <w:footnoteRef/>
      </w:r>
      <w:r w:rsidRPr="00B127DD">
        <w:rPr>
          <w:noProof/>
          <w:lang w:val="fr-FR"/>
        </w:rPr>
        <w:t xml:space="preserve"> </w:t>
      </w:r>
      <w:r w:rsidRPr="00B127DD">
        <w:rPr>
          <w:noProof/>
          <w:lang w:val="fr-FR"/>
        </w:rPr>
        <w:tab/>
      </w:r>
      <w:hyperlink r:id="rId3" w:history="1">
        <w:r w:rsidRPr="00B127DD">
          <w:rPr>
            <w:noProof/>
            <w:lang w:val="fr-FR"/>
          </w:rPr>
          <w:t>http://www.impo.com.uy/bases/leyes/19483-2017/5</w:t>
        </w:r>
      </w:hyperlink>
      <w:r w:rsidRPr="00B127DD">
        <w:rPr>
          <w:noProof/>
          <w:lang w:val="fr-FR"/>
        </w:rPr>
        <w:t>.</w:t>
      </w:r>
    </w:p>
  </w:footnote>
  <w:footnote w:id="16">
    <w:p w:rsidR="006F7A2B" w:rsidRPr="00B127DD" w:rsidRDefault="006F7A2B" w:rsidP="00366663">
      <w:pPr>
        <w:pStyle w:val="Notedebasdepage"/>
        <w:rPr>
          <w:rFonts w:eastAsia="Garamond"/>
          <w:noProof/>
          <w:lang w:val="fr-FR"/>
        </w:rPr>
      </w:pPr>
      <w:r w:rsidRPr="00B127DD">
        <w:rPr>
          <w:noProof/>
          <w:lang w:val="fr-FR"/>
        </w:rPr>
        <w:tab/>
      </w:r>
      <w:r w:rsidRPr="008B3C54">
        <w:rPr>
          <w:rStyle w:val="Appelnotedebasdep"/>
        </w:rPr>
        <w:footnoteRef/>
      </w:r>
      <w:r w:rsidRPr="00B127DD">
        <w:rPr>
          <w:noProof/>
          <w:lang w:val="fr-FR"/>
        </w:rPr>
        <w:t xml:space="preserve"> </w:t>
      </w:r>
      <w:r w:rsidRPr="00B127DD">
        <w:rPr>
          <w:noProof/>
          <w:lang w:val="fr-FR"/>
        </w:rPr>
        <w:tab/>
      </w:r>
      <w:r>
        <w:rPr>
          <w:noProof/>
          <w:lang w:val="fr-FR"/>
        </w:rPr>
        <w:t>Pour les données ventilées par origine ethnique ou raciale</w:t>
      </w:r>
      <w:r w:rsidRPr="00B127DD">
        <w:rPr>
          <w:rFonts w:eastAsia="Garamond"/>
          <w:noProof/>
          <w:lang w:val="fr-FR"/>
        </w:rPr>
        <w:t xml:space="preserve">, </w:t>
      </w:r>
      <w:r>
        <w:rPr>
          <w:rFonts w:eastAsia="Garamond"/>
          <w:noProof/>
          <w:lang w:val="fr-FR"/>
        </w:rPr>
        <w:t xml:space="preserve">les deux services enregistrent bien la </w:t>
      </w:r>
      <w:r w:rsidRPr="00B127DD">
        <w:rPr>
          <w:rFonts w:eastAsia="Garamond"/>
          <w:noProof/>
          <w:lang w:val="fr-FR"/>
        </w:rPr>
        <w:t xml:space="preserve">variable de </w:t>
      </w:r>
      <w:r>
        <w:rPr>
          <w:rFonts w:eastAsia="Garamond"/>
          <w:noProof/>
          <w:lang w:val="fr-FR"/>
        </w:rPr>
        <w:t>l’ascenda</w:t>
      </w:r>
      <w:r w:rsidRPr="00B127DD">
        <w:rPr>
          <w:rFonts w:eastAsia="Garamond"/>
          <w:noProof/>
          <w:lang w:val="fr-FR"/>
        </w:rPr>
        <w:t>nc</w:t>
      </w:r>
      <w:r>
        <w:rPr>
          <w:rFonts w:eastAsia="Garamond"/>
          <w:noProof/>
          <w:lang w:val="fr-FR"/>
        </w:rPr>
        <w:t>e</w:t>
      </w:r>
      <w:r w:rsidRPr="00B127DD">
        <w:rPr>
          <w:rFonts w:eastAsia="Garamond"/>
          <w:noProof/>
          <w:lang w:val="fr-FR"/>
        </w:rPr>
        <w:t xml:space="preserve"> </w:t>
      </w:r>
      <w:r>
        <w:rPr>
          <w:rFonts w:eastAsia="Garamond"/>
          <w:noProof/>
          <w:lang w:val="fr-FR"/>
        </w:rPr>
        <w:t xml:space="preserve">ethnique ou </w:t>
      </w:r>
      <w:r w:rsidRPr="00B127DD">
        <w:rPr>
          <w:rFonts w:eastAsia="Garamond"/>
          <w:noProof/>
          <w:lang w:val="fr-FR"/>
        </w:rPr>
        <w:t>racial</w:t>
      </w:r>
      <w:r>
        <w:rPr>
          <w:rFonts w:eastAsia="Garamond"/>
          <w:noProof/>
          <w:lang w:val="fr-FR"/>
        </w:rPr>
        <w:t>e</w:t>
      </w:r>
      <w:r w:rsidRPr="00B127DD">
        <w:rPr>
          <w:rFonts w:eastAsia="Garamond"/>
          <w:noProof/>
          <w:lang w:val="fr-FR"/>
        </w:rPr>
        <w:t xml:space="preserve">, </w:t>
      </w:r>
      <w:r>
        <w:rPr>
          <w:rFonts w:eastAsia="Garamond"/>
          <w:noProof/>
          <w:lang w:val="fr-FR"/>
        </w:rPr>
        <w:t xml:space="preserve">mais </w:t>
      </w:r>
      <w:r w:rsidRPr="00B127DD">
        <w:rPr>
          <w:rFonts w:eastAsia="Garamond"/>
          <w:noProof/>
          <w:lang w:val="fr-FR"/>
        </w:rPr>
        <w:t>l</w:t>
      </w:r>
      <w:r>
        <w:rPr>
          <w:rFonts w:eastAsia="Garamond"/>
          <w:noProof/>
          <w:lang w:val="fr-FR"/>
        </w:rPr>
        <w:t>e</w:t>
      </w:r>
      <w:r w:rsidRPr="00B127DD">
        <w:rPr>
          <w:rFonts w:eastAsia="Garamond"/>
          <w:noProof/>
          <w:lang w:val="fr-FR"/>
        </w:rPr>
        <w:t>s d</w:t>
      </w:r>
      <w:r>
        <w:rPr>
          <w:rFonts w:eastAsia="Garamond"/>
          <w:noProof/>
          <w:lang w:val="fr-FR"/>
        </w:rPr>
        <w:t>onnées enregistrées sont insuffisantes pour être présentées</w:t>
      </w:r>
      <w:r w:rsidRPr="00B127DD">
        <w:rPr>
          <w:rFonts w:eastAsia="Garamond"/>
          <w:noProof/>
          <w:lang w:val="fr-FR"/>
        </w:rPr>
        <w:t xml:space="preserve">. </w:t>
      </w:r>
      <w:r>
        <w:rPr>
          <w:rFonts w:eastAsia="Garamond"/>
          <w:noProof/>
          <w:lang w:val="fr-FR"/>
        </w:rPr>
        <w:t>On s’emploie sans relâche à améliorer les systèmes d’enregistrement et à compléter toutes les variables, surtout celle de l’ascenda</w:t>
      </w:r>
      <w:r w:rsidRPr="00B127DD">
        <w:rPr>
          <w:rFonts w:eastAsia="Garamond"/>
          <w:noProof/>
          <w:lang w:val="fr-FR"/>
        </w:rPr>
        <w:t>nc</w:t>
      </w:r>
      <w:r>
        <w:rPr>
          <w:rFonts w:eastAsia="Garamond"/>
          <w:noProof/>
          <w:lang w:val="fr-FR"/>
        </w:rPr>
        <w:t>e</w:t>
      </w:r>
      <w:r w:rsidRPr="00B127DD">
        <w:rPr>
          <w:rFonts w:eastAsia="Garamond"/>
          <w:noProof/>
          <w:lang w:val="fr-FR"/>
        </w:rPr>
        <w:t xml:space="preserve"> </w:t>
      </w:r>
      <w:r>
        <w:rPr>
          <w:rFonts w:eastAsia="Garamond"/>
          <w:noProof/>
          <w:lang w:val="fr-FR"/>
        </w:rPr>
        <w:t xml:space="preserve">ethnique ou </w:t>
      </w:r>
      <w:r w:rsidRPr="00B127DD">
        <w:rPr>
          <w:rFonts w:eastAsia="Garamond"/>
          <w:noProof/>
          <w:lang w:val="fr-FR"/>
        </w:rPr>
        <w:t>racial</w:t>
      </w:r>
      <w:r>
        <w:rPr>
          <w:rFonts w:eastAsia="Garamond"/>
          <w:noProof/>
          <w:lang w:val="fr-FR"/>
        </w:rPr>
        <w:t>e</w:t>
      </w:r>
      <w:r w:rsidRPr="00B127DD">
        <w:rPr>
          <w:rFonts w:eastAsia="Garamond"/>
          <w:noProof/>
          <w:lang w:val="fr-FR"/>
        </w:rPr>
        <w:t>.</w:t>
      </w:r>
    </w:p>
  </w:footnote>
  <w:footnote w:id="17">
    <w:p w:rsidR="006F7A2B" w:rsidRPr="00B127DD" w:rsidRDefault="006F7A2B" w:rsidP="00366663">
      <w:pPr>
        <w:pStyle w:val="Notedebasdepage"/>
        <w:rPr>
          <w:noProof/>
          <w:lang w:val="fr-FR"/>
        </w:rPr>
      </w:pPr>
      <w:r w:rsidRPr="00B127DD">
        <w:rPr>
          <w:noProof/>
          <w:lang w:val="fr-FR"/>
        </w:rPr>
        <w:tab/>
      </w:r>
      <w:r w:rsidRPr="008B3C54">
        <w:rPr>
          <w:rStyle w:val="Appelnotedebasdep"/>
        </w:rPr>
        <w:footnoteRef/>
      </w:r>
      <w:r w:rsidRPr="00B127DD">
        <w:rPr>
          <w:noProof/>
          <w:lang w:val="fr-FR"/>
        </w:rPr>
        <w:t xml:space="preserve"> </w:t>
      </w:r>
      <w:r w:rsidRPr="00B127DD">
        <w:rPr>
          <w:noProof/>
          <w:lang w:val="fr-FR"/>
        </w:rPr>
        <w:tab/>
        <w:t>A</w:t>
      </w:r>
      <w:r>
        <w:rPr>
          <w:noProof/>
          <w:lang w:val="fr-FR"/>
        </w:rPr>
        <w:t xml:space="preserve">u moment de l’achèvement du présent rapport, on procédait au traitement des informations relatives à l’année </w:t>
      </w:r>
      <w:r w:rsidRPr="00B127DD">
        <w:rPr>
          <w:noProof/>
          <w:lang w:val="fr-FR"/>
        </w:rPr>
        <w:t xml:space="preserve">2017. </w:t>
      </w:r>
    </w:p>
  </w:footnote>
  <w:footnote w:id="18">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t>http://www.bibliotecaunicef.uy/doc_num.php?explnum_id=182.</w:t>
      </w:r>
    </w:p>
  </w:footnote>
  <w:footnote w:id="19">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hyperlink r:id="rId4" w:history="1">
        <w:r w:rsidRPr="008D4A7D">
          <w:rPr>
            <w:noProof/>
            <w:lang w:val="fr-FR"/>
          </w:rPr>
          <w:t>http://www.fiscalia.gub.uy/innovaportal/file/4405/1/instruccion-nro5.pdf</w:t>
        </w:r>
      </w:hyperlink>
      <w:r w:rsidRPr="008D4A7D">
        <w:rPr>
          <w:noProof/>
          <w:lang w:val="fr-FR"/>
        </w:rPr>
        <w:t>.</w:t>
      </w:r>
    </w:p>
  </w:footnote>
  <w:footnote w:id="20">
    <w:p w:rsidR="006F7A2B" w:rsidRPr="00411326" w:rsidRDefault="006F7A2B" w:rsidP="00366663">
      <w:pPr>
        <w:pStyle w:val="Notedebasdepage"/>
        <w:rPr>
          <w:noProof/>
          <w:lang w:val="es-ES"/>
        </w:rPr>
      </w:pPr>
      <w:r w:rsidRPr="008D4A7D">
        <w:rPr>
          <w:noProof/>
          <w:lang w:val="fr-FR"/>
        </w:rPr>
        <w:tab/>
      </w:r>
      <w:r w:rsidRPr="008B3C54">
        <w:rPr>
          <w:rStyle w:val="Appelnotedebasdep"/>
        </w:rPr>
        <w:footnoteRef/>
      </w:r>
      <w:r w:rsidRPr="00411326">
        <w:rPr>
          <w:noProof/>
          <w:lang w:val="es-ES"/>
        </w:rPr>
        <w:t xml:space="preserve"> </w:t>
      </w:r>
      <w:r w:rsidRPr="00411326">
        <w:rPr>
          <w:noProof/>
          <w:lang w:val="es-ES"/>
        </w:rPr>
        <w:tab/>
      </w:r>
      <w:r w:rsidRPr="00411326">
        <w:rPr>
          <w:noProof/>
          <w:szCs w:val="18"/>
          <w:lang w:val="es-ES"/>
        </w:rPr>
        <w:t>Voir l</w:t>
      </w:r>
      <w:r>
        <w:rPr>
          <w:noProof/>
          <w:szCs w:val="18"/>
          <w:lang w:val="es-ES"/>
        </w:rPr>
        <w:t>’</w:t>
      </w:r>
      <w:r w:rsidRPr="00411326">
        <w:rPr>
          <w:noProof/>
          <w:szCs w:val="18"/>
          <w:lang w:val="es-ES"/>
        </w:rPr>
        <w:t xml:space="preserve">annexe 2 </w:t>
      </w:r>
      <w:r w:rsidRPr="008B3C54">
        <w:rPr>
          <w:noProof/>
          <w:szCs w:val="18"/>
          <w:lang w:val="es-ES"/>
        </w:rPr>
        <w:t>« </w:t>
      </w:r>
      <w:r w:rsidRPr="00411326">
        <w:rPr>
          <w:noProof/>
          <w:szCs w:val="18"/>
          <w:lang w:val="es-ES"/>
        </w:rPr>
        <w:t>II Plan Nacional de Acción</w:t>
      </w:r>
      <w:r>
        <w:rPr>
          <w:noProof/>
          <w:szCs w:val="18"/>
          <w:lang w:val="es-ES"/>
        </w:rPr>
        <w:t xml:space="preserve"> “</w:t>
      </w:r>
      <w:r w:rsidRPr="00411326">
        <w:rPr>
          <w:noProof/>
          <w:szCs w:val="18"/>
          <w:lang w:val="es-ES"/>
        </w:rPr>
        <w:t>100 acciones contra la explotación sexual comercial de niños, niñas y adolescentes</w:t>
      </w:r>
      <w:r>
        <w:rPr>
          <w:noProof/>
          <w:szCs w:val="18"/>
          <w:lang w:val="es-ES"/>
        </w:rPr>
        <w:t>”</w:t>
      </w:r>
      <w:r w:rsidRPr="00411326">
        <w:rPr>
          <w:noProof/>
          <w:szCs w:val="18"/>
          <w:lang w:val="es-ES"/>
        </w:rPr>
        <w:t xml:space="preserve"> 2016-2021</w:t>
      </w:r>
      <w:r w:rsidRPr="008B3C54">
        <w:rPr>
          <w:noProof/>
          <w:szCs w:val="18"/>
          <w:lang w:val="es-ES"/>
        </w:rPr>
        <w:t> »</w:t>
      </w:r>
      <w:r w:rsidRPr="00411326">
        <w:rPr>
          <w:noProof/>
          <w:szCs w:val="18"/>
          <w:lang w:val="es-ES"/>
        </w:rPr>
        <w:t>.</w:t>
      </w:r>
    </w:p>
  </w:footnote>
  <w:footnote w:id="21">
    <w:p w:rsidR="006F7A2B" w:rsidRPr="008D4A7D" w:rsidRDefault="006F7A2B" w:rsidP="008B3C54">
      <w:pPr>
        <w:pStyle w:val="Notedebasdepage"/>
        <w:spacing w:after="60"/>
        <w:rPr>
          <w:noProof/>
          <w:lang w:val="fr-FR"/>
        </w:rPr>
      </w:pPr>
      <w:r w:rsidRPr="00411326">
        <w:rPr>
          <w:noProof/>
          <w:lang w:val="es-ES"/>
        </w:rPr>
        <w:tab/>
      </w:r>
      <w:r w:rsidRPr="008B3C54">
        <w:rPr>
          <w:rStyle w:val="Appelnotedebasdep"/>
        </w:rPr>
        <w:footnoteRef/>
      </w:r>
      <w:r w:rsidRPr="008D4A7D">
        <w:rPr>
          <w:noProof/>
          <w:lang w:val="fr-FR"/>
        </w:rPr>
        <w:t xml:space="preserve"> </w:t>
      </w:r>
      <w:r w:rsidRPr="008D4A7D">
        <w:rPr>
          <w:noProof/>
          <w:lang w:val="fr-FR"/>
        </w:rPr>
        <w:tab/>
      </w:r>
      <w:r w:rsidRPr="00366663">
        <w:rPr>
          <w:noProof/>
          <w:szCs w:val="18"/>
          <w:lang w:val="fr-FR"/>
        </w:rPr>
        <w:t>Les</w:t>
      </w:r>
      <w:r w:rsidRPr="008D4A7D">
        <w:rPr>
          <w:noProof/>
          <w:lang w:val="fr-FR"/>
        </w:rPr>
        <w:t xml:space="preserve"> </w:t>
      </w:r>
      <w:r>
        <w:rPr>
          <w:noProof/>
          <w:lang w:val="fr-FR"/>
        </w:rPr>
        <w:t xml:space="preserve">femmes </w:t>
      </w:r>
      <w:r w:rsidRPr="008D4A7D">
        <w:rPr>
          <w:noProof/>
          <w:lang w:val="fr-FR"/>
        </w:rPr>
        <w:t>trans priv</w:t>
      </w:r>
      <w:r>
        <w:rPr>
          <w:noProof/>
          <w:lang w:val="fr-FR"/>
        </w:rPr>
        <w:t>ées de liberté sont détenues dans différents centres :</w:t>
      </w:r>
    </w:p>
    <w:p w:rsidR="006F7A2B" w:rsidRPr="008D4A7D" w:rsidRDefault="006F7A2B" w:rsidP="008B3C54">
      <w:pPr>
        <w:pStyle w:val="Notedebasdepage"/>
        <w:spacing w:after="60"/>
        <w:rPr>
          <w:noProof/>
          <w:lang w:val="fr-FR"/>
        </w:rPr>
      </w:pPr>
      <w:r>
        <w:rPr>
          <w:noProof/>
          <w:lang w:val="fr-FR"/>
        </w:rPr>
        <w:tab/>
      </w:r>
      <w:r>
        <w:rPr>
          <w:noProof/>
          <w:lang w:val="fr-FR"/>
        </w:rPr>
        <w:tab/>
      </w:r>
      <w:r w:rsidRPr="00366663">
        <w:rPr>
          <w:noProof/>
          <w:szCs w:val="18"/>
          <w:lang w:val="fr-FR"/>
        </w:rPr>
        <w:t>Centre</w:t>
      </w:r>
      <w:r w:rsidRPr="008D4A7D">
        <w:rPr>
          <w:noProof/>
          <w:lang w:val="fr-FR"/>
        </w:rPr>
        <w:t xml:space="preserve"> d</w:t>
      </w:r>
      <w:r>
        <w:rPr>
          <w:noProof/>
          <w:lang w:val="fr-FR"/>
        </w:rPr>
        <w:t>’admission, de diagnostic et d’orientation :</w:t>
      </w:r>
      <w:r w:rsidRPr="008D4A7D">
        <w:rPr>
          <w:noProof/>
          <w:lang w:val="fr-FR"/>
        </w:rPr>
        <w:t xml:space="preserve"> 1 </w:t>
      </w:r>
      <w:r>
        <w:rPr>
          <w:noProof/>
          <w:lang w:val="fr-FR"/>
        </w:rPr>
        <w:t xml:space="preserve">femme </w:t>
      </w:r>
      <w:r w:rsidRPr="008D4A7D">
        <w:rPr>
          <w:noProof/>
          <w:lang w:val="fr-FR"/>
        </w:rPr>
        <w:t>trans</w:t>
      </w:r>
    </w:p>
    <w:p w:rsidR="006F7A2B" w:rsidRPr="008D4A7D" w:rsidRDefault="006F7A2B" w:rsidP="008B3C54">
      <w:pPr>
        <w:pStyle w:val="Notedebasdepage"/>
        <w:spacing w:after="60"/>
        <w:rPr>
          <w:noProof/>
          <w:lang w:val="fr-FR"/>
        </w:rPr>
      </w:pPr>
      <w:r w:rsidRPr="008D4A7D">
        <w:rPr>
          <w:noProof/>
          <w:lang w:val="fr-FR"/>
        </w:rPr>
        <w:tab/>
      </w:r>
      <w:r w:rsidRPr="008D4A7D">
        <w:rPr>
          <w:noProof/>
          <w:lang w:val="fr-FR"/>
        </w:rPr>
        <w:tab/>
      </w:r>
      <w:r>
        <w:rPr>
          <w:noProof/>
          <w:lang w:val="fr-FR"/>
        </w:rPr>
        <w:t xml:space="preserve">Centre </w:t>
      </w:r>
      <w:r w:rsidRPr="008D4A7D">
        <w:rPr>
          <w:noProof/>
          <w:lang w:val="fr-FR"/>
        </w:rPr>
        <w:t xml:space="preserve"> Libert</w:t>
      </w:r>
      <w:r>
        <w:rPr>
          <w:noProof/>
          <w:lang w:val="fr-FR"/>
        </w:rPr>
        <w:t>ad (</w:t>
      </w:r>
      <w:r w:rsidRPr="00AF4C2A">
        <w:rPr>
          <w:rFonts w:eastAsia="MS Mincho"/>
          <w:noProof/>
          <w:szCs w:val="22"/>
          <w:lang w:val="fr-FR"/>
        </w:rPr>
        <w:t>n</w:t>
      </w:r>
      <w:r w:rsidRPr="00AF4C2A">
        <w:rPr>
          <w:rFonts w:eastAsia="MS Mincho"/>
          <w:noProof/>
          <w:szCs w:val="22"/>
          <w:vertAlign w:val="superscript"/>
          <w:lang w:val="fr-FR"/>
        </w:rPr>
        <w:t>o</w:t>
      </w:r>
      <w:r>
        <w:rPr>
          <w:noProof/>
          <w:lang w:val="fr-FR"/>
        </w:rPr>
        <w:t> </w:t>
      </w:r>
      <w:r w:rsidRPr="008D4A7D">
        <w:rPr>
          <w:noProof/>
          <w:lang w:val="fr-FR"/>
        </w:rPr>
        <w:t>3)</w:t>
      </w:r>
      <w:r>
        <w:rPr>
          <w:noProof/>
          <w:lang w:val="fr-FR"/>
        </w:rPr>
        <w:t> :</w:t>
      </w:r>
      <w:r w:rsidRPr="008D4A7D">
        <w:rPr>
          <w:noProof/>
          <w:lang w:val="fr-FR"/>
        </w:rPr>
        <w:t xml:space="preserve"> 1 </w:t>
      </w:r>
      <w:r>
        <w:rPr>
          <w:noProof/>
          <w:lang w:val="fr-FR"/>
        </w:rPr>
        <w:t>femme</w:t>
      </w:r>
      <w:r w:rsidRPr="008D4A7D">
        <w:rPr>
          <w:noProof/>
          <w:lang w:val="fr-FR"/>
        </w:rPr>
        <w:t xml:space="preserve"> trans</w:t>
      </w:r>
    </w:p>
    <w:p w:rsidR="006F7A2B" w:rsidRPr="008D4A7D" w:rsidRDefault="006F7A2B" w:rsidP="008B3C54">
      <w:pPr>
        <w:pStyle w:val="Notedebasdepage"/>
        <w:spacing w:after="60"/>
        <w:rPr>
          <w:noProof/>
          <w:lang w:val="fr-FR"/>
        </w:rPr>
      </w:pPr>
      <w:r>
        <w:rPr>
          <w:noProof/>
          <w:lang w:val="fr-FR"/>
        </w:rPr>
        <w:tab/>
      </w:r>
      <w:r>
        <w:rPr>
          <w:noProof/>
          <w:lang w:val="fr-FR"/>
        </w:rPr>
        <w:tab/>
        <w:t>Centre</w:t>
      </w:r>
      <w:r w:rsidRPr="008D4A7D">
        <w:rPr>
          <w:noProof/>
          <w:lang w:val="fr-FR"/>
        </w:rPr>
        <w:t xml:space="preserve"> Santiago Vázquez</w:t>
      </w:r>
      <w:r>
        <w:rPr>
          <w:noProof/>
          <w:lang w:val="fr-FR"/>
        </w:rPr>
        <w:t xml:space="preserve"> (</w:t>
      </w:r>
      <w:r w:rsidRPr="00AF4C2A">
        <w:rPr>
          <w:rFonts w:eastAsia="MS Mincho"/>
          <w:noProof/>
          <w:szCs w:val="22"/>
          <w:lang w:val="fr-FR"/>
        </w:rPr>
        <w:t>n</w:t>
      </w:r>
      <w:r w:rsidRPr="00AF4C2A">
        <w:rPr>
          <w:rFonts w:eastAsia="MS Mincho"/>
          <w:noProof/>
          <w:szCs w:val="22"/>
          <w:vertAlign w:val="superscript"/>
          <w:lang w:val="fr-FR"/>
        </w:rPr>
        <w:t>o</w:t>
      </w:r>
      <w:r>
        <w:rPr>
          <w:noProof/>
          <w:lang w:val="fr-FR"/>
        </w:rPr>
        <w:t> 4</w:t>
      </w:r>
      <w:r w:rsidRPr="008D4A7D">
        <w:rPr>
          <w:noProof/>
          <w:lang w:val="fr-FR"/>
        </w:rPr>
        <w:t>)</w:t>
      </w:r>
      <w:r>
        <w:rPr>
          <w:noProof/>
          <w:lang w:val="fr-FR"/>
        </w:rPr>
        <w:t xml:space="preserve"> : </w:t>
      </w:r>
      <w:r w:rsidRPr="008D4A7D">
        <w:rPr>
          <w:noProof/>
          <w:lang w:val="fr-FR"/>
        </w:rPr>
        <w:t xml:space="preserve">11 </w:t>
      </w:r>
      <w:r>
        <w:rPr>
          <w:noProof/>
          <w:lang w:val="fr-FR"/>
        </w:rPr>
        <w:t xml:space="preserve">femmes </w:t>
      </w:r>
      <w:r w:rsidRPr="008D4A7D">
        <w:rPr>
          <w:noProof/>
          <w:lang w:val="fr-FR"/>
        </w:rPr>
        <w:t>trans</w:t>
      </w:r>
    </w:p>
    <w:p w:rsidR="006F7A2B" w:rsidRPr="008D4A7D" w:rsidRDefault="006F7A2B" w:rsidP="008B3C54">
      <w:pPr>
        <w:pStyle w:val="Notedebasdepage"/>
        <w:spacing w:after="60"/>
        <w:rPr>
          <w:noProof/>
          <w:lang w:val="fr-FR"/>
        </w:rPr>
      </w:pPr>
      <w:r>
        <w:rPr>
          <w:noProof/>
          <w:lang w:val="fr-FR"/>
        </w:rPr>
        <w:tab/>
      </w:r>
      <w:r>
        <w:rPr>
          <w:noProof/>
          <w:lang w:val="fr-FR"/>
        </w:rPr>
        <w:tab/>
        <w:t>Centre</w:t>
      </w:r>
      <w:r w:rsidRPr="008D4A7D">
        <w:rPr>
          <w:noProof/>
          <w:lang w:val="fr-FR"/>
        </w:rPr>
        <w:t xml:space="preserve"> Cerro Carancho. Rivera </w:t>
      </w:r>
      <w:r>
        <w:rPr>
          <w:noProof/>
          <w:lang w:val="fr-FR"/>
        </w:rPr>
        <w:t>(</w:t>
      </w:r>
      <w:r w:rsidRPr="00AF4C2A">
        <w:rPr>
          <w:rFonts w:eastAsia="MS Mincho"/>
          <w:noProof/>
          <w:szCs w:val="22"/>
          <w:lang w:val="fr-FR"/>
        </w:rPr>
        <w:t>n</w:t>
      </w:r>
      <w:r w:rsidRPr="00AF4C2A">
        <w:rPr>
          <w:rFonts w:eastAsia="MS Mincho"/>
          <w:noProof/>
          <w:szCs w:val="22"/>
          <w:vertAlign w:val="superscript"/>
          <w:lang w:val="fr-FR"/>
        </w:rPr>
        <w:t>o</w:t>
      </w:r>
      <w:r>
        <w:rPr>
          <w:noProof/>
          <w:lang w:val="fr-FR"/>
        </w:rPr>
        <w:t> </w:t>
      </w:r>
      <w:r w:rsidRPr="008D4A7D">
        <w:rPr>
          <w:noProof/>
          <w:lang w:val="fr-FR"/>
        </w:rPr>
        <w:t>12)</w:t>
      </w:r>
      <w:r>
        <w:rPr>
          <w:noProof/>
          <w:lang w:val="fr-FR"/>
        </w:rPr>
        <w:t> :</w:t>
      </w:r>
      <w:r w:rsidRPr="008D4A7D">
        <w:rPr>
          <w:noProof/>
          <w:lang w:val="fr-FR"/>
        </w:rPr>
        <w:t xml:space="preserve"> 1 </w:t>
      </w:r>
      <w:r>
        <w:rPr>
          <w:noProof/>
          <w:lang w:val="fr-FR"/>
        </w:rPr>
        <w:t xml:space="preserve">femme </w:t>
      </w:r>
      <w:r w:rsidRPr="008D4A7D">
        <w:rPr>
          <w:noProof/>
          <w:lang w:val="fr-FR"/>
        </w:rPr>
        <w:t>trans</w:t>
      </w:r>
    </w:p>
    <w:p w:rsidR="006F7A2B" w:rsidRPr="008D4A7D" w:rsidRDefault="006F7A2B" w:rsidP="00366663">
      <w:pPr>
        <w:pStyle w:val="Notedebasdepage"/>
        <w:rPr>
          <w:noProof/>
          <w:lang w:val="fr-FR"/>
        </w:rPr>
      </w:pPr>
      <w:r w:rsidRPr="008D4A7D">
        <w:rPr>
          <w:noProof/>
          <w:lang w:val="fr-FR"/>
        </w:rPr>
        <w:tab/>
      </w:r>
      <w:r w:rsidRPr="008D4A7D">
        <w:rPr>
          <w:noProof/>
          <w:lang w:val="fr-FR"/>
        </w:rPr>
        <w:tab/>
      </w:r>
      <w:r>
        <w:rPr>
          <w:noProof/>
          <w:lang w:val="fr-FR"/>
        </w:rPr>
        <w:t>Centre</w:t>
      </w:r>
      <w:r w:rsidRPr="008D4A7D">
        <w:rPr>
          <w:noProof/>
          <w:lang w:val="fr-FR"/>
        </w:rPr>
        <w:t xml:space="preserve"> Roch</w:t>
      </w:r>
      <w:r>
        <w:rPr>
          <w:noProof/>
          <w:lang w:val="fr-FR"/>
        </w:rPr>
        <w:t>a (</w:t>
      </w:r>
      <w:r w:rsidRPr="00AF4C2A">
        <w:rPr>
          <w:rFonts w:eastAsia="MS Mincho"/>
          <w:noProof/>
          <w:szCs w:val="22"/>
          <w:lang w:val="fr-FR"/>
        </w:rPr>
        <w:t>n</w:t>
      </w:r>
      <w:r w:rsidRPr="00AF4C2A">
        <w:rPr>
          <w:rFonts w:eastAsia="MS Mincho"/>
          <w:noProof/>
          <w:szCs w:val="22"/>
          <w:vertAlign w:val="superscript"/>
          <w:lang w:val="fr-FR"/>
        </w:rPr>
        <w:t>o</w:t>
      </w:r>
      <w:r>
        <w:rPr>
          <w:noProof/>
          <w:lang w:val="fr-FR"/>
        </w:rPr>
        <w:t> </w:t>
      </w:r>
      <w:r w:rsidRPr="008D4A7D">
        <w:rPr>
          <w:noProof/>
          <w:lang w:val="fr-FR"/>
        </w:rPr>
        <w:t>22)</w:t>
      </w:r>
      <w:r>
        <w:rPr>
          <w:noProof/>
          <w:lang w:val="fr-FR"/>
        </w:rPr>
        <w:t> :</w:t>
      </w:r>
      <w:r w:rsidRPr="008D4A7D">
        <w:rPr>
          <w:noProof/>
          <w:lang w:val="fr-FR"/>
        </w:rPr>
        <w:t xml:space="preserve"> 1 </w:t>
      </w:r>
      <w:r>
        <w:rPr>
          <w:noProof/>
          <w:lang w:val="fr-FR"/>
        </w:rPr>
        <w:t>femme</w:t>
      </w:r>
      <w:r w:rsidRPr="008D4A7D">
        <w:rPr>
          <w:noProof/>
          <w:lang w:val="fr-FR"/>
        </w:rPr>
        <w:t xml:space="preserve"> trans.</w:t>
      </w:r>
    </w:p>
  </w:footnote>
  <w:footnote w:id="22">
    <w:p w:rsidR="006F7A2B" w:rsidRPr="00495264"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r w:rsidRPr="00495264">
        <w:rPr>
          <w:noProof/>
          <w:lang w:val="fr-FR"/>
        </w:rPr>
        <w:t xml:space="preserve">Disponibles </w:t>
      </w:r>
      <w:r>
        <w:rPr>
          <w:noProof/>
          <w:lang w:val="fr-FR"/>
        </w:rPr>
        <w:t>à l’adresse</w:t>
      </w:r>
      <w:r w:rsidRPr="00495264">
        <w:rPr>
          <w:noProof/>
          <w:lang w:val="fr-FR"/>
        </w:rPr>
        <w:t xml:space="preserve"> https://parlamento.gub.uy/cpp.</w:t>
      </w:r>
    </w:p>
  </w:footnote>
  <w:footnote w:id="23">
    <w:p w:rsidR="006F7A2B" w:rsidRPr="008D4A7D" w:rsidRDefault="006F7A2B" w:rsidP="00366663">
      <w:pPr>
        <w:pStyle w:val="Notedebasdepage"/>
        <w:rPr>
          <w:noProof/>
          <w:lang w:val="fr-FR"/>
        </w:rPr>
      </w:pPr>
      <w:r w:rsidRPr="00495264">
        <w:rPr>
          <w:noProof/>
          <w:lang w:val="fr-FR"/>
        </w:rPr>
        <w:tab/>
      </w:r>
      <w:r w:rsidRPr="008B3C54">
        <w:rPr>
          <w:rStyle w:val="Appelnotedebasdep"/>
        </w:rPr>
        <w:footnoteRef/>
      </w:r>
      <w:r w:rsidRPr="00495264">
        <w:rPr>
          <w:noProof/>
          <w:lang w:val="fr-FR"/>
        </w:rPr>
        <w:t xml:space="preserve"> </w:t>
      </w:r>
      <w:r w:rsidRPr="00495264">
        <w:rPr>
          <w:noProof/>
          <w:lang w:val="fr-FR"/>
        </w:rPr>
        <w:tab/>
        <w:t xml:space="preserve">Disponibles </w:t>
      </w:r>
      <w:r>
        <w:rPr>
          <w:noProof/>
          <w:lang w:val="fr-FR"/>
        </w:rPr>
        <w:t xml:space="preserve">à l’adresse </w:t>
      </w:r>
      <w:hyperlink r:id="rId5" w:history="1">
        <w:r w:rsidRPr="00495264">
          <w:rPr>
            <w:noProof/>
            <w:szCs w:val="18"/>
            <w:lang w:val="fr-FR"/>
          </w:rPr>
          <w:t>https://parlamento.gub.uy/cpp</w:t>
        </w:r>
      </w:hyperlink>
      <w:r w:rsidRPr="008D4A7D">
        <w:rPr>
          <w:noProof/>
          <w:szCs w:val="18"/>
          <w:lang w:val="fr-FR"/>
        </w:rPr>
        <w:t>.</w:t>
      </w:r>
    </w:p>
  </w:footnote>
  <w:footnote w:id="24">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r>
      <w:r>
        <w:rPr>
          <w:noProof/>
          <w:lang w:val="fr-FR"/>
        </w:rPr>
        <w:t xml:space="preserve">Le rapport du délégué parlementaire aux affaires pénitentiaires pour </w:t>
      </w:r>
      <w:r w:rsidRPr="008D4A7D">
        <w:rPr>
          <w:noProof/>
          <w:lang w:val="fr-FR"/>
        </w:rPr>
        <w:t xml:space="preserve">2017 </w:t>
      </w:r>
      <w:r>
        <w:rPr>
          <w:noProof/>
          <w:lang w:val="fr-FR"/>
        </w:rPr>
        <w:t xml:space="preserve">est disponible à l’adresse </w:t>
      </w:r>
      <w:r w:rsidRPr="008D4A7D">
        <w:rPr>
          <w:noProof/>
          <w:lang w:val="fr-FR"/>
        </w:rPr>
        <w:t>https://parlamento.gub.uy/cpp/documentos/informes.</w:t>
      </w:r>
    </w:p>
  </w:footnote>
  <w:footnote w:id="25">
    <w:p w:rsidR="006F7A2B" w:rsidRPr="008D4A7D" w:rsidRDefault="006F7A2B" w:rsidP="00366663">
      <w:pPr>
        <w:pStyle w:val="Notedebasdepage"/>
        <w:rPr>
          <w:noProof/>
          <w:lang w:val="fr-FR"/>
        </w:rPr>
      </w:pPr>
      <w:r w:rsidRPr="008D4A7D">
        <w:rPr>
          <w:noProof/>
          <w:lang w:val="fr-FR"/>
        </w:rPr>
        <w:tab/>
      </w:r>
      <w:r w:rsidRPr="008B3C54">
        <w:rPr>
          <w:rStyle w:val="Appelnotedebasdep"/>
        </w:rPr>
        <w:footnoteRef/>
      </w:r>
      <w:r w:rsidRPr="008D4A7D">
        <w:rPr>
          <w:noProof/>
          <w:lang w:val="fr-FR"/>
        </w:rPr>
        <w:t xml:space="preserve"> </w:t>
      </w:r>
      <w:r w:rsidRPr="008D4A7D">
        <w:rPr>
          <w:noProof/>
          <w:lang w:val="fr-FR"/>
        </w:rPr>
        <w:tab/>
        <w:t>Disponible</w:t>
      </w:r>
      <w:r>
        <w:rPr>
          <w:noProof/>
          <w:lang w:val="fr-FR"/>
        </w:rPr>
        <w:t>s</w:t>
      </w:r>
      <w:r w:rsidRPr="008D4A7D">
        <w:rPr>
          <w:noProof/>
          <w:lang w:val="fr-FR"/>
        </w:rPr>
        <w:t xml:space="preserve"> </w:t>
      </w:r>
      <w:r>
        <w:rPr>
          <w:noProof/>
          <w:lang w:val="fr-FR"/>
        </w:rPr>
        <w:t>à l’adresse </w:t>
      </w:r>
      <w:r w:rsidRPr="008D4A7D">
        <w:rPr>
          <w:noProof/>
          <w:lang w:val="fr-FR"/>
        </w:rPr>
        <w:t>: https://parlamento.gub.uy/cpp.</w:t>
      </w:r>
    </w:p>
  </w:footnote>
  <w:footnote w:id="26">
    <w:p w:rsidR="006F7A2B" w:rsidRPr="000F6621" w:rsidRDefault="006F7A2B" w:rsidP="00366663">
      <w:pPr>
        <w:pStyle w:val="Notedebasdepage"/>
        <w:rPr>
          <w:noProof/>
          <w:lang w:val="fr-FR"/>
        </w:rPr>
      </w:pPr>
      <w:r w:rsidRPr="008D4A7D">
        <w:rPr>
          <w:noProof/>
          <w:lang w:val="fr-FR"/>
        </w:rPr>
        <w:tab/>
      </w:r>
      <w:r w:rsidRPr="00527502">
        <w:rPr>
          <w:rStyle w:val="Appelnotedebasdep"/>
        </w:rPr>
        <w:footnoteRef/>
      </w:r>
      <w:r w:rsidRPr="008D4A7D">
        <w:rPr>
          <w:noProof/>
          <w:lang w:val="fr-FR"/>
        </w:rPr>
        <w:t xml:space="preserve"> </w:t>
      </w:r>
      <w:r w:rsidRPr="008D4A7D">
        <w:rPr>
          <w:noProof/>
          <w:lang w:val="fr-FR"/>
        </w:rPr>
        <w:tab/>
      </w:r>
      <w:r>
        <w:rPr>
          <w:noProof/>
          <w:lang w:val="fr-FR"/>
        </w:rPr>
        <w:t xml:space="preserve">Disponible à l’adresse </w:t>
      </w:r>
      <w:hyperlink r:id="rId6" w:history="1">
        <w:r w:rsidRPr="000F6621">
          <w:rPr>
            <w:noProof/>
            <w:szCs w:val="18"/>
            <w:lang w:val="fr-FR"/>
          </w:rPr>
          <w:t>https://parlamento.gub.uy/cpp</w:t>
        </w:r>
      </w:hyperlink>
      <w:r w:rsidRPr="000F6621">
        <w:rPr>
          <w:noProof/>
          <w:szCs w:val="18"/>
          <w:lang w:val="fr-FR"/>
        </w:rPr>
        <w:t>.</w:t>
      </w:r>
    </w:p>
  </w:footnote>
  <w:footnote w:id="27">
    <w:p w:rsidR="006F7A2B" w:rsidRPr="000F6621" w:rsidRDefault="006F7A2B" w:rsidP="00366663">
      <w:pPr>
        <w:pStyle w:val="Notedebasdepage"/>
        <w:rPr>
          <w:noProof/>
          <w:lang w:val="fr-FR"/>
        </w:rPr>
      </w:pPr>
      <w:r w:rsidRPr="000F6621">
        <w:rPr>
          <w:noProof/>
          <w:lang w:val="fr-FR"/>
        </w:rPr>
        <w:tab/>
      </w:r>
      <w:r w:rsidRPr="00527502">
        <w:rPr>
          <w:rStyle w:val="Appelnotedebasdep"/>
        </w:rPr>
        <w:footnoteRef/>
      </w:r>
      <w:r w:rsidRPr="000F6621">
        <w:rPr>
          <w:noProof/>
          <w:lang w:val="fr-FR"/>
        </w:rPr>
        <w:t xml:space="preserve"> </w:t>
      </w:r>
      <w:r w:rsidRPr="000F6621">
        <w:rPr>
          <w:noProof/>
          <w:lang w:val="fr-FR"/>
        </w:rPr>
        <w:tab/>
        <w:t xml:space="preserve">Disponible </w:t>
      </w:r>
      <w:r>
        <w:rPr>
          <w:noProof/>
          <w:lang w:val="fr-FR"/>
        </w:rPr>
        <w:t>à l’adresse</w:t>
      </w:r>
      <w:r w:rsidRPr="000F6621">
        <w:rPr>
          <w:noProof/>
          <w:lang w:val="fr-FR"/>
        </w:rPr>
        <w:t xml:space="preserve"> https://parlamento.gub.uy/cpp.</w:t>
      </w:r>
    </w:p>
  </w:footnote>
  <w:footnote w:id="28">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t>https://parlamento.gub.uy/cpp.</w:t>
      </w:r>
    </w:p>
  </w:footnote>
  <w:footnote w:id="29">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t xml:space="preserve">Disponibles </w:t>
      </w:r>
      <w:r>
        <w:rPr>
          <w:noProof/>
          <w:lang w:val="fr-FR"/>
        </w:rPr>
        <w:t xml:space="preserve">à l’adresse </w:t>
      </w:r>
      <w:r w:rsidRPr="008D4A7D">
        <w:rPr>
          <w:noProof/>
          <w:lang w:val="fr-FR"/>
        </w:rPr>
        <w:t>https://parlamento.gub.uy/cpp.</w:t>
      </w:r>
    </w:p>
  </w:footnote>
  <w:footnote w:id="30">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r>
      <w:r>
        <w:rPr>
          <w:noProof/>
          <w:lang w:val="fr-FR"/>
        </w:rPr>
        <w:t xml:space="preserve">Le rapport du délégué parlementaire aux  affaires pénitentiaires pour </w:t>
      </w:r>
      <w:r w:rsidRPr="008D4A7D">
        <w:rPr>
          <w:noProof/>
          <w:lang w:val="fr-FR"/>
        </w:rPr>
        <w:t>2017</w:t>
      </w:r>
      <w:r>
        <w:rPr>
          <w:noProof/>
          <w:lang w:val="fr-FR"/>
        </w:rPr>
        <w:t xml:space="preserve"> est disponible à l’adresse </w:t>
      </w:r>
      <w:r w:rsidRPr="008D4A7D">
        <w:rPr>
          <w:noProof/>
          <w:lang w:val="fr-FR"/>
        </w:rPr>
        <w:t xml:space="preserve"> https://parlamento.gub.uy/cpp/documentos/informes.</w:t>
      </w:r>
    </w:p>
  </w:footnote>
  <w:footnote w:id="31">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r>
      <w:r>
        <w:rPr>
          <w:noProof/>
          <w:lang w:val="fr-FR"/>
        </w:rPr>
        <w:t xml:space="preserve">Le rapport du délégué parlementaire aux affaires pénitentiaires pour </w:t>
      </w:r>
      <w:r w:rsidRPr="008D4A7D">
        <w:rPr>
          <w:noProof/>
          <w:lang w:val="fr-FR"/>
        </w:rPr>
        <w:t xml:space="preserve">2017 </w:t>
      </w:r>
      <w:r>
        <w:rPr>
          <w:noProof/>
          <w:lang w:val="fr-FR"/>
        </w:rPr>
        <w:t xml:space="preserve">est disponible à l’adresse </w:t>
      </w:r>
      <w:r w:rsidRPr="008D4A7D">
        <w:rPr>
          <w:noProof/>
          <w:lang w:val="fr-FR"/>
        </w:rPr>
        <w:t>https://parlamento.gub.uy/cpp/documentos/informes.</w:t>
      </w:r>
    </w:p>
  </w:footnote>
  <w:footnote w:id="32">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t>Po</w:t>
      </w:r>
      <w:r>
        <w:rPr>
          <w:noProof/>
          <w:lang w:val="fr-FR"/>
        </w:rPr>
        <w:t>u</w:t>
      </w:r>
      <w:r w:rsidRPr="008D4A7D">
        <w:rPr>
          <w:noProof/>
          <w:lang w:val="fr-FR"/>
        </w:rPr>
        <w:t xml:space="preserve">r </w:t>
      </w:r>
      <w:r>
        <w:rPr>
          <w:noProof/>
          <w:lang w:val="fr-FR"/>
        </w:rPr>
        <w:t>d’autres renseignements :</w:t>
      </w:r>
      <w:r w:rsidRPr="008D4A7D">
        <w:rPr>
          <w:noProof/>
          <w:lang w:val="fr-FR"/>
        </w:rPr>
        <w:t xml:space="preserve"> https://goo.gl/8JMtbC.</w:t>
      </w:r>
    </w:p>
  </w:footnote>
  <w:footnote w:id="33">
    <w:p w:rsidR="006F7A2B" w:rsidRPr="008D4A7D" w:rsidRDefault="006F7A2B" w:rsidP="00366663">
      <w:pPr>
        <w:pStyle w:val="Notedebasdepage"/>
        <w:rPr>
          <w:noProof/>
          <w:lang w:val="fr-FR"/>
        </w:rPr>
      </w:pPr>
      <w:r w:rsidRPr="008D4A7D">
        <w:rPr>
          <w:noProof/>
          <w:lang w:val="fr-FR"/>
        </w:rPr>
        <w:tab/>
      </w:r>
      <w:r w:rsidRPr="00663397">
        <w:rPr>
          <w:rStyle w:val="Appelnotedebasdep"/>
        </w:rPr>
        <w:footnoteRef/>
      </w:r>
      <w:r w:rsidRPr="008D4A7D">
        <w:rPr>
          <w:noProof/>
          <w:lang w:val="fr-FR"/>
        </w:rPr>
        <w:t xml:space="preserve"> </w:t>
      </w:r>
      <w:r w:rsidRPr="008D4A7D">
        <w:rPr>
          <w:noProof/>
          <w:lang w:val="fr-FR"/>
        </w:rPr>
        <w:tab/>
        <w:t>Po</w:t>
      </w:r>
      <w:r>
        <w:rPr>
          <w:noProof/>
          <w:lang w:val="fr-FR"/>
        </w:rPr>
        <w:t>u</w:t>
      </w:r>
      <w:r w:rsidRPr="008D4A7D">
        <w:rPr>
          <w:noProof/>
          <w:lang w:val="fr-FR"/>
        </w:rPr>
        <w:t xml:space="preserve">r </w:t>
      </w:r>
      <w:r>
        <w:rPr>
          <w:noProof/>
          <w:lang w:val="fr-FR"/>
        </w:rPr>
        <w:t>d’autres renseignements :</w:t>
      </w:r>
      <w:r w:rsidRPr="008D4A7D">
        <w:rPr>
          <w:noProof/>
          <w:lang w:val="fr-FR"/>
        </w:rPr>
        <w:t xml:space="preserve"> http://www.fiscalia.gub.uy/innovaportal/file/5488/1/res.-075_2018-transformacion.pdf.</w:t>
      </w:r>
    </w:p>
  </w:footnote>
  <w:footnote w:id="34">
    <w:p w:rsidR="006F7A2B" w:rsidRPr="00B44E52"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r>
      <w:r w:rsidRPr="00B44E52">
        <w:rPr>
          <w:noProof/>
          <w:lang w:val="fr-FR"/>
        </w:rPr>
        <w:t>Po</w:t>
      </w:r>
      <w:r>
        <w:rPr>
          <w:noProof/>
          <w:lang w:val="fr-FR"/>
        </w:rPr>
        <w:t>u</w:t>
      </w:r>
      <w:r w:rsidRPr="00B44E52">
        <w:rPr>
          <w:noProof/>
          <w:lang w:val="fr-FR"/>
        </w:rPr>
        <w:t xml:space="preserve">r </w:t>
      </w:r>
      <w:r>
        <w:rPr>
          <w:noProof/>
          <w:lang w:val="fr-FR"/>
        </w:rPr>
        <w:t>d’autres renseignements :</w:t>
      </w:r>
      <w:r w:rsidRPr="00B44E52">
        <w:rPr>
          <w:noProof/>
          <w:lang w:val="fr-FR"/>
        </w:rPr>
        <w:t xml:space="preserve"> </w:t>
      </w:r>
      <w:hyperlink r:id="rId7" w:tgtFrame="_blank" w:history="1">
        <w:r w:rsidRPr="00B44E52">
          <w:rPr>
            <w:noProof/>
            <w:szCs w:val="18"/>
            <w:lang w:val="fr-FR"/>
          </w:rPr>
          <w:t>http://www.fiscalia.gub.uy/innovaportal/file/5990/1/perciballe.pdf</w:t>
        </w:r>
      </w:hyperlink>
      <w:r w:rsidRPr="00B44E52">
        <w:rPr>
          <w:noProof/>
          <w:szCs w:val="18"/>
          <w:lang w:val="fr-FR"/>
        </w:rPr>
        <w:t>.</w:t>
      </w:r>
    </w:p>
  </w:footnote>
  <w:footnote w:id="35">
    <w:p w:rsidR="006F7A2B" w:rsidRPr="00B44E52" w:rsidRDefault="006F7A2B" w:rsidP="00366663">
      <w:pPr>
        <w:pStyle w:val="Notedebasdepage"/>
        <w:rPr>
          <w:noProof/>
          <w:lang w:val="fr-FR"/>
        </w:rPr>
      </w:pPr>
      <w:r w:rsidRPr="00B44E52">
        <w:rPr>
          <w:noProof/>
          <w:lang w:val="fr-FR"/>
        </w:rPr>
        <w:tab/>
      </w:r>
      <w:r w:rsidRPr="00776EA3">
        <w:rPr>
          <w:rStyle w:val="Appelnotedebasdep"/>
        </w:rPr>
        <w:footnoteRef/>
      </w:r>
      <w:r w:rsidRPr="00B44E52">
        <w:rPr>
          <w:noProof/>
          <w:lang w:val="fr-FR"/>
        </w:rPr>
        <w:t xml:space="preserve"> </w:t>
      </w:r>
      <w:r w:rsidRPr="00B44E52">
        <w:rPr>
          <w:noProof/>
          <w:lang w:val="fr-FR"/>
        </w:rPr>
        <w:tab/>
        <w:t>Po</w:t>
      </w:r>
      <w:r>
        <w:rPr>
          <w:noProof/>
          <w:lang w:val="fr-FR"/>
        </w:rPr>
        <w:t>u</w:t>
      </w:r>
      <w:r w:rsidRPr="00B44E52">
        <w:rPr>
          <w:noProof/>
          <w:lang w:val="fr-FR"/>
        </w:rPr>
        <w:t xml:space="preserve">r </w:t>
      </w:r>
      <w:r>
        <w:rPr>
          <w:noProof/>
          <w:lang w:val="fr-FR"/>
        </w:rPr>
        <w:t>d’autres renseignements </w:t>
      </w:r>
      <w:r w:rsidRPr="00B44E52">
        <w:rPr>
          <w:noProof/>
          <w:lang w:val="fr-FR"/>
        </w:rPr>
        <w:t xml:space="preserve">: </w:t>
      </w:r>
      <w:r w:rsidRPr="00B44E52">
        <w:rPr>
          <w:noProof/>
          <w:shd w:val="clear" w:color="auto" w:fill="FFFFFF"/>
          <w:lang w:val="fr-FR"/>
        </w:rPr>
        <w:t>http://www.fiscalia.gub.uy/innovaportal/file/5794/1/pedido-de-procesamiento.pdf.</w:t>
      </w:r>
    </w:p>
  </w:footnote>
  <w:footnote w:id="36">
    <w:p w:rsidR="006F7A2B" w:rsidRPr="00B44E52" w:rsidRDefault="006F7A2B" w:rsidP="00366663">
      <w:pPr>
        <w:pStyle w:val="Notedebasdepage"/>
        <w:rPr>
          <w:noProof/>
          <w:lang w:val="fr-FR"/>
        </w:rPr>
      </w:pPr>
      <w:r w:rsidRPr="00B44E52">
        <w:rPr>
          <w:noProof/>
          <w:lang w:val="fr-FR"/>
        </w:rPr>
        <w:tab/>
      </w:r>
      <w:r w:rsidRPr="00776EA3">
        <w:rPr>
          <w:rStyle w:val="Appelnotedebasdep"/>
        </w:rPr>
        <w:footnoteRef/>
      </w:r>
      <w:r w:rsidRPr="00B44E52">
        <w:rPr>
          <w:noProof/>
          <w:lang w:val="fr-FR"/>
        </w:rPr>
        <w:t xml:space="preserve"> </w:t>
      </w:r>
      <w:r w:rsidRPr="00B44E52">
        <w:rPr>
          <w:noProof/>
          <w:lang w:val="fr-FR"/>
        </w:rPr>
        <w:tab/>
        <w:t>Po</w:t>
      </w:r>
      <w:r>
        <w:rPr>
          <w:noProof/>
          <w:lang w:val="fr-FR"/>
        </w:rPr>
        <w:t>u</w:t>
      </w:r>
      <w:r w:rsidRPr="00B44E52">
        <w:rPr>
          <w:noProof/>
          <w:lang w:val="fr-FR"/>
        </w:rPr>
        <w:t xml:space="preserve">r </w:t>
      </w:r>
      <w:r>
        <w:rPr>
          <w:noProof/>
          <w:lang w:val="fr-FR"/>
        </w:rPr>
        <w:t>d’autres renseignements :</w:t>
      </w:r>
      <w:r w:rsidRPr="00B44E52">
        <w:rPr>
          <w:noProof/>
          <w:lang w:val="fr-FR"/>
        </w:rPr>
        <w:t xml:space="preserve"> </w:t>
      </w:r>
      <w:r w:rsidRPr="00B44E52">
        <w:rPr>
          <w:noProof/>
          <w:shd w:val="clear" w:color="auto" w:fill="FFFFFF"/>
          <w:lang w:val="fr-FR"/>
        </w:rPr>
        <w:t>http://www.fiscalia.gub.uy/innovaportal/file/5977/1/causa2-perciballe.pdf.</w:t>
      </w:r>
    </w:p>
  </w:footnote>
  <w:footnote w:id="37">
    <w:p w:rsidR="006F7A2B" w:rsidRPr="008D4A7D" w:rsidRDefault="006F7A2B" w:rsidP="00366663">
      <w:pPr>
        <w:pStyle w:val="Notedebasdepage"/>
        <w:rPr>
          <w:noProof/>
          <w:lang w:val="fr-FR"/>
        </w:rPr>
      </w:pPr>
      <w:r w:rsidRPr="00B44E52">
        <w:rPr>
          <w:noProof/>
          <w:lang w:val="fr-FR"/>
        </w:rPr>
        <w:tab/>
      </w:r>
      <w:r w:rsidRPr="00776EA3">
        <w:rPr>
          <w:rStyle w:val="Appelnotedebasdep"/>
        </w:rPr>
        <w:footnoteRef/>
      </w:r>
      <w:r w:rsidRPr="00B44E52">
        <w:rPr>
          <w:noProof/>
          <w:lang w:val="fr-FR"/>
        </w:rPr>
        <w:t xml:space="preserve"> </w:t>
      </w:r>
      <w:r w:rsidRPr="00B44E52">
        <w:rPr>
          <w:noProof/>
          <w:lang w:val="fr-FR"/>
        </w:rPr>
        <w:tab/>
      </w:r>
      <w:r w:rsidRPr="00366663">
        <w:rPr>
          <w:noProof/>
          <w:szCs w:val="18"/>
          <w:lang w:val="fr-FR"/>
        </w:rPr>
        <w:t>http</w:t>
      </w:r>
      <w:r w:rsidRPr="00B44E52">
        <w:rPr>
          <w:noProof/>
          <w:lang w:val="fr-FR"/>
        </w:rPr>
        <w:t>://www.mdn.gub.uy/wp-content/uploads/ordenanza-102.pdf.</w:t>
      </w:r>
    </w:p>
  </w:footnote>
  <w:footnote w:id="38">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r>
      <w:r w:rsidRPr="00776EA3">
        <w:rPr>
          <w:noProof/>
          <w:spacing w:val="-2"/>
          <w:lang w:val="fr-FR"/>
        </w:rPr>
        <w:t xml:space="preserve">Pour </w:t>
      </w:r>
      <w:r w:rsidRPr="00776EA3">
        <w:rPr>
          <w:noProof/>
          <w:lang w:val="fr-FR"/>
        </w:rPr>
        <w:t>d</w:t>
      </w:r>
      <w:r>
        <w:rPr>
          <w:noProof/>
          <w:lang w:val="fr-FR"/>
        </w:rPr>
        <w:t>’</w:t>
      </w:r>
      <w:r w:rsidRPr="00776EA3">
        <w:rPr>
          <w:noProof/>
          <w:lang w:val="fr-FR"/>
        </w:rPr>
        <w:t>autres</w:t>
      </w:r>
      <w:r w:rsidRPr="00776EA3">
        <w:rPr>
          <w:noProof/>
          <w:spacing w:val="-2"/>
          <w:lang w:val="fr-FR"/>
        </w:rPr>
        <w:t xml:space="preserve"> renseignements : https:/</w:t>
      </w:r>
      <w:bookmarkStart w:id="0" w:name="_GoBack"/>
      <w:bookmarkEnd w:id="0"/>
      <w:r w:rsidRPr="00776EA3">
        <w:rPr>
          <w:noProof/>
          <w:spacing w:val="-2"/>
          <w:lang w:val="fr-FR"/>
        </w:rPr>
        <w:t>/legislativo.parlamento.gub.uy/</w:t>
      </w:r>
      <w:r w:rsidRPr="00776EA3">
        <w:rPr>
          <w:noProof/>
          <w:lang w:val="fr-FR"/>
        </w:rPr>
        <w:t>temporales/leytemp7591139</w:t>
      </w:r>
      <w:r w:rsidRPr="00776EA3">
        <w:rPr>
          <w:noProof/>
          <w:spacing w:val="-2"/>
          <w:lang w:val="fr-FR"/>
        </w:rPr>
        <w:t>.htm</w:t>
      </w:r>
      <w:r w:rsidRPr="008D4A7D">
        <w:rPr>
          <w:noProof/>
          <w:lang w:val="fr-FR"/>
        </w:rPr>
        <w:t>.</w:t>
      </w:r>
    </w:p>
  </w:footnote>
  <w:footnote w:id="39">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r>
      <w:r w:rsidRPr="00366663">
        <w:rPr>
          <w:noProof/>
          <w:szCs w:val="18"/>
          <w:lang w:val="fr-FR"/>
        </w:rPr>
        <w:t>Du</w:t>
      </w:r>
      <w:r>
        <w:rPr>
          <w:noProof/>
          <w:szCs w:val="18"/>
          <w:lang w:val="fr-FR"/>
        </w:rPr>
        <w:t xml:space="preserve"> </w:t>
      </w:r>
      <w:r w:rsidRPr="00366663">
        <w:rPr>
          <w:noProof/>
          <w:szCs w:val="18"/>
          <w:lang w:val="fr-FR"/>
        </w:rPr>
        <w:t>12</w:t>
      </w:r>
      <w:r>
        <w:rPr>
          <w:noProof/>
          <w:lang w:val="fr-FR"/>
        </w:rPr>
        <w:t> </w:t>
      </w:r>
      <w:r w:rsidRPr="008D4A7D">
        <w:rPr>
          <w:noProof/>
          <w:lang w:val="fr-FR"/>
        </w:rPr>
        <w:t>oct</w:t>
      </w:r>
      <w:r>
        <w:rPr>
          <w:noProof/>
          <w:lang w:val="fr-FR"/>
        </w:rPr>
        <w:t>o</w:t>
      </w:r>
      <w:r w:rsidRPr="008D4A7D">
        <w:rPr>
          <w:noProof/>
          <w:lang w:val="fr-FR"/>
        </w:rPr>
        <w:t>bre 2017. Po</w:t>
      </w:r>
      <w:r>
        <w:rPr>
          <w:noProof/>
          <w:lang w:val="fr-FR"/>
        </w:rPr>
        <w:t>u</w:t>
      </w:r>
      <w:r w:rsidRPr="008D4A7D">
        <w:rPr>
          <w:noProof/>
          <w:lang w:val="fr-FR"/>
        </w:rPr>
        <w:t xml:space="preserve">r </w:t>
      </w:r>
      <w:r>
        <w:rPr>
          <w:noProof/>
          <w:lang w:val="fr-FR"/>
        </w:rPr>
        <w:t>d’autres renseignements :</w:t>
      </w:r>
      <w:r w:rsidRPr="008D4A7D">
        <w:rPr>
          <w:noProof/>
          <w:lang w:val="fr-FR"/>
        </w:rPr>
        <w:t xml:space="preserve"> goo.gl/uqxfyp.</w:t>
      </w:r>
    </w:p>
  </w:footnote>
  <w:footnote w:id="40">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Pr>
          <w:noProof/>
          <w:lang w:val="fr-FR"/>
        </w:rPr>
        <w:t xml:space="preserve"> </w:t>
      </w:r>
      <w:r>
        <w:rPr>
          <w:noProof/>
          <w:lang w:val="fr-FR"/>
        </w:rPr>
        <w:tab/>
        <w:t>Du</w:t>
      </w:r>
      <w:r w:rsidRPr="008D4A7D">
        <w:rPr>
          <w:noProof/>
          <w:lang w:val="fr-FR"/>
        </w:rPr>
        <w:t xml:space="preserve"> 13</w:t>
      </w:r>
      <w:r>
        <w:rPr>
          <w:noProof/>
          <w:lang w:val="fr-FR"/>
        </w:rPr>
        <w:t> </w:t>
      </w:r>
      <w:r w:rsidRPr="008D4A7D">
        <w:rPr>
          <w:noProof/>
          <w:lang w:val="fr-FR"/>
        </w:rPr>
        <w:t>oct</w:t>
      </w:r>
      <w:r>
        <w:rPr>
          <w:noProof/>
          <w:lang w:val="fr-FR"/>
        </w:rPr>
        <w:t>o</w:t>
      </w:r>
      <w:r w:rsidRPr="008D4A7D">
        <w:rPr>
          <w:noProof/>
          <w:lang w:val="fr-FR"/>
        </w:rPr>
        <w:t>bre 2017. Po</w:t>
      </w:r>
      <w:r>
        <w:rPr>
          <w:noProof/>
          <w:lang w:val="fr-FR"/>
        </w:rPr>
        <w:t>u</w:t>
      </w:r>
      <w:r w:rsidRPr="008D4A7D">
        <w:rPr>
          <w:noProof/>
          <w:lang w:val="fr-FR"/>
        </w:rPr>
        <w:t xml:space="preserve">r </w:t>
      </w:r>
      <w:r>
        <w:rPr>
          <w:noProof/>
          <w:lang w:val="fr-FR"/>
        </w:rPr>
        <w:t>d’autres renseignements :</w:t>
      </w:r>
      <w:r w:rsidRPr="008D4A7D">
        <w:rPr>
          <w:noProof/>
          <w:lang w:val="fr-FR"/>
        </w:rPr>
        <w:t xml:space="preserve"> goo.gl/cnSoxG.</w:t>
      </w:r>
    </w:p>
  </w:footnote>
  <w:footnote w:id="41">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r>
      <w:r w:rsidRPr="00366663">
        <w:rPr>
          <w:noProof/>
          <w:szCs w:val="18"/>
          <w:lang w:val="fr-FR"/>
        </w:rPr>
        <w:t>Ministère</w:t>
      </w:r>
      <w:r>
        <w:rPr>
          <w:noProof/>
          <w:lang w:val="fr-FR"/>
        </w:rPr>
        <w:t xml:space="preserve"> de l’intérieur, Ministère du développement social</w:t>
      </w:r>
      <w:r w:rsidRPr="008D4A7D">
        <w:rPr>
          <w:noProof/>
          <w:lang w:val="fr-FR"/>
        </w:rPr>
        <w:t xml:space="preserve">, </w:t>
      </w:r>
      <w:r>
        <w:rPr>
          <w:noProof/>
          <w:lang w:val="fr-FR"/>
        </w:rPr>
        <w:t>appareil judiciaire</w:t>
      </w:r>
      <w:r w:rsidRPr="008D4A7D">
        <w:rPr>
          <w:noProof/>
          <w:lang w:val="fr-FR"/>
        </w:rPr>
        <w:t xml:space="preserve">, </w:t>
      </w:r>
      <w:r w:rsidRPr="00287D99">
        <w:rPr>
          <w:noProof/>
          <w:lang w:val="fr-FR"/>
        </w:rPr>
        <w:t>Institut uruguayen de</w:t>
      </w:r>
      <w:r w:rsidRPr="00287D99">
        <w:rPr>
          <w:rFonts w:eastAsia="Calibri"/>
          <w:noProof/>
          <w:lang w:val="fr-FR"/>
        </w:rPr>
        <w:t xml:space="preserve"> l</w:t>
      </w:r>
      <w:r>
        <w:rPr>
          <w:rFonts w:eastAsia="Calibri"/>
          <w:noProof/>
          <w:lang w:val="fr-FR"/>
        </w:rPr>
        <w:t>’</w:t>
      </w:r>
      <w:r w:rsidRPr="00287D99">
        <w:rPr>
          <w:rFonts w:eastAsia="Calibri"/>
          <w:noProof/>
          <w:lang w:val="fr-FR"/>
        </w:rPr>
        <w:t>enfant et de l</w:t>
      </w:r>
      <w:r>
        <w:rPr>
          <w:rFonts w:eastAsia="Calibri"/>
          <w:noProof/>
          <w:lang w:val="fr-FR"/>
        </w:rPr>
        <w:t>’</w:t>
      </w:r>
      <w:r w:rsidRPr="00287D99">
        <w:rPr>
          <w:rFonts w:eastAsia="Calibri"/>
          <w:noProof/>
          <w:lang w:val="fr-FR"/>
        </w:rPr>
        <w:t>adolescent</w:t>
      </w:r>
      <w:r w:rsidRPr="008D4A7D">
        <w:rPr>
          <w:noProof/>
          <w:lang w:val="fr-FR"/>
        </w:rPr>
        <w:t xml:space="preserve">, </w:t>
      </w:r>
      <w:r w:rsidRPr="00897E42">
        <w:rPr>
          <w:noProof/>
          <w:lang w:val="fr-FR"/>
        </w:rPr>
        <w:t>Institut national pour l</w:t>
      </w:r>
      <w:r>
        <w:rPr>
          <w:noProof/>
          <w:lang w:val="fr-FR"/>
        </w:rPr>
        <w:t>’</w:t>
      </w:r>
      <w:r w:rsidRPr="00897E42">
        <w:rPr>
          <w:noProof/>
          <w:lang w:val="fr-FR"/>
        </w:rPr>
        <w:t>insertion sociale des adolescents</w:t>
      </w:r>
      <w:r>
        <w:rPr>
          <w:noProof/>
          <w:lang w:val="fr-FR"/>
        </w:rPr>
        <w:t xml:space="preserve"> et </w:t>
      </w:r>
      <w:r w:rsidRPr="008D4A7D">
        <w:rPr>
          <w:noProof/>
          <w:lang w:val="fr-FR"/>
        </w:rPr>
        <w:t xml:space="preserve">Comité </w:t>
      </w:r>
      <w:r>
        <w:rPr>
          <w:noProof/>
          <w:lang w:val="fr-FR"/>
        </w:rPr>
        <w:t>uruguayen des droits de l’enfant</w:t>
      </w:r>
      <w:r w:rsidRPr="008D4A7D">
        <w:rPr>
          <w:noProof/>
          <w:lang w:val="fr-FR"/>
        </w:rPr>
        <w:t>.</w:t>
      </w:r>
    </w:p>
  </w:footnote>
  <w:footnote w:id="42">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r>
      <w:r w:rsidRPr="00366663">
        <w:rPr>
          <w:noProof/>
          <w:szCs w:val="18"/>
          <w:lang w:val="fr-FR"/>
        </w:rPr>
        <w:t>https</w:t>
      </w:r>
      <w:r w:rsidRPr="008D4A7D">
        <w:rPr>
          <w:noProof/>
          <w:lang w:val="fr-FR"/>
        </w:rPr>
        <w:t>://parlamento.gub.uy/documentosyleyes/ficha-asunto/132893.</w:t>
      </w:r>
    </w:p>
  </w:footnote>
  <w:footnote w:id="43">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 xml:space="preserve"> </w:t>
      </w:r>
      <w:r w:rsidRPr="008D4A7D">
        <w:rPr>
          <w:noProof/>
          <w:lang w:val="fr-FR"/>
        </w:rPr>
        <w:tab/>
        <w:t>P</w:t>
      </w:r>
      <w:r>
        <w:rPr>
          <w:noProof/>
          <w:lang w:val="fr-FR"/>
        </w:rPr>
        <w:t xml:space="preserve">our </w:t>
      </w:r>
      <w:r w:rsidRPr="008D4A7D">
        <w:rPr>
          <w:noProof/>
          <w:lang w:val="fr-FR"/>
        </w:rPr>
        <w:t>acc</w:t>
      </w:r>
      <w:r>
        <w:rPr>
          <w:noProof/>
          <w:lang w:val="fr-FR"/>
        </w:rPr>
        <w:t>é</w:t>
      </w:r>
      <w:r w:rsidRPr="008D4A7D">
        <w:rPr>
          <w:noProof/>
          <w:lang w:val="fr-FR"/>
        </w:rPr>
        <w:t xml:space="preserve">der </w:t>
      </w:r>
      <w:r>
        <w:rPr>
          <w:noProof/>
          <w:lang w:val="fr-FR"/>
        </w:rPr>
        <w:t>au logiciel :</w:t>
      </w:r>
      <w:r w:rsidRPr="008D4A7D">
        <w:rPr>
          <w:noProof/>
          <w:lang w:val="fr-FR"/>
        </w:rPr>
        <w:t xml:space="preserve"> simore.mrree.gub.uy.</w:t>
      </w:r>
    </w:p>
  </w:footnote>
  <w:footnote w:id="44">
    <w:p w:rsidR="006F7A2B" w:rsidRPr="008D4A7D" w:rsidRDefault="006F7A2B" w:rsidP="00366663">
      <w:pPr>
        <w:pStyle w:val="Notedebasdepage"/>
        <w:rPr>
          <w:noProof/>
          <w:lang w:val="fr-FR"/>
        </w:rPr>
      </w:pPr>
      <w:r w:rsidRPr="008D4A7D">
        <w:rPr>
          <w:noProof/>
          <w:lang w:val="fr-FR"/>
        </w:rPr>
        <w:tab/>
      </w:r>
      <w:r w:rsidRPr="00776EA3">
        <w:rPr>
          <w:rStyle w:val="Appelnotedebasdep"/>
        </w:rPr>
        <w:footnoteRef/>
      </w:r>
      <w:r w:rsidRPr="008D4A7D">
        <w:rPr>
          <w:noProof/>
          <w:lang w:val="fr-FR"/>
        </w:rPr>
        <w:tab/>
        <w:t>A</w:t>
      </w:r>
      <w:r>
        <w:rPr>
          <w:noProof/>
          <w:lang w:val="fr-FR"/>
        </w:rPr>
        <w:t xml:space="preserve">u </w:t>
      </w:r>
      <w:r w:rsidRPr="00C370F8">
        <w:rPr>
          <w:noProof/>
          <w:lang w:val="fr-FR"/>
        </w:rPr>
        <w:t>moment de l</w:t>
      </w:r>
      <w:r>
        <w:rPr>
          <w:noProof/>
          <w:lang w:val="fr-FR"/>
        </w:rPr>
        <w:t>’</w:t>
      </w:r>
      <w:r w:rsidRPr="00C370F8">
        <w:rPr>
          <w:noProof/>
          <w:lang w:val="fr-FR"/>
        </w:rPr>
        <w:t>achèvement du présent rapport</w:t>
      </w:r>
      <w:r w:rsidRPr="008D4A7D">
        <w:rPr>
          <w:noProof/>
          <w:lang w:val="fr-FR"/>
        </w:rPr>
        <w:t xml:space="preserve">, </w:t>
      </w:r>
      <w:r>
        <w:rPr>
          <w:noProof/>
          <w:lang w:val="fr-FR"/>
        </w:rPr>
        <w:t>le mécanisme était composé des 32 institutions de l’État ci-après :</w:t>
      </w:r>
      <w:r w:rsidRPr="008D4A7D">
        <w:rPr>
          <w:noProof/>
          <w:lang w:val="fr-FR"/>
        </w:rPr>
        <w:t xml:space="preserve"> </w:t>
      </w:r>
      <w:r w:rsidRPr="008D4A7D">
        <w:rPr>
          <w:i/>
          <w:iCs/>
          <w:noProof/>
          <w:lang w:val="fr-FR"/>
        </w:rPr>
        <w:t>P</w:t>
      </w:r>
      <w:r>
        <w:rPr>
          <w:i/>
          <w:iCs/>
          <w:noProof/>
          <w:lang w:val="fr-FR"/>
        </w:rPr>
        <w:t>ouvoir exécutif :</w:t>
      </w:r>
      <w:r w:rsidRPr="008D4A7D">
        <w:rPr>
          <w:noProof/>
          <w:lang w:val="fr-FR"/>
        </w:rPr>
        <w:t xml:space="preserve"> Minist</w:t>
      </w:r>
      <w:r>
        <w:rPr>
          <w:noProof/>
          <w:lang w:val="fr-FR"/>
        </w:rPr>
        <w:t>ère du développement social</w:t>
      </w:r>
      <w:r w:rsidRPr="008D4A7D">
        <w:rPr>
          <w:noProof/>
          <w:lang w:val="fr-FR"/>
        </w:rPr>
        <w:t>, Minist</w:t>
      </w:r>
      <w:r>
        <w:rPr>
          <w:noProof/>
          <w:lang w:val="fr-FR"/>
        </w:rPr>
        <w:t>ère de l’éducation et de la culture</w:t>
      </w:r>
      <w:r w:rsidRPr="008D4A7D">
        <w:rPr>
          <w:noProof/>
          <w:lang w:val="fr-FR"/>
        </w:rPr>
        <w:t>, Minist</w:t>
      </w:r>
      <w:r>
        <w:rPr>
          <w:noProof/>
          <w:lang w:val="fr-FR"/>
        </w:rPr>
        <w:t>ère de l’intérieur, Ministère de l’industrie, de l’énergie et de l’industrie minière</w:t>
      </w:r>
      <w:r w:rsidRPr="008D4A7D">
        <w:rPr>
          <w:noProof/>
          <w:lang w:val="fr-FR"/>
        </w:rPr>
        <w:t>, Minist</w:t>
      </w:r>
      <w:r>
        <w:rPr>
          <w:noProof/>
          <w:lang w:val="fr-FR"/>
        </w:rPr>
        <w:t>ère du logement, de l’aménagement du territoire et de l’environnement</w:t>
      </w:r>
      <w:r w:rsidRPr="008D4A7D">
        <w:rPr>
          <w:noProof/>
          <w:lang w:val="fr-FR"/>
        </w:rPr>
        <w:t>, Minist</w:t>
      </w:r>
      <w:r>
        <w:rPr>
          <w:noProof/>
          <w:lang w:val="fr-FR"/>
        </w:rPr>
        <w:t>ère des relations extérieures</w:t>
      </w:r>
      <w:r w:rsidRPr="008D4A7D">
        <w:rPr>
          <w:noProof/>
          <w:lang w:val="fr-FR"/>
        </w:rPr>
        <w:t>, Minist</w:t>
      </w:r>
      <w:r>
        <w:rPr>
          <w:noProof/>
          <w:lang w:val="fr-FR"/>
        </w:rPr>
        <w:t>ère de l’économie et des finances</w:t>
      </w:r>
      <w:r w:rsidRPr="008D4A7D">
        <w:rPr>
          <w:noProof/>
          <w:lang w:val="fr-FR"/>
        </w:rPr>
        <w:t>, Minist</w:t>
      </w:r>
      <w:r>
        <w:rPr>
          <w:noProof/>
          <w:lang w:val="fr-FR"/>
        </w:rPr>
        <w:t xml:space="preserve">ère </w:t>
      </w:r>
      <w:r w:rsidRPr="008D4A7D">
        <w:rPr>
          <w:noProof/>
          <w:lang w:val="fr-FR"/>
        </w:rPr>
        <w:t xml:space="preserve">de </w:t>
      </w:r>
      <w:r>
        <w:rPr>
          <w:noProof/>
          <w:lang w:val="fr-FR"/>
        </w:rPr>
        <w:t>l’élevage, de l’a</w:t>
      </w:r>
      <w:r w:rsidRPr="008D4A7D">
        <w:rPr>
          <w:noProof/>
          <w:lang w:val="fr-FR"/>
        </w:rPr>
        <w:t>gricultur</w:t>
      </w:r>
      <w:r>
        <w:rPr>
          <w:noProof/>
          <w:lang w:val="fr-FR"/>
        </w:rPr>
        <w:t>e et de la pêche</w:t>
      </w:r>
      <w:r w:rsidRPr="008D4A7D">
        <w:rPr>
          <w:noProof/>
          <w:lang w:val="fr-FR"/>
        </w:rPr>
        <w:t>, Minist</w:t>
      </w:r>
      <w:r>
        <w:rPr>
          <w:noProof/>
          <w:lang w:val="fr-FR"/>
        </w:rPr>
        <w:t>ère de la défense nationale</w:t>
      </w:r>
      <w:r w:rsidRPr="008D4A7D">
        <w:rPr>
          <w:noProof/>
          <w:lang w:val="fr-FR"/>
        </w:rPr>
        <w:t>, Minist</w:t>
      </w:r>
      <w:r>
        <w:rPr>
          <w:noProof/>
          <w:lang w:val="fr-FR"/>
        </w:rPr>
        <w:t>ère du tourisme, Ministère de la santé</w:t>
      </w:r>
      <w:r w:rsidRPr="008D4A7D">
        <w:rPr>
          <w:noProof/>
          <w:lang w:val="fr-FR"/>
        </w:rPr>
        <w:t>, Minist</w:t>
      </w:r>
      <w:r>
        <w:rPr>
          <w:noProof/>
          <w:lang w:val="fr-FR"/>
        </w:rPr>
        <w:t>ère du travail et de la sécurité sociale</w:t>
      </w:r>
      <w:r w:rsidRPr="008D4A7D">
        <w:rPr>
          <w:noProof/>
          <w:lang w:val="fr-FR"/>
        </w:rPr>
        <w:t>, Minist</w:t>
      </w:r>
      <w:r>
        <w:rPr>
          <w:noProof/>
          <w:lang w:val="fr-FR"/>
        </w:rPr>
        <w:t>ère des transports et des travaux publics</w:t>
      </w:r>
      <w:r w:rsidRPr="008D4A7D">
        <w:rPr>
          <w:noProof/>
          <w:lang w:val="fr-FR"/>
        </w:rPr>
        <w:t xml:space="preserve">, </w:t>
      </w:r>
      <w:r>
        <w:rPr>
          <w:noProof/>
          <w:lang w:val="fr-FR"/>
        </w:rPr>
        <w:t>Bureau de la planification et du budget, Institut</w:t>
      </w:r>
      <w:r w:rsidRPr="008D4A7D">
        <w:rPr>
          <w:noProof/>
          <w:lang w:val="fr-FR"/>
        </w:rPr>
        <w:t xml:space="preserve"> </w:t>
      </w:r>
      <w:r>
        <w:rPr>
          <w:noProof/>
          <w:lang w:val="fr-FR"/>
        </w:rPr>
        <w:t>nat</w:t>
      </w:r>
      <w:r w:rsidRPr="008D4A7D">
        <w:rPr>
          <w:noProof/>
          <w:lang w:val="fr-FR"/>
        </w:rPr>
        <w:t xml:space="preserve">ional de </w:t>
      </w:r>
      <w:r>
        <w:rPr>
          <w:noProof/>
          <w:lang w:val="fr-FR"/>
        </w:rPr>
        <w:t>statistique, secré</w:t>
      </w:r>
      <w:r w:rsidRPr="008D4A7D">
        <w:rPr>
          <w:noProof/>
          <w:lang w:val="fr-FR"/>
        </w:rPr>
        <w:t>tar</w:t>
      </w:r>
      <w:r>
        <w:rPr>
          <w:noProof/>
          <w:lang w:val="fr-FR"/>
        </w:rPr>
        <w:t>iat aux droits de l’homme de la présidence de la République</w:t>
      </w:r>
      <w:r w:rsidRPr="008D4A7D">
        <w:rPr>
          <w:noProof/>
          <w:lang w:val="fr-FR"/>
        </w:rPr>
        <w:t xml:space="preserve">, </w:t>
      </w:r>
      <w:r w:rsidRPr="00411326">
        <w:rPr>
          <w:i/>
        </w:rPr>
        <w:t>Agencia de Gobierno electrónico y Sociedad de la Información y del Conocimiento</w:t>
      </w:r>
      <w:r w:rsidRPr="00411326">
        <w:t xml:space="preserve"> </w:t>
      </w:r>
      <w:r>
        <w:rPr>
          <w:noProof/>
          <w:lang w:val="fr-FR"/>
        </w:rPr>
        <w:t>(AGESIC) ; Agence u</w:t>
      </w:r>
      <w:r w:rsidRPr="008D4A7D">
        <w:rPr>
          <w:noProof/>
          <w:lang w:val="fr-FR"/>
        </w:rPr>
        <w:t>ruguay</w:t>
      </w:r>
      <w:r>
        <w:rPr>
          <w:noProof/>
          <w:lang w:val="fr-FR"/>
        </w:rPr>
        <w:t>enne</w:t>
      </w:r>
      <w:r w:rsidRPr="008D4A7D">
        <w:rPr>
          <w:noProof/>
          <w:lang w:val="fr-FR"/>
        </w:rPr>
        <w:t xml:space="preserve"> de </w:t>
      </w:r>
      <w:r>
        <w:rPr>
          <w:noProof/>
          <w:lang w:val="fr-FR"/>
        </w:rPr>
        <w:t>c</w:t>
      </w:r>
      <w:r w:rsidRPr="008D4A7D">
        <w:rPr>
          <w:noProof/>
          <w:lang w:val="fr-FR"/>
        </w:rPr>
        <w:t>oop</w:t>
      </w:r>
      <w:r>
        <w:rPr>
          <w:noProof/>
          <w:lang w:val="fr-FR"/>
        </w:rPr>
        <w:t>é</w:t>
      </w:r>
      <w:r w:rsidRPr="008D4A7D">
        <w:rPr>
          <w:noProof/>
          <w:lang w:val="fr-FR"/>
        </w:rPr>
        <w:t>ra</w:t>
      </w:r>
      <w:r>
        <w:rPr>
          <w:noProof/>
          <w:lang w:val="fr-FR"/>
        </w:rPr>
        <w:t>tion</w:t>
      </w:r>
      <w:r w:rsidRPr="008D4A7D">
        <w:rPr>
          <w:noProof/>
          <w:lang w:val="fr-FR"/>
        </w:rPr>
        <w:t xml:space="preserve"> </w:t>
      </w:r>
      <w:r>
        <w:rPr>
          <w:noProof/>
          <w:lang w:val="fr-FR"/>
        </w:rPr>
        <w:t>i</w:t>
      </w:r>
      <w:r w:rsidRPr="008D4A7D">
        <w:rPr>
          <w:noProof/>
          <w:lang w:val="fr-FR"/>
        </w:rPr>
        <w:t>nterna</w:t>
      </w:r>
      <w:r>
        <w:rPr>
          <w:noProof/>
          <w:lang w:val="fr-FR"/>
        </w:rPr>
        <w:t>t</w:t>
      </w:r>
      <w:r w:rsidRPr="008D4A7D">
        <w:rPr>
          <w:noProof/>
          <w:lang w:val="fr-FR"/>
        </w:rPr>
        <w:t>ional</w:t>
      </w:r>
      <w:r>
        <w:rPr>
          <w:noProof/>
          <w:lang w:val="fr-FR"/>
        </w:rPr>
        <w:t>e </w:t>
      </w:r>
      <w:r w:rsidRPr="008D4A7D">
        <w:rPr>
          <w:noProof/>
          <w:lang w:val="fr-FR"/>
        </w:rPr>
        <w:t xml:space="preserve">; </w:t>
      </w:r>
      <w:r>
        <w:rPr>
          <w:noProof/>
          <w:lang w:val="fr-FR"/>
        </w:rPr>
        <w:t>Burerau national de la fonction publique</w:t>
      </w:r>
      <w:r w:rsidRPr="008D4A7D">
        <w:rPr>
          <w:noProof/>
          <w:lang w:val="fr-FR"/>
        </w:rPr>
        <w:t xml:space="preserve"> </w:t>
      </w:r>
      <w:r w:rsidRPr="008D4A7D">
        <w:rPr>
          <w:i/>
          <w:iCs/>
          <w:noProof/>
          <w:lang w:val="fr-FR"/>
        </w:rPr>
        <w:t>Servic</w:t>
      </w:r>
      <w:r>
        <w:rPr>
          <w:i/>
          <w:iCs/>
          <w:noProof/>
          <w:lang w:val="fr-FR"/>
        </w:rPr>
        <w:t>e</w:t>
      </w:r>
      <w:r w:rsidRPr="008D4A7D">
        <w:rPr>
          <w:i/>
          <w:iCs/>
          <w:noProof/>
          <w:lang w:val="fr-FR"/>
        </w:rPr>
        <w:t xml:space="preserve">s </w:t>
      </w:r>
      <w:r>
        <w:rPr>
          <w:i/>
          <w:iCs/>
          <w:noProof/>
          <w:lang w:val="fr-FR"/>
        </w:rPr>
        <w:t>dé</w:t>
      </w:r>
      <w:r w:rsidRPr="008D4A7D">
        <w:rPr>
          <w:i/>
          <w:iCs/>
          <w:noProof/>
          <w:lang w:val="fr-FR"/>
        </w:rPr>
        <w:t>centrali</w:t>
      </w:r>
      <w:r>
        <w:rPr>
          <w:i/>
          <w:iCs/>
          <w:noProof/>
          <w:lang w:val="fr-FR"/>
        </w:rPr>
        <w:t>sés :</w:t>
      </w:r>
      <w:r w:rsidRPr="008D4A7D">
        <w:rPr>
          <w:noProof/>
          <w:lang w:val="fr-FR"/>
        </w:rPr>
        <w:t xml:space="preserve"> </w:t>
      </w:r>
      <w:r w:rsidRPr="00897E42">
        <w:rPr>
          <w:noProof/>
          <w:lang w:val="fr-FR"/>
        </w:rPr>
        <w:t>Institut national pour l</w:t>
      </w:r>
      <w:r>
        <w:rPr>
          <w:noProof/>
          <w:lang w:val="fr-FR"/>
        </w:rPr>
        <w:t>’</w:t>
      </w:r>
      <w:r w:rsidRPr="00897E42">
        <w:rPr>
          <w:noProof/>
          <w:lang w:val="fr-FR"/>
        </w:rPr>
        <w:t>insertion sociale des adolescents</w:t>
      </w:r>
      <w:r w:rsidRPr="008D4A7D">
        <w:rPr>
          <w:noProof/>
          <w:lang w:val="fr-FR"/>
        </w:rPr>
        <w:t xml:space="preserve">, </w:t>
      </w:r>
      <w:r w:rsidRPr="005C4AFB">
        <w:rPr>
          <w:noProof/>
          <w:lang w:val="fr-FR"/>
        </w:rPr>
        <w:t>Administration des travaux sanitaires de l</w:t>
      </w:r>
      <w:r>
        <w:rPr>
          <w:noProof/>
          <w:lang w:val="fr-FR"/>
        </w:rPr>
        <w:t>’</w:t>
      </w:r>
      <w:r w:rsidRPr="005C4AFB">
        <w:rPr>
          <w:noProof/>
          <w:lang w:val="fr-FR"/>
        </w:rPr>
        <w:t>État</w:t>
      </w:r>
      <w:r w:rsidRPr="008D4A7D">
        <w:rPr>
          <w:noProof/>
          <w:lang w:val="fr-FR"/>
        </w:rPr>
        <w:t xml:space="preserve">, </w:t>
      </w:r>
      <w:r w:rsidRPr="00287D99">
        <w:rPr>
          <w:noProof/>
          <w:lang w:val="fr-FR"/>
        </w:rPr>
        <w:t>Institut uruguayen de</w:t>
      </w:r>
      <w:r w:rsidRPr="00287D99">
        <w:rPr>
          <w:rFonts w:eastAsia="Calibri"/>
          <w:noProof/>
          <w:lang w:val="fr-FR"/>
        </w:rPr>
        <w:t xml:space="preserve"> l</w:t>
      </w:r>
      <w:r>
        <w:rPr>
          <w:rFonts w:eastAsia="Calibri"/>
          <w:noProof/>
          <w:lang w:val="fr-FR"/>
        </w:rPr>
        <w:t>’</w:t>
      </w:r>
      <w:r w:rsidRPr="00287D99">
        <w:rPr>
          <w:rFonts w:eastAsia="Calibri"/>
          <w:noProof/>
          <w:lang w:val="fr-FR"/>
        </w:rPr>
        <w:t>enfant et de l</w:t>
      </w:r>
      <w:r>
        <w:rPr>
          <w:rFonts w:eastAsia="Calibri"/>
          <w:noProof/>
          <w:lang w:val="fr-FR"/>
        </w:rPr>
        <w:t>’</w:t>
      </w:r>
      <w:r w:rsidRPr="00287D99">
        <w:rPr>
          <w:rFonts w:eastAsia="Calibri"/>
          <w:noProof/>
          <w:lang w:val="fr-FR"/>
        </w:rPr>
        <w:t>adolescent</w:t>
      </w:r>
      <w:r w:rsidRPr="008D4A7D">
        <w:rPr>
          <w:noProof/>
          <w:lang w:val="fr-FR"/>
        </w:rPr>
        <w:t xml:space="preserve">, </w:t>
      </w:r>
      <w:r w:rsidRPr="00CA1065">
        <w:rPr>
          <w:noProof/>
          <w:lang w:val="fr-FR"/>
        </w:rPr>
        <w:t>Administration des services de santé de l</w:t>
      </w:r>
      <w:r>
        <w:rPr>
          <w:noProof/>
          <w:lang w:val="fr-FR"/>
        </w:rPr>
        <w:t>’</w:t>
      </w:r>
      <w:r w:rsidRPr="00CA1065">
        <w:rPr>
          <w:noProof/>
          <w:lang w:val="fr-FR"/>
        </w:rPr>
        <w:t>État</w:t>
      </w:r>
      <w:r w:rsidRPr="008D4A7D">
        <w:rPr>
          <w:noProof/>
          <w:lang w:val="fr-FR"/>
        </w:rPr>
        <w:t xml:space="preserve">, </w:t>
      </w:r>
      <w:r>
        <w:rPr>
          <w:noProof/>
          <w:lang w:val="fr-FR"/>
        </w:rPr>
        <w:t>Bureau du Procureur général de la Nation </w:t>
      </w:r>
      <w:r w:rsidRPr="008D4A7D">
        <w:rPr>
          <w:noProof/>
          <w:lang w:val="fr-FR"/>
        </w:rPr>
        <w:t>; Administra</w:t>
      </w:r>
      <w:r>
        <w:rPr>
          <w:noProof/>
          <w:lang w:val="fr-FR"/>
        </w:rPr>
        <w:t xml:space="preserve">tion nationale des postes </w:t>
      </w:r>
      <w:r w:rsidRPr="008D4A7D">
        <w:rPr>
          <w:i/>
          <w:iCs/>
          <w:noProof/>
          <w:lang w:val="fr-FR"/>
        </w:rPr>
        <w:t>Ent</w:t>
      </w:r>
      <w:r>
        <w:rPr>
          <w:i/>
          <w:iCs/>
          <w:noProof/>
          <w:lang w:val="fr-FR"/>
        </w:rPr>
        <w:t>ité</w:t>
      </w:r>
      <w:r w:rsidRPr="008D4A7D">
        <w:rPr>
          <w:i/>
          <w:iCs/>
          <w:noProof/>
          <w:lang w:val="fr-FR"/>
        </w:rPr>
        <w:t xml:space="preserve">s </w:t>
      </w:r>
      <w:r>
        <w:rPr>
          <w:i/>
          <w:iCs/>
          <w:noProof/>
          <w:lang w:val="fr-FR"/>
        </w:rPr>
        <w:t>a</w:t>
      </w:r>
      <w:r w:rsidRPr="008D4A7D">
        <w:rPr>
          <w:i/>
          <w:iCs/>
          <w:noProof/>
          <w:lang w:val="fr-FR"/>
        </w:rPr>
        <w:t>ut</w:t>
      </w:r>
      <w:r>
        <w:rPr>
          <w:i/>
          <w:iCs/>
          <w:noProof/>
          <w:lang w:val="fr-FR"/>
        </w:rPr>
        <w:t>o</w:t>
      </w:r>
      <w:r w:rsidRPr="008D4A7D">
        <w:rPr>
          <w:i/>
          <w:iCs/>
          <w:noProof/>
          <w:lang w:val="fr-FR"/>
        </w:rPr>
        <w:t>nom</w:t>
      </w:r>
      <w:r>
        <w:rPr>
          <w:i/>
          <w:iCs/>
          <w:noProof/>
          <w:lang w:val="fr-FR"/>
        </w:rPr>
        <w:t>e</w:t>
      </w:r>
      <w:r w:rsidRPr="008D4A7D">
        <w:rPr>
          <w:i/>
          <w:iCs/>
          <w:noProof/>
          <w:lang w:val="fr-FR"/>
        </w:rPr>
        <w:t>s</w:t>
      </w:r>
      <w:r>
        <w:rPr>
          <w:i/>
          <w:iCs/>
          <w:noProof/>
          <w:lang w:val="fr-FR"/>
        </w:rPr>
        <w:t> :</w:t>
      </w:r>
      <w:r w:rsidRPr="008D4A7D">
        <w:rPr>
          <w:noProof/>
          <w:lang w:val="fr-FR"/>
        </w:rPr>
        <w:t xml:space="preserve"> Ban</w:t>
      </w:r>
      <w:r>
        <w:rPr>
          <w:noProof/>
          <w:lang w:val="fr-FR"/>
        </w:rPr>
        <w:t>que de prévoyance sociale</w:t>
      </w:r>
      <w:r w:rsidRPr="008D4A7D">
        <w:rPr>
          <w:noProof/>
          <w:lang w:val="fr-FR"/>
        </w:rPr>
        <w:t xml:space="preserve">, </w:t>
      </w:r>
      <w:r w:rsidRPr="000C5EBE">
        <w:rPr>
          <w:noProof/>
          <w:lang w:val="fr-FR"/>
        </w:rPr>
        <w:t>Administration nationale de l</w:t>
      </w:r>
      <w:r>
        <w:rPr>
          <w:noProof/>
          <w:lang w:val="fr-FR"/>
        </w:rPr>
        <w:t>’</w:t>
      </w:r>
      <w:r w:rsidRPr="000C5EBE">
        <w:rPr>
          <w:noProof/>
          <w:lang w:val="fr-FR"/>
        </w:rPr>
        <w:t>enseignement public</w:t>
      </w:r>
      <w:r w:rsidRPr="008D4A7D">
        <w:rPr>
          <w:noProof/>
          <w:lang w:val="fr-FR"/>
        </w:rPr>
        <w:t xml:space="preserve">, </w:t>
      </w:r>
      <w:r w:rsidRPr="008D4A7D">
        <w:rPr>
          <w:i/>
          <w:iCs/>
          <w:noProof/>
          <w:lang w:val="fr-FR"/>
        </w:rPr>
        <w:t>Po</w:t>
      </w:r>
      <w:r>
        <w:rPr>
          <w:i/>
          <w:iCs/>
          <w:noProof/>
          <w:lang w:val="fr-FR"/>
        </w:rPr>
        <w:t>uvoir judiciaire</w:t>
      </w:r>
      <w:r w:rsidRPr="008D4A7D">
        <w:rPr>
          <w:noProof/>
          <w:lang w:val="fr-FR"/>
        </w:rPr>
        <w:t xml:space="preserve">, </w:t>
      </w:r>
      <w:r w:rsidRPr="008D4A7D">
        <w:rPr>
          <w:i/>
          <w:iCs/>
          <w:noProof/>
          <w:lang w:val="fr-FR"/>
        </w:rPr>
        <w:t>Po</w:t>
      </w:r>
      <w:r>
        <w:rPr>
          <w:i/>
          <w:iCs/>
          <w:noProof/>
          <w:lang w:val="fr-FR"/>
        </w:rPr>
        <w:t xml:space="preserve">uvoir législatif </w:t>
      </w:r>
      <w:r w:rsidRPr="008D4A7D">
        <w:rPr>
          <w:noProof/>
          <w:lang w:val="fr-FR"/>
        </w:rPr>
        <w:t>(</w:t>
      </w:r>
      <w:r>
        <w:rPr>
          <w:noProof/>
          <w:lang w:val="fr-FR"/>
        </w:rPr>
        <w:t>les deux Chambres</w:t>
      </w:r>
      <w:r w:rsidRPr="008D4A7D">
        <w:rPr>
          <w:noProof/>
          <w:lang w:val="fr-FR"/>
        </w:rPr>
        <w:t xml:space="preserve">), </w:t>
      </w:r>
      <w:r>
        <w:rPr>
          <w:noProof/>
          <w:lang w:val="fr-FR"/>
        </w:rPr>
        <w:t>délégué parlementaire aux affaires pénitentiaires </w:t>
      </w:r>
      <w:r w:rsidRPr="008D4A7D">
        <w:rPr>
          <w:noProof/>
          <w:lang w:val="fr-FR"/>
        </w:rPr>
        <w:t xml:space="preserve">; </w:t>
      </w:r>
      <w:r>
        <w:rPr>
          <w:i/>
          <w:iCs/>
          <w:noProof/>
          <w:lang w:val="fr-FR"/>
        </w:rPr>
        <w:t>Aut</w:t>
      </w:r>
      <w:r w:rsidRPr="008D4A7D">
        <w:rPr>
          <w:i/>
          <w:iCs/>
          <w:noProof/>
          <w:lang w:val="fr-FR"/>
        </w:rPr>
        <w:t>o</w:t>
      </w:r>
      <w:r>
        <w:rPr>
          <w:i/>
          <w:iCs/>
          <w:noProof/>
          <w:lang w:val="fr-FR"/>
        </w:rPr>
        <w:t>rités départementales :</w:t>
      </w:r>
      <w:r>
        <w:rPr>
          <w:noProof/>
          <w:lang w:val="fr-FR"/>
        </w:rPr>
        <w:t xml:space="preserve"> Intenda</w:t>
      </w:r>
      <w:r w:rsidRPr="008D4A7D">
        <w:rPr>
          <w:noProof/>
          <w:lang w:val="fr-FR"/>
        </w:rPr>
        <w:t>nc</w:t>
      </w:r>
      <w:r>
        <w:rPr>
          <w:noProof/>
          <w:lang w:val="fr-FR"/>
        </w:rPr>
        <w:t xml:space="preserve">e municipale </w:t>
      </w:r>
      <w:r w:rsidRPr="008D4A7D">
        <w:rPr>
          <w:noProof/>
          <w:lang w:val="fr-FR"/>
        </w:rPr>
        <w:t xml:space="preserve">de Montevideo </w:t>
      </w:r>
      <w:r w:rsidRPr="0088662D">
        <w:rPr>
          <w:i/>
          <w:iCs/>
          <w:noProof/>
          <w:szCs w:val="18"/>
          <w:lang w:val="fr-FR"/>
        </w:rPr>
        <w:t>Observateurs</w:t>
      </w:r>
      <w:r>
        <w:rPr>
          <w:i/>
          <w:iCs/>
          <w:noProof/>
          <w:szCs w:val="18"/>
          <w:lang w:val="fr-FR"/>
        </w:rPr>
        <w:t> :</w:t>
      </w:r>
      <w:r w:rsidRPr="008D4A7D">
        <w:rPr>
          <w:noProof/>
          <w:lang w:val="fr-FR"/>
        </w:rPr>
        <w:t xml:space="preserve"> </w:t>
      </w:r>
      <w:r>
        <w:rPr>
          <w:lang w:val="fr-FR" w:eastAsia="fr-FR"/>
        </w:rPr>
        <w:t>Institution nationale des droits de l’homme et service du Défenseur du peuple</w:t>
      </w:r>
      <w:r w:rsidRPr="008D4A7D">
        <w:rPr>
          <w:noProo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2B" w:rsidRPr="00596826" w:rsidRDefault="006F7A2B" w:rsidP="000429E2">
    <w:pPr>
      <w:pStyle w:val="En-tte"/>
    </w:pPr>
    <w:fldSimple w:instr=" TITLE  \* MERGEFORMAT ">
      <w:r>
        <w:t>CAT/C/URY/4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2B" w:rsidRPr="00596826" w:rsidRDefault="006F7A2B" w:rsidP="000429E2">
    <w:pPr>
      <w:pStyle w:val="En-tte"/>
      <w:jc w:val="right"/>
    </w:pPr>
    <w:fldSimple w:instr=" TITLE  \* MERGEFORMAT ">
      <w:r>
        <w:t>CAT/C/URY/4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00AE"/>
    <w:rsid w:val="00001AFD"/>
    <w:rsid w:val="00002344"/>
    <w:rsid w:val="00023842"/>
    <w:rsid w:val="00035AE4"/>
    <w:rsid w:val="00037DF1"/>
    <w:rsid w:val="000429E2"/>
    <w:rsid w:val="0006149A"/>
    <w:rsid w:val="000730D1"/>
    <w:rsid w:val="0007796D"/>
    <w:rsid w:val="000A6A4C"/>
    <w:rsid w:val="000E5ABC"/>
    <w:rsid w:val="000F0C44"/>
    <w:rsid w:val="00101756"/>
    <w:rsid w:val="00111F2F"/>
    <w:rsid w:val="0014365E"/>
    <w:rsid w:val="00176178"/>
    <w:rsid w:val="001D4429"/>
    <w:rsid w:val="001F525A"/>
    <w:rsid w:val="00260CF2"/>
    <w:rsid w:val="002F00AE"/>
    <w:rsid w:val="00306CB1"/>
    <w:rsid w:val="00332CC9"/>
    <w:rsid w:val="00366663"/>
    <w:rsid w:val="00403A38"/>
    <w:rsid w:val="00446FE5"/>
    <w:rsid w:val="004D6539"/>
    <w:rsid w:val="004F046A"/>
    <w:rsid w:val="00527502"/>
    <w:rsid w:val="00553A1F"/>
    <w:rsid w:val="00573BE5"/>
    <w:rsid w:val="00586ED3"/>
    <w:rsid w:val="00587A52"/>
    <w:rsid w:val="00596826"/>
    <w:rsid w:val="005970D5"/>
    <w:rsid w:val="005A51D3"/>
    <w:rsid w:val="005B4E23"/>
    <w:rsid w:val="005B6DE7"/>
    <w:rsid w:val="00607CA3"/>
    <w:rsid w:val="00621144"/>
    <w:rsid w:val="00663397"/>
    <w:rsid w:val="00691AD9"/>
    <w:rsid w:val="006F7A2B"/>
    <w:rsid w:val="0071601D"/>
    <w:rsid w:val="007432FB"/>
    <w:rsid w:val="007735FD"/>
    <w:rsid w:val="00776EA3"/>
    <w:rsid w:val="0080684C"/>
    <w:rsid w:val="00807D21"/>
    <w:rsid w:val="00840C6C"/>
    <w:rsid w:val="00871C75"/>
    <w:rsid w:val="008776DC"/>
    <w:rsid w:val="008910F1"/>
    <w:rsid w:val="008B3C54"/>
    <w:rsid w:val="008E57DC"/>
    <w:rsid w:val="00963F1B"/>
    <w:rsid w:val="009705C8"/>
    <w:rsid w:val="009C4D45"/>
    <w:rsid w:val="009F531E"/>
    <w:rsid w:val="00A02D01"/>
    <w:rsid w:val="00A05770"/>
    <w:rsid w:val="00A37C92"/>
    <w:rsid w:val="00A704A8"/>
    <w:rsid w:val="00AA0CD3"/>
    <w:rsid w:val="00AB1B55"/>
    <w:rsid w:val="00AE323C"/>
    <w:rsid w:val="00AF4C2A"/>
    <w:rsid w:val="00B03B19"/>
    <w:rsid w:val="00BA41F4"/>
    <w:rsid w:val="00BB749A"/>
    <w:rsid w:val="00C02897"/>
    <w:rsid w:val="00C43E89"/>
    <w:rsid w:val="00CA5CE1"/>
    <w:rsid w:val="00CC477D"/>
    <w:rsid w:val="00CD326D"/>
    <w:rsid w:val="00D21E12"/>
    <w:rsid w:val="00DB1831"/>
    <w:rsid w:val="00DD3BFD"/>
    <w:rsid w:val="00DD4B00"/>
    <w:rsid w:val="00DE73CA"/>
    <w:rsid w:val="00E2492B"/>
    <w:rsid w:val="00E52EFF"/>
    <w:rsid w:val="00E554A4"/>
    <w:rsid w:val="00EA0D23"/>
    <w:rsid w:val="00EA3F83"/>
    <w:rsid w:val="00EE6EA3"/>
    <w:rsid w:val="00EF5258"/>
    <w:rsid w:val="00F37724"/>
    <w:rsid w:val="00F660DF"/>
    <w:rsid w:val="00F95C08"/>
    <w:rsid w:val="00FD38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525DD"/>
  <w15:docId w15:val="{33D20C55-F60D-4570-BB60-60E64137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E8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43E89"/>
    <w:pPr>
      <w:keepNext/>
      <w:keepLines/>
      <w:spacing w:after="0" w:line="240" w:lineRule="auto"/>
      <w:ind w:right="0"/>
      <w:jc w:val="left"/>
      <w:outlineLvl w:val="0"/>
    </w:pPr>
  </w:style>
  <w:style w:type="paragraph" w:styleId="Titre2">
    <w:name w:val="heading 2"/>
    <w:basedOn w:val="Normal"/>
    <w:next w:val="Normal"/>
    <w:link w:val="Titre2Car"/>
    <w:semiHidden/>
    <w:qFormat/>
    <w:rsid w:val="00C43E89"/>
    <w:pPr>
      <w:outlineLvl w:val="1"/>
    </w:pPr>
  </w:style>
  <w:style w:type="paragraph" w:styleId="Titre3">
    <w:name w:val="heading 3"/>
    <w:basedOn w:val="Normal"/>
    <w:next w:val="Normal"/>
    <w:link w:val="Titre3Car"/>
    <w:semiHidden/>
    <w:qFormat/>
    <w:rsid w:val="00C43E89"/>
    <w:pPr>
      <w:outlineLvl w:val="2"/>
    </w:pPr>
  </w:style>
  <w:style w:type="paragraph" w:styleId="Titre4">
    <w:name w:val="heading 4"/>
    <w:basedOn w:val="Normal"/>
    <w:next w:val="Normal"/>
    <w:link w:val="Titre4Car"/>
    <w:semiHidden/>
    <w:qFormat/>
    <w:rsid w:val="00C43E89"/>
    <w:pPr>
      <w:outlineLvl w:val="3"/>
    </w:pPr>
  </w:style>
  <w:style w:type="paragraph" w:styleId="Titre5">
    <w:name w:val="heading 5"/>
    <w:basedOn w:val="Normal"/>
    <w:next w:val="Normal"/>
    <w:link w:val="Titre5Car"/>
    <w:semiHidden/>
    <w:qFormat/>
    <w:rsid w:val="00C43E89"/>
    <w:pPr>
      <w:outlineLvl w:val="4"/>
    </w:pPr>
  </w:style>
  <w:style w:type="paragraph" w:styleId="Titre6">
    <w:name w:val="heading 6"/>
    <w:basedOn w:val="Normal"/>
    <w:next w:val="Normal"/>
    <w:link w:val="Titre6Car"/>
    <w:semiHidden/>
    <w:qFormat/>
    <w:rsid w:val="00C43E89"/>
    <w:pPr>
      <w:outlineLvl w:val="5"/>
    </w:pPr>
  </w:style>
  <w:style w:type="paragraph" w:styleId="Titre7">
    <w:name w:val="heading 7"/>
    <w:basedOn w:val="Normal"/>
    <w:next w:val="Normal"/>
    <w:link w:val="Titre7Car"/>
    <w:semiHidden/>
    <w:qFormat/>
    <w:rsid w:val="00C43E89"/>
    <w:pPr>
      <w:outlineLvl w:val="6"/>
    </w:pPr>
  </w:style>
  <w:style w:type="paragraph" w:styleId="Titre8">
    <w:name w:val="heading 8"/>
    <w:basedOn w:val="Normal"/>
    <w:next w:val="Normal"/>
    <w:link w:val="Titre8Car"/>
    <w:semiHidden/>
    <w:qFormat/>
    <w:rsid w:val="00C43E89"/>
    <w:pPr>
      <w:outlineLvl w:val="7"/>
    </w:pPr>
  </w:style>
  <w:style w:type="paragraph" w:styleId="Titre9">
    <w:name w:val="heading 9"/>
    <w:basedOn w:val="Normal"/>
    <w:next w:val="Normal"/>
    <w:link w:val="Titre9Car"/>
    <w:semiHidden/>
    <w:qFormat/>
    <w:rsid w:val="00C43E8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38D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8D2"/>
    <w:rPr>
      <w:rFonts w:ascii="Segoe UI" w:eastAsiaTheme="minorHAnsi" w:hAnsi="Segoe UI" w:cs="Segoe UI"/>
      <w:sz w:val="18"/>
      <w:szCs w:val="18"/>
      <w:lang w:eastAsia="en-US"/>
    </w:rPr>
  </w:style>
  <w:style w:type="paragraph" w:customStyle="1" w:styleId="HMG">
    <w:name w:val="_ H __M_G"/>
    <w:basedOn w:val="Normal"/>
    <w:next w:val="Normal"/>
    <w:link w:val="HMGChar"/>
    <w:qFormat/>
    <w:rsid w:val="00C43E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43E8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43E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43E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43E8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43E8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43E89"/>
    <w:pPr>
      <w:spacing w:after="120"/>
      <w:ind w:left="1134" w:right="1134"/>
      <w:jc w:val="both"/>
    </w:pPr>
  </w:style>
  <w:style w:type="paragraph" w:customStyle="1" w:styleId="SLG">
    <w:name w:val="__S_L_G"/>
    <w:basedOn w:val="Normal"/>
    <w:next w:val="Normal"/>
    <w:rsid w:val="00C43E89"/>
    <w:pPr>
      <w:keepNext/>
      <w:keepLines/>
      <w:spacing w:before="240" w:after="240" w:line="580" w:lineRule="exact"/>
      <w:ind w:left="1134" w:right="1134"/>
    </w:pPr>
    <w:rPr>
      <w:b/>
      <w:sz w:val="56"/>
    </w:rPr>
  </w:style>
  <w:style w:type="paragraph" w:customStyle="1" w:styleId="SMG">
    <w:name w:val="__S_M_G"/>
    <w:basedOn w:val="Normal"/>
    <w:next w:val="Normal"/>
    <w:rsid w:val="00C43E89"/>
    <w:pPr>
      <w:keepNext/>
      <w:keepLines/>
      <w:spacing w:before="240" w:after="240" w:line="420" w:lineRule="exact"/>
      <w:ind w:left="1134" w:right="1134"/>
    </w:pPr>
    <w:rPr>
      <w:b/>
      <w:sz w:val="40"/>
    </w:rPr>
  </w:style>
  <w:style w:type="paragraph" w:customStyle="1" w:styleId="SSG">
    <w:name w:val="__S_S_G"/>
    <w:basedOn w:val="Normal"/>
    <w:next w:val="Normal"/>
    <w:rsid w:val="00C43E89"/>
    <w:pPr>
      <w:keepNext/>
      <w:keepLines/>
      <w:spacing w:before="240" w:after="240" w:line="300" w:lineRule="exact"/>
      <w:ind w:left="1134" w:right="1134"/>
    </w:pPr>
    <w:rPr>
      <w:b/>
      <w:sz w:val="28"/>
    </w:rPr>
  </w:style>
  <w:style w:type="paragraph" w:customStyle="1" w:styleId="XLargeG">
    <w:name w:val="__XLarge_G"/>
    <w:basedOn w:val="Normal"/>
    <w:next w:val="Normal"/>
    <w:rsid w:val="00C43E89"/>
    <w:pPr>
      <w:keepNext/>
      <w:keepLines/>
      <w:spacing w:before="240" w:after="240" w:line="420" w:lineRule="exact"/>
      <w:ind w:left="1134" w:right="1134"/>
    </w:pPr>
    <w:rPr>
      <w:b/>
      <w:sz w:val="40"/>
    </w:rPr>
  </w:style>
  <w:style w:type="paragraph" w:customStyle="1" w:styleId="Bullet1G">
    <w:name w:val="_Bullet 1_G"/>
    <w:basedOn w:val="Normal"/>
    <w:qFormat/>
    <w:rsid w:val="00C43E89"/>
    <w:pPr>
      <w:numPr>
        <w:numId w:val="2"/>
      </w:numPr>
      <w:spacing w:after="120"/>
      <w:ind w:right="1134"/>
      <w:jc w:val="both"/>
    </w:pPr>
  </w:style>
  <w:style w:type="paragraph" w:customStyle="1" w:styleId="Bullet2G">
    <w:name w:val="_Bullet 2_G"/>
    <w:basedOn w:val="Normal"/>
    <w:qFormat/>
    <w:rsid w:val="00C43E89"/>
    <w:pPr>
      <w:numPr>
        <w:numId w:val="3"/>
      </w:numPr>
      <w:spacing w:after="120"/>
      <w:ind w:right="1134"/>
      <w:jc w:val="both"/>
    </w:pPr>
  </w:style>
  <w:style w:type="paragraph" w:customStyle="1" w:styleId="ParNoG">
    <w:name w:val="_ParNo_G"/>
    <w:basedOn w:val="Normal"/>
    <w:qFormat/>
    <w:rsid w:val="00C43E89"/>
    <w:pPr>
      <w:numPr>
        <w:numId w:val="4"/>
      </w:numPr>
      <w:tabs>
        <w:tab w:val="clear" w:pos="1701"/>
      </w:tabs>
      <w:spacing w:after="120"/>
      <w:ind w:right="1134"/>
      <w:jc w:val="both"/>
    </w:pPr>
  </w:style>
  <w:style w:type="character" w:customStyle="1" w:styleId="Titre1Car">
    <w:name w:val="Titre 1 Car"/>
    <w:aliases w:val="Table_G Car"/>
    <w:basedOn w:val="Policepardfaut"/>
    <w:link w:val="Titre1"/>
    <w:rsid w:val="00C43E8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C43E8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C43E8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C43E8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C43E8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C43E8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C43E8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C43E8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C43E89"/>
    <w:rPr>
      <w:rFonts w:ascii="Times New Roman" w:eastAsiaTheme="minorHAnsi" w:hAnsi="Times New Roman" w:cs="Times New Roman"/>
      <w:sz w:val="20"/>
      <w:szCs w:val="20"/>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596826"/>
    <w:rPr>
      <w:rFonts w:ascii="Times New Roman" w:eastAsiaTheme="minorHAnsi" w:hAnsi="Times New Roman" w:cs="Times New Roman"/>
      <w:b/>
      <w:sz w:val="34"/>
      <w:szCs w:val="20"/>
      <w:lang w:eastAsia="en-US"/>
    </w:rPr>
  </w:style>
  <w:style w:type="numbering" w:styleId="111111">
    <w:name w:val="Outline List 2"/>
    <w:basedOn w:val="Aucuneliste"/>
    <w:semiHidden/>
    <w:rsid w:val="00596826"/>
    <w:pPr>
      <w:numPr>
        <w:numId w:val="1"/>
      </w:numPr>
    </w:pPr>
  </w:style>
  <w:style w:type="paragraph" w:styleId="En-tte">
    <w:name w:val="header"/>
    <w:aliases w:val="6_G"/>
    <w:basedOn w:val="Normal"/>
    <w:next w:val="Normal"/>
    <w:link w:val="En-tteCar"/>
    <w:qFormat/>
    <w:rsid w:val="00C43E8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43E89"/>
    <w:rPr>
      <w:rFonts w:ascii="Times New Roman" w:eastAsiaTheme="minorHAnsi" w:hAnsi="Times New Roman" w:cs="Times New Roman"/>
      <w:b/>
      <w:sz w:val="18"/>
      <w:szCs w:val="20"/>
      <w:lang w:eastAsia="en-US"/>
    </w:rPr>
  </w:style>
  <w:style w:type="character" w:styleId="Appelnotedebasdep">
    <w:name w:val="footnote reference"/>
    <w:aliases w:val="4_G"/>
    <w:basedOn w:val="Policepardfaut"/>
    <w:qFormat/>
    <w:rsid w:val="00C43E89"/>
    <w:rPr>
      <w:rFonts w:ascii="Times New Roman" w:hAnsi="Times New Roman"/>
      <w:sz w:val="18"/>
      <w:vertAlign w:val="superscript"/>
      <w:lang w:val="fr-CH"/>
    </w:rPr>
  </w:style>
  <w:style w:type="character" w:styleId="Appeldenotedefin">
    <w:name w:val="endnote reference"/>
    <w:aliases w:val="1_G"/>
    <w:basedOn w:val="Appelnotedebasdep"/>
    <w:qFormat/>
    <w:rsid w:val="00C43E89"/>
    <w:rPr>
      <w:rFonts w:ascii="Times New Roman" w:hAnsi="Times New Roman"/>
      <w:sz w:val="18"/>
      <w:vertAlign w:val="superscript"/>
      <w:lang w:val="fr-CH"/>
    </w:rPr>
  </w:style>
  <w:style w:type="table" w:styleId="Grilledutableau">
    <w:name w:val="Table Grid"/>
    <w:basedOn w:val="TableauNormal"/>
    <w:rsid w:val="00C43E8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43E89"/>
    <w:rPr>
      <w:color w:val="0000FF"/>
      <w:u w:val="none"/>
    </w:rPr>
  </w:style>
  <w:style w:type="character" w:styleId="Lienhypertextesuivivisit">
    <w:name w:val="FollowedHyperlink"/>
    <w:basedOn w:val="Policepardfaut"/>
    <w:unhideWhenUsed/>
    <w:rsid w:val="00C43E89"/>
    <w:rPr>
      <w:color w:val="0000FF"/>
      <w:u w:val="none"/>
    </w:rPr>
  </w:style>
  <w:style w:type="paragraph" w:styleId="Notedebasdepage">
    <w:name w:val="footnote text"/>
    <w:aliases w:val="5_G"/>
    <w:basedOn w:val="Normal"/>
    <w:link w:val="NotedebasdepageCar"/>
    <w:qFormat/>
    <w:rsid w:val="00C43E8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43E8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43E89"/>
  </w:style>
  <w:style w:type="character" w:customStyle="1" w:styleId="NotedefinCar">
    <w:name w:val="Note de fin Car"/>
    <w:aliases w:val="2_G Car"/>
    <w:basedOn w:val="Policepardfaut"/>
    <w:link w:val="Notedefin"/>
    <w:rsid w:val="00C43E8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43E89"/>
    <w:rPr>
      <w:rFonts w:ascii="Times New Roman" w:hAnsi="Times New Roman"/>
      <w:b/>
      <w:sz w:val="18"/>
      <w:lang w:val="fr-CH"/>
    </w:rPr>
  </w:style>
  <w:style w:type="paragraph" w:styleId="Pieddepage">
    <w:name w:val="footer"/>
    <w:aliases w:val="3_G"/>
    <w:basedOn w:val="Normal"/>
    <w:next w:val="Normal"/>
    <w:link w:val="PieddepageCar"/>
    <w:qFormat/>
    <w:rsid w:val="00C43E89"/>
    <w:pPr>
      <w:spacing w:line="240" w:lineRule="auto"/>
    </w:pPr>
    <w:rPr>
      <w:sz w:val="16"/>
    </w:rPr>
  </w:style>
  <w:style w:type="character" w:customStyle="1" w:styleId="PieddepageCar">
    <w:name w:val="Pied de page Car"/>
    <w:aliases w:val="3_G Car"/>
    <w:basedOn w:val="Policepardfaut"/>
    <w:link w:val="Pieddepage"/>
    <w:rsid w:val="00C43E89"/>
    <w:rPr>
      <w:rFonts w:ascii="Times New Roman" w:eastAsiaTheme="minorHAnsi" w:hAnsi="Times New Roman" w:cs="Times New Roman"/>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mpo.com.uy/bases/leyes/19483-2017/5" TargetMode="External"/><Relationship Id="rId7" Type="http://schemas.openxmlformats.org/officeDocument/2006/relationships/hyperlink" Target="https://owa.mrree.gub.uy/owa/red.simore@mrree.gub.uy/redir.aspx?C=2crGparbvbt0TAsluJqnnhO3Ww9dpexViwcXgHRm_6sczKA4wtDVCA..&amp;URL=http%3a%2f%2fwww.fiscalia.gub.uy%2finnovaportal%2ffile%2f5990%2f1%2fperciballe.pdf" TargetMode="External"/><Relationship Id="rId2" Type="http://schemas.openxmlformats.org/officeDocument/2006/relationships/hyperlink" Target="https://admin.parlamento.gub.uy/htmlstat/pl/otrosdocumentos/comisionadministrativa/Presupuesto" TargetMode="External"/><Relationship Id="rId1" Type="http://schemas.openxmlformats.org/officeDocument/2006/relationships/hyperlink" Target="http://www.impo.com.uy/bases/leyes-originales/19293-2014/49" TargetMode="External"/><Relationship Id="rId6" Type="http://schemas.openxmlformats.org/officeDocument/2006/relationships/hyperlink" Target="https://parlamento.gub.uy/cpp" TargetMode="External"/><Relationship Id="rId5" Type="http://schemas.openxmlformats.org/officeDocument/2006/relationships/hyperlink" Target="https://parlamento.gub.uy/cpp" TargetMode="External"/><Relationship Id="rId4" Type="http://schemas.openxmlformats.org/officeDocument/2006/relationships/hyperlink" Target="http://www.fiscalia.gub.uy/innovaportal/file/4405/1/instruccion-nro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36</Pages>
  <Words>18211</Words>
  <Characters>111275</Characters>
  <Application>Microsoft Office Word</Application>
  <DocSecurity>0</DocSecurity>
  <Lines>15896</Lines>
  <Paragraphs>4624</Paragraphs>
  <ScaleCrop>false</ScaleCrop>
  <HeadingPairs>
    <vt:vector size="2" baseType="variant">
      <vt:variant>
        <vt:lpstr>Titre</vt:lpstr>
      </vt:variant>
      <vt:variant>
        <vt:i4>1</vt:i4>
      </vt:variant>
    </vt:vector>
  </HeadingPairs>
  <TitlesOfParts>
    <vt:vector size="1" baseType="lpstr">
      <vt:lpstr>CAT/C/URY/4</vt:lpstr>
    </vt:vector>
  </TitlesOfParts>
  <Company>DCM</Company>
  <LinksUpToDate>false</LinksUpToDate>
  <CharactersWithSpaces>124862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CAT/C/URY/4</dc:title>
  <dc:subject/>
  <dc:creator>Fabienne CRELIER</dc:creator>
  <cp:keywords/>
  <cp:lastModifiedBy>Fabienne CRELIER</cp:lastModifiedBy>
  <cp:revision>2</cp:revision>
  <cp:lastPrinted>2019-09-11T11:01:00Z</cp:lastPrinted>
  <dcterms:created xsi:type="dcterms:W3CDTF">2019-09-12T18:51:00Z</dcterms:created>
  <dcterms:modified xsi:type="dcterms:W3CDTF">2019-09-12T18:51:00Z</dcterms:modified>
</cp:coreProperties>
</file>