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16513D" w:rsidP="007464A1">
            <w:pPr>
              <w:jc w:val="right"/>
            </w:pPr>
            <w:bookmarkStart w:id="0" w:name="OLE_LINK1"/>
            <w:bookmarkStart w:id="1" w:name="OLE_LINK2"/>
            <w:r w:rsidRPr="0016513D">
              <w:rPr>
                <w:sz w:val="40"/>
              </w:rPr>
              <w:t>CERD</w:t>
            </w:r>
            <w:r>
              <w:t>/C/</w:t>
            </w:r>
            <w:r w:rsidR="007464A1">
              <w:t>JAM</w:t>
            </w:r>
            <w:r>
              <w:t>/</w:t>
            </w:r>
            <w:r w:rsidR="00D353BD">
              <w:t>Q/</w:t>
            </w:r>
            <w:r w:rsidR="007464A1">
              <w:t>16-</w:t>
            </w:r>
            <w:r w:rsidR="00344D27">
              <w:t>20</w:t>
            </w:r>
            <w:bookmarkEnd w:id="0"/>
            <w:bookmarkEnd w:id="1"/>
          </w:p>
        </w:tc>
      </w:tr>
      <w:tr w:rsidR="00523650" w:rsidTr="003B4E47">
        <w:trPr>
          <w:cantSplit/>
          <w:trHeight w:hRule="exact" w:val="2835"/>
        </w:trPr>
        <w:tc>
          <w:tcPr>
            <w:tcW w:w="1276" w:type="dxa"/>
            <w:tcBorders>
              <w:top w:val="single" w:sz="4" w:space="0" w:color="auto"/>
              <w:bottom w:val="single" w:sz="12" w:space="0" w:color="auto"/>
            </w:tcBorders>
          </w:tcPr>
          <w:p w:rsidR="00523650" w:rsidRDefault="00763135"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523650" w:rsidRDefault="0016513D" w:rsidP="0016513D">
            <w:pPr>
              <w:spacing w:before="240" w:line="240" w:lineRule="exact"/>
            </w:pPr>
            <w:r>
              <w:t>Distr.: General</w:t>
            </w:r>
          </w:p>
          <w:p w:rsidR="0016513D" w:rsidRDefault="00DD73D5" w:rsidP="0016513D">
            <w:pPr>
              <w:spacing w:line="240" w:lineRule="exact"/>
            </w:pPr>
            <w:r>
              <w:t>12</w:t>
            </w:r>
            <w:r w:rsidR="00344D27">
              <w:t xml:space="preserve"> July</w:t>
            </w:r>
            <w:r w:rsidR="007464A1">
              <w:t xml:space="preserve"> </w:t>
            </w:r>
            <w:r w:rsidR="0016513D">
              <w:t>201</w:t>
            </w:r>
            <w:r w:rsidR="008C3E61">
              <w:t>3</w:t>
            </w:r>
          </w:p>
          <w:p w:rsidR="0016513D" w:rsidRDefault="0016513D" w:rsidP="0016513D">
            <w:pPr>
              <w:spacing w:line="240" w:lineRule="exact"/>
            </w:pPr>
          </w:p>
          <w:p w:rsidR="0016513D" w:rsidRDefault="0016513D" w:rsidP="0016513D">
            <w:pPr>
              <w:spacing w:line="240" w:lineRule="exact"/>
            </w:pPr>
            <w:r>
              <w:t>Original: English</w:t>
            </w:r>
          </w:p>
        </w:tc>
      </w:tr>
    </w:tbl>
    <w:p w:rsidR="00FE5B61" w:rsidRPr="002C70E7" w:rsidRDefault="00FE5B61" w:rsidP="00FE5B61">
      <w:pPr>
        <w:spacing w:before="120"/>
        <w:rPr>
          <w:b/>
          <w:sz w:val="24"/>
          <w:szCs w:val="24"/>
        </w:rPr>
      </w:pPr>
      <w:r w:rsidRPr="002C70E7">
        <w:rPr>
          <w:b/>
          <w:sz w:val="24"/>
          <w:szCs w:val="24"/>
        </w:rPr>
        <w:t>Committee on the Elimination of Racial Discrimination</w:t>
      </w:r>
    </w:p>
    <w:p w:rsidR="00FE5B61" w:rsidRPr="002C70E7" w:rsidRDefault="00FE5B61" w:rsidP="00FE5B61">
      <w:pPr>
        <w:rPr>
          <w:b/>
        </w:rPr>
      </w:pPr>
      <w:r>
        <w:rPr>
          <w:b/>
        </w:rPr>
        <w:t>Eighty-</w:t>
      </w:r>
      <w:r w:rsidR="008C3E61">
        <w:rPr>
          <w:b/>
        </w:rPr>
        <w:t>third</w:t>
      </w:r>
      <w:r>
        <w:rPr>
          <w:b/>
        </w:rPr>
        <w:t xml:space="preserve"> </w:t>
      </w:r>
      <w:r w:rsidRPr="002C70E7">
        <w:rPr>
          <w:b/>
        </w:rPr>
        <w:t>session</w:t>
      </w:r>
    </w:p>
    <w:p w:rsidR="00961987" w:rsidRDefault="00FE5B61" w:rsidP="00FE5B61">
      <w:r>
        <w:t>1</w:t>
      </w:r>
      <w:r w:rsidR="008C3E61">
        <w:t>2-30</w:t>
      </w:r>
      <w:r>
        <w:t xml:space="preserve"> </w:t>
      </w:r>
      <w:r w:rsidR="008C3E61">
        <w:t>August</w:t>
      </w:r>
      <w:r>
        <w:t xml:space="preserve"> 2013</w:t>
      </w:r>
    </w:p>
    <w:p w:rsidR="00DF6CF8" w:rsidRDefault="008C3E61" w:rsidP="00FE5B61">
      <w:r w:rsidRPr="008C3E61">
        <w:t>Item 4 of the provisional agenda</w:t>
      </w:r>
    </w:p>
    <w:p w:rsidR="00DF6CF8" w:rsidRPr="00DF6CF8" w:rsidRDefault="00DF6CF8" w:rsidP="00FE5B61">
      <w:pPr>
        <w:rPr>
          <w:b/>
        </w:rPr>
      </w:pPr>
      <w:r w:rsidRPr="00DF6CF8">
        <w:rPr>
          <w:b/>
        </w:rPr>
        <w:t xml:space="preserve">Consideration of reports, comments and information </w:t>
      </w:r>
      <w:r w:rsidRPr="00DF6CF8">
        <w:rPr>
          <w:b/>
        </w:rPr>
        <w:br/>
        <w:t>submitted by States parties</w:t>
      </w:r>
      <w:r>
        <w:rPr>
          <w:b/>
        </w:rPr>
        <w:t xml:space="preserve"> </w:t>
      </w:r>
      <w:r w:rsidRPr="00DF6CF8">
        <w:rPr>
          <w:b/>
        </w:rPr>
        <w:t>under article 9 of the Convention</w:t>
      </w:r>
    </w:p>
    <w:p w:rsidR="00FE5B61" w:rsidRDefault="00FE5B61" w:rsidP="00BA1D1C">
      <w:pPr>
        <w:pStyle w:val="HChG"/>
      </w:pPr>
      <w:r>
        <w:tab/>
      </w:r>
      <w:r>
        <w:tab/>
      </w:r>
      <w:r w:rsidR="008C3E61" w:rsidRPr="008C3E61">
        <w:t xml:space="preserve">List of themes in relation to the </w:t>
      </w:r>
      <w:r w:rsidR="007464A1" w:rsidRPr="007464A1">
        <w:t>sixteenth to twentieth</w:t>
      </w:r>
      <w:r w:rsidR="008C3E61" w:rsidRPr="008C3E61">
        <w:t xml:space="preserve"> periodic report</w:t>
      </w:r>
      <w:r w:rsidR="007464A1">
        <w:t>s</w:t>
      </w:r>
      <w:r w:rsidR="008C3E61" w:rsidRPr="008C3E61">
        <w:t xml:space="preserve"> of </w:t>
      </w:r>
      <w:smartTag w:uri="urn:schemas-microsoft-com:office:smarttags" w:element="place">
        <w:smartTag w:uri="urn:schemas-microsoft-com:office:smarttags" w:element="country-region">
          <w:r w:rsidR="007464A1" w:rsidRPr="007464A1">
            <w:t>Jamaica</w:t>
          </w:r>
        </w:smartTag>
      </w:smartTag>
      <w:r w:rsidR="007464A1" w:rsidRPr="007464A1">
        <w:t xml:space="preserve"> (CERD/C/JAM/16-20)</w:t>
      </w:r>
    </w:p>
    <w:p w:rsidR="00BA1D1C" w:rsidRDefault="00BA1D1C" w:rsidP="00BA1D1C">
      <w:pPr>
        <w:pStyle w:val="H1G"/>
      </w:pPr>
      <w:r>
        <w:tab/>
      </w:r>
      <w:r>
        <w:tab/>
      </w:r>
      <w:r w:rsidRPr="00BA1D1C">
        <w:t>Note by the Country Rapporteur</w:t>
      </w:r>
      <w:r w:rsidR="00023041">
        <w:rPr>
          <w:rStyle w:val="FootnoteReference"/>
        </w:rPr>
        <w:footnoteReference w:id="2"/>
      </w:r>
    </w:p>
    <w:p w:rsidR="00BA1D1C" w:rsidRDefault="00BA1D1C" w:rsidP="00BA1D1C"/>
    <w:p w:rsidR="00D506E3" w:rsidRDefault="00D506E3" w:rsidP="00BA1D1C"/>
    <w:p w:rsidR="00D506E3" w:rsidRDefault="00D506E3" w:rsidP="00BA1D1C"/>
    <w:p w:rsidR="00D506E3" w:rsidRPr="00BA1D1C" w:rsidRDefault="00D506E3" w:rsidP="00BA1D1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637"/>
      </w:tblGrid>
      <w:tr w:rsidR="00BA1D1C" w:rsidTr="00BA1D1C">
        <w:trPr>
          <w:jc w:val="center"/>
        </w:trPr>
        <w:tc>
          <w:tcPr>
            <w:tcW w:w="9637" w:type="dxa"/>
            <w:tcBorders>
              <w:bottom w:val="nil"/>
            </w:tcBorders>
            <w:shd w:val="clear" w:color="auto" w:fill="auto"/>
          </w:tcPr>
          <w:p w:rsidR="00BA1D1C" w:rsidRPr="002E6C46" w:rsidRDefault="00BA1D1C" w:rsidP="00BA1D1C">
            <w:pPr>
              <w:tabs>
                <w:tab w:val="left" w:pos="255"/>
              </w:tabs>
              <w:spacing w:before="240" w:after="120"/>
              <w:rPr>
                <w:sz w:val="24"/>
              </w:rPr>
            </w:pPr>
            <w:r>
              <w:tab/>
            </w:r>
            <w:r w:rsidRPr="002E6C46">
              <w:rPr>
                <w:i/>
                <w:sz w:val="24"/>
              </w:rPr>
              <w:t>Summary</w:t>
            </w:r>
          </w:p>
        </w:tc>
      </w:tr>
      <w:tr w:rsidR="00BA1D1C" w:rsidRPr="002E6C46" w:rsidTr="00BA1D1C">
        <w:trPr>
          <w:jc w:val="center"/>
        </w:trPr>
        <w:tc>
          <w:tcPr>
            <w:tcW w:w="9637" w:type="dxa"/>
            <w:tcBorders>
              <w:top w:val="nil"/>
              <w:bottom w:val="nil"/>
            </w:tcBorders>
            <w:shd w:val="clear" w:color="auto" w:fill="auto"/>
          </w:tcPr>
          <w:p w:rsidR="00BA1D1C" w:rsidRPr="00154743" w:rsidRDefault="00BA1D1C" w:rsidP="00BA1D1C">
            <w:pPr>
              <w:pStyle w:val="SingleTxtG"/>
            </w:pPr>
            <w:r w:rsidRPr="00154743">
              <w:t>The Committee on the Elimination of Racial Discrimination decided at its seventy-sixth session (A/65/18, para</w:t>
            </w:r>
            <w:r w:rsidR="00344D27">
              <w:t>graph</w:t>
            </w:r>
            <w:r w:rsidRPr="00154743">
              <w:t xml:space="preserve"> 85) that the Country Rapporteur would send to the State party concerned a short list of themes with a view to guiding and focusing the dialogue between the State party’s delegation and the Committee during the consideration of the State party’s report. This document contains a list of such themes. This is not an exhaustive list: other issues may also be raised in the course of the dialogue. No written replies are required.</w:t>
            </w:r>
          </w:p>
        </w:tc>
      </w:tr>
      <w:tr w:rsidR="00BA1D1C" w:rsidRPr="002E6C46" w:rsidTr="00BA1D1C">
        <w:trPr>
          <w:jc w:val="center"/>
        </w:trPr>
        <w:tc>
          <w:tcPr>
            <w:tcW w:w="9637" w:type="dxa"/>
            <w:tcBorders>
              <w:top w:val="nil"/>
            </w:tcBorders>
            <w:shd w:val="clear" w:color="auto" w:fill="auto"/>
          </w:tcPr>
          <w:p w:rsidR="00BA1D1C" w:rsidRPr="002E6C46" w:rsidRDefault="00BA1D1C" w:rsidP="00BA1D1C">
            <w:pPr>
              <w:rPr>
                <w:lang w:val="en-US"/>
              </w:rPr>
            </w:pPr>
          </w:p>
        </w:tc>
      </w:tr>
    </w:tbl>
    <w:p w:rsidR="00BA1D1C" w:rsidRDefault="00BA1D1C" w:rsidP="00BA1D1C"/>
    <w:p w:rsidR="00FE5B61" w:rsidRPr="005D57EC" w:rsidRDefault="00D506E3" w:rsidP="006240F1">
      <w:pPr>
        <w:pStyle w:val="H23G"/>
      </w:pPr>
      <w:r>
        <w:br w:type="page"/>
      </w:r>
      <w:r w:rsidR="00FE5B61" w:rsidRPr="00111F9A">
        <w:tab/>
      </w:r>
      <w:r w:rsidR="00FE5B61" w:rsidRPr="005D57EC">
        <w:t>1.</w:t>
      </w:r>
      <w:r w:rsidR="00FE5B61" w:rsidRPr="005D57EC">
        <w:tab/>
      </w:r>
      <w:r w:rsidR="00555663" w:rsidRPr="00555663">
        <w:t>The Convention in domestic law, institutional and policy framework for its implementation (art</w:t>
      </w:r>
      <w:r w:rsidR="00344D27">
        <w:t>icle</w:t>
      </w:r>
      <w:r w:rsidR="00555663" w:rsidRPr="00555663">
        <w:t>s 2, 4, 6 and 7)</w:t>
      </w:r>
    </w:p>
    <w:p w:rsidR="00555663" w:rsidRDefault="00555663" w:rsidP="00555663">
      <w:pPr>
        <w:pStyle w:val="SingleTxtG"/>
        <w:ind w:firstLine="567"/>
      </w:pPr>
      <w:r>
        <w:t>(a)</w:t>
      </w:r>
      <w:r>
        <w:tab/>
        <w:t>Definition of racial discriminat</w:t>
      </w:r>
      <w:r w:rsidR="00FC2BEF">
        <w:t>ion under domestic legislation;</w:t>
      </w:r>
    </w:p>
    <w:p w:rsidR="00555663" w:rsidRDefault="00555663" w:rsidP="00555663">
      <w:pPr>
        <w:pStyle w:val="SingleTxtG"/>
        <w:ind w:firstLine="567"/>
      </w:pPr>
      <w:r>
        <w:t>(b)</w:t>
      </w:r>
      <w:r>
        <w:tab/>
        <w:t>Legislation prohibiting dissemination of ideas based on racial superiority or hatred, incitement to racial discrimination, as well as acts of violence or incitement to such acts against any race or group of persons of another colour or ethnic origin;</w:t>
      </w:r>
    </w:p>
    <w:p w:rsidR="00555663" w:rsidRDefault="00555663" w:rsidP="00555663">
      <w:pPr>
        <w:pStyle w:val="SingleTxtG"/>
        <w:ind w:firstLine="567"/>
      </w:pPr>
      <w:r w:rsidRPr="00555663">
        <w:t>(c)</w:t>
      </w:r>
      <w:r w:rsidRPr="00555663">
        <w:tab/>
        <w:t>Information on court cases co</w:t>
      </w:r>
      <w:r w:rsidR="00FC2BEF">
        <w:t>ncerning racial discrimination;</w:t>
      </w:r>
    </w:p>
    <w:p w:rsidR="00555663" w:rsidRDefault="00555663" w:rsidP="00555663">
      <w:pPr>
        <w:pStyle w:val="SingleTxtG"/>
        <w:ind w:firstLine="567"/>
      </w:pPr>
      <w:r>
        <w:t>(d)</w:t>
      </w:r>
      <w:r>
        <w:tab/>
        <w:t>Information on measures envisaged to establish a mechanism for systematic data collection to assess the socio-economic status of different ethnic groups in the State party; and</w:t>
      </w:r>
    </w:p>
    <w:p w:rsidR="00555663" w:rsidRDefault="00555663" w:rsidP="00555663">
      <w:pPr>
        <w:pStyle w:val="SingleTxtG"/>
        <w:ind w:firstLine="567"/>
      </w:pPr>
      <w:r w:rsidRPr="00555663">
        <w:t>(e)</w:t>
      </w:r>
      <w:r w:rsidRPr="00555663">
        <w:tab/>
        <w:t xml:space="preserve">Update on the status of establishing a national human rights institution in accordance with </w:t>
      </w:r>
      <w:r w:rsidR="00344D27">
        <w:t xml:space="preserve">the </w:t>
      </w:r>
      <w:r w:rsidRPr="00555663">
        <w:t>Paris Principles.</w:t>
      </w:r>
    </w:p>
    <w:p w:rsidR="00FE5B61" w:rsidRDefault="00FE5B61" w:rsidP="00555663">
      <w:pPr>
        <w:pStyle w:val="H23G"/>
      </w:pPr>
      <w:r>
        <w:tab/>
        <w:t>2.</w:t>
      </w:r>
      <w:r>
        <w:tab/>
      </w:r>
      <w:r w:rsidRPr="006D0320">
        <w:t>Situation of ethnic and minority communities (</w:t>
      </w:r>
      <w:r w:rsidR="00344D27" w:rsidRPr="00555663">
        <w:t>art</w:t>
      </w:r>
      <w:r w:rsidR="00344D27">
        <w:t>icle</w:t>
      </w:r>
      <w:r w:rsidR="00344D27" w:rsidRPr="00555663">
        <w:t xml:space="preserve">s </w:t>
      </w:r>
      <w:r w:rsidRPr="006D0320">
        <w:t>2</w:t>
      </w:r>
      <w:r w:rsidR="006A3522">
        <w:t>–</w:t>
      </w:r>
      <w:r w:rsidRPr="006D0320">
        <w:t>7)</w:t>
      </w:r>
    </w:p>
    <w:p w:rsidR="00555663" w:rsidRDefault="00555663" w:rsidP="00555663">
      <w:pPr>
        <w:pStyle w:val="SingleTxtG"/>
        <w:ind w:firstLine="567"/>
      </w:pPr>
      <w:r>
        <w:t>(a)</w:t>
      </w:r>
      <w:r>
        <w:tab/>
        <w:t>Information concerning the enjoyment of the rights under article 5 of the Convention by ethnic minorities in the State party, including people of Indian, Chinese, Ger</w:t>
      </w:r>
      <w:r w:rsidR="00FC2BEF">
        <w:t>man and Middle Eastern descent;</w:t>
      </w:r>
    </w:p>
    <w:p w:rsidR="00555663" w:rsidRDefault="00555663" w:rsidP="00555663">
      <w:pPr>
        <w:pStyle w:val="SingleTxtG"/>
        <w:ind w:firstLine="567"/>
      </w:pPr>
      <w:r>
        <w:t>(b)</w:t>
      </w:r>
      <w:r>
        <w:tab/>
        <w:t>Obstacles faced by communities such as the Maroons and the Rastafari in exercising their rights under article 5 of the Convention; and</w:t>
      </w:r>
    </w:p>
    <w:p w:rsidR="00555663" w:rsidRPr="00555663" w:rsidRDefault="00555663" w:rsidP="00555663">
      <w:pPr>
        <w:pStyle w:val="SingleTxtG"/>
        <w:ind w:firstLine="567"/>
      </w:pPr>
      <w:r w:rsidRPr="00555663">
        <w:t>(c)</w:t>
      </w:r>
      <w:r w:rsidRPr="00555663">
        <w:tab/>
        <w:t>Representation of ethnic minorities in State public service and governance institutions.</w:t>
      </w:r>
    </w:p>
    <w:p w:rsidR="00555663" w:rsidRDefault="00555663" w:rsidP="00555663">
      <w:pPr>
        <w:pStyle w:val="H23G"/>
      </w:pPr>
      <w:r>
        <w:tab/>
        <w:t>3.</w:t>
      </w:r>
      <w:r>
        <w:tab/>
        <w:t>Access to justice, discrimination against non-citizens including migrants, refugees and asylum seekers (</w:t>
      </w:r>
      <w:r w:rsidR="00344D27" w:rsidRPr="00555663">
        <w:t>art</w:t>
      </w:r>
      <w:r w:rsidR="00344D27">
        <w:t>icle</w:t>
      </w:r>
      <w:r w:rsidR="00344D27" w:rsidRPr="00555663">
        <w:t xml:space="preserve">s </w:t>
      </w:r>
      <w:r>
        <w:t>5, 6 and 7)</w:t>
      </w:r>
    </w:p>
    <w:p w:rsidR="00555663" w:rsidRDefault="00555663" w:rsidP="00FC2BEF">
      <w:pPr>
        <w:pStyle w:val="SingleTxtG"/>
        <w:ind w:firstLine="567"/>
      </w:pPr>
      <w:r>
        <w:t>(a)</w:t>
      </w:r>
      <w:r>
        <w:tab/>
        <w:t>Information on the number and ethnic background of non-citizens in the State party, including migrants, asylum-seekers, refugees and trafficked persons, as well as on obstacles faced by them to enjoy their human rights on an equal footing; and</w:t>
      </w:r>
    </w:p>
    <w:p w:rsidR="00FE5B61" w:rsidRDefault="00FC2BEF" w:rsidP="00555663">
      <w:pPr>
        <w:pStyle w:val="SingleTxtG"/>
        <w:ind w:firstLine="567"/>
      </w:pPr>
      <w:r>
        <w:t>(b)</w:t>
      </w:r>
      <w:r w:rsidR="00555663">
        <w:tab/>
        <w:t>Measures taken to increase accessibility to and public knowledge of procedures to address racial discrimination.</w:t>
      </w:r>
    </w:p>
    <w:p w:rsidR="00FE5B61" w:rsidRPr="00FE5B61" w:rsidRDefault="00FE5B61" w:rsidP="00FE5B61">
      <w:pPr>
        <w:pStyle w:val="SingleTxtG"/>
        <w:spacing w:before="240" w:after="0"/>
        <w:jc w:val="center"/>
        <w:rPr>
          <w:u w:val="single"/>
        </w:rPr>
      </w:pPr>
      <w:r>
        <w:rPr>
          <w:u w:val="single"/>
        </w:rPr>
        <w:tab/>
      </w:r>
      <w:r>
        <w:rPr>
          <w:u w:val="single"/>
        </w:rPr>
        <w:tab/>
      </w:r>
      <w:r>
        <w:rPr>
          <w:u w:val="single"/>
        </w:rPr>
        <w:tab/>
      </w:r>
    </w:p>
    <w:sectPr w:rsidR="00FE5B61" w:rsidRPr="00FE5B61" w:rsidSect="0016513D">
      <w:headerReference w:type="even" r:id="rId8"/>
      <w:headerReference w:type="default" r:id="rId9"/>
      <w:footerReference w:type="even" r:id="rId10"/>
      <w:footerReference w:type="default" r:id="rId11"/>
      <w:footerReference w:type="firs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D39" w:rsidRDefault="00352D39"/>
  </w:endnote>
  <w:endnote w:type="continuationSeparator" w:id="0">
    <w:p w:rsidR="00352D39" w:rsidRDefault="00352D39"/>
  </w:endnote>
  <w:endnote w:type="continuationNotice" w:id="1">
    <w:p w:rsidR="00352D39" w:rsidRDefault="00352D3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98" w:rsidRPr="0016513D" w:rsidRDefault="000B5E98" w:rsidP="0016513D">
    <w:pPr>
      <w:pStyle w:val="Footer"/>
      <w:tabs>
        <w:tab w:val="right" w:pos="9638"/>
      </w:tabs>
    </w:pPr>
    <w:r w:rsidRPr="0016513D">
      <w:rPr>
        <w:b/>
        <w:sz w:val="18"/>
      </w:rPr>
      <w:fldChar w:fldCharType="begin"/>
    </w:r>
    <w:r w:rsidRPr="0016513D">
      <w:rPr>
        <w:b/>
        <w:sz w:val="18"/>
      </w:rPr>
      <w:instrText xml:space="preserve"> PAGE  \* MERGEFORMAT </w:instrText>
    </w:r>
    <w:r w:rsidRPr="0016513D">
      <w:rPr>
        <w:b/>
        <w:sz w:val="18"/>
      </w:rPr>
      <w:fldChar w:fldCharType="separate"/>
    </w:r>
    <w:r>
      <w:rPr>
        <w:b/>
        <w:noProof/>
        <w:sz w:val="18"/>
      </w:rPr>
      <w:t>2</w:t>
    </w:r>
    <w:r w:rsidRPr="0016513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98" w:rsidRPr="0016513D" w:rsidRDefault="000B5E98" w:rsidP="0016513D">
    <w:pPr>
      <w:pStyle w:val="Footer"/>
      <w:tabs>
        <w:tab w:val="right" w:pos="9638"/>
      </w:tabs>
      <w:rPr>
        <w:b/>
        <w:sz w:val="18"/>
      </w:rPr>
    </w:pPr>
    <w:r>
      <w:tab/>
    </w:r>
    <w:r w:rsidRPr="0016513D">
      <w:rPr>
        <w:b/>
        <w:sz w:val="18"/>
      </w:rPr>
      <w:fldChar w:fldCharType="begin"/>
    </w:r>
    <w:r w:rsidRPr="0016513D">
      <w:rPr>
        <w:b/>
        <w:sz w:val="18"/>
      </w:rPr>
      <w:instrText xml:space="preserve"> PAGE  \* MERGEFORMAT </w:instrText>
    </w:r>
    <w:r w:rsidRPr="0016513D">
      <w:rPr>
        <w:b/>
        <w:sz w:val="18"/>
      </w:rPr>
      <w:fldChar w:fldCharType="separate"/>
    </w:r>
    <w:r>
      <w:rPr>
        <w:b/>
        <w:noProof/>
        <w:sz w:val="18"/>
      </w:rPr>
      <w:t>3</w:t>
    </w:r>
    <w:r w:rsidRPr="0016513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98" w:rsidRPr="0016513D" w:rsidRDefault="000B5E98">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GE.13-45398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D39" w:rsidRPr="000B175B" w:rsidRDefault="00352D39" w:rsidP="000B175B">
      <w:pPr>
        <w:tabs>
          <w:tab w:val="right" w:pos="2155"/>
        </w:tabs>
        <w:spacing w:after="80"/>
        <w:ind w:left="680"/>
        <w:rPr>
          <w:u w:val="single"/>
        </w:rPr>
      </w:pPr>
      <w:r>
        <w:rPr>
          <w:u w:val="single"/>
        </w:rPr>
        <w:tab/>
      </w:r>
    </w:p>
  </w:footnote>
  <w:footnote w:type="continuationSeparator" w:id="0">
    <w:p w:rsidR="00352D39" w:rsidRPr="00FC68B7" w:rsidRDefault="00352D39" w:rsidP="00FC68B7">
      <w:pPr>
        <w:tabs>
          <w:tab w:val="left" w:pos="2155"/>
        </w:tabs>
        <w:spacing w:after="80"/>
        <w:ind w:left="680"/>
        <w:rPr>
          <w:u w:val="single"/>
        </w:rPr>
      </w:pPr>
      <w:r>
        <w:rPr>
          <w:u w:val="single"/>
        </w:rPr>
        <w:tab/>
      </w:r>
    </w:p>
  </w:footnote>
  <w:footnote w:type="continuationNotice" w:id="1">
    <w:p w:rsidR="00352D39" w:rsidRDefault="00352D39"/>
  </w:footnote>
  <w:footnote w:id="2">
    <w:p w:rsidR="000B5E98" w:rsidRPr="00344D27" w:rsidRDefault="000B5E98" w:rsidP="00023041">
      <w:pPr>
        <w:pStyle w:val="FootnoteText"/>
        <w:rPr>
          <w:lang w:val="en-US"/>
        </w:rPr>
      </w:pPr>
      <w:r>
        <w:tab/>
      </w:r>
      <w:r>
        <w:tab/>
      </w:r>
      <w:r>
        <w:rPr>
          <w:rStyle w:val="FootnoteReference"/>
        </w:rPr>
        <w:footnoteRef/>
      </w:r>
      <w:r>
        <w:t xml:space="preserve"> </w:t>
      </w:r>
      <w:r>
        <w:rPr>
          <w:lang w:val="en-US"/>
        </w:rPr>
        <w:t>Late submission.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98" w:rsidRPr="0016513D" w:rsidRDefault="000B5E98">
    <w:pPr>
      <w:pStyle w:val="Header"/>
    </w:pPr>
    <w:r>
      <w:t>CERD/C/JAM/Q/16-20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98" w:rsidRPr="0016513D" w:rsidRDefault="000B5E98" w:rsidP="0016513D">
    <w:pPr>
      <w:pStyle w:val="Header"/>
      <w:jc w:val="right"/>
    </w:pPr>
    <w:r>
      <w:t>CERD/C/JAM/Q/16-20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ttachedTemplate r:id="rId1"/>
  <w:stylePaneFormatFilter w:val="3001"/>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numFmt w:val="chicago"/>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513D"/>
    <w:rsid w:val="00017FF4"/>
    <w:rsid w:val="00023041"/>
    <w:rsid w:val="00032FF2"/>
    <w:rsid w:val="00050F6B"/>
    <w:rsid w:val="000551DC"/>
    <w:rsid w:val="00072C8C"/>
    <w:rsid w:val="000733B5"/>
    <w:rsid w:val="000755E2"/>
    <w:rsid w:val="00077485"/>
    <w:rsid w:val="000931C0"/>
    <w:rsid w:val="000A5D3B"/>
    <w:rsid w:val="000B175B"/>
    <w:rsid w:val="000B3A0F"/>
    <w:rsid w:val="000B3B92"/>
    <w:rsid w:val="000B4EF7"/>
    <w:rsid w:val="000B5E98"/>
    <w:rsid w:val="000C1462"/>
    <w:rsid w:val="000C2D2E"/>
    <w:rsid w:val="000D4544"/>
    <w:rsid w:val="000E0415"/>
    <w:rsid w:val="001103AA"/>
    <w:rsid w:val="001464D2"/>
    <w:rsid w:val="00155467"/>
    <w:rsid w:val="0016513D"/>
    <w:rsid w:val="001703C1"/>
    <w:rsid w:val="00180D95"/>
    <w:rsid w:val="0018711F"/>
    <w:rsid w:val="00192B0D"/>
    <w:rsid w:val="001B03A9"/>
    <w:rsid w:val="001B4B04"/>
    <w:rsid w:val="001B76F9"/>
    <w:rsid w:val="001C6663"/>
    <w:rsid w:val="001C7895"/>
    <w:rsid w:val="001D26DF"/>
    <w:rsid w:val="001E135D"/>
    <w:rsid w:val="001E5AA0"/>
    <w:rsid w:val="00202DA8"/>
    <w:rsid w:val="00211E0B"/>
    <w:rsid w:val="002537C7"/>
    <w:rsid w:val="002A2889"/>
    <w:rsid w:val="002B0464"/>
    <w:rsid w:val="002B5B15"/>
    <w:rsid w:val="002C5A3C"/>
    <w:rsid w:val="002E267F"/>
    <w:rsid w:val="002F175C"/>
    <w:rsid w:val="003229D8"/>
    <w:rsid w:val="003305AB"/>
    <w:rsid w:val="00344D27"/>
    <w:rsid w:val="00352709"/>
    <w:rsid w:val="00352D39"/>
    <w:rsid w:val="00371178"/>
    <w:rsid w:val="00384AEA"/>
    <w:rsid w:val="003941FB"/>
    <w:rsid w:val="00397CFA"/>
    <w:rsid w:val="003A4810"/>
    <w:rsid w:val="003A6810"/>
    <w:rsid w:val="003B4E47"/>
    <w:rsid w:val="003C2CC4"/>
    <w:rsid w:val="003C6C48"/>
    <w:rsid w:val="003D4B23"/>
    <w:rsid w:val="003F0D41"/>
    <w:rsid w:val="00405DDC"/>
    <w:rsid w:val="00407AF2"/>
    <w:rsid w:val="00410C89"/>
    <w:rsid w:val="004325CB"/>
    <w:rsid w:val="0045495B"/>
    <w:rsid w:val="004C38E3"/>
    <w:rsid w:val="004C7406"/>
    <w:rsid w:val="004D25E4"/>
    <w:rsid w:val="004D39B6"/>
    <w:rsid w:val="00517B36"/>
    <w:rsid w:val="00523650"/>
    <w:rsid w:val="005420F2"/>
    <w:rsid w:val="00542372"/>
    <w:rsid w:val="00555663"/>
    <w:rsid w:val="005B3DB3"/>
    <w:rsid w:val="005C6A79"/>
    <w:rsid w:val="005C785F"/>
    <w:rsid w:val="006001EE"/>
    <w:rsid w:val="00607B4D"/>
    <w:rsid w:val="00611FC4"/>
    <w:rsid w:val="006176FB"/>
    <w:rsid w:val="006240F1"/>
    <w:rsid w:val="00640B26"/>
    <w:rsid w:val="00664321"/>
    <w:rsid w:val="00671C5E"/>
    <w:rsid w:val="00673A86"/>
    <w:rsid w:val="00695D40"/>
    <w:rsid w:val="006A3522"/>
    <w:rsid w:val="006E564B"/>
    <w:rsid w:val="00720590"/>
    <w:rsid w:val="0072632A"/>
    <w:rsid w:val="007457C1"/>
    <w:rsid w:val="007464A1"/>
    <w:rsid w:val="00753674"/>
    <w:rsid w:val="00763135"/>
    <w:rsid w:val="007B6BA5"/>
    <w:rsid w:val="007C3390"/>
    <w:rsid w:val="007C4F4B"/>
    <w:rsid w:val="007F6611"/>
    <w:rsid w:val="008242D7"/>
    <w:rsid w:val="00832D01"/>
    <w:rsid w:val="0087155F"/>
    <w:rsid w:val="008979B1"/>
    <w:rsid w:val="008A6B25"/>
    <w:rsid w:val="008A6C4F"/>
    <w:rsid w:val="008B2335"/>
    <w:rsid w:val="008C3E61"/>
    <w:rsid w:val="008C46F0"/>
    <w:rsid w:val="008D1084"/>
    <w:rsid w:val="008E43D6"/>
    <w:rsid w:val="009223CA"/>
    <w:rsid w:val="009369F6"/>
    <w:rsid w:val="00940F93"/>
    <w:rsid w:val="009603EF"/>
    <w:rsid w:val="00961987"/>
    <w:rsid w:val="009B4A1B"/>
    <w:rsid w:val="009C0EE8"/>
    <w:rsid w:val="009C14AA"/>
    <w:rsid w:val="009E58A0"/>
    <w:rsid w:val="00A01489"/>
    <w:rsid w:val="00A61CCD"/>
    <w:rsid w:val="00A71C48"/>
    <w:rsid w:val="00A72F22"/>
    <w:rsid w:val="00A748A6"/>
    <w:rsid w:val="00A776B4"/>
    <w:rsid w:val="00A94361"/>
    <w:rsid w:val="00AC1552"/>
    <w:rsid w:val="00AD07F1"/>
    <w:rsid w:val="00B06775"/>
    <w:rsid w:val="00B30179"/>
    <w:rsid w:val="00B43F4B"/>
    <w:rsid w:val="00B56E9C"/>
    <w:rsid w:val="00B64B1F"/>
    <w:rsid w:val="00B6553F"/>
    <w:rsid w:val="00B81E12"/>
    <w:rsid w:val="00B83688"/>
    <w:rsid w:val="00B92538"/>
    <w:rsid w:val="00BA1D1C"/>
    <w:rsid w:val="00BC74E9"/>
    <w:rsid w:val="00BE300F"/>
    <w:rsid w:val="00BF42E6"/>
    <w:rsid w:val="00BF68A8"/>
    <w:rsid w:val="00C3206E"/>
    <w:rsid w:val="00C463DD"/>
    <w:rsid w:val="00C4724C"/>
    <w:rsid w:val="00C475AB"/>
    <w:rsid w:val="00C53A77"/>
    <w:rsid w:val="00C629A0"/>
    <w:rsid w:val="00C745C3"/>
    <w:rsid w:val="00C75FB9"/>
    <w:rsid w:val="00CC00AC"/>
    <w:rsid w:val="00CC24D2"/>
    <w:rsid w:val="00CE4A8F"/>
    <w:rsid w:val="00D2031B"/>
    <w:rsid w:val="00D218CB"/>
    <w:rsid w:val="00D25FE2"/>
    <w:rsid w:val="00D332F1"/>
    <w:rsid w:val="00D33A94"/>
    <w:rsid w:val="00D353BD"/>
    <w:rsid w:val="00D36B2F"/>
    <w:rsid w:val="00D43252"/>
    <w:rsid w:val="00D506E3"/>
    <w:rsid w:val="00D51E7F"/>
    <w:rsid w:val="00D7767E"/>
    <w:rsid w:val="00D978C6"/>
    <w:rsid w:val="00DA3C1C"/>
    <w:rsid w:val="00DC0C86"/>
    <w:rsid w:val="00DC37D7"/>
    <w:rsid w:val="00DD73D5"/>
    <w:rsid w:val="00DF6CF8"/>
    <w:rsid w:val="00E109FB"/>
    <w:rsid w:val="00E543EE"/>
    <w:rsid w:val="00E63389"/>
    <w:rsid w:val="00E66143"/>
    <w:rsid w:val="00E71BC8"/>
    <w:rsid w:val="00E7260F"/>
    <w:rsid w:val="00E96630"/>
    <w:rsid w:val="00E96897"/>
    <w:rsid w:val="00EB2B97"/>
    <w:rsid w:val="00EC5D59"/>
    <w:rsid w:val="00ED32A3"/>
    <w:rsid w:val="00ED616A"/>
    <w:rsid w:val="00ED7A2A"/>
    <w:rsid w:val="00EF046E"/>
    <w:rsid w:val="00EF1D7F"/>
    <w:rsid w:val="00F0597E"/>
    <w:rsid w:val="00F10F73"/>
    <w:rsid w:val="00F34583"/>
    <w:rsid w:val="00F504DF"/>
    <w:rsid w:val="00FA271C"/>
    <w:rsid w:val="00FC2BEF"/>
    <w:rsid w:val="00FC68B7"/>
    <w:rsid w:val="00FD207F"/>
    <w:rsid w:val="00FE5B61"/>
    <w:rsid w:val="00FF068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92B0D"/>
    <w:pPr>
      <w:spacing w:line="240" w:lineRule="auto"/>
    </w:pPr>
    <w:rPr>
      <w:rFonts w:ascii="Tahoma" w:hAnsi="Tahoma"/>
      <w:sz w:val="16"/>
      <w:szCs w:val="16"/>
      <w:lang/>
    </w:rPr>
  </w:style>
  <w:style w:type="character" w:customStyle="1" w:styleId="BalloonTextChar">
    <w:name w:val="Balloon Text Char"/>
    <w:link w:val="BalloonText"/>
    <w:rsid w:val="00192B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1</TotalTime>
  <Pages>1</Pages>
  <Words>434</Words>
  <Characters>2479</Characters>
  <Application>Microsoft Office Outlook</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Valeriano De Castro</dc:creator>
  <cp:keywords/>
  <cp:lastModifiedBy>DCM</cp:lastModifiedBy>
  <cp:revision>2</cp:revision>
  <cp:lastPrinted>2013-07-12T07:08:00Z</cp:lastPrinted>
  <dcterms:created xsi:type="dcterms:W3CDTF">2013-07-12T15:04:00Z</dcterms:created>
  <dcterms:modified xsi:type="dcterms:W3CDTF">2013-07-12T15:04:00Z</dcterms:modified>
</cp:coreProperties>
</file>