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14:paraId="4494C803" w14:textId="77777777" w:rsidTr="008D2AAD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E2D9BE3" w14:textId="77777777" w:rsidR="002D5AAC" w:rsidRDefault="002D5AAC" w:rsidP="0072538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14:paraId="36C2620E" w14:textId="77777777" w:rsidR="002D5AAC" w:rsidRPr="00BD33EE" w:rsidRDefault="00DF71B9" w:rsidP="008D2AAD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14:paraId="5A388009" w14:textId="63E715C6" w:rsidR="002D5AAC" w:rsidRDefault="00725383" w:rsidP="00725383">
            <w:pPr>
              <w:jc w:val="right"/>
            </w:pPr>
            <w:r w:rsidRPr="00725383">
              <w:rPr>
                <w:sz w:val="40"/>
              </w:rPr>
              <w:t>CERD</w:t>
            </w:r>
            <w:r>
              <w:t>/C/LBN/CO/23-24</w:t>
            </w:r>
          </w:p>
        </w:tc>
      </w:tr>
      <w:tr w:rsidR="002D5AAC" w:rsidRPr="007D12ED" w14:paraId="3C958482" w14:textId="77777777" w:rsidTr="008D2AAD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ACA06C4" w14:textId="77777777" w:rsidR="002D5AAC" w:rsidRDefault="002E5067" w:rsidP="008D2AAD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108B113" wp14:editId="357DF84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372415A" w14:textId="77777777" w:rsidR="002D5AAC" w:rsidRPr="00033EE1" w:rsidRDefault="002B74B1" w:rsidP="008D2AAD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7511D7">
              <w:rPr>
                <w:b/>
                <w:spacing w:val="-4"/>
                <w:sz w:val="34"/>
                <w:szCs w:val="40"/>
              </w:rPr>
              <w:t>Международная конвенция</w:t>
            </w:r>
            <w:r w:rsidRPr="007511D7">
              <w:rPr>
                <w:b/>
                <w:spacing w:val="-4"/>
                <w:sz w:val="34"/>
                <w:szCs w:val="40"/>
              </w:rPr>
              <w:br/>
              <w:t>о ликвидации всех форм</w:t>
            </w:r>
            <w:r w:rsidRPr="007511D7">
              <w:rPr>
                <w:b/>
                <w:spacing w:val="-4"/>
                <w:sz w:val="34"/>
                <w:szCs w:val="40"/>
              </w:rPr>
              <w:br/>
              <w:t>расовой дискриминации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61BA56EC" w14:textId="77777777" w:rsidR="002D5AAC" w:rsidRPr="007D12ED" w:rsidRDefault="00725383" w:rsidP="008D2AAD">
            <w:pPr>
              <w:spacing w:before="240"/>
              <w:rPr>
                <w:lang w:val="en-US"/>
              </w:rPr>
            </w:pPr>
            <w:r w:rsidRPr="007D12ED">
              <w:rPr>
                <w:lang w:val="en-US"/>
              </w:rPr>
              <w:t>Distr.: General</w:t>
            </w:r>
          </w:p>
          <w:p w14:paraId="6AAB039A" w14:textId="77777777" w:rsidR="00725383" w:rsidRPr="007D12ED" w:rsidRDefault="00725383" w:rsidP="00725383">
            <w:pPr>
              <w:spacing w:line="240" w:lineRule="exact"/>
              <w:rPr>
                <w:lang w:val="en-US"/>
              </w:rPr>
            </w:pPr>
            <w:r w:rsidRPr="007D12ED">
              <w:rPr>
                <w:lang w:val="en-US"/>
              </w:rPr>
              <w:t>1 September 2021</w:t>
            </w:r>
          </w:p>
          <w:p w14:paraId="6C5D5B24" w14:textId="77777777" w:rsidR="00725383" w:rsidRPr="007D12ED" w:rsidRDefault="00725383" w:rsidP="00725383">
            <w:pPr>
              <w:spacing w:line="240" w:lineRule="exact"/>
              <w:rPr>
                <w:lang w:val="en-US"/>
              </w:rPr>
            </w:pPr>
            <w:r w:rsidRPr="007D12ED">
              <w:rPr>
                <w:lang w:val="en-US"/>
              </w:rPr>
              <w:t>Russian</w:t>
            </w:r>
          </w:p>
          <w:p w14:paraId="614203B8" w14:textId="12709DA2" w:rsidR="00725383" w:rsidRPr="007D12ED" w:rsidRDefault="00725383" w:rsidP="00725383">
            <w:pPr>
              <w:spacing w:line="240" w:lineRule="exact"/>
              <w:rPr>
                <w:lang w:val="en-US"/>
              </w:rPr>
            </w:pPr>
            <w:r w:rsidRPr="007D12ED">
              <w:rPr>
                <w:lang w:val="en-US"/>
              </w:rPr>
              <w:t>Original: French</w:t>
            </w:r>
          </w:p>
        </w:tc>
      </w:tr>
    </w:tbl>
    <w:p w14:paraId="37EED6AF" w14:textId="77777777" w:rsidR="00725383" w:rsidRPr="00D2373C" w:rsidRDefault="00725383" w:rsidP="00725383">
      <w:pPr>
        <w:spacing w:before="120"/>
        <w:rPr>
          <w:rFonts w:ascii="Times New Roman Bold" w:hAnsi="Times New Roman Bold" w:cs="Times New Roman Bold"/>
          <w:b/>
          <w:sz w:val="24"/>
          <w:szCs w:val="24"/>
        </w:rPr>
      </w:pPr>
      <w:r w:rsidRPr="00D2373C">
        <w:rPr>
          <w:b/>
          <w:bCs/>
          <w:sz w:val="24"/>
          <w:szCs w:val="24"/>
        </w:rPr>
        <w:t>Комитет по ликвидации расовой дискриминации</w:t>
      </w:r>
    </w:p>
    <w:p w14:paraId="60AED72E" w14:textId="77777777" w:rsidR="00725383" w:rsidRDefault="00725383" w:rsidP="00725383">
      <w:pPr>
        <w:pStyle w:val="HChG"/>
      </w:pPr>
      <w:r>
        <w:tab/>
      </w:r>
      <w:r>
        <w:tab/>
      </w:r>
      <w:r>
        <w:rPr>
          <w:bCs/>
        </w:rPr>
        <w:t>Заключительные замечания по объединенным двадцать третьему и двадцать четвертому периодическим докладам Ливана</w:t>
      </w:r>
      <w:r w:rsidRPr="00403099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14:paraId="2E81F739" w14:textId="4948A362" w:rsidR="00725383" w:rsidRPr="000E6BF2" w:rsidRDefault="00725383" w:rsidP="00725383">
      <w:pPr>
        <w:pStyle w:val="SingleTxtG"/>
      </w:pPr>
      <w:r>
        <w:t>1.</w:t>
      </w:r>
      <w:r>
        <w:tab/>
        <w:t>Комитет рассмотрел объединенные двадцать третий и двадцать четвертый периодические доклады Ливана</w:t>
      </w:r>
      <w:r w:rsidRPr="00C002CF">
        <w:rPr>
          <w:rStyle w:val="aa"/>
        </w:rPr>
        <w:footnoteReference w:id="2"/>
      </w:r>
      <w:r>
        <w:t xml:space="preserve"> на своих 2824-м и 2825-м заседаниях</w:t>
      </w:r>
      <w:r w:rsidRPr="00C002CF">
        <w:rPr>
          <w:rStyle w:val="aa"/>
        </w:rPr>
        <w:footnoteReference w:id="3"/>
      </w:r>
      <w:r>
        <w:t>, проведенных в виртуальном формате из-за пандемии коронавирусного заболевания (COVID-19) 10</w:t>
      </w:r>
      <w:r>
        <w:rPr>
          <w:lang w:val="en-US"/>
        </w:rPr>
        <w:t> </w:t>
      </w:r>
      <w:r>
        <w:t>и 11 августа 2021 года. На своем 2832-м заседании, состоявшемся 20 августа 2021</w:t>
      </w:r>
      <w:r w:rsidR="00403099">
        <w:t> </w:t>
      </w:r>
      <w:r>
        <w:t>года, он принял настоящие заключительные замечания.</w:t>
      </w:r>
    </w:p>
    <w:p w14:paraId="4AF614AE" w14:textId="77777777" w:rsidR="00725383" w:rsidRDefault="00725383" w:rsidP="00725383">
      <w:pPr>
        <w:pStyle w:val="H1G"/>
      </w:pPr>
      <w:r>
        <w:rPr>
          <w:bCs/>
        </w:rPr>
        <w:tab/>
        <w:t>A.</w:t>
      </w:r>
      <w:r>
        <w:tab/>
      </w:r>
      <w:r>
        <w:rPr>
          <w:bCs/>
        </w:rPr>
        <w:t>Введение</w:t>
      </w:r>
      <w:r>
        <w:t xml:space="preserve"> </w:t>
      </w:r>
    </w:p>
    <w:p w14:paraId="5D844248" w14:textId="77777777" w:rsidR="00725383" w:rsidRPr="00FC2D38" w:rsidRDefault="00725383" w:rsidP="00725383">
      <w:pPr>
        <w:pStyle w:val="SingleTxtG"/>
      </w:pPr>
      <w:r>
        <w:t>2.</w:t>
      </w:r>
      <w:r>
        <w:tab/>
        <w:t xml:space="preserve">Комитет приветствует объединенный двадцать третий и двадцать четвертый периодические доклады государства-участника. Комитет высоко оценивает согласие государства-участника провести диалог в виртуальном формате из-за пандемии COVID-19. Комитет высоко оценивает конструктивный диалог с делегацией государства-участника и выражает признательность за информацию, предоставленную делегацией в ходе рассмотрения доклада в ответ на вопросы, заданные членами Комитета, а также за дополнительную информацию, предоставленную после диалога. </w:t>
      </w:r>
    </w:p>
    <w:p w14:paraId="35EFB3A7" w14:textId="77777777" w:rsidR="00725383" w:rsidRDefault="00725383" w:rsidP="00725383">
      <w:pPr>
        <w:pStyle w:val="H1G"/>
      </w:pPr>
      <w:r>
        <w:rPr>
          <w:bCs/>
        </w:rPr>
        <w:tab/>
        <w:t>B.</w:t>
      </w:r>
      <w:r>
        <w:tab/>
      </w:r>
      <w:r>
        <w:rPr>
          <w:bCs/>
        </w:rPr>
        <w:t>Факторы и трудности, препятствующие осуществлению Конвенции</w:t>
      </w:r>
    </w:p>
    <w:p w14:paraId="47CBCBEF" w14:textId="77777777" w:rsidR="00725383" w:rsidRPr="003C0897" w:rsidRDefault="00725383" w:rsidP="00725383">
      <w:pPr>
        <w:pStyle w:val="SingleTxtG"/>
      </w:pPr>
      <w:r>
        <w:t>3.</w:t>
      </w:r>
      <w:r>
        <w:tab/>
        <w:t>Комитет отмечает проблемы в сфере политики, финансов и безопасности, с которыми столкнулось государство-участник в отчетный период, включая экономический кризис, последствия взрыва в порту Бейрута в 2020 году и массовый приток беженцев.</w:t>
      </w:r>
    </w:p>
    <w:p w14:paraId="705B677D" w14:textId="77777777" w:rsidR="00725383" w:rsidRDefault="00725383" w:rsidP="00725383">
      <w:pPr>
        <w:pStyle w:val="H1G"/>
      </w:pPr>
      <w:r>
        <w:rPr>
          <w:bCs/>
        </w:rPr>
        <w:tab/>
        <w:t>C.</w:t>
      </w:r>
      <w:r>
        <w:tab/>
      </w:r>
      <w:r>
        <w:rPr>
          <w:bCs/>
        </w:rPr>
        <w:t>Положительные аспекты</w:t>
      </w:r>
      <w:r>
        <w:t xml:space="preserve"> </w:t>
      </w:r>
    </w:p>
    <w:p w14:paraId="7D9E142D" w14:textId="73C5267C" w:rsidR="00725383" w:rsidRDefault="00725383" w:rsidP="00725383">
      <w:pPr>
        <w:pStyle w:val="SingleTxtG"/>
      </w:pPr>
      <w:r>
        <w:t>4.</w:t>
      </w:r>
      <w:r>
        <w:tab/>
        <w:t>Комитет высоко оценивает неизменную приверженность государства-участника приему беженцев, несмотря на ограниченность имеющихся в его распоряжении ресурсов и нехватку места для их размещения. В частности, он выражает признательность государству-участнику за прием и размещение значительного числа беженцев, включая более 200</w:t>
      </w:r>
      <w:r>
        <w:rPr>
          <w:lang w:val="en-US"/>
        </w:rPr>
        <w:t> </w:t>
      </w:r>
      <w:r>
        <w:t xml:space="preserve">000 палестинцев, около </w:t>
      </w:r>
      <w:r>
        <w:br/>
        <w:t>1,5 млн сирийцев и примерно 16</w:t>
      </w:r>
      <w:r w:rsidR="00403099">
        <w:t> </w:t>
      </w:r>
      <w:r>
        <w:t xml:space="preserve">500 беженцев других национальностей. Комитет считает, что это бремя несоразмерно имеющимся у государства возможностям и </w:t>
      </w:r>
      <w:r>
        <w:lastRenderedPageBreak/>
        <w:t>призывает международное сообщество взять на себя соответствующую долю ответственности за решение этой серьезнейшей гуманитарной проблемы.</w:t>
      </w:r>
    </w:p>
    <w:p w14:paraId="34790699" w14:textId="77777777" w:rsidR="00725383" w:rsidRPr="00DB77D9" w:rsidRDefault="00725383" w:rsidP="00725383">
      <w:pPr>
        <w:pStyle w:val="SingleTxtG"/>
        <w:keepNext/>
      </w:pPr>
      <w:r>
        <w:t>5.</w:t>
      </w:r>
      <w:r>
        <w:tab/>
        <w:t>Комитет с удовлетворением отмечает принятие государством-участником следующих законодательных, институциональных и политических мер:</w:t>
      </w:r>
    </w:p>
    <w:p w14:paraId="21FEE5FD" w14:textId="77777777" w:rsidR="00725383" w:rsidRPr="00DB77D9" w:rsidRDefault="00725383" w:rsidP="00725383">
      <w:pPr>
        <w:pStyle w:val="SingleTxtG"/>
        <w:ind w:firstLine="567"/>
      </w:pPr>
      <w:r>
        <w:t>a)</w:t>
      </w:r>
      <w:r>
        <w:tab/>
        <w:t>принятие 19 октября 2016 года Закона № 62 об учреждении Национальной комиссии по правам человека;</w:t>
      </w:r>
    </w:p>
    <w:p w14:paraId="4AC9DC8C" w14:textId="77777777" w:rsidR="00725383" w:rsidRPr="00DB77D9" w:rsidRDefault="00725383" w:rsidP="00725383">
      <w:pPr>
        <w:pStyle w:val="SingleTxtG"/>
        <w:ind w:firstLine="567"/>
      </w:pPr>
      <w:r>
        <w:t>b)</w:t>
      </w:r>
      <w:r>
        <w:tab/>
        <w:t>принятие 19 июня 2018 года Указа № 3268 об учреждении Национальной комиссии по подготовке докладов и выполнению рекомендаций международных правозащитных механизмов.</w:t>
      </w:r>
    </w:p>
    <w:p w14:paraId="3D1EC532" w14:textId="77777777" w:rsidR="00725383" w:rsidRDefault="00725383" w:rsidP="00725383">
      <w:pPr>
        <w:pStyle w:val="H1G"/>
      </w:pPr>
      <w:r>
        <w:rPr>
          <w:bCs/>
        </w:rPr>
        <w:tab/>
        <w:t>D.</w:t>
      </w:r>
      <w:r>
        <w:tab/>
      </w:r>
      <w:r>
        <w:rPr>
          <w:bCs/>
        </w:rPr>
        <w:t>Вопросы, вызывающие обеспокоенность, и рекомендации</w:t>
      </w:r>
      <w:r>
        <w:t xml:space="preserve"> </w:t>
      </w:r>
    </w:p>
    <w:p w14:paraId="607FDCF0" w14:textId="77777777" w:rsidR="00725383" w:rsidRDefault="00725383" w:rsidP="00725383">
      <w:pPr>
        <w:pStyle w:val="H23G"/>
      </w:pPr>
      <w:r>
        <w:tab/>
      </w:r>
      <w:r>
        <w:tab/>
      </w:r>
      <w:r>
        <w:rPr>
          <w:bCs/>
        </w:rPr>
        <w:t>Определение расовой дискриминации</w:t>
      </w:r>
    </w:p>
    <w:p w14:paraId="244BD1DC" w14:textId="77777777" w:rsidR="00725383" w:rsidRDefault="00725383" w:rsidP="00725383">
      <w:pPr>
        <w:pStyle w:val="SingleTxtG"/>
      </w:pPr>
      <w:r>
        <w:t>6.</w:t>
      </w:r>
      <w:r>
        <w:tab/>
        <w:t>Комитет отмечает факт упоминания в подпункте с) преамбулы к Конституции государства-участника принципа равенства, но по-прежнему обеспокоен тем, что в национальном законодательстве нет определения расовой дискриминации, полностью соответствующего статье 1 Конвенции, и что в нем эксплицитно не запрещаются как прямые, так и косвенные формы расовой дискриминации (статья 1).</w:t>
      </w:r>
    </w:p>
    <w:p w14:paraId="0BBEA344" w14:textId="77777777" w:rsidR="00725383" w:rsidRPr="00DE7330" w:rsidRDefault="00725383" w:rsidP="00725383">
      <w:pPr>
        <w:pStyle w:val="SingleTxtG"/>
        <w:rPr>
          <w:b/>
        </w:rPr>
      </w:pPr>
      <w:r>
        <w:t>7.</w:t>
      </w:r>
      <w:r>
        <w:tab/>
      </w:r>
      <w:r>
        <w:rPr>
          <w:b/>
          <w:bCs/>
        </w:rPr>
        <w:t>Комитет повторяет свою рекомендацию в адрес государства-участника включить в свое законодательство положение, в котором определяется и запрещается прямая и косвенная расовая дискриминация и которое соответствовало бы статье 1 Конвенции</w:t>
      </w:r>
      <w:r w:rsidRPr="00403099">
        <w:rPr>
          <w:b/>
          <w:bCs/>
        </w:rPr>
        <w:t>.</w:t>
      </w:r>
    </w:p>
    <w:p w14:paraId="2B8A1FFA" w14:textId="77777777" w:rsidR="00725383" w:rsidRDefault="00725383" w:rsidP="00725383">
      <w:pPr>
        <w:pStyle w:val="H23G"/>
      </w:pPr>
      <w:r>
        <w:tab/>
      </w:r>
      <w:r>
        <w:tab/>
      </w:r>
      <w:r>
        <w:rPr>
          <w:bCs/>
        </w:rPr>
        <w:t>Осуществление Конвенции</w:t>
      </w:r>
    </w:p>
    <w:p w14:paraId="6CF97D1A" w14:textId="781990F2" w:rsidR="00725383" w:rsidRDefault="00725383" w:rsidP="00725383">
      <w:pPr>
        <w:pStyle w:val="SingleTxtG"/>
      </w:pPr>
      <w:r>
        <w:t>8.</w:t>
      </w:r>
      <w:r>
        <w:tab/>
        <w:t xml:space="preserve">Отмечая, что положения Конвенции являются обязательными для государства-участника и что в случае коллизии с внутренним законодательством они имеют приоритет, Комитет выражает сожаление по поводу отсутствия сведений и примеров, касающихся решений национальных судов по делам о расовой дискриминации или ситуациям, в которых применялась Конвенция или на нее делались ссылки </w:t>
      </w:r>
      <w:r>
        <w:br/>
        <w:t>(статьи 1, 2 и 6).</w:t>
      </w:r>
    </w:p>
    <w:p w14:paraId="3A4152FE" w14:textId="77777777" w:rsidR="00725383" w:rsidRDefault="00725383" w:rsidP="00725383">
      <w:pPr>
        <w:pStyle w:val="SingleTxtG"/>
        <w:rPr>
          <w:b/>
        </w:rPr>
      </w:pPr>
      <w:r>
        <w:t>9.</w:t>
      </w:r>
      <w:r>
        <w:tab/>
      </w:r>
      <w:r>
        <w:rPr>
          <w:b/>
          <w:bCs/>
        </w:rPr>
        <w:t>Комитет рекомендует государству-участнику принимать надлежащие меры, в том числе путем организации учебной подготовки, для обеспечения того, чтобы судьи, прокуроры, адвокаты и сотрудники правоохранительных органов достаточно хорошо знали положения Конвенции и могли применять их в соответствующих случаях.</w:t>
      </w:r>
      <w:r>
        <w:t xml:space="preserve"> </w:t>
      </w:r>
      <w:r>
        <w:rPr>
          <w:b/>
          <w:bCs/>
        </w:rPr>
        <w:t xml:space="preserve">Он просит государство-участник привести в своем следующем периодическом докладе конкретные примеры применения Конвенции национальными судами или ссылок на нее в этих судах. </w:t>
      </w:r>
    </w:p>
    <w:p w14:paraId="7719C08C" w14:textId="77777777" w:rsidR="00725383" w:rsidRPr="005242C0" w:rsidRDefault="00725383" w:rsidP="00725383">
      <w:pPr>
        <w:pStyle w:val="H23G"/>
      </w:pPr>
      <w:r>
        <w:tab/>
      </w:r>
      <w:r>
        <w:tab/>
      </w:r>
      <w:r>
        <w:rPr>
          <w:bCs/>
        </w:rPr>
        <w:t>Национальное правозащитное учреждение</w:t>
      </w:r>
    </w:p>
    <w:p w14:paraId="31FCB8BD" w14:textId="77777777" w:rsidR="00725383" w:rsidRPr="00E470F2" w:rsidRDefault="00725383" w:rsidP="00725383">
      <w:pPr>
        <w:pStyle w:val="SingleTxtG"/>
      </w:pPr>
      <w:r>
        <w:t>10.</w:t>
      </w:r>
      <w:r>
        <w:tab/>
        <w:t>Комитет приветствует принятие Закона № 62 об учреждении Национальной комиссии по правам человека, но выражает при этом обеспокоенность тем, что это учреждение не располагает финансовыми и людскими ресурсами, достаточными для эффективного выполнения своего мандата. Он выражает сожаление по поводу того, что Комиссия еще не аккредитована при Глобальном альянсе национальных правозащитных учреждений (статья 2).</w:t>
      </w:r>
    </w:p>
    <w:p w14:paraId="47480A7E" w14:textId="77777777" w:rsidR="00725383" w:rsidRPr="00B21ED2" w:rsidRDefault="00725383" w:rsidP="00725383">
      <w:pPr>
        <w:pStyle w:val="SingleTxtG"/>
        <w:rPr>
          <w:b/>
        </w:rPr>
      </w:pPr>
      <w:r>
        <w:t>11.</w:t>
      </w:r>
      <w:r>
        <w:tab/>
      </w:r>
      <w:r>
        <w:rPr>
          <w:b/>
          <w:bCs/>
        </w:rPr>
        <w:t>Комитет рекомендует государству-участнику принять все необходимые меры для предоставления Национальной комиссии по правам человека финансовых и людских ресурсов, достаточных для эффективного и независимого выполнения ею своего мандата.</w:t>
      </w:r>
      <w:r>
        <w:t xml:space="preserve"> </w:t>
      </w:r>
      <w:r>
        <w:rPr>
          <w:b/>
          <w:bCs/>
        </w:rPr>
        <w:t>Он также рекомендует приложить все усилия для обеспечения того, чтобы эта Комиссия в полной мере соответствовала Принципам, касающимся статуса национальных учреждений, занимающихся поощрением и защитой прав человека (Парижские принципы)</w:t>
      </w:r>
      <w:r w:rsidRPr="00403099">
        <w:rPr>
          <w:b/>
          <w:bCs/>
        </w:rPr>
        <w:t>.</w:t>
      </w:r>
    </w:p>
    <w:p w14:paraId="31C769D4" w14:textId="77777777" w:rsidR="00725383" w:rsidRPr="00C31094" w:rsidRDefault="00725383" w:rsidP="00725383">
      <w:pPr>
        <w:pStyle w:val="H23G"/>
      </w:pPr>
      <w:r>
        <w:lastRenderedPageBreak/>
        <w:tab/>
      </w:r>
      <w:r>
        <w:tab/>
      </w:r>
      <w:r>
        <w:rPr>
          <w:bCs/>
        </w:rPr>
        <w:t>Национальный план по правам человека</w:t>
      </w:r>
    </w:p>
    <w:p w14:paraId="4A33ACA0" w14:textId="293B0344" w:rsidR="00725383" w:rsidRDefault="00725383" w:rsidP="00725383">
      <w:pPr>
        <w:pStyle w:val="SingleTxtG"/>
      </w:pPr>
      <w:r>
        <w:t>12.</w:t>
      </w:r>
      <w:r>
        <w:tab/>
        <w:t>Комитет обеспокоен задержкой с оценкой выполнения национального плана по правам человека на период 2014</w:t>
      </w:r>
      <w:r w:rsidR="00403099">
        <w:t>–</w:t>
      </w:r>
      <w:r>
        <w:t>2019 годов и принятием нового национального плана (статья 2).</w:t>
      </w:r>
    </w:p>
    <w:p w14:paraId="3B726252" w14:textId="147390C1" w:rsidR="00725383" w:rsidRPr="005375F3" w:rsidRDefault="00725383" w:rsidP="00725383">
      <w:pPr>
        <w:pStyle w:val="SingleTxtG"/>
        <w:rPr>
          <w:b/>
        </w:rPr>
      </w:pPr>
      <w:r>
        <w:t>13.</w:t>
      </w:r>
      <w:r>
        <w:tab/>
      </w:r>
      <w:r>
        <w:rPr>
          <w:b/>
          <w:bCs/>
        </w:rPr>
        <w:t>Комитет настоятельно призывает государство-участник ускорить принятие нового национального плана по правам человека, обеспечить, чтобы борьба с расовой дискриминацией была должным образом интегрирована в этот план, и выделить достаточные ресурсы для его эффективного осуществления.</w:t>
      </w:r>
      <w:r>
        <w:t xml:space="preserve"> </w:t>
      </w:r>
      <w:r>
        <w:rPr>
          <w:b/>
          <w:bCs/>
        </w:rPr>
        <w:t>Он</w:t>
      </w:r>
      <w:r>
        <w:rPr>
          <w:b/>
          <w:bCs/>
          <w:lang w:val="en-US"/>
        </w:rPr>
        <w:t> </w:t>
      </w:r>
      <w:r>
        <w:rPr>
          <w:b/>
          <w:bCs/>
        </w:rPr>
        <w:t>также рекомендует ему завершить оценку плана, реализованного в период 2014</w:t>
      </w:r>
      <w:r w:rsidRPr="00725383">
        <w:rPr>
          <w:b/>
          <w:bCs/>
        </w:rPr>
        <w:t>–</w:t>
      </w:r>
      <w:r>
        <w:rPr>
          <w:b/>
          <w:bCs/>
        </w:rPr>
        <w:t>2019 годов, и проинформировать Комитет о результатах такой оценки.</w:t>
      </w:r>
      <w:r>
        <w:t xml:space="preserve"> </w:t>
      </w:r>
    </w:p>
    <w:p w14:paraId="2E32C8B8" w14:textId="77777777" w:rsidR="00725383" w:rsidRDefault="00725383" w:rsidP="00725383">
      <w:pPr>
        <w:pStyle w:val="H23G"/>
      </w:pPr>
      <w:r>
        <w:tab/>
      </w:r>
      <w:r>
        <w:tab/>
      </w:r>
      <w:r>
        <w:rPr>
          <w:bCs/>
        </w:rPr>
        <w:t>Преступления на почве ненависти и язык ненависти расистского толка</w:t>
      </w:r>
      <w:r>
        <w:t xml:space="preserve"> </w:t>
      </w:r>
    </w:p>
    <w:p w14:paraId="6D4B0804" w14:textId="0BDBDA9A" w:rsidR="00725383" w:rsidRPr="00593DFF" w:rsidRDefault="00725383" w:rsidP="00725383">
      <w:pPr>
        <w:pStyle w:val="SingleTxtG"/>
      </w:pPr>
      <w:r>
        <w:t>14.</w:t>
      </w:r>
      <w:r>
        <w:tab/>
        <w:t>Комитет вновь выражает свою обеспокоенность по поводу того, что государство-участник не внесло поправки в свое национальное законодательство в отношении языка расовой ненависти и преступлений на расовой почве, чтобы привести его в полное соответствие с положениями статьи 4 Конвенции, в частности в статьи 317 и 318 Уголовного кодекса, которые касаются в первую очередь деяний, угрожающих мирному сосуществованию общин в государстве-участнике. Он весьма обеспокоен сообщениями об участившихся случаях употребления языка расовой ненависти в отношении мигрантов и беженцев, в том числе в Интернете и социальных сетях, а также со стороны общественных деятелей и политиков, особенно в период экономического кризиса и пандемии COVID-19. Комитет также выражает обеспокоенность по поводу отсутствия подробной информации о поданных жалобах и судебных преследованиях лиц, виновных в употреблении такого языка (статья 4).</w:t>
      </w:r>
    </w:p>
    <w:p w14:paraId="727F8519" w14:textId="77777777" w:rsidR="00725383" w:rsidRPr="00533EAF" w:rsidRDefault="00725383" w:rsidP="00725383">
      <w:pPr>
        <w:pStyle w:val="SingleTxtG"/>
        <w:keepNext/>
        <w:rPr>
          <w:b/>
        </w:rPr>
      </w:pPr>
      <w:r>
        <w:t>15.</w:t>
      </w:r>
      <w:r>
        <w:tab/>
      </w:r>
      <w:r>
        <w:rPr>
          <w:b/>
          <w:bCs/>
        </w:rPr>
        <w:t>Ссылаясь на свои общие рекомендации № 7 (1985), № 8 (1990), № 15 (1993) и № 35 (2013), а также на свои предыдущие заключительные замечания</w:t>
      </w:r>
      <w:r w:rsidRPr="00C002CF">
        <w:rPr>
          <w:rStyle w:val="aa"/>
        </w:rPr>
        <w:footnoteReference w:id="4"/>
      </w:r>
      <w:r>
        <w:rPr>
          <w:b/>
          <w:bCs/>
        </w:rPr>
        <w:t>, Комитет рекомендует государству-участнику:</w:t>
      </w:r>
    </w:p>
    <w:p w14:paraId="212215D5" w14:textId="371CB257" w:rsidR="00725383" w:rsidRPr="00BB3D29" w:rsidRDefault="00725383" w:rsidP="00725383">
      <w:pPr>
        <w:pStyle w:val="SingleTxtG"/>
        <w:ind w:firstLine="567"/>
        <w:rPr>
          <w:b/>
        </w:rPr>
      </w:pPr>
      <w:r w:rsidRPr="00725383">
        <w:rPr>
          <w:b/>
          <w:bCs/>
        </w:rPr>
        <w:t>a)</w:t>
      </w:r>
      <w:r w:rsidRPr="00725383">
        <w:rPr>
          <w:b/>
          <w:bCs/>
        </w:rPr>
        <w:tab/>
      </w:r>
      <w:r>
        <w:rPr>
          <w:b/>
          <w:bCs/>
        </w:rPr>
        <w:t>ужесточить свое законодательство, запрещающее язык расовой ненависти и преступления на расовой почве, в частности путем внесения изменений в статьи 317 и 318 Уголовного кодекса, чтобы привести его в полное соответствие с положениями статьи 4 Конвенции;</w:t>
      </w:r>
    </w:p>
    <w:p w14:paraId="33AC48B2" w14:textId="77777777" w:rsidR="00725383" w:rsidRPr="00BA016A" w:rsidRDefault="00725383" w:rsidP="00725383">
      <w:pPr>
        <w:pStyle w:val="SingleTxtG"/>
        <w:ind w:firstLine="567"/>
        <w:rPr>
          <w:b/>
        </w:rPr>
      </w:pPr>
      <w:r w:rsidRPr="00725383">
        <w:rPr>
          <w:b/>
          <w:bCs/>
        </w:rPr>
        <w:t>b)</w:t>
      </w:r>
      <w:r w:rsidRPr="00725383">
        <w:rPr>
          <w:b/>
          <w:bCs/>
        </w:rPr>
        <w:tab/>
      </w:r>
      <w:r>
        <w:rPr>
          <w:b/>
          <w:bCs/>
        </w:rPr>
        <w:t>принимать меры по недопущению, осуждению и пресечению языка расовой ненависти в отношении мигрантов и беженцев, в том числе в Интернете и социальных сетях, а также со стороны общественных деятелей и политиков, и обеспечивать, чтобы все зарегистрированные случаи употребления языка расовой ненависти эффективно расследовались, а виновные, при необходимости, преследовались в судебном порядке и наказывались;</w:t>
      </w:r>
    </w:p>
    <w:p w14:paraId="736DB6F8" w14:textId="77777777" w:rsidR="00725383" w:rsidRPr="00A306D6" w:rsidRDefault="00725383" w:rsidP="00725383">
      <w:pPr>
        <w:pStyle w:val="SingleTxtG"/>
        <w:ind w:firstLine="567"/>
        <w:rPr>
          <w:b/>
        </w:rPr>
      </w:pPr>
      <w:r w:rsidRPr="00725383">
        <w:rPr>
          <w:b/>
          <w:bCs/>
        </w:rPr>
        <w:t>c)</w:t>
      </w:r>
      <w:r w:rsidRPr="00725383">
        <w:rPr>
          <w:b/>
          <w:bCs/>
        </w:rPr>
        <w:tab/>
      </w:r>
      <w:r>
        <w:rPr>
          <w:b/>
          <w:bCs/>
        </w:rPr>
        <w:t>проводить кампании по информированию общественности, направленные на борьбу с предрассудками и дезинформацией в отношении мигрантов, просителей убежища и беженцев, а также на поощрение уважения к разнообразию и ликвидацию расовой дискриминации;</w:t>
      </w:r>
    </w:p>
    <w:p w14:paraId="53112DEC" w14:textId="0C44D543" w:rsidR="00725383" w:rsidRPr="00BD1938" w:rsidRDefault="00725383" w:rsidP="00725383">
      <w:pPr>
        <w:pStyle w:val="SingleTxtG"/>
        <w:ind w:firstLine="567"/>
        <w:rPr>
          <w:b/>
        </w:rPr>
      </w:pPr>
      <w:r w:rsidRPr="00725383">
        <w:rPr>
          <w:b/>
          <w:bCs/>
        </w:rPr>
        <w:t>d)</w:t>
      </w:r>
      <w:r w:rsidRPr="00725383">
        <w:rPr>
          <w:b/>
          <w:bCs/>
        </w:rPr>
        <w:tab/>
      </w:r>
      <w:r>
        <w:rPr>
          <w:b/>
          <w:bCs/>
        </w:rPr>
        <w:t xml:space="preserve">наращивать усилия по надзору за распространением языка расовой ненависти в Интернете и социальных сетях в тесном сотрудничестве с поставщиками </w:t>
      </w:r>
      <w:r w:rsidR="004721D6">
        <w:rPr>
          <w:b/>
          <w:bCs/>
        </w:rPr>
        <w:t>и</w:t>
      </w:r>
      <w:r>
        <w:rPr>
          <w:b/>
          <w:bCs/>
        </w:rPr>
        <w:t>нтернет-услуг, платформами социальных сетей и группами населения, наиболее затронутыми случаями употребления языка расовой ненависти;</w:t>
      </w:r>
      <w:r>
        <w:t xml:space="preserve"> </w:t>
      </w:r>
    </w:p>
    <w:p w14:paraId="551B8AE1" w14:textId="77777777" w:rsidR="00725383" w:rsidRPr="00801719" w:rsidRDefault="00725383" w:rsidP="00725383">
      <w:pPr>
        <w:pStyle w:val="SingleTxtG"/>
        <w:ind w:firstLine="567"/>
        <w:rPr>
          <w:b/>
        </w:rPr>
      </w:pPr>
      <w:r w:rsidRPr="00725383">
        <w:rPr>
          <w:b/>
          <w:bCs/>
        </w:rPr>
        <w:t>e)</w:t>
      </w:r>
      <w:r w:rsidRPr="00725383">
        <w:rPr>
          <w:b/>
          <w:bCs/>
        </w:rPr>
        <w:tab/>
      </w:r>
      <w:r>
        <w:rPr>
          <w:b/>
          <w:bCs/>
        </w:rPr>
        <w:t>собрать надежные и всеобъемлющие статистические данные о зарегистрированных случаях употребления языка расовой ненависти и преступлений на расовой почве, судебных преследованиях, обвинительных приговорах и мерах наказания, а также о возмещении ущерба, предоставленном жертвам таких преступлений, и включить эти данные в свой следующий периодический доклад.</w:t>
      </w:r>
    </w:p>
    <w:p w14:paraId="1CABB2E8" w14:textId="77777777" w:rsidR="00725383" w:rsidRDefault="00725383" w:rsidP="00725383">
      <w:pPr>
        <w:pStyle w:val="H23G"/>
      </w:pPr>
      <w:r>
        <w:lastRenderedPageBreak/>
        <w:tab/>
      </w:r>
      <w:r>
        <w:tab/>
      </w:r>
      <w:r>
        <w:rPr>
          <w:bCs/>
        </w:rPr>
        <w:t>Право на гражданство</w:t>
      </w:r>
    </w:p>
    <w:p w14:paraId="01FB279B" w14:textId="77777777" w:rsidR="00725383" w:rsidRPr="00E627A2" w:rsidRDefault="00725383" w:rsidP="00725383">
      <w:pPr>
        <w:pStyle w:val="SingleTxtG"/>
      </w:pPr>
      <w:r>
        <w:t>16.</w:t>
      </w:r>
      <w:r>
        <w:tab/>
        <w:t>Комитет вновь выражает свою обеспокоенность тем, что Закон о гражданстве Ливана 1925 года не позволяет ливанским женщинам, состоящим в браке с иностранцами, передавать свое гражданство своим детям и супругам-иностранцам наравне с ливанскими мужчинами (статьи 2 и 5).</w:t>
      </w:r>
    </w:p>
    <w:p w14:paraId="1B2B1710" w14:textId="77777777" w:rsidR="00725383" w:rsidRPr="005E1960" w:rsidRDefault="00725383" w:rsidP="00725383">
      <w:pPr>
        <w:pStyle w:val="SingleTxtG"/>
        <w:rPr>
          <w:b/>
        </w:rPr>
      </w:pPr>
      <w:r>
        <w:t>17.</w:t>
      </w:r>
      <w:r>
        <w:tab/>
      </w:r>
      <w:r>
        <w:rPr>
          <w:b/>
          <w:bCs/>
        </w:rPr>
        <w:t>Ссылаясь на свою рекомендацию, сформулированную в предыдущих заключительных замечаниях</w:t>
      </w:r>
      <w:r w:rsidRPr="00C002CF">
        <w:rPr>
          <w:rStyle w:val="aa"/>
        </w:rPr>
        <w:footnoteReference w:id="5"/>
      </w:r>
      <w:r>
        <w:rPr>
          <w:b/>
          <w:bCs/>
        </w:rPr>
        <w:t>, Комитет предлагает государству-участнику привести свое законодательство в соответствие с Конвенцией путем внесения поправок в Закон о гражданстве, с тем чтобы ливанские женщины могли передавать свое гражданство своим супругам-иностранцам и детям при рождении без дискриминации наравне с мужчинами.</w:t>
      </w:r>
    </w:p>
    <w:p w14:paraId="5F208BAB" w14:textId="77777777" w:rsidR="00725383" w:rsidRDefault="00725383" w:rsidP="00725383">
      <w:pPr>
        <w:pStyle w:val="H23G"/>
      </w:pPr>
      <w:r>
        <w:tab/>
      </w:r>
      <w:r>
        <w:tab/>
      </w:r>
      <w:r>
        <w:rPr>
          <w:bCs/>
        </w:rPr>
        <w:t>Регистрация рождения</w:t>
      </w:r>
    </w:p>
    <w:p w14:paraId="7E9AFB34" w14:textId="444BEA8F" w:rsidR="00725383" w:rsidRDefault="00725383" w:rsidP="00725383">
      <w:pPr>
        <w:pStyle w:val="SingleTxtG"/>
      </w:pPr>
      <w:r>
        <w:t>18.</w:t>
      </w:r>
      <w:r>
        <w:tab/>
        <w:t xml:space="preserve">Комитет принимает к сведению меры по упрощению процедуры регистрации рождения сирийских детей, родившихся на территории государства-участника, в частности касающиеся разрешения на регистрацию детей старше одного года в административном порядке и без обращения в суд. Однако Комитет обеспокоен тем, что эта мера не распространяется на детей-беженцев, являющихся гражданами </w:t>
      </w:r>
      <w:r>
        <w:br/>
        <w:t xml:space="preserve">других стран. Кроме того, Комитет по-прежнему обеспокоен сохраняющимися препятствиями для регистрации рождения детей беженцев и детей родителей, являющихся нелегальными мигрантами, включая сложность действующих процедур, необходимость получения документов, удостоверяющих личность, и требование подтверждения законности проживания и брака, что подвергает этих детей риску </w:t>
      </w:r>
      <w:proofErr w:type="spellStart"/>
      <w:r>
        <w:t>безгражданства</w:t>
      </w:r>
      <w:proofErr w:type="spellEnd"/>
      <w:r>
        <w:t xml:space="preserve"> (статьи 2 и 5). </w:t>
      </w:r>
    </w:p>
    <w:p w14:paraId="1AA40329" w14:textId="77777777" w:rsidR="00725383" w:rsidRPr="00FC2C0B" w:rsidRDefault="00725383" w:rsidP="00725383">
      <w:pPr>
        <w:pStyle w:val="SingleTxtG"/>
        <w:rPr>
          <w:b/>
        </w:rPr>
      </w:pPr>
      <w:r>
        <w:t>19.</w:t>
      </w:r>
      <w:r>
        <w:tab/>
      </w:r>
      <w:r>
        <w:rPr>
          <w:b/>
          <w:bCs/>
        </w:rPr>
        <w:t>В свете своей общей рекомендации № 30 (2004) о дискриминации в отношении неграждан Комитет подчеркивает, что регистрация рождения является необходимым условием для осуществления широкого спектра прав человека.</w:t>
      </w:r>
      <w:r>
        <w:t xml:space="preserve"> </w:t>
      </w:r>
      <w:r>
        <w:rPr>
          <w:b/>
          <w:bCs/>
        </w:rPr>
        <w:t xml:space="preserve">Он рекомендует государству-участнику принять меры для обеспечения регистрации всех детей, родившихся на его территории, независимо от их гражданства или наличия у их родителей вида на жительство, с целью предотвращения </w:t>
      </w:r>
      <w:proofErr w:type="spellStart"/>
      <w:r>
        <w:rPr>
          <w:b/>
          <w:bCs/>
        </w:rPr>
        <w:t>безгражданства</w:t>
      </w:r>
      <w:proofErr w:type="spellEnd"/>
      <w:r>
        <w:rPr>
          <w:b/>
          <w:bCs/>
        </w:rPr>
        <w:t>.</w:t>
      </w:r>
      <w:r>
        <w:t xml:space="preserve"> </w:t>
      </w:r>
      <w:r>
        <w:rPr>
          <w:b/>
          <w:bCs/>
        </w:rPr>
        <w:t xml:space="preserve">Он также рекомендует ему ратифицировать Конвенцию о статусе апатридов и Конвенцию о сокращении </w:t>
      </w:r>
      <w:proofErr w:type="spellStart"/>
      <w:r>
        <w:rPr>
          <w:b/>
          <w:bCs/>
        </w:rPr>
        <w:t>безгражданства</w:t>
      </w:r>
      <w:proofErr w:type="spellEnd"/>
      <w:r>
        <w:rPr>
          <w:b/>
          <w:bCs/>
        </w:rPr>
        <w:t>.</w:t>
      </w:r>
      <w:r>
        <w:t xml:space="preserve"> </w:t>
      </w:r>
    </w:p>
    <w:p w14:paraId="211A0CBF" w14:textId="77777777" w:rsidR="00725383" w:rsidRPr="00875F41" w:rsidRDefault="00725383" w:rsidP="00725383">
      <w:pPr>
        <w:pStyle w:val="H23G"/>
      </w:pPr>
      <w:r>
        <w:tab/>
      </w:r>
      <w:r>
        <w:tab/>
      </w:r>
      <w:r>
        <w:rPr>
          <w:bCs/>
        </w:rPr>
        <w:t>Нормативно-правовая база, регулирующая вопросы предоставления убежища</w:t>
      </w:r>
    </w:p>
    <w:p w14:paraId="7F67AE7C" w14:textId="77777777" w:rsidR="00725383" w:rsidRPr="00EF743F" w:rsidRDefault="00725383" w:rsidP="00725383">
      <w:pPr>
        <w:pStyle w:val="SingleTxtG"/>
      </w:pPr>
      <w:r>
        <w:t>20.</w:t>
      </w:r>
      <w:r>
        <w:tab/>
        <w:t>Комитет вновь выражает свою обеспокоенность по поводу отсутствия в государстве-участнике адекватной нормативно-правовой базы, регулирующей вопросы предоставления убежища. Он также обеспокоен тем, что применение правил Главного управления безопасности 2015 года и решения № 50 Верховного совета обороны от мая 2019 года приводит к многочисленным отказам во въезде на границах, а также к задержанию и депортации некоторых просителей убежища и беженцев, особенно сирийцев, в отсутствие какой-либо судебной проверки и без рассмотрения в индивидуальном порядке положения лиц, нуждающихся в международной защите (статьи 1, 2 и 5).</w:t>
      </w:r>
    </w:p>
    <w:p w14:paraId="479DC69A" w14:textId="77777777" w:rsidR="00725383" w:rsidRPr="00EF743F" w:rsidRDefault="00725383" w:rsidP="00725383">
      <w:pPr>
        <w:pStyle w:val="SingleTxtG"/>
        <w:rPr>
          <w:b/>
        </w:rPr>
      </w:pPr>
      <w:r>
        <w:t>21.</w:t>
      </w:r>
      <w:r>
        <w:tab/>
      </w:r>
      <w:r>
        <w:rPr>
          <w:b/>
          <w:bCs/>
        </w:rPr>
        <w:t>Ссылаясь на свою рекомендацию, сформулированную в предыдущих заключительных замечаниях</w:t>
      </w:r>
      <w:r w:rsidRPr="00C002CF">
        <w:rPr>
          <w:rStyle w:val="aa"/>
        </w:rPr>
        <w:footnoteReference w:id="6"/>
      </w:r>
      <w:r>
        <w:rPr>
          <w:b/>
          <w:bCs/>
        </w:rPr>
        <w:t xml:space="preserve">, Комитет рекомендует государству-участнику создать адекватную нормативно-правовую базу, регулирующую вопросы предоставления убежища, и обеспечить соблюдение принципа </w:t>
      </w:r>
      <w:proofErr w:type="spellStart"/>
      <w:r>
        <w:rPr>
          <w:b/>
          <w:bCs/>
        </w:rPr>
        <w:t>невыдворения</w:t>
      </w:r>
      <w:proofErr w:type="spellEnd"/>
      <w:r>
        <w:rPr>
          <w:b/>
          <w:bCs/>
        </w:rPr>
        <w:t>, включая процедурные гарантии, в отношении всех просителей убежища и беженцев, в частности из Сирийской Арабской Республики.</w:t>
      </w:r>
      <w:r>
        <w:t xml:space="preserve"> </w:t>
      </w:r>
      <w:r>
        <w:rPr>
          <w:b/>
          <w:bCs/>
        </w:rPr>
        <w:t>Он также рекомендует ему ратифицировать Конвенцию о статусе беженцев 1951 года и Протокол к ней 1967 года.</w:t>
      </w:r>
      <w:r>
        <w:t xml:space="preserve"> </w:t>
      </w:r>
    </w:p>
    <w:p w14:paraId="0AD8F005" w14:textId="77777777" w:rsidR="00725383" w:rsidRPr="006845E5" w:rsidRDefault="00725383" w:rsidP="00725383">
      <w:pPr>
        <w:pStyle w:val="H23G"/>
      </w:pPr>
      <w:r>
        <w:lastRenderedPageBreak/>
        <w:tab/>
      </w:r>
      <w:r>
        <w:tab/>
        <w:t>Положение</w:t>
      </w:r>
      <w:r>
        <w:rPr>
          <w:bCs/>
        </w:rPr>
        <w:t xml:space="preserve"> неграждан, просителей убежища и беженцев</w:t>
      </w:r>
    </w:p>
    <w:p w14:paraId="3F7C9CC6" w14:textId="77777777" w:rsidR="00725383" w:rsidRPr="006845E5" w:rsidRDefault="00725383" w:rsidP="00725383">
      <w:pPr>
        <w:pStyle w:val="SingleTxtG"/>
        <w:keepNext/>
      </w:pPr>
      <w:r>
        <w:t>22.</w:t>
      </w:r>
      <w:r>
        <w:tab/>
        <w:t>Принимая к сведению информацию, представленную государством-участником, Комитет выражает обеспокоенность по поводу сообщений о том, что:</w:t>
      </w:r>
    </w:p>
    <w:p w14:paraId="2A97312C" w14:textId="77777777" w:rsidR="00725383" w:rsidRPr="003C0229" w:rsidRDefault="00725383" w:rsidP="00725383">
      <w:pPr>
        <w:pStyle w:val="SingleTxtG"/>
        <w:ind w:firstLine="567"/>
        <w:rPr>
          <w:color w:val="000000"/>
        </w:rPr>
      </w:pPr>
      <w:r>
        <w:t>a)</w:t>
      </w:r>
      <w:r>
        <w:tab/>
        <w:t>беженцы, в частности сирийские беженцы, становятся жертвами произвольного задержания, пыток и жестокого обращения в центрах содержания под стражей или лагерях беженцев;</w:t>
      </w:r>
    </w:p>
    <w:p w14:paraId="05462547" w14:textId="77777777" w:rsidR="00725383" w:rsidRDefault="00725383" w:rsidP="00725383">
      <w:pPr>
        <w:pStyle w:val="SingleTxtG"/>
        <w:ind w:firstLine="567"/>
        <w:rPr>
          <w:color w:val="000000"/>
        </w:rPr>
      </w:pPr>
      <w:r>
        <w:t>b)</w:t>
      </w:r>
      <w:r>
        <w:tab/>
        <w:t>муниципалитеты вводят комендантский час и другие ограничения на передвижения только в отношении сирийских граждан; эти меры во время пандемии COVID-19 ужесточились;</w:t>
      </w:r>
    </w:p>
    <w:p w14:paraId="6F10C26C" w14:textId="77777777" w:rsidR="00725383" w:rsidRPr="00243594" w:rsidRDefault="00725383" w:rsidP="00725383">
      <w:pPr>
        <w:pStyle w:val="SingleTxtG"/>
        <w:ind w:firstLine="567"/>
        <w:rPr>
          <w:color w:val="000000"/>
        </w:rPr>
      </w:pPr>
      <w:r>
        <w:t>c)</w:t>
      </w:r>
      <w:r>
        <w:tab/>
        <w:t>палестинским беженцам запрещено приобретать и передавать недвижимость, в том числе своим детям;</w:t>
      </w:r>
    </w:p>
    <w:p w14:paraId="70FF9AD3" w14:textId="77777777" w:rsidR="00725383" w:rsidRDefault="00725383" w:rsidP="00725383">
      <w:pPr>
        <w:pStyle w:val="SingleTxtG"/>
        <w:ind w:firstLine="567"/>
        <w:rPr>
          <w:color w:val="000000"/>
        </w:rPr>
      </w:pPr>
      <w:r>
        <w:t>d)</w:t>
      </w:r>
      <w:r>
        <w:tab/>
        <w:t>с декабря 2014 года легальное трудоустройство сирийских граждан ограничено секторами строительства, сельского хозяйства и ассенизации;</w:t>
      </w:r>
    </w:p>
    <w:p w14:paraId="18E37895" w14:textId="77777777" w:rsidR="00725383" w:rsidRPr="003C0229" w:rsidRDefault="00725383" w:rsidP="00725383">
      <w:pPr>
        <w:pStyle w:val="SingleTxtG"/>
        <w:ind w:firstLine="567"/>
        <w:rPr>
          <w:color w:val="000000"/>
        </w:rPr>
      </w:pPr>
      <w:r>
        <w:t>e)</w:t>
      </w:r>
      <w:r>
        <w:tab/>
        <w:t>ливанская армия провела в апреле 2019 года по решению Высшего совета обороны снос убежищ для сирийских беженцев, оставив без крова многие семьи беженцев и детей (статья 5).</w:t>
      </w:r>
    </w:p>
    <w:p w14:paraId="69959D34" w14:textId="77777777" w:rsidR="00725383" w:rsidRPr="006A1996" w:rsidRDefault="00725383" w:rsidP="00725383">
      <w:pPr>
        <w:pStyle w:val="SingleTxtG"/>
        <w:keepNext/>
        <w:rPr>
          <w:b/>
        </w:rPr>
      </w:pPr>
      <w:r>
        <w:t>23.</w:t>
      </w:r>
      <w:r>
        <w:tab/>
      </w:r>
      <w:r>
        <w:rPr>
          <w:b/>
          <w:bCs/>
        </w:rPr>
        <w:t>Ссылаясь на свою общую рекомендацию № 30 (2004) о дискриминации в отношении неграждан, Комитет рекомендует государству-участнику:</w:t>
      </w:r>
    </w:p>
    <w:p w14:paraId="2BBCD31F" w14:textId="77777777" w:rsidR="00725383" w:rsidRPr="003C0229" w:rsidRDefault="00725383" w:rsidP="00725383">
      <w:pPr>
        <w:pStyle w:val="SingleTxtG"/>
        <w:ind w:firstLine="567"/>
        <w:rPr>
          <w:b/>
        </w:rPr>
      </w:pPr>
      <w:r w:rsidRPr="00725383">
        <w:rPr>
          <w:b/>
          <w:bCs/>
        </w:rPr>
        <w:t>a)</w:t>
      </w:r>
      <w:r w:rsidRPr="00725383">
        <w:rPr>
          <w:b/>
          <w:bCs/>
        </w:rPr>
        <w:tab/>
      </w:r>
      <w:r>
        <w:rPr>
          <w:b/>
          <w:bCs/>
        </w:rPr>
        <w:t>обеспечивать, чтобы просители убежища и беженцы не подвергались произвольному задержанию и чтобы любые утверждения о пытках или жестоком обращении расследовались и, при необходимости, виновные преследовались в судебном порядке и наказывались, а потерпевшие получали возмещение;</w:t>
      </w:r>
    </w:p>
    <w:p w14:paraId="05FC1013" w14:textId="77777777" w:rsidR="00725383" w:rsidRPr="003C0229" w:rsidRDefault="00725383" w:rsidP="00725383">
      <w:pPr>
        <w:pStyle w:val="SingleTxtG"/>
        <w:ind w:firstLine="567"/>
        <w:rPr>
          <w:b/>
        </w:rPr>
      </w:pPr>
      <w:r w:rsidRPr="00725383">
        <w:rPr>
          <w:b/>
          <w:bCs/>
        </w:rPr>
        <w:t>b)</w:t>
      </w:r>
      <w:r w:rsidRPr="00725383">
        <w:rPr>
          <w:b/>
          <w:bCs/>
        </w:rPr>
        <w:tab/>
      </w:r>
      <w:r>
        <w:rPr>
          <w:b/>
          <w:bCs/>
        </w:rPr>
        <w:t>гарантировать право на свободное передвижение всем беженцам и просителям убежища без какой-либо дискриминации и обеспечивать, чтобы вводимый муниципалитетами комендантский час не приводил к дискриминации по признаку гражданства и по другим признакам, запрещенным Конвенцией;</w:t>
      </w:r>
      <w:r>
        <w:t xml:space="preserve"> </w:t>
      </w:r>
    </w:p>
    <w:p w14:paraId="32016B24" w14:textId="77777777" w:rsidR="00725383" w:rsidRPr="00243594" w:rsidRDefault="00725383" w:rsidP="00725383">
      <w:pPr>
        <w:pStyle w:val="SingleTxtG"/>
        <w:ind w:firstLine="567"/>
        <w:rPr>
          <w:b/>
        </w:rPr>
      </w:pPr>
      <w:r w:rsidRPr="00725383">
        <w:rPr>
          <w:b/>
          <w:bCs/>
        </w:rPr>
        <w:t>c)</w:t>
      </w:r>
      <w:r w:rsidRPr="00725383">
        <w:rPr>
          <w:b/>
          <w:bCs/>
        </w:rPr>
        <w:tab/>
      </w:r>
      <w:r>
        <w:rPr>
          <w:b/>
          <w:bCs/>
        </w:rPr>
        <w:t>гарантировать палестинским беженцам доступ к собственности без дискриминации;</w:t>
      </w:r>
    </w:p>
    <w:p w14:paraId="7B780D6E" w14:textId="77777777" w:rsidR="00725383" w:rsidRPr="009C4185" w:rsidRDefault="00725383" w:rsidP="00725383">
      <w:pPr>
        <w:pStyle w:val="SingleTxtG"/>
        <w:ind w:firstLine="567"/>
        <w:rPr>
          <w:b/>
        </w:rPr>
      </w:pPr>
      <w:r w:rsidRPr="00725383">
        <w:rPr>
          <w:b/>
          <w:bCs/>
        </w:rPr>
        <w:t>d)</w:t>
      </w:r>
      <w:r w:rsidRPr="00725383">
        <w:rPr>
          <w:b/>
          <w:bCs/>
        </w:rPr>
        <w:tab/>
      </w:r>
      <w:r>
        <w:rPr>
          <w:b/>
          <w:bCs/>
        </w:rPr>
        <w:t>снять ограничения на сферы занятости, разрешенные для сирийских граждан;</w:t>
      </w:r>
    </w:p>
    <w:p w14:paraId="47A82E7F" w14:textId="77777777" w:rsidR="00725383" w:rsidRPr="009C4185" w:rsidRDefault="00725383" w:rsidP="00725383">
      <w:pPr>
        <w:pStyle w:val="SingleTxtG"/>
        <w:ind w:firstLine="567"/>
        <w:rPr>
          <w:b/>
        </w:rPr>
      </w:pPr>
      <w:r w:rsidRPr="00725383">
        <w:rPr>
          <w:b/>
          <w:bCs/>
        </w:rPr>
        <w:t>e)</w:t>
      </w:r>
      <w:r w:rsidRPr="00725383">
        <w:rPr>
          <w:b/>
          <w:bCs/>
        </w:rPr>
        <w:tab/>
      </w:r>
      <w:r>
        <w:rPr>
          <w:b/>
          <w:bCs/>
        </w:rPr>
        <w:t>гарантировать альтернативные убежища беженцам, их семьям и детям, пострадавшим от сноса их убежищ.</w:t>
      </w:r>
      <w:r>
        <w:t xml:space="preserve"> </w:t>
      </w:r>
    </w:p>
    <w:p w14:paraId="1A0C8998" w14:textId="77777777" w:rsidR="00725383" w:rsidRPr="00C002CF" w:rsidRDefault="00725383" w:rsidP="00725383">
      <w:pPr>
        <w:pStyle w:val="H23G"/>
      </w:pPr>
      <w:r>
        <w:tab/>
      </w:r>
      <w:r>
        <w:tab/>
      </w:r>
      <w:r>
        <w:rPr>
          <w:bCs/>
        </w:rPr>
        <w:t>Домашние работники из числа мигрантов</w:t>
      </w:r>
    </w:p>
    <w:p w14:paraId="6E073C52" w14:textId="7D7AD85D" w:rsidR="00725383" w:rsidRPr="00F84B48" w:rsidRDefault="00725383" w:rsidP="00725383">
      <w:pPr>
        <w:pStyle w:val="SingleTxtG"/>
      </w:pPr>
      <w:r>
        <w:t>24.</w:t>
      </w:r>
      <w:r>
        <w:tab/>
        <w:t>Принимая во внимание вводимые государством</w:t>
      </w:r>
      <w:r w:rsidR="003B0CEF">
        <w:t>-</w:t>
      </w:r>
      <w:r>
        <w:t xml:space="preserve">участником меры, Комитет вновь выражает обеспокоенность по поводу системы «спонсорства» (системы </w:t>
      </w:r>
      <w:proofErr w:type="spellStart"/>
      <w:r>
        <w:t>кафала</w:t>
      </w:r>
      <w:proofErr w:type="spellEnd"/>
      <w:r>
        <w:t xml:space="preserve">), из-за которой работодатели получают возможность осуществлять чрезмерный контроль за домашними работниками из числа мигрантов, обрекая их на условия труда, приводящие к злоупотреблениям, включая невыплату заработной платы, ненормированный рабочий день, конфискацию их паспортов и психологическое и физическое насилие, в том числе сексуальное насилие; эти злоупотребления во время пандемии COVID-19 участились. Он вновь выражает свою обеспокоенность тем, что домашние работники, а ими являются, в основном, африканки и азиатки, по-прежнему лишены защиты, гарантированной Трудовым кодексом (статья 5). </w:t>
      </w:r>
    </w:p>
    <w:p w14:paraId="26A20728" w14:textId="10DDFC56" w:rsidR="00725383" w:rsidRPr="005A6976" w:rsidRDefault="00725383" w:rsidP="00725383">
      <w:pPr>
        <w:pStyle w:val="SingleTxtG"/>
        <w:rPr>
          <w:b/>
        </w:rPr>
      </w:pPr>
      <w:r>
        <w:t>25.</w:t>
      </w:r>
      <w:r>
        <w:tab/>
      </w:r>
      <w:r>
        <w:rPr>
          <w:b/>
          <w:bCs/>
        </w:rPr>
        <w:t>Ссылаясь на свои общие рекомендации № 25 (2000) о гендерных аспектах расовой дискриминации и № 30 (2004) о дискриминации в отношении неграждан, Комитет повторяет сформулированную в его предыдущих заключительных замечаниях</w:t>
      </w:r>
      <w:r w:rsidRPr="00861A42">
        <w:rPr>
          <w:rStyle w:val="aa"/>
          <w:szCs w:val="18"/>
        </w:rPr>
        <w:footnoteReference w:id="7"/>
      </w:r>
      <w:r>
        <w:rPr>
          <w:b/>
          <w:bCs/>
        </w:rPr>
        <w:t xml:space="preserve"> рекомендацию о том, чтобы государство-участник отменило систему «спонсорства» (систему </w:t>
      </w:r>
      <w:proofErr w:type="spellStart"/>
      <w:r>
        <w:rPr>
          <w:b/>
          <w:bCs/>
        </w:rPr>
        <w:t>кафала</w:t>
      </w:r>
      <w:proofErr w:type="spellEnd"/>
      <w:r>
        <w:rPr>
          <w:b/>
          <w:bCs/>
        </w:rPr>
        <w:t xml:space="preserve">), распространило на домашних работников из числа мигрантов действие своего Трудового кодекса и ратифицировало </w:t>
      </w:r>
      <w:r>
        <w:rPr>
          <w:b/>
          <w:bCs/>
        </w:rPr>
        <w:lastRenderedPageBreak/>
        <w:t>Конвенцию № 189 Международной организации труда о достойном труде домашних работников 2011 года.</w:t>
      </w:r>
      <w:r>
        <w:t xml:space="preserve"> </w:t>
      </w:r>
      <w:r>
        <w:rPr>
          <w:b/>
          <w:bCs/>
        </w:rPr>
        <w:t>Он также призывает государство-участник бороться со злоупотреблениями со стороны агентств по найму иностранных трудящихся-мигрантов и обеспечить принятие и эффективное применение единого стандартного контракта, адекватно защищающего права таких работников.</w:t>
      </w:r>
      <w:r>
        <w:t xml:space="preserve"> </w:t>
      </w:r>
    </w:p>
    <w:p w14:paraId="30F95CA1" w14:textId="77777777" w:rsidR="00725383" w:rsidRPr="0048134F" w:rsidRDefault="00725383" w:rsidP="00725383">
      <w:pPr>
        <w:pStyle w:val="H23G"/>
        <w:rPr>
          <w:sz w:val="18"/>
        </w:rPr>
      </w:pPr>
      <w:r>
        <w:tab/>
      </w:r>
      <w:r>
        <w:tab/>
      </w:r>
      <w:r>
        <w:rPr>
          <w:bCs/>
        </w:rPr>
        <w:t>Доступ трудящихся-мигрантов к правосудию</w:t>
      </w:r>
      <w:r>
        <w:t xml:space="preserve"> </w:t>
      </w:r>
    </w:p>
    <w:p w14:paraId="696350D2" w14:textId="64276C94" w:rsidR="00725383" w:rsidRPr="009A378C" w:rsidRDefault="00725383" w:rsidP="00725383">
      <w:pPr>
        <w:pStyle w:val="SingleTxtG"/>
      </w:pPr>
      <w:r>
        <w:t>26.</w:t>
      </w:r>
      <w:r>
        <w:tab/>
        <w:t xml:space="preserve">Комитет принимает к сведению представленную государством-участником информацию о создании центрального бюро и организации «горячей линии» для рассмотрения жалоб домашних работников из числа мигрантов, а также о мерах по повышению уровня осведомленности таких работников об их правах по трудовому законодательству. Вместе с тем он по-прежнему глубоко обеспокоен: а) тем, что, несмотря на эти усилия, многие иностранные работники, в частности домашние работники, и особенно женщины, не знают о средствах правовой защиты, доступных им в случае нарушения их прав; b) наличием препятствий, которые могут затруднять иностранным работникам доступ к правосудию, например, нежелание подавать жалобы из-за страха перед негативными последствиями, такими как высылка из страны; и с) тем, что виновные в нарушениях остаются безнаказанными (статьи 5 и 6). </w:t>
      </w:r>
    </w:p>
    <w:p w14:paraId="22207B4E" w14:textId="77777777" w:rsidR="00725383" w:rsidRPr="00EA26C3" w:rsidRDefault="00725383" w:rsidP="00725383">
      <w:pPr>
        <w:pStyle w:val="SingleTxtG"/>
        <w:keepNext/>
      </w:pPr>
      <w:r>
        <w:t>27.</w:t>
      </w:r>
      <w:r>
        <w:tab/>
      </w:r>
      <w:r>
        <w:rPr>
          <w:b/>
          <w:bCs/>
        </w:rPr>
        <w:t>Принимая во внимание свою общую рекомендацию № 31 (2005) о предупреждении расовой дискриминации в процессе отправления и функционирования системы уголовного правосудия, Комитет рекомендует государству-участнику:</w:t>
      </w:r>
      <w:r>
        <w:t xml:space="preserve"> </w:t>
      </w:r>
    </w:p>
    <w:p w14:paraId="53273235" w14:textId="7797F24B" w:rsidR="00725383" w:rsidRPr="00EA26C3" w:rsidRDefault="00725383" w:rsidP="00725383">
      <w:pPr>
        <w:pStyle w:val="SingleTxtG"/>
        <w:ind w:firstLine="567"/>
        <w:rPr>
          <w:b/>
        </w:rPr>
      </w:pPr>
      <w:r w:rsidRPr="00725383">
        <w:rPr>
          <w:b/>
          <w:bCs/>
        </w:rPr>
        <w:t>a)</w:t>
      </w:r>
      <w:r w:rsidRPr="00725383">
        <w:rPr>
          <w:b/>
          <w:bCs/>
        </w:rPr>
        <w:tab/>
      </w:r>
      <w:r>
        <w:rPr>
          <w:b/>
          <w:bCs/>
        </w:rPr>
        <w:t>принимать меры по устранению препятствий для доступа к правосудию трудящихся-иностранцев, включая домашних работников</w:t>
      </w:r>
      <w:r w:rsidR="0082087A">
        <w:rPr>
          <w:b/>
          <w:bCs/>
        </w:rPr>
        <w:t>,</w:t>
      </w:r>
      <w:r>
        <w:rPr>
          <w:b/>
          <w:bCs/>
        </w:rPr>
        <w:t xml:space="preserve"> и в частности женщин;</w:t>
      </w:r>
      <w:r>
        <w:t xml:space="preserve"> </w:t>
      </w:r>
    </w:p>
    <w:p w14:paraId="21BDF10D" w14:textId="77777777" w:rsidR="00725383" w:rsidRDefault="00725383" w:rsidP="00725383">
      <w:pPr>
        <w:pStyle w:val="SingleTxtG"/>
        <w:ind w:firstLine="567"/>
        <w:rPr>
          <w:b/>
        </w:rPr>
      </w:pPr>
      <w:r w:rsidRPr="00725383">
        <w:rPr>
          <w:b/>
          <w:bCs/>
        </w:rPr>
        <w:t>b)</w:t>
      </w:r>
      <w:r w:rsidRPr="00725383">
        <w:rPr>
          <w:b/>
          <w:bCs/>
        </w:rPr>
        <w:tab/>
      </w:r>
      <w:r>
        <w:rPr>
          <w:b/>
          <w:bCs/>
        </w:rPr>
        <w:t>обеспечивать, чтобы трудящиеся-иностранцы могли подавать жалобы на неправомерную трудовую практику через независимые и эффективные механизмы, не опасаясь негативных последствий;</w:t>
      </w:r>
      <w:r>
        <w:t xml:space="preserve"> </w:t>
      </w:r>
    </w:p>
    <w:p w14:paraId="0ED53261" w14:textId="77777777" w:rsidR="00725383" w:rsidRPr="008950D9" w:rsidRDefault="00725383" w:rsidP="00725383">
      <w:pPr>
        <w:pStyle w:val="SingleTxtG"/>
        <w:ind w:firstLine="567"/>
        <w:rPr>
          <w:b/>
        </w:rPr>
      </w:pPr>
      <w:r w:rsidRPr="00725383">
        <w:rPr>
          <w:b/>
          <w:bCs/>
        </w:rPr>
        <w:t>c)</w:t>
      </w:r>
      <w:r w:rsidRPr="00725383">
        <w:rPr>
          <w:b/>
          <w:bCs/>
        </w:rPr>
        <w:tab/>
      </w:r>
      <w:r>
        <w:rPr>
          <w:b/>
          <w:bCs/>
        </w:rPr>
        <w:t>соблюдать существующие законы и осуществлять стратегии, направленные на защиту трудящихся-мигрантов, и обеспечивать, чтобы все зарегистрированные случаи злоупотреблений в отношении трудящихся-мигрантов расследовались, а виновные, при необходимости, преследовались в судебном порядке и должным образом наказывались, а потерпевшие получали компенсацию причиненного им ущерба;</w:t>
      </w:r>
    </w:p>
    <w:p w14:paraId="23FA5EA0" w14:textId="77777777" w:rsidR="00725383" w:rsidRPr="00690591" w:rsidRDefault="00725383" w:rsidP="00725383">
      <w:pPr>
        <w:pStyle w:val="SingleTxtG"/>
        <w:ind w:firstLine="567"/>
        <w:rPr>
          <w:b/>
        </w:rPr>
      </w:pPr>
      <w:r w:rsidRPr="00725383">
        <w:rPr>
          <w:b/>
          <w:bCs/>
        </w:rPr>
        <w:t>d)</w:t>
      </w:r>
      <w:r w:rsidRPr="00725383">
        <w:rPr>
          <w:b/>
          <w:bCs/>
        </w:rPr>
        <w:tab/>
      </w:r>
      <w:r>
        <w:rPr>
          <w:b/>
          <w:bCs/>
        </w:rPr>
        <w:t>обеспечивать предоставление трудовым инспекторам полномочий по проверке условий труда домашних работников из числа мигрантов в домах частных работодателей;</w:t>
      </w:r>
      <w:r>
        <w:t xml:space="preserve"> </w:t>
      </w:r>
    </w:p>
    <w:p w14:paraId="570CDA1E" w14:textId="77777777" w:rsidR="00725383" w:rsidRPr="00E76B7B" w:rsidRDefault="00725383" w:rsidP="00725383">
      <w:pPr>
        <w:pStyle w:val="SingleTxtG"/>
        <w:ind w:firstLine="567"/>
        <w:rPr>
          <w:b/>
        </w:rPr>
      </w:pPr>
      <w:r w:rsidRPr="00725383">
        <w:rPr>
          <w:b/>
          <w:bCs/>
        </w:rPr>
        <w:t>e)</w:t>
      </w:r>
      <w:r w:rsidRPr="00725383">
        <w:rPr>
          <w:b/>
          <w:bCs/>
        </w:rPr>
        <w:tab/>
      </w:r>
      <w:r>
        <w:rPr>
          <w:b/>
          <w:bCs/>
        </w:rPr>
        <w:t>включить в свой следующий периодический доклад подробную информацию о количестве жалоб, поданных трудящимися-иностранцами, и количестве инспекционных проверок, расследований, возбужденных судебных дел и обвинительных приговоров в связи с такими жалобами, а также о предоставленной потерпевшим компенсации.</w:t>
      </w:r>
    </w:p>
    <w:p w14:paraId="2318A15E" w14:textId="77777777" w:rsidR="00725383" w:rsidRPr="00533EAF" w:rsidRDefault="00725383" w:rsidP="00725383">
      <w:pPr>
        <w:pStyle w:val="H23G"/>
        <w:rPr>
          <w:sz w:val="18"/>
        </w:rPr>
      </w:pPr>
      <w:r>
        <w:tab/>
      </w:r>
      <w:r>
        <w:tab/>
      </w:r>
      <w:r>
        <w:rPr>
          <w:bCs/>
        </w:rPr>
        <w:t>Жалобы на расовую дискриминацию</w:t>
      </w:r>
      <w:r>
        <w:t xml:space="preserve"> </w:t>
      </w:r>
    </w:p>
    <w:p w14:paraId="02F35F48" w14:textId="5A2F1ACE" w:rsidR="00725383" w:rsidRDefault="00725383" w:rsidP="00725383">
      <w:pPr>
        <w:pStyle w:val="SingleTxtG"/>
      </w:pPr>
      <w:r>
        <w:t>28.</w:t>
      </w:r>
      <w:r>
        <w:tab/>
        <w:t>Комитет выражает сожаление по поводу отсутствия подробной информации о жалобах на расовую дискриминацию, поданных в национальные суды и другие компетентные ливанские органы, и о принятых по ним последующих мерах. Он напоминает государству-участнику, что отсутствие жалоб необязательно означает, что расовая дискриминация в стране не существует; скорее, оно свидетельствует о недостаточной осведомленности о существующих средствах правовой защиты, недостаточном желании властей преследовать виновных, отсутствии доверия к системе правосудия или страхе перед репрессиями, который испытывают потерпевшие (статьи 6 и 7).</w:t>
      </w:r>
    </w:p>
    <w:p w14:paraId="4D9AEF40" w14:textId="77777777" w:rsidR="00725383" w:rsidRDefault="00725383" w:rsidP="00725383">
      <w:pPr>
        <w:pStyle w:val="SingleTxtG"/>
        <w:keepNext/>
        <w:rPr>
          <w:b/>
        </w:rPr>
      </w:pPr>
      <w:r>
        <w:lastRenderedPageBreak/>
        <w:t>29.</w:t>
      </w:r>
      <w:r>
        <w:tab/>
      </w:r>
      <w:r>
        <w:rPr>
          <w:b/>
          <w:bCs/>
        </w:rPr>
        <w:t>Комитет рекомендует государству-участнику:</w:t>
      </w:r>
    </w:p>
    <w:p w14:paraId="4BD93687" w14:textId="77777777" w:rsidR="00725383" w:rsidRPr="00EA2FF2" w:rsidRDefault="00725383" w:rsidP="00725383">
      <w:pPr>
        <w:pStyle w:val="SingleTxtG"/>
        <w:ind w:firstLine="567"/>
        <w:rPr>
          <w:b/>
        </w:rPr>
      </w:pPr>
      <w:r w:rsidRPr="00725383">
        <w:rPr>
          <w:b/>
          <w:bCs/>
        </w:rPr>
        <w:t>a)</w:t>
      </w:r>
      <w:r w:rsidRPr="00725383">
        <w:rPr>
          <w:b/>
          <w:bCs/>
        </w:rPr>
        <w:tab/>
      </w:r>
      <w:r>
        <w:rPr>
          <w:b/>
          <w:bCs/>
        </w:rPr>
        <w:t>создать механизм сбора статистических данных о преступлениях на расовой почве;</w:t>
      </w:r>
    </w:p>
    <w:p w14:paraId="670DC670" w14:textId="77777777" w:rsidR="00725383" w:rsidRPr="00E47698" w:rsidRDefault="00725383" w:rsidP="00725383">
      <w:pPr>
        <w:pStyle w:val="SingleTxtG"/>
        <w:ind w:firstLine="567"/>
        <w:rPr>
          <w:b/>
        </w:rPr>
      </w:pPr>
      <w:r w:rsidRPr="00725383">
        <w:rPr>
          <w:b/>
          <w:bCs/>
        </w:rPr>
        <w:t>b)</w:t>
      </w:r>
      <w:r w:rsidRPr="00725383">
        <w:rPr>
          <w:b/>
          <w:bCs/>
        </w:rPr>
        <w:tab/>
      </w:r>
      <w:r>
        <w:rPr>
          <w:b/>
          <w:bCs/>
        </w:rPr>
        <w:t>проводить кампании по информированию общественности о закрепленных в Конвенции правах и порядке подачи жалоб на расовую дискриминацию, ориентированные, в частности, на неграждан, включая домашних работников из числа мигрантов, просителей убежища и беженцев;</w:t>
      </w:r>
    </w:p>
    <w:p w14:paraId="16829806" w14:textId="77777777" w:rsidR="00725383" w:rsidRPr="00B3433C" w:rsidRDefault="00725383" w:rsidP="00725383">
      <w:pPr>
        <w:pStyle w:val="SingleTxtG"/>
        <w:ind w:firstLine="567"/>
        <w:rPr>
          <w:b/>
        </w:rPr>
      </w:pPr>
      <w:r w:rsidRPr="00725383">
        <w:rPr>
          <w:b/>
          <w:bCs/>
        </w:rPr>
        <w:t>c)</w:t>
      </w:r>
      <w:r w:rsidRPr="00725383">
        <w:rPr>
          <w:b/>
          <w:bCs/>
        </w:rPr>
        <w:tab/>
      </w:r>
      <w:r>
        <w:rPr>
          <w:b/>
          <w:bCs/>
        </w:rPr>
        <w:t>содействовать подаче жалоб на расовую дискриминацию и обеспечивать подготовку сотрудников различных органов по поддержанию правопорядка по вопросам выявления ситуаций, связанных с расовой дискриминацией, и функционирование механизмов подачи жалоб таким образом, чтобы они были легко доступны для всех жертв расовой дискриминации;</w:t>
      </w:r>
    </w:p>
    <w:p w14:paraId="2B0ECFC9" w14:textId="77777777" w:rsidR="00725383" w:rsidRPr="007D4D8F" w:rsidRDefault="00725383" w:rsidP="00725383">
      <w:pPr>
        <w:pStyle w:val="SingleTxtG"/>
        <w:keepLines/>
        <w:ind w:firstLine="567"/>
        <w:rPr>
          <w:b/>
        </w:rPr>
      </w:pPr>
      <w:r w:rsidRPr="00725383">
        <w:rPr>
          <w:b/>
          <w:bCs/>
        </w:rPr>
        <w:t>d)</w:t>
      </w:r>
      <w:r w:rsidRPr="00725383">
        <w:rPr>
          <w:b/>
          <w:bCs/>
        </w:rPr>
        <w:tab/>
      </w:r>
      <w:r>
        <w:rPr>
          <w:b/>
          <w:bCs/>
        </w:rPr>
        <w:t>включить в свой следующий периодический доклад информацию и статистические данные о жалобах на расовую дискриминацию, поданных в суды и другие компетентные органы, а также о судебных преследованиях и, при необходимости, о вынесенных приговорах и наказаниях, а также о предоставленной потерпевшим компенсации ущерба в разбивке по возрасту, полу и национальному или этническому происхождению.</w:t>
      </w:r>
    </w:p>
    <w:p w14:paraId="72460EEF" w14:textId="75A51C90" w:rsidR="00725383" w:rsidRPr="00E76B7B" w:rsidRDefault="00725383" w:rsidP="00725383">
      <w:pPr>
        <w:pStyle w:val="H23G"/>
      </w:pPr>
      <w:r>
        <w:tab/>
      </w:r>
      <w:r>
        <w:tab/>
      </w:r>
      <w:r>
        <w:rPr>
          <w:bCs/>
        </w:rPr>
        <w:t>Учебная подготовка, просвещение и другие меры по борьбе с предрассудками и нетерпимостью</w:t>
      </w:r>
    </w:p>
    <w:p w14:paraId="04B7DA84" w14:textId="77777777" w:rsidR="00725383" w:rsidRDefault="00725383" w:rsidP="00725383">
      <w:pPr>
        <w:pStyle w:val="SingleTxtG"/>
      </w:pPr>
      <w:r>
        <w:t>30.</w:t>
      </w:r>
      <w:r>
        <w:tab/>
        <w:t xml:space="preserve">Принимая к сведению представленную информацию о привитии в школах таких ценностей, как терпимость, солидарность и разрешение конфликтов, Комитет выражает обеспокоенность участившимися случаями распространения расистских стереотипов и стигматизации в ливанском обществе, особенно в отношении мигрантов, беженцев, просителей убежища и лиц африканского происхождения (статья 7). </w:t>
      </w:r>
    </w:p>
    <w:p w14:paraId="1C46BED1" w14:textId="77777777" w:rsidR="00725383" w:rsidRPr="005E1960" w:rsidRDefault="00725383" w:rsidP="00725383">
      <w:pPr>
        <w:pStyle w:val="SingleTxtG"/>
        <w:rPr>
          <w:b/>
        </w:rPr>
      </w:pPr>
      <w:r>
        <w:t>31.</w:t>
      </w:r>
      <w:r>
        <w:tab/>
      </w:r>
      <w:r>
        <w:rPr>
          <w:b/>
          <w:bCs/>
        </w:rPr>
        <w:t>Комитет рекомендует государству-участнику удвоить усилия по повышению уровня осведомленности общественности о важности этнического и культурного разнообразия и борьбы с расовой дискриминацией, а также включить эти соображения в школьные программы и планы учебной подготовки сотрудников полиции, судей, адвокатов и учителей.</w:t>
      </w:r>
      <w:r>
        <w:t xml:space="preserve"> </w:t>
      </w:r>
    </w:p>
    <w:p w14:paraId="611308A1" w14:textId="77777777" w:rsidR="00725383" w:rsidRDefault="00725383" w:rsidP="00725383">
      <w:pPr>
        <w:pStyle w:val="H1G"/>
      </w:pPr>
      <w:r>
        <w:rPr>
          <w:bCs/>
        </w:rPr>
        <w:tab/>
        <w:t>E.</w:t>
      </w:r>
      <w:r>
        <w:tab/>
      </w:r>
      <w:r>
        <w:rPr>
          <w:bCs/>
        </w:rPr>
        <w:t>Другие рекомендации</w:t>
      </w:r>
    </w:p>
    <w:p w14:paraId="323EE4E0" w14:textId="77777777" w:rsidR="00725383" w:rsidRDefault="00725383" w:rsidP="00725383">
      <w:pPr>
        <w:pStyle w:val="H23G"/>
      </w:pPr>
      <w:r>
        <w:tab/>
      </w:r>
      <w:r>
        <w:tab/>
      </w:r>
      <w:r>
        <w:rPr>
          <w:bCs/>
        </w:rPr>
        <w:t>Ратификация других документов</w:t>
      </w:r>
      <w:r>
        <w:t xml:space="preserve"> </w:t>
      </w:r>
    </w:p>
    <w:p w14:paraId="31DF3DCB" w14:textId="77777777" w:rsidR="00725383" w:rsidRPr="00414494" w:rsidRDefault="00725383" w:rsidP="00725383">
      <w:pPr>
        <w:pStyle w:val="SingleTxtG"/>
        <w:rPr>
          <w:b/>
        </w:rPr>
      </w:pPr>
      <w:r>
        <w:t>32.</w:t>
      </w:r>
      <w:r>
        <w:tab/>
      </w:r>
      <w:r>
        <w:rPr>
          <w:b/>
          <w:bCs/>
        </w:rPr>
        <w:t>Учитывая неделимость всех прав человека, Комитет призывает государство-участник рассмотреть возможность ратификации тех международных договоров по правам человека, участником которых оно еще не является, в частности договоров, положения которых непосредственно касаются общин, могущих подвергаться расовой дискриминации, в том числе Международной конвенции о защите прав всех трудящихся-мигрантов и членов их семей и Конвенции № 189 Международной организации труда о достойном труде домашних работников 2011 года.</w:t>
      </w:r>
      <w:r>
        <w:t xml:space="preserve"> </w:t>
      </w:r>
    </w:p>
    <w:p w14:paraId="5C52551C" w14:textId="77777777" w:rsidR="00725383" w:rsidRDefault="00725383" w:rsidP="00725383">
      <w:pPr>
        <w:pStyle w:val="H23G"/>
      </w:pPr>
      <w:r>
        <w:tab/>
      </w:r>
      <w:r>
        <w:tab/>
      </w:r>
      <w:r>
        <w:rPr>
          <w:bCs/>
        </w:rPr>
        <w:t xml:space="preserve">Последующие меры по выполнению </w:t>
      </w:r>
      <w:proofErr w:type="spellStart"/>
      <w:r>
        <w:rPr>
          <w:bCs/>
        </w:rPr>
        <w:t>Дурбанской</w:t>
      </w:r>
      <w:proofErr w:type="spellEnd"/>
      <w:r>
        <w:rPr>
          <w:bCs/>
        </w:rPr>
        <w:t xml:space="preserve"> декларации и Программы действий</w:t>
      </w:r>
    </w:p>
    <w:p w14:paraId="5D97EE22" w14:textId="77777777" w:rsidR="00725383" w:rsidRDefault="00725383" w:rsidP="00725383">
      <w:pPr>
        <w:pStyle w:val="SingleTxtG"/>
        <w:rPr>
          <w:b/>
          <w:bCs/>
        </w:rPr>
      </w:pPr>
      <w:r>
        <w:t>33.</w:t>
      </w:r>
      <w:r>
        <w:tab/>
      </w:r>
      <w:r>
        <w:rPr>
          <w:b/>
          <w:bCs/>
        </w:rPr>
        <w:t xml:space="preserve">В свете своей общей рекомендации № 33 (2009) о последующих мерах в связи с Конференцией по обзору </w:t>
      </w:r>
      <w:proofErr w:type="spellStart"/>
      <w:r>
        <w:rPr>
          <w:b/>
          <w:bCs/>
        </w:rPr>
        <w:t>Дурбанского</w:t>
      </w:r>
      <w:proofErr w:type="spellEnd"/>
      <w:r>
        <w:rPr>
          <w:b/>
          <w:bCs/>
        </w:rPr>
        <w:t xml:space="preserve"> процесса Комитет рекомендует государству-участнику при осуществлении Конвенции в рамках своего национального правового режима предпринять шаги по выполнению </w:t>
      </w:r>
      <w:proofErr w:type="spellStart"/>
      <w:r>
        <w:rPr>
          <w:b/>
          <w:bCs/>
        </w:rPr>
        <w:t>Дурбанской</w:t>
      </w:r>
      <w:proofErr w:type="spellEnd"/>
      <w:r>
        <w:rPr>
          <w:b/>
          <w:bCs/>
        </w:rPr>
        <w:t xml:space="preserve"> декларации и Программы действий, принятых в сентябре 2001 года на Всемирной конференции по борьбе против расизма, расовой дискриминации, ксенофобии и связанной с ними нетерпимости, с учетом итогового документа </w:t>
      </w:r>
      <w:r>
        <w:rPr>
          <w:b/>
          <w:bCs/>
        </w:rPr>
        <w:lastRenderedPageBreak/>
        <w:t xml:space="preserve">Конференции по обзору </w:t>
      </w:r>
      <w:proofErr w:type="spellStart"/>
      <w:r>
        <w:rPr>
          <w:b/>
          <w:bCs/>
        </w:rPr>
        <w:t>Дурбанского</w:t>
      </w:r>
      <w:proofErr w:type="spellEnd"/>
      <w:r>
        <w:rPr>
          <w:b/>
          <w:bCs/>
        </w:rPr>
        <w:t xml:space="preserve"> процесса, принятого в апреле 2009 года в Женеве.</w:t>
      </w:r>
      <w:r>
        <w:t xml:space="preserve"> </w:t>
      </w:r>
      <w:r>
        <w:rPr>
          <w:b/>
          <w:bCs/>
        </w:rPr>
        <w:t xml:space="preserve">Комитет просит государство-участник включить в свой следующий периодический доклад конкретную информацию об утвержденных планах действий и других мерах, принятых для осуществления </w:t>
      </w:r>
      <w:proofErr w:type="spellStart"/>
      <w:r>
        <w:rPr>
          <w:b/>
          <w:bCs/>
        </w:rPr>
        <w:t>Дурбанской</w:t>
      </w:r>
      <w:proofErr w:type="spellEnd"/>
      <w:r>
        <w:rPr>
          <w:b/>
          <w:bCs/>
        </w:rPr>
        <w:t xml:space="preserve"> декларации и Программы действий на национальном уровне.</w:t>
      </w:r>
    </w:p>
    <w:p w14:paraId="28977BD3" w14:textId="77777777" w:rsidR="00725383" w:rsidRDefault="00725383" w:rsidP="00725383">
      <w:pPr>
        <w:pStyle w:val="H23G"/>
      </w:pPr>
      <w:r>
        <w:tab/>
      </w:r>
      <w:r>
        <w:tab/>
      </w:r>
      <w:r>
        <w:rPr>
          <w:bCs/>
        </w:rPr>
        <w:t>Международное десятилетие лиц африканского происхождения</w:t>
      </w:r>
      <w:r>
        <w:t xml:space="preserve"> </w:t>
      </w:r>
    </w:p>
    <w:p w14:paraId="56760F97" w14:textId="77777777" w:rsidR="00725383" w:rsidRPr="00414494" w:rsidRDefault="00725383" w:rsidP="00725383">
      <w:pPr>
        <w:pStyle w:val="SingleTxtG"/>
        <w:rPr>
          <w:b/>
        </w:rPr>
      </w:pPr>
      <w:r>
        <w:t>34.</w:t>
      </w:r>
      <w:r>
        <w:tab/>
      </w:r>
      <w:r>
        <w:rPr>
          <w:b/>
          <w:bCs/>
        </w:rPr>
        <w:t>В свете резолюции 68/237 Генеральной Ассамблеи о провозглашении периода 2015–2024 годов Международным десятилетием лиц африканского происхождения, а также резолюции 69/16 Генеральной Ассамблеи, касающейся программы мероприятий по проведению этого Десятилетия, Комитет рекомендует государству-участнику разработать и осуществить приемлемую программу соответствующих мер и политику в сотрудничестве с лицами африканского происхождения и представляющими их организациями.</w:t>
      </w:r>
      <w:r>
        <w:t xml:space="preserve"> </w:t>
      </w:r>
      <w:r>
        <w:rPr>
          <w:b/>
          <w:bCs/>
        </w:rPr>
        <w:t>Комитет просит государство-участник включить в свой следующий периодический доклад точные сведения о конкретных мерах, принятых в этой связи, и о положении лиц африканского происхождения в государстве-участнике с учетом общей рекомендации Комитета № 34 (2011) о расовой дискриминации в отношении лиц африканского происхождения.</w:t>
      </w:r>
    </w:p>
    <w:p w14:paraId="0A40E7B4" w14:textId="77777777" w:rsidR="00725383" w:rsidRDefault="00725383" w:rsidP="00725383">
      <w:pPr>
        <w:pStyle w:val="H23G"/>
      </w:pPr>
      <w:r>
        <w:tab/>
      </w:r>
      <w:r>
        <w:tab/>
      </w:r>
      <w:r>
        <w:rPr>
          <w:bCs/>
        </w:rPr>
        <w:t>Консультации с гражданским обществом</w:t>
      </w:r>
    </w:p>
    <w:p w14:paraId="7705A1AE" w14:textId="77777777" w:rsidR="00725383" w:rsidRDefault="00725383" w:rsidP="00725383">
      <w:pPr>
        <w:pStyle w:val="SingleTxtG"/>
        <w:keepNext/>
        <w:keepLines/>
        <w:rPr>
          <w:b/>
          <w:bCs/>
        </w:rPr>
      </w:pPr>
      <w:r>
        <w:t>35.</w:t>
      </w:r>
      <w:r>
        <w:tab/>
      </w:r>
      <w:r>
        <w:rPr>
          <w:b/>
          <w:bCs/>
        </w:rPr>
        <w:t>Комитет рекомендует государству-участнику продолжать и расширять диалог с организациями гражданского общества, занимающимися защитой прав человека, в частности ведущими борьбу против расовой дискриминации, в рамках подготовки следующего периодического доклада и принятия последующих мер по настоящим заключительным замечаниям.</w:t>
      </w:r>
    </w:p>
    <w:p w14:paraId="2E188061" w14:textId="77777777" w:rsidR="00725383" w:rsidRDefault="00725383" w:rsidP="00725383">
      <w:pPr>
        <w:pStyle w:val="H23G"/>
      </w:pPr>
      <w:r>
        <w:tab/>
      </w:r>
      <w:r>
        <w:tab/>
      </w:r>
      <w:r>
        <w:rPr>
          <w:bCs/>
        </w:rPr>
        <w:t>Поправка к статье 8 Конвенции</w:t>
      </w:r>
    </w:p>
    <w:p w14:paraId="7D01DFED" w14:textId="41AF516C" w:rsidR="00725383" w:rsidRPr="00414494" w:rsidRDefault="00725383" w:rsidP="00725383">
      <w:pPr>
        <w:pStyle w:val="SingleTxtG"/>
        <w:rPr>
          <w:b/>
        </w:rPr>
      </w:pPr>
      <w:r>
        <w:t>36.</w:t>
      </w:r>
      <w:r>
        <w:tab/>
      </w:r>
      <w:r>
        <w:rPr>
          <w:b/>
          <w:bCs/>
        </w:rPr>
        <w:t>Комитет рекомендует государству-участнику ратифицировать поправку к пункту 6 статьи 8 Конвенции, принятую 15 января 1992 года на четырнадцатом совещании государств — участников Конвенции и одобренную Генеральной Ассамблеей в ее резолюции 47/111.</w:t>
      </w:r>
    </w:p>
    <w:p w14:paraId="4BF88D5E" w14:textId="77777777" w:rsidR="00725383" w:rsidRDefault="00725383" w:rsidP="00725383">
      <w:pPr>
        <w:pStyle w:val="H23G"/>
      </w:pPr>
      <w:r>
        <w:tab/>
      </w:r>
      <w:r>
        <w:tab/>
      </w:r>
      <w:r>
        <w:rPr>
          <w:bCs/>
        </w:rPr>
        <w:t>Заявление в соответствии со статьей 14 Конвенции</w:t>
      </w:r>
    </w:p>
    <w:p w14:paraId="19543C2C" w14:textId="3617950C" w:rsidR="00725383" w:rsidRPr="004629F3" w:rsidRDefault="00725383" w:rsidP="00725383">
      <w:pPr>
        <w:pStyle w:val="SingleTxtG"/>
        <w:rPr>
          <w:b/>
        </w:rPr>
      </w:pPr>
      <w:r>
        <w:t>37.</w:t>
      </w:r>
      <w:r>
        <w:tab/>
      </w:r>
      <w:r>
        <w:rPr>
          <w:b/>
          <w:bCs/>
        </w:rPr>
        <w:t>Комитет призывает государство-участник сделать предусмотренное в статье 14 Конвенции факультативное заявление о признании государствами-участниками компетенции Комитета принимать и рассматривать индивидуальные сообщения.</w:t>
      </w:r>
    </w:p>
    <w:p w14:paraId="4F952279" w14:textId="77777777" w:rsidR="00725383" w:rsidRDefault="00725383" w:rsidP="00725383">
      <w:pPr>
        <w:pStyle w:val="H23G"/>
      </w:pPr>
      <w:r>
        <w:tab/>
      </w:r>
      <w:r>
        <w:tab/>
      </w:r>
      <w:r>
        <w:rPr>
          <w:bCs/>
        </w:rPr>
        <w:t>Общий базовый документ</w:t>
      </w:r>
    </w:p>
    <w:p w14:paraId="27586888" w14:textId="273C9076" w:rsidR="00725383" w:rsidRDefault="00725383" w:rsidP="00725383">
      <w:pPr>
        <w:pStyle w:val="SingleTxtG"/>
        <w:rPr>
          <w:b/>
          <w:bCs/>
          <w:color w:val="000000"/>
        </w:rPr>
      </w:pPr>
      <w:r>
        <w:t>38.</w:t>
      </w:r>
      <w:r>
        <w:tab/>
      </w:r>
      <w:r>
        <w:rPr>
          <w:b/>
          <w:bCs/>
        </w:rPr>
        <w:t xml:space="preserve">Комитет настоятельно рекомендует государству-участнику обновить свой общий базовый документ, представленный в 1996 году, опираясь на согласованные руководящие принципы представления докладов согласно международным договорам о правах человека, в частности на руководящие принципы подготовки общего базового документа, принятые на пятом </w:t>
      </w:r>
      <w:proofErr w:type="spellStart"/>
      <w:r>
        <w:rPr>
          <w:b/>
          <w:bCs/>
        </w:rPr>
        <w:t>межкомитетском</w:t>
      </w:r>
      <w:proofErr w:type="spellEnd"/>
      <w:r>
        <w:rPr>
          <w:b/>
          <w:bCs/>
        </w:rPr>
        <w:t xml:space="preserve"> совещании договорных органов по правам человека в июне 2006 года</w:t>
      </w:r>
      <w:r w:rsidRPr="00C002CF">
        <w:rPr>
          <w:rStyle w:val="aa"/>
        </w:rPr>
        <w:footnoteReference w:id="8"/>
      </w:r>
      <w:r>
        <w:rPr>
          <w:b/>
          <w:bCs/>
        </w:rPr>
        <w:t>.</w:t>
      </w:r>
      <w:r>
        <w:t xml:space="preserve"> </w:t>
      </w:r>
      <w:r>
        <w:rPr>
          <w:b/>
          <w:bCs/>
        </w:rPr>
        <w:t>В свете резолюции 68/268 Генеральной Ассамблеи Комитет настоятельно призывает государство-участник соблюдать установленное для объема таких документов ограничение в 42 400 слов.</w:t>
      </w:r>
    </w:p>
    <w:p w14:paraId="05AEE474" w14:textId="77777777" w:rsidR="00725383" w:rsidRDefault="00725383" w:rsidP="00725383">
      <w:pPr>
        <w:pStyle w:val="H23G"/>
      </w:pPr>
      <w:r>
        <w:tab/>
      </w:r>
      <w:r>
        <w:tab/>
      </w:r>
      <w:r>
        <w:rPr>
          <w:bCs/>
        </w:rPr>
        <w:t>Последующие меры по выполнению настоящих заключительных замечаний</w:t>
      </w:r>
    </w:p>
    <w:p w14:paraId="217EEEB7" w14:textId="642EFE35" w:rsidR="00725383" w:rsidRPr="00414494" w:rsidRDefault="00725383" w:rsidP="00725383">
      <w:pPr>
        <w:pStyle w:val="SingleTxtG"/>
        <w:rPr>
          <w:b/>
        </w:rPr>
      </w:pPr>
      <w:r>
        <w:t>39.</w:t>
      </w:r>
      <w:r>
        <w:tab/>
      </w:r>
      <w:r>
        <w:rPr>
          <w:b/>
          <w:bCs/>
        </w:rPr>
        <w:t xml:space="preserve">В соответствии с пунктом 1 статьи 9 Конвенции и правилом 65 своих правил процедуры Комитет просит государство-участник представить в течение одного года после принятия настоящих заключительных замечаний </w:t>
      </w:r>
      <w:r>
        <w:rPr>
          <w:b/>
          <w:bCs/>
        </w:rPr>
        <w:lastRenderedPageBreak/>
        <w:t>информацию о выполнении им рекомендаций, содержащихся в пунктах 11 (национальное правозащитное учреждение), 13 (национальный план по правам человека) и 19 (регистрация рождений) выше.</w:t>
      </w:r>
    </w:p>
    <w:p w14:paraId="1D989B47" w14:textId="77777777" w:rsidR="00725383" w:rsidRDefault="00725383" w:rsidP="00725383">
      <w:pPr>
        <w:pStyle w:val="H23G"/>
      </w:pPr>
      <w:r>
        <w:tab/>
      </w:r>
      <w:r>
        <w:tab/>
      </w:r>
      <w:r>
        <w:rPr>
          <w:bCs/>
        </w:rPr>
        <w:t>Пункты, имеющие особое значение</w:t>
      </w:r>
    </w:p>
    <w:p w14:paraId="0289C07F" w14:textId="77777777" w:rsidR="00725383" w:rsidRDefault="00725383" w:rsidP="00725383">
      <w:pPr>
        <w:pStyle w:val="SingleTxtG"/>
        <w:rPr>
          <w:b/>
          <w:bCs/>
        </w:rPr>
      </w:pPr>
      <w:r>
        <w:t>40.</w:t>
      </w:r>
      <w:r>
        <w:tab/>
      </w:r>
      <w:r w:rsidRPr="00BD2874">
        <w:rPr>
          <w:b/>
        </w:rPr>
        <w:t xml:space="preserve">Комитет хотел бы обратить внимание государства-участника на особую важность рекомендаций, содержащихся в пунктах 9 (осуществление Конвенции), 25 (домашние работники из числа мигрантов), 27 (доступ к правосудию для трудящихся-мигрантов) и 29 (жалобы на расовую дискриминацию) выше, и просит </w:t>
      </w:r>
      <w:r>
        <w:rPr>
          <w:b/>
        </w:rPr>
        <w:t>его</w:t>
      </w:r>
      <w:r w:rsidRPr="00BD2874">
        <w:rPr>
          <w:b/>
        </w:rPr>
        <w:t xml:space="preserve"> включить в свой следующий периодический доклад подробную информацию о конкретных мерах, принятых с целью их выполнения.</w:t>
      </w:r>
    </w:p>
    <w:p w14:paraId="79AA8979" w14:textId="77777777" w:rsidR="00725383" w:rsidRDefault="00725383" w:rsidP="00725383">
      <w:pPr>
        <w:pStyle w:val="H23G"/>
      </w:pPr>
      <w:r>
        <w:tab/>
      </w:r>
      <w:r>
        <w:tab/>
      </w:r>
      <w:r>
        <w:rPr>
          <w:bCs/>
        </w:rPr>
        <w:t>Распространение информации</w:t>
      </w:r>
    </w:p>
    <w:p w14:paraId="1E68CFC9" w14:textId="77777777" w:rsidR="00725383" w:rsidRPr="00280F73" w:rsidRDefault="00725383" w:rsidP="00725383">
      <w:pPr>
        <w:pStyle w:val="SingleTxtG"/>
        <w:rPr>
          <w:b/>
          <w:bCs/>
        </w:rPr>
      </w:pPr>
      <w:r>
        <w:t>41.</w:t>
      </w:r>
      <w:r>
        <w:tab/>
      </w:r>
      <w:r>
        <w:rPr>
          <w:b/>
          <w:bCs/>
        </w:rPr>
        <w:t>Комитет рекомендует, чтобы доклады государства-участника были доступны общественности с момента их представления и чтобы заключительные замечания Комитета по этим докладам распространялись на всей территории государства-участника и предоставлялись всем государственным органам, занимающимся осуществлением Конвенции, включая муниципалитеты, а также публиковались на веб-сайте Министерства иностранных дел и миграции на официальных языках, а при необходимости — и на других широко используемых языках.</w:t>
      </w:r>
    </w:p>
    <w:p w14:paraId="35F820EC" w14:textId="77777777" w:rsidR="00725383" w:rsidRDefault="00725383" w:rsidP="00725383">
      <w:pPr>
        <w:pStyle w:val="H23G"/>
      </w:pPr>
      <w:r>
        <w:tab/>
      </w:r>
      <w:r>
        <w:tab/>
      </w:r>
      <w:r>
        <w:rPr>
          <w:bCs/>
        </w:rPr>
        <w:t>Подготовка следующего периодического доклада</w:t>
      </w:r>
    </w:p>
    <w:p w14:paraId="0B13BB7B" w14:textId="5ADCD04D" w:rsidR="00725383" w:rsidRDefault="00725383" w:rsidP="00725383">
      <w:pPr>
        <w:pStyle w:val="SingleTxtG"/>
        <w:rPr>
          <w:b/>
          <w:bCs/>
        </w:rPr>
      </w:pPr>
      <w:r>
        <w:t>42.</w:t>
      </w:r>
      <w:r>
        <w:tab/>
      </w:r>
      <w:r>
        <w:rPr>
          <w:b/>
          <w:bCs/>
        </w:rPr>
        <w:t>Комитет рекомендует государству-участнику представить свои объединенные двадцать пятый–двадцать восьмой периодические доклады к 12 декабря 2026 года, приняв во внимание руководящие принципы подготовки докладов об осуществлении Конвенции, принятые Комитетом в ходе его семьдесят первой сессии</w:t>
      </w:r>
      <w:r w:rsidRPr="00C002CF">
        <w:rPr>
          <w:rStyle w:val="aa"/>
        </w:rPr>
        <w:footnoteReference w:id="9"/>
      </w:r>
      <w:r>
        <w:rPr>
          <w:b/>
          <w:bCs/>
        </w:rPr>
        <w:t>, и отразив в нем все вопросы, поднятые в настоящих заключительных замечаниях.</w:t>
      </w:r>
      <w:r>
        <w:t xml:space="preserve"> </w:t>
      </w:r>
      <w:r>
        <w:rPr>
          <w:b/>
          <w:bCs/>
        </w:rPr>
        <w:t xml:space="preserve">В свете резолюции 68/268 Генеральной </w:t>
      </w:r>
      <w:r>
        <w:rPr>
          <w:b/>
          <w:bCs/>
        </w:rPr>
        <w:br/>
        <w:t>Ассамблеи Комитет настоятельно призывает государство-участник соблюдать установленное для объема таких периодических докладов ограничение в 21 200 слов.</w:t>
      </w:r>
      <w:r>
        <w:t xml:space="preserve"> </w:t>
      </w:r>
    </w:p>
    <w:p w14:paraId="2093374B" w14:textId="77777777" w:rsidR="00725383" w:rsidRDefault="00725383" w:rsidP="00725383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25383" w:rsidSect="0072538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31D43" w14:textId="77777777" w:rsidR="00C136A1" w:rsidRPr="00A312BC" w:rsidRDefault="00C136A1" w:rsidP="00A312BC"/>
  </w:endnote>
  <w:endnote w:type="continuationSeparator" w:id="0">
    <w:p w14:paraId="1A123DAF" w14:textId="77777777" w:rsidR="00C136A1" w:rsidRPr="00A312BC" w:rsidRDefault="00C136A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6F8AD" w14:textId="67F51E76" w:rsidR="00725383" w:rsidRPr="00725383" w:rsidRDefault="00725383">
    <w:pPr>
      <w:pStyle w:val="a8"/>
    </w:pPr>
    <w:r w:rsidRPr="00725383">
      <w:rPr>
        <w:b/>
        <w:sz w:val="18"/>
      </w:rPr>
      <w:fldChar w:fldCharType="begin"/>
    </w:r>
    <w:r w:rsidRPr="00725383">
      <w:rPr>
        <w:b/>
        <w:sz w:val="18"/>
      </w:rPr>
      <w:instrText xml:space="preserve"> PAGE  \* MERGEFORMAT </w:instrText>
    </w:r>
    <w:r w:rsidRPr="00725383">
      <w:rPr>
        <w:b/>
        <w:sz w:val="18"/>
      </w:rPr>
      <w:fldChar w:fldCharType="separate"/>
    </w:r>
    <w:r w:rsidRPr="00725383">
      <w:rPr>
        <w:b/>
        <w:noProof/>
        <w:sz w:val="18"/>
      </w:rPr>
      <w:t>2</w:t>
    </w:r>
    <w:r w:rsidRPr="00725383">
      <w:rPr>
        <w:b/>
        <w:sz w:val="18"/>
      </w:rPr>
      <w:fldChar w:fldCharType="end"/>
    </w:r>
    <w:r>
      <w:rPr>
        <w:b/>
        <w:sz w:val="18"/>
      </w:rPr>
      <w:tab/>
    </w:r>
    <w:r>
      <w:t>GE.21-12141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B8F11" w14:textId="244F0D84" w:rsidR="00725383" w:rsidRPr="00725383" w:rsidRDefault="00725383" w:rsidP="00725383">
    <w:pPr>
      <w:pStyle w:val="a8"/>
      <w:tabs>
        <w:tab w:val="clear" w:pos="9639"/>
        <w:tab w:val="right" w:pos="9638"/>
      </w:tabs>
      <w:rPr>
        <w:b/>
        <w:sz w:val="18"/>
      </w:rPr>
    </w:pPr>
    <w:r>
      <w:t>GE.21-12141</w:t>
    </w:r>
    <w:r>
      <w:tab/>
    </w:r>
    <w:r w:rsidRPr="00725383">
      <w:rPr>
        <w:b/>
        <w:sz w:val="18"/>
      </w:rPr>
      <w:fldChar w:fldCharType="begin"/>
    </w:r>
    <w:r w:rsidRPr="00725383">
      <w:rPr>
        <w:b/>
        <w:sz w:val="18"/>
      </w:rPr>
      <w:instrText xml:space="preserve"> PAGE  \* MERGEFORMAT </w:instrText>
    </w:r>
    <w:r w:rsidRPr="00725383">
      <w:rPr>
        <w:b/>
        <w:sz w:val="18"/>
      </w:rPr>
      <w:fldChar w:fldCharType="separate"/>
    </w:r>
    <w:r w:rsidRPr="00725383">
      <w:rPr>
        <w:b/>
        <w:noProof/>
        <w:sz w:val="18"/>
      </w:rPr>
      <w:t>3</w:t>
    </w:r>
    <w:r w:rsidRPr="0072538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B24E9" w14:textId="5593B381" w:rsidR="00042B72" w:rsidRPr="00725383" w:rsidRDefault="00725383" w:rsidP="00725383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98A5A71" wp14:editId="4C3795FD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21-12141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73AE381" wp14:editId="6D7CD0D3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220921  300921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A97AA1" w14:textId="77777777" w:rsidR="00C136A1" w:rsidRPr="001075E9" w:rsidRDefault="00C136A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93A5609" w14:textId="77777777" w:rsidR="00C136A1" w:rsidRDefault="00C136A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B5ACD6F" w14:textId="4FB4392A" w:rsidR="00725383" w:rsidRDefault="00725383" w:rsidP="00725383">
      <w:pPr>
        <w:pStyle w:val="ad"/>
      </w:pPr>
      <w:r>
        <w:tab/>
      </w:r>
      <w:r w:rsidRPr="00403099">
        <w:rPr>
          <w:sz w:val="20"/>
        </w:rPr>
        <w:t>*</w:t>
      </w:r>
      <w:r>
        <w:tab/>
        <w:t>Принята Комитетом на 104-й сессии (9</w:t>
      </w:r>
      <w:r w:rsidR="00403099">
        <w:t>–</w:t>
      </w:r>
      <w:r>
        <w:t>25 августа 2021 года).</w:t>
      </w:r>
    </w:p>
  </w:footnote>
  <w:footnote w:id="2">
    <w:p w14:paraId="7587F755" w14:textId="77777777" w:rsidR="00725383" w:rsidRPr="00725383" w:rsidRDefault="00725383" w:rsidP="00725383">
      <w:pPr>
        <w:pStyle w:val="ad"/>
        <w:rPr>
          <w:lang w:val="fr-FR"/>
        </w:rPr>
      </w:pPr>
      <w:r>
        <w:tab/>
      </w:r>
      <w:r w:rsidRPr="00C002CF">
        <w:rPr>
          <w:rStyle w:val="aa"/>
        </w:rPr>
        <w:footnoteRef/>
      </w:r>
      <w:r w:rsidRPr="00725383">
        <w:rPr>
          <w:lang w:val="fr-FR"/>
        </w:rPr>
        <w:tab/>
        <w:t>CERD/C/LBN/23-24.</w:t>
      </w:r>
    </w:p>
  </w:footnote>
  <w:footnote w:id="3">
    <w:p w14:paraId="7C287A2D" w14:textId="77777777" w:rsidR="00725383" w:rsidRPr="00725383" w:rsidRDefault="00725383" w:rsidP="00725383">
      <w:pPr>
        <w:pStyle w:val="ad"/>
        <w:rPr>
          <w:lang w:val="fr-FR"/>
        </w:rPr>
      </w:pPr>
      <w:r w:rsidRPr="00725383">
        <w:rPr>
          <w:lang w:val="fr-FR"/>
        </w:rPr>
        <w:tab/>
      </w:r>
      <w:r w:rsidRPr="00C002CF">
        <w:rPr>
          <w:rStyle w:val="aa"/>
        </w:rPr>
        <w:footnoteRef/>
      </w:r>
      <w:r w:rsidRPr="00725383">
        <w:rPr>
          <w:lang w:val="fr-FR"/>
        </w:rPr>
        <w:tab/>
      </w:r>
      <w:r>
        <w:t>См</w:t>
      </w:r>
      <w:r w:rsidRPr="00725383">
        <w:rPr>
          <w:lang w:val="fr-FR"/>
        </w:rPr>
        <w:t xml:space="preserve">. CERD/C/SR.2824 </w:t>
      </w:r>
      <w:r>
        <w:t>и</w:t>
      </w:r>
      <w:r w:rsidRPr="00725383">
        <w:rPr>
          <w:lang w:val="fr-FR"/>
        </w:rPr>
        <w:t xml:space="preserve"> 2825.</w:t>
      </w:r>
    </w:p>
  </w:footnote>
  <w:footnote w:id="4">
    <w:p w14:paraId="37E40BC1" w14:textId="33610BB9" w:rsidR="00725383" w:rsidRPr="00725383" w:rsidRDefault="00725383" w:rsidP="00725383">
      <w:pPr>
        <w:pStyle w:val="ad"/>
        <w:rPr>
          <w:lang w:val="en-US"/>
        </w:rPr>
      </w:pPr>
      <w:r w:rsidRPr="00725383">
        <w:rPr>
          <w:lang w:val="fr-FR"/>
        </w:rPr>
        <w:tab/>
      </w:r>
      <w:r w:rsidRPr="00C002CF">
        <w:rPr>
          <w:rStyle w:val="aa"/>
        </w:rPr>
        <w:footnoteRef/>
      </w:r>
      <w:r w:rsidRPr="00725383">
        <w:rPr>
          <w:lang w:val="en-US"/>
        </w:rPr>
        <w:tab/>
        <w:t xml:space="preserve">CERD/C/LBN/CO/18-22, </w:t>
      </w:r>
      <w:proofErr w:type="spellStart"/>
      <w:r>
        <w:t>пп</w:t>
      </w:r>
      <w:proofErr w:type="spellEnd"/>
      <w:r w:rsidRPr="00725383">
        <w:rPr>
          <w:lang w:val="en-US"/>
        </w:rPr>
        <w:t>. 10</w:t>
      </w:r>
      <w:r w:rsidR="004721D6" w:rsidRPr="004721D6">
        <w:rPr>
          <w:lang w:val="en-US"/>
        </w:rPr>
        <w:t>–</w:t>
      </w:r>
      <w:r w:rsidRPr="00725383">
        <w:rPr>
          <w:lang w:val="en-US"/>
        </w:rPr>
        <w:t>14.</w:t>
      </w:r>
    </w:p>
  </w:footnote>
  <w:footnote w:id="5">
    <w:p w14:paraId="42A3CB3F" w14:textId="77777777" w:rsidR="00725383" w:rsidRPr="00570EEA" w:rsidRDefault="00725383" w:rsidP="00725383">
      <w:pPr>
        <w:pStyle w:val="ad"/>
      </w:pPr>
      <w:r w:rsidRPr="00725383">
        <w:rPr>
          <w:lang w:val="en-US"/>
        </w:rPr>
        <w:tab/>
      </w:r>
      <w:r w:rsidRPr="00C002CF">
        <w:rPr>
          <w:rStyle w:val="aa"/>
        </w:rPr>
        <w:footnoteRef/>
      </w:r>
      <w:r>
        <w:tab/>
        <w:t>Там же, п. 22.</w:t>
      </w:r>
    </w:p>
  </w:footnote>
  <w:footnote w:id="6">
    <w:p w14:paraId="20B90B74" w14:textId="77777777" w:rsidR="00725383" w:rsidRPr="00110AB1" w:rsidRDefault="00725383" w:rsidP="00725383">
      <w:pPr>
        <w:pStyle w:val="ad"/>
      </w:pPr>
      <w:r>
        <w:tab/>
      </w:r>
      <w:r w:rsidRPr="00C002CF">
        <w:rPr>
          <w:rStyle w:val="aa"/>
        </w:rPr>
        <w:footnoteRef/>
      </w:r>
      <w:r>
        <w:tab/>
        <w:t xml:space="preserve">Там же, п. 28. </w:t>
      </w:r>
    </w:p>
  </w:footnote>
  <w:footnote w:id="7">
    <w:p w14:paraId="75F91344" w14:textId="77777777" w:rsidR="00725383" w:rsidRPr="00120776" w:rsidRDefault="00725383" w:rsidP="00725383">
      <w:pPr>
        <w:pStyle w:val="ad"/>
      </w:pPr>
      <w:r>
        <w:tab/>
      </w:r>
      <w:r w:rsidRPr="00C002CF">
        <w:rPr>
          <w:rStyle w:val="aa"/>
        </w:rPr>
        <w:footnoteRef/>
      </w:r>
      <w:r>
        <w:tab/>
        <w:t>Там же, п. 42.</w:t>
      </w:r>
    </w:p>
  </w:footnote>
  <w:footnote w:id="8">
    <w:p w14:paraId="6F650565" w14:textId="77777777" w:rsidR="00725383" w:rsidRPr="00A426C3" w:rsidRDefault="00725383" w:rsidP="00725383">
      <w:pPr>
        <w:pStyle w:val="ad"/>
      </w:pPr>
      <w:r>
        <w:tab/>
      </w:r>
      <w:r w:rsidRPr="00C002CF">
        <w:rPr>
          <w:rStyle w:val="aa"/>
        </w:rPr>
        <w:footnoteRef/>
      </w:r>
      <w:r>
        <w:tab/>
        <w:t>HRI/GEN/2/Rev.6, гл. I.</w:t>
      </w:r>
    </w:p>
  </w:footnote>
  <w:footnote w:id="9">
    <w:p w14:paraId="118CF0E6" w14:textId="77777777" w:rsidR="00725383" w:rsidRPr="009119FE" w:rsidRDefault="00725383" w:rsidP="00725383">
      <w:pPr>
        <w:pStyle w:val="ad"/>
      </w:pPr>
      <w:r w:rsidRPr="00A426C3">
        <w:tab/>
      </w:r>
      <w:r w:rsidRPr="00C002CF">
        <w:rPr>
          <w:rStyle w:val="aa"/>
        </w:rPr>
        <w:footnoteRef/>
      </w:r>
      <w:r>
        <w:tab/>
        <w:t xml:space="preserve">CERD/C/2007/1.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E24EE" w14:textId="7BD0B6A7" w:rsidR="00725383" w:rsidRPr="00725383" w:rsidRDefault="001A219A">
    <w:pPr>
      <w:pStyle w:val="a5"/>
    </w:pPr>
    <w:r>
      <w:fldChar w:fldCharType="begin"/>
    </w:r>
    <w:r>
      <w:instrText xml:space="preserve"> TITLE  \* MERG</w:instrText>
    </w:r>
    <w:r>
      <w:instrText xml:space="preserve">EFORMAT </w:instrText>
    </w:r>
    <w:r>
      <w:fldChar w:fldCharType="separate"/>
    </w:r>
    <w:r w:rsidR="005B1A20">
      <w:t>CERD/C/LBN/CO/23-24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4618B" w14:textId="3145319C" w:rsidR="00725383" w:rsidRPr="00725383" w:rsidRDefault="001A219A" w:rsidP="00725383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5B1A20">
      <w:t>CERD/C/LBN/CO/23-24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6A1"/>
    <w:rsid w:val="00033EE1"/>
    <w:rsid w:val="00042B72"/>
    <w:rsid w:val="000558BD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A219A"/>
    <w:rsid w:val="001B2B93"/>
    <w:rsid w:val="001B3EF6"/>
    <w:rsid w:val="001C7A89"/>
    <w:rsid w:val="002844B4"/>
    <w:rsid w:val="002A2EFC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958D0"/>
    <w:rsid w:val="003A6859"/>
    <w:rsid w:val="003B00E5"/>
    <w:rsid w:val="003B0CEF"/>
    <w:rsid w:val="003D11EA"/>
    <w:rsid w:val="00403099"/>
    <w:rsid w:val="004055E9"/>
    <w:rsid w:val="00407B78"/>
    <w:rsid w:val="00424203"/>
    <w:rsid w:val="00452493"/>
    <w:rsid w:val="00453318"/>
    <w:rsid w:val="00454E07"/>
    <w:rsid w:val="004721D6"/>
    <w:rsid w:val="00472C5C"/>
    <w:rsid w:val="004A1C15"/>
    <w:rsid w:val="004E104A"/>
    <w:rsid w:val="0050108D"/>
    <w:rsid w:val="00503601"/>
    <w:rsid w:val="00513081"/>
    <w:rsid w:val="00517901"/>
    <w:rsid w:val="00526683"/>
    <w:rsid w:val="0057071C"/>
    <w:rsid w:val="005709E0"/>
    <w:rsid w:val="00572E19"/>
    <w:rsid w:val="005961C8"/>
    <w:rsid w:val="005B1A20"/>
    <w:rsid w:val="005D7914"/>
    <w:rsid w:val="005E2B41"/>
    <w:rsid w:val="005F0B42"/>
    <w:rsid w:val="00627C61"/>
    <w:rsid w:val="006306AC"/>
    <w:rsid w:val="00641A8C"/>
    <w:rsid w:val="0067000F"/>
    <w:rsid w:val="00681A10"/>
    <w:rsid w:val="006A1ED8"/>
    <w:rsid w:val="006C2031"/>
    <w:rsid w:val="006D461A"/>
    <w:rsid w:val="006F35EE"/>
    <w:rsid w:val="007021FF"/>
    <w:rsid w:val="00706B3D"/>
    <w:rsid w:val="00712895"/>
    <w:rsid w:val="00725383"/>
    <w:rsid w:val="00757357"/>
    <w:rsid w:val="007C46C9"/>
    <w:rsid w:val="007C49AB"/>
    <w:rsid w:val="007D12ED"/>
    <w:rsid w:val="0082087A"/>
    <w:rsid w:val="00825F8D"/>
    <w:rsid w:val="00834B71"/>
    <w:rsid w:val="0086445C"/>
    <w:rsid w:val="00894693"/>
    <w:rsid w:val="008A08D7"/>
    <w:rsid w:val="008A3166"/>
    <w:rsid w:val="008B227E"/>
    <w:rsid w:val="008B360C"/>
    <w:rsid w:val="008B6909"/>
    <w:rsid w:val="008D2AAD"/>
    <w:rsid w:val="0090054A"/>
    <w:rsid w:val="00906890"/>
    <w:rsid w:val="00911BE4"/>
    <w:rsid w:val="00951972"/>
    <w:rsid w:val="009608F3"/>
    <w:rsid w:val="009A24AC"/>
    <w:rsid w:val="009D5FCE"/>
    <w:rsid w:val="00A14DA8"/>
    <w:rsid w:val="00A312BC"/>
    <w:rsid w:val="00A84021"/>
    <w:rsid w:val="00A84D35"/>
    <w:rsid w:val="00A917B3"/>
    <w:rsid w:val="00AB4B51"/>
    <w:rsid w:val="00B10CC7"/>
    <w:rsid w:val="00B27969"/>
    <w:rsid w:val="00B32719"/>
    <w:rsid w:val="00B36DF7"/>
    <w:rsid w:val="00B539E7"/>
    <w:rsid w:val="00B62458"/>
    <w:rsid w:val="00B67B12"/>
    <w:rsid w:val="00BC18B2"/>
    <w:rsid w:val="00BD33EE"/>
    <w:rsid w:val="00C106D6"/>
    <w:rsid w:val="00C136A1"/>
    <w:rsid w:val="00C60F0C"/>
    <w:rsid w:val="00C805C9"/>
    <w:rsid w:val="00C92939"/>
    <w:rsid w:val="00CA1679"/>
    <w:rsid w:val="00CB151C"/>
    <w:rsid w:val="00CE5A1A"/>
    <w:rsid w:val="00CF55F6"/>
    <w:rsid w:val="00D33D63"/>
    <w:rsid w:val="00D90028"/>
    <w:rsid w:val="00D90138"/>
    <w:rsid w:val="00DD78D1"/>
    <w:rsid w:val="00DE32CD"/>
    <w:rsid w:val="00DF71B9"/>
    <w:rsid w:val="00E32125"/>
    <w:rsid w:val="00E73F76"/>
    <w:rsid w:val="00EA2C9F"/>
    <w:rsid w:val="00EA420E"/>
    <w:rsid w:val="00ED0BDA"/>
    <w:rsid w:val="00ED3EBD"/>
    <w:rsid w:val="00EF1360"/>
    <w:rsid w:val="00EF3220"/>
    <w:rsid w:val="00F0540A"/>
    <w:rsid w:val="00F41B03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F56BD4"/>
  <w15:docId w15:val="{36455F30-2CEB-471E-BC14-B7687ABF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055E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306AC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8A316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8A31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8A31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8A31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8A316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8A316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8A316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8A316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8A31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641A8C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306AC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306AC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306AC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306AC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306AC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306AC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627C61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306AC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306AC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306AC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306AC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306AC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306AC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627C6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306AC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306AC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306AC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306AC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306AC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306AC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306AC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306AC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306AC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4055E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306AC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306AC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306AC"/>
  </w:style>
  <w:style w:type="character" w:customStyle="1" w:styleId="af0">
    <w:name w:val="Текст концевой сноски Знак"/>
    <w:aliases w:val="2_G Знак"/>
    <w:basedOn w:val="a0"/>
    <w:link w:val="af"/>
    <w:rsid w:val="006306AC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306AC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306AC"/>
    <w:rPr>
      <w:color w:val="0000FF" w:themeColor="hyperlink"/>
      <w:u w:val="none"/>
    </w:rPr>
  </w:style>
  <w:style w:type="character" w:styleId="af2">
    <w:name w:val="FollowedHyperlink"/>
    <w:basedOn w:val="a0"/>
    <w:rsid w:val="006306AC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725383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locked/>
    <w:rsid w:val="00725383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ER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CERD.dotm</Template>
  <TotalTime>17</TotalTime>
  <Pages>9</Pages>
  <Words>3893</Words>
  <Characters>22192</Characters>
  <Application>Microsoft Office Word</Application>
  <DocSecurity>0</DocSecurity>
  <Lines>184</Lines>
  <Paragraphs>52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CERD/C/LBN/CO/23-24</vt:lpstr>
      <vt:lpstr>A/</vt:lpstr>
      <vt:lpstr>A/</vt:lpstr>
    </vt:vector>
  </TitlesOfParts>
  <Company>DCM</Company>
  <LinksUpToDate>false</LinksUpToDate>
  <CharactersWithSpaces>26033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CERD/C/LBN/CO/23-24</dc:title>
  <dc:subject/>
  <dc:creator>Svetlana PROKOUDINA</dc:creator>
  <cp:keywords/>
  <cp:lastModifiedBy>Svetlana Prokoudina</cp:lastModifiedBy>
  <cp:revision>4</cp:revision>
  <cp:lastPrinted>2021-09-30T06:41:00Z</cp:lastPrinted>
  <dcterms:created xsi:type="dcterms:W3CDTF">2021-09-30T06:41:00Z</dcterms:created>
  <dcterms:modified xsi:type="dcterms:W3CDTF">2021-09-30T06:59:00Z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