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58" w:rsidRPr="003B4118" w:rsidRDefault="00930D58" w:rsidP="00930D58">
      <w:pPr>
        <w:spacing w:line="240" w:lineRule="auto"/>
        <w:rPr>
          <w:sz w:val="6"/>
        </w:rPr>
        <w:sectPr w:rsidR="00930D58" w:rsidRPr="003B4118" w:rsidSect="00D95C6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3B4118">
        <w:rPr>
          <w:rStyle w:val="CommentReference"/>
          <w:szCs w:val="20"/>
        </w:rPr>
        <w:commentReference w:id="0"/>
      </w:r>
    </w:p>
    <w:p w:rsidR="003B4118" w:rsidRPr="00983C07" w:rsidRDefault="003B4118" w:rsidP="003B41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83C07">
        <w:t xml:space="preserve">Comité para la Eliminación de la Discriminación </w:t>
      </w:r>
    </w:p>
    <w:p w:rsidR="003B4118" w:rsidRPr="00983C07" w:rsidRDefault="003B4118" w:rsidP="003B41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83C07">
        <w:t>contra la Mujer</w:t>
      </w: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83C07">
        <w:t>59° período de sesiones</w:t>
      </w:r>
    </w:p>
    <w:p w:rsidR="003B4118" w:rsidRPr="00983C07" w:rsidRDefault="003B4118" w:rsidP="003B4118">
      <w:pPr>
        <w:tabs>
          <w:tab w:val="left" w:pos="475"/>
          <w:tab w:val="left" w:pos="965"/>
          <w:tab w:val="left" w:pos="1440"/>
          <w:tab w:val="left" w:pos="1915"/>
          <w:tab w:val="left" w:pos="2405"/>
          <w:tab w:val="left" w:pos="2880"/>
          <w:tab w:val="left" w:pos="3355"/>
        </w:tabs>
      </w:pPr>
      <w:r w:rsidRPr="00983C07">
        <w:t>20 de octubre a 7 de noviembre de 2014</w:t>
      </w:r>
    </w:p>
    <w:p w:rsidR="003B4118" w:rsidRPr="00983C07" w:rsidRDefault="003B4118" w:rsidP="003B4118">
      <w:pPr>
        <w:tabs>
          <w:tab w:val="left" w:pos="475"/>
          <w:tab w:val="left" w:pos="965"/>
          <w:tab w:val="left" w:pos="1440"/>
          <w:tab w:val="left" w:pos="1915"/>
          <w:tab w:val="left" w:pos="2405"/>
          <w:tab w:val="left" w:pos="2880"/>
          <w:tab w:val="left" w:pos="3355"/>
        </w:tabs>
      </w:pPr>
      <w:r w:rsidRPr="00983C07">
        <w:t>Tema 2 del programa provisional</w:t>
      </w: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983C07">
        <w:t>Aprobación del programa y organización de los trabajos</w:t>
      </w:r>
    </w:p>
    <w:p w:rsidR="003B4118" w:rsidRPr="00983C07" w:rsidRDefault="003B4118" w:rsidP="003B4118">
      <w:pPr>
        <w:pStyle w:val="SingleTxt"/>
        <w:spacing w:after="0" w:line="120" w:lineRule="exact"/>
        <w:rPr>
          <w:sz w:val="10"/>
        </w:rPr>
      </w:pPr>
    </w:p>
    <w:p w:rsidR="003B4118" w:rsidRPr="00983C07" w:rsidRDefault="003B4118" w:rsidP="003B4118">
      <w:pPr>
        <w:pStyle w:val="SingleTxt"/>
        <w:spacing w:after="0" w:line="120" w:lineRule="exact"/>
        <w:rPr>
          <w:sz w:val="10"/>
        </w:rPr>
      </w:pPr>
    </w:p>
    <w:p w:rsidR="003B4118" w:rsidRPr="00983C07" w:rsidRDefault="003B4118" w:rsidP="003B4118">
      <w:pPr>
        <w:pStyle w:val="SingleTxt"/>
        <w:spacing w:after="0" w:line="120" w:lineRule="exact"/>
        <w:rPr>
          <w:sz w:val="10"/>
        </w:rPr>
      </w:pPr>
    </w:p>
    <w:p w:rsidR="003B4118" w:rsidRPr="00983C07" w:rsidRDefault="003B4118" w:rsidP="003B41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r>
      <w:r w:rsidRPr="00983C07">
        <w:tab/>
        <w:t>Programa provisional y anotaciones</w:t>
      </w:r>
    </w:p>
    <w:p w:rsidR="003B4118" w:rsidRPr="00983C07" w:rsidRDefault="003B4118" w:rsidP="003B4118">
      <w:pPr>
        <w:pStyle w:val="SingleTxt"/>
        <w:spacing w:after="0" w:line="120" w:lineRule="exact"/>
        <w:rPr>
          <w:sz w:val="10"/>
        </w:rPr>
      </w:pPr>
    </w:p>
    <w:p w:rsidR="003B4118" w:rsidRPr="00983C07" w:rsidRDefault="003B4118" w:rsidP="003B4118">
      <w:pPr>
        <w:pStyle w:val="SingleTxt"/>
        <w:spacing w:after="0" w:line="120" w:lineRule="exact"/>
        <w:rPr>
          <w:sz w:val="10"/>
        </w:rPr>
      </w:pPr>
    </w:p>
    <w:p w:rsidR="003B4118" w:rsidRPr="00983C07" w:rsidRDefault="003B4118" w:rsidP="003B41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r>
      <w:r w:rsidRPr="00983C07">
        <w:tab/>
        <w:t>Programa provisional</w:t>
      </w:r>
    </w:p>
    <w:p w:rsidR="003B4118" w:rsidRPr="00983C07" w:rsidRDefault="003B4118" w:rsidP="003B4118">
      <w:pPr>
        <w:pStyle w:val="SingleTxt"/>
        <w:spacing w:after="0" w:line="120" w:lineRule="exact"/>
        <w:rPr>
          <w:sz w:val="10"/>
        </w:rPr>
      </w:pPr>
    </w:p>
    <w:p w:rsidR="003B4118" w:rsidRPr="00983C07" w:rsidRDefault="003B4118" w:rsidP="003B4118">
      <w:pPr>
        <w:pStyle w:val="SingleTxt"/>
        <w:spacing w:after="0" w:line="120" w:lineRule="exact"/>
        <w:rPr>
          <w:sz w:val="10"/>
        </w:rPr>
      </w:pPr>
    </w:p>
    <w:p w:rsidR="003B4118" w:rsidRPr="00983C07" w:rsidRDefault="003B4118" w:rsidP="003B4118">
      <w:pPr>
        <w:pStyle w:val="SingleTxt"/>
        <w:ind w:left="1742" w:hanging="475"/>
        <w:jc w:val="left"/>
      </w:pPr>
      <w:r w:rsidRPr="00983C07">
        <w:t>1.</w:t>
      </w:r>
      <w:r w:rsidRPr="00983C07">
        <w:tab/>
        <w:t>Apertura del período de sesiones.</w:t>
      </w:r>
    </w:p>
    <w:p w:rsidR="003B4118" w:rsidRPr="00983C07" w:rsidRDefault="003B4118" w:rsidP="003B4118">
      <w:pPr>
        <w:pStyle w:val="SingleTxt"/>
        <w:ind w:left="1742" w:hanging="475"/>
        <w:jc w:val="left"/>
      </w:pPr>
      <w:r w:rsidRPr="00983C07">
        <w:t>2.</w:t>
      </w:r>
      <w:r w:rsidRPr="00983C07">
        <w:tab/>
        <w:t>Aprobación del programa y organización de los trabajos.</w:t>
      </w:r>
    </w:p>
    <w:p w:rsidR="003B4118" w:rsidRPr="00983C07" w:rsidRDefault="003B4118" w:rsidP="003B4118">
      <w:pPr>
        <w:pStyle w:val="SingleTxt"/>
        <w:ind w:left="1742" w:hanging="475"/>
        <w:jc w:val="left"/>
      </w:pPr>
      <w:r w:rsidRPr="00983C07">
        <w:t>3.</w:t>
      </w:r>
      <w:r w:rsidRPr="00983C07">
        <w:tab/>
        <w:t>Informe de la Presidencia sobre las actividades realizadas entre los períodos de sesiones 58º y 59º del Comité.</w:t>
      </w:r>
    </w:p>
    <w:p w:rsidR="003B4118" w:rsidRPr="00983C07" w:rsidRDefault="003B4118" w:rsidP="003B4118">
      <w:pPr>
        <w:pStyle w:val="SingleTxt"/>
        <w:ind w:left="1742" w:hanging="475"/>
        <w:jc w:val="left"/>
      </w:pPr>
      <w:r w:rsidRPr="00983C07">
        <w:t>4.</w:t>
      </w:r>
      <w:r w:rsidRPr="00983C07">
        <w:tab/>
        <w:t>Examen de los informes presentados por los Estados partes en virtud del artículo 18 de la Convención sobre la eliminación de todas las formas de discriminación contra la mujer.</w:t>
      </w:r>
    </w:p>
    <w:p w:rsidR="003B4118" w:rsidRPr="00983C07" w:rsidRDefault="003B4118" w:rsidP="003B4118">
      <w:pPr>
        <w:pStyle w:val="SingleTxt"/>
        <w:ind w:left="1742" w:hanging="475"/>
        <w:jc w:val="left"/>
      </w:pPr>
      <w:r w:rsidRPr="00983C07">
        <w:t>5.</w:t>
      </w:r>
      <w:r w:rsidRPr="00983C07">
        <w:tab/>
        <w:t>Seguimiento del examen de los informes presentados por los Estados partes en virtud del artículo 18 de la Convención sobre la eliminación de todas las formas de discriminación contra la mujer.</w:t>
      </w:r>
    </w:p>
    <w:p w:rsidR="003B4118" w:rsidRPr="00983C07" w:rsidRDefault="003B4118" w:rsidP="003B4118">
      <w:pPr>
        <w:pStyle w:val="SingleTxt"/>
        <w:ind w:left="1742" w:hanging="475"/>
        <w:jc w:val="left"/>
      </w:pPr>
      <w:r w:rsidRPr="00983C07">
        <w:t>6.</w:t>
      </w:r>
      <w:r w:rsidRPr="00983C07">
        <w:tab/>
        <w:t>Aplicación de los artículos 21 y 22 de la Convención sobre la eliminación de todas las formas de discriminación contra la mujer.</w:t>
      </w:r>
    </w:p>
    <w:p w:rsidR="003B4118" w:rsidRPr="00983C07" w:rsidRDefault="003B4118" w:rsidP="003B4118">
      <w:pPr>
        <w:pStyle w:val="SingleTxt"/>
        <w:ind w:left="1742" w:hanging="475"/>
        <w:jc w:val="left"/>
      </w:pPr>
      <w:r w:rsidRPr="00983C07">
        <w:t>7.</w:t>
      </w:r>
      <w:r w:rsidRPr="00983C07">
        <w:tab/>
        <w:t>Medios de agilizar los trabajos del Comité.</w:t>
      </w:r>
    </w:p>
    <w:p w:rsidR="003B4118" w:rsidRPr="00983C07" w:rsidRDefault="003B4118" w:rsidP="003B4118">
      <w:pPr>
        <w:pStyle w:val="SingleTxt"/>
        <w:ind w:left="1742" w:hanging="475"/>
        <w:jc w:val="left"/>
      </w:pPr>
      <w:r w:rsidRPr="00983C07">
        <w:t>8.</w:t>
      </w:r>
      <w:r w:rsidRPr="00983C07">
        <w:tab/>
        <w:t>Actividades del Comité en relación con el Protocolo Facultativo de la Convención sobre la eliminación de todas las formas de discriminación contra la mujer.</w:t>
      </w:r>
    </w:p>
    <w:p w:rsidR="003B4118" w:rsidRPr="00983C07" w:rsidRDefault="003B4118" w:rsidP="003B4118">
      <w:pPr>
        <w:pStyle w:val="SingleTxt"/>
        <w:ind w:left="1742" w:hanging="475"/>
        <w:jc w:val="left"/>
      </w:pPr>
      <w:r w:rsidRPr="00983C07">
        <w:t>9.</w:t>
      </w:r>
      <w:r w:rsidRPr="00983C07">
        <w:tab/>
        <w:t>Programa provisional del 60º período de sesiones del Comité.</w:t>
      </w:r>
    </w:p>
    <w:p w:rsidR="003B4118" w:rsidRPr="00983C07" w:rsidRDefault="003B4118" w:rsidP="003B4118">
      <w:pPr>
        <w:pStyle w:val="SingleTxt"/>
        <w:ind w:left="1742" w:hanging="475"/>
        <w:jc w:val="left"/>
      </w:pPr>
      <w:r w:rsidRPr="00983C07">
        <w:t>10.</w:t>
      </w:r>
      <w:r w:rsidRPr="00983C07">
        <w:tab/>
        <w:t>Aprobación del informe del Comité sobre su 59º período de sesiones.</w:t>
      </w:r>
    </w:p>
    <w:p w:rsidR="003B4118" w:rsidRPr="00983C07" w:rsidRDefault="003B4118" w:rsidP="003B4118">
      <w:pPr>
        <w:pStyle w:val="SingleTxt"/>
      </w:pPr>
    </w:p>
    <w:p w:rsidR="003B4118" w:rsidRPr="00983C07" w:rsidRDefault="003B4118" w:rsidP="003B41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br w:type="page"/>
      </w:r>
      <w:r w:rsidRPr="00983C07">
        <w:tab/>
      </w:r>
      <w:r w:rsidRPr="00983C07">
        <w:tab/>
        <w:t>Anotaciones</w:t>
      </w:r>
    </w:p>
    <w:p w:rsidR="003B4118" w:rsidRPr="00983C07" w:rsidRDefault="003B4118" w:rsidP="003B4118">
      <w:pPr>
        <w:pStyle w:val="SingleTxt"/>
        <w:spacing w:after="0" w:line="120" w:lineRule="exact"/>
        <w:rPr>
          <w:sz w:val="10"/>
        </w:rPr>
      </w:pP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t>1.</w:t>
      </w:r>
      <w:r w:rsidRPr="00983C07">
        <w:tab/>
        <w:t>Apertura del período de sesiones</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La Presidenta del Comité inaugurará el 59º período de sesiones del Comité para la Eliminación de la Discriminación contra la Mujer.</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t>2.</w:t>
      </w:r>
      <w:r w:rsidRPr="00983C07">
        <w:tab/>
        <w:t>Aprobación del programa y organización de los trabajos</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Según el artículo 9 del reglamento, la aprobación del programa será el primer tema sustantivo del programa provisional de cada período de sesiones. En el artículo 7 se establece que el Secretario General, en consulta con la Presidencia del Comité, preparará el programa provisional de cada período de sesiones de conformidad con las disposiciones pertinentes de los artículos 17 a 22 de la Convención.</w:t>
      </w:r>
    </w:p>
    <w:p w:rsidR="003B4118" w:rsidRPr="00983C07" w:rsidRDefault="003B4118" w:rsidP="003B4118">
      <w:pPr>
        <w:pStyle w:val="SingleTxt"/>
      </w:pPr>
      <w:r w:rsidRPr="00983C07">
        <w:t>En su 58º período de sesiones, el Comité aprobó el programa provisional de su 59º período de sesiones.</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983C07">
        <w:tab/>
        <w:t>3.</w:t>
      </w:r>
      <w:r w:rsidRPr="00983C07">
        <w:tab/>
        <w:t>Informe de la Presidencia sobre las actividades realizadas entre los períodos de sesiones 58º y 59º del Comité</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La Presidencia informará al Comité sobre las actividades y los acontecimientos relacionados con la labor del Comité que hayan ocurrido desde el período de sesiones anterior.</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r>
      <w:r w:rsidRPr="00983C07">
        <w:tab/>
        <w:t>Documentación</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Programa provisional y anotaciones (</w:t>
      </w:r>
      <w:hyperlink r:id="rId14" w:history="1">
        <w:r w:rsidRPr="00983C07">
          <w:rPr>
            <w:rStyle w:val="Hyperlink"/>
          </w:rPr>
          <w:t>CEDAW/C/59/1</w:t>
        </w:r>
      </w:hyperlink>
      <w:r w:rsidRPr="00983C07">
        <w:t>)</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42" w:hanging="1267"/>
      </w:pPr>
      <w:r w:rsidRPr="00983C07">
        <w:tab/>
        <w:t>4.</w:t>
      </w:r>
      <w:r w:rsidRPr="00983C07">
        <w:tab/>
        <w:t>Examen de los informes presentados por los Estados partes en virtud del artículo 18 de la Convención sobre la eliminación de todas las formas de discriminación contra la mujer</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Según lo dispuesto en el artículo 18 de la Convención, los Estados partes presentarán al Secretario General, para que lo examine el Comité, un informe sobre las medidas legislativas, judiciales, administrativas o de otra índole que hayan adoptado para hacer efectivas las disposiciones de la Convención y sobre los progresos realizados a ese respecto. Los informes deberán presentarse en el plazo de un año a contar de la entrada en vigor de la Convención para el Estado de que se trate y en lo sucesivo por lo menos cada cuatro años y, además, cuando el Comité lo solicite.</w:t>
      </w:r>
    </w:p>
    <w:p w:rsidR="003B4118" w:rsidRPr="00983C07" w:rsidRDefault="003B4118" w:rsidP="003B4118">
      <w:pPr>
        <w:pStyle w:val="SingleTxt"/>
      </w:pPr>
      <w:r w:rsidRPr="00983C07">
        <w:t>En el 59º período de sesiones del Comité está previsto que se examinen los informes de los siguientes Estados partes: Bélgica, Brunei Darussalam, China, Ghana, Guinea, Islas Salomón, Polonia y Venezuela (República Bolivariana de).</w:t>
      </w:r>
    </w:p>
    <w:p w:rsidR="003B4118" w:rsidRPr="00983C07" w:rsidRDefault="003B4118" w:rsidP="003B4118">
      <w:pPr>
        <w:pStyle w:val="SingleTxt"/>
      </w:pPr>
      <w:r w:rsidRPr="00983C07">
        <w:t>Con arreglo a lo dispuesto en el artículo 51 del reglamento, los representantes de los Estados partes asistirán a las sesiones del Comité en las que se examinarán sus respectivos informes, participarán en las deliberaciones y responderán a las preguntas relativas a dicho informe.</w:t>
      </w:r>
    </w:p>
    <w:p w:rsidR="003B4118" w:rsidRPr="00983C07" w:rsidRDefault="003B4118" w:rsidP="003B4118">
      <w:pPr>
        <w:pStyle w:val="SingleTxt"/>
      </w:pPr>
      <w:r w:rsidRPr="00983C07">
        <w:t>En el artículo 49 del reglamento se establece que, en cada período de sesiones, el Secretario General notificará al Comité los casos en que no se hayan recibido los informes solicitados a un Estado parte en virtud del artículo 18 de la Convención. El Secretario General facilitará también al Comité una lista de los informes presentados por los Estados partes en la Convención, así como una lista de los informes presentados por los Estados partes en la Convención que todavía no hayan sido examinados por el Comité.</w:t>
      </w:r>
    </w:p>
    <w:p w:rsidR="003B4118" w:rsidRPr="00983C07" w:rsidRDefault="003B4118" w:rsidP="003B4118">
      <w:pPr>
        <w:pStyle w:val="SingleTxt"/>
      </w:pPr>
      <w:r w:rsidRPr="00983C07">
        <w:t>En su 59º período de sesiones, el Comité será informado del estado de la presentación de informes retrasados que los Estados partes deben presentar en virtud del artículo 18 de la Convención.</w:t>
      </w:r>
    </w:p>
    <w:p w:rsidR="003B4118" w:rsidRPr="00983C07" w:rsidRDefault="003B4118" w:rsidP="003B4118">
      <w:pPr>
        <w:pStyle w:val="SingleTxt"/>
      </w:pPr>
      <w:r w:rsidRPr="00983C07">
        <w:t>Antes de cada período de sesiones se reúne un grupo de trabajo del Comité encargado de preparar una lista de cuestiones y preguntas relativas a los informes, que se transmite a los Estados partes antes de las sesiones reservadas para el examen de los informes. El grupo de trabajo anterior al 59º período de sesiones se reunió en Ginebra del 3 al 7 de marzo de 2014. El Comité tendrá ante sí el informe del grupo de trabajo (</w:t>
      </w:r>
      <w:hyperlink r:id="rId15" w:history="1">
        <w:r w:rsidRPr="00983C07">
          <w:rPr>
            <w:rStyle w:val="Hyperlink"/>
          </w:rPr>
          <w:t>CEDAW/C/PSWG/59/1</w:t>
        </w:r>
      </w:hyperlink>
      <w:r w:rsidRPr="00983C07">
        <w:t>) y las respuestas de los Estados partes a las listas de cuestiones y preguntas.</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r>
      <w:r w:rsidRPr="00983C07">
        <w:tab/>
        <w:t>Documentación</w:t>
      </w:r>
    </w:p>
    <w:p w:rsidR="003B4118" w:rsidRPr="00983C07" w:rsidRDefault="003B4118" w:rsidP="003B4118">
      <w:pPr>
        <w:pStyle w:val="SingleTxt"/>
        <w:spacing w:after="0" w:line="120" w:lineRule="exact"/>
        <w:rPr>
          <w:sz w:val="10"/>
        </w:rPr>
      </w:pPr>
    </w:p>
    <w:p w:rsidR="003B4118" w:rsidRPr="00983C07" w:rsidRDefault="003B4118" w:rsidP="003B411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r>
      <w:r w:rsidRPr="00983C07">
        <w:tab/>
        <w:t>Informes</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Séptimo informe periódico de Bélgica (</w:t>
      </w:r>
      <w:hyperlink r:id="rId16" w:history="1">
        <w:r w:rsidRPr="00983C07">
          <w:rPr>
            <w:rStyle w:val="Hyperlink"/>
          </w:rPr>
          <w:t>CEDAW/C/BEL/7</w:t>
        </w:r>
      </w:hyperlink>
      <w:r w:rsidRPr="00983C07">
        <w:t>)</w:t>
      </w:r>
    </w:p>
    <w:p w:rsidR="003B4118" w:rsidRPr="00983C07" w:rsidRDefault="003B4118" w:rsidP="003B4118">
      <w:pPr>
        <w:pStyle w:val="SingleTxt"/>
      </w:pPr>
      <w:r w:rsidRPr="00983C07">
        <w:t>Informe inicial y segundo informe periódico combinados de Brunei Darussalam (</w:t>
      </w:r>
      <w:hyperlink r:id="rId17" w:history="1">
        <w:r w:rsidRPr="00983C07">
          <w:rPr>
            <w:rStyle w:val="Hyperlink"/>
          </w:rPr>
          <w:t>CEDAW/C/BRN/1-2</w:t>
        </w:r>
      </w:hyperlink>
      <w:r w:rsidRPr="00983C07">
        <w:t>)</w:t>
      </w:r>
    </w:p>
    <w:p w:rsidR="003B4118" w:rsidRPr="00983C07" w:rsidRDefault="003B4118" w:rsidP="003B4118">
      <w:pPr>
        <w:pStyle w:val="SingleTxt"/>
      </w:pPr>
      <w:r w:rsidRPr="00983C07">
        <w:t>Informes periódicos séptimo y octavo combinados de China (</w:t>
      </w:r>
      <w:hyperlink r:id="rId18" w:history="1">
        <w:r w:rsidRPr="00983C07">
          <w:rPr>
            <w:rStyle w:val="Hyperlink"/>
          </w:rPr>
          <w:t>CEDAW/C/CHN/7-8</w:t>
        </w:r>
      </w:hyperlink>
      <w:r w:rsidRPr="00983C07">
        <w:t xml:space="preserve">), </w:t>
      </w:r>
      <w:hyperlink r:id="rId19" w:history="1">
        <w:r w:rsidRPr="00983C07">
          <w:rPr>
            <w:rStyle w:val="Hyperlink"/>
          </w:rPr>
          <w:t>CEDAW/C/CHN-HKG/7-8</w:t>
        </w:r>
      </w:hyperlink>
      <w:r w:rsidRPr="00983C07">
        <w:t xml:space="preserve"> y </w:t>
      </w:r>
      <w:hyperlink r:id="rId20" w:history="1">
        <w:r w:rsidRPr="00983C07">
          <w:rPr>
            <w:rStyle w:val="Hyperlink"/>
          </w:rPr>
          <w:t>CEDAW/C/CHN-MAC/7-8</w:t>
        </w:r>
      </w:hyperlink>
      <w:r w:rsidRPr="00983C07">
        <w:t>)</w:t>
      </w:r>
    </w:p>
    <w:p w:rsidR="003B4118" w:rsidRPr="00983C07" w:rsidRDefault="003B4118" w:rsidP="003B4118">
      <w:pPr>
        <w:pStyle w:val="SingleTxt"/>
      </w:pPr>
      <w:r w:rsidRPr="00983C07">
        <w:t>Informes periódicos sexto y séptimo combinados de Ghana (</w:t>
      </w:r>
      <w:hyperlink r:id="rId21" w:history="1">
        <w:r w:rsidRPr="00983C07">
          <w:rPr>
            <w:rStyle w:val="Hyperlink"/>
          </w:rPr>
          <w:t>CEDAW/C/GHA/6-7</w:t>
        </w:r>
      </w:hyperlink>
      <w:r w:rsidRPr="00983C07">
        <w:t>)</w:t>
      </w:r>
    </w:p>
    <w:p w:rsidR="003B4118" w:rsidRPr="00983C07" w:rsidRDefault="003B4118" w:rsidP="003B4118">
      <w:pPr>
        <w:pStyle w:val="SingleTxt"/>
      </w:pPr>
      <w:r w:rsidRPr="00983C07">
        <w:t>Informes periódicos séptimo y octavo combinados de Guinea (</w:t>
      </w:r>
      <w:hyperlink r:id="rId22" w:history="1">
        <w:r w:rsidRPr="00983C07">
          <w:rPr>
            <w:rStyle w:val="Hyperlink"/>
          </w:rPr>
          <w:t>CEDAW/C/GIN/7-8</w:t>
        </w:r>
      </w:hyperlink>
      <w:r w:rsidRPr="00983C07">
        <w:t>)</w:t>
      </w:r>
    </w:p>
    <w:p w:rsidR="003B4118" w:rsidRPr="00983C07" w:rsidRDefault="003B4118" w:rsidP="003B4118">
      <w:pPr>
        <w:pStyle w:val="SingleTxt"/>
      </w:pPr>
      <w:r w:rsidRPr="00983C07">
        <w:t>Informes periódicos séptimo y octavo combinados de Polonia (</w:t>
      </w:r>
      <w:hyperlink r:id="rId23" w:history="1">
        <w:r w:rsidRPr="00983C07">
          <w:rPr>
            <w:rStyle w:val="Hyperlink"/>
          </w:rPr>
          <w:t>CEDAW/C/POL/7-8</w:t>
        </w:r>
      </w:hyperlink>
      <w:r w:rsidRPr="00983C07">
        <w:t>)</w:t>
      </w:r>
    </w:p>
    <w:p w:rsidR="003B4118" w:rsidRPr="00983C07" w:rsidRDefault="003B4118" w:rsidP="003B4118">
      <w:pPr>
        <w:pStyle w:val="SingleTxt"/>
      </w:pPr>
      <w:r w:rsidRPr="00983C07">
        <w:t>Informe inicial e informes periódicos segundo y tercero combinados de Islas Salomón (</w:t>
      </w:r>
      <w:hyperlink r:id="rId24" w:history="1">
        <w:r w:rsidRPr="00983C07">
          <w:rPr>
            <w:rStyle w:val="Hyperlink"/>
          </w:rPr>
          <w:t>CEDAW/C/SLB/1-3</w:t>
        </w:r>
      </w:hyperlink>
      <w:r w:rsidRPr="00983C07">
        <w:t>)</w:t>
      </w:r>
    </w:p>
    <w:p w:rsidR="003B4118" w:rsidRPr="00983C07" w:rsidRDefault="003B4118" w:rsidP="003B4118">
      <w:pPr>
        <w:pStyle w:val="SingleTxt"/>
      </w:pPr>
      <w:r w:rsidRPr="00983C07">
        <w:t>Informes periódicos séptimo y octavo combinados de la República Bolivariana de Venezuela (</w:t>
      </w:r>
      <w:hyperlink r:id="rId25" w:history="1">
        <w:r w:rsidRPr="00983C07">
          <w:rPr>
            <w:rStyle w:val="Hyperlink"/>
          </w:rPr>
          <w:t>CEDAW/C/VEN/7-8</w:t>
        </w:r>
      </w:hyperlink>
      <w:r w:rsidRPr="00983C07">
        <w:t>)</w:t>
      </w:r>
    </w:p>
    <w:p w:rsidR="003B4118" w:rsidRPr="00983C07" w:rsidRDefault="003B4118" w:rsidP="003B4118">
      <w:pPr>
        <w:pStyle w:val="SingleTxt"/>
        <w:spacing w:after="0" w:line="120" w:lineRule="exact"/>
        <w:rPr>
          <w:sz w:val="10"/>
        </w:rPr>
      </w:pPr>
    </w:p>
    <w:p w:rsidR="003B4118" w:rsidRPr="00983C07" w:rsidRDefault="003B4118" w:rsidP="003B411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r>
      <w:r w:rsidRPr="00983C07">
        <w:tab/>
        <w:t>Lista de cuestiones y preguntas</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Bélgica (</w:t>
      </w:r>
      <w:hyperlink r:id="rId26" w:history="1">
        <w:r w:rsidRPr="00983C07">
          <w:rPr>
            <w:rStyle w:val="Hyperlink"/>
          </w:rPr>
          <w:t>CEDAW/C/BEL/Q/7</w:t>
        </w:r>
      </w:hyperlink>
      <w:r w:rsidRPr="00983C07">
        <w:t>)</w:t>
      </w:r>
    </w:p>
    <w:p w:rsidR="003B4118" w:rsidRPr="00983C07" w:rsidRDefault="003B4118" w:rsidP="003B4118">
      <w:pPr>
        <w:pStyle w:val="SingleTxt"/>
        <w:rPr>
          <w:lang w:val="en-US"/>
        </w:rPr>
      </w:pPr>
      <w:r w:rsidRPr="00983C07">
        <w:rPr>
          <w:lang w:val="en-US"/>
        </w:rPr>
        <w:t>Brunei Darussalam (</w:t>
      </w:r>
      <w:hyperlink r:id="rId27" w:history="1">
        <w:r w:rsidRPr="00983C07">
          <w:rPr>
            <w:rStyle w:val="Hyperlink"/>
            <w:lang w:val="en-US"/>
          </w:rPr>
          <w:t>CEDAW/C/BRN/Q/1-2</w:t>
        </w:r>
      </w:hyperlink>
      <w:r w:rsidRPr="00983C07">
        <w:rPr>
          <w:lang w:val="en-US"/>
        </w:rPr>
        <w:t>)</w:t>
      </w:r>
    </w:p>
    <w:p w:rsidR="003B4118" w:rsidRPr="00983C07" w:rsidRDefault="003B4118" w:rsidP="003B4118">
      <w:pPr>
        <w:pStyle w:val="SingleTxt"/>
        <w:rPr>
          <w:lang w:val="en-US"/>
        </w:rPr>
      </w:pPr>
      <w:r w:rsidRPr="00983C07">
        <w:rPr>
          <w:lang w:val="en-US"/>
        </w:rPr>
        <w:t>China (</w:t>
      </w:r>
      <w:hyperlink r:id="rId28" w:history="1">
        <w:r w:rsidRPr="00983C07">
          <w:rPr>
            <w:rStyle w:val="Hyperlink"/>
            <w:lang w:val="en-US"/>
          </w:rPr>
          <w:t>CEDAW/C/CHN/Q/7-8</w:t>
        </w:r>
      </w:hyperlink>
      <w:r w:rsidRPr="00983C07">
        <w:rPr>
          <w:lang w:val="en-US"/>
        </w:rPr>
        <w:t>)</w:t>
      </w:r>
    </w:p>
    <w:p w:rsidR="003B4118" w:rsidRPr="00983C07" w:rsidRDefault="003B4118" w:rsidP="003B4118">
      <w:pPr>
        <w:pStyle w:val="SingleTxt"/>
      </w:pPr>
      <w:r w:rsidRPr="00983C07">
        <w:t>Ghana (</w:t>
      </w:r>
      <w:hyperlink r:id="rId29" w:history="1">
        <w:r w:rsidRPr="00983C07">
          <w:rPr>
            <w:rStyle w:val="Hyperlink"/>
          </w:rPr>
          <w:t>CEDAW/C/GHA/Q/6-7</w:t>
        </w:r>
      </w:hyperlink>
      <w:r w:rsidRPr="00983C07">
        <w:t>)</w:t>
      </w:r>
    </w:p>
    <w:p w:rsidR="003B4118" w:rsidRPr="00983C07" w:rsidRDefault="003B4118" w:rsidP="003B4118">
      <w:pPr>
        <w:pStyle w:val="SingleTxt"/>
        <w:rPr>
          <w:lang w:val="en-US"/>
        </w:rPr>
      </w:pPr>
      <w:r w:rsidRPr="00983C07">
        <w:rPr>
          <w:lang w:val="en-US"/>
        </w:rPr>
        <w:t>Guinea (</w:t>
      </w:r>
      <w:hyperlink r:id="rId30" w:history="1">
        <w:r w:rsidRPr="00983C07">
          <w:rPr>
            <w:rStyle w:val="Hyperlink"/>
            <w:lang w:val="en-US"/>
          </w:rPr>
          <w:t>CEDAW/C/GIN/Q/7-8</w:t>
        </w:r>
      </w:hyperlink>
      <w:r w:rsidRPr="00983C07">
        <w:rPr>
          <w:lang w:val="en-US"/>
        </w:rPr>
        <w:t>)</w:t>
      </w:r>
    </w:p>
    <w:p w:rsidR="003B4118" w:rsidRPr="00983C07" w:rsidRDefault="003B4118" w:rsidP="003B4118">
      <w:pPr>
        <w:pStyle w:val="SingleTxt"/>
      </w:pPr>
      <w:r w:rsidRPr="00983C07">
        <w:t>Polonia (</w:t>
      </w:r>
      <w:hyperlink r:id="rId31" w:history="1">
        <w:r w:rsidRPr="00983C07">
          <w:rPr>
            <w:rStyle w:val="Hyperlink"/>
          </w:rPr>
          <w:t>CEDAW/C/POL/Q/7-8</w:t>
        </w:r>
      </w:hyperlink>
      <w:r w:rsidRPr="00983C07">
        <w:t>)</w:t>
      </w:r>
    </w:p>
    <w:p w:rsidR="003B4118" w:rsidRPr="00983C07" w:rsidRDefault="003B4118" w:rsidP="003B4118">
      <w:pPr>
        <w:pStyle w:val="SingleTxt"/>
      </w:pPr>
      <w:r w:rsidRPr="00983C07">
        <w:t>Islas Salomón (</w:t>
      </w:r>
      <w:hyperlink r:id="rId32" w:history="1">
        <w:r w:rsidRPr="00983C07">
          <w:rPr>
            <w:rStyle w:val="Hyperlink"/>
          </w:rPr>
          <w:t>CEDAW/C/SLB/Q/1-3/Add.2</w:t>
        </w:r>
      </w:hyperlink>
      <w:r w:rsidRPr="00983C07">
        <w:t>)</w:t>
      </w:r>
    </w:p>
    <w:p w:rsidR="003B4118" w:rsidRPr="00983C07" w:rsidRDefault="003B4118" w:rsidP="003B4118">
      <w:pPr>
        <w:pStyle w:val="SingleTxt"/>
      </w:pPr>
      <w:r w:rsidRPr="00983C07">
        <w:t>Venezuela (República Bolivariana de) (</w:t>
      </w:r>
      <w:hyperlink r:id="rId33" w:history="1">
        <w:r w:rsidRPr="00983C07">
          <w:rPr>
            <w:rStyle w:val="Hyperlink"/>
          </w:rPr>
          <w:t>CEDAW/C/VEN/Q/7-8</w:t>
        </w:r>
      </w:hyperlink>
      <w:r w:rsidRPr="00983C07">
        <w:t>)</w:t>
      </w:r>
    </w:p>
    <w:p w:rsidR="003B4118" w:rsidRPr="00983C07" w:rsidRDefault="003B4118" w:rsidP="003B4118">
      <w:pPr>
        <w:pStyle w:val="SingleTxt"/>
        <w:spacing w:after="0" w:line="120" w:lineRule="exact"/>
        <w:rPr>
          <w:sz w:val="10"/>
        </w:rPr>
      </w:pPr>
    </w:p>
    <w:p w:rsidR="003B4118" w:rsidRPr="00983C07" w:rsidRDefault="003B4118" w:rsidP="003B411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r>
      <w:r w:rsidRPr="00983C07">
        <w:tab/>
        <w:t>Respuestas a la lista de cuestiones y preguntas</w:t>
      </w:r>
    </w:p>
    <w:p w:rsidR="003B4118" w:rsidRPr="00983C07" w:rsidRDefault="003B4118" w:rsidP="003B4118">
      <w:pPr>
        <w:pStyle w:val="SingleTxt"/>
        <w:keepNext/>
        <w:keepLines/>
        <w:spacing w:after="0" w:line="120" w:lineRule="exact"/>
        <w:rPr>
          <w:sz w:val="10"/>
        </w:rPr>
      </w:pPr>
    </w:p>
    <w:p w:rsidR="003B4118" w:rsidRPr="00983C07" w:rsidRDefault="003B4118" w:rsidP="003B4118">
      <w:pPr>
        <w:pStyle w:val="SingleTxt"/>
        <w:keepNext/>
        <w:keepLines/>
      </w:pPr>
      <w:r w:rsidRPr="00983C07">
        <w:t>Bélgica (</w:t>
      </w:r>
      <w:hyperlink r:id="rId34" w:history="1">
        <w:r w:rsidRPr="00983C07">
          <w:rPr>
            <w:rStyle w:val="Hyperlink"/>
          </w:rPr>
          <w:t>CEDAW/C/BEL/Q/7/Add.1</w:t>
        </w:r>
      </w:hyperlink>
      <w:r w:rsidRPr="00983C07">
        <w:t>)</w:t>
      </w:r>
    </w:p>
    <w:p w:rsidR="003B4118" w:rsidRPr="00983C07" w:rsidRDefault="003B4118" w:rsidP="003B4118">
      <w:pPr>
        <w:pStyle w:val="SingleTxt"/>
      </w:pPr>
      <w:r w:rsidRPr="00983C07">
        <w:t>Brunei Darussalam (</w:t>
      </w:r>
      <w:hyperlink r:id="rId35" w:history="1">
        <w:r w:rsidRPr="00983C07">
          <w:rPr>
            <w:rStyle w:val="Hyperlink"/>
          </w:rPr>
          <w:t>CEDAW/C/BRN/Q/1-2/Add.1</w:t>
        </w:r>
      </w:hyperlink>
      <w:r w:rsidRPr="00983C07">
        <w:t>)</w:t>
      </w:r>
    </w:p>
    <w:p w:rsidR="003B4118" w:rsidRPr="00983C07" w:rsidRDefault="003B4118" w:rsidP="003B4118">
      <w:pPr>
        <w:pStyle w:val="SingleTxt"/>
        <w:rPr>
          <w:lang w:val="en-US"/>
        </w:rPr>
      </w:pPr>
      <w:r w:rsidRPr="00983C07">
        <w:rPr>
          <w:lang w:val="en-US"/>
        </w:rPr>
        <w:t>China (</w:t>
      </w:r>
      <w:hyperlink r:id="rId36" w:history="1">
        <w:r w:rsidRPr="00983C07">
          <w:rPr>
            <w:rStyle w:val="Hyperlink"/>
            <w:lang w:val="en-US"/>
          </w:rPr>
          <w:t>CEDAW/C/CHN/Q/7-8/Add.1</w:t>
        </w:r>
      </w:hyperlink>
      <w:r w:rsidRPr="00983C07">
        <w:rPr>
          <w:lang w:val="en-US"/>
        </w:rPr>
        <w:t>)</w:t>
      </w:r>
    </w:p>
    <w:p w:rsidR="003B4118" w:rsidRPr="00983C07" w:rsidRDefault="003B4118" w:rsidP="003B4118">
      <w:pPr>
        <w:pStyle w:val="SingleTxt"/>
        <w:rPr>
          <w:lang w:val="en-US"/>
        </w:rPr>
      </w:pPr>
      <w:r w:rsidRPr="00983C07">
        <w:rPr>
          <w:lang w:val="en-US"/>
        </w:rPr>
        <w:t>Ghana (</w:t>
      </w:r>
      <w:hyperlink r:id="rId37" w:history="1">
        <w:r w:rsidRPr="00983C07">
          <w:rPr>
            <w:rStyle w:val="Hyperlink"/>
            <w:lang w:val="en-US"/>
          </w:rPr>
          <w:t>CEDAW/C/GHA/Q/6-7/Add.1</w:t>
        </w:r>
      </w:hyperlink>
      <w:r w:rsidRPr="00983C07">
        <w:rPr>
          <w:lang w:val="en-US"/>
        </w:rPr>
        <w:t>)</w:t>
      </w:r>
    </w:p>
    <w:p w:rsidR="003B4118" w:rsidRPr="00983C07" w:rsidRDefault="003B4118" w:rsidP="003B4118">
      <w:pPr>
        <w:pStyle w:val="SingleTxt"/>
        <w:rPr>
          <w:lang w:val="en-US"/>
        </w:rPr>
      </w:pPr>
      <w:r w:rsidRPr="00983C07">
        <w:rPr>
          <w:lang w:val="en-US"/>
        </w:rPr>
        <w:t>Guinea (</w:t>
      </w:r>
      <w:hyperlink r:id="rId38" w:history="1">
        <w:r w:rsidRPr="00983C07">
          <w:rPr>
            <w:rStyle w:val="Hyperlink"/>
            <w:lang w:val="en-US"/>
          </w:rPr>
          <w:t>CEDAW/C/GIN/Q/7-8/Add.1</w:t>
        </w:r>
      </w:hyperlink>
      <w:r w:rsidRPr="00983C07">
        <w:rPr>
          <w:lang w:val="en-US"/>
        </w:rPr>
        <w:t>)</w:t>
      </w:r>
    </w:p>
    <w:p w:rsidR="003B4118" w:rsidRPr="00983C07" w:rsidRDefault="003B4118" w:rsidP="003B4118">
      <w:pPr>
        <w:pStyle w:val="SingleTxt"/>
      </w:pPr>
      <w:r w:rsidRPr="00983C07">
        <w:t>Polonia (</w:t>
      </w:r>
      <w:hyperlink r:id="rId39" w:history="1">
        <w:r w:rsidRPr="00983C07">
          <w:rPr>
            <w:rStyle w:val="Hyperlink"/>
          </w:rPr>
          <w:t>CEDAW/C/POL/Q/7-8/Add.1</w:t>
        </w:r>
      </w:hyperlink>
      <w:r w:rsidRPr="00983C07">
        <w:t>)</w:t>
      </w:r>
    </w:p>
    <w:p w:rsidR="003B4118" w:rsidRPr="00983C07" w:rsidRDefault="003B4118" w:rsidP="003B4118">
      <w:pPr>
        <w:pStyle w:val="SingleTxt"/>
      </w:pPr>
      <w:r w:rsidRPr="00983C07">
        <w:t>Islas Salomón (</w:t>
      </w:r>
      <w:hyperlink r:id="rId40" w:history="1">
        <w:r w:rsidRPr="00983C07">
          <w:rPr>
            <w:rStyle w:val="Hyperlink"/>
          </w:rPr>
          <w:t>CEDAW/C/SLB/Q/1-3/Add.3</w:t>
        </w:r>
      </w:hyperlink>
      <w:r w:rsidRPr="00983C07">
        <w:t>)</w:t>
      </w:r>
    </w:p>
    <w:p w:rsidR="003B4118" w:rsidRPr="00983C07" w:rsidRDefault="003B4118" w:rsidP="003B4118">
      <w:pPr>
        <w:pStyle w:val="SingleTxt"/>
      </w:pPr>
      <w:r w:rsidRPr="00983C07">
        <w:t>Venezuela (República Bolivariana de) (</w:t>
      </w:r>
      <w:hyperlink r:id="rId41" w:history="1">
        <w:r w:rsidRPr="00983C07">
          <w:rPr>
            <w:rStyle w:val="Hyperlink"/>
          </w:rPr>
          <w:t>CEDAW/C/VEN/Q/7-8/Add.1</w:t>
        </w:r>
      </w:hyperlink>
      <w:r w:rsidRPr="00983C07">
        <w:t>)</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24" w:hanging="1267"/>
      </w:pPr>
      <w:r w:rsidRPr="00983C07">
        <w:tab/>
        <w:t>5.</w:t>
      </w:r>
      <w:r w:rsidRPr="00983C07">
        <w:tab/>
        <w:t>Seguimiento del examen de los informes presentados por los Estados partes en virtud del artículo 18 de la Convención sobre la eliminación de todas las formas de discriminación contra la mujer</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El Comité examinará cuestiones relacionadas con el seguimiento de las observaciones finales.</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96" w:hanging="1267"/>
      </w:pPr>
      <w:r w:rsidRPr="00983C07">
        <w:tab/>
        <w:t>6.</w:t>
      </w:r>
      <w:r w:rsidRPr="00983C07">
        <w:tab/>
        <w:t>Aplicación de los artículos 21 y 22 de la Convención sobre la eliminación de todas las formas de discriminación contra la mujer</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En el artículo 21 de la Convención se establece que el Comité podrá formular sugerencias y recomendaciones de carácter general basadas en el examen de los informes y de los datos transmitidos por los Estados partes, y que esas sugerencias y recomendaciones de carácter general se incluirán en el informe del Comité a la Asamblea General junto con las observaciones, si las hubiere, de los Estados partes.</w:t>
      </w:r>
    </w:p>
    <w:p w:rsidR="003B4118" w:rsidRPr="00983C07" w:rsidRDefault="003B4118" w:rsidP="003B4118">
      <w:pPr>
        <w:pStyle w:val="SingleTxt"/>
      </w:pPr>
      <w:r w:rsidRPr="00983C07">
        <w:t>Según el artículo 22 de la Convención, los organismos especializados tendrán derecho a estar representados en el examen de la aplicación de las disposiciones de la Convención que correspondan a sus ámbitos de competencia y el Comité podrá invitar a esos organismos a que presenten informes sobre la aplicación de la Convención en dichos ámbitos.</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r>
      <w:r w:rsidRPr="00983C07">
        <w:tab/>
        <w:t>Documentación</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Informes presentados por los organismos especializados de las Naciones Unidas sobre la aplicación de la Convención en sus ámbitos de competencia</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t>7.</w:t>
      </w:r>
      <w:r w:rsidRPr="00983C07">
        <w:tab/>
        <w:t>Medios de agilizar los trabajos del Comité</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El Comité examinará cuestiones relacionadas con los métodos de trabajo.</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rsidRPr="00983C07">
        <w:tab/>
        <w:t>8.</w:t>
      </w:r>
      <w:r w:rsidRPr="00983C07">
        <w:tab/>
        <w:t>Actividades del Comité en relación con el Protocolo Facultativo de la Convención sobre la eliminación de todas las formas de discriminación contra la mujer</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El 30º período de sesiones del Grupo de Trabajo sobre las comunicaciones presentadas con arreglo al Protocolo Facultativo se celebrará del 15 al 17 de octubre de 2014 en Ginebra.</w:t>
      </w:r>
    </w:p>
    <w:p w:rsidR="003B4118" w:rsidRPr="00983C07" w:rsidRDefault="003B4118" w:rsidP="003B4118">
      <w:pPr>
        <w:pStyle w:val="SingleTxt"/>
      </w:pPr>
      <w:r w:rsidRPr="00983C07">
        <w:t>En su 59º período de sesiones, el Comité continuará cumpliendo su mandato en virtud de los artículos 2 y 8 del Protocolo Facultativo de la Convención.</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t>9.</w:t>
      </w:r>
      <w:r w:rsidRPr="00983C07">
        <w:tab/>
        <w:t>Programa provisional del 60º período de sesiones del Comité</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r>
      <w:r w:rsidRPr="00983C07">
        <w:tab/>
        <w:t>Documentación</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t>Programa provisional del 60º período de sesiones (</w:t>
      </w:r>
      <w:hyperlink r:id="rId42" w:history="1">
        <w:r w:rsidRPr="00983C07">
          <w:rPr>
            <w:rStyle w:val="Hyperlink"/>
          </w:rPr>
          <w:t>CEDAW/C/60/1</w:t>
        </w:r>
      </w:hyperlink>
      <w:r w:rsidRPr="00983C07">
        <w:t>)</w:t>
      </w:r>
    </w:p>
    <w:p w:rsidR="003B4118" w:rsidRPr="00983C07" w:rsidRDefault="003B4118" w:rsidP="003B4118">
      <w:pPr>
        <w:pStyle w:val="SingleTxt"/>
        <w:spacing w:after="0" w:line="120" w:lineRule="exact"/>
        <w:rPr>
          <w:sz w:val="10"/>
        </w:rPr>
      </w:pPr>
    </w:p>
    <w:p w:rsidR="003B4118" w:rsidRPr="00983C07" w:rsidRDefault="003B4118" w:rsidP="003B41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3C07">
        <w:tab/>
        <w:t>10.</w:t>
      </w:r>
      <w:r w:rsidRPr="00983C07">
        <w:tab/>
        <w:t>Aprobación del informe del Comité sobre su 59º período de sesiones</w:t>
      </w:r>
    </w:p>
    <w:p w:rsidR="003B4118" w:rsidRPr="00983C07" w:rsidRDefault="003B4118" w:rsidP="003B4118">
      <w:pPr>
        <w:pStyle w:val="SingleTxt"/>
        <w:spacing w:after="0" w:line="120" w:lineRule="exact"/>
        <w:rPr>
          <w:sz w:val="10"/>
        </w:rPr>
      </w:pPr>
    </w:p>
    <w:p w:rsidR="003B4118" w:rsidRPr="00983C07" w:rsidRDefault="003B4118" w:rsidP="003B4118">
      <w:pPr>
        <w:pStyle w:val="SingleTxt"/>
      </w:pPr>
      <w:r w:rsidRPr="00983C07">
        <w:rPr>
          <w:noProof/>
          <w:w w:val="100"/>
          <w:lang w:val="en-US"/>
        </w:rPr>
        <w:pict>
          <v:line id="_x0000_s1026" style="position:absolute;left:0;text-align:left;z-index:1" from="210.2pt,24pt" to="282.2pt,24pt" strokeweight=".25pt"/>
        </w:pict>
      </w:r>
    </w:p>
    <w:p w:rsidR="003B4118" w:rsidRPr="00983C07" w:rsidRDefault="003B4118" w:rsidP="003B4118">
      <w:pPr>
        <w:pStyle w:val="SingleTxt"/>
      </w:pPr>
    </w:p>
    <w:sectPr w:rsidR="003B4118" w:rsidRPr="00983C07" w:rsidSect="00D95C6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7-02T09:32:00Z" w:initials="Start">
    <w:p w:rsidR="00930D58" w:rsidRPr="003B4118" w:rsidRDefault="00930D58">
      <w:pPr>
        <w:pStyle w:val="CommentText"/>
        <w:rPr>
          <w:lang w:val="en-US"/>
        </w:rPr>
      </w:pPr>
      <w:r>
        <w:fldChar w:fldCharType="begin"/>
      </w:r>
      <w:r w:rsidRPr="003B4118">
        <w:rPr>
          <w:rStyle w:val="CommentReference"/>
          <w:lang w:val="en-US"/>
        </w:rPr>
        <w:instrText xml:space="preserve"> </w:instrText>
      </w:r>
      <w:r w:rsidRPr="003B4118">
        <w:rPr>
          <w:lang w:val="en-US"/>
        </w:rPr>
        <w:instrText>PAGE \# "'Page: '#'</w:instrText>
      </w:r>
      <w:r w:rsidRPr="003B4118">
        <w:rPr>
          <w:lang w:val="en-US"/>
        </w:rPr>
        <w:br/>
        <w:instrText>'"</w:instrText>
      </w:r>
      <w:r w:rsidRPr="003B4118">
        <w:rPr>
          <w:rStyle w:val="CommentReference"/>
          <w:lang w:val="en-US"/>
        </w:rPr>
        <w:instrText xml:space="preserve"> </w:instrText>
      </w:r>
      <w:r>
        <w:fldChar w:fldCharType="end"/>
      </w:r>
      <w:r>
        <w:rPr>
          <w:rStyle w:val="CommentReference"/>
        </w:rPr>
        <w:annotationRef/>
      </w:r>
      <w:r w:rsidRPr="003B4118">
        <w:rPr>
          <w:lang w:val="en-US"/>
        </w:rPr>
        <w:t>&lt;&lt;ODS JOB NO&gt;&gt;N1443883S&lt;&lt;ODS JOB NO&gt;&gt;</w:t>
      </w:r>
    </w:p>
    <w:p w:rsidR="00930D58" w:rsidRPr="003B4118" w:rsidRDefault="00930D58">
      <w:pPr>
        <w:pStyle w:val="CommentText"/>
        <w:rPr>
          <w:lang w:val="en-US"/>
        </w:rPr>
      </w:pPr>
      <w:r w:rsidRPr="003B4118">
        <w:rPr>
          <w:lang w:val="en-US"/>
        </w:rPr>
        <w:t>&lt;&lt;ODS DOC SYMBOL1&gt;&gt;CEDAW/C/59/1&lt;&lt;ODS DOC SYMBOL1&gt;&gt;</w:t>
      </w:r>
    </w:p>
    <w:p w:rsidR="00930D58" w:rsidRPr="003B4118" w:rsidRDefault="00930D58">
      <w:pPr>
        <w:pStyle w:val="CommentText"/>
        <w:rPr>
          <w:lang w:val="en-US"/>
        </w:rPr>
      </w:pPr>
      <w:r w:rsidRPr="003B4118">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A87" w:rsidRDefault="00695A87" w:rsidP="008F1E8F">
      <w:pPr>
        <w:spacing w:line="240" w:lineRule="auto"/>
      </w:pPr>
      <w:r>
        <w:separator/>
      </w:r>
    </w:p>
  </w:endnote>
  <w:endnote w:type="continuationSeparator" w:id="0">
    <w:p w:rsidR="00695A87" w:rsidRDefault="00695A87"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30D58" w:rsidTr="00930D58">
      <w:tblPrEx>
        <w:tblCellMar>
          <w:top w:w="0" w:type="dxa"/>
          <w:bottom w:w="0" w:type="dxa"/>
        </w:tblCellMar>
      </w:tblPrEx>
      <w:tc>
        <w:tcPr>
          <w:tcW w:w="5033" w:type="dxa"/>
          <w:shd w:val="clear" w:color="auto" w:fill="auto"/>
        </w:tcPr>
        <w:p w:rsidR="00930D58" w:rsidRPr="00930D58" w:rsidRDefault="00930D58" w:rsidP="00930D58">
          <w:pPr>
            <w:pStyle w:val="Footer"/>
            <w:jc w:val="right"/>
            <w:rPr>
              <w:b w:val="0"/>
              <w:w w:val="103"/>
              <w:sz w:val="14"/>
            </w:rPr>
          </w:pPr>
          <w:fldSimple w:instr=" DOCVARIABLE &quot;FooterJN&quot; \* MERGEFORMAT ">
            <w:r w:rsidR="00174D8C">
              <w:rPr>
                <w:b w:val="0"/>
                <w:w w:val="103"/>
                <w:sz w:val="14"/>
              </w:rPr>
              <w:t>14-56040</w:t>
            </w:r>
          </w:fldSimple>
        </w:p>
      </w:tc>
      <w:tc>
        <w:tcPr>
          <w:tcW w:w="5033" w:type="dxa"/>
          <w:shd w:val="clear" w:color="auto" w:fill="auto"/>
        </w:tcPr>
        <w:p w:rsidR="00930D58" w:rsidRPr="00930D58" w:rsidRDefault="00930D58" w:rsidP="00930D58">
          <w:pPr>
            <w:pStyle w:val="Footer"/>
            <w:rPr>
              <w:w w:val="103"/>
            </w:rPr>
          </w:pPr>
          <w:r>
            <w:rPr>
              <w:w w:val="103"/>
            </w:rPr>
            <w:fldChar w:fldCharType="begin"/>
          </w:r>
          <w:r>
            <w:rPr>
              <w:w w:val="103"/>
            </w:rPr>
            <w:instrText xml:space="preserve"> PAGE  \* Arabic  \* MERGEFORMAT </w:instrText>
          </w:r>
          <w:r>
            <w:rPr>
              <w:w w:val="103"/>
            </w:rPr>
            <w:fldChar w:fldCharType="separate"/>
          </w:r>
          <w:r w:rsidR="000A05AE">
            <w:rPr>
              <w:w w:val="103"/>
            </w:rPr>
            <w:t>2</w:t>
          </w:r>
          <w:r>
            <w:rPr>
              <w:w w:val="103"/>
            </w:rPr>
            <w:fldChar w:fldCharType="end"/>
          </w:r>
          <w:r>
            <w:rPr>
              <w:w w:val="103"/>
            </w:rPr>
            <w:t>/</w:t>
          </w:r>
          <w:fldSimple w:instr=" NUMPAGES  \* Arabic  \* MERGEFORMAT ">
            <w:r w:rsidR="000A05AE">
              <w:rPr>
                <w:w w:val="103"/>
              </w:rPr>
              <w:t>2</w:t>
            </w:r>
          </w:fldSimple>
        </w:p>
      </w:tc>
    </w:tr>
  </w:tbl>
  <w:p w:rsidR="00930D58" w:rsidRPr="00930D58" w:rsidRDefault="00930D58" w:rsidP="00930D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930D58" w:rsidTr="00930D58">
      <w:tblPrEx>
        <w:tblCellMar>
          <w:top w:w="0" w:type="dxa"/>
          <w:bottom w:w="0" w:type="dxa"/>
        </w:tblCellMar>
      </w:tblPrEx>
      <w:tc>
        <w:tcPr>
          <w:tcW w:w="5033" w:type="dxa"/>
          <w:shd w:val="clear" w:color="auto" w:fill="auto"/>
        </w:tcPr>
        <w:p w:rsidR="00930D58" w:rsidRPr="00930D58" w:rsidRDefault="00930D58" w:rsidP="00930D5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74D8C">
            <w:rPr>
              <w:w w:val="103"/>
            </w:rPr>
            <w:t>5</w:t>
          </w:r>
          <w:r>
            <w:rPr>
              <w:w w:val="103"/>
            </w:rPr>
            <w:fldChar w:fldCharType="end"/>
          </w:r>
          <w:r>
            <w:rPr>
              <w:w w:val="103"/>
            </w:rPr>
            <w:t>/</w:t>
          </w:r>
          <w:fldSimple w:instr=" NUMPAGES  \* Arabic  \* MERGEFORMAT ">
            <w:r w:rsidR="00174D8C">
              <w:rPr>
                <w:w w:val="103"/>
              </w:rPr>
              <w:t>5</w:t>
            </w:r>
          </w:fldSimple>
        </w:p>
      </w:tc>
      <w:tc>
        <w:tcPr>
          <w:tcW w:w="5033" w:type="dxa"/>
          <w:shd w:val="clear" w:color="auto" w:fill="auto"/>
        </w:tcPr>
        <w:p w:rsidR="00930D58" w:rsidRPr="00930D58" w:rsidRDefault="00930D58" w:rsidP="00930D58">
          <w:pPr>
            <w:pStyle w:val="Footer"/>
            <w:rPr>
              <w:b w:val="0"/>
              <w:w w:val="103"/>
              <w:sz w:val="14"/>
            </w:rPr>
          </w:pPr>
          <w:fldSimple w:instr=" DOCVARIABLE &quot;FooterJN&quot; \* MERGEFORMAT ">
            <w:r w:rsidR="00174D8C">
              <w:rPr>
                <w:b w:val="0"/>
                <w:w w:val="103"/>
                <w:sz w:val="14"/>
              </w:rPr>
              <w:t>14-56040</w:t>
            </w:r>
          </w:fldSimple>
        </w:p>
      </w:tc>
    </w:tr>
  </w:tbl>
  <w:p w:rsidR="00930D58" w:rsidRPr="00930D58" w:rsidRDefault="00930D58" w:rsidP="00930D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58" w:rsidRPr="00930D58" w:rsidRDefault="00930D58" w:rsidP="00930D58">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74.95pt;width:54.9pt;height:63.85pt;z-index:1;mso-position-horizontal-relative:page;mso-position-vertical-relative:page" o:preferrelative="f" filled="t">
          <v:imagedata r:id="rId1" o:title="1&amp;Size =1&amp;Lang = S"/>
          <w10:wrap anchorx="page" anchory="page"/>
        </v:shape>
      </w:pict>
    </w:r>
  </w:p>
  <w:tbl>
    <w:tblPr>
      <w:tblW w:w="0" w:type="auto"/>
      <w:tblLayout w:type="fixed"/>
      <w:tblLook w:val="0000"/>
    </w:tblPr>
    <w:tblGrid>
      <w:gridCol w:w="3686"/>
      <w:gridCol w:w="5033"/>
    </w:tblGrid>
    <w:tr w:rsidR="00930D58" w:rsidTr="00930D58">
      <w:tblPrEx>
        <w:tblCellMar>
          <w:top w:w="0" w:type="dxa"/>
          <w:bottom w:w="0" w:type="dxa"/>
        </w:tblCellMar>
      </w:tblPrEx>
      <w:tc>
        <w:tcPr>
          <w:tcW w:w="3686" w:type="dxa"/>
        </w:tcPr>
        <w:p w:rsidR="00930D58" w:rsidRDefault="003B4118" w:rsidP="00930D58">
          <w:pPr>
            <w:pStyle w:val="ReleaseDate"/>
          </w:pPr>
          <w:r>
            <w:t>14-56040X (S)</w:t>
          </w:r>
        </w:p>
        <w:p w:rsidR="00930D58" w:rsidRPr="00930D58" w:rsidRDefault="00930D58" w:rsidP="00930D5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*1456040*</w:t>
          </w:r>
        </w:p>
      </w:tc>
      <w:tc>
        <w:tcPr>
          <w:tcW w:w="5033" w:type="dxa"/>
        </w:tcPr>
        <w:p w:rsidR="00930D58" w:rsidRDefault="00930D58" w:rsidP="00930D58">
          <w:pPr>
            <w:pStyle w:val="Footer"/>
            <w:jc w:val="right"/>
            <w:rPr>
              <w:b w:val="0"/>
              <w:sz w:val="20"/>
            </w:rPr>
          </w:pPr>
          <w:r>
            <w:rPr>
              <w:b w:val="0"/>
              <w:sz w:val="20"/>
            </w:rPr>
            <w:pict>
              <v:shape id="_x0000_i1026" type="#_x0000_t75" style="width:85.5pt;height:18pt">
                <v:imagedata r:id="rId2" o:title="recycle_Spanish"/>
              </v:shape>
            </w:pict>
          </w:r>
        </w:p>
      </w:tc>
    </w:tr>
  </w:tbl>
  <w:p w:rsidR="00930D58" w:rsidRPr="00930D58" w:rsidRDefault="00930D58" w:rsidP="00930D5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A87" w:rsidRDefault="00695A87" w:rsidP="008F1E8F">
      <w:pPr>
        <w:spacing w:line="240" w:lineRule="auto"/>
      </w:pPr>
      <w:r>
        <w:separator/>
      </w:r>
    </w:p>
  </w:footnote>
  <w:footnote w:type="continuationSeparator" w:id="0">
    <w:p w:rsidR="00695A87" w:rsidRDefault="00695A87" w:rsidP="008F1E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30D58" w:rsidTr="00930D58">
      <w:tblPrEx>
        <w:tblCellMar>
          <w:top w:w="0" w:type="dxa"/>
          <w:bottom w:w="0" w:type="dxa"/>
        </w:tblCellMar>
      </w:tblPrEx>
      <w:trPr>
        <w:trHeight w:hRule="exact" w:val="864"/>
      </w:trPr>
      <w:tc>
        <w:tcPr>
          <w:tcW w:w="4838" w:type="dxa"/>
          <w:shd w:val="clear" w:color="auto" w:fill="auto"/>
          <w:vAlign w:val="bottom"/>
        </w:tcPr>
        <w:p w:rsidR="00930D58" w:rsidRPr="00930D58" w:rsidRDefault="00930D58" w:rsidP="00930D58">
          <w:pPr>
            <w:pStyle w:val="Header"/>
            <w:spacing w:after="80"/>
            <w:rPr>
              <w:b/>
            </w:rPr>
          </w:pPr>
          <w:fldSimple w:instr=" DOCVARIABLE &quot;sss1&quot; \* MERGEFORMAT ">
            <w:r w:rsidR="00174D8C">
              <w:rPr>
                <w:b/>
              </w:rPr>
              <w:t>CEDAW/C/59/1</w:t>
            </w:r>
          </w:fldSimple>
        </w:p>
      </w:tc>
      <w:tc>
        <w:tcPr>
          <w:tcW w:w="5033" w:type="dxa"/>
          <w:shd w:val="clear" w:color="auto" w:fill="auto"/>
          <w:vAlign w:val="bottom"/>
        </w:tcPr>
        <w:p w:rsidR="00930D58" w:rsidRDefault="00930D58" w:rsidP="00930D58">
          <w:pPr>
            <w:pStyle w:val="Header"/>
          </w:pPr>
        </w:p>
      </w:tc>
    </w:tr>
  </w:tbl>
  <w:p w:rsidR="00930D58" w:rsidRPr="00930D58" w:rsidRDefault="00930D58" w:rsidP="00930D58">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30D58" w:rsidTr="00930D58">
      <w:tblPrEx>
        <w:tblCellMar>
          <w:top w:w="0" w:type="dxa"/>
          <w:bottom w:w="0" w:type="dxa"/>
        </w:tblCellMar>
      </w:tblPrEx>
      <w:trPr>
        <w:trHeight w:hRule="exact" w:val="864"/>
      </w:trPr>
      <w:tc>
        <w:tcPr>
          <w:tcW w:w="4838" w:type="dxa"/>
          <w:shd w:val="clear" w:color="auto" w:fill="auto"/>
          <w:vAlign w:val="bottom"/>
        </w:tcPr>
        <w:p w:rsidR="00930D58" w:rsidRDefault="00930D58" w:rsidP="00930D58">
          <w:pPr>
            <w:pStyle w:val="Header"/>
          </w:pPr>
        </w:p>
      </w:tc>
      <w:tc>
        <w:tcPr>
          <w:tcW w:w="5033" w:type="dxa"/>
          <w:shd w:val="clear" w:color="auto" w:fill="auto"/>
          <w:vAlign w:val="bottom"/>
        </w:tcPr>
        <w:p w:rsidR="00930D58" w:rsidRPr="00930D58" w:rsidRDefault="00930D58" w:rsidP="00930D58">
          <w:pPr>
            <w:pStyle w:val="Header"/>
            <w:spacing w:after="80"/>
            <w:jc w:val="right"/>
            <w:rPr>
              <w:b/>
            </w:rPr>
          </w:pPr>
          <w:fldSimple w:instr=" DOCVARIABLE &quot;sss1&quot; \* MERGEFORMAT ">
            <w:r w:rsidR="00174D8C">
              <w:rPr>
                <w:b/>
              </w:rPr>
              <w:t>CEDAW/C/59/1</w:t>
            </w:r>
          </w:fldSimple>
        </w:p>
      </w:tc>
    </w:tr>
  </w:tbl>
  <w:p w:rsidR="00930D58" w:rsidRPr="00930D58" w:rsidRDefault="00930D58" w:rsidP="00930D58">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30D58" w:rsidTr="00930D5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30D58" w:rsidRDefault="00930D58" w:rsidP="00930D58">
          <w:pPr>
            <w:pStyle w:val="Header"/>
            <w:spacing w:after="120"/>
          </w:pPr>
        </w:p>
      </w:tc>
      <w:tc>
        <w:tcPr>
          <w:tcW w:w="2059" w:type="dxa"/>
          <w:tcBorders>
            <w:bottom w:val="single" w:sz="4" w:space="0" w:color="auto"/>
          </w:tcBorders>
          <w:shd w:val="clear" w:color="auto" w:fill="auto"/>
          <w:vAlign w:val="bottom"/>
        </w:tcPr>
        <w:p w:rsidR="00930D58" w:rsidRPr="00930D58" w:rsidRDefault="00930D58" w:rsidP="00930D5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30D58" w:rsidRDefault="00930D58" w:rsidP="00930D58">
          <w:pPr>
            <w:pStyle w:val="Header"/>
            <w:spacing w:after="120"/>
          </w:pPr>
        </w:p>
      </w:tc>
      <w:tc>
        <w:tcPr>
          <w:tcW w:w="6523" w:type="dxa"/>
          <w:gridSpan w:val="3"/>
          <w:tcBorders>
            <w:bottom w:val="single" w:sz="4" w:space="0" w:color="auto"/>
          </w:tcBorders>
          <w:shd w:val="clear" w:color="auto" w:fill="auto"/>
          <w:vAlign w:val="bottom"/>
        </w:tcPr>
        <w:p w:rsidR="00930D58" w:rsidRPr="00930D58" w:rsidRDefault="00930D58" w:rsidP="00930D58">
          <w:pPr>
            <w:spacing w:after="80" w:line="240" w:lineRule="auto"/>
            <w:jc w:val="right"/>
            <w:rPr>
              <w:position w:val="-4"/>
            </w:rPr>
          </w:pPr>
          <w:r>
            <w:rPr>
              <w:position w:val="-4"/>
              <w:sz w:val="40"/>
            </w:rPr>
            <w:t>CEDAW</w:t>
          </w:r>
          <w:r>
            <w:rPr>
              <w:position w:val="-4"/>
            </w:rPr>
            <w:t>/C/59/1</w:t>
          </w:r>
        </w:p>
      </w:tc>
    </w:tr>
    <w:tr w:rsidR="00930D58" w:rsidRPr="00930D58" w:rsidTr="00930D5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30D58" w:rsidRDefault="00930D58" w:rsidP="00930D58">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30D58" w:rsidRPr="00930D58" w:rsidRDefault="00930D58" w:rsidP="00930D58">
          <w:pPr>
            <w:pStyle w:val="Header"/>
            <w:spacing w:before="109"/>
          </w:pPr>
        </w:p>
      </w:tc>
      <w:tc>
        <w:tcPr>
          <w:tcW w:w="5227" w:type="dxa"/>
          <w:gridSpan w:val="3"/>
          <w:tcBorders>
            <w:top w:val="single" w:sz="4" w:space="0" w:color="auto"/>
            <w:bottom w:val="single" w:sz="12" w:space="0" w:color="auto"/>
          </w:tcBorders>
          <w:shd w:val="clear" w:color="auto" w:fill="auto"/>
        </w:tcPr>
        <w:p w:rsidR="00930D58" w:rsidRPr="00930D58" w:rsidRDefault="00930D58" w:rsidP="00930D58">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30D58" w:rsidRPr="003B4118" w:rsidRDefault="00930D58" w:rsidP="00930D58">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30D58" w:rsidRDefault="00930D58" w:rsidP="00930D58">
          <w:pPr>
            <w:pStyle w:val="Distribution"/>
            <w:spacing w:before="240"/>
          </w:pPr>
          <w:r>
            <w:t>Distr. general</w:t>
          </w:r>
        </w:p>
        <w:p w:rsidR="00930D58" w:rsidRDefault="00930D58" w:rsidP="00930D58">
          <w:pPr>
            <w:pStyle w:val="Publication"/>
          </w:pPr>
          <w:r>
            <w:t>2 de julio de 2014</w:t>
          </w:r>
        </w:p>
        <w:p w:rsidR="00930D58" w:rsidRDefault="00930D58" w:rsidP="00930D58">
          <w:r>
            <w:t>Español</w:t>
          </w:r>
        </w:p>
        <w:p w:rsidR="00930D58" w:rsidRDefault="00930D58" w:rsidP="00930D58">
          <w:pPr>
            <w:pStyle w:val="Original"/>
          </w:pPr>
          <w:r>
            <w:t>Original: inglés</w:t>
          </w:r>
        </w:p>
        <w:p w:rsidR="00930D58" w:rsidRPr="00930D58" w:rsidRDefault="00930D58" w:rsidP="00930D58"/>
      </w:tc>
    </w:tr>
  </w:tbl>
  <w:p w:rsidR="00930D58" w:rsidRPr="00930D58" w:rsidRDefault="00930D58" w:rsidP="00930D5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6040*"/>
    <w:docVar w:name="CreationDt" w:val="02/07/2014 9:32: AM"/>
    <w:docVar w:name="DocCategory" w:val="Doc"/>
    <w:docVar w:name="DocType" w:val="Final"/>
    <w:docVar w:name="FooterJN" w:val="14-56040"/>
    <w:docVar w:name="jobn" w:val="14-56040 (S)"/>
    <w:docVar w:name="jobnDT" w:val="14-56040 (S)   020714"/>
    <w:docVar w:name="jobnDTDT" w:val="14-56040 (S)   020714   020714"/>
    <w:docVar w:name="JobNo" w:val="1456040S"/>
    <w:docVar w:name="JobNo2" w:val="14438839:32: AM"/>
    <w:docVar w:name="OandT" w:val="Dag"/>
    <w:docVar w:name="sss1" w:val="CEDAW/C/59/1"/>
    <w:docVar w:name="sss2" w:val="-"/>
    <w:docVar w:name="Symbol1" w:val="CEDAW/C/59/1"/>
    <w:docVar w:name="Symbol2" w:val="-"/>
  </w:docVars>
  <w:rsids>
    <w:rsidRoot w:val="006A6C35"/>
    <w:rsid w:val="0000104C"/>
    <w:rsid w:val="000025A2"/>
    <w:rsid w:val="0000430F"/>
    <w:rsid w:val="00005995"/>
    <w:rsid w:val="000145F1"/>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806AC"/>
    <w:rsid w:val="000871C1"/>
    <w:rsid w:val="000A05AE"/>
    <w:rsid w:val="000A0C7C"/>
    <w:rsid w:val="000A1971"/>
    <w:rsid w:val="000B2A4E"/>
    <w:rsid w:val="000C1009"/>
    <w:rsid w:val="000C4DCC"/>
    <w:rsid w:val="000D21E6"/>
    <w:rsid w:val="000D64ED"/>
    <w:rsid w:val="000D686E"/>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52E53"/>
    <w:rsid w:val="00153EA2"/>
    <w:rsid w:val="00154204"/>
    <w:rsid w:val="001561B2"/>
    <w:rsid w:val="001701FE"/>
    <w:rsid w:val="00170784"/>
    <w:rsid w:val="00174D8C"/>
    <w:rsid w:val="0017756D"/>
    <w:rsid w:val="00186A14"/>
    <w:rsid w:val="00187C4A"/>
    <w:rsid w:val="001A2E38"/>
    <w:rsid w:val="001A2FAC"/>
    <w:rsid w:val="001A72EA"/>
    <w:rsid w:val="001B2FC3"/>
    <w:rsid w:val="001B56CE"/>
    <w:rsid w:val="001B5CC5"/>
    <w:rsid w:val="001C1FA6"/>
    <w:rsid w:val="001C2E87"/>
    <w:rsid w:val="001C4833"/>
    <w:rsid w:val="001D04E3"/>
    <w:rsid w:val="001D4A0C"/>
    <w:rsid w:val="001D681C"/>
    <w:rsid w:val="001E2641"/>
    <w:rsid w:val="001E290A"/>
    <w:rsid w:val="001F74B0"/>
    <w:rsid w:val="00200A61"/>
    <w:rsid w:val="002070C6"/>
    <w:rsid w:val="00217E05"/>
    <w:rsid w:val="0022060C"/>
    <w:rsid w:val="002277C7"/>
    <w:rsid w:val="0024283D"/>
    <w:rsid w:val="00247894"/>
    <w:rsid w:val="0025615B"/>
    <w:rsid w:val="00260DF5"/>
    <w:rsid w:val="002652F7"/>
    <w:rsid w:val="00266F6B"/>
    <w:rsid w:val="00272964"/>
    <w:rsid w:val="002841B4"/>
    <w:rsid w:val="00295FD6"/>
    <w:rsid w:val="00297ED1"/>
    <w:rsid w:val="002B105C"/>
    <w:rsid w:val="002B1548"/>
    <w:rsid w:val="002B6B53"/>
    <w:rsid w:val="002B7407"/>
    <w:rsid w:val="002C2CAF"/>
    <w:rsid w:val="002C345B"/>
    <w:rsid w:val="002C3E79"/>
    <w:rsid w:val="002D3F35"/>
    <w:rsid w:val="002E1262"/>
    <w:rsid w:val="002E2A29"/>
    <w:rsid w:val="002F0A5D"/>
    <w:rsid w:val="002F4C08"/>
    <w:rsid w:val="00303A2A"/>
    <w:rsid w:val="00327A13"/>
    <w:rsid w:val="003359DE"/>
    <w:rsid w:val="003452B8"/>
    <w:rsid w:val="0034771F"/>
    <w:rsid w:val="0035601E"/>
    <w:rsid w:val="00363CCE"/>
    <w:rsid w:val="00365806"/>
    <w:rsid w:val="0037429E"/>
    <w:rsid w:val="003754AD"/>
    <w:rsid w:val="00375801"/>
    <w:rsid w:val="003779EE"/>
    <w:rsid w:val="00397636"/>
    <w:rsid w:val="003A5CE7"/>
    <w:rsid w:val="003B4118"/>
    <w:rsid w:val="003B613E"/>
    <w:rsid w:val="003C12C7"/>
    <w:rsid w:val="003C473B"/>
    <w:rsid w:val="003C4940"/>
    <w:rsid w:val="003C5008"/>
    <w:rsid w:val="003C67B3"/>
    <w:rsid w:val="003D2D4A"/>
    <w:rsid w:val="003E5AAE"/>
    <w:rsid w:val="003E60D2"/>
    <w:rsid w:val="003F3C3C"/>
    <w:rsid w:val="00400307"/>
    <w:rsid w:val="00404990"/>
    <w:rsid w:val="0040564F"/>
    <w:rsid w:val="00431501"/>
    <w:rsid w:val="004318E8"/>
    <w:rsid w:val="00434234"/>
    <w:rsid w:val="004374B8"/>
    <w:rsid w:val="00443CA4"/>
    <w:rsid w:val="004452B0"/>
    <w:rsid w:val="00451290"/>
    <w:rsid w:val="0045204A"/>
    <w:rsid w:val="00466635"/>
    <w:rsid w:val="004713D8"/>
    <w:rsid w:val="00476219"/>
    <w:rsid w:val="004843EE"/>
    <w:rsid w:val="0049207E"/>
    <w:rsid w:val="004A146B"/>
    <w:rsid w:val="004A3174"/>
    <w:rsid w:val="004A7C6C"/>
    <w:rsid w:val="004B47A3"/>
    <w:rsid w:val="004C1BCD"/>
    <w:rsid w:val="004C75AE"/>
    <w:rsid w:val="004D4AC0"/>
    <w:rsid w:val="004D6407"/>
    <w:rsid w:val="004D779E"/>
    <w:rsid w:val="004E757B"/>
    <w:rsid w:val="004F14EE"/>
    <w:rsid w:val="004F4843"/>
    <w:rsid w:val="004F4A39"/>
    <w:rsid w:val="004F7C45"/>
    <w:rsid w:val="0050020B"/>
    <w:rsid w:val="005053EA"/>
    <w:rsid w:val="005056C9"/>
    <w:rsid w:val="0050627B"/>
    <w:rsid w:val="00507265"/>
    <w:rsid w:val="00511D5E"/>
    <w:rsid w:val="005130D6"/>
    <w:rsid w:val="00524C14"/>
    <w:rsid w:val="00534D37"/>
    <w:rsid w:val="00535721"/>
    <w:rsid w:val="00542A52"/>
    <w:rsid w:val="00543025"/>
    <w:rsid w:val="005434BC"/>
    <w:rsid w:val="0054783D"/>
    <w:rsid w:val="00550243"/>
    <w:rsid w:val="00552711"/>
    <w:rsid w:val="00556CEB"/>
    <w:rsid w:val="00562263"/>
    <w:rsid w:val="005625F8"/>
    <w:rsid w:val="00565717"/>
    <w:rsid w:val="00567942"/>
    <w:rsid w:val="00571DC3"/>
    <w:rsid w:val="00571F2A"/>
    <w:rsid w:val="005737E7"/>
    <w:rsid w:val="0058043D"/>
    <w:rsid w:val="00582B10"/>
    <w:rsid w:val="00587E23"/>
    <w:rsid w:val="00595DE1"/>
    <w:rsid w:val="005A1929"/>
    <w:rsid w:val="005A651B"/>
    <w:rsid w:val="005C547D"/>
    <w:rsid w:val="005D3721"/>
    <w:rsid w:val="005D63A4"/>
    <w:rsid w:val="005E4F7D"/>
    <w:rsid w:val="005E6B39"/>
    <w:rsid w:val="005F6986"/>
    <w:rsid w:val="006111BB"/>
    <w:rsid w:val="00612DA1"/>
    <w:rsid w:val="00614C74"/>
    <w:rsid w:val="00616088"/>
    <w:rsid w:val="006169F5"/>
    <w:rsid w:val="00620953"/>
    <w:rsid w:val="00630CE1"/>
    <w:rsid w:val="00631114"/>
    <w:rsid w:val="0063405C"/>
    <w:rsid w:val="00636DA1"/>
    <w:rsid w:val="00637AB0"/>
    <w:rsid w:val="00641130"/>
    <w:rsid w:val="00643833"/>
    <w:rsid w:val="00645DF2"/>
    <w:rsid w:val="006463C7"/>
    <w:rsid w:val="006510D7"/>
    <w:rsid w:val="00651574"/>
    <w:rsid w:val="00653EF9"/>
    <w:rsid w:val="00664183"/>
    <w:rsid w:val="00666B35"/>
    <w:rsid w:val="00677761"/>
    <w:rsid w:val="0069047A"/>
    <w:rsid w:val="006956F4"/>
    <w:rsid w:val="00695A87"/>
    <w:rsid w:val="00696921"/>
    <w:rsid w:val="006A3096"/>
    <w:rsid w:val="006A3806"/>
    <w:rsid w:val="006A6C35"/>
    <w:rsid w:val="006B08F8"/>
    <w:rsid w:val="006C3274"/>
    <w:rsid w:val="006C3A65"/>
    <w:rsid w:val="006C6173"/>
    <w:rsid w:val="006D3321"/>
    <w:rsid w:val="006E0E95"/>
    <w:rsid w:val="006E0EF0"/>
    <w:rsid w:val="006E296C"/>
    <w:rsid w:val="006E39F5"/>
    <w:rsid w:val="006E66D5"/>
    <w:rsid w:val="006E689B"/>
    <w:rsid w:val="006F36E2"/>
    <w:rsid w:val="006F4381"/>
    <w:rsid w:val="0070602F"/>
    <w:rsid w:val="007070B8"/>
    <w:rsid w:val="00716C1C"/>
    <w:rsid w:val="0072046A"/>
    <w:rsid w:val="00732348"/>
    <w:rsid w:val="0073710F"/>
    <w:rsid w:val="0074000F"/>
    <w:rsid w:val="007549E2"/>
    <w:rsid w:val="00776DCA"/>
    <w:rsid w:val="00777C17"/>
    <w:rsid w:val="00781DFE"/>
    <w:rsid w:val="00793FFF"/>
    <w:rsid w:val="007A384D"/>
    <w:rsid w:val="007B04E8"/>
    <w:rsid w:val="007B2E44"/>
    <w:rsid w:val="007C51E9"/>
    <w:rsid w:val="007C566A"/>
    <w:rsid w:val="007C7D32"/>
    <w:rsid w:val="007D0893"/>
    <w:rsid w:val="007D59F4"/>
    <w:rsid w:val="007E282F"/>
    <w:rsid w:val="007E31CA"/>
    <w:rsid w:val="007E322D"/>
    <w:rsid w:val="007E671C"/>
    <w:rsid w:val="007F5AF9"/>
    <w:rsid w:val="00801B3F"/>
    <w:rsid w:val="00813690"/>
    <w:rsid w:val="00813C40"/>
    <w:rsid w:val="00815EA8"/>
    <w:rsid w:val="00821E34"/>
    <w:rsid w:val="00823340"/>
    <w:rsid w:val="00823BE3"/>
    <w:rsid w:val="00824B02"/>
    <w:rsid w:val="008305DF"/>
    <w:rsid w:val="00832268"/>
    <w:rsid w:val="00834163"/>
    <w:rsid w:val="0083457C"/>
    <w:rsid w:val="008466A7"/>
    <w:rsid w:val="008521F6"/>
    <w:rsid w:val="008539AC"/>
    <w:rsid w:val="00860B12"/>
    <w:rsid w:val="0086249C"/>
    <w:rsid w:val="00871928"/>
    <w:rsid w:val="00875415"/>
    <w:rsid w:val="00875F65"/>
    <w:rsid w:val="00880535"/>
    <w:rsid w:val="00894D50"/>
    <w:rsid w:val="00897EE4"/>
    <w:rsid w:val="008A2A83"/>
    <w:rsid w:val="008A5EA2"/>
    <w:rsid w:val="008A680C"/>
    <w:rsid w:val="008B30AC"/>
    <w:rsid w:val="008B59F9"/>
    <w:rsid w:val="008B5FC3"/>
    <w:rsid w:val="008C70A0"/>
    <w:rsid w:val="008D17EE"/>
    <w:rsid w:val="008D53A0"/>
    <w:rsid w:val="008E2B2E"/>
    <w:rsid w:val="008E37CD"/>
    <w:rsid w:val="008E41D0"/>
    <w:rsid w:val="008F1890"/>
    <w:rsid w:val="008F1E8F"/>
    <w:rsid w:val="008F2959"/>
    <w:rsid w:val="00913197"/>
    <w:rsid w:val="0091591F"/>
    <w:rsid w:val="00917F05"/>
    <w:rsid w:val="00926916"/>
    <w:rsid w:val="00927C68"/>
    <w:rsid w:val="00930D58"/>
    <w:rsid w:val="0093190E"/>
    <w:rsid w:val="00931AC8"/>
    <w:rsid w:val="00934B5B"/>
    <w:rsid w:val="00935AD9"/>
    <w:rsid w:val="00936752"/>
    <w:rsid w:val="0094747E"/>
    <w:rsid w:val="009540A8"/>
    <w:rsid w:val="0098045D"/>
    <w:rsid w:val="00983C07"/>
    <w:rsid w:val="00984E6C"/>
    <w:rsid w:val="00991572"/>
    <w:rsid w:val="00995BD2"/>
    <w:rsid w:val="009A73EA"/>
    <w:rsid w:val="009B1C06"/>
    <w:rsid w:val="009B26B8"/>
    <w:rsid w:val="009B6140"/>
    <w:rsid w:val="009C31A4"/>
    <w:rsid w:val="009C3306"/>
    <w:rsid w:val="009C558E"/>
    <w:rsid w:val="009D32AC"/>
    <w:rsid w:val="009D6DC5"/>
    <w:rsid w:val="009E11DA"/>
    <w:rsid w:val="009E300B"/>
    <w:rsid w:val="009E5765"/>
    <w:rsid w:val="009E6D58"/>
    <w:rsid w:val="009E76D1"/>
    <w:rsid w:val="009F6D65"/>
    <w:rsid w:val="009F701F"/>
    <w:rsid w:val="009F793E"/>
    <w:rsid w:val="00A01177"/>
    <w:rsid w:val="00A0166A"/>
    <w:rsid w:val="00A02FF4"/>
    <w:rsid w:val="00A058FF"/>
    <w:rsid w:val="00A10FDF"/>
    <w:rsid w:val="00A138BA"/>
    <w:rsid w:val="00A21683"/>
    <w:rsid w:val="00A24508"/>
    <w:rsid w:val="00A26619"/>
    <w:rsid w:val="00A3163E"/>
    <w:rsid w:val="00A4039A"/>
    <w:rsid w:val="00A5353F"/>
    <w:rsid w:val="00A607E7"/>
    <w:rsid w:val="00A627D6"/>
    <w:rsid w:val="00A64E36"/>
    <w:rsid w:val="00A65B90"/>
    <w:rsid w:val="00A65C9E"/>
    <w:rsid w:val="00A6761C"/>
    <w:rsid w:val="00A71D7C"/>
    <w:rsid w:val="00A84D3A"/>
    <w:rsid w:val="00A86FEA"/>
    <w:rsid w:val="00AA7DC9"/>
    <w:rsid w:val="00AB7836"/>
    <w:rsid w:val="00AC5CBF"/>
    <w:rsid w:val="00AD37F0"/>
    <w:rsid w:val="00AD5D6A"/>
    <w:rsid w:val="00B11C44"/>
    <w:rsid w:val="00B151F5"/>
    <w:rsid w:val="00B232EC"/>
    <w:rsid w:val="00B308D0"/>
    <w:rsid w:val="00B34BCE"/>
    <w:rsid w:val="00B426AB"/>
    <w:rsid w:val="00B47A82"/>
    <w:rsid w:val="00B77D31"/>
    <w:rsid w:val="00B8368A"/>
    <w:rsid w:val="00B9503A"/>
    <w:rsid w:val="00BB0959"/>
    <w:rsid w:val="00BB23DE"/>
    <w:rsid w:val="00BC31B5"/>
    <w:rsid w:val="00BC7B5B"/>
    <w:rsid w:val="00BD4396"/>
    <w:rsid w:val="00BD47B9"/>
    <w:rsid w:val="00BE2BF9"/>
    <w:rsid w:val="00BF1D37"/>
    <w:rsid w:val="00BF32B0"/>
    <w:rsid w:val="00BF438B"/>
    <w:rsid w:val="00C00E6C"/>
    <w:rsid w:val="00C02367"/>
    <w:rsid w:val="00C053A0"/>
    <w:rsid w:val="00C10265"/>
    <w:rsid w:val="00C13D38"/>
    <w:rsid w:val="00C161D9"/>
    <w:rsid w:val="00C22EDA"/>
    <w:rsid w:val="00C24049"/>
    <w:rsid w:val="00C32D88"/>
    <w:rsid w:val="00C35339"/>
    <w:rsid w:val="00C51D2E"/>
    <w:rsid w:val="00C6016B"/>
    <w:rsid w:val="00C72875"/>
    <w:rsid w:val="00C72AD9"/>
    <w:rsid w:val="00C8131F"/>
    <w:rsid w:val="00C847F0"/>
    <w:rsid w:val="00C859E1"/>
    <w:rsid w:val="00C91CE9"/>
    <w:rsid w:val="00C95408"/>
    <w:rsid w:val="00CA2127"/>
    <w:rsid w:val="00CB5C47"/>
    <w:rsid w:val="00CC5750"/>
    <w:rsid w:val="00CD1545"/>
    <w:rsid w:val="00CD4760"/>
    <w:rsid w:val="00CD57FF"/>
    <w:rsid w:val="00CD7F4C"/>
    <w:rsid w:val="00CE0045"/>
    <w:rsid w:val="00CE1381"/>
    <w:rsid w:val="00D00E66"/>
    <w:rsid w:val="00D051A5"/>
    <w:rsid w:val="00D1714E"/>
    <w:rsid w:val="00D2412C"/>
    <w:rsid w:val="00D30E8B"/>
    <w:rsid w:val="00D42CA0"/>
    <w:rsid w:val="00D535F0"/>
    <w:rsid w:val="00D621E4"/>
    <w:rsid w:val="00D66326"/>
    <w:rsid w:val="00D75748"/>
    <w:rsid w:val="00D75DCF"/>
    <w:rsid w:val="00D81FDD"/>
    <w:rsid w:val="00D84103"/>
    <w:rsid w:val="00D93984"/>
    <w:rsid w:val="00D95982"/>
    <w:rsid w:val="00D95C68"/>
    <w:rsid w:val="00DA0BDF"/>
    <w:rsid w:val="00DA0F47"/>
    <w:rsid w:val="00DA212D"/>
    <w:rsid w:val="00DA4419"/>
    <w:rsid w:val="00DA5058"/>
    <w:rsid w:val="00DA7DFA"/>
    <w:rsid w:val="00DB2B5E"/>
    <w:rsid w:val="00DB2EA7"/>
    <w:rsid w:val="00DC0389"/>
    <w:rsid w:val="00DC425C"/>
    <w:rsid w:val="00DC6A91"/>
    <w:rsid w:val="00DD5908"/>
    <w:rsid w:val="00DD5DA8"/>
    <w:rsid w:val="00DD76B9"/>
    <w:rsid w:val="00DE6AD7"/>
    <w:rsid w:val="00DF00C0"/>
    <w:rsid w:val="00DF33AF"/>
    <w:rsid w:val="00DF74B2"/>
    <w:rsid w:val="00E054C0"/>
    <w:rsid w:val="00E05743"/>
    <w:rsid w:val="00E241A1"/>
    <w:rsid w:val="00E26954"/>
    <w:rsid w:val="00E31D49"/>
    <w:rsid w:val="00E35244"/>
    <w:rsid w:val="00E427B7"/>
    <w:rsid w:val="00E50390"/>
    <w:rsid w:val="00E51BC9"/>
    <w:rsid w:val="00E606CA"/>
    <w:rsid w:val="00E65BE8"/>
    <w:rsid w:val="00E73276"/>
    <w:rsid w:val="00E73409"/>
    <w:rsid w:val="00E73A8A"/>
    <w:rsid w:val="00E75D02"/>
    <w:rsid w:val="00E774C3"/>
    <w:rsid w:val="00E84B10"/>
    <w:rsid w:val="00E875CB"/>
    <w:rsid w:val="00E932A5"/>
    <w:rsid w:val="00EA2C66"/>
    <w:rsid w:val="00EA60AF"/>
    <w:rsid w:val="00EB3BF0"/>
    <w:rsid w:val="00EB5A41"/>
    <w:rsid w:val="00EC3D06"/>
    <w:rsid w:val="00ED1F10"/>
    <w:rsid w:val="00ED3CA7"/>
    <w:rsid w:val="00ED4905"/>
    <w:rsid w:val="00EE1800"/>
    <w:rsid w:val="00EF68AA"/>
    <w:rsid w:val="00F061A0"/>
    <w:rsid w:val="00F06B9B"/>
    <w:rsid w:val="00F07B3F"/>
    <w:rsid w:val="00F14B66"/>
    <w:rsid w:val="00F16127"/>
    <w:rsid w:val="00F20CFF"/>
    <w:rsid w:val="00F249E4"/>
    <w:rsid w:val="00F274AF"/>
    <w:rsid w:val="00F3021B"/>
    <w:rsid w:val="00F35B3D"/>
    <w:rsid w:val="00F40902"/>
    <w:rsid w:val="00F44608"/>
    <w:rsid w:val="00F44E91"/>
    <w:rsid w:val="00F45262"/>
    <w:rsid w:val="00F47FCF"/>
    <w:rsid w:val="00F61A78"/>
    <w:rsid w:val="00F659BF"/>
    <w:rsid w:val="00F66F3D"/>
    <w:rsid w:val="00F82B13"/>
    <w:rsid w:val="00F9064B"/>
    <w:rsid w:val="00F920FD"/>
    <w:rsid w:val="00F92E1F"/>
    <w:rsid w:val="00F936E2"/>
    <w:rsid w:val="00F93DB3"/>
    <w:rsid w:val="00FA5E33"/>
    <w:rsid w:val="00FB2CE9"/>
    <w:rsid w:val="00FC4C00"/>
    <w:rsid w:val="00FD0A87"/>
    <w:rsid w:val="00FD17C3"/>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930D58"/>
    <w:rPr>
      <w:szCs w:val="20"/>
      <w:lang/>
    </w:rPr>
  </w:style>
  <w:style w:type="character" w:customStyle="1" w:styleId="CommentTextChar">
    <w:name w:val="Comment Text Char"/>
    <w:link w:val="CommentText"/>
    <w:rsid w:val="00930D58"/>
    <w:rPr>
      <w:rFonts w:ascii="Times New Roman" w:hAnsi="Times New Roman"/>
      <w:spacing w:val="4"/>
      <w:w w:val="103"/>
      <w:lang w:val="es-ES"/>
    </w:rPr>
  </w:style>
  <w:style w:type="paragraph" w:styleId="CommentSubject">
    <w:name w:val="annotation subject"/>
    <w:basedOn w:val="CommentText"/>
    <w:next w:val="CommentText"/>
    <w:link w:val="CommentSubjectChar"/>
    <w:rsid w:val="00930D58"/>
    <w:rPr>
      <w:b/>
      <w:bCs/>
    </w:rPr>
  </w:style>
  <w:style w:type="character" w:customStyle="1" w:styleId="CommentSubjectChar">
    <w:name w:val="Comment Subject Char"/>
    <w:link w:val="CommentSubject"/>
    <w:rsid w:val="00930D58"/>
    <w:rPr>
      <w:rFonts w:ascii="Times New Roman" w:hAnsi="Times New Roman"/>
      <w:b/>
      <w:bCs/>
      <w:spacing w:val="4"/>
      <w:w w:val="103"/>
      <w:lang w:val="es-ES"/>
    </w:rPr>
  </w:style>
  <w:style w:type="character" w:styleId="Hyperlink">
    <w:name w:val="Hyperlink"/>
    <w:rsid w:val="00983C07"/>
    <w:rPr>
      <w:color w:val="0000FF"/>
      <w:u w:val="none"/>
    </w:rPr>
  </w:style>
  <w:style w:type="character" w:styleId="FollowedHyperlink">
    <w:name w:val="FollowedHyperlink"/>
    <w:rsid w:val="00983C07"/>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CEDAW/C/CHN/7" TargetMode="External"/><Relationship Id="rId26" Type="http://schemas.openxmlformats.org/officeDocument/2006/relationships/hyperlink" Target="http://undocs.org/sp/CEDAW/C/BEL/Q/7" TargetMode="External"/><Relationship Id="rId39" Type="http://schemas.openxmlformats.org/officeDocument/2006/relationships/hyperlink" Target="http://undocs.org/sp/CEDAW/C/POL/Q/7" TargetMode="External"/><Relationship Id="rId3" Type="http://schemas.openxmlformats.org/officeDocument/2006/relationships/settings" Target="settings.xml"/><Relationship Id="rId21" Type="http://schemas.openxmlformats.org/officeDocument/2006/relationships/hyperlink" Target="http://undocs.org/sp/CEDAW/C/GHA/6" TargetMode="External"/><Relationship Id="rId34" Type="http://schemas.openxmlformats.org/officeDocument/2006/relationships/hyperlink" Target="http://undocs.org/sp/CEDAW/C/BEL/Q/7/Add.1" TargetMode="External"/><Relationship Id="rId42" Type="http://schemas.openxmlformats.org/officeDocument/2006/relationships/hyperlink" Target="http://undocs.org/sp/CEDAW/C/60/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BRN/1" TargetMode="External"/><Relationship Id="rId25" Type="http://schemas.openxmlformats.org/officeDocument/2006/relationships/hyperlink" Target="http://undocs.org/sp/CEDAW/C/VEN/7" TargetMode="External"/><Relationship Id="rId33" Type="http://schemas.openxmlformats.org/officeDocument/2006/relationships/hyperlink" Target="http://undocs.org/sp/CEDAW/C/VEN/Q/7" TargetMode="External"/><Relationship Id="rId38" Type="http://schemas.openxmlformats.org/officeDocument/2006/relationships/hyperlink" Target="http://undocs.org/sp/CEDAW/C/GIN/Q/7" TargetMode="External"/><Relationship Id="rId2" Type="http://schemas.openxmlformats.org/officeDocument/2006/relationships/styles" Target="styles.xml"/><Relationship Id="rId16" Type="http://schemas.openxmlformats.org/officeDocument/2006/relationships/hyperlink" Target="http://undocs.org/sp/CEDAW/C/BEL/7" TargetMode="External"/><Relationship Id="rId20" Type="http://schemas.openxmlformats.org/officeDocument/2006/relationships/hyperlink" Target="http://undocs.org/sp/CEDAW/C/CHN" TargetMode="External"/><Relationship Id="rId29" Type="http://schemas.openxmlformats.org/officeDocument/2006/relationships/hyperlink" Target="http://undocs.org/sp/CEDAW/C/GHA/Q/6" TargetMode="External"/><Relationship Id="rId41" Type="http://schemas.openxmlformats.org/officeDocument/2006/relationships/hyperlink" Target="http://undocs.org/sp/CEDAW/C/VEN/Q/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sp/CEDAW/C/SLB/1" TargetMode="External"/><Relationship Id="rId32" Type="http://schemas.openxmlformats.org/officeDocument/2006/relationships/hyperlink" Target="http://undocs.org/sp/CEDAW/C/SLB/Q/1" TargetMode="External"/><Relationship Id="rId37" Type="http://schemas.openxmlformats.org/officeDocument/2006/relationships/hyperlink" Target="http://undocs.org/sp/CEDAW/C/GHA/Q/6" TargetMode="External"/><Relationship Id="rId40" Type="http://schemas.openxmlformats.org/officeDocument/2006/relationships/hyperlink" Target="http://undocs.org/sp/CEDAW/C/SLB/Q/1" TargetMode="External"/><Relationship Id="rId5" Type="http://schemas.openxmlformats.org/officeDocument/2006/relationships/footnotes" Target="footnotes.xml"/><Relationship Id="rId15" Type="http://schemas.openxmlformats.org/officeDocument/2006/relationships/hyperlink" Target="http://undocs.org/sp/CEDAW/C/PSWG/59/1" TargetMode="External"/><Relationship Id="rId23" Type="http://schemas.openxmlformats.org/officeDocument/2006/relationships/hyperlink" Target="http://undocs.org/sp/CEDAW/C/POL/7" TargetMode="External"/><Relationship Id="rId28" Type="http://schemas.openxmlformats.org/officeDocument/2006/relationships/hyperlink" Target="http://undocs.org/sp/CEDAW/C/CHN/Q/7" TargetMode="External"/><Relationship Id="rId36" Type="http://schemas.openxmlformats.org/officeDocument/2006/relationships/hyperlink" Target="http://undocs.org/sp/CEDAW/C/CHN/Q/7" TargetMode="External"/><Relationship Id="rId10" Type="http://schemas.openxmlformats.org/officeDocument/2006/relationships/footer" Target="footer2.xml"/><Relationship Id="rId19" Type="http://schemas.openxmlformats.org/officeDocument/2006/relationships/hyperlink" Target="http://undocs.org/sp/CEDAW/C/CHN" TargetMode="External"/><Relationship Id="rId31" Type="http://schemas.openxmlformats.org/officeDocument/2006/relationships/hyperlink" Target="http://undocs.org/sp/CEDAW/C/POL/Q/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59/1" TargetMode="External"/><Relationship Id="rId22" Type="http://schemas.openxmlformats.org/officeDocument/2006/relationships/hyperlink" Target="http://undocs.org/sp/CEDAW/C/GIN/7" TargetMode="External"/><Relationship Id="rId27" Type="http://schemas.openxmlformats.org/officeDocument/2006/relationships/hyperlink" Target="http://undocs.org/sp/CEDAW/C/BRN/Q/1" TargetMode="External"/><Relationship Id="rId30" Type="http://schemas.openxmlformats.org/officeDocument/2006/relationships/hyperlink" Target="http://undocs.org/sp/CEDAW/C/GIN/Q/7" TargetMode="External"/><Relationship Id="rId35" Type="http://schemas.openxmlformats.org/officeDocument/2006/relationships/hyperlink" Target="http://undocs.org/sp/CEDAW/C/BRN/Q/1"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1504</Words>
  <Characters>8574</Characters>
  <Application>Microsoft Office Outlook</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10058</CharactersWithSpaces>
  <SharedDoc>false</SharedDoc>
  <HLinks>
    <vt:vector size="174" baseType="variant">
      <vt:variant>
        <vt:i4>5242907</vt:i4>
      </vt:variant>
      <vt:variant>
        <vt:i4>84</vt:i4>
      </vt:variant>
      <vt:variant>
        <vt:i4>0</vt:i4>
      </vt:variant>
      <vt:variant>
        <vt:i4>5</vt:i4>
      </vt:variant>
      <vt:variant>
        <vt:lpwstr>http://undocs.org/sp/CEDAW/C/60/1</vt:lpwstr>
      </vt:variant>
      <vt:variant>
        <vt:lpwstr/>
      </vt:variant>
      <vt:variant>
        <vt:i4>1507406</vt:i4>
      </vt:variant>
      <vt:variant>
        <vt:i4>81</vt:i4>
      </vt:variant>
      <vt:variant>
        <vt:i4>0</vt:i4>
      </vt:variant>
      <vt:variant>
        <vt:i4>5</vt:i4>
      </vt:variant>
      <vt:variant>
        <vt:lpwstr>http://undocs.org/sp/CEDAW/C/VEN/Q/7</vt:lpwstr>
      </vt:variant>
      <vt:variant>
        <vt:lpwstr/>
      </vt:variant>
      <vt:variant>
        <vt:i4>1572935</vt:i4>
      </vt:variant>
      <vt:variant>
        <vt:i4>78</vt:i4>
      </vt:variant>
      <vt:variant>
        <vt:i4>0</vt:i4>
      </vt:variant>
      <vt:variant>
        <vt:i4>5</vt:i4>
      </vt:variant>
      <vt:variant>
        <vt:lpwstr>http://undocs.org/sp/CEDAW/C/SLB/Q/1</vt:lpwstr>
      </vt:variant>
      <vt:variant>
        <vt:lpwstr/>
      </vt:variant>
      <vt:variant>
        <vt:i4>1245252</vt:i4>
      </vt:variant>
      <vt:variant>
        <vt:i4>75</vt:i4>
      </vt:variant>
      <vt:variant>
        <vt:i4>0</vt:i4>
      </vt:variant>
      <vt:variant>
        <vt:i4>5</vt:i4>
      </vt:variant>
      <vt:variant>
        <vt:lpwstr>http://undocs.org/sp/CEDAW/C/POL/Q/7</vt:lpwstr>
      </vt:variant>
      <vt:variant>
        <vt:lpwstr/>
      </vt:variant>
      <vt:variant>
        <vt:i4>393282</vt:i4>
      </vt:variant>
      <vt:variant>
        <vt:i4>72</vt:i4>
      </vt:variant>
      <vt:variant>
        <vt:i4>0</vt:i4>
      </vt:variant>
      <vt:variant>
        <vt:i4>5</vt:i4>
      </vt:variant>
      <vt:variant>
        <vt:lpwstr>http://undocs.org/sp/CEDAW/C/GIN/Q/7</vt:lpwstr>
      </vt:variant>
      <vt:variant>
        <vt:lpwstr/>
      </vt:variant>
      <vt:variant>
        <vt:i4>524355</vt:i4>
      </vt:variant>
      <vt:variant>
        <vt:i4>69</vt:i4>
      </vt:variant>
      <vt:variant>
        <vt:i4>0</vt:i4>
      </vt:variant>
      <vt:variant>
        <vt:i4>5</vt:i4>
      </vt:variant>
      <vt:variant>
        <vt:lpwstr>http://undocs.org/sp/CEDAW/C/GHA/Q/6</vt:lpwstr>
      </vt:variant>
      <vt:variant>
        <vt:lpwstr/>
      </vt:variant>
      <vt:variant>
        <vt:i4>131139</vt:i4>
      </vt:variant>
      <vt:variant>
        <vt:i4>66</vt:i4>
      </vt:variant>
      <vt:variant>
        <vt:i4>0</vt:i4>
      </vt:variant>
      <vt:variant>
        <vt:i4>5</vt:i4>
      </vt:variant>
      <vt:variant>
        <vt:lpwstr>http://undocs.org/sp/CEDAW/C/CHN/Q/7</vt:lpwstr>
      </vt:variant>
      <vt:variant>
        <vt:lpwstr/>
      </vt:variant>
      <vt:variant>
        <vt:i4>327769</vt:i4>
      </vt:variant>
      <vt:variant>
        <vt:i4>63</vt:i4>
      </vt:variant>
      <vt:variant>
        <vt:i4>0</vt:i4>
      </vt:variant>
      <vt:variant>
        <vt:i4>5</vt:i4>
      </vt:variant>
      <vt:variant>
        <vt:lpwstr>http://undocs.org/sp/CEDAW/C/BRN/Q/1</vt:lpwstr>
      </vt:variant>
      <vt:variant>
        <vt:lpwstr/>
      </vt:variant>
      <vt:variant>
        <vt:i4>3473451</vt:i4>
      </vt:variant>
      <vt:variant>
        <vt:i4>60</vt:i4>
      </vt:variant>
      <vt:variant>
        <vt:i4>0</vt:i4>
      </vt:variant>
      <vt:variant>
        <vt:i4>5</vt:i4>
      </vt:variant>
      <vt:variant>
        <vt:lpwstr>http://undocs.org/sp/CEDAW/C/BEL/Q/7/Add.1</vt:lpwstr>
      </vt:variant>
      <vt:variant>
        <vt:lpwstr/>
      </vt:variant>
      <vt:variant>
        <vt:i4>1507406</vt:i4>
      </vt:variant>
      <vt:variant>
        <vt:i4>57</vt:i4>
      </vt:variant>
      <vt:variant>
        <vt:i4>0</vt:i4>
      </vt:variant>
      <vt:variant>
        <vt:i4>5</vt:i4>
      </vt:variant>
      <vt:variant>
        <vt:lpwstr>http://undocs.org/sp/CEDAW/C/VEN/Q/7</vt:lpwstr>
      </vt:variant>
      <vt:variant>
        <vt:lpwstr/>
      </vt:variant>
      <vt:variant>
        <vt:i4>1572935</vt:i4>
      </vt:variant>
      <vt:variant>
        <vt:i4>54</vt:i4>
      </vt:variant>
      <vt:variant>
        <vt:i4>0</vt:i4>
      </vt:variant>
      <vt:variant>
        <vt:i4>5</vt:i4>
      </vt:variant>
      <vt:variant>
        <vt:lpwstr>http://undocs.org/sp/CEDAW/C/SLB/Q/1</vt:lpwstr>
      </vt:variant>
      <vt:variant>
        <vt:lpwstr/>
      </vt:variant>
      <vt:variant>
        <vt:i4>1245252</vt:i4>
      </vt:variant>
      <vt:variant>
        <vt:i4>51</vt:i4>
      </vt:variant>
      <vt:variant>
        <vt:i4>0</vt:i4>
      </vt:variant>
      <vt:variant>
        <vt:i4>5</vt:i4>
      </vt:variant>
      <vt:variant>
        <vt:lpwstr>http://undocs.org/sp/CEDAW/C/POL/Q/7</vt:lpwstr>
      </vt:variant>
      <vt:variant>
        <vt:lpwstr/>
      </vt:variant>
      <vt:variant>
        <vt:i4>393282</vt:i4>
      </vt:variant>
      <vt:variant>
        <vt:i4>48</vt:i4>
      </vt:variant>
      <vt:variant>
        <vt:i4>0</vt:i4>
      </vt:variant>
      <vt:variant>
        <vt:i4>5</vt:i4>
      </vt:variant>
      <vt:variant>
        <vt:lpwstr>http://undocs.org/sp/CEDAW/C/GIN/Q/7</vt:lpwstr>
      </vt:variant>
      <vt:variant>
        <vt:lpwstr/>
      </vt:variant>
      <vt:variant>
        <vt:i4>524355</vt:i4>
      </vt:variant>
      <vt:variant>
        <vt:i4>45</vt:i4>
      </vt:variant>
      <vt:variant>
        <vt:i4>0</vt:i4>
      </vt:variant>
      <vt:variant>
        <vt:i4>5</vt:i4>
      </vt:variant>
      <vt:variant>
        <vt:lpwstr>http://undocs.org/sp/CEDAW/C/GHA/Q/6</vt:lpwstr>
      </vt:variant>
      <vt:variant>
        <vt:lpwstr/>
      </vt:variant>
      <vt:variant>
        <vt:i4>131139</vt:i4>
      </vt:variant>
      <vt:variant>
        <vt:i4>42</vt:i4>
      </vt:variant>
      <vt:variant>
        <vt:i4>0</vt:i4>
      </vt:variant>
      <vt:variant>
        <vt:i4>5</vt:i4>
      </vt:variant>
      <vt:variant>
        <vt:lpwstr>http://undocs.org/sp/CEDAW/C/CHN/Q/7</vt:lpwstr>
      </vt:variant>
      <vt:variant>
        <vt:lpwstr/>
      </vt:variant>
      <vt:variant>
        <vt:i4>327769</vt:i4>
      </vt:variant>
      <vt:variant>
        <vt:i4>39</vt:i4>
      </vt:variant>
      <vt:variant>
        <vt:i4>0</vt:i4>
      </vt:variant>
      <vt:variant>
        <vt:i4>5</vt:i4>
      </vt:variant>
      <vt:variant>
        <vt:lpwstr>http://undocs.org/sp/CEDAW/C/BRN/Q/1</vt:lpwstr>
      </vt:variant>
      <vt:variant>
        <vt:lpwstr/>
      </vt:variant>
      <vt:variant>
        <vt:i4>65614</vt:i4>
      </vt:variant>
      <vt:variant>
        <vt:i4>36</vt:i4>
      </vt:variant>
      <vt:variant>
        <vt:i4>0</vt:i4>
      </vt:variant>
      <vt:variant>
        <vt:i4>5</vt:i4>
      </vt:variant>
      <vt:variant>
        <vt:lpwstr>http://undocs.org/sp/CEDAW/C/BEL/Q/7</vt:lpwstr>
      </vt:variant>
      <vt:variant>
        <vt:lpwstr/>
      </vt:variant>
      <vt:variant>
        <vt:i4>6684769</vt:i4>
      </vt:variant>
      <vt:variant>
        <vt:i4>33</vt:i4>
      </vt:variant>
      <vt:variant>
        <vt:i4>0</vt:i4>
      </vt:variant>
      <vt:variant>
        <vt:i4>5</vt:i4>
      </vt:variant>
      <vt:variant>
        <vt:lpwstr>http://undocs.org/sp/CEDAW/C/VEN/7</vt:lpwstr>
      </vt:variant>
      <vt:variant>
        <vt:lpwstr/>
      </vt:variant>
      <vt:variant>
        <vt:i4>6881384</vt:i4>
      </vt:variant>
      <vt:variant>
        <vt:i4>30</vt:i4>
      </vt:variant>
      <vt:variant>
        <vt:i4>0</vt:i4>
      </vt:variant>
      <vt:variant>
        <vt:i4>5</vt:i4>
      </vt:variant>
      <vt:variant>
        <vt:lpwstr>http://undocs.org/sp/CEDAW/C/SLB/1</vt:lpwstr>
      </vt:variant>
      <vt:variant>
        <vt:lpwstr/>
      </vt:variant>
      <vt:variant>
        <vt:i4>6422635</vt:i4>
      </vt:variant>
      <vt:variant>
        <vt:i4>27</vt:i4>
      </vt:variant>
      <vt:variant>
        <vt:i4>0</vt:i4>
      </vt:variant>
      <vt:variant>
        <vt:i4>5</vt:i4>
      </vt:variant>
      <vt:variant>
        <vt:lpwstr>http://undocs.org/sp/CEDAW/C/POL/7</vt:lpwstr>
      </vt:variant>
      <vt:variant>
        <vt:lpwstr/>
      </vt:variant>
      <vt:variant>
        <vt:i4>7798893</vt:i4>
      </vt:variant>
      <vt:variant>
        <vt:i4>24</vt:i4>
      </vt:variant>
      <vt:variant>
        <vt:i4>0</vt:i4>
      </vt:variant>
      <vt:variant>
        <vt:i4>5</vt:i4>
      </vt:variant>
      <vt:variant>
        <vt:lpwstr>http://undocs.org/sp/CEDAW/C/GIN/7</vt:lpwstr>
      </vt:variant>
      <vt:variant>
        <vt:lpwstr/>
      </vt:variant>
      <vt:variant>
        <vt:i4>7929964</vt:i4>
      </vt:variant>
      <vt:variant>
        <vt:i4>21</vt:i4>
      </vt:variant>
      <vt:variant>
        <vt:i4>0</vt:i4>
      </vt:variant>
      <vt:variant>
        <vt:i4>5</vt:i4>
      </vt:variant>
      <vt:variant>
        <vt:lpwstr>http://undocs.org/sp/CEDAW/C/GHA/6</vt:lpwstr>
      </vt:variant>
      <vt:variant>
        <vt:lpwstr/>
      </vt:variant>
      <vt:variant>
        <vt:i4>4456515</vt:i4>
      </vt:variant>
      <vt:variant>
        <vt:i4>18</vt:i4>
      </vt:variant>
      <vt:variant>
        <vt:i4>0</vt:i4>
      </vt:variant>
      <vt:variant>
        <vt:i4>5</vt:i4>
      </vt:variant>
      <vt:variant>
        <vt:lpwstr>http://undocs.org/sp/CEDAW/C/CHN</vt:lpwstr>
      </vt:variant>
      <vt:variant>
        <vt:lpwstr/>
      </vt:variant>
      <vt:variant>
        <vt:i4>4456515</vt:i4>
      </vt:variant>
      <vt:variant>
        <vt:i4>15</vt:i4>
      </vt:variant>
      <vt:variant>
        <vt:i4>0</vt:i4>
      </vt:variant>
      <vt:variant>
        <vt:i4>5</vt:i4>
      </vt:variant>
      <vt:variant>
        <vt:lpwstr>http://undocs.org/sp/CEDAW/C/CHN</vt:lpwstr>
      </vt:variant>
      <vt:variant>
        <vt:lpwstr/>
      </vt:variant>
      <vt:variant>
        <vt:i4>7536748</vt:i4>
      </vt:variant>
      <vt:variant>
        <vt:i4>12</vt:i4>
      </vt:variant>
      <vt:variant>
        <vt:i4>0</vt:i4>
      </vt:variant>
      <vt:variant>
        <vt:i4>5</vt:i4>
      </vt:variant>
      <vt:variant>
        <vt:lpwstr>http://undocs.org/sp/CEDAW/C/CHN/7</vt:lpwstr>
      </vt:variant>
      <vt:variant>
        <vt:lpwstr/>
      </vt:variant>
      <vt:variant>
        <vt:i4>7602294</vt:i4>
      </vt:variant>
      <vt:variant>
        <vt:i4>9</vt:i4>
      </vt:variant>
      <vt:variant>
        <vt:i4>0</vt:i4>
      </vt:variant>
      <vt:variant>
        <vt:i4>5</vt:i4>
      </vt:variant>
      <vt:variant>
        <vt:lpwstr>http://undocs.org/sp/CEDAW/C/BRN/1</vt:lpwstr>
      </vt:variant>
      <vt:variant>
        <vt:lpwstr/>
      </vt:variant>
      <vt:variant>
        <vt:i4>7340129</vt:i4>
      </vt:variant>
      <vt:variant>
        <vt:i4>6</vt:i4>
      </vt:variant>
      <vt:variant>
        <vt:i4>0</vt:i4>
      </vt:variant>
      <vt:variant>
        <vt:i4>5</vt:i4>
      </vt:variant>
      <vt:variant>
        <vt:lpwstr>http://undocs.org/sp/CEDAW/C/BEL/7</vt:lpwstr>
      </vt:variant>
      <vt:variant>
        <vt:lpwstr/>
      </vt:variant>
      <vt:variant>
        <vt:i4>6881317</vt:i4>
      </vt:variant>
      <vt:variant>
        <vt:i4>3</vt:i4>
      </vt:variant>
      <vt:variant>
        <vt:i4>0</vt:i4>
      </vt:variant>
      <vt:variant>
        <vt:i4>5</vt:i4>
      </vt:variant>
      <vt:variant>
        <vt:lpwstr>http://undocs.org/sp/CEDAW/C/PSWG/59/1</vt:lpwstr>
      </vt:variant>
      <vt:variant>
        <vt:lpwstr/>
      </vt:variant>
      <vt:variant>
        <vt:i4>5439506</vt:i4>
      </vt:variant>
      <vt:variant>
        <vt:i4>0</vt:i4>
      </vt:variant>
      <vt:variant>
        <vt:i4>0</vt:i4>
      </vt:variant>
      <vt:variant>
        <vt:i4>5</vt:i4>
      </vt:variant>
      <vt:variant>
        <vt:lpwstr>http://undocs.org/sp/CEDAW/C/59/1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Spanish Text Processing FD2</cp:lastModifiedBy>
  <cp:revision>8</cp:revision>
  <cp:lastPrinted>2014-07-02T07:36:00Z</cp:lastPrinted>
  <dcterms:created xsi:type="dcterms:W3CDTF">2014-07-02T07:30:00Z</dcterms:created>
  <dcterms:modified xsi:type="dcterms:W3CDTF">2014-07-02T14:05:00Z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1456040</vt:lpwstr>
  </property>
  <property fmtid="{D5CDD505-2E9C-101B-9397-08002B2CF9AE}" pid="3" name="ODSRefJobNo">
    <vt:lpwstr>1443883</vt:lpwstr>
  </property>
  <property fmtid="{D5CDD505-2E9C-101B-9397-08002B2CF9AE}" pid="4" name="Symbol1">
    <vt:lpwstr>CEDAW/C/59/1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 de julio de 2014</vt:lpwstr>
  </property>
  <property fmtid="{D5CDD505-2E9C-101B-9397-08002B2CF9AE}" pid="8" name="Original">
    <vt:lpwstr>inglés</vt:lpwstr>
  </property>
  <property fmtid="{D5CDD505-2E9C-101B-9397-08002B2CF9AE}" pid="9" name="Release Date">
    <vt:lpwstr>020714</vt:lpwstr>
  </property>
  <property fmtid="{D5CDD505-2E9C-101B-9397-08002B2CF9AE}" pid="10" name="Comment">
    <vt:lpwstr/>
  </property>
  <property fmtid="{D5CDD505-2E9C-101B-9397-08002B2CF9AE}" pid="11" name="DraftPages">
    <vt:lpwstr> </vt:lpwstr>
  </property>
  <property fmtid="{D5CDD505-2E9C-101B-9397-08002B2CF9AE}" pid="12" name="Operator">
    <vt:lpwstr>Dag</vt:lpwstr>
  </property>
  <property fmtid="{D5CDD505-2E9C-101B-9397-08002B2CF9AE}" pid="13" name="Translator">
    <vt:lpwstr>Dag</vt:lpwstr>
  </property>
</Properties>
</file>