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A" w:rsidRDefault="00802F2A" w:rsidP="00802F2A">
      <w:pPr>
        <w:spacing w:line="60" w:lineRule="exact"/>
        <w:rPr>
          <w:color w:val="010000"/>
          <w:sz w:val="6"/>
        </w:rPr>
        <w:sectPr w:rsidR="00802F2A" w:rsidSect="00802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right="1260"/>
        <w:outlineLvl w:val="0"/>
        <w:rPr>
          <w:b/>
          <w:sz w:val="24"/>
        </w:rPr>
      </w:pPr>
      <w:r w:rsidRPr="00BD62AF">
        <w:rPr>
          <w:b/>
          <w:sz w:val="24"/>
        </w:rPr>
        <w:t xml:space="preserve">Комитет по ликвидации дискриминации </w:t>
      </w:r>
      <w:r w:rsidRPr="00BD62AF">
        <w:rPr>
          <w:b/>
          <w:sz w:val="24"/>
        </w:rPr>
        <w:br/>
        <w:t>в отношении женщин</w:t>
      </w: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pacing w:val="2"/>
        </w:rPr>
      </w:pPr>
      <w:r w:rsidRPr="00BD62AF">
        <w:rPr>
          <w:b/>
          <w:spacing w:val="2"/>
        </w:rPr>
        <w:tab/>
        <w:t>Пятьдесят девятая сессия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62AF">
        <w:t>20</w:t>
      </w:r>
      <w:r w:rsidRPr="00BD62AF">
        <w:rPr>
          <w:lang w:val="en-US"/>
        </w:rPr>
        <w:t> </w:t>
      </w:r>
      <w:r w:rsidRPr="00BD62AF">
        <w:t>октября – 7</w:t>
      </w:r>
      <w:r w:rsidRPr="00BD62AF">
        <w:rPr>
          <w:lang w:val="en-US"/>
        </w:rPr>
        <w:t> </w:t>
      </w:r>
      <w:r w:rsidRPr="00BD62AF">
        <w:t>ноября 2014 года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D62AF">
        <w:t>Пункт 6 предварительной повестки дня</w:t>
      </w:r>
      <w:r w:rsidRPr="00BD62AF">
        <w:rPr>
          <w:spacing w:val="-5"/>
          <w:w w:val="130"/>
          <w:position w:val="-4"/>
          <w:vertAlign w:val="superscript"/>
        </w:rPr>
        <w:footnoteReference w:customMarkFollows="1" w:id="1"/>
        <w:t>*</w:t>
      </w: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1260"/>
        <w:outlineLvl w:val="1"/>
        <w:rPr>
          <w:b/>
          <w:spacing w:val="2"/>
        </w:rPr>
      </w:pPr>
      <w:r w:rsidRPr="00BD62AF">
        <w:rPr>
          <w:b/>
          <w:spacing w:val="2"/>
        </w:rPr>
        <w:tab/>
        <w:t xml:space="preserve">Осуществление статей 21 и 22 Конвенции </w:t>
      </w:r>
      <w:r w:rsidRPr="00BD62AF">
        <w:rPr>
          <w:b/>
          <w:spacing w:val="2"/>
        </w:rPr>
        <w:br/>
        <w:t xml:space="preserve">о ликвидации всех форм дискриминации </w:t>
      </w:r>
      <w:r w:rsidRPr="00BD62AF">
        <w:rPr>
          <w:b/>
          <w:spacing w:val="2"/>
        </w:rPr>
        <w:br/>
        <w:t>в отношении женщин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Доклады специализированных учреждений об осуществлении Конвенции о ликвидации всех форм дискриминации в отношении женщин в областях, входящих в сферу их деятельности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Доклад Международной организации труда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</w:p>
    <w:tbl>
      <w:tblPr>
        <w:tblW w:w="9915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15"/>
      </w:tblGrid>
      <w:tr w:rsidR="00BD62AF" w:rsidRPr="00BD62AF" w:rsidTr="00BD62AF"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D62AF" w:rsidRPr="00BD62AF" w:rsidRDefault="00BD62AF" w:rsidP="00BD62AF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 w:rsidRPr="00BD62AF">
              <w:rPr>
                <w:i/>
                <w:sz w:val="24"/>
              </w:rPr>
              <w:tab/>
              <w:t>Резюме</w:t>
            </w:r>
          </w:p>
        </w:tc>
      </w:tr>
      <w:tr w:rsidR="00BD62AF" w:rsidRPr="00BD62AF" w:rsidTr="00BD62AF">
        <w:tc>
          <w:tcPr>
            <w:tcW w:w="99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D62AF" w:rsidRPr="00BD62AF" w:rsidRDefault="00BD62AF" w:rsidP="00BD62A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</w:pPr>
            <w:r w:rsidRPr="00BD62AF">
              <w:tab/>
              <w:t>В соответствии со статьей 22 Конвенции о ликвидации всех форм дискр</w:t>
            </w:r>
            <w:r w:rsidRPr="00BD62AF">
              <w:t>и</w:t>
            </w:r>
            <w:r w:rsidRPr="00BD62AF">
              <w:t>минации в отношении женщин специализированным учреждениям Организ</w:t>
            </w:r>
            <w:r w:rsidRPr="00BD62AF">
              <w:t>а</w:t>
            </w:r>
            <w:r w:rsidRPr="00BD62AF">
              <w:t>ции Объединенных Наций было предложено представить Комитету по ликвид</w:t>
            </w:r>
            <w:r w:rsidRPr="00BD62AF">
              <w:t>а</w:t>
            </w:r>
            <w:r w:rsidRPr="00BD62AF">
              <w:t>ции дискриминации в отношении женщин на его пятьдесят девятой сессии д</w:t>
            </w:r>
            <w:r w:rsidRPr="00BD62AF">
              <w:t>о</w:t>
            </w:r>
            <w:r w:rsidRPr="00BD62AF">
              <w:t>клады об осуществлении Конвенции в областях, входящих в сферу их деятел</w:t>
            </w:r>
            <w:r w:rsidRPr="00BD62AF">
              <w:t>ь</w:t>
            </w:r>
            <w:r w:rsidRPr="00BD62AF">
              <w:t>ности.</w:t>
            </w:r>
          </w:p>
        </w:tc>
      </w:tr>
      <w:tr w:rsidR="00BD62AF" w:rsidRPr="00BD62AF" w:rsidTr="00BD62AF">
        <w:tc>
          <w:tcPr>
            <w:tcW w:w="99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2AF" w:rsidRPr="00BD62AF" w:rsidRDefault="00BD62AF" w:rsidP="00BD62AF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</w:pPr>
          </w:p>
        </w:tc>
      </w:tr>
    </w:tbl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</w:p>
    <w:p w:rsidR="00BD62AF" w:rsidRDefault="00BD62AF" w:rsidP="00BD62AF">
      <w:pPr>
        <w:spacing w:after="120" w:line="240" w:lineRule="auto"/>
        <w:rPr>
          <w:spacing w:val="-2"/>
          <w:sz w:val="28"/>
          <w:lang w:val="en-US"/>
        </w:rPr>
      </w:pPr>
      <w:r w:rsidRPr="00BD62AF">
        <w:br w:type="page"/>
      </w:r>
    </w:p>
    <w:p w:rsidR="00BD62AF" w:rsidRPr="00BD62AF" w:rsidRDefault="00BD62AF" w:rsidP="00BD62AF">
      <w:pPr>
        <w:pStyle w:val="HCh"/>
        <w:spacing w:after="120"/>
        <w:rPr>
          <w:b w:val="0"/>
          <w:lang w:val="en-US"/>
        </w:rPr>
      </w:pPr>
      <w:r>
        <w:rPr>
          <w:b w:val="0"/>
          <w:lang w:val="en-US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7056"/>
        <w:gridCol w:w="994"/>
        <w:gridCol w:w="720"/>
      </w:tblGrid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1060" w:type="dxa"/>
            <w:shd w:val="clear" w:color="auto" w:fill="auto"/>
          </w:tcPr>
          <w:p w:rsidR="00BD62AF" w:rsidRPr="00BD62AF" w:rsidRDefault="00BD62AF" w:rsidP="00BD62AF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BD62AF" w:rsidRPr="00BD62AF" w:rsidRDefault="00BD62AF" w:rsidP="00BD62AF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BD62AF" w:rsidRPr="00BD62AF" w:rsidRDefault="00BD62AF" w:rsidP="00BD62AF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BD62AF" w:rsidRPr="00BD62AF" w:rsidRDefault="00BD62AF" w:rsidP="00BD62AF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BD62AF">
              <w:rPr>
                <w:bCs/>
              </w:rPr>
              <w:t>Введение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862E2F" w:rsidRDefault="00862E2F" w:rsidP="00BD62AF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</w:pPr>
            <w:r>
              <w:rPr>
                <w:lang w:val="en-US"/>
              </w:rPr>
              <w:tab/>
            </w:r>
            <w:r w:rsidRPr="00BD62AF">
              <w:rPr>
                <w:bCs/>
                <w:sz w:val="24"/>
                <w:szCs w:val="24"/>
              </w:rPr>
              <w:t>Информация о положении в отдельных странах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ab/>
            </w:r>
            <w:r>
              <w:rPr>
                <w:rFonts w:eastAsia="SimSun"/>
                <w:sz w:val="24"/>
                <w:szCs w:val="24"/>
                <w:lang w:eastAsia="zh-CN"/>
              </w:rPr>
              <w:tab/>
            </w:r>
            <w:r w:rsidRPr="00BD62AF">
              <w:rPr>
                <w:rFonts w:eastAsia="SimSun"/>
                <w:sz w:val="24"/>
                <w:szCs w:val="24"/>
                <w:lang w:eastAsia="zh-CN"/>
              </w:rPr>
              <w:t>Бельгия</w:t>
            </w:r>
            <w:r>
              <w:rPr>
                <w:rFonts w:eastAsia="SimSun"/>
                <w:spacing w:val="60"/>
                <w:sz w:val="17"/>
                <w:szCs w:val="24"/>
                <w:lang w:eastAsia="zh-CN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D62AF">
              <w:rPr>
                <w:bCs/>
                <w:sz w:val="24"/>
                <w:szCs w:val="24"/>
              </w:rPr>
              <w:t>Бруней-Даруссалам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pacing w:after="120" w:line="240" w:lineRule="auto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D62AF">
              <w:rPr>
                <w:bCs/>
                <w:sz w:val="24"/>
                <w:szCs w:val="24"/>
              </w:rPr>
              <w:t>Китай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pacing w:after="120" w:line="240" w:lineRule="auto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D62AF">
              <w:rPr>
                <w:bCs/>
                <w:sz w:val="24"/>
                <w:szCs w:val="24"/>
              </w:rPr>
              <w:t>Гана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pacing w:after="120" w:line="240" w:lineRule="auto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D62AF">
              <w:rPr>
                <w:bCs/>
                <w:sz w:val="24"/>
                <w:szCs w:val="24"/>
              </w:rPr>
              <w:t>Гвинея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pacing w:after="120" w:line="240" w:lineRule="auto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D62AF">
              <w:rPr>
                <w:bCs/>
                <w:sz w:val="24"/>
                <w:szCs w:val="24"/>
              </w:rPr>
              <w:t>Польша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D62AF">
              <w:rPr>
                <w:bCs/>
                <w:sz w:val="24"/>
                <w:szCs w:val="24"/>
              </w:rPr>
              <w:t>Соломоновы Острова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26</w:t>
            </w:r>
          </w:p>
        </w:tc>
      </w:tr>
      <w:tr w:rsidR="00BD62AF" w:rsidRPr="00BD62AF" w:rsidTr="00BD62AF">
        <w:tblPrEx>
          <w:tblCellMar>
            <w:top w:w="0" w:type="dxa"/>
            <w:bottom w:w="0" w:type="dxa"/>
          </w:tblCellMar>
        </w:tblPrEx>
        <w:tc>
          <w:tcPr>
            <w:tcW w:w="9110" w:type="dxa"/>
            <w:gridSpan w:val="3"/>
            <w:shd w:val="clear" w:color="auto" w:fill="auto"/>
          </w:tcPr>
          <w:p w:rsidR="00BD62AF" w:rsidRPr="00BD62AF" w:rsidRDefault="00BD62AF" w:rsidP="00BD62AF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pacing w:after="120" w:line="240" w:lineRule="auto"/>
              <w:rPr>
                <w:spacing w:val="60"/>
                <w:sz w:val="17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В</w:t>
            </w:r>
            <w:r w:rsidRPr="00BD62AF">
              <w:rPr>
                <w:bCs/>
                <w:sz w:val="24"/>
                <w:szCs w:val="24"/>
              </w:rPr>
              <w:t>енесуэла (Боливарианская Республика)</w:t>
            </w:r>
            <w:r>
              <w:rPr>
                <w:bCs/>
                <w:spacing w:val="60"/>
                <w:sz w:val="17"/>
                <w:szCs w:val="24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D62AF" w:rsidRPr="00BD62AF" w:rsidRDefault="00862E2F" w:rsidP="00BD62AF">
            <w:pPr>
              <w:spacing w:after="120"/>
              <w:ind w:right="40"/>
              <w:jc w:val="right"/>
            </w:pPr>
            <w:r>
              <w:t>26</w:t>
            </w:r>
          </w:p>
        </w:tc>
      </w:tr>
    </w:tbl>
    <w:p w:rsidR="00BD62AF" w:rsidRPr="00BD62AF" w:rsidRDefault="00BD62AF" w:rsidP="00BD62AF"/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431"/>
        <w:outlineLvl w:val="0"/>
        <w:rPr>
          <w:b/>
          <w:spacing w:val="-2"/>
          <w:sz w:val="28"/>
        </w:rPr>
      </w:pPr>
      <w:r w:rsidRPr="00BD62AF">
        <w:rPr>
          <w:bCs/>
          <w:spacing w:val="-2"/>
          <w:sz w:val="28"/>
          <w:szCs w:val="24"/>
        </w:rPr>
        <w:br w:type="page"/>
      </w:r>
      <w:r w:rsidRPr="00BD62AF">
        <w:rPr>
          <w:b/>
          <w:spacing w:val="-2"/>
          <w:sz w:val="28"/>
          <w:lang w:val="en-US"/>
        </w:rPr>
        <w:t>I</w:t>
      </w:r>
      <w:r w:rsidRPr="00BD62AF">
        <w:rPr>
          <w:b/>
          <w:spacing w:val="-2"/>
          <w:sz w:val="28"/>
        </w:rPr>
        <w:t>.</w:t>
      </w:r>
      <w:r w:rsidRPr="00BD62AF">
        <w:rPr>
          <w:b/>
          <w:spacing w:val="-2"/>
          <w:sz w:val="28"/>
        </w:rPr>
        <w:tab/>
      </w:r>
      <w:r w:rsidRPr="00BD62AF">
        <w:rPr>
          <w:b/>
          <w:spacing w:val="-2"/>
          <w:sz w:val="28"/>
        </w:rPr>
        <w:tab/>
        <w:t>Введение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BD62AF">
        <w:t>1.</w:t>
      </w:r>
      <w:r w:rsidRPr="00BD62AF">
        <w:tab/>
        <w:t>Положения статьи 11 Конвенции о ликвидации всех форм дискриминации в отношении женщин затрагиваются в ряде конвенций Международной орг</w:t>
      </w:r>
      <w:r w:rsidRPr="00BD62AF">
        <w:t>а</w:t>
      </w:r>
      <w:r w:rsidRPr="00BD62AF">
        <w:t>низации труда (МОТ). Сведения, содержащиеся в настоящем докладе, относя</w:t>
      </w:r>
      <w:r w:rsidRPr="00BD62AF">
        <w:t>т</w:t>
      </w:r>
      <w:r w:rsidRPr="00BD62AF">
        <w:t>ся в основном к следующим из 189 конвенций, принятых до настоящего врем</w:t>
      </w:r>
      <w:r w:rsidRPr="00BD62AF">
        <w:t>е</w:t>
      </w:r>
      <w:r w:rsidRPr="00BD62AF">
        <w:t>ни: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1951 года о равном вознаграждении (№ 100), которая ратифиц</w:t>
      </w:r>
      <w:r w:rsidRPr="00BD62AF">
        <w:t>и</w:t>
      </w:r>
      <w:r w:rsidRPr="00BD62AF">
        <w:t>рована 171 государством-членом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1958 года о дискриминации в области труда и занятий (№ 111), которая ратифицирована 172 государствами-членами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1981 года о трудящихся с семейными обязанностями (№ 156), которая ратифицирована 43 государствами-членами.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BD62AF">
        <w:t>2.</w:t>
      </w:r>
      <w:r w:rsidRPr="00BD62AF">
        <w:tab/>
        <w:t>Там, где это применимо, даются ссылки на ряд других конвенций, каса</w:t>
      </w:r>
      <w:r w:rsidRPr="00BD62AF">
        <w:t>ю</w:t>
      </w:r>
      <w:r w:rsidRPr="00BD62AF">
        <w:t xml:space="preserve">щихся занятости женщин: 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Принудительный труд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1930 года о принудительном труде (№ 29) и Протокол к ней, принятый в 2014 году (еще не вступил в силу)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1957 года об упразднении принудительного труда (№ 105)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Детский труд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1973 года о минимальном возрасте (№ 138)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1999 года о наихудших формах детского труда (№ 182)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Свобода ассоциации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1948 года о свободе ассоциации и защите права на организацию (№ 87)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1949 года о праве на организацию и на ведение коллективных переговоров (№ 98)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Политика в области занятости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1964 года о политике в области занятости (№ 122)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1975 года о развитии людских ресурсов (№ 142)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Охрана материнства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1919 года об охране материнства (№ 3)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(пересмотренная) 1952 года об охране материнства (№ 103)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2000 года об охране материнства (№ 183)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i/>
        </w:rPr>
      </w:pPr>
      <w:r w:rsidRPr="00BD62AF">
        <w:rPr>
          <w:i/>
        </w:rPr>
        <w:br w:type="page"/>
        <w:t>Работа в ночное время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i/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(пересмотренная) 1948 года о ночном труде женщин (№ 89) и Протокол к ней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1990</w:t>
      </w:r>
      <w:r w:rsidRPr="00BD62AF">
        <w:rPr>
          <w:lang w:val="en-US"/>
        </w:rPr>
        <w:t> </w:t>
      </w:r>
      <w:r w:rsidRPr="00BD62AF">
        <w:t xml:space="preserve">года о ночном труде (№ 171) 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Работа под землей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1935</w:t>
      </w:r>
      <w:r w:rsidRPr="00BD62AF">
        <w:rPr>
          <w:lang w:val="en-US"/>
        </w:rPr>
        <w:t> </w:t>
      </w:r>
      <w:r w:rsidRPr="00BD62AF">
        <w:t>года о применении труда женщин на подземных работах (№ 45)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Трудящиеся-мигранты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(пересмотренная) 1949</w:t>
      </w:r>
      <w:r w:rsidRPr="00BD62AF">
        <w:rPr>
          <w:lang w:val="en-US"/>
        </w:rPr>
        <w:t> </w:t>
      </w:r>
      <w:r w:rsidRPr="00BD62AF">
        <w:t xml:space="preserve">года о трудящихся-мигрантах (№ 97) </w:t>
      </w: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1975</w:t>
      </w:r>
      <w:r w:rsidRPr="00BD62AF">
        <w:rPr>
          <w:lang w:val="en-US"/>
        </w:rPr>
        <w:t> </w:t>
      </w:r>
      <w:r w:rsidRPr="00BD62AF">
        <w:t>года о трудящихся-мигрантах (дополнительные положения) (№ 143)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 xml:space="preserve">Работа на условиях неполного рабочего времени 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1994</w:t>
      </w:r>
      <w:r w:rsidRPr="00BD62AF">
        <w:rPr>
          <w:lang w:val="en-US"/>
        </w:rPr>
        <w:t> </w:t>
      </w:r>
      <w:r w:rsidRPr="00BD62AF">
        <w:t>года о работе на условиях неполного рабочего времени (№ 175)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Надомный труд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1996</w:t>
      </w:r>
      <w:r w:rsidRPr="00BD62AF">
        <w:rPr>
          <w:lang w:val="en-US"/>
        </w:rPr>
        <w:t> </w:t>
      </w:r>
      <w:r w:rsidRPr="00BD62AF">
        <w:t>года о надомном труде (№ 177)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3"/>
        <w:rPr>
          <w:i/>
          <w:spacing w:val="3"/>
        </w:rPr>
      </w:pPr>
      <w:r w:rsidRPr="00BD62AF">
        <w:rPr>
          <w:i/>
          <w:spacing w:val="3"/>
        </w:rPr>
        <w:tab/>
      </w:r>
      <w:r w:rsidRPr="00BD62AF">
        <w:rPr>
          <w:i/>
          <w:spacing w:val="3"/>
        </w:rPr>
        <w:tab/>
        <w:t>Домашние работники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539"/>
          <w:tab w:val="right" w:pos="216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539" w:right="1260" w:hanging="272"/>
        <w:jc w:val="both"/>
      </w:pPr>
      <w:r w:rsidRPr="00BD62AF">
        <w:t>–</w:t>
      </w:r>
      <w:r w:rsidRPr="00BD62AF">
        <w:tab/>
        <w:t>Конвенция 2011</w:t>
      </w:r>
      <w:r w:rsidRPr="00BD62AF">
        <w:rPr>
          <w:lang w:val="en-US"/>
        </w:rPr>
        <w:t> </w:t>
      </w:r>
      <w:r w:rsidRPr="00BD62AF">
        <w:t>года о достойном труде домашних работников (№</w:t>
      </w:r>
      <w:r w:rsidRPr="00BD62AF">
        <w:rPr>
          <w:lang w:val="en-US"/>
        </w:rPr>
        <w:t> </w:t>
      </w:r>
      <w:r w:rsidRPr="00BD62AF">
        <w:t>189)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BD62AF">
        <w:t>3.</w:t>
      </w:r>
      <w:r w:rsidRPr="00BD62AF">
        <w:tab/>
        <w:t>Надзор за применением ратифицированных конвенций осуществляет К</w:t>
      </w:r>
      <w:r w:rsidRPr="00BD62AF">
        <w:t>о</w:t>
      </w:r>
      <w:r w:rsidRPr="00BD62AF">
        <w:t>митет экспертов МОТ по применению конвенций и рекомендаций («Комитет экспертов») — орган в составе независимых экспертов со всего мира, засед</w:t>
      </w:r>
      <w:r w:rsidRPr="00BD62AF">
        <w:t>а</w:t>
      </w:r>
      <w:r w:rsidRPr="00BD62AF">
        <w:t>ния которого проходят ежегодно. Информация, приведенная в разделе II наст</w:t>
      </w:r>
      <w:r w:rsidRPr="00BD62AF">
        <w:t>о</w:t>
      </w:r>
      <w:r w:rsidRPr="00BD62AF">
        <w:t>ящего доклада, представляет собой краткое изложение замечаний и прямых з</w:t>
      </w:r>
      <w:r w:rsidRPr="00BD62AF">
        <w:t>а</w:t>
      </w:r>
      <w:r w:rsidRPr="00BD62AF">
        <w:t>просов Комитета. Замечания представляют собой комментарии, публикуемые в ежегодном докладе Комитета экспертов, который издается на английском, французском и испанском языках, и направляемые на рассмотрение Комитета Конференции по применению стандартов. Прямые запросы, составляемые на английском и французском языках, а в случае испаноязычных стран также и на испанском языке, не публикуются в виде отдельного издания, но обнародую</w:t>
      </w:r>
      <w:r w:rsidRPr="00BD62AF">
        <w:t>т</w:t>
      </w:r>
      <w:r w:rsidRPr="00BD62AF">
        <w:t xml:space="preserve">ся. Позднее они помещаются в ведущуюся МОТ базу данных </w:t>
      </w:r>
      <w:r w:rsidRPr="00BD62AF">
        <w:rPr>
          <w:lang w:val="en-US"/>
        </w:rPr>
        <w:t>NORMLEX</w:t>
      </w:r>
      <w:r w:rsidRPr="00BD62AF">
        <w:t>, к</w:t>
      </w:r>
      <w:r w:rsidRPr="00BD62AF">
        <w:t>о</w:t>
      </w:r>
      <w:r w:rsidRPr="00BD62AF">
        <w:t>торая посвящена надзорной деятельности.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BD62AF">
        <w:t>4.</w:t>
      </w:r>
      <w:r w:rsidRPr="00BD62AF">
        <w:tab/>
        <w:t>Приводимая ниже информация содержит краткие ссылки на существенно более развернутые комментарии надзорных органов МОТ. С соответствующ</w:t>
      </w:r>
      <w:r w:rsidRPr="00BD62AF">
        <w:t>и</w:t>
      </w:r>
      <w:r w:rsidRPr="00BD62AF">
        <w:t>ми комментариями Комитета экспертов, о которых говорится в разделе</w:t>
      </w:r>
      <w:r w:rsidRPr="00BD62AF">
        <w:rPr>
          <w:lang w:val="en-US"/>
        </w:rPr>
        <w:t> </w:t>
      </w:r>
      <w:r w:rsidRPr="00BD62AF">
        <w:t>II, мо</w:t>
      </w:r>
      <w:r w:rsidRPr="00BD62AF">
        <w:t>ж</w:t>
      </w:r>
      <w:r w:rsidRPr="00BD62AF">
        <w:t>но ознакомиться на сайте www.ilo.org/dyn/normlex/en/.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BD62AF">
        <w:t>5.</w:t>
      </w:r>
      <w:r w:rsidRPr="00BD62AF">
        <w:tab/>
        <w:t>Следует отметить, что Комитет экспертов часто включает в свои комме</w:t>
      </w:r>
      <w:r w:rsidRPr="00BD62AF">
        <w:t>н</w:t>
      </w:r>
      <w:r w:rsidRPr="00BD62AF">
        <w:t>тарии ссылки на информацию, представленную правительствами Комитету по ликвидации дискриминации в отношении женщин или другим договорным о</w:t>
      </w:r>
      <w:r w:rsidRPr="00BD62AF">
        <w:t>р</w:t>
      </w:r>
      <w:r w:rsidRPr="00BD62AF">
        <w:t>ганам Организации Объединенных Наций, а также на доклады этих догово</w:t>
      </w:r>
      <w:r w:rsidRPr="00BD62AF">
        <w:t>р</w:t>
      </w:r>
      <w:r w:rsidRPr="00BD62AF">
        <w:t>ных органов.</w:t>
      </w:r>
    </w:p>
    <w:p w:rsidR="00BD62AF" w:rsidRPr="00BD62AF" w:rsidRDefault="00BD62AF" w:rsidP="00BD62AF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spacing w:val="-2"/>
          <w:sz w:val="28"/>
        </w:rPr>
      </w:pPr>
      <w:r w:rsidRPr="00BD62AF">
        <w:rPr>
          <w:b/>
          <w:spacing w:val="-2"/>
          <w:sz w:val="28"/>
        </w:rPr>
        <w:tab/>
        <w:t>II.</w:t>
      </w:r>
      <w:r w:rsidRPr="00BD62AF">
        <w:rPr>
          <w:b/>
          <w:spacing w:val="-2"/>
          <w:sz w:val="28"/>
        </w:rPr>
        <w:tab/>
        <w:t xml:space="preserve">Информация о положении в отдельных странах 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outlineLvl w:val="0"/>
        <w:rPr>
          <w:b/>
          <w:sz w:val="24"/>
          <w:szCs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</w:r>
      <w:r w:rsidRPr="00BD62AF">
        <w:rPr>
          <w:b/>
          <w:sz w:val="24"/>
          <w:szCs w:val="24"/>
        </w:rPr>
        <w:t>Бельгия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6.</w:t>
      </w:r>
      <w:r w:rsidRPr="00BD62AF">
        <w:tab/>
        <w:t>Из соответствующих конвенций МОТ Бельгия ратифицировала конвенции № 100 и № 101. Она также ратифицировала конвенции №№ 29, 87, 97, 98, 105, 122, 138, 171, 177 и 182.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b/>
        </w:rPr>
      </w:pPr>
      <w:r w:rsidRPr="00BD62AF">
        <w:rPr>
          <w:b/>
        </w:rPr>
        <w:t>Комментарии надзорных органов Международной организации труда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7.</w:t>
      </w:r>
      <w:r w:rsidRPr="00BD62AF">
        <w:tab/>
        <w:t>Представленные на рассмотрение комментарии Комитета экспертов, отн</w:t>
      </w:r>
      <w:r w:rsidRPr="00BD62AF">
        <w:t>о</w:t>
      </w:r>
      <w:r w:rsidRPr="00BD62AF">
        <w:t>сящиеся к положениям Конвенции о ликвидации всех форм дискриминации в отношении женщин, касаются нижеследующих пунктов.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rPr>
          <w:i/>
        </w:rPr>
        <w:t>Конвенция № 100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8.</w:t>
      </w:r>
      <w:r w:rsidRPr="00BD62AF">
        <w:tab/>
        <w:t>В своем замечании, сделанном в 2012 году, Комитет с интересом отметил принятие закона от 22 апреля 2012 года, цель которого состоит в сокращении разницы в оплате труда мужчин и женщин. Он просил правительство предст</w:t>
      </w:r>
      <w:r w:rsidRPr="00BD62AF">
        <w:t>а</w:t>
      </w:r>
      <w:r w:rsidRPr="00BD62AF">
        <w:t>вить информацию о практическом применении положений этого закона.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9.</w:t>
      </w:r>
      <w:r w:rsidRPr="00BD62AF">
        <w:tab/>
        <w:t>В своем прямом запросе, сделанном в 2012 году, Комитет отметил, что, с</w:t>
      </w:r>
      <w:r w:rsidRPr="00BD62AF">
        <w:t>о</w:t>
      </w:r>
      <w:r w:rsidRPr="00BD62AF">
        <w:t>гласно докладу, опубликованному в 2012 году Институтом по вопросам раве</w:t>
      </w:r>
      <w:r w:rsidRPr="00BD62AF">
        <w:t>н</w:t>
      </w:r>
      <w:r w:rsidRPr="00BD62AF">
        <w:t>ства женщин и мужчин (ИРЖМ), разница в оплате труда, рассчитанная на о</w:t>
      </w:r>
      <w:r w:rsidRPr="00BD62AF">
        <w:t>с</w:t>
      </w:r>
      <w:r w:rsidRPr="00BD62AF">
        <w:t>нове валовой почасовой заработной платы всех работников во всех секторах, составляла в 2008 году 9 процентов, а рассчитанная на основе валового годов</w:t>
      </w:r>
      <w:r w:rsidRPr="00BD62AF">
        <w:t>о</w:t>
      </w:r>
      <w:r w:rsidRPr="00BD62AF">
        <w:t>го дохода – 22 процента. В докладе отмечалось также, что разница в оплате труда существенно возрастает, если принять во внимание такие «неюридич</w:t>
      </w:r>
      <w:r w:rsidRPr="00BD62AF">
        <w:t>е</w:t>
      </w:r>
      <w:r w:rsidRPr="00BD62AF">
        <w:t>ские льготы», как прибавка к пенсии, выплачиваемая работодателем, тран</w:t>
      </w:r>
      <w:r w:rsidRPr="00BD62AF">
        <w:t>с</w:t>
      </w:r>
      <w:r w:rsidRPr="00BD62AF">
        <w:t>портная надбавка и участие в прибыли предприятия, так как возможности женщин пользоваться такими надбавками более ограничены, а когда такие надбавки все-таки выплачиваются женщинам, то это делается по более низким ставкам. Комитет просил правительство принять меры для обеспечения того, чтобы мужчины и женщины в дополнение к основной заработной плате пол</w:t>
      </w:r>
      <w:r w:rsidRPr="00BD62AF">
        <w:t>ь</w:t>
      </w:r>
      <w:r w:rsidRPr="00BD62AF">
        <w:t>зовались на равной основе надбавками и льготами, которые выплачиваются р</w:t>
      </w:r>
      <w:r w:rsidRPr="00BD62AF">
        <w:t>а</w:t>
      </w:r>
      <w:r w:rsidRPr="00BD62AF">
        <w:t>ботодателем прямо или косвенно, наличными или натурой.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10.</w:t>
      </w:r>
      <w:r w:rsidRPr="00BD62AF">
        <w:rPr>
          <w:i/>
        </w:rPr>
        <w:tab/>
      </w:r>
      <w:r w:rsidRPr="00BD62AF">
        <w:t>Комитет просил также правительство представить информацию о мерах, принятых для устранения основных причин разницы в вознаграждении му</w:t>
      </w:r>
      <w:r w:rsidRPr="00BD62AF">
        <w:t>ж</w:t>
      </w:r>
      <w:r w:rsidRPr="00BD62AF">
        <w:t>чин и женщин, особенно профессиональной сегрегации, проявляющейся в о</w:t>
      </w:r>
      <w:r w:rsidRPr="00BD62AF">
        <w:t>б</w:t>
      </w:r>
      <w:r w:rsidRPr="00BD62AF">
        <w:t>ластях профессионального обучения и подготовки, трудоустройства и класс</w:t>
      </w:r>
      <w:r w:rsidRPr="00BD62AF">
        <w:t>и</w:t>
      </w:r>
      <w:r w:rsidRPr="00BD62AF">
        <w:t>фикации функций в экономических секторах и на предприятиях.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11.</w:t>
      </w:r>
      <w:r w:rsidRPr="00BD62AF">
        <w:tab/>
        <w:t>В отношении разницы в оплате труда работающих женщин из стран М</w:t>
      </w:r>
      <w:r w:rsidRPr="00BD62AF">
        <w:t>а</w:t>
      </w:r>
      <w:r w:rsidRPr="00BD62AF">
        <w:t>гриба и других африканских стран Комитет просил правительство представить информацию о результатах исследования по вопросу о дискриминации в отн</w:t>
      </w:r>
      <w:r w:rsidRPr="00BD62AF">
        <w:t>о</w:t>
      </w:r>
      <w:r w:rsidRPr="00BD62AF">
        <w:t>шении небельгийских мужчин и женщин, которое, как ожидалось, должно б</w:t>
      </w:r>
      <w:r w:rsidRPr="00BD62AF">
        <w:t>ы</w:t>
      </w:r>
      <w:r w:rsidRPr="00BD62AF">
        <w:t>ло быть завершено к концу 2011 года, а также о соответствующих принятых или намеченных последующих мерах.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12.</w:t>
      </w:r>
      <w:r w:rsidRPr="00BD62AF">
        <w:tab/>
        <w:t>Комитет отметил также, что в 2010 году в ИРЖМ было подано лишь семь жалоб в связи с дискриминацией. Комитет просил правительство представить информацию о проводимых среди трудящихся, работодателей и их организаций мероприятиях по пропаганде принципа равного вознаграждения мужчин и женщин за труд равной ценности и по их информированию об имеющихся к</w:t>
      </w:r>
      <w:r w:rsidRPr="00BD62AF">
        <w:t>а</w:t>
      </w:r>
      <w:r w:rsidRPr="00BD62AF">
        <w:t>налах для подачи жалоб.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rPr>
          <w:i/>
        </w:rPr>
        <w:t>Конвенция № 111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13.</w:t>
      </w:r>
      <w:r w:rsidRPr="00BD62AF">
        <w:tab/>
        <w:t>В своем прямом запросе, сделанном в 2012 году, Комитет отметил инфо</w:t>
      </w:r>
      <w:r w:rsidRPr="00BD62AF">
        <w:t>р</w:t>
      </w:r>
      <w:r w:rsidRPr="00BD62AF">
        <w:t>мацию правительства о том, что количество жалоб в связи с дискриминацией по причине беременности в процентах от общего количества жалоб о дискр</w:t>
      </w:r>
      <w:r w:rsidRPr="00BD62AF">
        <w:t>и</w:t>
      </w:r>
      <w:r w:rsidRPr="00BD62AF">
        <w:t>минации в области труда оставалось очень высоким (43,18 процента в 2009 году, 42,4 процента в 2010 году и 33,5 процента в 2012 году). Он также отметил, что количество жалоб в связи с сексуальными домогательствами, п</w:t>
      </w:r>
      <w:r w:rsidRPr="00BD62AF">
        <w:t>о</w:t>
      </w:r>
      <w:r w:rsidRPr="00BD62AF">
        <w:t>лученных ИРЖМ в период с 2009 по 2011 год, заметно возросло (7 против 41).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14.</w:t>
      </w:r>
      <w:r w:rsidRPr="00BD62AF">
        <w:tab/>
        <w:t>Комитет просил правительство предпринять конкретные действия для предотвращения и ликвидации дискриминации по причине беременности и м</w:t>
      </w:r>
      <w:r w:rsidRPr="00BD62AF">
        <w:t>а</w:t>
      </w:r>
      <w:r w:rsidRPr="00BD62AF">
        <w:t>теринства в области труда и занятий и представить информацию и мерах, пр</w:t>
      </w:r>
      <w:r w:rsidRPr="00BD62AF">
        <w:t>и</w:t>
      </w:r>
      <w:r w:rsidRPr="00BD62AF">
        <w:t>нятых для предотвращения и пресечения сексуальных домогательств на раб</w:t>
      </w:r>
      <w:r w:rsidRPr="00BD62AF">
        <w:t>о</w:t>
      </w:r>
      <w:r w:rsidRPr="00BD62AF">
        <w:t>чем месте. Он также просил правительство продолжать представлять инфо</w:t>
      </w:r>
      <w:r w:rsidRPr="00BD62AF">
        <w:t>р</w:t>
      </w:r>
      <w:r w:rsidRPr="00BD62AF">
        <w:t>мацию о количестве и результатах рассмотрения жалоб о сексуальных домог</w:t>
      </w:r>
      <w:r w:rsidRPr="00BD62AF">
        <w:t>а</w:t>
      </w:r>
      <w:r w:rsidRPr="00BD62AF">
        <w:t>тельствах и дискриминации по причине беременности и материнства, пода</w:t>
      </w:r>
      <w:r w:rsidRPr="00BD62AF">
        <w:t>н</w:t>
      </w:r>
      <w:r w:rsidRPr="00BD62AF">
        <w:t>ных в ИРЖМ, органы трудовой инспекции или судебные органы.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15.</w:t>
      </w:r>
      <w:r w:rsidRPr="00BD62AF">
        <w:tab/>
        <w:t>Комитет отметил также, что, согласно опубликованному ИРЖМ в 2012 году докладу «Гендерный разрыв в оплате труда», на рынке труда по-прежнему существует горизонтальная и вертикальная гендерная сегрегация. Он просил правительство представить информацию о принятых или намече</w:t>
      </w:r>
      <w:r w:rsidRPr="00BD62AF">
        <w:t>н</w:t>
      </w:r>
      <w:r w:rsidRPr="00BD62AF">
        <w:t>ных конкретных мерах для улучшения показателей участия женщин по сект</w:t>
      </w:r>
      <w:r w:rsidRPr="00BD62AF">
        <w:t>о</w:t>
      </w:r>
      <w:r w:rsidRPr="00BD62AF">
        <w:t>рам экономической деятельности и родам занятий, в которых они слабо пре</w:t>
      </w:r>
      <w:r w:rsidRPr="00BD62AF">
        <w:t>д</w:t>
      </w:r>
      <w:r w:rsidRPr="00BD62AF">
        <w:t>ставлены, особенно их участия в обучении по самым различным специальн</w:t>
      </w:r>
      <w:r w:rsidRPr="00BD62AF">
        <w:t>о</w:t>
      </w:r>
      <w:r w:rsidRPr="00BD62AF">
        <w:t>стям, что дало бы им, в частности, доступ к тем видам работы, которые откр</w:t>
      </w:r>
      <w:r w:rsidRPr="00BD62AF">
        <w:t>ы</w:t>
      </w:r>
      <w:r w:rsidRPr="00BD62AF">
        <w:t>вают возможности для профессионального роста и продвижения по службе.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16.</w:t>
      </w:r>
      <w:r w:rsidRPr="00BD62AF">
        <w:tab/>
        <w:t>Комитет отметил принятие 28 июля 2011 года закона об установлении кв</w:t>
      </w:r>
      <w:r w:rsidRPr="00BD62AF">
        <w:t>о</w:t>
      </w:r>
      <w:r w:rsidRPr="00BD62AF">
        <w:t>ты, предусматривающей, что в составе исполнительных советов государстве</w:t>
      </w:r>
      <w:r w:rsidRPr="00BD62AF">
        <w:t>н</w:t>
      </w:r>
      <w:r w:rsidRPr="00BD62AF">
        <w:t>ных предприятий одна треть должностей должна быть занята женщинами, и приветствовал принятие 2 июня 2012 года королевского указа о внесении п</w:t>
      </w:r>
      <w:r w:rsidRPr="00BD62AF">
        <w:t>о</w:t>
      </w:r>
      <w:r w:rsidRPr="00BD62AF">
        <w:t>правок в королевский указ от 2 октября 1937 года о статусе государственных служащих, который направлен на увеличение числа женщин на руководящих постах в гражданской службе. Комитет просил правительство представить и</w:t>
      </w:r>
      <w:r w:rsidRPr="00BD62AF">
        <w:t>н</w:t>
      </w:r>
      <w:r w:rsidRPr="00BD62AF">
        <w:t>формацию о результатах, достигнутых в контексте инициатив, направленных на увеличение доли женщин, занимающих руководящие должности в фед</w:t>
      </w:r>
      <w:r w:rsidRPr="00BD62AF">
        <w:t>е</w:t>
      </w:r>
      <w:r w:rsidRPr="00BD62AF">
        <w:t>ральной администрации, и об осуществлении закона от 28 июля 2011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17.</w:t>
      </w:r>
      <w:r w:rsidRPr="00BD62AF">
        <w:tab/>
        <w:t>Комитет отметил также сообщение правительства о том, что ИРЖМ пл</w:t>
      </w:r>
      <w:r w:rsidRPr="00BD62AF">
        <w:t>а</w:t>
      </w:r>
      <w:r w:rsidRPr="00BD62AF">
        <w:t>нирует провести оценку влияния рекомендаций о соблюдении принципа ге</w:t>
      </w:r>
      <w:r w:rsidRPr="00BD62AF">
        <w:t>н</w:t>
      </w:r>
      <w:r w:rsidRPr="00BD62AF">
        <w:t>дерного равенства в государственных контрактах, которые были направлены должностным лицам федеральной администрации, занимающимся госуда</w:t>
      </w:r>
      <w:r w:rsidRPr="00BD62AF">
        <w:t>р</w:t>
      </w:r>
      <w:r w:rsidRPr="00BD62AF">
        <w:t>ственными закупками, после принятия закона от 12 января 2007 года об обе</w:t>
      </w:r>
      <w:r w:rsidRPr="00BD62AF">
        <w:t>с</w:t>
      </w:r>
      <w:r w:rsidRPr="00BD62AF">
        <w:t>печении учета гендерного фактора в федеральной политике. Он также отметил заявление правительства о том, что во всех федеральных органах госуда</w:t>
      </w:r>
      <w:r w:rsidRPr="00BD62AF">
        <w:t>р</w:t>
      </w:r>
      <w:r w:rsidRPr="00BD62AF">
        <w:t>ственной службы и государственного планирования были назначены координ</w:t>
      </w:r>
      <w:r w:rsidRPr="00BD62AF">
        <w:t>а</w:t>
      </w:r>
      <w:r w:rsidRPr="00BD62AF">
        <w:t>торы по обеспечению учета гендерного фактора и что после того, как следу</w:t>
      </w:r>
      <w:r w:rsidRPr="00BD62AF">
        <w:t>ю</w:t>
      </w:r>
      <w:r w:rsidRPr="00BD62AF">
        <w:t>щее правительство полностью приступит к выполнению своих обязанностей, будет принят план обеспечения учета гендерного фактора во всех стратегиях и механизмах контроля. Комитет просил правительство продолжать представлять информацию об осуществлении закона от 12 января 2007 года и о его практ</w:t>
      </w:r>
      <w:r w:rsidRPr="00BD62AF">
        <w:t>и</w:t>
      </w:r>
      <w:r w:rsidRPr="00BD62AF">
        <w:t>ческом влиянии на достижение гендерного равенства в областях труда и зан</w:t>
      </w:r>
      <w:r w:rsidRPr="00BD62AF">
        <w:t>я</w:t>
      </w:r>
      <w:r w:rsidRPr="00BD62AF">
        <w:t>тий.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rPr>
          <w:i/>
        </w:rPr>
        <w:t>Конвенция № 122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18.</w:t>
      </w:r>
      <w:r w:rsidRPr="00BD62AF">
        <w:tab/>
        <w:t>В своем прямом запросе, сделанном в 2012 году, Комитет отметил, что на федеральном уровне работодателям предоставляются субсидии для сокращ</w:t>
      </w:r>
      <w:r w:rsidRPr="00BD62AF">
        <w:t>е</w:t>
      </w:r>
      <w:r w:rsidRPr="00BD62AF">
        <w:t>ния их издержек на оплату труда «очень молодых работников» (молодых л</w:t>
      </w:r>
      <w:r w:rsidRPr="00BD62AF">
        <w:t>ю</w:t>
      </w:r>
      <w:r w:rsidRPr="00BD62AF">
        <w:t>дей, принятых на работу в возрасте до 19 лет), молодых безработных в во</w:t>
      </w:r>
      <w:r w:rsidRPr="00BD62AF">
        <w:t>з</w:t>
      </w:r>
      <w:r w:rsidRPr="00BD62AF">
        <w:t>расте до 26 лет, не имеющих аттестата об окончании среднего образования, и низкооплачиваемых работников (в возрасте от 19 до 29 лет). Согласно сообщ</w:t>
      </w:r>
      <w:r w:rsidRPr="00BD62AF">
        <w:t>е</w:t>
      </w:r>
      <w:r w:rsidRPr="00BD62AF">
        <w:t>ниям, благодаря этой мере к январю 2011 года получили работу более 34 000 молодых людей. По данным, имеющимся в распоряжении МОТ, в 2010 году насчитывалось примерно 96 000 безработных молодых людей (53 000 мужчин и 43 000 женщин). По состоянию на август 2011 года общее число молодых людей, затронутых безработицей, возросло на несколько тысяч, при этом число безработных молодых мужчин сократилось, а число безработных молодых женщин увеличилось. Комитет просил правительство представить обновле</w:t>
      </w:r>
      <w:r w:rsidRPr="00BD62AF">
        <w:t>н</w:t>
      </w:r>
      <w:r w:rsidRPr="00BD62AF">
        <w:t>ную информацию о тенденциях занятости молодежи, а также оценку результ</w:t>
      </w:r>
      <w:r w:rsidRPr="00BD62AF">
        <w:t>а</w:t>
      </w:r>
      <w:r w:rsidRPr="00BD62AF">
        <w:t>тивности активных политических мер, принятых с целью свести к минимуму влияние безработицы на молодых людей и содействовать их долговременному включению в состав рабочей силы.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19.</w:t>
      </w:r>
      <w:r w:rsidRPr="00BD62AF">
        <w:tab/>
        <w:t>Правительству было предложено представить свой доклад об осуществл</w:t>
      </w:r>
      <w:r w:rsidRPr="00BD62AF">
        <w:t>е</w:t>
      </w:r>
      <w:r w:rsidRPr="00BD62AF">
        <w:t>нии Конвенции № 122,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rPr>
          <w:i/>
        </w:rPr>
        <w:t>Конвенция №182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20.</w:t>
      </w:r>
      <w:r w:rsidRPr="00BD62AF">
        <w:tab/>
        <w:t>В своем прямом запросе, сделанном в 2011 году, Комитет принял к свед</w:t>
      </w:r>
      <w:r w:rsidRPr="00BD62AF">
        <w:t>е</w:t>
      </w:r>
      <w:r w:rsidRPr="00BD62AF">
        <w:t>нию статистические данные, представленные правительством в отношении правонарушений, связанных с детской порнографией и вербовкой несоверше</w:t>
      </w:r>
      <w:r w:rsidRPr="00BD62AF">
        <w:t>н</w:t>
      </w:r>
      <w:r w:rsidRPr="00BD62AF">
        <w:t>нолетних. По данным Генеральной прокуратуры, в 2008 году было зарегистр</w:t>
      </w:r>
      <w:r w:rsidRPr="00BD62AF">
        <w:t>и</w:t>
      </w:r>
      <w:r w:rsidRPr="00BD62AF">
        <w:t>ровано в общей сложности восемь случаев вербовки несовершеннолетних и 636 случаев детской порнографии, тогда как в 2009 году соответствующие п</w:t>
      </w:r>
      <w:r w:rsidRPr="00BD62AF">
        <w:t>о</w:t>
      </w:r>
      <w:r w:rsidRPr="00BD62AF">
        <w:t>казатели составили 14 и 596 случаев. Правительство отметило также, что кол</w:t>
      </w:r>
      <w:r w:rsidRPr="00BD62AF">
        <w:t>и</w:t>
      </w:r>
      <w:r w:rsidRPr="00BD62AF">
        <w:t>чество дел, связанных с такими преступлениями, значительно возросло по сравнению с 2003/04 годом, что объясняется главным образом развитием те</w:t>
      </w:r>
      <w:r w:rsidRPr="00BD62AF">
        <w:t>х</w:t>
      </w:r>
      <w:r w:rsidRPr="00BD62AF">
        <w:t>нических средств цифровой видеоинформации, облегчающих обмен порногр</w:t>
      </w:r>
      <w:r w:rsidRPr="00BD62AF">
        <w:t>а</w:t>
      </w:r>
      <w:r w:rsidRPr="00BD62AF">
        <w:t>фическими материалами.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21.</w:t>
      </w:r>
      <w:r w:rsidRPr="00BD62AF">
        <w:tab/>
        <w:t>Комитет отметил также, что в 2008 году уголовный суд первой инстанции в 56 случаях признал обвиняемых в распространении детской порнографии и вербовке несовершеннолетних виновными и в отношении 29 вынес условное наказание. Четырех обвиняемых суд оправдал. В 2009 году были признаны в</w:t>
      </w:r>
      <w:r w:rsidRPr="00BD62AF">
        <w:t>и</w:t>
      </w:r>
      <w:r w:rsidRPr="00BD62AF">
        <w:t>новными только два обвиняемых и в четырех случаях было вынесено решение об условном наказании. Правительство сообщило, что срок между фактом р</w:t>
      </w:r>
      <w:r w:rsidRPr="00BD62AF">
        <w:t>е</w:t>
      </w:r>
      <w:r w:rsidRPr="00BD62AF">
        <w:t>гистрации дела в прокуратуре и вынесением решения в уголовном суде может составлять несколько лет. По данным Отдела уголовной политики Федеральн</w:t>
      </w:r>
      <w:r w:rsidRPr="00BD62AF">
        <w:t>о</w:t>
      </w:r>
      <w:r w:rsidRPr="00BD62AF">
        <w:t>го департамента юстиции, количество обвинительных приговоров, вынесенных в связи с различными правонарушениями в 2008 году, распределялось следу</w:t>
      </w:r>
      <w:r w:rsidRPr="00BD62AF">
        <w:t>ю</w:t>
      </w:r>
      <w:r w:rsidRPr="00BD62AF">
        <w:t>щим образом: 119 обвинительных приговоров за распространение порнографии с участием несовершеннолетних; 31 приговор за развращение, моральное ра</w:t>
      </w:r>
      <w:r w:rsidRPr="00BD62AF">
        <w:t>з</w:t>
      </w:r>
      <w:r w:rsidRPr="00BD62AF">
        <w:t>ложение или склонение несовершеннолетних к занятию проституцией; 4 обв</w:t>
      </w:r>
      <w:r w:rsidRPr="00BD62AF">
        <w:t>и</w:t>
      </w:r>
      <w:r w:rsidRPr="00BD62AF">
        <w:t>нительных приговора за развращение, моральное разложение и склонение несовершеннолетних к занятию проституцией, когда правонарушители по н</w:t>
      </w:r>
      <w:r w:rsidRPr="00BD62AF">
        <w:t>е</w:t>
      </w:r>
      <w:r w:rsidRPr="00BD62AF">
        <w:t>осторожности не знали о том, что потерпевшие являются несовершеннолетн</w:t>
      </w:r>
      <w:r w:rsidRPr="00BD62AF">
        <w:t>и</w:t>
      </w:r>
      <w:r w:rsidRPr="00BD62AF">
        <w:t>ми; 5 обвинительных приговоров за вербовку, соблазнение, похищение или удержание несовершеннолетних в целях развращения или склонения к занятию проституцией; 7 обвинительных приговоров за содержание публичного дома, в котором несовершеннолетние занимались проституцией; и 7 обвинительных приговоров за эксплуатацию несовершеннолетних для целей разврата или пр</w:t>
      </w:r>
      <w:r w:rsidRPr="00BD62AF">
        <w:t>о</w:t>
      </w:r>
      <w:r w:rsidRPr="00BD62AF">
        <w:t>ституции.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22.</w:t>
      </w:r>
      <w:r w:rsidRPr="00BD62AF">
        <w:tab/>
        <w:t>Комитет просил правительство продолжать представлять статистические данные в разбивке по полу и возрасту о характере, масштабах и тенденциях наихудших форм детского труда, а также представлять информацию о колич</w:t>
      </w:r>
      <w:r w:rsidRPr="00BD62AF">
        <w:t>е</w:t>
      </w:r>
      <w:r w:rsidRPr="00BD62AF">
        <w:t>стве и характере зарегистрированных нарушений, расследований, обвинител</w:t>
      </w:r>
      <w:r w:rsidRPr="00BD62AF">
        <w:t>ь</w:t>
      </w:r>
      <w:r w:rsidRPr="00BD62AF">
        <w:t>ных приговоров, случаях привлечения к ответственности и вынесенных нак</w:t>
      </w:r>
      <w:r w:rsidRPr="00BD62AF">
        <w:t>а</w:t>
      </w:r>
      <w:r w:rsidRPr="00BD62AF">
        <w:t>заниях по уголовным делам.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23.</w:t>
      </w:r>
      <w:r w:rsidRPr="00BD62AF">
        <w:tab/>
        <w:t>Правительству было предложено представить свой доклад об осуществл</w:t>
      </w:r>
      <w:r w:rsidRPr="00BD62AF">
        <w:t>е</w:t>
      </w:r>
      <w:r w:rsidRPr="00BD62AF">
        <w:t>нии Конвенции № 182,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Другие конвенции, о которых правительству было предложено представить доклады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24.</w:t>
      </w:r>
      <w:r w:rsidRPr="00BD62AF">
        <w:tab/>
        <w:t>Правительству было также предложено представить свои доклады об ос</w:t>
      </w:r>
      <w:r w:rsidRPr="00BD62AF">
        <w:t>у</w:t>
      </w:r>
      <w:r w:rsidRPr="00BD62AF">
        <w:t>ществлении конвенций №№ 29, 105, 138 и 182, а также его первый доклад об осуществлении конвенции № 177, которые должны быть рассмотрены Комит</w:t>
      </w:r>
      <w:r w:rsidRPr="00BD62AF">
        <w:t>е</w:t>
      </w:r>
      <w:r w:rsidRPr="00BD62AF">
        <w:t>том на его сессии в ноябре-декабре 2014 года.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4" w:right="1259" w:hanging="1264"/>
        <w:outlineLvl w:val="0"/>
        <w:rPr>
          <w:b/>
          <w:sz w:val="24"/>
          <w:szCs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</w:r>
      <w:r w:rsidRPr="00BD62AF">
        <w:rPr>
          <w:b/>
          <w:sz w:val="24"/>
          <w:szCs w:val="24"/>
        </w:rPr>
        <w:t>Бруней-Даруссалам</w:t>
      </w:r>
    </w:p>
    <w:p w:rsidR="00BD62AF" w:rsidRPr="00BD62AF" w:rsidRDefault="00BD62AF" w:rsidP="00BD62AF">
      <w:pPr>
        <w:widowControl w:val="0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4" w:right="1264"/>
        <w:jc w:val="both"/>
        <w:rPr>
          <w:sz w:val="10"/>
        </w:rPr>
      </w:pPr>
    </w:p>
    <w:p w:rsidR="00BD62AF" w:rsidRPr="00BD62AF" w:rsidRDefault="00BD62AF" w:rsidP="00BD62AF">
      <w:pPr>
        <w:widowControl w:val="0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4" w:right="1264"/>
        <w:jc w:val="both"/>
        <w:rPr>
          <w:sz w:val="10"/>
        </w:rPr>
      </w:pP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25.</w:t>
      </w:r>
      <w:r w:rsidRPr="00BD62AF">
        <w:tab/>
        <w:t>Из соответствующих конвенций МОТ Бруней-Дарруссалам ратифицировал конвенции № 138 и № 182.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b/>
        </w:rPr>
      </w:pPr>
      <w:r w:rsidRPr="00BD62AF">
        <w:rPr>
          <w:b/>
        </w:rPr>
        <w:t>Комментарии надзорных органов Международной организации труда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26.</w:t>
      </w:r>
      <w:r w:rsidRPr="00BD62AF">
        <w:tab/>
        <w:t>Представленные на рассмотрение комментарии Комитета экспертов, отн</w:t>
      </w:r>
      <w:r w:rsidRPr="00BD62AF">
        <w:t>о</w:t>
      </w:r>
      <w:r w:rsidRPr="00BD62AF">
        <w:t>сящиеся к положениям Конвенции о ликвидации всех форм дискриминации в отношении женщин, касаются нижеследующих пунктов.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rPr>
          <w:i/>
        </w:rPr>
        <w:t>Конвенция № 182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27.</w:t>
      </w:r>
      <w:r w:rsidRPr="00BD62AF">
        <w:tab/>
        <w:t>В своем прямом запросе, сделанном в 2011 году, Комитет принял к свед</w:t>
      </w:r>
      <w:r w:rsidRPr="00BD62AF">
        <w:t>е</w:t>
      </w:r>
      <w:r w:rsidRPr="00BD62AF">
        <w:t>нию первый доклад правительства. Комитет отметил, что раздел 366А Уголо</w:t>
      </w:r>
      <w:r w:rsidRPr="00BD62AF">
        <w:t>в</w:t>
      </w:r>
      <w:r w:rsidRPr="00BD62AF">
        <w:t>ного кодекса предусматривает, что, если кто-либо принуждает девушку в во</w:t>
      </w:r>
      <w:r w:rsidRPr="00BD62AF">
        <w:t>з</w:t>
      </w:r>
      <w:r w:rsidRPr="00BD62AF">
        <w:t>расте младше 18 лет отправиться в какое-либо место или совершить какое-либо действие с тем умыслом, что она может быть – или сознавая, что есть вероя</w:t>
      </w:r>
      <w:r w:rsidRPr="00BD62AF">
        <w:t>т</w:t>
      </w:r>
      <w:r w:rsidRPr="00BD62AF">
        <w:t>ность, что она будет – принуждена или склонена к незаконному половому сн</w:t>
      </w:r>
      <w:r w:rsidRPr="00BD62AF">
        <w:t>о</w:t>
      </w:r>
      <w:r w:rsidRPr="00BD62AF">
        <w:t>шению с другим лицом, то виновный в этом совершает правонарушение. Ра</w:t>
      </w:r>
      <w:r w:rsidRPr="00BD62AF">
        <w:t>з</w:t>
      </w:r>
      <w:r w:rsidRPr="00BD62AF">
        <w:t>дел 372 Уголовного кодекса предусматривает, что каждый, кто продает, разр</w:t>
      </w:r>
      <w:r w:rsidRPr="00BD62AF">
        <w:t>е</w:t>
      </w:r>
      <w:r w:rsidRPr="00BD62AF">
        <w:t>шает нанять или иным образом распоряжается каким-либо лицом в возрасте до 18 лет с тем умыслом, что такое лицо в любом возрасте будет нанято или и</w:t>
      </w:r>
      <w:r w:rsidRPr="00BD62AF">
        <w:t>с</w:t>
      </w:r>
      <w:r w:rsidRPr="00BD62AF">
        <w:t>пользовано для целей проституции или для незаконной половой связи с любым лицом, или для какой-либо иной незаконной или аморальной цели, или знает, что вероятно это лицо будет в любом возрасте нанято или использовано для т</w:t>
      </w:r>
      <w:r w:rsidRPr="00BD62AF">
        <w:t>а</w:t>
      </w:r>
      <w:r w:rsidRPr="00BD62AF">
        <w:t>кой цели, подлежит тюремному заключению и наказанию плетью. Кроме того, раздел 373 Уголовного кодекса запрещает кому бы то ни было покупать, нан</w:t>
      </w:r>
      <w:r w:rsidRPr="00BD62AF">
        <w:t>и</w:t>
      </w:r>
      <w:r w:rsidRPr="00BD62AF">
        <w:t>мать или иным образом получать в свое распоряжение любое лицо в возрасте младше 18 лет с тем умыслом, что такое лицо будет в любом возрасте нанято или использовано для целей проституции или незаконной половой связи с л</w:t>
      </w:r>
      <w:r w:rsidRPr="00BD62AF">
        <w:t>ю</w:t>
      </w:r>
      <w:r w:rsidRPr="00BD62AF">
        <w:t>бым лицом или для незаконной или аморальной цели.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28.</w:t>
      </w:r>
      <w:r w:rsidRPr="00BD62AF">
        <w:tab/>
        <w:t>Комитет отметил, что вышеупомянутые положения сопровождаются поя</w:t>
      </w:r>
      <w:r w:rsidRPr="00BD62AF">
        <w:t>с</w:t>
      </w:r>
      <w:r w:rsidRPr="00BD62AF">
        <w:t>нениями, согласно которым под «лицом в возрасте до 18 лет» подразумевается лицо «женского пола в возрасте до 18 лет». В докладе правительства упомин</w:t>
      </w:r>
      <w:r w:rsidRPr="00BD62AF">
        <w:t>а</w:t>
      </w:r>
      <w:r w:rsidRPr="00BD62AF">
        <w:t xml:space="preserve">ется также закон 1984 года о защите женщин и девочек, разделы 3 и 5 которого предусматривают запрещение вербовки или предложения женщин или девочек для целей проституции. В то же время Комитет отметил, что </w:t>
      </w:r>
      <w:r w:rsidRPr="00BD62AF">
        <w:rPr>
          <w:i/>
        </w:rPr>
        <w:t>использование</w:t>
      </w:r>
      <w:r w:rsidRPr="00BD62AF">
        <w:t xml:space="preserve"> д</w:t>
      </w:r>
      <w:r w:rsidRPr="00BD62AF">
        <w:t>е</w:t>
      </w:r>
      <w:r w:rsidRPr="00BD62AF">
        <w:t xml:space="preserve">тей в возрасте до 18 лет для целей проституции, например клиентом, судя по всему, не запрещено законом. Он отметил также, что, как представляется, национальное законодательство запрещает только вербовку и предложение </w:t>
      </w:r>
      <w:r w:rsidRPr="00BD62AF">
        <w:rPr>
          <w:i/>
        </w:rPr>
        <w:t>д</w:t>
      </w:r>
      <w:r w:rsidRPr="00BD62AF">
        <w:rPr>
          <w:i/>
        </w:rPr>
        <w:t>е</w:t>
      </w:r>
      <w:r w:rsidRPr="00BD62AF">
        <w:rPr>
          <w:i/>
        </w:rPr>
        <w:t>вочек</w:t>
      </w:r>
      <w:r w:rsidRPr="00BD62AF">
        <w:t xml:space="preserve"> в возрасте до 18 лет. В этой связи Комитет просил правительство принять необходимые меры для обеспечения запрета на использование, вербовку или предложение как мальчиков, так и девочек в возрасте до 18 лет, и представить информацию о том, что сделано в этом плане.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29.</w:t>
      </w:r>
      <w:r w:rsidRPr="00BD62AF">
        <w:tab/>
        <w:t>Что касается производства порнографической продукции, то Комитет о</w:t>
      </w:r>
      <w:r w:rsidRPr="00BD62AF">
        <w:t>т</w:t>
      </w:r>
      <w:r w:rsidRPr="00BD62AF">
        <w:t>метил, что раздел 292 Уголовного кодекса запрещает, среди прочего, продажу, изготовление, распространение, показ, импорт и экспорт товаров непристойн</w:t>
      </w:r>
      <w:r w:rsidRPr="00BD62AF">
        <w:t>о</w:t>
      </w:r>
      <w:r w:rsidRPr="00BD62AF">
        <w:t>го характера. Товар считается «непристойным», если он или какая-либо из его составляющих приводит к растлению и развращению лиц, которые, с учетом всех обстоятельств, могут (или, скорее всего, могли бы, если бы этот товар не был конфискован на основании закона) прочитать, просмотреть или просл</w:t>
      </w:r>
      <w:r w:rsidRPr="00BD62AF">
        <w:t>у</w:t>
      </w:r>
      <w:r w:rsidRPr="00BD62AF">
        <w:t xml:space="preserve">шать его содержание. «Товар» </w:t>
      </w:r>
      <w:r w:rsidRPr="00BD62AF">
        <w:noBreakHyphen/>
        <w:t xml:space="preserve"> это любой предмет, предназначенный для пр</w:t>
      </w:r>
      <w:r w:rsidRPr="00BD62AF">
        <w:t>о</w:t>
      </w:r>
      <w:r w:rsidRPr="00BD62AF">
        <w:t>чтения или просмотра или для того и другого, будь то звукозапись, какой-либо фильм, видеокассета, фотонегатив или другое изображение картинки. Комитет отметил, что раздел 4 закона о нежелательных публикациях предусматривает, что любое лицо, которое ввозит, публикует, продает, предлагает для продажи, распространяет или воспроизводит любую запрещенную публикацию виновно в совершении правонарушения.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30.</w:t>
      </w:r>
      <w:r w:rsidRPr="00BD62AF">
        <w:tab/>
        <w:t>В то же время Комитет отметил, что в законодательстве, судя по всему, о</w:t>
      </w:r>
      <w:r w:rsidRPr="00BD62AF">
        <w:t>т</w:t>
      </w:r>
      <w:r w:rsidRPr="00BD62AF">
        <w:t>сутствует положение, конкретно запрещающее использование, вербовку или предложение ребенка для производства порнографической продукции или для порнографических представлений, как это требуется статьей 3 (</w:t>
      </w:r>
      <w:r w:rsidRPr="00BD62AF">
        <w:rPr>
          <w:lang w:val="en-US"/>
        </w:rPr>
        <w:t>b</w:t>
      </w:r>
      <w:r w:rsidRPr="00BD62AF">
        <w:t>) Конвенции. В этой связи Комитет просит правительство сообщить, какие меры приняты или намечены для обеспечения запрета использования, вербовки или предл</w:t>
      </w:r>
      <w:r w:rsidRPr="00BD62AF">
        <w:t>о</w:t>
      </w:r>
      <w:r w:rsidRPr="00BD62AF">
        <w:t>жения мальчиков и девочек в возрасте до 18 лет для производства порнограф</w:t>
      </w:r>
      <w:r w:rsidRPr="00BD62AF">
        <w:t>и</w:t>
      </w:r>
      <w:r w:rsidRPr="00BD62AF">
        <w:t>ческой продукции или для порнографических представлений.</w:t>
      </w:r>
    </w:p>
    <w:p w:rsidR="00BD62AF" w:rsidRPr="00BD62AF" w:rsidRDefault="00BD62AF" w:rsidP="00BD62AF">
      <w:pPr>
        <w:widowControl w:val="0"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31.</w:t>
      </w:r>
      <w:r w:rsidRPr="00BD62AF">
        <w:tab/>
        <w:t>Правительству было предложено представить свой доклад об осуществл</w:t>
      </w:r>
      <w:r w:rsidRPr="00BD62AF">
        <w:t>е</w:t>
      </w:r>
      <w:r w:rsidRPr="00BD62AF">
        <w:t>нии Конвенции № 182,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b/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  <w:szCs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</w:r>
      <w:r w:rsidRPr="00BD62AF">
        <w:rPr>
          <w:b/>
          <w:sz w:val="24"/>
          <w:szCs w:val="24"/>
        </w:rPr>
        <w:t>Китай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32.</w:t>
      </w:r>
      <w:r w:rsidRPr="00BD62AF">
        <w:tab/>
        <w:t>Из соответствующих конвенций МОТ Китай ратифицировал конвенции № 100 и № 111. Он также ратифицировал конвенции №№ 45, 122, 138 и 182.</w:t>
      </w:r>
    </w:p>
    <w:p w:rsidR="00BD62AF" w:rsidRPr="00BD62AF" w:rsidRDefault="00BD62AF" w:rsidP="00BD62AF">
      <w:pPr>
        <w:keepNext/>
        <w:pageBreakBefore/>
        <w:suppressLineNumbers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/>
        <w:spacing w:after="120" w:line="240" w:lineRule="auto"/>
        <w:ind w:left="1264" w:right="1264"/>
        <w:jc w:val="both"/>
        <w:rPr>
          <w:i/>
        </w:rPr>
      </w:pPr>
      <w:r w:rsidRPr="00BD62AF">
        <w:rPr>
          <w:b/>
        </w:rPr>
        <w:t>Комментарии надзорных органов</w:t>
      </w:r>
      <w:r w:rsidRPr="00BD62AF">
        <w:rPr>
          <w:i/>
        </w:rPr>
        <w:t xml:space="preserve"> </w:t>
      </w:r>
      <w:r w:rsidRPr="00BD62AF">
        <w:rPr>
          <w:b/>
        </w:rPr>
        <w:t>Международной организации труда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33.</w:t>
      </w:r>
      <w:r w:rsidRPr="00BD62AF">
        <w:rPr>
          <w:i/>
        </w:rPr>
        <w:tab/>
      </w:r>
      <w:r w:rsidRPr="00BD62AF">
        <w:t>Представленные на рассмотрение Комитета экспертов, относящиеся к Конвенции о ликвидации всех форм дискриминации в отношении женщин, к</w:t>
      </w:r>
      <w:r w:rsidRPr="00BD62AF">
        <w:t>а</w:t>
      </w:r>
      <w:r w:rsidRPr="00BD62AF">
        <w:t>саются нижеследующих пунктов.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100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34.</w:t>
      </w:r>
      <w:r w:rsidRPr="00BD62AF">
        <w:rPr>
          <w:i/>
        </w:rPr>
        <w:tab/>
      </w:r>
      <w:r w:rsidRPr="00BD62AF">
        <w:t>В своем замечании, сделанном в 2012 году, Комитет напомнил, что в з</w:t>
      </w:r>
      <w:r w:rsidRPr="00BD62AF">
        <w:t>а</w:t>
      </w:r>
      <w:r w:rsidRPr="00BD62AF">
        <w:t>коне о трудовом праве и трудовом договоре речь идет о равной плате за равный труд, что является более узким понятием, чем принцип, закрепленный в Ко</w:t>
      </w:r>
      <w:r w:rsidRPr="00BD62AF">
        <w:t>н</w:t>
      </w:r>
      <w:r w:rsidRPr="00BD62AF">
        <w:t>венции. Комитет просил правительство принять конкретные меры для полного отражения в его законодательстве принципа равного вознаграждения мужчин и женщин за труд равной ценности, поскольку этот принцип охватывает не тол</w:t>
      </w:r>
      <w:r w:rsidRPr="00BD62AF">
        <w:t>ь</w:t>
      </w:r>
      <w:r w:rsidRPr="00BD62AF">
        <w:t>ко ситуации, когда мужчины и женщины выполняют одинаковую работу, но и труд, который будучи совершенно разным по своему характеру, тем не менее имеет одинаковую ценность.</w:t>
      </w:r>
    </w:p>
    <w:p w:rsidR="00BD62AF" w:rsidRPr="00BD62AF" w:rsidRDefault="00BD62AF" w:rsidP="00BD62AF">
      <w:pPr>
        <w:tabs>
          <w:tab w:val="left" w:pos="1672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7" w:right="1264"/>
        <w:jc w:val="both"/>
      </w:pPr>
      <w:r w:rsidRPr="00BD62AF">
        <w:t>34.</w:t>
      </w:r>
      <w:r w:rsidRPr="00BD62AF">
        <w:rPr>
          <w:i/>
        </w:rPr>
        <w:tab/>
      </w:r>
      <w:r w:rsidRPr="00BD62AF">
        <w:t>В своем прямом запросе, сделанном в 2012 году, Комитет отметил инфо</w:t>
      </w:r>
      <w:r w:rsidRPr="00BD62AF">
        <w:t>р</w:t>
      </w:r>
      <w:r w:rsidRPr="00BD62AF">
        <w:t>мацию правительства о том, что цели национальной программы развития же</w:t>
      </w:r>
      <w:r w:rsidRPr="00BD62AF">
        <w:t>н</w:t>
      </w:r>
      <w:r w:rsidRPr="00BD62AF">
        <w:t>щин на 2011–2020 годы будут включать дальнейшее поощрение повышения уровня образования и профессиональной подготовки женщин; принятие э</w:t>
      </w:r>
      <w:r w:rsidRPr="00BD62AF">
        <w:t>ф</w:t>
      </w:r>
      <w:r w:rsidRPr="00BD62AF">
        <w:t>фективных мер для содействия трудоустройству женщин на новых промы</w:t>
      </w:r>
      <w:r w:rsidRPr="00BD62AF">
        <w:t>ш</w:t>
      </w:r>
      <w:r w:rsidRPr="00BD62AF">
        <w:t>ленных и торговых предприятиях; и оказание сельским женщинам помощи и содействия в их трудоустройстве в несельскохозяйственных секторах.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36.</w:t>
      </w:r>
      <w:r w:rsidRPr="00BD62AF">
        <w:tab/>
        <w:t>Комитет просил правительство принять меры для сбора и анализа данных о распределении мужчин и женщин по различным секторам экономики и родам занятий, по уровням ответственности занимаемой должности и соответству</w:t>
      </w:r>
      <w:r w:rsidRPr="00BD62AF">
        <w:t>ю</w:t>
      </w:r>
      <w:r w:rsidRPr="00BD62AF">
        <w:t>щим уровням дохода и представить такие данные как только они будут получ</w:t>
      </w:r>
      <w:r w:rsidRPr="00BD62AF">
        <w:t>е</w:t>
      </w:r>
      <w:r w:rsidRPr="00BD62AF">
        <w:t>ны. Он просил также правительство сообщить о конкретных мерах, принятых в рамках национальной программы развития женщин для решения проблемы с</w:t>
      </w:r>
      <w:r w:rsidRPr="00BD62AF">
        <w:t>о</w:t>
      </w:r>
      <w:r w:rsidRPr="00BD62AF">
        <w:t>средоточения большого числа женщин на низкооплачиваемых должностях и их малой представленности в высокооплачиваемых секторах или родах занятий и о результатах таких мер.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37.</w:t>
      </w:r>
      <w:r w:rsidRPr="00BD62AF">
        <w:tab/>
        <w:t>Комитет просил правительство представить информацию о принятых или намеченных мерах для обеспечения того, чтобы этот принцип, заключенный в Конвенции, применялся не только к базовой заработной плате, но и ко всем д</w:t>
      </w:r>
      <w:r w:rsidRPr="00BD62AF">
        <w:t>о</w:t>
      </w:r>
      <w:r w:rsidRPr="00BD62AF">
        <w:t>полнительным пособиям, надбавкам или субсидиям, которые работодатель в</w:t>
      </w:r>
      <w:r w:rsidRPr="00BD62AF">
        <w:t>ы</w:t>
      </w:r>
      <w:r w:rsidRPr="00BD62AF">
        <w:t>плачивает прямо или косвенно работнику, и обеспечить отсутствие дискрим</w:t>
      </w:r>
      <w:r w:rsidRPr="00BD62AF">
        <w:t>и</w:t>
      </w:r>
      <w:r w:rsidRPr="00BD62AF">
        <w:t>нации по признаку пола при выплате таких дополнительных сумм.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38.</w:t>
      </w:r>
      <w:r w:rsidRPr="00BD62AF">
        <w:tab/>
        <w:t>Комитет отметил сообщение правительства о том, что административные органы, занимающиеся вопросами безопасности труда, регулярно проводят анализ различных родов занятий для определения размера заработной платы за различные виды деятельности и направляют предприятиям рекомендации в о</w:t>
      </w:r>
      <w:r w:rsidRPr="00BD62AF">
        <w:t>т</w:t>
      </w:r>
      <w:r w:rsidRPr="00BD62AF">
        <w:t>ношении установления разумного размера заработной платы и что в этом пр</w:t>
      </w:r>
      <w:r w:rsidRPr="00BD62AF">
        <w:t>о</w:t>
      </w:r>
      <w:r w:rsidRPr="00BD62AF">
        <w:t>цессе не учитывается гендерный фактор. Комитету не понятно, каким образом обеспечивается, чтобы уровень заработной платы в тех родах деятельности, к</w:t>
      </w:r>
      <w:r w:rsidRPr="00BD62AF">
        <w:t>о</w:t>
      </w:r>
      <w:r w:rsidRPr="00BD62AF">
        <w:t>торую выполняют главным образом женщины, не был ниже по сравнению с вознаграждением за работу, выполняемую мужчинами.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39.</w:t>
      </w:r>
      <w:r w:rsidRPr="00BD62AF">
        <w:tab/>
        <w:t>Комитет просил правительство принять соответствующие меры в сотру</w:t>
      </w:r>
      <w:r w:rsidRPr="00BD62AF">
        <w:t>д</w:t>
      </w:r>
      <w:r w:rsidRPr="00BD62AF">
        <w:t>ничестве с организациями трудящихся и работодателей для обеспечения того, чтобы национальная система установления заработной платы в полной мере отражала принцип равного вознаграждения мужчин и женщин за труд равной ценности. Он также просил правительство распространить среди трудящихся и работодателей и их представителей информацию о принципе равного возн</w:t>
      </w:r>
      <w:r w:rsidRPr="00BD62AF">
        <w:t>а</w:t>
      </w:r>
      <w:r w:rsidRPr="00BD62AF">
        <w:t>граждения мужчин и женщин за труд равной ценности и содействовать вкл</w:t>
      </w:r>
      <w:r w:rsidRPr="00BD62AF">
        <w:t>ю</w:t>
      </w:r>
      <w:r w:rsidRPr="00BD62AF">
        <w:t>чению этого принципа в коллективные договоры.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111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40.</w:t>
      </w:r>
      <w:r w:rsidRPr="00BD62AF">
        <w:rPr>
          <w:i/>
        </w:rPr>
        <w:tab/>
      </w:r>
      <w:r w:rsidRPr="00BD62AF">
        <w:t>В своем прямом запросе, сделанном в 2012 году, Комитет отметил, что определение дискриминации не включено ни в один соответствующий закон или постановление. В этой связи правительство сообщило, что в законодател</w:t>
      </w:r>
      <w:r w:rsidRPr="00BD62AF">
        <w:t>ь</w:t>
      </w:r>
      <w:r w:rsidRPr="00BD62AF">
        <w:t>стве не проводится различие между прямой или косвенной дискриминацией. Комитет просил правительство представить информацию о том, как обеспеч</w:t>
      </w:r>
      <w:r w:rsidRPr="00BD62AF">
        <w:t>и</w:t>
      </w:r>
      <w:r w:rsidRPr="00BD62AF">
        <w:t>вается защита трудящихся от косвенной дискриминации в области труда и з</w:t>
      </w:r>
      <w:r w:rsidRPr="00BD62AF">
        <w:t>а</w:t>
      </w:r>
      <w:r w:rsidRPr="00BD62AF">
        <w:t>нятий, и принимаются или планируются ли какие-либо меры для включения определения дискриминации в соответствующие законы и постановления в ц</w:t>
      </w:r>
      <w:r w:rsidRPr="00BD62AF">
        <w:t>е</w:t>
      </w:r>
      <w:r w:rsidRPr="00BD62AF">
        <w:t>лях обеспечения защиты трудящихся как от прямой, так и косвенной дискр</w:t>
      </w:r>
      <w:r w:rsidRPr="00BD62AF">
        <w:t>и</w:t>
      </w:r>
      <w:r w:rsidRPr="00BD62AF">
        <w:t>минации.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41.</w:t>
      </w:r>
      <w:r w:rsidRPr="00BD62AF">
        <w:tab/>
        <w:t>Комитет отметил также сообщение правительства о том, что установле</w:t>
      </w:r>
      <w:r w:rsidRPr="00BD62AF">
        <w:t>н</w:t>
      </w:r>
      <w:r w:rsidRPr="00BD62AF">
        <w:t>ный законом возраст выхода на пенсию – 60 лет для мужчин, 50 лет для же</w:t>
      </w:r>
      <w:r w:rsidRPr="00BD62AF">
        <w:t>н</w:t>
      </w:r>
      <w:r w:rsidRPr="00BD62AF">
        <w:t>щин в целом и 55 лет для женщин, являющихся гражданскими служащими. Он отметил, что правительство сослалось на опубликованные в марте 2011 года результаты обследования, проведенного Китайским институтом изучения пр</w:t>
      </w:r>
      <w:r w:rsidRPr="00BD62AF">
        <w:t>о</w:t>
      </w:r>
      <w:r w:rsidRPr="00BD62AF">
        <w:t>блем женщин, которые указывают на то, что люди придерживаются различных предпочтений и взглядов в отношении сохранения разного пенсионного во</w:t>
      </w:r>
      <w:r w:rsidRPr="00BD62AF">
        <w:t>з</w:t>
      </w:r>
      <w:r w:rsidRPr="00BD62AF">
        <w:t>раста для мужчин и женщин. Правительство указало также в своем докладе, что соответствующие правительственные департаменты рассматривают вопрос об установлении единого пенсионного возраста для мужчин и женщин на уровне 60 лет или старше, однако оно полагает, что в обществе возникнут с</w:t>
      </w:r>
      <w:r w:rsidRPr="00BD62AF">
        <w:t>е</w:t>
      </w:r>
      <w:r w:rsidRPr="00BD62AF">
        <w:t>рьезные возражения против введения единого возраста выхода на пенсию. К</w:t>
      </w:r>
      <w:r w:rsidRPr="00BD62AF">
        <w:t>о</w:t>
      </w:r>
      <w:r w:rsidRPr="00BD62AF">
        <w:t>митет напомнил о том, что разница в возрасте выхода на пенсию женщин и мужчин может быть дискриминационной, когда размер пенсии связан со ст</w:t>
      </w:r>
      <w:r w:rsidRPr="00BD62AF">
        <w:t>а</w:t>
      </w:r>
      <w:r w:rsidRPr="00BD62AF">
        <w:t>жем работы, зачитываемым для пенсии, в результате чего женщины будут п</w:t>
      </w:r>
      <w:r w:rsidRPr="00BD62AF">
        <w:t>о</w:t>
      </w:r>
      <w:r w:rsidRPr="00BD62AF">
        <w:t>лучать меньшую пенсию, чем мужчины. Более ранний возраст выхода на пе</w:t>
      </w:r>
      <w:r w:rsidRPr="00BD62AF">
        <w:t>н</w:t>
      </w:r>
      <w:r w:rsidRPr="00BD62AF">
        <w:t>сию женщин может также иметь негативное влияние на карьерные планы же</w:t>
      </w:r>
      <w:r w:rsidRPr="00BD62AF">
        <w:t>н</w:t>
      </w:r>
      <w:r w:rsidRPr="00BD62AF">
        <w:t>щин и на их доступ к занятию должностей более высокого уровня. Комитет просил правительство продолжать представлять информацию о принятых м</w:t>
      </w:r>
      <w:r w:rsidRPr="00BD62AF">
        <w:t>е</w:t>
      </w:r>
      <w:r w:rsidRPr="00BD62AF">
        <w:t>рах в связи с возможностью установления единого пенсионного возраста для мужчин и женщин.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42.</w:t>
      </w:r>
      <w:r w:rsidRPr="00BD62AF">
        <w:tab/>
        <w:t>Отметив, что статья 11 Специальных положений об охране труда работ</w:t>
      </w:r>
      <w:r w:rsidRPr="00BD62AF">
        <w:t>а</w:t>
      </w:r>
      <w:r w:rsidRPr="00BD62AF">
        <w:t>ющих женщин, которые вступили в силу 18 апреля 2012 года, предусматривает, что работодатель обязан предотвращать и запрещать сексуальные домогател</w:t>
      </w:r>
      <w:r w:rsidRPr="00BD62AF">
        <w:t>ь</w:t>
      </w:r>
      <w:r w:rsidRPr="00BD62AF">
        <w:t>ства в отношении работающих женщин на рабочем месте, Комитет просил пр</w:t>
      </w:r>
      <w:r w:rsidRPr="00BD62AF">
        <w:t>а</w:t>
      </w:r>
      <w:r w:rsidRPr="00BD62AF">
        <w:t>вительство представить информацию о практическом применении этой статьи, а также статьи 40 закона о защите прав и интересов женщин, в том числе и</w:t>
      </w:r>
      <w:r w:rsidRPr="00BD62AF">
        <w:t>н</w:t>
      </w:r>
      <w:r w:rsidRPr="00BD62AF">
        <w:t>формацию об имевших место случаях сексуальных домогательств, доведенных до сведения компетентных органов. Комитет просил также правительство с</w:t>
      </w:r>
      <w:r w:rsidRPr="00BD62AF">
        <w:t>о</w:t>
      </w:r>
      <w:r w:rsidRPr="00BD62AF">
        <w:t xml:space="preserve">общить, рассматривается ли вопрос о распространении защиты от сексуальных домогательств на рабочем месте на работающих мужчин, а также о включении в законодательство определения сексуальных домогательств, охватывающих как домогательства </w:t>
      </w:r>
      <w:r w:rsidRPr="00BD62AF">
        <w:rPr>
          <w:bCs/>
          <w:iCs/>
          <w:szCs w:val="20"/>
          <w:lang/>
        </w:rPr>
        <w:t>quid</w:t>
      </w:r>
      <w:r w:rsidRPr="00BD62AF">
        <w:rPr>
          <w:bCs/>
          <w:iCs/>
          <w:szCs w:val="20"/>
        </w:rPr>
        <w:t xml:space="preserve"> </w:t>
      </w:r>
      <w:r w:rsidRPr="00BD62AF">
        <w:rPr>
          <w:bCs/>
          <w:iCs/>
          <w:szCs w:val="20"/>
          <w:lang/>
        </w:rPr>
        <w:t>pro</w:t>
      </w:r>
      <w:r w:rsidRPr="00BD62AF">
        <w:rPr>
          <w:bCs/>
          <w:iCs/>
          <w:szCs w:val="20"/>
        </w:rPr>
        <w:t xml:space="preserve"> </w:t>
      </w:r>
      <w:r w:rsidRPr="00BD62AF">
        <w:rPr>
          <w:bCs/>
          <w:iCs/>
          <w:szCs w:val="20"/>
          <w:lang/>
        </w:rPr>
        <w:t>quo</w:t>
      </w:r>
      <w:r w:rsidRPr="00BD62AF">
        <w:rPr>
          <w:bCs/>
          <w:iCs/>
          <w:szCs w:val="20"/>
        </w:rPr>
        <w:t>, так и домогательства во враждебной среде.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43.</w:t>
      </w:r>
      <w:r w:rsidRPr="00BD62AF">
        <w:tab/>
        <w:t>Что касается дискриминации в связи с беременностью и материнством, то Комитет вновь просил представить подробную информацию о принятых мерах по ликвидации дискриминации в сфере труда, с которой сталкиваются женщ</w:t>
      </w:r>
      <w:r w:rsidRPr="00BD62AF">
        <w:t>и</w:t>
      </w:r>
      <w:r w:rsidRPr="00BD62AF">
        <w:t>ны по причине беременности или того, что на них лежат основные обязанности по уходу за детьми, в том числе о мерах по гармоничному сочетанию трудовой деятельности и семейной жизни, которые в равной степени касались бы как мужчин, так и женщин.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44.</w:t>
      </w:r>
      <w:r w:rsidRPr="00BD62AF">
        <w:tab/>
        <w:t>Комитет отметил, что в 2009 году правительство опубликовало уведомл</w:t>
      </w:r>
      <w:r w:rsidRPr="00BD62AF">
        <w:t>е</w:t>
      </w:r>
      <w:r w:rsidRPr="00BD62AF">
        <w:t>ние об осуществлении специального плана профессиональной подготовки на период 2009–2010 годов. Он также отметил сообщение правительства о том, что в результате активной политики поощрения занятости женщин, в том числе посредством освобождения от налогов, субсидирования должностей и пособий на профессиональную подготовку, к концу 2009 года было трудоустроено св</w:t>
      </w:r>
      <w:r w:rsidRPr="00BD62AF">
        <w:t>ы</w:t>
      </w:r>
      <w:r w:rsidRPr="00BD62AF">
        <w:t>ше 358 млн. женщин, что составляет 46 процентов всех работающих. В 2009 году работающим женщинам стали предоставляться небольшие обесп</w:t>
      </w:r>
      <w:r w:rsidRPr="00BD62AF">
        <w:t>е</w:t>
      </w:r>
      <w:r w:rsidRPr="00BD62AF">
        <w:t>ченные кредиты и предельный размер таких кредитов для работающих женщин выше, чем для работающих мужчин. Комитет отметил также сообщение прав</w:t>
      </w:r>
      <w:r w:rsidRPr="00BD62AF">
        <w:t>и</w:t>
      </w:r>
      <w:r w:rsidRPr="00BD62AF">
        <w:t>тельства о том, что в контексте ликвидации профессиональной гендерной с</w:t>
      </w:r>
      <w:r w:rsidRPr="00BD62AF">
        <w:t>е</w:t>
      </w:r>
      <w:r w:rsidRPr="00BD62AF">
        <w:t>грегации приняты меры для оказания поддержки сельским женщинам в пер</w:t>
      </w:r>
      <w:r w:rsidRPr="00BD62AF">
        <w:t>е</w:t>
      </w:r>
      <w:r w:rsidRPr="00BD62AF">
        <w:t>ходе на работу на несельскохозяйственные предприятия.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45.</w:t>
      </w:r>
      <w:r w:rsidRPr="00BD62AF">
        <w:tab/>
        <w:t>Комитет просил правительство продолжать представлять информацию о специальных мерах, принятых для поощрения и обеспечения равенства во</w:t>
      </w:r>
      <w:r w:rsidRPr="00BD62AF">
        <w:t>з</w:t>
      </w:r>
      <w:r w:rsidRPr="00BD62AF">
        <w:t>можностей женщин и равного отношения к ним в сфере труда и занятий в частном и государственном секторах как в сельских, так и городских районах. Комитет просил также правительство представить информацию о принятых мерах по ликвидации горизонтальной и вертикальной профессиональной ге</w:t>
      </w:r>
      <w:r w:rsidRPr="00BD62AF">
        <w:t>н</w:t>
      </w:r>
      <w:r w:rsidRPr="00BD62AF">
        <w:t>дерной сегрегации, в том числе о мерах, предусмотренных уведомлением об осуществлении специального плана профессиональной подготовки на период 2009–2010 годов, а также о конкретных последствиях предоставления небол</w:t>
      </w:r>
      <w:r w:rsidRPr="00BD62AF">
        <w:t>ь</w:t>
      </w:r>
      <w:r w:rsidRPr="00BD62AF">
        <w:t>ших обеспеченных кредитов на расширение доступа женщин к более высоко оплачиваемой работе и видам занятий.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46.</w:t>
      </w:r>
      <w:r w:rsidRPr="00BD62AF">
        <w:tab/>
        <w:t>Комитет напомнил, что положения ряда законов и постановлений огран</w:t>
      </w:r>
      <w:r w:rsidRPr="00BD62AF">
        <w:t>и</w:t>
      </w:r>
      <w:r w:rsidRPr="00BD62AF">
        <w:t>чивает виды работы, которой могут заниматься женщины. В частности, ст</w:t>
      </w:r>
      <w:r w:rsidRPr="00BD62AF">
        <w:t>а</w:t>
      </w:r>
      <w:r w:rsidRPr="00BD62AF">
        <w:t>тья 26 закона о защите прав и интересов женщин предусматривает, что женщ</w:t>
      </w:r>
      <w:r w:rsidRPr="00BD62AF">
        <w:t>и</w:t>
      </w:r>
      <w:r w:rsidRPr="00BD62AF">
        <w:t>нам нельзя поручать выполнение любой работы или физического труда, кот</w:t>
      </w:r>
      <w:r w:rsidRPr="00BD62AF">
        <w:t>о</w:t>
      </w:r>
      <w:r w:rsidRPr="00BD62AF">
        <w:t>рые не приемлемы для них; статья 13 закона о труде, статья 27 закона о поо</w:t>
      </w:r>
      <w:r w:rsidRPr="00BD62AF">
        <w:t>щ</w:t>
      </w:r>
      <w:r w:rsidRPr="00BD62AF">
        <w:t>рении занятости, статья 3 постановления об управлении рынками людских р</w:t>
      </w:r>
      <w:r w:rsidRPr="00BD62AF">
        <w:t>е</w:t>
      </w:r>
      <w:r w:rsidRPr="00BD62AF">
        <w:t>сурсов и статья 16 постановления о службе занятости и управлении занятостью дают государству право определять те виды работы и те должности, которые не приемлемы для женщин; статья 59 закона о труде запрещает женщинам раб</w:t>
      </w:r>
      <w:r w:rsidRPr="00BD62AF">
        <w:t>о</w:t>
      </w:r>
      <w:r w:rsidRPr="00BD62AF">
        <w:t>тать в шахтах или выполнять интенсивную физическую работу, которую гос</w:t>
      </w:r>
      <w:r w:rsidRPr="00BD62AF">
        <w:t>у</w:t>
      </w:r>
      <w:r w:rsidRPr="00BD62AF">
        <w:t>дарство считает таковой, или «другую работу, которую трудящиеся женщины должны избегать».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47.</w:t>
      </w:r>
      <w:r w:rsidRPr="00BD62AF">
        <w:tab/>
        <w:t>Комитет отметил сообщение правительства о том, что в Специальных п</w:t>
      </w:r>
      <w:r w:rsidRPr="00BD62AF">
        <w:t>о</w:t>
      </w:r>
      <w:r w:rsidRPr="00BD62AF">
        <w:t>ложениях 2012 года об охране труда работающих женщин, которые заменили Положения об охране труда работающих женщин от 21 июля 1988 года, излаг</w:t>
      </w:r>
      <w:r w:rsidRPr="00BD62AF">
        <w:t>а</w:t>
      </w:r>
      <w:r w:rsidRPr="00BD62AF">
        <w:t>ется и обновляется перечень работ, запрещенных женщинам. Комитет обратил внимание правительства на те вредные последствия, которые такие огранич</w:t>
      </w:r>
      <w:r w:rsidRPr="00BD62AF">
        <w:t>е</w:t>
      </w:r>
      <w:r w:rsidRPr="00BD62AF">
        <w:t>ния могут иметь для равенства возможностей женщин и отношения к ним в о</w:t>
      </w:r>
      <w:r w:rsidRPr="00BD62AF">
        <w:t>б</w:t>
      </w:r>
      <w:r w:rsidRPr="00BD62AF">
        <w:t>ласти труда и занятий. Ожидая перевода с китайского языка Специальных п</w:t>
      </w:r>
      <w:r w:rsidRPr="00BD62AF">
        <w:t>о</w:t>
      </w:r>
      <w:r w:rsidRPr="00BD62AF">
        <w:t>ложений от 2012 года, Комитет просил правительство сообщить, как обеспеч</w:t>
      </w:r>
      <w:r w:rsidRPr="00BD62AF">
        <w:t>и</w:t>
      </w:r>
      <w:r w:rsidRPr="00BD62AF">
        <w:t>вается строгое ограничение любых защитных мер соображениями охраны м</w:t>
      </w:r>
      <w:r w:rsidRPr="00BD62AF">
        <w:t>а</w:t>
      </w:r>
      <w:r w:rsidRPr="00BD62AF">
        <w:t>теринства.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122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48.</w:t>
      </w:r>
      <w:r w:rsidRPr="00BD62AF">
        <w:tab/>
        <w:t>В своем замечании, сделанном в 2012 году, Комитет отметил предста</w:t>
      </w:r>
      <w:r w:rsidRPr="00BD62AF">
        <w:t>в</w:t>
      </w:r>
      <w:r w:rsidRPr="00BD62AF">
        <w:t>ленную правительством информацию о мерах, касающихся занятости женщин, включая субсидии по линии социального обеспечения и на профессиональную подготовку, занятия по приобретению предпринимательских навыков и меры по совершенствованию системы страхования материнства. Правительство с</w:t>
      </w:r>
      <w:r w:rsidRPr="00BD62AF">
        <w:t>о</w:t>
      </w:r>
      <w:r w:rsidRPr="00BD62AF">
        <w:t xml:space="preserve">общило, что эти меры действительно способствовали расширению занятости женщин. На конец 2009 года у городских работодателей работало в общей сложности 125,3 млн. лиц, из которых 46,785 млн. </w:t>
      </w:r>
      <w:r w:rsidRPr="00BD62AF">
        <w:noBreakHyphen/>
        <w:t xml:space="preserve"> женщины (37,2 процента). Правительство представило также данные, свидетельствующие о том, что за период с 2005 по 2009 год государственные агентства по трудоустройству п</w:t>
      </w:r>
      <w:r w:rsidRPr="00BD62AF">
        <w:t>о</w:t>
      </w:r>
      <w:r w:rsidRPr="00BD62AF">
        <w:t>могли найти работу в общей сложности 94,807 млн. лиц, из которых 44,514 млн. – женщины.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49.</w:t>
      </w:r>
      <w:r w:rsidRPr="00BD62AF">
        <w:tab/>
        <w:t>Комитет просил правительство представить информацию о результатах мер, принятых для расширения продуктивной занятости работников уязвимых категорий, в том числе обновленные данные о нынешней ситуации и тенденц</w:t>
      </w:r>
      <w:r w:rsidRPr="00BD62AF">
        <w:t>и</w:t>
      </w:r>
      <w:r w:rsidRPr="00BD62AF">
        <w:t>ях, касающихся трудоспособного населения, занятости, безработицы и непо</w:t>
      </w:r>
      <w:r w:rsidRPr="00BD62AF">
        <w:t>л</w:t>
      </w:r>
      <w:r w:rsidRPr="00BD62AF">
        <w:t>ной занятости в разбивке по секторам, возрасту и полу.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50.</w:t>
      </w:r>
      <w:r w:rsidRPr="00BD62AF">
        <w:tab/>
        <w:t>Правительству было предложено представить свой доклад об осущест</w:t>
      </w:r>
      <w:r w:rsidRPr="00BD62AF">
        <w:t>в</w:t>
      </w:r>
      <w:r w:rsidRPr="00BD62AF">
        <w:t>лении Конвенции № 122,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138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51.</w:t>
      </w:r>
      <w:r w:rsidRPr="00BD62AF">
        <w:rPr>
          <w:i/>
        </w:rPr>
        <w:tab/>
      </w:r>
      <w:r w:rsidRPr="00BD62AF">
        <w:t>В своем замечании, сделанном в 2010 году, Комитет отметил содержащ</w:t>
      </w:r>
      <w:r w:rsidRPr="00BD62AF">
        <w:t>у</w:t>
      </w:r>
      <w:r w:rsidRPr="00BD62AF">
        <w:t>юся в сообщении Международной конфедерации профсоюзов (МКПС) инфо</w:t>
      </w:r>
      <w:r w:rsidRPr="00BD62AF">
        <w:t>р</w:t>
      </w:r>
      <w:r w:rsidRPr="00BD62AF">
        <w:t>мацию о том, что в марте 2010 года начат новый десятилетний план реформ по пересмотру и совершенствованию системы образования. МПКС заявила, что, согласно статистическим данным, опубликованным Китайской сетью по в</w:t>
      </w:r>
      <w:r w:rsidRPr="00BD62AF">
        <w:t>о</w:t>
      </w:r>
      <w:r w:rsidRPr="00BD62AF">
        <w:t>просам образования и научных исследований, количество общих начальных школ сократилось, как и число учеников начальных и средних школ. Она с</w:t>
      </w:r>
      <w:r w:rsidRPr="00BD62AF">
        <w:t>о</w:t>
      </w:r>
      <w:r w:rsidRPr="00BD62AF">
        <w:t>слалась также на данные Детского фонда Организации Объединенных Наций (ЮНИСЕФ), которые указывают на то, что примерно один миллион детей ка</w:t>
      </w:r>
      <w:r w:rsidRPr="00BD62AF">
        <w:t>ж</w:t>
      </w:r>
      <w:r w:rsidRPr="00BD62AF">
        <w:t>дый год бросает школу по причине бедности (особенно это касается предст</w:t>
      </w:r>
      <w:r w:rsidRPr="00BD62AF">
        <w:t>а</w:t>
      </w:r>
      <w:r w:rsidRPr="00BD62AF">
        <w:t>вителей этнических меньшинств и девочек) и что две трети детей школьного возраста, не посещающие школу в Китае, это девочки. МКПС заявила, что д</w:t>
      </w:r>
      <w:r w:rsidRPr="00BD62AF">
        <w:t>е</w:t>
      </w:r>
      <w:r w:rsidRPr="00BD62AF">
        <w:t>вочки первыми перестают посещать школу, когда их семьи начинают испыт</w:t>
      </w:r>
      <w:r w:rsidRPr="00BD62AF">
        <w:t>ы</w:t>
      </w:r>
      <w:r w:rsidRPr="00BD62AF">
        <w:t>вать экономические трудности, и что девочки чаще идут работать на фабрики. Увеличение числа учеников, бросающих школу, и соответствующее увеличение работающих детей объясняется повышением платы за школьное обучение. Эти утверждения МКПС относятся к случаям, когда детей устраивают работать на фабрики их родители, чтобы оплатить причитающуюся с них плату за обуч</w:t>
      </w:r>
      <w:r w:rsidRPr="00BD62AF">
        <w:t>е</w:t>
      </w:r>
      <w:r w:rsidRPr="00BD62AF">
        <w:t>ние.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52.</w:t>
      </w:r>
      <w:r w:rsidRPr="00BD62AF">
        <w:tab/>
        <w:t>Комитет настоятельно призвал правительство продолжать прилагать ус</w:t>
      </w:r>
      <w:r w:rsidRPr="00BD62AF">
        <w:t>и</w:t>
      </w:r>
      <w:r w:rsidRPr="00BD62AF">
        <w:t>лия для обеспечения того, чтобы на практике все дети имели доступ к беспла</w:t>
      </w:r>
      <w:r w:rsidRPr="00BD62AF">
        <w:t>т</w:t>
      </w:r>
      <w:r w:rsidRPr="00BD62AF">
        <w:t>ному обязательному образованию, уделяя при этом особое внимание девочкам и детям представителей этнических меньшинств и детям в сельских районах. В этой связи Комитет просил правительство принять необходимые меры для ра</w:t>
      </w:r>
      <w:r w:rsidRPr="00BD62AF">
        <w:t>с</w:t>
      </w:r>
      <w:r w:rsidRPr="00BD62AF">
        <w:t>смотрения вопроса об укреплении механизма контроля за обеспечением испо</w:t>
      </w:r>
      <w:r w:rsidRPr="00BD62AF">
        <w:t>л</w:t>
      </w:r>
      <w:r w:rsidRPr="00BD62AF">
        <w:t>нения закона об обязательном образовании, а также меры по освобождению д</w:t>
      </w:r>
      <w:r w:rsidRPr="00BD62AF">
        <w:t>е</w:t>
      </w:r>
      <w:r w:rsidRPr="00BD62AF">
        <w:t>тей от платы за обучение и других сборов. Он просил правительство продо</w:t>
      </w:r>
      <w:r w:rsidRPr="00BD62AF">
        <w:t>л</w:t>
      </w:r>
      <w:r w:rsidRPr="00BD62AF">
        <w:t>жать представлять информацию о принимаемых в этой связи мерах и о резул</w:t>
      </w:r>
      <w:r w:rsidRPr="00BD62AF">
        <w:t>ь</w:t>
      </w:r>
      <w:r w:rsidRPr="00BD62AF">
        <w:t>татах проводимых оценок по контролю за выполнением этих мер.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53.</w:t>
      </w:r>
      <w:r w:rsidRPr="00BD62AF">
        <w:tab/>
        <w:t>Правительству было предложено представить свой доклад об осущест</w:t>
      </w:r>
      <w:r w:rsidRPr="00BD62AF">
        <w:t>в</w:t>
      </w:r>
      <w:r w:rsidRPr="00BD62AF">
        <w:t>лении Конвенцией № 138,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182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54.</w:t>
      </w:r>
      <w:r w:rsidRPr="00BD62AF">
        <w:tab/>
        <w:t>В своем замечании, сделанном в 2010 году, Комитет отметил заявление Международной конфедерации профсоюзов (МКПС) о том, что возросло число девочек, незаконно вывозимых из Китая для работы в сфере сексуальных услуг в тайваньской провинции Китая, Австралии, Канаде, Малайзии, Мьянме, С</w:t>
      </w:r>
      <w:r w:rsidRPr="00BD62AF">
        <w:t>о</w:t>
      </w:r>
      <w:r w:rsidRPr="00BD62AF">
        <w:t>единенных Штатах Америки, Филиппинах, Японии и на Ближнем Востоке.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55.</w:t>
      </w:r>
      <w:r w:rsidRPr="00BD62AF">
        <w:tab/>
        <w:t>Комитет отметил заявление правительства о том, что Национальный план действий по борьбе с торговлей женщинами и детьми на 2008–2012 годы успешно выполнен и способствовал сокращению торговли женщинами и дет</w:t>
      </w:r>
      <w:r w:rsidRPr="00BD62AF">
        <w:t>ь</w:t>
      </w:r>
      <w:r w:rsidRPr="00BD62AF">
        <w:t>ми на низовом уровне. Комитет отметил также информацию Международной программы МОТ по ликвидации детского труда о том, что в 2008 году заве</w:t>
      </w:r>
      <w:r w:rsidRPr="00BD62AF">
        <w:t>р</w:t>
      </w:r>
      <w:r w:rsidRPr="00BD62AF">
        <w:t>шено осуществление второго этапа Меконского субрегионального проекта по борьбе с торговлей женщинами и детьми и что оставшиеся мероприятия вкл</w:t>
      </w:r>
      <w:r w:rsidRPr="00BD62AF">
        <w:t>ю</w:t>
      </w:r>
      <w:r w:rsidRPr="00BD62AF">
        <w:t>чены в проект по предотвращению торговли девочками и молодыми женщин</w:t>
      </w:r>
      <w:r w:rsidRPr="00BD62AF">
        <w:t>а</w:t>
      </w:r>
      <w:r w:rsidRPr="00BD62AF">
        <w:t>ми для эксплуатации их труда в Китае.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56.</w:t>
      </w:r>
      <w:r w:rsidRPr="00BD62AF">
        <w:tab/>
        <w:t>Комитет отметил содержащуюся в докладе под названием «</w:t>
      </w:r>
      <w:r w:rsidRPr="00BD62AF">
        <w:rPr>
          <w:szCs w:val="20"/>
          <w:lang/>
        </w:rPr>
        <w:t>Child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Traffic</w:t>
      </w:r>
      <w:r w:rsidRPr="00BD62AF">
        <w:rPr>
          <w:szCs w:val="20"/>
          <w:lang/>
        </w:rPr>
        <w:t>k</w:t>
      </w:r>
      <w:r w:rsidRPr="00BD62AF">
        <w:rPr>
          <w:szCs w:val="20"/>
          <w:lang/>
        </w:rPr>
        <w:t>ing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in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East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and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South</w:t>
      </w:r>
      <w:r w:rsidRPr="00BD62AF">
        <w:rPr>
          <w:szCs w:val="20"/>
        </w:rPr>
        <w:t>-</w:t>
      </w:r>
      <w:r w:rsidRPr="00BD62AF">
        <w:rPr>
          <w:szCs w:val="20"/>
          <w:lang/>
        </w:rPr>
        <w:t>East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Asia</w:t>
      </w:r>
      <w:r w:rsidRPr="00BD62AF">
        <w:rPr>
          <w:szCs w:val="20"/>
        </w:rPr>
        <w:t xml:space="preserve">: </w:t>
      </w:r>
      <w:r w:rsidRPr="00BD62AF">
        <w:rPr>
          <w:szCs w:val="20"/>
          <w:lang/>
        </w:rPr>
        <w:t>Reversing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the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Trend</w:t>
      </w:r>
      <w:r w:rsidRPr="00BD62AF">
        <w:rPr>
          <w:szCs w:val="20"/>
        </w:rPr>
        <w:t>»</w:t>
      </w:r>
      <w:r w:rsidRPr="00BD62AF">
        <w:t xml:space="preserve"> (Торговля детьми в Восто</w:t>
      </w:r>
      <w:r w:rsidRPr="00BD62AF">
        <w:t>ч</w:t>
      </w:r>
      <w:r w:rsidRPr="00BD62AF">
        <w:t>ной и Юго-Восточной Азии: пресечение тенденции), опубликованном в августе 2009 года Региональным отделением ЮНИСЕФ для Восточной Азии и Тих</w:t>
      </w:r>
      <w:r w:rsidRPr="00BD62AF">
        <w:t>о</w:t>
      </w:r>
      <w:r w:rsidRPr="00BD62AF">
        <w:t>океанского региона, информацию о том, что торговля детьми осуществляется в каждой провинции Китая, при этом наибольшее число жертв такой торговли приходятся на провинции Гуандун, Шанцзи, Фуцзянь, Хэнань, Сычуань, Г</w:t>
      </w:r>
      <w:r w:rsidRPr="00BD62AF">
        <w:t>у</w:t>
      </w:r>
      <w:r w:rsidRPr="00BD62AF">
        <w:t>анси и Цзянсу. В этой связи Комитет просил правительство активизировать свои усилия в рамках национального плана действий по борьбе с торговлей женщинами и детьми на 2008–2012 годы для пресечения и ликвидации как внутренней, так и трансграничной торговли людьми в возрасте до 18 лет и продолжать представлять информацию о принятых в этой связи мерах и пол</w:t>
      </w:r>
      <w:r w:rsidRPr="00BD62AF">
        <w:t>у</w:t>
      </w:r>
      <w:r w:rsidRPr="00BD62AF">
        <w:t>ченных результатах.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57.</w:t>
      </w:r>
      <w:r w:rsidRPr="00BD62AF">
        <w:tab/>
        <w:t>Комитет отметил также заявление МКПС о том, что внутренние законы не предусматривают достаточно строгих наказаний за преступления, связанные с торговлей людьми, и что, хотя по закону покупка ребенка влечет за собой т</w:t>
      </w:r>
      <w:r w:rsidRPr="00BD62AF">
        <w:t>ю</w:t>
      </w:r>
      <w:r w:rsidRPr="00BD62AF">
        <w:t>ремное заключение сроком на три года, преобладающее большинство покуп</w:t>
      </w:r>
      <w:r w:rsidRPr="00BD62AF">
        <w:t>а</w:t>
      </w:r>
      <w:r w:rsidRPr="00BD62AF">
        <w:t>телей детей не подвергаются преследованиям, особенно если ребенку не пр</w:t>
      </w:r>
      <w:r w:rsidRPr="00BD62AF">
        <w:t>и</w:t>
      </w:r>
      <w:r w:rsidRPr="00BD62AF">
        <w:t>чинено вреда и если покупатель сотрудничал с полицией. МКПС сообщила также, что транспарентность в регистрации и расследовании таких преступл</w:t>
      </w:r>
      <w:r w:rsidRPr="00BD62AF">
        <w:t>е</w:t>
      </w:r>
      <w:r w:rsidRPr="00BD62AF">
        <w:t>ний отсутствует и что китайская полиция и местные власти действуют в сгов</w:t>
      </w:r>
      <w:r w:rsidRPr="00BD62AF">
        <w:t>о</w:t>
      </w:r>
      <w:r w:rsidRPr="00BD62AF">
        <w:t>ре с торговцами людьми в Тибетском автономном районе близ границы с Неп</w:t>
      </w:r>
      <w:r w:rsidRPr="00BD62AF">
        <w:t>а</w:t>
      </w:r>
      <w:r w:rsidRPr="00BD62AF">
        <w:t>лом, осуществляя наем девушек и женщин для работы в качестве экскорта и проституток, в результате чего в городе Лхаса в Тибете насчитывается приме</w:t>
      </w:r>
      <w:r w:rsidRPr="00BD62AF">
        <w:t>р</w:t>
      </w:r>
      <w:r w:rsidRPr="00BD62AF">
        <w:t>но 10 000 работников сферы сексуальных услуг.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58.</w:t>
      </w:r>
      <w:r w:rsidRPr="00BD62AF">
        <w:tab/>
        <w:t>Комитет выразил свою глубокую обеспокоенность сообщениями о сгов</w:t>
      </w:r>
      <w:r w:rsidRPr="00BD62AF">
        <w:t>о</w:t>
      </w:r>
      <w:r w:rsidRPr="00BD62AF">
        <w:t>ре между сотрудниками правоохранительных органов и торговцами людьми и в этой связи настоятельно призвал правительство принять незамедлительные м</w:t>
      </w:r>
      <w:r w:rsidRPr="00BD62AF">
        <w:t>е</w:t>
      </w:r>
      <w:r w:rsidRPr="00BD62AF">
        <w:t>ры для обеспечения тщательного расследования случаев торговли детьми и энергичного привлечения к ответственности виновных (в том числе покупат</w:t>
      </w:r>
      <w:r w:rsidRPr="00BD62AF">
        <w:t>е</w:t>
      </w:r>
      <w:r w:rsidRPr="00BD62AF">
        <w:t>лей детей в возрасте до 18 лет) и причастных к этому государственных дол</w:t>
      </w:r>
      <w:r w:rsidRPr="00BD62AF">
        <w:t>ж</w:t>
      </w:r>
      <w:r w:rsidRPr="00BD62AF">
        <w:t>ностных лиц и вынесения в этой связи на практике действительно эффекти</w:t>
      </w:r>
      <w:r w:rsidRPr="00BD62AF">
        <w:t>в</w:t>
      </w:r>
      <w:r w:rsidRPr="00BD62AF">
        <w:t>ных и строгих наказаний. Он просил правительство представить информацию о числе лиц (включая государственных служащих), привлеченных к отве</w:t>
      </w:r>
      <w:r w:rsidRPr="00BD62AF">
        <w:t>т</w:t>
      </w:r>
      <w:r w:rsidRPr="00BD62AF">
        <w:t>ственности, признанных виновными и осужденных по делам о торговле люд</w:t>
      </w:r>
      <w:r w:rsidRPr="00BD62AF">
        <w:t>ь</w:t>
      </w:r>
      <w:r w:rsidRPr="00BD62AF">
        <w:t>ми в возрасте до 18 лет и о вынесенных уголовных санкциях.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59.</w:t>
      </w:r>
      <w:r w:rsidRPr="00BD62AF">
        <w:tab/>
        <w:t>В своем прямом запросе, сделанном в 2010 году, Комитет отметил, что Национальный план действий по борьбе с торговлей женщинами и детьми на 2008–2012 годы и одиннадцатый пятилетний план создания системы помощи и защиты несовершеннолетних, не имеющих постоянного места жительства, с</w:t>
      </w:r>
      <w:r w:rsidRPr="00BD62AF">
        <w:t>у</w:t>
      </w:r>
      <w:r w:rsidRPr="00BD62AF">
        <w:t>дя по всему, не направлены на пресечение коммерческой эксплуатации детей, которые не являются жертвами торговли людьми или беспризорными. В этой связи Комитет обратил внимание на информацию, содержащуюся в сообщении МКПС от 1 сентября 2010 года, о том, что не все дети, вовлеченные в занятие проституцией, являются жертвами торговли людьми. Поэтому Комитет просил правительство представить информацию о принятых мерах по пресечению коммерческой сексуальной эксплуатации лиц в возрасте младше 18 лет, кот</w:t>
      </w:r>
      <w:r w:rsidRPr="00BD62AF">
        <w:t>о</w:t>
      </w:r>
      <w:r w:rsidRPr="00BD62AF">
        <w:t>рые не являются беспризорными или жертвами торговли людьми, особенно их использования, предложения или вербовки для целей проституции, порногр</w:t>
      </w:r>
      <w:r w:rsidRPr="00BD62AF">
        <w:t>а</w:t>
      </w:r>
      <w:r w:rsidRPr="00BD62AF">
        <w:t>фии или порнографических исполнений.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60.</w:t>
      </w:r>
      <w:r w:rsidRPr="00BD62AF">
        <w:tab/>
        <w:t>Комитет отметил заявление, содержащееся в документе МОТ 2009 года, озаглавленном «</w:t>
      </w:r>
      <w:r w:rsidRPr="00BD62AF">
        <w:rPr>
          <w:szCs w:val="20"/>
          <w:lang/>
        </w:rPr>
        <w:t>Situational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Analysis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of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Domestic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Work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in</w:t>
      </w:r>
      <w:r w:rsidRPr="00BD62AF">
        <w:rPr>
          <w:szCs w:val="20"/>
        </w:rPr>
        <w:t xml:space="preserve"> </w:t>
      </w:r>
      <w:r w:rsidRPr="00BD62AF">
        <w:rPr>
          <w:szCs w:val="20"/>
          <w:lang/>
        </w:rPr>
        <w:t>China</w:t>
      </w:r>
      <w:r w:rsidRPr="00BD62AF">
        <w:rPr>
          <w:szCs w:val="20"/>
        </w:rPr>
        <w:t>» («Ситуативный анализ положения работающих в качестве домашней прислуги в Китае»), о том, что в Китае насчитывается примерно 20 млн. лиц, работающих в качестве домашней прислуги. Хотя большинство этих работников – женщины старше 18 лет, данную работу могут выполнять и дети, которым исполнилось 16 лет. В анализе МОТ указывалось также, что работа в качестве прислуги может отр</w:t>
      </w:r>
      <w:r w:rsidRPr="00BD62AF">
        <w:rPr>
          <w:szCs w:val="20"/>
        </w:rPr>
        <w:t>и</w:t>
      </w:r>
      <w:r w:rsidRPr="00BD62AF">
        <w:rPr>
          <w:szCs w:val="20"/>
        </w:rPr>
        <w:t>цательно сказываться на развитии этих детей из-за большой продолжительн</w:t>
      </w:r>
      <w:r w:rsidRPr="00BD62AF">
        <w:rPr>
          <w:szCs w:val="20"/>
        </w:rPr>
        <w:t>о</w:t>
      </w:r>
      <w:r w:rsidRPr="00BD62AF">
        <w:rPr>
          <w:szCs w:val="20"/>
        </w:rPr>
        <w:t>сти рабочего дня, отсутствия каких-либо стандартов и возможной неуместн</w:t>
      </w:r>
      <w:r w:rsidRPr="00BD62AF">
        <w:rPr>
          <w:szCs w:val="20"/>
        </w:rPr>
        <w:t>о</w:t>
      </w:r>
      <w:r w:rsidRPr="00BD62AF">
        <w:rPr>
          <w:szCs w:val="20"/>
        </w:rPr>
        <w:t>сти выполнения детьми некоторых обязанностей, что может усугубляться их физической и интеллектуальной незрелостью. Комитет просил правительство представить информацию о мерах, принятых для защиты лиц в возрасте до 18 лет, работающих в качестве прислуги, от вредных видов работы. Он просил также правительство принять меры для определения числа лиц в возрасте до 18 лет, работающих в качестве домашней прислуги.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61.</w:t>
      </w:r>
      <w:r w:rsidRPr="00BD62AF">
        <w:tab/>
        <w:t>Комитет с интересом отметил, что 8 февраля 2010 года Китай присоед</w:t>
      </w:r>
      <w:r w:rsidRPr="00BD62AF">
        <w:t>и</w:t>
      </w:r>
      <w:r w:rsidRPr="00BD62AF">
        <w:t>нился к Протоколу о предупреждении и пресечении торговли людьми, особе</w:t>
      </w:r>
      <w:r w:rsidRPr="00BD62AF">
        <w:t>н</w:t>
      </w:r>
      <w:r w:rsidRPr="00BD62AF">
        <w:t>но женщинами и детьми, и наказании за нее, дополняющему Конвенцию Орг</w:t>
      </w:r>
      <w:r w:rsidRPr="00BD62AF">
        <w:t>а</w:t>
      </w:r>
      <w:r w:rsidRPr="00BD62AF">
        <w:t>низации Объединенных Наций против транснациональной преступности (П</w:t>
      </w:r>
      <w:r w:rsidRPr="00BD62AF">
        <w:t>а</w:t>
      </w:r>
      <w:r w:rsidRPr="00BD62AF">
        <w:t>лермский протокол). Комитет отметил также заявление правительства о том, что оно придает большое значение сотрудничеству с международными орган</w:t>
      </w:r>
      <w:r w:rsidRPr="00BD62AF">
        <w:t>и</w:t>
      </w:r>
      <w:r w:rsidRPr="00BD62AF">
        <w:t>зациями в его усилиях, направленных на борьбу с торговлей людьми, и принял к сведению подробную информацию, представленную правительству по да</w:t>
      </w:r>
      <w:r w:rsidRPr="00BD62AF">
        <w:t>н</w:t>
      </w:r>
      <w:r w:rsidRPr="00BD62AF">
        <w:t>ному вопросу.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62.</w:t>
      </w:r>
      <w:r w:rsidRPr="00BD62AF">
        <w:tab/>
        <w:t>Правительству было предложено представить свои доклады об осущест</w:t>
      </w:r>
      <w:r w:rsidRPr="00BD62AF">
        <w:t>в</w:t>
      </w:r>
      <w:r w:rsidRPr="00BD62AF">
        <w:t>лении Конвенции № 182, которые должны быть рассмотрены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Гана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63.</w:t>
      </w:r>
      <w:r w:rsidRPr="00BD62AF">
        <w:tab/>
        <w:t>Из соответствующих конвенций МОТ Гана ратифицировала конвенции № 100 и № 101. Она также ратифицировала конвенции №№ 29, 45, 87, 89, 98, 103, 105, 138 и 182.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rPr>
          <w:b/>
        </w:rPr>
        <w:t>Комментарии надзорных органов Международной организации труда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64.</w:t>
      </w:r>
      <w:r w:rsidRPr="00BD62AF">
        <w:tab/>
        <w:t>Представленные на рассмотрение комментарии Комитета экспертов, отн</w:t>
      </w:r>
      <w:r w:rsidRPr="00BD62AF">
        <w:t>о</w:t>
      </w:r>
      <w:r w:rsidRPr="00BD62AF">
        <w:t>сящиеся к положениям Конвенции о ликвидации всех форм дискриминации в отношении женщин, касаются нижеследующих пунктов.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100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65.</w:t>
      </w:r>
      <w:r w:rsidRPr="00BD62AF">
        <w:rPr>
          <w:i/>
        </w:rPr>
        <w:tab/>
      </w:r>
      <w:r w:rsidRPr="00BD62AF">
        <w:t>В своем замечании, сделанном в 2013 году, Комитет отметил, что после принятия в 2003 году закона о труде он выражал обеспокоенность в отношении разделов 10 (</w:t>
      </w:r>
      <w:r w:rsidRPr="00BD62AF">
        <w:rPr>
          <w:lang w:val="en-US"/>
        </w:rPr>
        <w:t>b</w:t>
      </w:r>
      <w:r w:rsidRPr="00BD62AF">
        <w:t>) и 68 этого закона, которые сформулированы в выражениях, б</w:t>
      </w:r>
      <w:r w:rsidRPr="00BD62AF">
        <w:t>о</w:t>
      </w:r>
      <w:r w:rsidRPr="00BD62AF">
        <w:t>лее ограничительных, чем принцип, закрепленный в Конвенции. Комитет о</w:t>
      </w:r>
      <w:r w:rsidRPr="00BD62AF">
        <w:t>т</w:t>
      </w:r>
      <w:r w:rsidRPr="00BD62AF">
        <w:t>метил заявление правительства о том, что формулировка «равная оплата за равный труд без какого бы то ни было различия», содержащееся в этих разд</w:t>
      </w:r>
      <w:r w:rsidRPr="00BD62AF">
        <w:t>е</w:t>
      </w:r>
      <w:r w:rsidRPr="00BD62AF">
        <w:t>лах, синонимична принципу равного вознаграждения мужчин и женщин за труд равной ценности. Однако правительство не представило никаких обосн</w:t>
      </w:r>
      <w:r w:rsidRPr="00BD62AF">
        <w:t>о</w:t>
      </w:r>
      <w:r w:rsidRPr="00BD62AF">
        <w:t>ваний в поддержку этого утверждения и не привело никаких свидетельств того, что виды работы совершенно разного характера можно сравнивать на основ</w:t>
      </w:r>
      <w:r w:rsidRPr="00BD62AF">
        <w:t>а</w:t>
      </w:r>
      <w:r w:rsidRPr="00BD62AF">
        <w:t>нии этого закона. Комитет отметил также заявление правительства о том, что оно, тем не менее, дополнительно изучит вопрос, вызвавший обеспокоенность Комитета. Комитет просил правительство принять необходимые меры для вн</w:t>
      </w:r>
      <w:r w:rsidRPr="00BD62AF">
        <w:t>е</w:t>
      </w:r>
      <w:r w:rsidRPr="00BD62AF">
        <w:t>сения поправок в эти разделы, с тем чтобы в полной мере отразить в его зак</w:t>
      </w:r>
      <w:r w:rsidRPr="00BD62AF">
        <w:t>о</w:t>
      </w:r>
      <w:r w:rsidRPr="00BD62AF">
        <w:t>нодательстве принцип равного вознаграждения мужчин и женщин за труд ра</w:t>
      </w:r>
      <w:r w:rsidRPr="00BD62AF">
        <w:t>в</w:t>
      </w:r>
      <w:r w:rsidRPr="00BD62AF">
        <w:t>ной ценности, закрепленный в Конвенции, и представить информацию о том, что сделано в этом плане.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66.</w:t>
      </w:r>
      <w:r w:rsidRPr="00BD62AF">
        <w:tab/>
        <w:t>По вопросу о равном вознаграждении за труд равной ценности на госуда</w:t>
      </w:r>
      <w:r w:rsidRPr="00BD62AF">
        <w:t>р</w:t>
      </w:r>
      <w:r w:rsidRPr="00BD62AF">
        <w:t>ственной службе Комитет напомнил о том, что в апреле 2009 года была заве</w:t>
      </w:r>
      <w:r w:rsidRPr="00BD62AF">
        <w:t>р</w:t>
      </w:r>
      <w:r w:rsidRPr="00BD62AF">
        <w:t>шена оценка должностных функций для определения ценности труда на всех должностях государственной службы и что в результате этого в ноябре 2009 года была принята политика оплаты труда на государственной службе, в соответствии с которой устанавливается единая шкала оплаты труда и которая вступила в силу с января 2010 года. Комитет напоминает также о том, что оценка производилась на основе четырех основных должностных факторов (знания и опыт, уровень ответственности, условия труда и прилагаемые ус</w:t>
      </w:r>
      <w:r w:rsidRPr="00BD62AF">
        <w:t>и</w:t>
      </w:r>
      <w:r w:rsidRPr="00BD62AF">
        <w:t>лия), которые разделены на 13 подфакторов. Комитет отметил информацию правительства о том, что 95 процентов всех государственных служащих были переведены на единую шкалу оплаты труда, а остальные будут переведены на эту систему к концу 2012 года. Комитет просил правительство представить и</w:t>
      </w:r>
      <w:r w:rsidRPr="00BD62AF">
        <w:t>н</w:t>
      </w:r>
      <w:r w:rsidRPr="00BD62AF">
        <w:t>формацию о том, как производится оплата всех государственных служащих в соответствии с единой шкалой окладов и как это сказывается на относител</w:t>
      </w:r>
      <w:r w:rsidRPr="00BD62AF">
        <w:t>ь</w:t>
      </w:r>
      <w:r w:rsidRPr="00BD62AF">
        <w:t>ном размере оплаты труда женщин и мужчин, состоящих на государственной службе. Он также просил правительство представить информацию о практич</w:t>
      </w:r>
      <w:r w:rsidRPr="00BD62AF">
        <w:t>е</w:t>
      </w:r>
      <w:r w:rsidRPr="00BD62AF">
        <w:t>ском применении единой шкалы окладов, а также о вопросах, которыми зан</w:t>
      </w:r>
      <w:r w:rsidRPr="00BD62AF">
        <w:t>и</w:t>
      </w:r>
      <w:r w:rsidRPr="00BD62AF">
        <w:t>мается Комиссия по справедливой заработной плате и справедливым окладам, и мерах, принятых этой Комиссией для обеспечения всестороннего примен</w:t>
      </w:r>
      <w:r w:rsidRPr="00BD62AF">
        <w:t>е</w:t>
      </w:r>
      <w:r w:rsidRPr="00BD62AF">
        <w:t>ния принципа, закрепленного в Конвенции, на государственной службе. Ком</w:t>
      </w:r>
      <w:r w:rsidRPr="00BD62AF">
        <w:t>и</w:t>
      </w:r>
      <w:r w:rsidRPr="00BD62AF">
        <w:t>тет вновь просил правительство представить копию документа о принятой п</w:t>
      </w:r>
      <w:r w:rsidRPr="00BD62AF">
        <w:t>о</w:t>
      </w:r>
      <w:r w:rsidRPr="00BD62AF">
        <w:t>литике в области оплаты труда государственных служащих и единой шкалы окладов.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67.</w:t>
      </w:r>
      <w:r w:rsidRPr="00BD62AF">
        <w:tab/>
        <w:t>В своем прямом запросе, сделанном в 2013 году, Комитет напомнил о том, что на протяжении ряда лет он комментировал коллективные договоры, в кот</w:t>
      </w:r>
      <w:r w:rsidRPr="00BD62AF">
        <w:t>о</w:t>
      </w:r>
      <w:r w:rsidRPr="00BD62AF">
        <w:t>рых содержались положения дискриминационного характера в отношении женщин, непосредственно касающиеся конкретных льгот. Он отметил, что в докладе правительства вновь отсутствует конкретная информация в ответ на предыдущие запросы Комитета на этот счет. Комитет настоятельно просил правительство принять необходимые меры в сотрудничестве с организациями работодателей и трудящихся для обеспечения того, чтобы в коллективных д</w:t>
      </w:r>
      <w:r w:rsidRPr="00BD62AF">
        <w:t>о</w:t>
      </w:r>
      <w:r w:rsidRPr="00BD62AF">
        <w:t>говорах отсутствовали положения, допускающие дискриминацию по признаку пола. Он также просил правительство представить информацию о любых м</w:t>
      </w:r>
      <w:r w:rsidRPr="00BD62AF">
        <w:t>е</w:t>
      </w:r>
      <w:r w:rsidRPr="00BD62AF">
        <w:t>рах, принятых или намеченных в сотрудничестве с организациями работодат</w:t>
      </w:r>
      <w:r w:rsidRPr="00BD62AF">
        <w:t>е</w:t>
      </w:r>
      <w:r w:rsidRPr="00BD62AF">
        <w:t>лей и трудящихся для содействия применению в коллективных договорах принципа равного вознаграждения мужчин и женщин за труд равной ценности, включая использование объективных методов оценки должностных функций.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68.</w:t>
      </w:r>
      <w:r w:rsidRPr="00BD62AF">
        <w:tab/>
        <w:t>Что касается объективной оценки должностных функций в частном сект</w:t>
      </w:r>
      <w:r w:rsidRPr="00BD62AF">
        <w:t>о</w:t>
      </w:r>
      <w:r w:rsidRPr="00BD62AF">
        <w:t>ре, то Комитет напомнил о том, что, согласно результатам обследования уровня жизни в Гане, опубликованным в сентябре 2008 года Статистической службой Ганы, в среднем мужчины получали более высокие доходы, чем женщины. О</w:t>
      </w:r>
      <w:r w:rsidRPr="00BD62AF">
        <w:t>т</w:t>
      </w:r>
      <w:r w:rsidRPr="00BD62AF">
        <w:t>метив, что шестой цикл обследования уровня жизни в Гане должен был заве</w:t>
      </w:r>
      <w:r w:rsidRPr="00BD62AF">
        <w:t>р</w:t>
      </w:r>
      <w:r w:rsidRPr="00BD62AF">
        <w:t>шиться в сентябре 2013 года, Комитет просил правительство представить о</w:t>
      </w:r>
      <w:r w:rsidRPr="00BD62AF">
        <w:t>б</w:t>
      </w:r>
      <w:r w:rsidRPr="00BD62AF">
        <w:t>новленную информацию о разнице в оплате труда мужчин и женщин в частном секторе, в том числе статистическую информацию, основанную на результатах последнего обследования уровня жизни в Гане. Он также просил правител</w:t>
      </w:r>
      <w:r w:rsidRPr="00BD62AF">
        <w:t>ь</w:t>
      </w:r>
      <w:r w:rsidRPr="00BD62AF">
        <w:t>ство принять меры для содействия применению объективных методов оценки должностных функций в частном секторе для устранения неравенства в оплате труда и представить информацию о ходе работы в этом направлении.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69.</w:t>
      </w:r>
      <w:r w:rsidRPr="00BD62AF">
        <w:tab/>
        <w:t>Комитет отметил, что правительство вновь привело прежнюю информ</w:t>
      </w:r>
      <w:r w:rsidRPr="00BD62AF">
        <w:t>а</w:t>
      </w:r>
      <w:r w:rsidRPr="00BD62AF">
        <w:t>цию о том, что правительство и организации трудящихся и работодателей предпринимают активные меры для содействия более широкому пониманию и применению принципа равного вознаграждения в ходе регулярных трехст</w:t>
      </w:r>
      <w:r w:rsidRPr="00BD62AF">
        <w:t>о</w:t>
      </w:r>
      <w:r w:rsidRPr="00BD62AF">
        <w:t>ронних консультаций в рамках Национального трехстороннего комитета и в процессе определения минимального уровня заработной платы в стране. Нап</w:t>
      </w:r>
      <w:r w:rsidRPr="00BD62AF">
        <w:t>о</w:t>
      </w:r>
      <w:r w:rsidRPr="00BD62AF">
        <w:t>миная, о важной роли организаций работодателей и трудящихся в деле практ</w:t>
      </w:r>
      <w:r w:rsidRPr="00BD62AF">
        <w:t>и</w:t>
      </w:r>
      <w:r w:rsidRPr="00BD62AF">
        <w:t>ческого применения принципа, закрепленного в Конвенции, Комитет вновь просил правительство представить предметную информацию о конкретных шагах и действиях, предпринятых для внедрения этого принципа, и о результ</w:t>
      </w:r>
      <w:r w:rsidRPr="00BD62AF">
        <w:t>а</w:t>
      </w:r>
      <w:r w:rsidRPr="00BD62AF">
        <w:t>тах таких действий. Он также просил правительство сообщить, обсуждался ли непосредственно в Национальном трехстороннем комитете вопрос о равном вознаграждении мужчин и женщин и как этот принцип нашел свое отражение в процессе установления минимальной заработной платы.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70.</w:t>
      </w:r>
      <w:r w:rsidRPr="00BD62AF">
        <w:tab/>
        <w:t>В отношении исполнения принятых законодательных положений Комитет отметил информацию правительства о том, что Национальная комиссия по в</w:t>
      </w:r>
      <w:r w:rsidRPr="00BD62AF">
        <w:t>о</w:t>
      </w:r>
      <w:r w:rsidRPr="00BD62AF">
        <w:t>просам труда и Комиссия по справедливой заработной плате и справедливым окладам занимаются рассмотрением жалоб трудящихся, особенно жалоб, к</w:t>
      </w:r>
      <w:r w:rsidRPr="00BD62AF">
        <w:t>а</w:t>
      </w:r>
      <w:r w:rsidRPr="00BD62AF">
        <w:t>сающихся равного вознаграждения. Правительство также сообщило, что в с</w:t>
      </w:r>
      <w:r w:rsidRPr="00BD62AF">
        <w:t>о</w:t>
      </w:r>
      <w:r w:rsidRPr="00BD62AF">
        <w:t>ответствии с законом 2010 года об альтернативном урегулировании споров был учрежден центр по альтернативному урегулированию споров, который выст</w:t>
      </w:r>
      <w:r w:rsidRPr="00BD62AF">
        <w:t>у</w:t>
      </w:r>
      <w:r w:rsidRPr="00BD62AF">
        <w:t>пает в качестве дополнительного форума, на котором рассматриваются жалобы, касающиеся вознаграждения.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111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71.</w:t>
      </w:r>
      <w:r w:rsidRPr="00BD62AF">
        <w:rPr>
          <w:i/>
        </w:rPr>
        <w:tab/>
      </w:r>
      <w:r w:rsidRPr="00BD62AF">
        <w:t>В своем прямом запросе, сделанном в 2013 году, Комитет напомнил о св</w:t>
      </w:r>
      <w:r w:rsidRPr="00BD62AF">
        <w:t>о</w:t>
      </w:r>
      <w:r w:rsidRPr="00BD62AF">
        <w:t xml:space="preserve">их предыдущих замечаниях, в которых он отмечал, что раздел 175 закона о труде, в котором определяется понятие «сексуальные домогательства», судя по всему, охватывает только домогательства </w:t>
      </w:r>
      <w:r w:rsidRPr="00BD62AF">
        <w:rPr>
          <w:szCs w:val="20"/>
        </w:rPr>
        <w:t>quid pro quo, а не сексуальные дом</w:t>
      </w:r>
      <w:r w:rsidRPr="00BD62AF">
        <w:rPr>
          <w:szCs w:val="20"/>
        </w:rPr>
        <w:t>о</w:t>
      </w:r>
      <w:r w:rsidRPr="00BD62AF">
        <w:rPr>
          <w:szCs w:val="20"/>
        </w:rPr>
        <w:t>гательства во враждебной среде. Правительство сообщило, что приняты меры для предотвращения и пресечения сексуальных домогательств на работе, включая проведение проверок обстановки на рабочем месте, а также програ</w:t>
      </w:r>
      <w:r w:rsidRPr="00BD62AF">
        <w:rPr>
          <w:szCs w:val="20"/>
        </w:rPr>
        <w:t>м</w:t>
      </w:r>
      <w:r w:rsidRPr="00BD62AF">
        <w:rPr>
          <w:szCs w:val="20"/>
        </w:rPr>
        <w:t>мы обучения и подготовки сотрудников организаций работодателей и труд</w:t>
      </w:r>
      <w:r w:rsidRPr="00BD62AF">
        <w:rPr>
          <w:szCs w:val="20"/>
        </w:rPr>
        <w:t>я</w:t>
      </w:r>
      <w:r w:rsidRPr="00BD62AF">
        <w:rPr>
          <w:szCs w:val="20"/>
        </w:rPr>
        <w:t>щихся. Комитет отметил информацию правительства о том, что в компетен</w:t>
      </w:r>
      <w:r w:rsidRPr="00BD62AF">
        <w:rPr>
          <w:szCs w:val="20"/>
        </w:rPr>
        <w:t>т</w:t>
      </w:r>
      <w:r w:rsidRPr="00BD62AF">
        <w:rPr>
          <w:szCs w:val="20"/>
        </w:rPr>
        <w:t>ные стороны, в том числе в Национальную комиссию по вопросам труда, ник</w:t>
      </w:r>
      <w:r w:rsidRPr="00BD62AF">
        <w:rPr>
          <w:szCs w:val="20"/>
        </w:rPr>
        <w:t>а</w:t>
      </w:r>
      <w:r w:rsidRPr="00BD62AF">
        <w:rPr>
          <w:szCs w:val="20"/>
        </w:rPr>
        <w:t>ких жалоб или сообщений о сексуальных домогательствах на рабочем месте на основании этого закона не поступало. Комитет просил правительство расш</w:t>
      </w:r>
      <w:r w:rsidRPr="00BD62AF">
        <w:rPr>
          <w:szCs w:val="20"/>
        </w:rPr>
        <w:t>и</w:t>
      </w:r>
      <w:r w:rsidRPr="00BD62AF">
        <w:rPr>
          <w:szCs w:val="20"/>
        </w:rPr>
        <w:t>рить определение сексуальных домогательств, с тем чтобы оно конкретно охв</w:t>
      </w:r>
      <w:r w:rsidRPr="00BD62AF">
        <w:rPr>
          <w:szCs w:val="20"/>
        </w:rPr>
        <w:t>а</w:t>
      </w:r>
      <w:r w:rsidRPr="00BD62AF">
        <w:rPr>
          <w:szCs w:val="20"/>
        </w:rPr>
        <w:t>тывало сексуальные домогательства во враждебной среде. Комитет просил правительство принять конкретные меры для обеспечения более обстоятельн</w:t>
      </w:r>
      <w:r w:rsidRPr="00BD62AF">
        <w:rPr>
          <w:szCs w:val="20"/>
        </w:rPr>
        <w:t>о</w:t>
      </w:r>
      <w:r w:rsidRPr="00BD62AF">
        <w:rPr>
          <w:szCs w:val="20"/>
        </w:rPr>
        <w:t>го разъяснения и понимания сотрудниками органов трудовой инспекции, суд</w:t>
      </w:r>
      <w:r w:rsidRPr="00BD62AF">
        <w:rPr>
          <w:szCs w:val="20"/>
        </w:rPr>
        <w:t>ь</w:t>
      </w:r>
      <w:r w:rsidRPr="00BD62AF">
        <w:rPr>
          <w:szCs w:val="20"/>
        </w:rPr>
        <w:t>ями и другими соответствующими государственными должностными лицами, а также работодателями, трудящимися и их организациями факта существования сексуальных домогательств и средств предотвращения и пресечения этого я</w:t>
      </w:r>
      <w:r w:rsidRPr="00BD62AF">
        <w:rPr>
          <w:szCs w:val="20"/>
        </w:rPr>
        <w:t>в</w:t>
      </w:r>
      <w:r w:rsidRPr="00BD62AF">
        <w:rPr>
          <w:szCs w:val="20"/>
        </w:rPr>
        <w:t>ления.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72.</w:t>
      </w:r>
      <w:r w:rsidRPr="00BD62AF">
        <w:tab/>
        <w:t>Комитет напомнил об осуществляемой правительством программе поз</w:t>
      </w:r>
      <w:r w:rsidRPr="00BD62AF">
        <w:t>и</w:t>
      </w:r>
      <w:r w:rsidRPr="00BD62AF">
        <w:t>тивных действий, направленной на обеспечение равенства прав и возможн</w:t>
      </w:r>
      <w:r w:rsidRPr="00BD62AF">
        <w:t>о</w:t>
      </w:r>
      <w:r w:rsidRPr="00BD62AF">
        <w:t>стей женщин, а также о разработанной Конгрессом профсоюзов Ганы политике обеспечения гендерного равенства на 2008–2012 годы, которые предусматр</w:t>
      </w:r>
      <w:r w:rsidRPr="00BD62AF">
        <w:t>и</w:t>
      </w:r>
      <w:r w:rsidRPr="00BD62AF">
        <w:t>вают расширение представленности женщин в руководстве профсоюзным дв</w:t>
      </w:r>
      <w:r w:rsidRPr="00BD62AF">
        <w:t>и</w:t>
      </w:r>
      <w:r w:rsidRPr="00BD62AF">
        <w:t>жением и в профсоюзной деятельности, а также активизацию программ пр</w:t>
      </w:r>
      <w:r w:rsidRPr="00BD62AF">
        <w:t>о</w:t>
      </w:r>
      <w:r w:rsidRPr="00BD62AF">
        <w:t>свещения по гендерным вопросам как для мужчин, так и для женщин. Комитет отметил сообщение правительства о том, что хотя целевое задание, предусма</w:t>
      </w:r>
      <w:r w:rsidRPr="00BD62AF">
        <w:t>т</w:t>
      </w:r>
      <w:r w:rsidRPr="00BD62AF">
        <w:t>ривающее обеспечение представленности женщин в государственном секторе на уровне 40 процентов достигнуто не было, правительство принимает необх</w:t>
      </w:r>
      <w:r w:rsidRPr="00BD62AF">
        <w:t>о</w:t>
      </w:r>
      <w:r w:rsidRPr="00BD62AF">
        <w:t>димые меры для назначения большего числа женщин в учреждения госуда</w:t>
      </w:r>
      <w:r w:rsidRPr="00BD62AF">
        <w:t>р</w:t>
      </w:r>
      <w:r w:rsidRPr="00BD62AF">
        <w:t>ственного сектора. Правительство сообщило также, что созданная при мин</w:t>
      </w:r>
      <w:r w:rsidRPr="00BD62AF">
        <w:t>и</w:t>
      </w:r>
      <w:r w:rsidRPr="00BD62AF">
        <w:t>стерстве по делам женщин и детей специальная группа контроля по гендерным и бюджетным вопросам будет следить за обеспечением того, чтобы в наци</w:t>
      </w:r>
      <w:r w:rsidRPr="00BD62AF">
        <w:t>о</w:t>
      </w:r>
      <w:r w:rsidRPr="00BD62AF">
        <w:t>нальном и секторальных бюджетах на 2010 год и последующий период учит</w:t>
      </w:r>
      <w:r w:rsidRPr="00BD62AF">
        <w:t>ы</w:t>
      </w:r>
      <w:r w:rsidRPr="00BD62AF">
        <w:t>вался гендерный фактор. Комитет просил правительство представить инфо</w:t>
      </w:r>
      <w:r w:rsidRPr="00BD62AF">
        <w:t>р</w:t>
      </w:r>
      <w:r w:rsidRPr="00BD62AF">
        <w:t>мацию об осуществлении мер, принятых в рамках программы позитивных де</w:t>
      </w:r>
      <w:r w:rsidRPr="00BD62AF">
        <w:t>й</w:t>
      </w:r>
      <w:r w:rsidRPr="00BD62AF">
        <w:t>ствий, в том числе сведения о сроках их осуществления и их влиянии на обе</w:t>
      </w:r>
      <w:r w:rsidRPr="00BD62AF">
        <w:t>с</w:t>
      </w:r>
      <w:r w:rsidRPr="00BD62AF">
        <w:t>печение гендерного равенства в области труда и занятий. Он также просил правительство сообщить о мерах, принятых для сбора и обработки статистич</w:t>
      </w:r>
      <w:r w:rsidRPr="00BD62AF">
        <w:t>е</w:t>
      </w:r>
      <w:r w:rsidRPr="00BD62AF">
        <w:t>ской информации о положении женщин, работающих в частном и госуда</w:t>
      </w:r>
      <w:r w:rsidRPr="00BD62AF">
        <w:t>р</w:t>
      </w:r>
      <w:r w:rsidRPr="00BD62AF">
        <w:t>ственном секторах.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73.</w:t>
      </w:r>
      <w:r w:rsidRPr="00BD62AF">
        <w:tab/>
        <w:t>По вопросу об образовании и профессиональной подготовке Комитет напомнил о том, что правительство поощряет доступ девочек и женщин к обр</w:t>
      </w:r>
      <w:r w:rsidRPr="00BD62AF">
        <w:t>а</w:t>
      </w:r>
      <w:r w:rsidRPr="00BD62AF">
        <w:t>зованию, особенно в рамках Национальной программы функциональной гр</w:t>
      </w:r>
      <w:r w:rsidRPr="00BD62AF">
        <w:t>а</w:t>
      </w:r>
      <w:r w:rsidRPr="00BD62AF">
        <w:t>мотности. Комитет напомнил также, что в законе об образовании 2008 года о</w:t>
      </w:r>
      <w:r w:rsidRPr="00BD62AF">
        <w:t>т</w:t>
      </w:r>
      <w:r w:rsidRPr="00BD62AF">
        <w:t>сутствуют положения, запрещающие дискриминацию в области образования по всем признакам, перечисленным в статье 1 (1) (а) Конвенции, тогда как раздел 22 (1) отмененного закона об образовании 1961 года предусматривал, что ник</w:t>
      </w:r>
      <w:r w:rsidRPr="00BD62AF">
        <w:t>а</w:t>
      </w:r>
      <w:r w:rsidRPr="00BD62AF">
        <w:t>кому человеку не должно быть отказано как ученику в доступе или посещении любой школы по признаку религиозных убеждений, гражданства, расы или языка его самого или кого-либо из его родителей. Раздел 28 закона об образ</w:t>
      </w:r>
      <w:r w:rsidRPr="00BD62AF">
        <w:t>о</w:t>
      </w:r>
      <w:r w:rsidRPr="00BD62AF">
        <w:t>вании 2008 года предусматривает процедуру рассмотрения жалоб в Наци</w:t>
      </w:r>
      <w:r w:rsidRPr="00BD62AF">
        <w:t>о</w:t>
      </w:r>
      <w:r w:rsidRPr="00BD62AF">
        <w:t>нальном аккредиционном совете или в окружном совете по надзору за сист</w:t>
      </w:r>
      <w:r w:rsidRPr="00BD62AF">
        <w:t>е</w:t>
      </w:r>
      <w:r w:rsidRPr="00BD62AF">
        <w:t>мой образования, когда у родителей есть основания подозревать в проявлении дискриминации по отношению к их ребенку. Кроме того, раздел 29 (о) закона об образовании предусматривает, что министр может выносить распоряжение в отношении гендерного равенства на всех уровнях и во всех программах обуч</w:t>
      </w:r>
      <w:r w:rsidRPr="00BD62AF">
        <w:t>е</w:t>
      </w:r>
      <w:r w:rsidRPr="00BD62AF">
        <w:t>ния. Комитет просил правительство представить обновленную информацию о мерах, которые оно приняло или намеревается принять для облегчения доступа девочек и женщин к образованию и профессиональной подготовке, в том числе в технические институты и другие высшие учебные заведения, с тем чтобы они могли получить знания для выполнения более разнообразных видов работ и з</w:t>
      </w:r>
      <w:r w:rsidRPr="00BD62AF">
        <w:t>а</w:t>
      </w:r>
      <w:r w:rsidRPr="00BD62AF">
        <w:t>нятий, и о достигнутых результатах. Комитет также просил правительство представить информацию о причинах дискриминации, упомянутых в жалобах, представленных в соответствии с разделом 28 закона об образовании, и соо</w:t>
      </w:r>
      <w:r w:rsidRPr="00BD62AF">
        <w:t>б</w:t>
      </w:r>
      <w:r w:rsidRPr="00BD62AF">
        <w:t>щить фигурируют ли такие причины в числе признаков дискриминации, пер</w:t>
      </w:r>
      <w:r w:rsidRPr="00BD62AF">
        <w:t>е</w:t>
      </w:r>
      <w:r w:rsidRPr="00BD62AF">
        <w:t>численных в статье 1 (1)(а) Конвенции. Правительству было также предложено сообщить, выносил ли министр распоряжения, предусмотренные разд</w:t>
      </w:r>
      <w:r w:rsidRPr="00BD62AF">
        <w:t>е</w:t>
      </w:r>
      <w:r w:rsidRPr="00BD62AF">
        <w:t>лом 29 (о).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74.</w:t>
      </w:r>
      <w:r w:rsidRPr="00BD62AF">
        <w:tab/>
        <w:t>По вопросу об исполнении положений законов Комитет просил правител</w:t>
      </w:r>
      <w:r w:rsidRPr="00BD62AF">
        <w:t>ь</w:t>
      </w:r>
      <w:r w:rsidRPr="00BD62AF">
        <w:t>ство принять конкретные меры для пересмотра формы акта трудовой инспе</w:t>
      </w:r>
      <w:r w:rsidRPr="00BD62AF">
        <w:t>к</w:t>
      </w:r>
      <w:r w:rsidRPr="00BD62AF">
        <w:t>ции, включив в нее конкретное упоминание дискриминации по признакам, п</w:t>
      </w:r>
      <w:r w:rsidRPr="00BD62AF">
        <w:t>е</w:t>
      </w:r>
      <w:r w:rsidRPr="00BD62AF">
        <w:t>речисленным в Конвенции, а также упоминание сексуальных домогательств. Он также просил правительство принять меры для расширения возможностей сотрудников правоохранительных органов по выявлению и искоренению ди</w:t>
      </w:r>
      <w:r w:rsidRPr="00BD62AF">
        <w:t>с</w:t>
      </w:r>
      <w:r w:rsidRPr="00BD62AF">
        <w:t>криминации в области труда и занятий.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182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75.</w:t>
      </w:r>
      <w:r w:rsidRPr="00BD62AF">
        <w:rPr>
          <w:i/>
        </w:rPr>
        <w:tab/>
      </w:r>
      <w:r w:rsidRPr="00BD62AF">
        <w:t>В своем прямом запросе, сделанном в 2010 году (повторенном в 2012 и 2013 годах), Комитет отмечал, что, как указывалось в его предыдущих замеч</w:t>
      </w:r>
      <w:r w:rsidRPr="00BD62AF">
        <w:t>а</w:t>
      </w:r>
      <w:r w:rsidRPr="00BD62AF">
        <w:t>ниях, в Уголовном кодексе конкретно не предусмотрены преступления, связа</w:t>
      </w:r>
      <w:r w:rsidRPr="00BD62AF">
        <w:t>н</w:t>
      </w:r>
      <w:r w:rsidRPr="00BD62AF">
        <w:t>ные с порнографией или порнографическими представлениями с участием д</w:t>
      </w:r>
      <w:r w:rsidRPr="00BD62AF">
        <w:t>е</w:t>
      </w:r>
      <w:r w:rsidRPr="00BD62AF">
        <w:t>тей до 18 лет, но содержатся положения, запрещающие производство, распр</w:t>
      </w:r>
      <w:r w:rsidRPr="00BD62AF">
        <w:t>о</w:t>
      </w:r>
      <w:r w:rsidRPr="00BD62AF">
        <w:t>странение или демонстрацию непристойных материалов или непристойных представлений в целом. Комитет просил правительство принять необходимые меры с целью конкретно запретить использование, вербовку или предложение ребенка для производства порнографической продукции или для порнограф</w:t>
      </w:r>
      <w:r w:rsidRPr="00BD62AF">
        <w:t>и</w:t>
      </w:r>
      <w:r w:rsidRPr="00BD62AF">
        <w:t>ческих представлений. Он также просил правительство принять меры, уст</w:t>
      </w:r>
      <w:r w:rsidRPr="00BD62AF">
        <w:t>а</w:t>
      </w:r>
      <w:r w:rsidRPr="00BD62AF">
        <w:t>навливающие соответствующие наказания за эту наихудшую форму детского труда.</w:t>
      </w:r>
    </w:p>
    <w:p w:rsidR="00BD62AF" w:rsidRPr="00BD62AF" w:rsidRDefault="00BD62AF" w:rsidP="00BD62AF">
      <w:pPr>
        <w:keepNext/>
        <w:pageBreakBefore/>
        <w:suppressLineNumbers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/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Другие конвенции, о которых правительству было предложено представить доклады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76.</w:t>
      </w:r>
      <w:r w:rsidRPr="00BD62AF">
        <w:tab/>
        <w:t>Правительству было предложено представить свои доклады об осущест</w:t>
      </w:r>
      <w:r w:rsidRPr="00BD62AF">
        <w:t>в</w:t>
      </w:r>
      <w:r w:rsidRPr="00BD62AF">
        <w:t>лении конвенций № 87 и № 98, которые должны быть рассмотрены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Гвинея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77.</w:t>
      </w:r>
      <w:r w:rsidRPr="00BD62AF">
        <w:tab/>
        <w:t>Из соответствующих конвенций МОТ Гвинея ратифицировала конвенции №№ 100, 101 и 156. Она также ратифицировала конвенции №№ 3, 29, 45, 87, 89, 98, 105, 122, 138, 142, 143 и 182.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b/>
        </w:rPr>
      </w:pPr>
      <w:r w:rsidRPr="00BD62AF">
        <w:rPr>
          <w:b/>
        </w:rPr>
        <w:t>Комментарии надзорных органов Международной организации труда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78.</w:t>
      </w:r>
      <w:r w:rsidRPr="00BD62AF">
        <w:tab/>
        <w:t>Представленные на рассмотрение комментарии Комитета экспертов, отн</w:t>
      </w:r>
      <w:r w:rsidRPr="00BD62AF">
        <w:t>о</w:t>
      </w:r>
      <w:r w:rsidRPr="00BD62AF">
        <w:t>сящиеся к положениям Конвенции о ликвидации всех форм дискриминации в отношении женщин, касаются нижеследующих пунктов.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3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79.</w:t>
      </w:r>
      <w:r w:rsidRPr="00BD62AF">
        <w:rPr>
          <w:i/>
        </w:rPr>
        <w:tab/>
      </w:r>
      <w:r w:rsidRPr="00BD62AF">
        <w:t>В своем прямом запросе, сделанном в 2012 году (повторенном в последний раз в 2013 году), Комитет отметил сообщение правительства о том, что по пр</w:t>
      </w:r>
      <w:r w:rsidRPr="00BD62AF">
        <w:t>и</w:t>
      </w:r>
      <w:r w:rsidRPr="00BD62AF">
        <w:t>чине трудности функционирования на тот момент Национальный фонд соц</w:t>
      </w:r>
      <w:r w:rsidRPr="00BD62AF">
        <w:t>и</w:t>
      </w:r>
      <w:r w:rsidRPr="00BD62AF">
        <w:t>ального страхования не мог взять на себя выплату в полном объеме пособия по беременности и родам, половину которого по-прежнему выплачивал работод</w:t>
      </w:r>
      <w:r w:rsidRPr="00BD62AF">
        <w:t>а</w:t>
      </w:r>
      <w:r w:rsidRPr="00BD62AF">
        <w:t>тель в соответствии со статьей 106 (4) закона № </w:t>
      </w:r>
      <w:r w:rsidRPr="00BD62AF">
        <w:rPr>
          <w:szCs w:val="20"/>
          <w:lang/>
        </w:rPr>
        <w:t>L</w:t>
      </w:r>
      <w:r w:rsidRPr="00BD62AF">
        <w:rPr>
          <w:szCs w:val="20"/>
        </w:rPr>
        <w:t>94/006/</w:t>
      </w:r>
      <w:r w:rsidRPr="00BD62AF">
        <w:rPr>
          <w:szCs w:val="20"/>
          <w:lang/>
        </w:rPr>
        <w:t>CTRN</w:t>
      </w:r>
      <w:r w:rsidRPr="00BD62AF">
        <w:rPr>
          <w:szCs w:val="20"/>
        </w:rPr>
        <w:t xml:space="preserve"> о Кодексе с</w:t>
      </w:r>
      <w:r w:rsidRPr="00BD62AF">
        <w:rPr>
          <w:szCs w:val="20"/>
        </w:rPr>
        <w:t>о</w:t>
      </w:r>
      <w:r w:rsidRPr="00BD62AF">
        <w:rPr>
          <w:szCs w:val="20"/>
        </w:rPr>
        <w:t>циального страхования. В то же время правительство добавило, что оно будет последовательно заниматься приведением национального законодательства в соответствие с Конвенцией.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80.</w:t>
      </w:r>
      <w:r w:rsidRPr="00BD62AF">
        <w:tab/>
        <w:t>Комитет выразил надежду на то, что правительство представит информ</w:t>
      </w:r>
      <w:r w:rsidRPr="00BD62AF">
        <w:t>а</w:t>
      </w:r>
      <w:r w:rsidRPr="00BD62AF">
        <w:t>цию о ходе работы по обеспечению полного применения Конвенции, а также о том, что оно примет меры для обеспечения того, чтобы выплата пособия по б</w:t>
      </w:r>
      <w:r w:rsidRPr="00BD62AF">
        <w:t>е</w:t>
      </w:r>
      <w:r w:rsidRPr="00BD62AF">
        <w:t>ременности и родам не перекладывалась, даже частично, на работодателей, п</w:t>
      </w:r>
      <w:r w:rsidRPr="00BD62AF">
        <w:t>о</w:t>
      </w:r>
      <w:r w:rsidRPr="00BD62AF">
        <w:t>скольку это не соответствует положениям Конвенции и может иметь вредные последствия для занятости женщин.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81.</w:t>
      </w:r>
      <w:r w:rsidRPr="00BD62AF">
        <w:tab/>
        <w:t>В отношении возможности увольнения работающей женщины в случае с</w:t>
      </w:r>
      <w:r w:rsidRPr="00BD62AF">
        <w:t>е</w:t>
      </w:r>
      <w:r w:rsidRPr="00BD62AF">
        <w:t>рьезного проступка во время отпуска по беременности и родам, как это пред</w:t>
      </w:r>
      <w:r w:rsidRPr="00BD62AF">
        <w:t>у</w:t>
      </w:r>
      <w:r w:rsidRPr="00BD62AF">
        <w:t>сматривается статьей 63 указа № </w:t>
      </w:r>
      <w:r w:rsidRPr="00BD62AF">
        <w:rPr>
          <w:szCs w:val="20"/>
        </w:rPr>
        <w:t>003/</w:t>
      </w:r>
      <w:r w:rsidRPr="00BD62AF">
        <w:rPr>
          <w:szCs w:val="20"/>
          <w:lang/>
        </w:rPr>
        <w:t>PRG</w:t>
      </w:r>
      <w:r w:rsidRPr="00BD62AF">
        <w:rPr>
          <w:szCs w:val="20"/>
        </w:rPr>
        <w:t>/</w:t>
      </w:r>
      <w:r w:rsidRPr="00BD62AF">
        <w:rPr>
          <w:szCs w:val="20"/>
          <w:lang/>
        </w:rPr>
        <w:t>SGG</w:t>
      </w:r>
      <w:r w:rsidRPr="00BD62AF">
        <w:rPr>
          <w:szCs w:val="20"/>
        </w:rPr>
        <w:t>/88 1988 года о Трудовом коде</w:t>
      </w:r>
      <w:r w:rsidRPr="00BD62AF">
        <w:rPr>
          <w:szCs w:val="20"/>
        </w:rPr>
        <w:t>к</w:t>
      </w:r>
      <w:r w:rsidRPr="00BD62AF">
        <w:rPr>
          <w:szCs w:val="20"/>
        </w:rPr>
        <w:t>се, правительство указало, что, хотя данное положение не соответствует Ко</w:t>
      </w:r>
      <w:r w:rsidRPr="00BD62AF">
        <w:rPr>
          <w:szCs w:val="20"/>
        </w:rPr>
        <w:t>н</w:t>
      </w:r>
      <w:r w:rsidRPr="00BD62AF">
        <w:rPr>
          <w:szCs w:val="20"/>
        </w:rPr>
        <w:t>венции, его вступление в силу не вызвало никаких жалоб со стороны социал</w:t>
      </w:r>
      <w:r w:rsidRPr="00BD62AF">
        <w:rPr>
          <w:szCs w:val="20"/>
        </w:rPr>
        <w:t>ь</w:t>
      </w:r>
      <w:r w:rsidRPr="00BD62AF">
        <w:rPr>
          <w:szCs w:val="20"/>
        </w:rPr>
        <w:t>ных партнеров. Комитет выразил надежду на то, что правительство представит подробную информацию о практических мерах, принятых для выполнения эт</w:t>
      </w:r>
      <w:r w:rsidRPr="00BD62AF">
        <w:rPr>
          <w:szCs w:val="20"/>
        </w:rPr>
        <w:t>о</w:t>
      </w:r>
      <w:r w:rsidRPr="00BD62AF">
        <w:rPr>
          <w:szCs w:val="20"/>
        </w:rPr>
        <w:t>го положения Конвенции.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100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82.</w:t>
      </w:r>
      <w:r w:rsidRPr="00BD62AF">
        <w:rPr>
          <w:i/>
        </w:rPr>
        <w:tab/>
      </w:r>
      <w:r w:rsidRPr="00BD62AF">
        <w:t>В своем прямом запросе, сделанном в 2012 году (повторенном в 2013 году), Комитет просил правительство сообщить, предусмотрен ли в пр</w:t>
      </w:r>
      <w:r w:rsidRPr="00BD62AF">
        <w:t>о</w:t>
      </w:r>
      <w:r w:rsidRPr="00BD62AF">
        <w:t>екте Трудового кодекса, который должен быть представлен на рассмотрение Национального собрания, принцип равного вознаграждения мужчин и женщин за труд равной ценности.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83.</w:t>
      </w:r>
      <w:r w:rsidRPr="00BD62AF">
        <w:tab/>
        <w:t>Комитет отметил также указ № </w:t>
      </w:r>
      <w:r w:rsidRPr="00BD62AF">
        <w:rPr>
          <w:szCs w:val="20"/>
        </w:rPr>
        <w:t>009/</w:t>
      </w:r>
      <w:r w:rsidRPr="00BD62AF">
        <w:rPr>
          <w:szCs w:val="20"/>
          <w:lang/>
        </w:rPr>
        <w:t>PRG</w:t>
      </w:r>
      <w:r w:rsidRPr="00BD62AF">
        <w:rPr>
          <w:szCs w:val="20"/>
        </w:rPr>
        <w:t>/</w:t>
      </w:r>
      <w:r w:rsidRPr="00BD62AF">
        <w:rPr>
          <w:szCs w:val="20"/>
          <w:lang/>
        </w:rPr>
        <w:t>SGG</w:t>
      </w:r>
      <w:r w:rsidRPr="00BD62AF">
        <w:rPr>
          <w:szCs w:val="20"/>
        </w:rPr>
        <w:t>/89, устанавливающий ра</w:t>
      </w:r>
      <w:r w:rsidRPr="00BD62AF">
        <w:rPr>
          <w:szCs w:val="20"/>
        </w:rPr>
        <w:t>з</w:t>
      </w:r>
      <w:r w:rsidRPr="00BD62AF">
        <w:rPr>
          <w:szCs w:val="20"/>
        </w:rPr>
        <w:t>меры денежного вознаграждения для руководящих и управленческих должн</w:t>
      </w:r>
      <w:r w:rsidRPr="00BD62AF">
        <w:rPr>
          <w:szCs w:val="20"/>
        </w:rPr>
        <w:t>о</w:t>
      </w:r>
      <w:r w:rsidRPr="00BD62AF">
        <w:rPr>
          <w:szCs w:val="20"/>
        </w:rPr>
        <w:t>стей в государственной гражданской администрации, который применяется ко всем должностным лицам соответствующих категорий без различия по призн</w:t>
      </w:r>
      <w:r w:rsidRPr="00BD62AF">
        <w:rPr>
          <w:szCs w:val="20"/>
        </w:rPr>
        <w:t>а</w:t>
      </w:r>
      <w:r w:rsidRPr="00BD62AF">
        <w:rPr>
          <w:szCs w:val="20"/>
        </w:rPr>
        <w:t>ку пола. Он напомнил, что, хотя оклады и денежные вознаграждения устана</w:t>
      </w:r>
      <w:r w:rsidRPr="00BD62AF">
        <w:rPr>
          <w:szCs w:val="20"/>
        </w:rPr>
        <w:t>в</w:t>
      </w:r>
      <w:r w:rsidRPr="00BD62AF">
        <w:rPr>
          <w:szCs w:val="20"/>
        </w:rPr>
        <w:t>ливаются, исходя из соответствующих должностей и предусмотренной законом шкалы заработной платы без различия по признаку пола, методы и критерии, используемые для классификации должностей и установления шкал зарабо</w:t>
      </w:r>
      <w:r w:rsidRPr="00BD62AF">
        <w:rPr>
          <w:szCs w:val="20"/>
        </w:rPr>
        <w:t>т</w:t>
      </w:r>
      <w:r w:rsidRPr="00BD62AF">
        <w:rPr>
          <w:szCs w:val="20"/>
        </w:rPr>
        <w:t>ной платы, могут приводить к дискриминации, когда виды работ, традиционно выполняемых женщинами, зачастую недооцениваются по сравнению с видами работ, которые традиционно выполняют мужчины.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84.</w:t>
      </w:r>
      <w:r w:rsidRPr="00BD62AF">
        <w:tab/>
        <w:t>Комитет просил правительство представить информацию о принятых или намеченных мерах для обеспечения того, чтобы критерии оценки и классиф</w:t>
      </w:r>
      <w:r w:rsidRPr="00BD62AF">
        <w:t>и</w:t>
      </w:r>
      <w:r w:rsidRPr="00BD62AF">
        <w:t>кации должностей и шкалы заработной платы, которые используются в гос</w:t>
      </w:r>
      <w:r w:rsidRPr="00BD62AF">
        <w:t>у</w:t>
      </w:r>
      <w:r w:rsidRPr="00BD62AF">
        <w:t>дарственном секторе, были объективными и лишенными какой-либо гендерной тенденциозности и, особенно, чтобы оценка работ, которые в основном выпо</w:t>
      </w:r>
      <w:r w:rsidRPr="00BD62AF">
        <w:t>л</w:t>
      </w:r>
      <w:r w:rsidRPr="00BD62AF">
        <w:t>няют женщины, не занижалась по сравнению с преимущественно «мужскими» видами работ, а производилась объективно на основе реальных трудовых з</w:t>
      </w:r>
      <w:r w:rsidRPr="00BD62AF">
        <w:t>а</w:t>
      </w:r>
      <w:r w:rsidRPr="00BD62AF">
        <w:t>трат, связанных с такими работами.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111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85.</w:t>
      </w:r>
      <w:r w:rsidRPr="00BD62AF">
        <w:rPr>
          <w:i/>
        </w:rPr>
        <w:tab/>
      </w:r>
      <w:r w:rsidRPr="00BD62AF">
        <w:t>В своем прямом запросе, сделанном в 2012 году (повторенном в 2013 году), Комитет отметил, что на рассмотрение Национального собрания должен быть представлен проект Трудового кодекса, и выразил надежду на то, что новый Трудовой кодекс будет содержать положения, запрещающие прямую и косвенную дискриминацию в отношении всех трудящихся, по крайней мере все виды дискриминации, запрещенные в статье 1 (1)(а) Конвенции, на всех этапах трудоустройства и трудовой деятельности.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86.</w:t>
      </w:r>
      <w:r w:rsidRPr="00BD62AF">
        <w:tab/>
        <w:t>Комитет отметил также, что в нынешнем Трудовом кодексе содержатся п</w:t>
      </w:r>
      <w:r w:rsidRPr="00BD62AF">
        <w:t>о</w:t>
      </w:r>
      <w:r w:rsidRPr="00BD62AF">
        <w:t>ложения, которые ограничивают доступ женщин к определенным видам работы (статьи 148 и 186). Комитет выразил надежду на то, что положения нового Тр</w:t>
      </w:r>
      <w:r w:rsidRPr="00BD62AF">
        <w:t>у</w:t>
      </w:r>
      <w:r w:rsidRPr="00BD62AF">
        <w:t>дового кодекса, касающиеся труда женщин, будут соответствовать принципу гендерного равенства и что оградительные меры в отношении женщин будут ограничиваться мерами по охране материнства.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87.</w:t>
      </w:r>
      <w:r w:rsidRPr="00BD62AF">
        <w:tab/>
        <w:t>Комитет отметил, что в 2012 году женщины составляли 27,88 процента общего количества государственных служащих и что только 16,29 процента высших руководящих должностей (категории А) были заняты женщинами. С</w:t>
      </w:r>
      <w:r w:rsidRPr="00BD62AF">
        <w:t>о</w:t>
      </w:r>
      <w:r w:rsidRPr="00BD62AF">
        <w:t>гласно исследованию, опубликованному в июле 2012 года Национальным и</w:t>
      </w:r>
      <w:r w:rsidRPr="00BD62AF">
        <w:t>н</w:t>
      </w:r>
      <w:r w:rsidRPr="00BD62AF">
        <w:t>ститутом статистики и озаглавленному «Бедность и неравенство в Гвинее в п</w:t>
      </w:r>
      <w:r w:rsidRPr="00BD62AF">
        <w:t>е</w:t>
      </w:r>
      <w:r w:rsidRPr="00BD62AF">
        <w:t>риод с 1994 года по 2012 год», в результате дискриминации, которой подверг</w:t>
      </w:r>
      <w:r w:rsidRPr="00BD62AF">
        <w:t>а</w:t>
      </w:r>
      <w:r w:rsidRPr="00BD62AF">
        <w:t>ются женщины на рынке труда, хозяйства, возглавляемые женщинами, стали более уязвимыми в плане нищеты.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88.</w:t>
      </w:r>
      <w:r w:rsidRPr="00BD62AF">
        <w:tab/>
        <w:t>Правительство указало, что страна приняла рамочный документ о наци</w:t>
      </w:r>
      <w:r w:rsidRPr="00BD62AF">
        <w:t>о</w:t>
      </w:r>
      <w:r w:rsidRPr="00BD62AF">
        <w:t>нальной политике в области поощрения занятости в целях содействия разв</w:t>
      </w:r>
      <w:r w:rsidRPr="00BD62AF">
        <w:t>и</w:t>
      </w:r>
      <w:r w:rsidRPr="00BD62AF">
        <w:t>тию и уменьшению масштабов нищеты в сочетании с планом действий, кот</w:t>
      </w:r>
      <w:r w:rsidRPr="00BD62AF">
        <w:t>о</w:t>
      </w:r>
      <w:r w:rsidRPr="00BD62AF">
        <w:t>рый направлен, в частности, на расширение доступа женщин на рынок труда, что в рамках министерства социальных дел учрежден отдел по гендерным в</w:t>
      </w:r>
      <w:r w:rsidRPr="00BD62AF">
        <w:t>о</w:t>
      </w:r>
      <w:r w:rsidRPr="00BD62AF">
        <w:t>просам и вопросам равенства и что во всех департаментах министерства с</w:t>
      </w:r>
      <w:r w:rsidRPr="00BD62AF">
        <w:t>о</w:t>
      </w:r>
      <w:r w:rsidRPr="00BD62AF">
        <w:t>зданы группы по гендерным вопросам и вопросам равенства. Кроме того, в н</w:t>
      </w:r>
      <w:r w:rsidRPr="00BD62AF">
        <w:t>е</w:t>
      </w:r>
      <w:r w:rsidRPr="00BD62AF">
        <w:t>давно принятой стратегии уменьшения масштабов нищеты на 2011–2012 годы определяются направления приоритетных действий в целях поощрения раве</w:t>
      </w:r>
      <w:r w:rsidRPr="00BD62AF">
        <w:t>н</w:t>
      </w:r>
      <w:r w:rsidRPr="00BD62AF">
        <w:t>ства мужчин и женщин и содействуя учету гендерных аспектов в сфере труда и предусматривается, в частности, укрепление существующей законодательной и организационной базы для содействия обеспечению гендерного равенства и укрепления финансовой независимости женщин (микрокредитование). Комитет отметил также, что в 2011 году сформулирована национальная политика по обеспечению гендерного равенства.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89.</w:t>
      </w:r>
      <w:r w:rsidRPr="00BD62AF">
        <w:tab/>
        <w:t>Отметив усилия правительства, направленные на принятие стратегии п</w:t>
      </w:r>
      <w:r w:rsidRPr="00BD62AF">
        <w:t>о</w:t>
      </w:r>
      <w:r w:rsidRPr="00BD62AF">
        <w:t>ощрения равенства возможностей и равного отношения к мужчинам и женщ</w:t>
      </w:r>
      <w:r w:rsidRPr="00BD62AF">
        <w:t>и</w:t>
      </w:r>
      <w:r w:rsidRPr="00BD62AF">
        <w:t>нам в сфере труда и занятий, Комитет просил правительство представить и</w:t>
      </w:r>
      <w:r w:rsidRPr="00BD62AF">
        <w:t>н</w:t>
      </w:r>
      <w:r w:rsidRPr="00BD62AF">
        <w:t>формацию о конкретных мерах, принятых в этой связи, и о достигнутых р</w:t>
      </w:r>
      <w:r w:rsidRPr="00BD62AF">
        <w:t>е</w:t>
      </w:r>
      <w:r w:rsidRPr="00BD62AF">
        <w:t>зультатах.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90.</w:t>
      </w:r>
      <w:r w:rsidRPr="00BD62AF">
        <w:tab/>
        <w:t>Комитет отметил также, что, по данным вышеупомянутого исследования, опубликованного Национальным институтом статистики, если в возрастной группе от 7 до 12 лет девочки составляют 57,1 процента, а мальчики 61,8 процента, то в возрастной группе от 13 до 19 лет соответствующие показ</w:t>
      </w:r>
      <w:r w:rsidRPr="00BD62AF">
        <w:t>а</w:t>
      </w:r>
      <w:r w:rsidRPr="00BD62AF">
        <w:t>тели по девочкам сокращаются до 31 процента, а по мальчикам до 44,7 процента. Согласно этому исследованию, доля учащихся молодых девушек ниже, поскольку они чаще преждевременно покидают школу. Кроме того, К</w:t>
      </w:r>
      <w:r w:rsidRPr="00BD62AF">
        <w:t>о</w:t>
      </w:r>
      <w:r w:rsidRPr="00BD62AF">
        <w:t>митет отметил, что уровень неграмотности среди взрослых (65,22 процента) отражает серьезный разрыв между женщинами и мужчинами (уровень негр</w:t>
      </w:r>
      <w:r w:rsidRPr="00BD62AF">
        <w:t>а</w:t>
      </w:r>
      <w:r w:rsidRPr="00BD62AF">
        <w:t>мотности среди женщин 74 процента, а среди мужчин 55,14 процента). Он о</w:t>
      </w:r>
      <w:r w:rsidRPr="00BD62AF">
        <w:t>т</w:t>
      </w:r>
      <w:r w:rsidRPr="00BD62AF">
        <w:t>метил, что стратегия сокращения масштабов нищеты предусматривает разр</w:t>
      </w:r>
      <w:r w:rsidRPr="00BD62AF">
        <w:t>а</w:t>
      </w:r>
      <w:r w:rsidRPr="00BD62AF">
        <w:t>ботку учебных программ и программ повышения грамотности и что в пятиле</w:t>
      </w:r>
      <w:r w:rsidRPr="00BD62AF">
        <w:t>т</w:t>
      </w:r>
      <w:r w:rsidRPr="00BD62AF">
        <w:t>нем плане социально-экономического развития на 2011–2015 годы, принятом в декабре 2011 года министерством планирования, содержится всеобъемлющая государственная стратегия повышения грамотности, особенно среди женщин и девочек, на основе выработки соответствующих программ и установления ко</w:t>
      </w:r>
      <w:r w:rsidRPr="00BD62AF">
        <w:t>н</w:t>
      </w:r>
      <w:r w:rsidRPr="00BD62AF">
        <w:t>кретных целевых заданий.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91.</w:t>
      </w:r>
      <w:r w:rsidRPr="00BD62AF">
        <w:tab/>
        <w:t>Комитет просил правительство представить информацию об осуществл</w:t>
      </w:r>
      <w:r w:rsidRPr="00BD62AF">
        <w:t>е</w:t>
      </w:r>
      <w:r w:rsidRPr="00BD62AF">
        <w:t>нии мер, намеченных стратегией сокращения масштабов нищеты, пятилетним планом социально-экономического развития на 2011–2015 годы и национал</w:t>
      </w:r>
      <w:r w:rsidRPr="00BD62AF">
        <w:t>ь</w:t>
      </w:r>
      <w:r w:rsidRPr="00BD62AF">
        <w:t>ной политикой обеспечения гендерного равенства и направленных на расшир</w:t>
      </w:r>
      <w:r w:rsidRPr="00BD62AF">
        <w:t>е</w:t>
      </w:r>
      <w:r w:rsidRPr="00BD62AF">
        <w:t>ние доступа девочек и женщин к образованию и профессиональной подготовке, особенно по традиционным «мужским» специальностям, а также мер по соде</w:t>
      </w:r>
      <w:r w:rsidRPr="00BD62AF">
        <w:t>й</w:t>
      </w:r>
      <w:r w:rsidRPr="00BD62AF">
        <w:t>ствию посещению ими школ или профессиональных училищ.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122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92.</w:t>
      </w:r>
      <w:r w:rsidRPr="00BD62AF">
        <w:rPr>
          <w:i/>
        </w:rPr>
        <w:tab/>
      </w:r>
      <w:r w:rsidRPr="00BD62AF">
        <w:t>В своем прямом запросе, сделанном в 2012 году (повторенном в качестве прямого запроса в 2013 году), Комитет отметил информацию, представленную правительством в отношении различных мер, призванных способствовать зан</w:t>
      </w:r>
      <w:r w:rsidRPr="00BD62AF">
        <w:t>я</w:t>
      </w:r>
      <w:r w:rsidRPr="00BD62AF">
        <w:t>тости молодежи и женщин, включая разработку Национальной программы поддержки занятости молодежи (2007 год), создание Национального фонда и</w:t>
      </w:r>
      <w:r w:rsidRPr="00BD62AF">
        <w:t>н</w:t>
      </w:r>
      <w:r w:rsidRPr="00BD62AF">
        <w:t>теграции молодых людей, учреждение двух вспомогательных фондов (30 млрд. гвинейских франков для помощи молодым людям и 100 млрд. гвинейских франков для помощи женщинам), в целях поощрения занятости и сокращения масштабов нищеты, а также осуществления в партнерстве с Всемирной прод</w:t>
      </w:r>
      <w:r w:rsidRPr="00BD62AF">
        <w:t>о</w:t>
      </w:r>
      <w:r w:rsidRPr="00BD62AF">
        <w:t>вольственной программой программы «Питание для учеников» в поддержку находящихся в неблагоприятном положении молодых людей (2010 год).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93.</w:t>
      </w:r>
      <w:r w:rsidRPr="00BD62AF">
        <w:tab/>
        <w:t>Комитет отметил также, что, согласно стратегии сокращения масштабов нищеты на 2011–2012 годы, в период с 2002 по 2007 год уровень безработицы в Конакри возрос с 10,2 процента до 15 процентов, а в других городах снизился с 6,7 процента до 3,2 процента. В целом в 2007 году безработицей было затрон</w:t>
      </w:r>
      <w:r w:rsidRPr="00BD62AF">
        <w:t>у</w:t>
      </w:r>
      <w:r w:rsidRPr="00BD62AF">
        <w:t>то 9,1 процента трудоспособного населения по сравнению с 11,8 процента в 2002 году. Женщины сильнее затронуты безработицей, чем мужчины (7,5 процента по мужчинам и 10,5 процента по женщинам). Доля безработных среди трудоспособного населения в сельских районах выше (11,1 процента), чем в городах (5,4 процента).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94.</w:t>
      </w:r>
      <w:r w:rsidRPr="00BD62AF">
        <w:tab/>
        <w:t>Комитет просил правительство представить информацию о том, как сказ</w:t>
      </w:r>
      <w:r w:rsidRPr="00BD62AF">
        <w:t>а</w:t>
      </w:r>
      <w:r w:rsidRPr="00BD62AF">
        <w:t>лись меры по расширению занятости и активизации профессиональной и те</w:t>
      </w:r>
      <w:r w:rsidRPr="00BD62AF">
        <w:t>х</w:t>
      </w:r>
      <w:r w:rsidRPr="00BD62AF">
        <w:t>нической подготовки, прежде всего, на молодых людях и женщинах, а также о ходе осуществления плана действий по реализации национальной политики в области поощрения занятости.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182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95.</w:t>
      </w:r>
      <w:r w:rsidRPr="00BD62AF">
        <w:rPr>
          <w:i/>
        </w:rPr>
        <w:tab/>
      </w:r>
      <w:r w:rsidRPr="00BD62AF">
        <w:t>В своем замечании, сделанном в 2012 году, Комитет с интересом отметил принятие Детского кодекса Гвинеи (закон № </w:t>
      </w:r>
      <w:r w:rsidRPr="00BD62AF">
        <w:rPr>
          <w:szCs w:val="20"/>
          <w:lang/>
        </w:rPr>
        <w:t>L</w:t>
      </w:r>
      <w:r w:rsidRPr="00BD62AF">
        <w:rPr>
          <w:szCs w:val="20"/>
        </w:rPr>
        <w:t>/2008/011/</w:t>
      </w:r>
      <w:r w:rsidRPr="00BD62AF">
        <w:rPr>
          <w:szCs w:val="20"/>
          <w:lang/>
        </w:rPr>
        <w:t>AN</w:t>
      </w:r>
      <w:r w:rsidRPr="00BD62AF">
        <w:rPr>
          <w:szCs w:val="20"/>
        </w:rPr>
        <w:t xml:space="preserve"> от 19 августа 2008 года). Комитет с удовлетворением отметил, что статьи 385-396 Детского кодекса действительно запрещают торговлю людьми, в том числе детьми для целей сексуальной эксплуатации или эксплуатации их труда. Правительство сообщило также, что разрабатывается законопроект о запрещении детского труда и торговли детьми. Комитет просил правительство представить инфо</w:t>
      </w:r>
      <w:r w:rsidRPr="00BD62AF">
        <w:rPr>
          <w:szCs w:val="20"/>
        </w:rPr>
        <w:t>р</w:t>
      </w:r>
      <w:r w:rsidRPr="00BD62AF">
        <w:rPr>
          <w:szCs w:val="20"/>
        </w:rPr>
        <w:t>мацию о ходе подготовки этого законопроекта.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96.</w:t>
      </w:r>
      <w:r w:rsidRPr="00BD62AF">
        <w:tab/>
        <w:t xml:space="preserve">Комитет с удовлетворением отметил, что </w:t>
      </w:r>
      <w:r w:rsidRPr="00BD62AF">
        <w:rPr>
          <w:szCs w:val="20"/>
        </w:rPr>
        <w:t>статьи</w:t>
      </w:r>
      <w:r w:rsidRPr="00BD62AF">
        <w:t xml:space="preserve"> 359 и 360 Детского коде</w:t>
      </w:r>
      <w:r w:rsidRPr="00BD62AF">
        <w:t>к</w:t>
      </w:r>
      <w:r w:rsidRPr="00BD62AF">
        <w:t>са запрещают производство, предложение, распространение, приобретение, владение и воспроизводство любых порнографических материалов, связанных с совершением детьми реальных или имитированных откровенно сексуальных действий, или изображение половых органов ребенка, предусматривая за это наказание в виде тюремного заключения на срок от одного до пяти лет и штраф от 300 000 до 1 млн. гвинейских франков.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97.</w:t>
      </w:r>
      <w:r w:rsidRPr="00BD62AF">
        <w:tab/>
        <w:t>В то же время Комитет отметил также, что, согласно опубликованному в ноябре 2011 года докладу о национальном обследовании по вопросам детского труда и торговли детьми в Гвинее, которое проводилось в сотрудничестве с Программой статистической информации и контроля МОТ в области детского труда и Национальным статистическим институтом Гвинеи, 1 427 778 детей (или 41,1 процента детей в возрасте от 5 до 17 лет) выполняют виды работ, подлежащие упразднению, в том числе 84,1 процента детей работают на вре</w:t>
      </w:r>
      <w:r w:rsidRPr="00BD62AF">
        <w:t>д</w:t>
      </w:r>
      <w:r w:rsidRPr="00BD62AF">
        <w:t>ном производстве. В этой связи Комитет просил правительство незамедлител</w:t>
      </w:r>
      <w:r w:rsidRPr="00BD62AF">
        <w:t>ь</w:t>
      </w:r>
      <w:r w:rsidRPr="00BD62AF">
        <w:t>но принять меры для укрепления в срочном порядке потенциала органов тр</w:t>
      </w:r>
      <w:r w:rsidRPr="00BD62AF">
        <w:t>у</w:t>
      </w:r>
      <w:r w:rsidRPr="00BD62AF">
        <w:t>довой инспекции с целью обеспечить соответствующий контроль и обнаруж</w:t>
      </w:r>
      <w:r w:rsidRPr="00BD62AF">
        <w:t>е</w:t>
      </w:r>
      <w:r w:rsidRPr="00BD62AF">
        <w:t>ние детей в возрасте до 18 лет, которые занимаются наихудшими формами де</w:t>
      </w:r>
      <w:r w:rsidRPr="00BD62AF">
        <w:t>т</w:t>
      </w:r>
      <w:r w:rsidRPr="00BD62AF">
        <w:t>ского труда и, особенно, работают на вредном производстве.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Другие конвенции, о которых правительству было предложено представить доклады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98.</w:t>
      </w:r>
      <w:r w:rsidRPr="00BD62AF">
        <w:tab/>
        <w:t>Правительству было предложено представить свои доклады об осущест</w:t>
      </w:r>
      <w:r w:rsidRPr="00BD62AF">
        <w:t>в</w:t>
      </w:r>
      <w:r w:rsidRPr="00BD62AF">
        <w:t>лении конвенций № 87 и № 98, которые должны быть рассмотрены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keepNext/>
        <w:pageBreakBefore/>
        <w:suppressLineNumber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4" w:right="1259" w:hanging="1264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Польша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99.</w:t>
      </w:r>
      <w:r w:rsidRPr="00BD62AF">
        <w:tab/>
        <w:t>Из соответствующих конвенций МОТ Польша ратифицировала конвенции № 100 и № 111. Она также ратифицировала конвенции №№ 29, 87, 98, 103, 105, 122, 138, 142 и 182.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b/>
        </w:rPr>
      </w:pPr>
      <w:r w:rsidRPr="00BD62AF">
        <w:rPr>
          <w:b/>
        </w:rPr>
        <w:t>Комментарии надзорных органов Международной организации труда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100.</w:t>
      </w:r>
      <w:r w:rsidRPr="00BD62AF">
        <w:tab/>
        <w:t>Представленные на рассмотрение комментарии Комитета экспертов, о</w:t>
      </w:r>
      <w:r w:rsidRPr="00BD62AF">
        <w:t>т</w:t>
      </w:r>
      <w:r w:rsidRPr="00BD62AF">
        <w:t>носящимся к положениям Конвенции о ликвидации всех форм дискриминации в отношении женщин, касаются нижеследующих пунктов.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100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101.</w:t>
      </w:r>
      <w:r w:rsidRPr="00BD62AF">
        <w:rPr>
          <w:i/>
        </w:rPr>
        <w:tab/>
      </w:r>
      <w:r w:rsidRPr="00BD62AF">
        <w:t>В своем прямом запросе, сделанном в 2010 году, Комитет отметил, что, судя по докладу правительства, разница в оплате труда мужчин и женщин во</w:t>
      </w:r>
      <w:r w:rsidRPr="00BD62AF">
        <w:t>з</w:t>
      </w:r>
      <w:r w:rsidRPr="00BD62AF">
        <w:t>росла с 7,5 процента в 2007 году до 9,8 процента в 2008 году (рассчитанная на основе средней валовой почасовой оплаты труда).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102.</w:t>
      </w:r>
      <w:r w:rsidRPr="00BD62AF">
        <w:tab/>
        <w:t>Комитет с удовлетворением отметил анализ причин разницы в размере вознаграждения мужчин и женщин, содержащийся в докладе, озаглавленном «Занятость в Польше в 2007 году». Из доклада видно, что разница в размере вознаграждения, помимо гендерной дискриминации, обусловлена различиями, касающимися таких особенностей работающего, как его или ее уровень обр</w:t>
      </w:r>
      <w:r w:rsidRPr="00BD62AF">
        <w:t>а</w:t>
      </w:r>
      <w:r w:rsidRPr="00BD62AF">
        <w:t>зования или опыт работы, и характеристиками рабочего места (отрасль, пр</w:t>
      </w:r>
      <w:r w:rsidRPr="00BD62AF">
        <w:t>о</w:t>
      </w:r>
      <w:r w:rsidRPr="00BD62AF">
        <w:t>фессия, размер предприятия). Что касается более значительного разрыва в ра</w:t>
      </w:r>
      <w:r w:rsidRPr="00BD62AF">
        <w:t>з</w:t>
      </w:r>
      <w:r w:rsidRPr="00BD62AF">
        <w:t>мере оплаты труда мужчин и женщин, занимающих руководящие должности, то в докладе подчеркивается, что это объясняется главным образом малой представленностью женщин на высокооплачиваемых должностях.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103.</w:t>
      </w:r>
      <w:r w:rsidRPr="00BD62AF">
        <w:tab/>
        <w:t>Комитет просил правительство представить информацию о любых мерах, принятых для уменьшения и устранения возрастающей разницы в размере во</w:t>
      </w:r>
      <w:r w:rsidRPr="00BD62AF">
        <w:t>з</w:t>
      </w:r>
      <w:r w:rsidRPr="00BD62AF">
        <w:t>награждения мужчин и женщин в частном и государственном секторах, вкл</w:t>
      </w:r>
      <w:r w:rsidRPr="00BD62AF">
        <w:t>ю</w:t>
      </w:r>
      <w:r w:rsidRPr="00BD62AF">
        <w:t>чая меры по устранению профессиональной сегрегации между мужчинами и женщинами и расширению возможностей женщин в плане развития карьеры и доступа к более широкому выбору работы и возможностей в области образов</w:t>
      </w:r>
      <w:r w:rsidRPr="00BD62AF">
        <w:t>а</w:t>
      </w:r>
      <w:r w:rsidRPr="00BD62AF">
        <w:t>ния и профессиональной подготовки.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104.</w:t>
      </w:r>
      <w:r w:rsidRPr="00BD62AF">
        <w:tab/>
        <w:t>Отметив ограничения, имеющиеся в Трудовом кодексе, и пояснения пр</w:t>
      </w:r>
      <w:r w:rsidRPr="00BD62AF">
        <w:t>а</w:t>
      </w:r>
      <w:r w:rsidRPr="00BD62AF">
        <w:t>вительства, Комитет напомнил, что Конвенция не ограничивает применения принципа равного вознаграждения мужчин и женщин за труд равной ценности одним и тем же предприятием, и просил правительство сообщить, как обесп</w:t>
      </w:r>
      <w:r w:rsidRPr="00BD62AF">
        <w:t>е</w:t>
      </w:r>
      <w:r w:rsidRPr="00BD62AF">
        <w:t>чивается защита мужчин и женщин от дискриминации в плане вознаграждения, если на предприятии отсутствует реальный или гипотетический компаратор оплаты.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105.</w:t>
      </w:r>
      <w:r w:rsidRPr="00BD62AF">
        <w:tab/>
        <w:t>Правительству было предложено представить свой доклад об осущест</w:t>
      </w:r>
      <w:r w:rsidRPr="00BD62AF">
        <w:t>в</w:t>
      </w:r>
      <w:r w:rsidRPr="00BD62AF">
        <w:t>лении Конвенции № 100,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111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106.</w:t>
      </w:r>
      <w:r w:rsidRPr="00BD62AF">
        <w:rPr>
          <w:i/>
        </w:rPr>
        <w:tab/>
      </w:r>
      <w:r w:rsidRPr="00BD62AF">
        <w:t>В своем прямом запросе, сделанном в 2010 году, Комитет отметил инфо</w:t>
      </w:r>
      <w:r w:rsidRPr="00BD62AF">
        <w:t>р</w:t>
      </w:r>
      <w:r w:rsidRPr="00BD62AF">
        <w:t>мацию правительства о том, что в ноябре 2008 года были внесены изменения в антидискриминационные положения Трудового кодекса. В него добавлено определение косвенной дискриминации; более конкретно описаны ситуации, считающиеся дискриминационными, и уточнено определение сексуальных д</w:t>
      </w:r>
      <w:r w:rsidRPr="00BD62AF">
        <w:t>о</w:t>
      </w:r>
      <w:r w:rsidRPr="00BD62AF">
        <w:t>могательств; конкретно запрещены репрессалии в отношении работника, ста</w:t>
      </w:r>
      <w:r w:rsidRPr="00BD62AF">
        <w:t>в</w:t>
      </w:r>
      <w:r w:rsidRPr="00BD62AF">
        <w:t>шего жертвой запугивания или сексуальных домогательств; а также конкрет</w:t>
      </w:r>
      <w:r w:rsidRPr="00BD62AF">
        <w:t>и</w:t>
      </w:r>
      <w:r w:rsidRPr="00BD62AF">
        <w:t>зирована сфера действия защиты работника, осуществляющего свои права в случае нарушения принципа равного отношения при найме на работу. После 2008 года в Трудовой кодекс вносились и другие поправки для обеспечения равных возможностей мужчин и женщин в области труда, включая предоста</w:t>
      </w:r>
      <w:r w:rsidRPr="00BD62AF">
        <w:t>в</w:t>
      </w:r>
      <w:r w:rsidRPr="00BD62AF">
        <w:t>ление дополнительных прав в связи с материнством и уходом за детьми.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107.</w:t>
      </w:r>
      <w:r w:rsidRPr="00BD62AF">
        <w:tab/>
        <w:t>Комитет отметил, что в положения Трудового кодекса, касающиеся секс</w:t>
      </w:r>
      <w:r w:rsidRPr="00BD62AF">
        <w:t>у</w:t>
      </w:r>
      <w:r w:rsidRPr="00BD62AF">
        <w:t>альных домогательств, внесены поправки, призванные уточнить действия, к</w:t>
      </w:r>
      <w:r w:rsidRPr="00BD62AF">
        <w:t>о</w:t>
      </w:r>
      <w:r w:rsidRPr="00BD62AF">
        <w:t>торые могут привести к созданию неблагоприятных условий для работника. Он отметил также, что с 2009 года в органы трудовой инспекции поступило более 30 жалоб о сексуальных домогательствах и что несколько случаев сексуальных домогательств рассматривались отделами окружных и районных судов по тр</w:t>
      </w:r>
      <w:r w:rsidRPr="00BD62AF">
        <w:t>у</w:t>
      </w:r>
      <w:r w:rsidRPr="00BD62AF">
        <w:t>довым вопросам. Комитет просил правительство представить подробную и</w:t>
      </w:r>
      <w:r w:rsidRPr="00BD62AF">
        <w:t>н</w:t>
      </w:r>
      <w:r w:rsidRPr="00BD62AF">
        <w:t>формацию о содержании измененных положений Трудового кодекса, каса</w:t>
      </w:r>
      <w:r w:rsidRPr="00BD62AF">
        <w:t>ю</w:t>
      </w:r>
      <w:r w:rsidRPr="00BD62AF">
        <w:t>щихся дискриминации и сексуальных домогательств, а также об их примен</w:t>
      </w:r>
      <w:r w:rsidRPr="00BD62AF">
        <w:t>е</w:t>
      </w:r>
      <w:r w:rsidRPr="00BD62AF">
        <w:t>нии на практике. Комитет также просил правительство представить информ</w:t>
      </w:r>
      <w:r w:rsidRPr="00BD62AF">
        <w:t>а</w:t>
      </w:r>
      <w:r w:rsidRPr="00BD62AF">
        <w:t>цию об эффективных мерах, принятых для повышения осведомленности р</w:t>
      </w:r>
      <w:r w:rsidRPr="00BD62AF">
        <w:t>а</w:t>
      </w:r>
      <w:r w:rsidRPr="00BD62AF">
        <w:t>ботников о проблеме сексуальных домогательств на работе.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108.</w:t>
      </w:r>
      <w:r w:rsidRPr="00BD62AF">
        <w:tab/>
        <w:t>На основе статистических данных, представленных правительством, К</w:t>
      </w:r>
      <w:r w:rsidRPr="00BD62AF">
        <w:t>о</w:t>
      </w:r>
      <w:r w:rsidRPr="00BD62AF">
        <w:t>митет отметил, что доля экономически активных женщин по-прежнему соста</w:t>
      </w:r>
      <w:r w:rsidRPr="00BD62AF">
        <w:t>в</w:t>
      </w:r>
      <w:r w:rsidRPr="00BD62AF">
        <w:t>ляла менее 50 процентов (46,6 процента в 2008 году и 47,3 процента в 2009 году). По данным Евростата, уровень занятости женщин в 2009 году с</w:t>
      </w:r>
      <w:r w:rsidRPr="00BD62AF">
        <w:t>о</w:t>
      </w:r>
      <w:r w:rsidRPr="00BD62AF">
        <w:t>ставил 52,9 процента. В октябре 2008 года представленность мужчин на 30 процентов превышала представленность женщин на руководящих должн</w:t>
      </w:r>
      <w:r w:rsidRPr="00BD62AF">
        <w:t>о</w:t>
      </w:r>
      <w:r w:rsidRPr="00BD62AF">
        <w:t>стях (то есть, на должностях официальных представителей правительства, старших должностных лиц и управляющих).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109.</w:t>
      </w:r>
      <w:r w:rsidRPr="00BD62AF">
        <w:tab/>
        <w:t>Комитет с удовлетворением отметил осуществляемые правительством с 2005 года многочисленные инициативы и проекты, направленные на соде</w:t>
      </w:r>
      <w:r w:rsidRPr="00BD62AF">
        <w:t>й</w:t>
      </w:r>
      <w:r w:rsidRPr="00BD62AF">
        <w:t>ствие занятости женщин, с уделением особого внимания борьбе со стереот</w:t>
      </w:r>
      <w:r w:rsidRPr="00BD62AF">
        <w:t>и</w:t>
      </w:r>
      <w:r w:rsidRPr="00BD62AF">
        <w:t>пами в отношении роли женщин в обществе и трудовой деятельности, в форме проведения кампаний в средствах массовой информации и организации пра</w:t>
      </w:r>
      <w:r w:rsidRPr="00BD62AF">
        <w:t>к</w:t>
      </w:r>
      <w:r w:rsidRPr="00BD62AF">
        <w:t>тикумов, семинаров и конференций. Он также отметил, что некоторые начатые проекты направлены, в частности, на совмещение работы с выполнением с</w:t>
      </w:r>
      <w:r w:rsidRPr="00BD62AF">
        <w:t>е</w:t>
      </w:r>
      <w:r w:rsidRPr="00BD62AF">
        <w:t>мейных обязанностей, и что в этой связи приняты законодательные меры.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110.</w:t>
      </w:r>
      <w:r w:rsidRPr="00BD62AF">
        <w:tab/>
        <w:t>Комитет призвал правительство продолжать прилагать усилия по борьбе со стереотипами в отношении ролей женщин и мужчин в обществе и в труд</w:t>
      </w:r>
      <w:r w:rsidRPr="00BD62AF">
        <w:t>о</w:t>
      </w:r>
      <w:r w:rsidRPr="00BD62AF">
        <w:t>вой деятельности и просил его представить информацию о мерах по соде</w:t>
      </w:r>
      <w:r w:rsidRPr="00BD62AF">
        <w:t>й</w:t>
      </w:r>
      <w:r w:rsidRPr="00BD62AF">
        <w:t>ствию расширению занятости женщин с привлечением институтов рынка тр</w:t>
      </w:r>
      <w:r w:rsidRPr="00BD62AF">
        <w:t>у</w:t>
      </w:r>
      <w:r w:rsidRPr="00BD62AF">
        <w:t>да. Комитет также просил правительство представить информацию об оценке влияния осуществляемых проектов и программ на положение и возможности женщин в области занятости, особенно на занятие ими руководящих должн</w:t>
      </w:r>
      <w:r w:rsidRPr="00BD62AF">
        <w:t>о</w:t>
      </w:r>
      <w:r w:rsidRPr="00BD62AF">
        <w:t>стей.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111.</w:t>
      </w:r>
      <w:r w:rsidRPr="00BD62AF">
        <w:tab/>
        <w:t>Правительству было предложено представить свой доклад об осущест</w:t>
      </w:r>
      <w:r w:rsidRPr="00BD62AF">
        <w:t>в</w:t>
      </w:r>
      <w:r w:rsidRPr="00BD62AF">
        <w:t>лении Конвенции № 111,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122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u w:val="single"/>
        </w:rPr>
      </w:pPr>
      <w:r w:rsidRPr="00BD62AF">
        <w:t>112.</w:t>
      </w:r>
      <w:r w:rsidRPr="00BD62AF">
        <w:rPr>
          <w:i/>
        </w:rPr>
        <w:tab/>
      </w:r>
      <w:r w:rsidRPr="00BD62AF">
        <w:t>В своем замечании, сделанном в 2012 году, Комитет отметил коммент</w:t>
      </w:r>
      <w:r w:rsidRPr="00BD62AF">
        <w:t>а</w:t>
      </w:r>
      <w:r w:rsidRPr="00BD62AF">
        <w:t>рии, представленные независимым самоуправляющимся профсоюзом «Сол</w:t>
      </w:r>
      <w:r w:rsidRPr="00BD62AF">
        <w:t>и</w:t>
      </w:r>
      <w:r w:rsidRPr="00BD62AF">
        <w:t>дарность», который предложил выделить дополнительные ассигнования для содействия трудоустройству представителей таких уязвимых групп, как безр</w:t>
      </w:r>
      <w:r w:rsidRPr="00BD62AF">
        <w:t>а</w:t>
      </w:r>
      <w:r w:rsidRPr="00BD62AF">
        <w:t>ботные женщины, молодые люди, инвалиды, пожилые работники, работники, занятые в неформальном секторе экономики, мигранты и фермеры.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299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113.</w:t>
      </w:r>
      <w:r w:rsidRPr="00BD62AF">
        <w:tab/>
        <w:t>Комитет просил правительство представить информацию о результатах, достигнутых в ходе осуществления активных мер на рынке труда по соде</w:t>
      </w:r>
      <w:r w:rsidRPr="00BD62AF">
        <w:t>й</w:t>
      </w:r>
      <w:r w:rsidRPr="00BD62AF">
        <w:t>ствию полной занятости, а также о том, каким образом эти меры могут прив</w:t>
      </w:r>
      <w:r w:rsidRPr="00BD62AF">
        <w:t>е</w:t>
      </w:r>
      <w:r w:rsidRPr="00BD62AF">
        <w:t>сти к возникновению возможностей продуктивной и надежной занятости для безработных и других категорий уязвимых трудящихся.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114.</w:t>
      </w:r>
      <w:r w:rsidRPr="00BD62AF">
        <w:tab/>
        <w:t>Комитет отметил также информацию правительства о том, что в Наци</w:t>
      </w:r>
      <w:r w:rsidRPr="00BD62AF">
        <w:t>о</w:t>
      </w:r>
      <w:r w:rsidRPr="00BD62AF">
        <w:t>нальном плане действий в области занятости на 2009–2011 годы подчеркивае</w:t>
      </w:r>
      <w:r w:rsidRPr="00BD62AF">
        <w:t>т</w:t>
      </w:r>
      <w:r w:rsidRPr="00BD62AF">
        <w:t>ся важность обеспечения равного доступа женщин и мужчин на рынок труда. В течение периода, охваченного этим планом, был реализован ряд финансиру</w:t>
      </w:r>
      <w:r w:rsidRPr="00BD62AF">
        <w:t>е</w:t>
      </w:r>
      <w:r w:rsidRPr="00BD62AF">
        <w:t>мых совместно с Европейским социальным фондом инициатив, которые направлены на укрепление положения женщин на рынке труда посредством борьбы с существующими стереотипами, повышения уровня осведомленности трудящихся и институтов рынков труда, а также предоставления возможности устройства детей в официальные центры ухода за детьми. Правительство с</w:t>
      </w:r>
      <w:r w:rsidRPr="00BD62AF">
        <w:t>о</w:t>
      </w:r>
      <w:r w:rsidRPr="00BD62AF">
        <w:t>общило, что уровень безработицы среди женщин в 2011 году составил 10,9 процента, а среди мужчин 8,8 процента. В четвертом квартале 2011 года более 64 процентов безработных женщин имели среднее, незаконченное вы</w:t>
      </w:r>
      <w:r w:rsidRPr="00BD62AF">
        <w:t>с</w:t>
      </w:r>
      <w:r w:rsidRPr="00BD62AF">
        <w:t>шее или высшее образование, тогда как соответствующий показатель по му</w:t>
      </w:r>
      <w:r w:rsidRPr="00BD62AF">
        <w:t>ж</w:t>
      </w:r>
      <w:r w:rsidRPr="00BD62AF">
        <w:t>чинам составил 43,4 процента. На женщин приходилось 54,7 процента всех безработных, которые участвовали в программах активизации трудовой де</w:t>
      </w:r>
      <w:r w:rsidRPr="00BD62AF">
        <w:t>я</w:t>
      </w:r>
      <w:r w:rsidRPr="00BD62AF">
        <w:t>тельности в 2011 году.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115.</w:t>
      </w:r>
      <w:r w:rsidRPr="00BD62AF">
        <w:tab/>
        <w:t>Комитет призвал правительство продолжать прилагать усилия по борьбе со стереотипами в отношении ролей женщин и мужчин в обществе и в труд</w:t>
      </w:r>
      <w:r w:rsidRPr="00BD62AF">
        <w:t>о</w:t>
      </w:r>
      <w:r w:rsidRPr="00BD62AF">
        <w:t>вой деятельности и просил правительство представить информацию о резул</w:t>
      </w:r>
      <w:r w:rsidRPr="00BD62AF">
        <w:t>ь</w:t>
      </w:r>
      <w:r w:rsidRPr="00BD62AF">
        <w:t>татах принятых мер, направленных на обеспечение того, чтобы женщины ра</w:t>
      </w:r>
      <w:r w:rsidRPr="00BD62AF">
        <w:t>с</w:t>
      </w:r>
      <w:r w:rsidRPr="00BD62AF">
        <w:t>полагали максимально широкими возможностями для получения квалифик</w:t>
      </w:r>
      <w:r w:rsidRPr="00BD62AF">
        <w:t>а</w:t>
      </w:r>
      <w:r w:rsidRPr="00BD62AF">
        <w:t>ции и использования приобретенных навыков.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Соломоновы Острова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116.</w:t>
      </w:r>
      <w:r w:rsidRPr="00BD62AF">
        <w:tab/>
        <w:t>Из соответствующих конвенций МОТ Соломоновы Острова ратифицир</w:t>
      </w:r>
      <w:r w:rsidRPr="00BD62AF">
        <w:t>о</w:t>
      </w:r>
      <w:r w:rsidRPr="00BD62AF">
        <w:t>вали в 2012 году конвенции № 100 и № 111. Они также ратифицировали ко</w:t>
      </w:r>
      <w:r w:rsidRPr="00BD62AF">
        <w:t>н</w:t>
      </w:r>
      <w:r w:rsidRPr="00BD62AF">
        <w:t>венции №№ 29, 45, 87, 98, 105, 138 и 182.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117.</w:t>
      </w:r>
      <w:r w:rsidRPr="00BD62AF">
        <w:tab/>
        <w:t>Правительству, помимо своего доклада об осуществлении Конвенции № 45, было предложено представить свои первые доклады об осуществлении конвенций №№ 87, 98, 100, 105, 111 и 182, которые должны быть рассмотрены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70" w:lineRule="exact"/>
        <w:ind w:left="1267" w:right="1260" w:hanging="1267"/>
        <w:outlineLvl w:val="0"/>
        <w:rPr>
          <w:b/>
          <w:sz w:val="24"/>
        </w:rPr>
      </w:pPr>
      <w:r w:rsidRPr="00BD62AF">
        <w:rPr>
          <w:b/>
          <w:sz w:val="24"/>
        </w:rPr>
        <w:tab/>
      </w:r>
      <w:r w:rsidRPr="00BD62AF">
        <w:rPr>
          <w:b/>
          <w:sz w:val="24"/>
        </w:rPr>
        <w:tab/>
        <w:t>Венесуэла (Боливарианская Республика)</w:t>
      </w: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118.</w:t>
      </w:r>
      <w:r w:rsidRPr="00BD62AF">
        <w:tab/>
        <w:t>Из соответствующих конвенций МОТ Боливарианская Республика Вен</w:t>
      </w:r>
      <w:r w:rsidRPr="00BD62AF">
        <w:t>е</w:t>
      </w:r>
      <w:r w:rsidRPr="00BD62AF">
        <w:t>суэла ратифицировала конвенции №№ 100, 111 и 156. Она также ратифицир</w:t>
      </w:r>
      <w:r w:rsidRPr="00BD62AF">
        <w:t>о</w:t>
      </w:r>
      <w:r w:rsidRPr="00BD62AF">
        <w:t>вала конвенции №№ 3, 29, 87, 98, 105, 122, 138, 142 и 182.</w:t>
      </w:r>
    </w:p>
    <w:p w:rsidR="00BD62AF" w:rsidRPr="00BD62AF" w:rsidRDefault="00BD62AF" w:rsidP="00BD62AF">
      <w:pPr>
        <w:keepNext/>
        <w:pageBreakBefore/>
        <w:suppressLineNumbers/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uppressAutoHyphens/>
        <w:spacing w:after="120" w:line="240" w:lineRule="auto"/>
        <w:ind w:left="1264" w:right="1264"/>
        <w:jc w:val="both"/>
        <w:rPr>
          <w:b/>
        </w:rPr>
      </w:pPr>
      <w:r w:rsidRPr="00BD62AF">
        <w:rPr>
          <w:b/>
        </w:rPr>
        <w:t>Комментарии надзорных органов Международной организации труда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119.</w:t>
      </w:r>
      <w:r w:rsidRPr="00BD62AF">
        <w:tab/>
        <w:t>Представленные на рассмотрение комментарии Комитета экспертов, о</w:t>
      </w:r>
      <w:r w:rsidRPr="00BD62AF">
        <w:t>т</w:t>
      </w:r>
      <w:r w:rsidRPr="00BD62AF">
        <w:t>носящиеся к положениям Конвенции о ликвидации всех форм дискриминации в отношении женщин, касаются нижеследующих пунктов.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3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120.</w:t>
      </w:r>
      <w:r w:rsidRPr="00BD62AF">
        <w:rPr>
          <w:i/>
        </w:rPr>
        <w:tab/>
      </w:r>
      <w:r w:rsidRPr="00BD62AF">
        <w:t>В своем замечании, сделанном в 2013 году, Комитет отметил принятие в апреле 2012 года закона о труде, который предусматривает усиление защиты материнства и повышение стабильности занятости для беременных женщин и работающих матерей. В этой связи Комитет с удовлетворением отметил, что статья 335 этого закона гарантирует работающим женщинам специальную з</w:t>
      </w:r>
      <w:r w:rsidRPr="00BD62AF">
        <w:t>а</w:t>
      </w:r>
      <w:r w:rsidRPr="00BD62AF">
        <w:t>щиту от увольнения с начала беременности и на протяжении до двух лет после рождения ребенка.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100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121.</w:t>
      </w:r>
      <w:r w:rsidRPr="00BD62AF">
        <w:rPr>
          <w:i/>
        </w:rPr>
        <w:tab/>
      </w:r>
      <w:r w:rsidRPr="00BD62AF">
        <w:t>В своем прямом запросе, сделанном в 2011 году, Комитет напомнил о св</w:t>
      </w:r>
      <w:r w:rsidRPr="00BD62AF">
        <w:t>о</w:t>
      </w:r>
      <w:r w:rsidRPr="00BD62AF">
        <w:t>ем предыдущем запросе в отношении представления информации о действу</w:t>
      </w:r>
      <w:r w:rsidRPr="00BD62AF">
        <w:t>ю</w:t>
      </w:r>
      <w:r w:rsidRPr="00BD62AF">
        <w:t>щих положениях, которые устанавливают разные льготы для работающих му</w:t>
      </w:r>
      <w:r w:rsidRPr="00BD62AF">
        <w:t>ж</w:t>
      </w:r>
      <w:r w:rsidRPr="00BD62AF">
        <w:t>чин и работающих женщин, которые усыновляют детей. В этой связи Комитет отметил информацию правительства о том, что никаких различий в социал</w:t>
      </w:r>
      <w:r w:rsidRPr="00BD62AF">
        <w:t>ь</w:t>
      </w:r>
      <w:r w:rsidRPr="00BD62AF">
        <w:t>ных льготах или социально-экономических пособиях, получаемых работа</w:t>
      </w:r>
      <w:r w:rsidRPr="00BD62AF">
        <w:t>ю</w:t>
      </w:r>
      <w:r w:rsidRPr="00BD62AF">
        <w:t>щими мужчинами и работающими женщинами, которые усыновляют ребенка, не предусматривается.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122.</w:t>
      </w:r>
      <w:r w:rsidRPr="00BD62AF">
        <w:tab/>
        <w:t>Комитет отметил также сообщение правительства о том, что уровень з</w:t>
      </w:r>
      <w:r w:rsidRPr="00BD62AF">
        <w:t>а</w:t>
      </w:r>
      <w:r w:rsidRPr="00BD62AF">
        <w:t>нятости среди женщин составлял 92 процента, а среди мужчин 92,6 процента. Он отметил также представленную правительством статистическую информ</w:t>
      </w:r>
      <w:r w:rsidRPr="00BD62AF">
        <w:t>а</w:t>
      </w:r>
      <w:r w:rsidRPr="00BD62AF">
        <w:t>цию о глобальных показателях рабочей силы в формальных и неформальных секторах экономики в разбивке на мужчин и женщин за период с сентября 2009 года по сентябрь 2010 года, а также показателях экономически активного населения в разбивке по отраслям экономической деятельности и статусу зан</w:t>
      </w:r>
      <w:r w:rsidRPr="00BD62AF">
        <w:t>я</w:t>
      </w:r>
      <w:r w:rsidRPr="00BD62AF">
        <w:t>тости за период с 2004 года по 2010 год. Комитет отметил, что показатели эк</w:t>
      </w:r>
      <w:r w:rsidRPr="00BD62AF">
        <w:t>о</w:t>
      </w:r>
      <w:r w:rsidRPr="00BD62AF">
        <w:t>номически активного населения в разбивке по отраслям экономической де</w:t>
      </w:r>
      <w:r w:rsidRPr="00BD62AF">
        <w:t>я</w:t>
      </w:r>
      <w:r w:rsidRPr="00BD62AF">
        <w:t>тельности не достаточны для адекватной оценки ситуации с занятостью же</w:t>
      </w:r>
      <w:r w:rsidRPr="00BD62AF">
        <w:t>н</w:t>
      </w:r>
      <w:r w:rsidRPr="00BD62AF">
        <w:t>щин и размера их вознаграждения, поскольку эти показатели не приведены в разбивке на мужчин и женщин и не включают информацию о вознаграждении, которое получают мужчины и женщины. Он подчеркнул важное значение наличия соответствующей полной информации, которая позволила бы надл</w:t>
      </w:r>
      <w:r w:rsidRPr="00BD62AF">
        <w:t>е</w:t>
      </w:r>
      <w:r w:rsidRPr="00BD62AF">
        <w:t>жащим образом оценить характер, уровень и причины различий в размере во</w:t>
      </w:r>
      <w:r w:rsidRPr="00BD62AF">
        <w:t>з</w:t>
      </w:r>
      <w:r w:rsidRPr="00BD62AF">
        <w:t>награждения мужчин и женщин и прогресс, достигнутый в деле применения соответствующего принципа, закрепленного в Конвенции.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123.</w:t>
      </w:r>
      <w:r w:rsidRPr="00BD62AF">
        <w:tab/>
        <w:t>Комитет просил правительство продолжать прилагать усилия для сбора статистических данных и любой другой информации в разбивке на мужчин и женщин в качестве основы для определения разницы в размере вознагражд</w:t>
      </w:r>
      <w:r w:rsidRPr="00BD62AF">
        <w:t>е</w:t>
      </w:r>
      <w:r w:rsidRPr="00BD62AF">
        <w:t>ния работающих мужчин и работающих женщин в разбивке по секторам и его причин, а также для оценки соответствующих тенденций и просил правител</w:t>
      </w:r>
      <w:r w:rsidRPr="00BD62AF">
        <w:t>ь</w:t>
      </w:r>
      <w:r w:rsidRPr="00BD62AF">
        <w:t>ство представить информацию на этот счет. Он также просил правительство сообщить о ходе осуществления плана по обеспечению равенства женщин на период 2009–2013 годов, особенно о принятых мерах для достижения раве</w:t>
      </w:r>
      <w:r w:rsidRPr="00BD62AF">
        <w:t>н</w:t>
      </w:r>
      <w:r w:rsidRPr="00BD62AF">
        <w:t>ства заработной платы, и представить информацию о любых других мерах, принятых министерством по делам женщин и равенства полов для достижения целей Конвенции.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124.</w:t>
      </w:r>
      <w:r w:rsidRPr="00BD62AF">
        <w:tab/>
        <w:t>Комитет также просил правительство принять необходимые меры для включения в законодательство принципа равного вознаграждения мужчин и женщин за труд равной ценности.</w:t>
      </w:r>
    </w:p>
    <w:p w:rsidR="00BD62AF" w:rsidRPr="00BD62AF" w:rsidRDefault="00BD62AF" w:rsidP="00BD62AF">
      <w:pPr>
        <w:tabs>
          <w:tab w:val="left" w:pos="1742"/>
          <w:tab w:val="left" w:pos="2218"/>
          <w:tab w:val="left" w:pos="2299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125.</w:t>
      </w:r>
      <w:r w:rsidRPr="00BD62AF">
        <w:tab/>
        <w:t>Правительству было предложено представить свой доклад об осущест</w:t>
      </w:r>
      <w:r w:rsidRPr="00BD62AF">
        <w:t>в</w:t>
      </w:r>
      <w:r w:rsidRPr="00BD62AF">
        <w:t>лении Конвенции № 100,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111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126.</w:t>
      </w:r>
      <w:r w:rsidRPr="00BD62AF">
        <w:rPr>
          <w:i/>
        </w:rPr>
        <w:tab/>
      </w:r>
      <w:r w:rsidRPr="00BD62AF">
        <w:t>В своем замечании, сделанном в 2012 году, Комитет отметил сообщение Союза независимых профсоюзов от 14 августа 2012 года, который указал, что закон о труде, который вступил в силу мае 2012 года, не обсуждался в парл</w:t>
      </w:r>
      <w:r w:rsidRPr="00BD62AF">
        <w:t>а</w:t>
      </w:r>
      <w:r w:rsidRPr="00BD62AF">
        <w:t>менте. Союз утверждал, в частности, что определение сексуальных домог</w:t>
      </w:r>
      <w:r w:rsidRPr="00BD62AF">
        <w:t>а</w:t>
      </w:r>
      <w:r w:rsidRPr="00BD62AF">
        <w:t>тельств, содержащееся в этом законе, является неполным, поскольку в нем о</w:t>
      </w:r>
      <w:r w:rsidRPr="00BD62AF">
        <w:t>т</w:t>
      </w:r>
      <w:r w:rsidRPr="00BD62AF">
        <w:t>сутствует ссылка на враждебную рабочую среду. Союз сослался также на ст</w:t>
      </w:r>
      <w:r w:rsidRPr="00BD62AF">
        <w:t>а</w:t>
      </w:r>
      <w:r w:rsidRPr="00BD62AF">
        <w:t>тус женщин на рынке труда, заявив, что на положении женщин сказываются безработица, нестабильность занятости и отсутствие образования. Комитет просил правительство высказать свои замечания по этим вопросам.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127.</w:t>
      </w:r>
      <w:r w:rsidRPr="00BD62AF">
        <w:tab/>
        <w:t>В своем прямом запросе, сделанном в 2011 году, Комитет отметил инфо</w:t>
      </w:r>
      <w:r w:rsidRPr="00BD62AF">
        <w:t>р</w:t>
      </w:r>
      <w:r w:rsidRPr="00BD62AF">
        <w:t>мацию правительства о том, что Генеральная прокуратура сообщила, что со времени вступления в силу закона о праве женщин жить без насилия поступ</w:t>
      </w:r>
      <w:r w:rsidRPr="00BD62AF">
        <w:t>и</w:t>
      </w:r>
      <w:r w:rsidRPr="00BD62AF">
        <w:t>ло 199 985 жалоб на гендерное насилие: 34 410 в 2007 году, 70 015 в 2008 году и 95 560 в 2009 году. Зарегистрированные преступления чаще всего предста</w:t>
      </w:r>
      <w:r w:rsidRPr="00BD62AF">
        <w:t>в</w:t>
      </w:r>
      <w:r w:rsidRPr="00BD62AF">
        <w:t>ляют собой физическое, психологическое и сексуальное насилие, угрозы и д</w:t>
      </w:r>
      <w:r w:rsidRPr="00BD62AF">
        <w:t>о</w:t>
      </w:r>
      <w:r w:rsidRPr="00BD62AF">
        <w:t>могательства. Правительство сообщило, что, по данным Директората по общим семейным вопросам Генеральной прокуратуры, на основании жалоб было ра</w:t>
      </w:r>
      <w:r w:rsidRPr="00BD62AF">
        <w:t>с</w:t>
      </w:r>
      <w:r w:rsidRPr="00BD62AF">
        <w:t>смотрено 95 166 дел (включая вынесение обвинительных приговоров, отмену решений и отказы в возбуждении уголовных дел). Работа по предоставлению услуг и оказанию помощи жертвам также осуществляется Директоратом по профилактике и пресечению насилия в отношении женщин при Институте по делам женщин. Комитет отметил, что статистическая информация, предста</w:t>
      </w:r>
      <w:r w:rsidRPr="00BD62AF">
        <w:t>в</w:t>
      </w:r>
      <w:r w:rsidRPr="00BD62AF">
        <w:t>ленная правительством в отношении типов насилия, о котором сообщали же</w:t>
      </w:r>
      <w:r w:rsidRPr="00BD62AF">
        <w:t>н</w:t>
      </w:r>
      <w:r w:rsidRPr="00BD62AF">
        <w:t>щины, не позволяет провести адекватную оценку случаев сексуальных домог</w:t>
      </w:r>
      <w:r w:rsidRPr="00BD62AF">
        <w:t>а</w:t>
      </w:r>
      <w:r w:rsidRPr="00BD62AF">
        <w:t>тельств на рабочем месте и мер, принятых для их пресечения.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128.</w:t>
      </w:r>
      <w:r w:rsidRPr="00BD62AF">
        <w:tab/>
        <w:t>Комитет вновь обратился к правительству с просьбой представить и</w:t>
      </w:r>
      <w:r w:rsidRPr="00BD62AF">
        <w:t>н</w:t>
      </w:r>
      <w:r w:rsidRPr="00BD62AF">
        <w:t>формацию о жалобах, касающихся сексуальных домогательств на рабочем м</w:t>
      </w:r>
      <w:r w:rsidRPr="00BD62AF">
        <w:t>е</w:t>
      </w:r>
      <w:r w:rsidRPr="00BD62AF">
        <w:t>сте, и о мерах, принятых для информирования и подготовки персонала адм</w:t>
      </w:r>
      <w:r w:rsidRPr="00BD62AF">
        <w:t>и</w:t>
      </w:r>
      <w:r w:rsidRPr="00BD62AF">
        <w:t>нистративных и судебных органов в отношении концепции сексуальных дом</w:t>
      </w:r>
      <w:r w:rsidRPr="00BD62AF">
        <w:t>о</w:t>
      </w:r>
      <w:r w:rsidRPr="00BD62AF">
        <w:t>гательств, изложенной в общем замечании 2002 года, о результатах рассмотр</w:t>
      </w:r>
      <w:r w:rsidRPr="00BD62AF">
        <w:t>е</w:t>
      </w:r>
      <w:r w:rsidRPr="00BD62AF">
        <w:t>ния жалоб в отношении домогательств и принятых в этой связи мерах. Он та</w:t>
      </w:r>
      <w:r w:rsidRPr="00BD62AF">
        <w:t>к</w:t>
      </w:r>
      <w:r w:rsidRPr="00BD62AF">
        <w:t>же просил правительство сообщить, принят ли межведомственный план предотвращения гендерного насилия, который упоминался в 2009 году, и предусматривает ли он меры по предупреждению и пресечению сексуальных домогательств на рабочем месте.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129.</w:t>
      </w:r>
      <w:r w:rsidRPr="00BD62AF">
        <w:tab/>
        <w:t>Комитет также просил правительство представить информацию о резул</w:t>
      </w:r>
      <w:r w:rsidRPr="00BD62AF">
        <w:t>ь</w:t>
      </w:r>
      <w:r w:rsidRPr="00BD62AF">
        <w:t>татах осуществления плана по обеспечению равенства женщин на период 2009</w:t>
      </w:r>
      <w:r w:rsidRPr="00BD62AF">
        <w:noBreakHyphen/>
        <w:t>2013 годов, который предусматривал вовлечение женщин в общественно полезную деятельность и работу, и представить статистические данные и и</w:t>
      </w:r>
      <w:r w:rsidRPr="00BD62AF">
        <w:t>н</w:t>
      </w:r>
      <w:r w:rsidRPr="00BD62AF">
        <w:t>формацию в разбивке по полу, возрасту, этническому происхождению и сект</w:t>
      </w:r>
      <w:r w:rsidRPr="00BD62AF">
        <w:t>о</w:t>
      </w:r>
      <w:r w:rsidRPr="00BD62AF">
        <w:t>ру занятости.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130.</w:t>
      </w:r>
      <w:r w:rsidRPr="00BD62AF">
        <w:tab/>
        <w:t>Правительству было предложено представить свой доклад об осущест</w:t>
      </w:r>
      <w:r w:rsidRPr="00BD62AF">
        <w:t>в</w:t>
      </w:r>
      <w:r w:rsidRPr="00BD62AF">
        <w:t>лении Конвенции № 111, который должен быть рассмотрен Комитетом на его сессии в ноябре-декабре 2014 года.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Конвенция № 122</w:t>
      </w:r>
    </w:p>
    <w:p w:rsidR="00BD62AF" w:rsidRPr="00BD62AF" w:rsidRDefault="00BD62AF" w:rsidP="00BD62AF">
      <w:pPr>
        <w:tabs>
          <w:tab w:val="left" w:pos="1742"/>
          <w:tab w:val="left" w:pos="209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</w:pPr>
      <w:r w:rsidRPr="00BD62AF">
        <w:t>131.</w:t>
      </w:r>
      <w:r w:rsidRPr="00BD62AF">
        <w:rPr>
          <w:i/>
        </w:rPr>
        <w:tab/>
      </w:r>
      <w:r w:rsidRPr="00BD62AF">
        <w:t>В своем замечании, сделанном в 2012 году, Комитет отметил информацию правительства о том, что по линии социальных миссий осуществляются пр</w:t>
      </w:r>
      <w:r w:rsidRPr="00BD62AF">
        <w:t>о</w:t>
      </w:r>
      <w:r w:rsidRPr="00BD62AF">
        <w:t>граммы и мероприятия по включению в сферу труда слоев населения, не им</w:t>
      </w:r>
      <w:r w:rsidRPr="00BD62AF">
        <w:t>е</w:t>
      </w:r>
      <w:r w:rsidRPr="00BD62AF">
        <w:t>ющих туда доступа. В этой связи миссия «Мадрес дель Баррио» (Матери-соседки) – комплексная стратегия по вовлечению в продуктивную работу же</w:t>
      </w:r>
      <w:r w:rsidRPr="00BD62AF">
        <w:t>н</w:t>
      </w:r>
      <w:r w:rsidRPr="00BD62AF">
        <w:t xml:space="preserve">щин, живущих в условиях крайней нищеты, </w:t>
      </w:r>
      <w:r w:rsidRPr="00BD62AF">
        <w:noBreakHyphen/>
        <w:t xml:space="preserve"> имеет своей целью содействовать социальным процессам вовлечения в общественно полезную деятельность женщин-бенефициаров и членов их семей. Для этой цели матерям предоста</w:t>
      </w:r>
      <w:r w:rsidRPr="00BD62AF">
        <w:t>в</w:t>
      </w:r>
      <w:r w:rsidRPr="00BD62AF">
        <w:t>ляются консультации для оказания им помощи в выработке общественно п</w:t>
      </w:r>
      <w:r w:rsidRPr="00BD62AF">
        <w:t>о</w:t>
      </w:r>
      <w:r w:rsidRPr="00BD62AF">
        <w:t>лезных предложений в комитетах миссии «Мадрес дель Баррио».</w:t>
      </w:r>
    </w:p>
    <w:p w:rsidR="00BD62AF" w:rsidRPr="00BD62AF" w:rsidRDefault="00BD62AF" w:rsidP="00BD62AF">
      <w:pPr>
        <w:tabs>
          <w:tab w:val="left" w:pos="167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auto"/>
        <w:ind w:left="1264" w:right="1264"/>
        <w:jc w:val="both"/>
        <w:rPr>
          <w:i/>
        </w:rPr>
      </w:pPr>
      <w:r w:rsidRPr="00BD62AF">
        <w:rPr>
          <w:i/>
        </w:rPr>
        <w:t>Другие конвенции, о которых правительству было предложено представить доклады</w:t>
      </w:r>
    </w:p>
    <w:p w:rsidR="00BD62AF" w:rsidRPr="00BD62AF" w:rsidRDefault="00BD62AF" w:rsidP="00BD62AF">
      <w:pPr>
        <w:pStyle w:val="SingleTxt"/>
        <w:tabs>
          <w:tab w:val="clear" w:pos="1267"/>
          <w:tab w:val="left" w:pos="2090"/>
        </w:tabs>
        <w:spacing w:line="240" w:lineRule="auto"/>
        <w:ind w:left="1264" w:right="1264"/>
      </w:pPr>
      <w:r w:rsidRPr="00BD62AF">
        <w:t>132.</w:t>
      </w:r>
      <w:r w:rsidRPr="00BD62AF">
        <w:tab/>
        <w:t>Правительству также предложено представить свой доклад об осущест</w:t>
      </w:r>
      <w:r w:rsidRPr="00BD62AF">
        <w:t>в</w:t>
      </w:r>
      <w:r w:rsidRPr="00BD62AF">
        <w:t xml:space="preserve">лении Конвенции № 45, который должен быть рассмотрен Комитетом на его сессии в ноябре-декабре 2014 года. </w:t>
      </w:r>
    </w:p>
    <w:p w:rsidR="00802F2A" w:rsidRPr="00BD62AF" w:rsidRDefault="00BD62AF" w:rsidP="00BD62AF">
      <w:pPr>
        <w:pStyle w:val="SingleTxt"/>
        <w:tabs>
          <w:tab w:val="clear" w:pos="1267"/>
          <w:tab w:val="left" w:pos="2090"/>
        </w:tabs>
        <w:spacing w:after="0" w:line="240" w:lineRule="auto"/>
        <w:ind w:left="1264" w:right="1264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802F2A" w:rsidRPr="00BD62AF" w:rsidSect="00802F2A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9-16T13:47:00Z" w:initials="Start">
    <w:p w:rsidR="00802F2A" w:rsidRPr="00BD62AF" w:rsidRDefault="00802F2A">
      <w:pPr>
        <w:pStyle w:val="CommentText"/>
        <w:rPr>
          <w:lang w:val="en-US"/>
        </w:rPr>
      </w:pPr>
      <w:r>
        <w:fldChar w:fldCharType="begin"/>
      </w:r>
      <w:r w:rsidRPr="00BD62AF">
        <w:rPr>
          <w:rStyle w:val="CommentReference"/>
          <w:lang w:val="en-US"/>
        </w:rPr>
        <w:instrText xml:space="preserve"> </w:instrText>
      </w:r>
      <w:r w:rsidRPr="00BD62AF">
        <w:rPr>
          <w:lang w:val="en-US"/>
        </w:rPr>
        <w:instrText>PAGE \# "'Page: '#'</w:instrText>
      </w:r>
      <w:r w:rsidRPr="00BD62AF">
        <w:rPr>
          <w:lang w:val="en-US"/>
        </w:rPr>
        <w:br/>
        <w:instrText>'"</w:instrText>
      </w:r>
      <w:r w:rsidRPr="00BD62A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D62AF">
        <w:rPr>
          <w:lang w:val="en-US"/>
        </w:rPr>
        <w:t>&lt;&lt;ODS JOB NO&gt;&gt;N1451790R&lt;&lt;ODS JOB NO&gt;&gt;</w:t>
      </w:r>
    </w:p>
    <w:p w:rsidR="00802F2A" w:rsidRDefault="00802F2A">
      <w:pPr>
        <w:pStyle w:val="CommentText"/>
      </w:pPr>
      <w:r>
        <w:t>&lt;&lt;ODS DOC SYMBOL1&gt;&gt;CEDAW/C/59/2&lt;&lt;ODS DOC SYMBOL1&gt;&gt;</w:t>
      </w:r>
    </w:p>
    <w:p w:rsidR="00802F2A" w:rsidRDefault="00802F2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CD" w:rsidRDefault="003071CD" w:rsidP="008A1A7A">
      <w:pPr>
        <w:spacing w:line="240" w:lineRule="auto"/>
      </w:pPr>
      <w:r>
        <w:separator/>
      </w:r>
    </w:p>
  </w:endnote>
  <w:endnote w:type="continuationSeparator" w:id="0">
    <w:p w:rsidR="003071CD" w:rsidRDefault="003071C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02F2A" w:rsidTr="00802F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Footer"/>
            <w:rPr>
              <w:color w:val="000000"/>
              <w:szCs w:val="22"/>
              <w:lang w:eastAsia="en-US"/>
            </w:rPr>
          </w:pPr>
          <w:r w:rsidRPr="00F022D1">
            <w:rPr>
              <w:szCs w:val="22"/>
              <w:lang w:eastAsia="en-US"/>
            </w:rPr>
            <w:fldChar w:fldCharType="begin"/>
          </w:r>
          <w:r w:rsidRPr="00F022D1">
            <w:rPr>
              <w:szCs w:val="22"/>
              <w:lang w:eastAsia="en-US"/>
            </w:rPr>
            <w:instrText xml:space="preserve"> PAGE  \* Arabic  \* MERGEFORMAT </w:instrText>
          </w:r>
          <w:r w:rsidRPr="00F022D1">
            <w:rPr>
              <w:szCs w:val="22"/>
              <w:lang w:eastAsia="en-US"/>
            </w:rPr>
            <w:fldChar w:fldCharType="separate"/>
          </w:r>
          <w:r w:rsidR="00932249" w:rsidRPr="00F022D1">
            <w:rPr>
              <w:noProof/>
              <w:szCs w:val="22"/>
              <w:lang w:eastAsia="en-US"/>
            </w:rPr>
            <w:t>28</w:t>
          </w:r>
          <w:r w:rsidRPr="00F022D1">
            <w:rPr>
              <w:szCs w:val="22"/>
              <w:lang w:eastAsia="en-US"/>
            </w:rPr>
            <w:fldChar w:fldCharType="end"/>
          </w:r>
          <w:r w:rsidRPr="00F022D1">
            <w:rPr>
              <w:szCs w:val="22"/>
              <w:lang w:eastAsia="en-US"/>
            </w:rPr>
            <w:t>/</w:t>
          </w:r>
          <w:fldSimple w:instr=" NUMPAGES  \* Arabic  \* MERGEFORMAT ">
            <w:r w:rsidR="00932249" w:rsidRPr="00F022D1">
              <w:rPr>
                <w:noProof/>
                <w:szCs w:val="22"/>
                <w:lang w:eastAsia="en-US"/>
              </w:rPr>
              <w:t>29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932249" w:rsidRPr="00F022D1">
              <w:rPr>
                <w:b w:val="0"/>
                <w:color w:val="000000"/>
                <w:sz w:val="14"/>
                <w:szCs w:val="22"/>
                <w:lang w:eastAsia="en-US"/>
              </w:rPr>
              <w:t>14-59859</w:t>
            </w:r>
          </w:fldSimple>
          <w:r w:rsidR="00862E2F" w:rsidRPr="00F022D1">
            <w:rPr>
              <w:b w:val="0"/>
              <w:color w:val="000000"/>
              <w:sz w:val="14"/>
              <w:szCs w:val="22"/>
              <w:lang w:eastAsia="en-US"/>
            </w:rPr>
            <w:t>Х</w:t>
          </w:r>
        </w:p>
      </w:tc>
    </w:tr>
  </w:tbl>
  <w:p w:rsidR="00802F2A" w:rsidRPr="00802F2A" w:rsidRDefault="00802F2A" w:rsidP="00802F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02F2A" w:rsidTr="00802F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932249" w:rsidRPr="00F022D1">
              <w:rPr>
                <w:b w:val="0"/>
                <w:color w:val="000000"/>
                <w:sz w:val="14"/>
                <w:szCs w:val="22"/>
                <w:lang w:eastAsia="en-US"/>
              </w:rPr>
              <w:t>14-59859</w:t>
            </w:r>
          </w:fldSimple>
          <w:r w:rsidR="00862E2F" w:rsidRPr="00F022D1">
            <w:rPr>
              <w:b w:val="0"/>
              <w:color w:val="000000"/>
              <w:sz w:val="14"/>
              <w:szCs w:val="22"/>
              <w:lang w:eastAsia="en-US"/>
            </w:rPr>
            <w:t>Х</w:t>
          </w:r>
        </w:p>
      </w:tc>
      <w:tc>
        <w:tcPr>
          <w:tcW w:w="5033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Footer"/>
            <w:jc w:val="right"/>
            <w:rPr>
              <w:szCs w:val="22"/>
              <w:lang w:eastAsia="en-US"/>
            </w:rPr>
          </w:pPr>
          <w:r w:rsidRPr="00F022D1">
            <w:rPr>
              <w:szCs w:val="22"/>
              <w:lang w:eastAsia="en-US"/>
            </w:rPr>
            <w:fldChar w:fldCharType="begin"/>
          </w:r>
          <w:r w:rsidRPr="00F022D1">
            <w:rPr>
              <w:szCs w:val="22"/>
              <w:lang w:eastAsia="en-US"/>
            </w:rPr>
            <w:instrText xml:space="preserve"> PAGE  \* Arabic  \* MERGEFORMAT </w:instrText>
          </w:r>
          <w:r w:rsidRPr="00F022D1">
            <w:rPr>
              <w:szCs w:val="22"/>
              <w:lang w:eastAsia="en-US"/>
            </w:rPr>
            <w:fldChar w:fldCharType="separate"/>
          </w:r>
          <w:r w:rsidR="00932249" w:rsidRPr="00F022D1">
            <w:rPr>
              <w:noProof/>
              <w:szCs w:val="22"/>
              <w:lang w:eastAsia="en-US"/>
            </w:rPr>
            <w:t>29</w:t>
          </w:r>
          <w:r w:rsidRPr="00F022D1">
            <w:rPr>
              <w:szCs w:val="22"/>
              <w:lang w:eastAsia="en-US"/>
            </w:rPr>
            <w:fldChar w:fldCharType="end"/>
          </w:r>
          <w:r w:rsidRPr="00F022D1">
            <w:rPr>
              <w:szCs w:val="22"/>
              <w:lang w:eastAsia="en-US"/>
            </w:rPr>
            <w:t>/</w:t>
          </w:r>
          <w:fldSimple w:instr=" NUMPAGES  \* Arabic  \* MERGEFORMAT ">
            <w:r w:rsidR="00932249" w:rsidRPr="00F022D1">
              <w:rPr>
                <w:noProof/>
                <w:szCs w:val="22"/>
                <w:lang w:eastAsia="en-US"/>
              </w:rPr>
              <w:t>29</w:t>
            </w:r>
          </w:fldSimple>
        </w:p>
      </w:tc>
    </w:tr>
  </w:tbl>
  <w:p w:rsidR="00802F2A" w:rsidRPr="00802F2A" w:rsidRDefault="00802F2A" w:rsidP="00802F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2A" w:rsidRDefault="00802F2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4pt;margin-top:683.75pt;width:54.9pt;height:54.9pt;z-index:1;mso-position-horizontal-relative:page;mso-position-vertical-relative:page" o:preferrelative="f">
          <v:imagedata r:id="rId1" o:title="2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802F2A" w:rsidTr="00802F2A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802F2A" w:rsidRDefault="00802F2A" w:rsidP="00802F2A">
          <w:pPr>
            <w:pStyle w:val="ReleaseDate"/>
            <w:rPr>
              <w:color w:val="010000"/>
            </w:rPr>
          </w:pPr>
          <w:r>
            <w:t>14-59859</w:t>
          </w:r>
          <w:r w:rsidR="00862E2F">
            <w:t>Х</w:t>
          </w:r>
          <w:r>
            <w:t xml:space="preserve"> (R)</w:t>
          </w:r>
          <w:r>
            <w:rPr>
              <w:color w:val="010000"/>
            </w:rPr>
            <w:t xml:space="preserve">    160914    160914</w:t>
          </w:r>
        </w:p>
        <w:p w:rsidR="00802F2A" w:rsidRPr="00802F2A" w:rsidRDefault="00802F2A" w:rsidP="00802F2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*1459859(R)*</w:t>
          </w:r>
        </w:p>
      </w:tc>
      <w:tc>
        <w:tcPr>
          <w:tcW w:w="5033" w:type="dxa"/>
        </w:tcPr>
        <w:p w:rsidR="00802F2A" w:rsidRPr="00F022D1" w:rsidRDefault="00802F2A" w:rsidP="00802F2A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F022D1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802F2A" w:rsidRPr="00802F2A" w:rsidRDefault="00802F2A" w:rsidP="00802F2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CD" w:rsidRPr="00BD62AF" w:rsidRDefault="003071CD" w:rsidP="00BD62AF">
      <w:pPr>
        <w:pStyle w:val="Footer"/>
        <w:spacing w:after="80"/>
        <w:ind w:left="792"/>
        <w:rPr>
          <w:sz w:val="16"/>
        </w:rPr>
      </w:pPr>
      <w:r w:rsidRPr="00BD62AF">
        <w:rPr>
          <w:sz w:val="16"/>
        </w:rPr>
        <w:t>__________________</w:t>
      </w:r>
    </w:p>
  </w:footnote>
  <w:footnote w:type="continuationSeparator" w:id="0">
    <w:p w:rsidR="003071CD" w:rsidRPr="00BD62AF" w:rsidRDefault="003071CD" w:rsidP="00BD62AF">
      <w:pPr>
        <w:pStyle w:val="Footer"/>
        <w:spacing w:after="80"/>
        <w:ind w:left="792"/>
        <w:rPr>
          <w:sz w:val="16"/>
        </w:rPr>
      </w:pPr>
      <w:r w:rsidRPr="00BD62AF">
        <w:rPr>
          <w:sz w:val="16"/>
        </w:rPr>
        <w:t>__________________</w:t>
      </w:r>
    </w:p>
  </w:footnote>
  <w:footnote w:id="1">
    <w:p w:rsidR="00BD62AF" w:rsidRDefault="00BD62AF" w:rsidP="00BD62A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>
        <w:rPr>
          <w:rStyle w:val="FootnoteReference"/>
        </w:rPr>
        <w:t>*</w:t>
      </w:r>
      <w:r>
        <w:rPr>
          <w:lang w:val="en-US"/>
        </w:rPr>
        <w:tab/>
        <w:t>CEDAW/C/59/1.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02F2A" w:rsidTr="00802F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932249" w:rsidRPr="00F022D1">
              <w:rPr>
                <w:b/>
                <w:szCs w:val="22"/>
                <w:lang w:eastAsia="en-US"/>
              </w:rPr>
              <w:t>CEDAW/C/59/2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Header"/>
            <w:rPr>
              <w:szCs w:val="22"/>
              <w:lang w:eastAsia="en-US"/>
            </w:rPr>
          </w:pPr>
        </w:p>
      </w:tc>
    </w:tr>
  </w:tbl>
  <w:p w:rsidR="00802F2A" w:rsidRPr="00802F2A" w:rsidRDefault="00802F2A" w:rsidP="00802F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02F2A" w:rsidTr="00802F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802F2A" w:rsidRPr="00F022D1" w:rsidRDefault="00802F2A" w:rsidP="00802F2A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932249" w:rsidRPr="00F022D1">
              <w:rPr>
                <w:b/>
                <w:szCs w:val="22"/>
                <w:lang w:eastAsia="en-US"/>
              </w:rPr>
              <w:t>CEDAW/C/59/2</w:t>
            </w:r>
          </w:fldSimple>
        </w:p>
      </w:tc>
    </w:tr>
  </w:tbl>
  <w:p w:rsidR="00802F2A" w:rsidRPr="00802F2A" w:rsidRDefault="00802F2A" w:rsidP="00802F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802F2A" w:rsidTr="00802F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02F2A" w:rsidRPr="00802F2A" w:rsidRDefault="00802F2A" w:rsidP="00802F2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02F2A" w:rsidRPr="00F022D1" w:rsidRDefault="00802F2A" w:rsidP="00802F2A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02F2A" w:rsidRPr="00F022D1" w:rsidRDefault="00802F2A" w:rsidP="00802F2A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F022D1">
            <w:rPr>
              <w:sz w:val="40"/>
              <w:szCs w:val="22"/>
              <w:lang w:eastAsia="en-US"/>
            </w:rPr>
            <w:t>CEDAW</w:t>
          </w:r>
          <w:r w:rsidRPr="00F022D1">
            <w:rPr>
              <w:sz w:val="20"/>
              <w:szCs w:val="22"/>
              <w:lang w:eastAsia="en-US"/>
            </w:rPr>
            <w:t>/C/59/2</w:t>
          </w:r>
        </w:p>
      </w:tc>
    </w:tr>
    <w:tr w:rsidR="00802F2A" w:rsidRPr="00BD62AF" w:rsidTr="00802F2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F2A" w:rsidRPr="00F022D1" w:rsidRDefault="00802F2A" w:rsidP="00802F2A">
          <w:pPr>
            <w:pStyle w:val="Header"/>
            <w:spacing w:before="109"/>
            <w:rPr>
              <w:szCs w:val="22"/>
              <w:lang w:eastAsia="en-US"/>
            </w:rPr>
          </w:pPr>
          <w:r w:rsidRPr="00F022D1">
            <w:rPr>
              <w:szCs w:val="22"/>
              <w:lang w:eastAsia="en-US"/>
            </w:rPr>
            <w:t xml:space="preserve"> </w:t>
          </w:r>
          <w:r w:rsidRPr="00F022D1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802F2A" w:rsidRPr="00F022D1" w:rsidRDefault="00802F2A" w:rsidP="00802F2A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F2A" w:rsidRPr="00802F2A" w:rsidRDefault="00802F2A" w:rsidP="00802F2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F2A" w:rsidRPr="00F022D1" w:rsidRDefault="00802F2A" w:rsidP="00802F2A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02F2A" w:rsidRPr="00BD62AF" w:rsidRDefault="00802F2A" w:rsidP="00802F2A">
          <w:pPr>
            <w:pStyle w:val="Distribution"/>
            <w:rPr>
              <w:color w:val="000000"/>
              <w:lang w:val="en-US"/>
            </w:rPr>
          </w:pPr>
          <w:r w:rsidRPr="00BD62AF">
            <w:rPr>
              <w:color w:val="000000"/>
              <w:lang w:val="en-US"/>
            </w:rPr>
            <w:t>Distr.: General</w:t>
          </w:r>
        </w:p>
        <w:p w:rsidR="00802F2A" w:rsidRPr="00BD62AF" w:rsidRDefault="00802F2A" w:rsidP="00802F2A">
          <w:pPr>
            <w:pStyle w:val="Publication"/>
            <w:rPr>
              <w:color w:val="000000"/>
              <w:lang w:val="en-US"/>
            </w:rPr>
          </w:pPr>
          <w:r w:rsidRPr="00BD62AF">
            <w:rPr>
              <w:color w:val="000000"/>
              <w:lang w:val="en-US"/>
            </w:rPr>
            <w:t>26 August 2014</w:t>
          </w:r>
        </w:p>
        <w:p w:rsidR="00802F2A" w:rsidRPr="00BD62AF" w:rsidRDefault="00802F2A" w:rsidP="00802F2A">
          <w:pPr>
            <w:rPr>
              <w:color w:val="000000"/>
              <w:lang w:val="en-US"/>
            </w:rPr>
          </w:pPr>
          <w:r w:rsidRPr="00BD62AF">
            <w:rPr>
              <w:color w:val="000000"/>
              <w:lang w:val="en-US"/>
            </w:rPr>
            <w:t>Russian</w:t>
          </w:r>
        </w:p>
        <w:p w:rsidR="00802F2A" w:rsidRPr="00BD62AF" w:rsidRDefault="00802F2A" w:rsidP="00802F2A">
          <w:pPr>
            <w:pStyle w:val="Original"/>
            <w:rPr>
              <w:color w:val="000000"/>
              <w:lang w:val="en-US"/>
            </w:rPr>
          </w:pPr>
          <w:r w:rsidRPr="00BD62AF">
            <w:rPr>
              <w:color w:val="000000"/>
              <w:lang w:val="en-US"/>
            </w:rPr>
            <w:t>Original: English</w:t>
          </w:r>
        </w:p>
        <w:p w:rsidR="00802F2A" w:rsidRPr="00BD62AF" w:rsidRDefault="00802F2A" w:rsidP="00802F2A">
          <w:pPr>
            <w:rPr>
              <w:lang w:val="en-US"/>
            </w:rPr>
          </w:pPr>
        </w:p>
      </w:tc>
    </w:tr>
  </w:tbl>
  <w:p w:rsidR="00802F2A" w:rsidRPr="00BD62AF" w:rsidRDefault="00802F2A" w:rsidP="00802F2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826356"/>
    <w:multiLevelType w:val="multilevel"/>
    <w:tmpl w:val="ED2E92E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1F7A4D8A"/>
    <w:multiLevelType w:val="multilevel"/>
    <w:tmpl w:val="19A8BA8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6B04"/>
    <w:multiLevelType w:val="multilevel"/>
    <w:tmpl w:val="47C835A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9859*"/>
    <w:docVar w:name="CreationDt" w:val="16/09/2014 1:47: PM"/>
    <w:docVar w:name="DocCategory" w:val="Doc"/>
    <w:docVar w:name="DocType" w:val="Final"/>
    <w:docVar w:name="FooterJN" w:val="14-59859"/>
    <w:docVar w:name="jobn" w:val="14-59859 (R)"/>
    <w:docVar w:name="jobnDT" w:val="14-59859 (R)   160914"/>
    <w:docVar w:name="jobnDTDT" w:val="14-59859 (R)   160914   160914"/>
    <w:docVar w:name="JobNo" w:val="1459859R"/>
    <w:docVar w:name="JobNo2" w:val="1451790R"/>
    <w:docVar w:name="OandT" w:val=" "/>
    <w:docVar w:name="sss1" w:val="CEDAW/C/59/2"/>
    <w:docVar w:name="sss2" w:val="-"/>
    <w:docVar w:name="Symbol1" w:val="CEDAW/C/59/2"/>
    <w:docVar w:name="Symbol2" w:val="-"/>
  </w:docVars>
  <w:rsids>
    <w:rsidRoot w:val="00D73F7A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A111E"/>
    <w:rsid w:val="000C67BC"/>
    <w:rsid w:val="000E4411"/>
    <w:rsid w:val="000F1ACD"/>
    <w:rsid w:val="000F5D07"/>
    <w:rsid w:val="00105B0E"/>
    <w:rsid w:val="001444A3"/>
    <w:rsid w:val="00153645"/>
    <w:rsid w:val="00153E8C"/>
    <w:rsid w:val="00161F29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5206E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071CD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51C4"/>
    <w:rsid w:val="00526E12"/>
    <w:rsid w:val="00533411"/>
    <w:rsid w:val="0054563F"/>
    <w:rsid w:val="005469E1"/>
    <w:rsid w:val="00552E08"/>
    <w:rsid w:val="00563144"/>
    <w:rsid w:val="0056579C"/>
    <w:rsid w:val="00567706"/>
    <w:rsid w:val="005734C2"/>
    <w:rsid w:val="00574AA1"/>
    <w:rsid w:val="0057633B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2F2A"/>
    <w:rsid w:val="00803EC5"/>
    <w:rsid w:val="00821CE2"/>
    <w:rsid w:val="00830FF8"/>
    <w:rsid w:val="00844407"/>
    <w:rsid w:val="00853E2A"/>
    <w:rsid w:val="008541E9"/>
    <w:rsid w:val="00856EEB"/>
    <w:rsid w:val="00862E2F"/>
    <w:rsid w:val="008776BB"/>
    <w:rsid w:val="00880540"/>
    <w:rsid w:val="0088396E"/>
    <w:rsid w:val="008A1A7A"/>
    <w:rsid w:val="008B08A3"/>
    <w:rsid w:val="008B709D"/>
    <w:rsid w:val="008C2A03"/>
    <w:rsid w:val="008C6372"/>
    <w:rsid w:val="008D0CE3"/>
    <w:rsid w:val="008F12FD"/>
    <w:rsid w:val="008F13EA"/>
    <w:rsid w:val="00904F3C"/>
    <w:rsid w:val="00907EDB"/>
    <w:rsid w:val="009110C5"/>
    <w:rsid w:val="00915944"/>
    <w:rsid w:val="00932249"/>
    <w:rsid w:val="009327BF"/>
    <w:rsid w:val="00935F33"/>
    <w:rsid w:val="0094745A"/>
    <w:rsid w:val="0095649D"/>
    <w:rsid w:val="00984EE4"/>
    <w:rsid w:val="0099354F"/>
    <w:rsid w:val="009B3444"/>
    <w:rsid w:val="009B5DCD"/>
    <w:rsid w:val="009D6E3D"/>
    <w:rsid w:val="009F0808"/>
    <w:rsid w:val="00A14F1D"/>
    <w:rsid w:val="00A1703F"/>
    <w:rsid w:val="00A63339"/>
    <w:rsid w:val="00A90F41"/>
    <w:rsid w:val="00A9600A"/>
    <w:rsid w:val="00A96C80"/>
    <w:rsid w:val="00AA0ABF"/>
    <w:rsid w:val="00AA27C2"/>
    <w:rsid w:val="00AD6322"/>
    <w:rsid w:val="00AD78B1"/>
    <w:rsid w:val="00AF0B91"/>
    <w:rsid w:val="00B33139"/>
    <w:rsid w:val="00B5129B"/>
    <w:rsid w:val="00B56376"/>
    <w:rsid w:val="00B606B7"/>
    <w:rsid w:val="00B77FC0"/>
    <w:rsid w:val="00BB052D"/>
    <w:rsid w:val="00BB1F92"/>
    <w:rsid w:val="00BB5B7F"/>
    <w:rsid w:val="00BD2F16"/>
    <w:rsid w:val="00BD62AF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66B"/>
    <w:rsid w:val="00CF07BE"/>
    <w:rsid w:val="00D028FF"/>
    <w:rsid w:val="00D05963"/>
    <w:rsid w:val="00D1470E"/>
    <w:rsid w:val="00D20AA4"/>
    <w:rsid w:val="00D434AF"/>
    <w:rsid w:val="00D61BB7"/>
    <w:rsid w:val="00D7165D"/>
    <w:rsid w:val="00D73F7A"/>
    <w:rsid w:val="00D75705"/>
    <w:rsid w:val="00D961D6"/>
    <w:rsid w:val="00D97B17"/>
    <w:rsid w:val="00DA1A4A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2CCE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22D1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802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2A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02F2A"/>
    <w:rPr>
      <w:rFonts w:ascii="Times New Roman" w:hAnsi="Times New Roman" w:cs="Times New Roman"/>
      <w:spacing w:val="4"/>
      <w:w w:val="103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2A"/>
    <w:rPr>
      <w:rFonts w:ascii="Times New Roman" w:hAnsi="Times New Roman" w:cs="Times New Roman"/>
      <w:b/>
      <w:bCs/>
      <w:spacing w:val="4"/>
      <w:w w:val="103"/>
      <w:kern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29</Pages>
  <Words>10907</Words>
  <Characters>70793</Characters>
  <Application>Microsoft Office Outlook</Application>
  <DocSecurity>4</DocSecurity>
  <Lines>1361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81421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Maria Malik</dc:creator>
  <cp:keywords/>
  <cp:lastModifiedBy>Maria Malik</cp:lastModifiedBy>
  <cp:revision>3</cp:revision>
  <cp:lastPrinted>2014-09-16T12:02:00Z</cp:lastPrinted>
  <dcterms:created xsi:type="dcterms:W3CDTF">2014-09-16T12:01:00Z</dcterms:created>
  <dcterms:modified xsi:type="dcterms:W3CDTF">2014-09-16T12:04:00Z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1459859R</vt:lpwstr>
  </property>
  <property fmtid="{D5CDD505-2E9C-101B-9397-08002B2CF9AE}" pid="3" name="ODSRefJobNo">
    <vt:lpwstr>1451790R</vt:lpwstr>
  </property>
  <property fmtid="{D5CDD505-2E9C-101B-9397-08002B2CF9AE}" pid="4" name="Symbol1">
    <vt:lpwstr>CEDAW/C/59/2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26 August 2014</vt:lpwstr>
  </property>
  <property fmtid="{D5CDD505-2E9C-101B-9397-08002B2CF9AE}" pid="9" name="Original">
    <vt:lpwstr>English</vt:lpwstr>
  </property>
  <property fmtid="{D5CDD505-2E9C-101B-9397-08002B2CF9AE}" pid="10" name="Release Date">
    <vt:lpwstr>160914</vt:lpwstr>
  </property>
  <property fmtid="{D5CDD505-2E9C-101B-9397-08002B2CF9AE}" pid="11" name="Comment">
    <vt:lpwstr/>
  </property>
  <property fmtid="{D5CDD505-2E9C-101B-9397-08002B2CF9AE}" pid="12" name="DraftPages">
    <vt:lpwstr> 29</vt:lpwstr>
  </property>
  <property fmtid="{D5CDD505-2E9C-101B-9397-08002B2CF9AE}" pid="13" name="Operator">
    <vt:lpwstr>Малик</vt:lpwstr>
  </property>
</Properties>
</file>