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26FAC" w:rsidP="00926FAC">
            <w:pPr>
              <w:bidi w:val="0"/>
              <w:spacing w:after="20"/>
              <w:jc w:val="left"/>
              <w:rPr>
                <w:szCs w:val="20"/>
              </w:rPr>
            </w:pPr>
            <w:r w:rsidRPr="00926FAC">
              <w:rPr>
                <w:sz w:val="40"/>
                <w:szCs w:val="20"/>
              </w:rPr>
              <w:t>CEDAW</w:t>
            </w:r>
            <w:r>
              <w:rPr>
                <w:szCs w:val="20"/>
              </w:rPr>
              <w:t>/C/51/2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926FAC" w:rsidRDefault="00926FAC" w:rsidP="00926FAC">
            <w:pPr>
              <w:bidi w:val="0"/>
              <w:spacing w:before="240"/>
              <w:jc w:val="left"/>
            </w:pPr>
            <w:r>
              <w:t>Distr.: General</w:t>
            </w:r>
          </w:p>
          <w:p w:rsidR="00926FAC" w:rsidRDefault="00926FAC" w:rsidP="00926FAC">
            <w:pPr>
              <w:bidi w:val="0"/>
              <w:jc w:val="left"/>
            </w:pPr>
            <w:r>
              <w:t>4 January 2012</w:t>
            </w:r>
          </w:p>
          <w:p w:rsidR="00926FAC" w:rsidRDefault="00926FAC" w:rsidP="00926FAC">
            <w:pPr>
              <w:bidi w:val="0"/>
              <w:jc w:val="left"/>
            </w:pPr>
            <w:r>
              <w:t>Arabic</w:t>
            </w:r>
          </w:p>
          <w:p w:rsidR="00257225" w:rsidRPr="008B4BC6" w:rsidRDefault="00926FAC" w:rsidP="00926FAC">
            <w:pPr>
              <w:bidi w:val="0"/>
              <w:jc w:val="left"/>
            </w:pPr>
            <w:r>
              <w:t>Original: English</w:t>
            </w:r>
          </w:p>
        </w:tc>
      </w:tr>
    </w:tbl>
    <w:p w:rsidR="00926FAC" w:rsidRPr="001A261C" w:rsidRDefault="00926FAC" w:rsidP="00926FAC">
      <w:pPr>
        <w:spacing w:before="120" w:line="380" w:lineRule="exact"/>
        <w:rPr>
          <w:rFonts w:hint="cs"/>
          <w:b/>
          <w:bCs/>
          <w:sz w:val="36"/>
          <w:szCs w:val="36"/>
          <w:rtl/>
          <w:lang w:val="fr-CH"/>
        </w:rPr>
      </w:pPr>
      <w:r w:rsidRPr="001A261C">
        <w:rPr>
          <w:rFonts w:hint="cs"/>
          <w:b/>
          <w:bCs/>
          <w:sz w:val="36"/>
          <w:szCs w:val="36"/>
          <w:rtl/>
          <w:lang w:val="fr-CH"/>
        </w:rPr>
        <w:t xml:space="preserve">اللجنة المعنية </w:t>
      </w:r>
      <w:r>
        <w:rPr>
          <w:rFonts w:hint="cs"/>
          <w:b/>
          <w:bCs/>
          <w:sz w:val="36"/>
          <w:szCs w:val="36"/>
          <w:rtl/>
          <w:lang w:val="fr-CH"/>
        </w:rPr>
        <w:t>بال</w:t>
      </w:r>
      <w:r w:rsidRPr="001A261C">
        <w:rPr>
          <w:rFonts w:hint="cs"/>
          <w:b/>
          <w:bCs/>
          <w:sz w:val="36"/>
          <w:szCs w:val="36"/>
          <w:rtl/>
          <w:lang w:val="fr-CH"/>
        </w:rPr>
        <w:t>قضاء على التمييز ضد المرأة</w:t>
      </w:r>
    </w:p>
    <w:p w:rsidR="00926FAC" w:rsidRPr="001A261C" w:rsidRDefault="00926FAC" w:rsidP="00926FAC">
      <w:pPr>
        <w:spacing w:line="380" w:lineRule="exact"/>
        <w:rPr>
          <w:rFonts w:hint="cs"/>
          <w:b/>
          <w:bCs/>
          <w:rtl/>
          <w:lang w:val="fr-CH"/>
        </w:rPr>
      </w:pPr>
      <w:r w:rsidRPr="001A261C">
        <w:rPr>
          <w:rFonts w:hint="cs"/>
          <w:b/>
          <w:bCs/>
          <w:rtl/>
          <w:lang w:val="fr-CH"/>
        </w:rPr>
        <w:t>الدورة الحادية والخمسون</w:t>
      </w:r>
    </w:p>
    <w:p w:rsidR="00926FAC" w:rsidRDefault="00926FAC" w:rsidP="00926FAC">
      <w:pPr>
        <w:spacing w:line="380" w:lineRule="exact"/>
        <w:rPr>
          <w:rFonts w:hint="cs"/>
          <w:rtl/>
          <w:lang w:val="fr-CH"/>
        </w:rPr>
      </w:pPr>
      <w:r>
        <w:rPr>
          <w:rFonts w:hint="cs"/>
          <w:rtl/>
          <w:lang w:val="fr-CH"/>
        </w:rPr>
        <w:t>13 شباط/فبراير - 2 آذار/مارس 2012</w:t>
      </w:r>
    </w:p>
    <w:p w:rsidR="00926FAC" w:rsidRDefault="00926FAC" w:rsidP="00926FAC">
      <w:pPr>
        <w:spacing w:line="380" w:lineRule="exact"/>
        <w:rPr>
          <w:rFonts w:hint="cs"/>
          <w:rtl/>
          <w:lang w:val="fr-CH"/>
        </w:rPr>
      </w:pPr>
      <w:r>
        <w:rPr>
          <w:rFonts w:hint="cs"/>
          <w:rtl/>
          <w:lang w:val="fr-CH"/>
        </w:rPr>
        <w:t>البند 6 من جدول الأعمال المؤقت</w:t>
      </w:r>
    </w:p>
    <w:p w:rsidR="00926FAC" w:rsidRPr="001A261C" w:rsidRDefault="00926FAC" w:rsidP="00926FAC">
      <w:pPr>
        <w:spacing w:line="380" w:lineRule="exact"/>
        <w:ind w:right="4732"/>
        <w:rPr>
          <w:rFonts w:hint="cs"/>
          <w:b/>
          <w:bCs/>
          <w:rtl/>
          <w:lang w:val="fr-CH"/>
        </w:rPr>
      </w:pPr>
      <w:r w:rsidRPr="001A261C">
        <w:rPr>
          <w:rFonts w:hint="cs"/>
          <w:b/>
          <w:bCs/>
          <w:rtl/>
          <w:lang w:val="fr-CH"/>
        </w:rPr>
        <w:t>تنفيذ ال</w:t>
      </w:r>
      <w:r>
        <w:rPr>
          <w:rFonts w:hint="cs"/>
          <w:b/>
          <w:bCs/>
          <w:rtl/>
          <w:lang w:val="fr-CH"/>
        </w:rPr>
        <w:t xml:space="preserve">مادتين 21 و22 من اتفاقية القضاء </w:t>
      </w:r>
      <w:r w:rsidR="00853BDC">
        <w:rPr>
          <w:rFonts w:hint="cs"/>
          <w:b/>
          <w:bCs/>
          <w:rtl/>
          <w:lang w:val="fr-CH"/>
        </w:rPr>
        <w:t xml:space="preserve">على جميع أشكال </w:t>
      </w:r>
      <w:r w:rsidRPr="001A261C">
        <w:rPr>
          <w:rFonts w:hint="cs"/>
          <w:b/>
          <w:bCs/>
          <w:rtl/>
          <w:lang w:val="fr-CH"/>
        </w:rPr>
        <w:t xml:space="preserve">التمييز ضد المرأة </w:t>
      </w:r>
    </w:p>
    <w:p w:rsidR="00926FAC" w:rsidRDefault="00926FAC" w:rsidP="00926FAC">
      <w:pPr>
        <w:pStyle w:val="HChGA"/>
        <w:rPr>
          <w:rFonts w:hint="cs"/>
          <w:rtl/>
          <w:lang w:val="fr-CH"/>
        </w:rPr>
      </w:pPr>
      <w:r>
        <w:rPr>
          <w:rFonts w:hint="cs"/>
          <w:rtl/>
          <w:lang w:val="fr-CH"/>
        </w:rPr>
        <w:tab/>
      </w:r>
      <w:r>
        <w:rPr>
          <w:rFonts w:hint="cs"/>
          <w:rtl/>
          <w:lang w:val="fr-CH"/>
        </w:rPr>
        <w:tab/>
        <w:t>التقارير المقدمة من الوكالات المتخصصة بشأن تنفيذ الاتفاقية في المجالات الداخلة في نطاق أنشطتها</w:t>
      </w:r>
    </w:p>
    <w:p w:rsidR="00926FAC" w:rsidRDefault="00926FAC" w:rsidP="00926FAC">
      <w:pPr>
        <w:pStyle w:val="H1GA"/>
        <w:rPr>
          <w:rFonts w:hint="cs"/>
          <w:rtl/>
          <w:lang w:val="fr-CH"/>
        </w:rPr>
      </w:pPr>
      <w:r>
        <w:rPr>
          <w:rFonts w:hint="cs"/>
          <w:rtl/>
          <w:lang w:val="fr-CH"/>
        </w:rPr>
        <w:tab/>
      </w:r>
      <w:r>
        <w:rPr>
          <w:rFonts w:hint="cs"/>
          <w:rtl/>
          <w:lang w:val="fr-CH"/>
        </w:rPr>
        <w:tab/>
        <w:t>تقرير منظمة الأمم المتحدة للتربية والعلم والثقافة</w:t>
      </w:r>
      <w:r w:rsidRPr="00926FAC">
        <w:rPr>
          <w:rStyle w:val="FootnoteReference"/>
          <w:sz w:val="20"/>
          <w:vertAlign w:val="baseline"/>
          <w:rtl/>
          <w:lang w:val="fr-CH"/>
        </w:rPr>
        <w:footnoteReference w:customMarkFollows="1" w:id="1"/>
        <w:t>*</w:t>
      </w:r>
    </w:p>
    <w:tbl>
      <w:tblPr>
        <w:tblStyle w:val="TableGrid"/>
        <w:bidiVisual/>
        <w:tblW w:w="0" w:type="auto"/>
        <w:jc w:val="center"/>
        <w:tblLook w:val="01E0" w:firstRow="1" w:lastRow="1" w:firstColumn="1" w:lastColumn="1" w:noHBand="0" w:noVBand="0"/>
      </w:tblPr>
      <w:tblGrid>
        <w:gridCol w:w="9637"/>
      </w:tblGrid>
      <w:tr w:rsidR="00926FAC" w:rsidTr="00F74F44">
        <w:trPr>
          <w:jc w:val="center"/>
        </w:trPr>
        <w:tc>
          <w:tcPr>
            <w:tcW w:w="9637" w:type="dxa"/>
            <w:tcBorders>
              <w:bottom w:val="nil"/>
            </w:tcBorders>
          </w:tcPr>
          <w:p w:rsidR="00926FAC" w:rsidRPr="00785AE2" w:rsidRDefault="00926FAC" w:rsidP="00F74F44">
            <w:pPr>
              <w:tabs>
                <w:tab w:val="left" w:pos="255"/>
              </w:tabs>
              <w:spacing w:before="120" w:after="120" w:line="380" w:lineRule="exact"/>
              <w:rPr>
                <w:rFonts w:ascii="Traditional Arabic" w:hAnsi="Traditional Arabic" w:hint="cs"/>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926FAC" w:rsidTr="00F74F44">
        <w:trPr>
          <w:jc w:val="center"/>
        </w:trPr>
        <w:tc>
          <w:tcPr>
            <w:tcW w:w="9637" w:type="dxa"/>
            <w:tcBorders>
              <w:top w:val="nil"/>
              <w:bottom w:val="nil"/>
            </w:tcBorders>
            <w:shd w:val="clear" w:color="auto" w:fill="auto"/>
          </w:tcPr>
          <w:p w:rsidR="00926FAC" w:rsidRPr="00853BDC" w:rsidRDefault="00926FAC" w:rsidP="00926FAC">
            <w:pPr>
              <w:pStyle w:val="SingleTxtGA"/>
              <w:rPr>
                <w:rFonts w:hint="cs"/>
                <w:spacing w:val="2"/>
                <w:rtl/>
              </w:rPr>
            </w:pPr>
            <w:r w:rsidRPr="00853BDC">
              <w:rPr>
                <w:spacing w:val="2"/>
                <w:rtl/>
              </w:rPr>
              <w:tab/>
            </w:r>
            <w:r w:rsidRPr="00853BDC">
              <w:rPr>
                <w:rFonts w:hint="cs"/>
                <w:spacing w:val="2"/>
                <w:rtl/>
              </w:rPr>
              <w:t>وفقاً للمادة 22 من اتفاقية القضاء على جميع أشكال التمييز ضد المرأة، دُعيت الوكالات المتخصصة إلى أن تقدم إلى اللجنة المعنية بالقضاء على التمييز ضد المرأة، في دورتها الحادية والخمسين، تقارير بشأن تنفيذ الاتفاقية في المجالات التي تندرج ضمن نطاق أنشطتها.</w:t>
            </w:r>
          </w:p>
        </w:tc>
      </w:tr>
      <w:tr w:rsidR="00926FAC" w:rsidTr="00F74F44">
        <w:trPr>
          <w:jc w:val="center"/>
        </w:trPr>
        <w:tc>
          <w:tcPr>
            <w:tcW w:w="9637" w:type="dxa"/>
            <w:tcBorders>
              <w:top w:val="nil"/>
            </w:tcBorders>
          </w:tcPr>
          <w:p w:rsidR="00926FAC" w:rsidRDefault="00926FAC" w:rsidP="00F74F44">
            <w:pPr>
              <w:spacing w:line="200" w:lineRule="exact"/>
              <w:rPr>
                <w:rFonts w:hint="cs"/>
                <w:rtl/>
              </w:rPr>
            </w:pPr>
          </w:p>
        </w:tc>
      </w:tr>
    </w:tbl>
    <w:p w:rsidR="00926FAC" w:rsidRDefault="00926FAC" w:rsidP="00926FAC">
      <w:pPr>
        <w:pStyle w:val="HChGA"/>
        <w:spacing w:before="120"/>
        <w:rPr>
          <w:rFonts w:hint="cs"/>
          <w:rtl/>
        </w:rPr>
      </w:pPr>
      <w:r>
        <w:rPr>
          <w:rtl/>
        </w:rPr>
        <w:br w:type="page"/>
      </w:r>
      <w:r>
        <w:rPr>
          <w:rFonts w:hint="cs"/>
          <w:rtl/>
        </w:rPr>
        <w:tab/>
      </w:r>
      <w:r w:rsidR="00EF3239">
        <w:rPr>
          <w:rFonts w:hint="cs"/>
          <w:rtl/>
        </w:rPr>
        <w:t>أولاً-</w:t>
      </w:r>
      <w:r>
        <w:rPr>
          <w:rtl/>
        </w:rPr>
        <w:tab/>
      </w:r>
      <w:r>
        <w:rPr>
          <w:rFonts w:hint="cs"/>
          <w:rtl/>
        </w:rPr>
        <w:t>مقدمة</w:t>
      </w:r>
    </w:p>
    <w:p w:rsidR="00926FAC" w:rsidRDefault="00926FAC" w:rsidP="00926FAC">
      <w:pPr>
        <w:pStyle w:val="SingleTxtGA"/>
        <w:rPr>
          <w:rFonts w:hint="cs"/>
          <w:rtl/>
        </w:rPr>
      </w:pPr>
      <w:r>
        <w:rPr>
          <w:rFonts w:hint="cs"/>
          <w:rtl/>
        </w:rPr>
        <w:t>1-</w:t>
      </w:r>
      <w:r>
        <w:rPr>
          <w:rFonts w:hint="cs"/>
          <w:rtl/>
        </w:rPr>
        <w:tab/>
        <w:t>من المقرر أن تبحث اللجنة المعنية بالقضاء على التمييز ضد المرأة، في دورتها الحادية والخمسين، التقارير الوطنية للبلدان الآتية: الأردن والبرازيل والجزائر وزمبابوي وغرينادا والكونغو والنرويج.</w:t>
      </w:r>
    </w:p>
    <w:p w:rsidR="00926FAC" w:rsidRDefault="00926FAC" w:rsidP="00C75A53">
      <w:pPr>
        <w:pStyle w:val="SingleTxtGA"/>
        <w:rPr>
          <w:rFonts w:hint="cs"/>
          <w:rtl/>
        </w:rPr>
      </w:pPr>
      <w:r>
        <w:rPr>
          <w:rFonts w:hint="cs"/>
          <w:rtl/>
        </w:rPr>
        <w:t>2-</w:t>
      </w:r>
      <w:r>
        <w:rPr>
          <w:rFonts w:hint="cs"/>
          <w:rtl/>
        </w:rPr>
        <w:tab/>
        <w:t>وتساهم منظمة الأمم المتحدة للتربية والعلم والثقافة (اليونسكو)، بصفتها وكالة متخصصة، في بناء السلام والتخفيف من حدة الفقر وفي التنمية المستدامة والحوار فيما بين الثقافات من خلال التعليم والعلم والثقافة والاتصال والإعلام. وقد اعتبرت خطة</w:t>
      </w:r>
      <w:r w:rsidRPr="00644432">
        <w:rPr>
          <w:rFonts w:hint="cs"/>
          <w:rtl/>
        </w:rPr>
        <w:t xml:space="preserve"> </w:t>
      </w:r>
      <w:r>
        <w:rPr>
          <w:rFonts w:hint="cs"/>
          <w:rtl/>
        </w:rPr>
        <w:t xml:space="preserve">اليونسكو متوسطة الأجل للسنوات 2008-2013 مسألة المساواة بين الجنسين إحدى أكبر أولويات المنظمة. وتسعى اليونسكو إلى تنفيذ "أولوية المساواة بين الجنسين" من خلال </w:t>
      </w:r>
      <w:r w:rsidR="00C75A53">
        <w:rPr>
          <w:rFonts w:hint="cs"/>
          <w:rtl/>
        </w:rPr>
        <w:t>ا</w:t>
      </w:r>
      <w:r>
        <w:rPr>
          <w:rFonts w:hint="cs"/>
          <w:rtl/>
        </w:rPr>
        <w:t>تباع نهج ذي شقين (أ) وضع برامج محددة للمسائل الجنسانية و(ب) تعميم مراعاة الاعتبارات الجنسانية في جميع مجالات اختصاص اليونسكو.</w:t>
      </w:r>
    </w:p>
    <w:p w:rsidR="00926FAC" w:rsidRDefault="00926FAC" w:rsidP="00EF3239">
      <w:pPr>
        <w:pStyle w:val="SingleTxtGA"/>
        <w:rPr>
          <w:rFonts w:hint="cs"/>
          <w:rtl/>
        </w:rPr>
      </w:pPr>
      <w:r>
        <w:rPr>
          <w:rFonts w:hint="cs"/>
          <w:rtl/>
        </w:rPr>
        <w:t>3-</w:t>
      </w:r>
      <w:r>
        <w:rPr>
          <w:rFonts w:hint="cs"/>
          <w:rtl/>
        </w:rPr>
        <w:tab/>
        <w:t>وتؤدي اليونسكو دوراً رئيسياً وتتحمل أعباءً رئيسية في منظومة الأمم المتحدة لتنفيذ اتفاقية القضاء على جميع أشكال التمييز ضد المرأة، التي تنص على أن "تتخذ الدول الأطراف جميع التدابير المناسبة للقضاء على التمييز ضد المرأة لكي تكفل لها حقوقاً مساوية لحقوق الرجل في ميدان التربية" (المادة 10). ويمثل الحق في التعليم الجوهر الأصيل لمهمة اليونسكو كما يمثل جزء أساسياً من ولايتها التي قامت من أجلها. وتساهم أعمال اليونسكو المعيارية المتخذة لإعمال اتفاقية مكافحة التمييز في مجال التعليم (1960) في تعزيز التكافؤ في الفرص التعليمية بين البنين والبنات. وقد ظل التعليم الأساسي للفتيات والنساء أيضاً عنصراً هاماً في الرؤية التي أوردتها اللجنة الدولية المعنية بالتعليم في القرن الحادي والعشرين في تقريرها المقدم إلى اليونسكو، المعنون "التعلم: كنز بداخله" (1996)، الذي جاء فيه أن "التعليم حق من حقوق الإنسان وأداة أساسية لتحقيق أهداف المساواة والتنمية والسلام. وحركة توفير التعليم للجميع هي التزام عالمي لتقديم تعليم أساسي جيد لجميع البنات والبنين والمرأة والرجل. وقد أسند إطار عمل داكار إلى اليونسكو مهمة التنسيق فيما بين الشركاء في التنفيذ، بالتعاون مع الجهات الأربع الأخرى المشتركة في محفل د</w:t>
      </w:r>
      <w:r w:rsidR="00EF3239">
        <w:rPr>
          <w:rFonts w:hint="cs"/>
          <w:rtl/>
        </w:rPr>
        <w:t>ا</w:t>
      </w:r>
      <w:r>
        <w:rPr>
          <w:rFonts w:hint="cs"/>
          <w:rtl/>
        </w:rPr>
        <w:t xml:space="preserve">كار (برنامج الأمم المتحدة الإنمائي، وصندوق الأمم المتحدة للسكان ومنظمة الأمم المتحدة لرعاية الطفولة (اليونيسيف) والبنك الدولي). وتركز اليونسكو أنشطتها على خمسة مجالات رئيسية هي: الحوار بشأن السياسات المطلوب </w:t>
      </w:r>
      <w:proofErr w:type="spellStart"/>
      <w:r>
        <w:rPr>
          <w:rFonts w:hint="cs"/>
          <w:rtl/>
        </w:rPr>
        <w:t>اتباعها</w:t>
      </w:r>
      <w:proofErr w:type="spellEnd"/>
      <w:r>
        <w:rPr>
          <w:rFonts w:hint="cs"/>
          <w:rtl/>
        </w:rPr>
        <w:t xml:space="preserve"> والرصد، والدعوى، وحشد التمويل، وتنمية القدرات.</w:t>
      </w:r>
    </w:p>
    <w:p w:rsidR="00926FAC" w:rsidRDefault="00926FAC" w:rsidP="00926FAC">
      <w:pPr>
        <w:pStyle w:val="SingleTxtGA"/>
        <w:rPr>
          <w:rFonts w:hint="cs"/>
          <w:rtl/>
        </w:rPr>
      </w:pPr>
      <w:r>
        <w:rPr>
          <w:rFonts w:hint="cs"/>
          <w:rtl/>
        </w:rPr>
        <w:t>4-</w:t>
      </w:r>
      <w:r>
        <w:rPr>
          <w:rFonts w:hint="cs"/>
          <w:rtl/>
        </w:rPr>
        <w:tab/>
        <w:t xml:space="preserve">وتسترشد اليونسكو في الجهود التي تبذلها لتعزيز تمكين المرأة، وحقوق المرأة والمساواة بين الجنسين، باتفاقية القضاء على جميع أشكال التمييز ضد المرأة، وبمنهاج عمل بيجين، وبالقرارات والصكوك الدولية والإقليمية ذات الصلة بمجالات عمل اليونسكو، وباستراتيجية اليونسكو المتوسطة الأجل للسنوات 2008-2013، وبوثيقة برنامج وميزانية اليونسكو لفترة السنتين، فضلاً عن خطة عمل اليونسكو للسنوات 2008-2013 بشأن مجال الأولوية المتعلق بالمساواة بين الجنسين المعمول بها على نطاق المنظمة بأسرها، التي تشكّل مرجعاً في مجال تنفيذ الأولوية العالمية للمنظمة، المتعلقة </w:t>
      </w:r>
      <w:r w:rsidRPr="00B47FBD">
        <w:rPr>
          <w:rFonts w:hint="cs"/>
          <w:sz w:val="30"/>
          <w:rtl/>
        </w:rPr>
        <w:t>ب‍</w:t>
      </w:r>
      <w:r>
        <w:rPr>
          <w:rFonts w:hint="cs"/>
          <w:rtl/>
        </w:rPr>
        <w:t xml:space="preserve"> </w:t>
      </w:r>
      <w:r>
        <w:rPr>
          <w:rFonts w:hint="eastAsia"/>
          <w:rtl/>
        </w:rPr>
        <w:t>"المساواة بين الجنسين</w:t>
      </w:r>
      <w:r>
        <w:rPr>
          <w:rFonts w:hint="cs"/>
          <w:rtl/>
        </w:rPr>
        <w:t>".</w:t>
      </w:r>
    </w:p>
    <w:p w:rsidR="00926FAC" w:rsidRDefault="00926FAC" w:rsidP="00926FAC">
      <w:pPr>
        <w:pStyle w:val="SingleTxtGA"/>
        <w:rPr>
          <w:rFonts w:hint="cs"/>
          <w:rtl/>
        </w:rPr>
      </w:pPr>
      <w:r>
        <w:rPr>
          <w:rFonts w:hint="cs"/>
          <w:rtl/>
        </w:rPr>
        <w:t>5-</w:t>
      </w:r>
      <w:r>
        <w:rPr>
          <w:rFonts w:hint="cs"/>
          <w:rtl/>
        </w:rPr>
        <w:tab/>
        <w:t>وتتولى شعبة المساواة بين الجنسين في مكتب المدير العام تنفيذ التزام اليونسكو بتعزيز تمكين المرأة، وحقوق المرأة وتحقيق المساواة بين الجنسين. وتقدم هذه الشعبة، بوصفها جهة التنسيق في اليونسكو المعنية بالمساواة بين الجنسين، التوجيه فيما يتعلق بالسياسات والتوصيات في الأمانة، وتضطلع بأنشطة بناء القدرات وتنسق أبحاثاً متطورة لتقديم مشورة مستنيرة</w:t>
      </w:r>
      <w:r w:rsidRPr="00E3338E">
        <w:rPr>
          <w:rFonts w:hint="cs"/>
          <w:rtl/>
        </w:rPr>
        <w:t xml:space="preserve"> </w:t>
      </w:r>
      <w:r>
        <w:rPr>
          <w:rFonts w:hint="cs"/>
          <w:rtl/>
        </w:rPr>
        <w:t>إلى الدول الأعضاء في مجال السياسة العامة. وتقوم الشعبة أيضاً برصد التقدم الحاصل في مجال التكافؤ الجنساني ضمن أمانة اليونسكو.</w:t>
      </w:r>
    </w:p>
    <w:p w:rsidR="00926FAC" w:rsidRDefault="00EF3239" w:rsidP="00EF3239">
      <w:pPr>
        <w:pStyle w:val="HChGA"/>
        <w:rPr>
          <w:rFonts w:hint="cs"/>
          <w:rtl/>
        </w:rPr>
      </w:pPr>
      <w:r>
        <w:rPr>
          <w:rFonts w:hint="cs"/>
          <w:rtl/>
        </w:rPr>
        <w:tab/>
        <w:t>ثانياً-</w:t>
      </w:r>
      <w:r w:rsidR="00926FAC">
        <w:rPr>
          <w:rFonts w:hint="cs"/>
          <w:rtl/>
        </w:rPr>
        <w:tab/>
        <w:t>التدابير التي اتخذتها اليونسكو لتنفيذ أحكام الاتفاقية في البلدان التي ستنظر في تقاريرها في دورتها الحادية والخمسين</w:t>
      </w:r>
    </w:p>
    <w:p w:rsidR="00926FAC" w:rsidRDefault="00926FAC" w:rsidP="00926FAC">
      <w:pPr>
        <w:pStyle w:val="H1GA"/>
        <w:rPr>
          <w:rFonts w:hint="cs"/>
          <w:rtl/>
        </w:rPr>
      </w:pPr>
      <w:r>
        <w:rPr>
          <w:rFonts w:hint="cs"/>
          <w:rtl/>
        </w:rPr>
        <w:tab/>
      </w:r>
      <w:r>
        <w:rPr>
          <w:rFonts w:hint="cs"/>
          <w:rtl/>
        </w:rPr>
        <w:tab/>
        <w:t>الجزائر</w:t>
      </w:r>
    </w:p>
    <w:p w:rsidR="00926FAC" w:rsidRDefault="00926FAC" w:rsidP="00926FAC">
      <w:pPr>
        <w:pStyle w:val="SingleTxtGA"/>
        <w:rPr>
          <w:rFonts w:hint="cs"/>
          <w:rtl/>
        </w:rPr>
      </w:pPr>
      <w:r>
        <w:rPr>
          <w:rFonts w:hint="cs"/>
          <w:rtl/>
        </w:rPr>
        <w:t>6-</w:t>
      </w:r>
      <w:r>
        <w:rPr>
          <w:rFonts w:hint="cs"/>
          <w:rtl/>
        </w:rPr>
        <w:tab/>
        <w:t xml:space="preserve">أنشئت الشبكة العربية المشتركة بين اليونسكو والمنظمة الإسلامية للتربية والعلوم والثقافة، المعنية بالأبحاث والسياسات في مجال الحقوق الاقتصادية والاجتماعية والثقافية، في الرباط في آذار/مارس 2006. وكان الأعضاء المؤسسون البالغ عددهم 26 عضواً، الذين يمثلون منظمات وطنية لحقوق الإنسان، وجامعات ومؤسسات بحوث وكذلك كراسي أستاذية تابعة لليونسكو، ومنظمات غير حكومية تعمل في تونس والجزائر وليبيا ومصر والمغرب وموريتانيا، قد اتخذوا الحقوق الثقافية أولويةً للبحوث. ويراعي النهج القائم على الحقوق الثقافية أيضاً التكوين الثقافي لفئات الأشخاص الذين يعانون من الاستضعاف، أي النساء. ومنذ إنشاء هذه الشبكة وهي تسعى إلى تحقيق احترام حقوق المرأة في المشاركة بحرية وعلى قدر المساواة مع الرجل في الحياة الثقافية، ونزع المشروعية عن الممارسات التي تنتهك الحقوق الثقافية للمرأة وتستهدفها، والقضاء على مثل هذه الممارسات. ويمكن الاطلاع بهذا الخصوص على الكتاب المعنون "الحقوق الثقافية في المغرب العربي ومصر" المتاح على العنوان الشبكي: </w:t>
      </w:r>
      <w:hyperlink r:id="rId8" w:history="1">
        <w:r w:rsidRPr="000E20EB">
          <w:rPr>
            <w:rStyle w:val="Hyperlink"/>
            <w:lang w:val="en"/>
          </w:rPr>
          <w:t>http://unesdoc.</w:t>
        </w:r>
        <w:r w:rsidRPr="000E20EB">
          <w:rPr>
            <w:rStyle w:val="Hyperlink"/>
            <w:lang w:val="en"/>
          </w:rPr>
          <w:t>u</w:t>
        </w:r>
        <w:r w:rsidRPr="000E20EB">
          <w:rPr>
            <w:rStyle w:val="Hyperlink"/>
            <w:lang w:val="en"/>
          </w:rPr>
          <w:t>nesco.org/images/0019/001900/190009F.pdf</w:t>
        </w:r>
      </w:hyperlink>
      <w:r>
        <w:rPr>
          <w:rFonts w:hint="cs"/>
          <w:rtl/>
        </w:rPr>
        <w:t>.</w:t>
      </w:r>
    </w:p>
    <w:p w:rsidR="00926FAC" w:rsidRDefault="00926FAC" w:rsidP="00F177A4">
      <w:pPr>
        <w:pStyle w:val="SingleTxtGA"/>
        <w:rPr>
          <w:rFonts w:hint="cs"/>
          <w:rtl/>
        </w:rPr>
      </w:pPr>
      <w:r>
        <w:rPr>
          <w:rFonts w:hint="cs"/>
          <w:rtl/>
        </w:rPr>
        <w:t>7-</w:t>
      </w:r>
      <w:r>
        <w:rPr>
          <w:rFonts w:hint="cs"/>
          <w:rtl/>
        </w:rPr>
        <w:tab/>
        <w:t>وتسعى مبادرة اليونسكو الدولية للمراكز المجتمعية المتعددة الوسائط إلى التمكين المجتمعي ومعالجة الفجوة الرقمية من خلال الجمع بين البث الإذاعي المجتمعي والإنترنت والتكنولوجيات ذات الصلة. ويقدم برنامج المراكز المجتمعية المتعددة الوسائط استراتيجية عالمية للتصدي إلى الفجوة الرقمية في أفقر المجتمعات في البلدان النامية وكذلك في البلدان التي تمر بمرحلة انتقالية. ويتمثل هدف المشروع المعنون "تدريب الصحفيات في الجزائر" الذي أطلقه مكتب اليونسكو في الرباط، في سد الفجوة بين الجنسين في مجال الإعلام من خلال تنظيم دورات تدريبية للصحفيات. وفي هذه الدورات التدريبية، تعليم المرأة تقنيات جديدة في مجال التحرير وتقديم التقارير وإجراء المقابلات والحوارات وتلقي المساعدة على الاستفادة من ثورة تكنولوجيا المعلومات من خلال الوصول إلى الإنترنت والتعلم عن بعد. وسيتيح البرنامج، فضلاً عن ذلك، فرصة للتفكير في محتوى البرامج الإعلامية وتعزيز التبادل بين صحفيات المنطقة. وأصدر مكتب الرباط أيضاً دليلاً عن "المرأة وا</w:t>
      </w:r>
      <w:r w:rsidR="00F177A4">
        <w:rPr>
          <w:rFonts w:hint="cs"/>
          <w:rtl/>
        </w:rPr>
        <w:t xml:space="preserve">لإذاعة في منطقة المغرب العربي" </w:t>
      </w:r>
      <w:r>
        <w:rPr>
          <w:rFonts w:hint="cs"/>
          <w:rtl/>
        </w:rPr>
        <w:t xml:space="preserve">سيساعد مالكي الإذاعات، </w:t>
      </w:r>
      <w:r w:rsidR="00F177A4">
        <w:rPr>
          <w:rFonts w:hint="cs"/>
          <w:rtl/>
        </w:rPr>
        <w:t xml:space="preserve">ومديري المحطات الإذاعية </w:t>
      </w:r>
      <w:r>
        <w:rPr>
          <w:rFonts w:hint="cs"/>
          <w:rtl/>
        </w:rPr>
        <w:t xml:space="preserve">والمنتجين </w:t>
      </w:r>
      <w:r w:rsidR="00F177A4">
        <w:rPr>
          <w:rFonts w:hint="cs"/>
          <w:rtl/>
        </w:rPr>
        <w:t xml:space="preserve">الإذاعيين </w:t>
      </w:r>
      <w:r>
        <w:rPr>
          <w:rFonts w:hint="cs"/>
          <w:rtl/>
        </w:rPr>
        <w:t>على وضع محتوى يراعي الفروق بين الجنسين وعلى الحد من القوالب النمطية</w:t>
      </w:r>
      <w:r w:rsidR="00F177A4">
        <w:rPr>
          <w:rFonts w:hint="cs"/>
          <w:rtl/>
        </w:rPr>
        <w:t xml:space="preserve"> فيما ينتجون من برامج</w:t>
      </w:r>
      <w:r>
        <w:rPr>
          <w:rFonts w:hint="cs"/>
          <w:rtl/>
        </w:rPr>
        <w:t xml:space="preserve">. وسيفيد الدليل، إلى جانب الدليل الأول الذي </w:t>
      </w:r>
      <w:r w:rsidR="00F177A4">
        <w:rPr>
          <w:rFonts w:hint="cs"/>
          <w:rtl/>
        </w:rPr>
        <w:t xml:space="preserve">وُضع </w:t>
      </w:r>
      <w:r>
        <w:rPr>
          <w:rFonts w:hint="cs"/>
          <w:rtl/>
        </w:rPr>
        <w:t xml:space="preserve">في عام 2010 </w:t>
      </w:r>
      <w:r w:rsidR="00F177A4">
        <w:rPr>
          <w:rFonts w:hint="cs"/>
          <w:sz w:val="30"/>
          <w:rtl/>
        </w:rPr>
        <w:t xml:space="preserve">عن </w:t>
      </w:r>
      <w:r>
        <w:rPr>
          <w:rFonts w:hint="cs"/>
          <w:rtl/>
        </w:rPr>
        <w:t xml:space="preserve">"المرأة والتلفزيون في منطقة المغرب العربي"، كمادة مرجعية </w:t>
      </w:r>
      <w:r w:rsidRPr="00F83BCF">
        <w:rPr>
          <w:rFonts w:hint="cs"/>
          <w:sz w:val="30"/>
          <w:rtl/>
        </w:rPr>
        <w:t>ل‍</w:t>
      </w:r>
      <w:r>
        <w:rPr>
          <w:rFonts w:hint="cs"/>
          <w:rtl/>
        </w:rPr>
        <w:t xml:space="preserve">مشروع </w:t>
      </w:r>
      <w:r>
        <w:rPr>
          <w:rFonts w:hint="eastAsia"/>
          <w:rtl/>
        </w:rPr>
        <w:t>"تدريب الصحفيات في الجزائر".</w:t>
      </w:r>
    </w:p>
    <w:p w:rsidR="00926FAC" w:rsidRDefault="00926FAC" w:rsidP="00926FAC">
      <w:pPr>
        <w:pStyle w:val="H1GA"/>
        <w:rPr>
          <w:rFonts w:hint="cs"/>
          <w:rtl/>
        </w:rPr>
      </w:pPr>
      <w:r>
        <w:rPr>
          <w:rFonts w:hint="cs"/>
          <w:rtl/>
        </w:rPr>
        <w:tab/>
      </w:r>
      <w:r>
        <w:rPr>
          <w:rFonts w:hint="cs"/>
          <w:rtl/>
        </w:rPr>
        <w:tab/>
        <w:t>البرازيل</w:t>
      </w:r>
    </w:p>
    <w:p w:rsidR="00926FAC" w:rsidRDefault="00926FAC" w:rsidP="00F177A4">
      <w:pPr>
        <w:pStyle w:val="SingleTxtGA"/>
        <w:rPr>
          <w:rFonts w:hint="eastAsia"/>
          <w:rtl/>
        </w:rPr>
      </w:pPr>
      <w:r>
        <w:rPr>
          <w:rFonts w:hint="cs"/>
          <w:rtl/>
        </w:rPr>
        <w:t>8-</w:t>
      </w:r>
      <w:r>
        <w:rPr>
          <w:rFonts w:hint="cs"/>
          <w:rtl/>
        </w:rPr>
        <w:tab/>
        <w:t xml:space="preserve">قام مكتب اليونسكو في البرازيل بترجمة منشور اليونسكو المعنون "جواز </w:t>
      </w:r>
      <w:r w:rsidR="00F177A4">
        <w:rPr>
          <w:rFonts w:hint="cs"/>
          <w:rtl/>
        </w:rPr>
        <w:t>ال</w:t>
      </w:r>
      <w:r>
        <w:rPr>
          <w:rFonts w:hint="cs"/>
          <w:rtl/>
        </w:rPr>
        <w:t>سفر إلى المساواة"</w:t>
      </w:r>
      <w:r w:rsidR="00F177A4">
        <w:rPr>
          <w:rFonts w:hint="cs"/>
          <w:rtl/>
        </w:rPr>
        <w:t>،</w:t>
      </w:r>
      <w:r>
        <w:rPr>
          <w:rFonts w:hint="cs"/>
          <w:rtl/>
        </w:rPr>
        <w:t xml:space="preserve"> الذي </w:t>
      </w:r>
      <w:r w:rsidR="00F177A4">
        <w:rPr>
          <w:rFonts w:hint="cs"/>
          <w:rtl/>
        </w:rPr>
        <w:t xml:space="preserve">يعرض نص </w:t>
      </w:r>
      <w:r>
        <w:rPr>
          <w:rFonts w:hint="cs"/>
          <w:rtl/>
        </w:rPr>
        <w:t>اتفاقية القضاء على جميع أشكال التمييز ضد المرأة، إلى اللغة البرتغالية ووزع</w:t>
      </w:r>
      <w:r w:rsidR="00F177A4">
        <w:rPr>
          <w:rFonts w:hint="cs"/>
          <w:rtl/>
        </w:rPr>
        <w:t>ه</w:t>
      </w:r>
      <w:r>
        <w:rPr>
          <w:rFonts w:hint="cs"/>
          <w:rtl/>
        </w:rPr>
        <w:t xml:space="preserve"> على نطاق واسع في المدارس والجامعات </w:t>
      </w:r>
      <w:r w:rsidR="00F177A4">
        <w:rPr>
          <w:rFonts w:hint="cs"/>
          <w:rtl/>
        </w:rPr>
        <w:t xml:space="preserve">والجماعات </w:t>
      </w:r>
      <w:r>
        <w:rPr>
          <w:rFonts w:hint="cs"/>
          <w:rtl/>
        </w:rPr>
        <w:t>والرابطات النسائية. و</w:t>
      </w:r>
      <w:r w:rsidR="00F177A4">
        <w:rPr>
          <w:rFonts w:hint="cs"/>
          <w:rtl/>
        </w:rPr>
        <w:t xml:space="preserve">قد </w:t>
      </w:r>
      <w:r>
        <w:rPr>
          <w:rFonts w:hint="cs"/>
          <w:rtl/>
        </w:rPr>
        <w:t xml:space="preserve">ترجم المنشور المعنون </w:t>
      </w:r>
      <w:r w:rsidRPr="00B10AB3">
        <w:rPr>
          <w:rFonts w:hint="cs"/>
          <w:sz w:val="30"/>
          <w:rtl/>
        </w:rPr>
        <w:t>ب‍</w:t>
      </w:r>
      <w:r w:rsidR="00F177A4">
        <w:rPr>
          <w:rFonts w:hint="cs"/>
          <w:rtl/>
        </w:rPr>
        <w:t xml:space="preserve"> </w:t>
      </w:r>
      <w:r>
        <w:rPr>
          <w:rFonts w:hint="eastAsia"/>
          <w:rtl/>
        </w:rPr>
        <w:t xml:space="preserve">"جواز </w:t>
      </w:r>
      <w:r w:rsidR="00F177A4">
        <w:rPr>
          <w:rFonts w:hint="cs"/>
          <w:rtl/>
        </w:rPr>
        <w:t>ال</w:t>
      </w:r>
      <w:r>
        <w:rPr>
          <w:rFonts w:hint="eastAsia"/>
          <w:rtl/>
        </w:rPr>
        <w:t>سفر إلى المساواة" إلى أكثر من 22 لغة.</w:t>
      </w:r>
    </w:p>
    <w:p w:rsidR="00926FAC" w:rsidRPr="00853BDC" w:rsidRDefault="00926FAC" w:rsidP="00F177A4">
      <w:pPr>
        <w:pStyle w:val="SingleTxtGA"/>
        <w:rPr>
          <w:rFonts w:hint="cs"/>
          <w:spacing w:val="-2"/>
          <w:rtl/>
        </w:rPr>
      </w:pPr>
      <w:r w:rsidRPr="00853BDC">
        <w:rPr>
          <w:rFonts w:hint="cs"/>
          <w:spacing w:val="-2"/>
          <w:rtl/>
        </w:rPr>
        <w:t>9-</w:t>
      </w:r>
      <w:r w:rsidRPr="00853BDC">
        <w:rPr>
          <w:rFonts w:hint="cs"/>
          <w:spacing w:val="-2"/>
          <w:rtl/>
        </w:rPr>
        <w:tab/>
        <w:t>وفي إطار الشراكة الطويلة الأجل التي أقيمت بين اليونسكو ووزارة التعليم البرازيلية، تضع اليونسكو خط</w:t>
      </w:r>
      <w:r w:rsidR="00F177A4" w:rsidRPr="00853BDC">
        <w:rPr>
          <w:rFonts w:hint="cs"/>
          <w:spacing w:val="-2"/>
          <w:rtl/>
        </w:rPr>
        <w:t>ط</w:t>
      </w:r>
      <w:r w:rsidRPr="00853BDC">
        <w:rPr>
          <w:rFonts w:hint="cs"/>
          <w:spacing w:val="-2"/>
          <w:rtl/>
        </w:rPr>
        <w:t xml:space="preserve"> عمل سنوية مع الوزارة لدعم تنفيذ </w:t>
      </w:r>
      <w:r w:rsidR="00F177A4" w:rsidRPr="00853BDC">
        <w:rPr>
          <w:rFonts w:hint="cs"/>
          <w:spacing w:val="-2"/>
          <w:rtl/>
        </w:rPr>
        <w:t>ال</w:t>
      </w:r>
      <w:r w:rsidRPr="00853BDC">
        <w:rPr>
          <w:rFonts w:hint="cs"/>
          <w:spacing w:val="-2"/>
          <w:rtl/>
        </w:rPr>
        <w:t xml:space="preserve">سياسات </w:t>
      </w:r>
      <w:r w:rsidR="00F177A4" w:rsidRPr="00853BDC">
        <w:rPr>
          <w:rFonts w:hint="cs"/>
          <w:spacing w:val="-2"/>
          <w:rtl/>
        </w:rPr>
        <w:t xml:space="preserve">التعليمية </w:t>
      </w:r>
      <w:r w:rsidRPr="00853BDC">
        <w:rPr>
          <w:rFonts w:hint="cs"/>
          <w:spacing w:val="-2"/>
          <w:rtl/>
        </w:rPr>
        <w:t xml:space="preserve">في البرازيل. وتنفذ اليونسكو أيضاً في إطار هذا الاتفاق، مشروعاً عنوانه "البرازيل - أفريقيا: </w:t>
      </w:r>
      <w:r w:rsidR="00F177A4" w:rsidRPr="00853BDC">
        <w:rPr>
          <w:rFonts w:hint="cs"/>
          <w:spacing w:val="-2"/>
          <w:rtl/>
        </w:rPr>
        <w:t xml:space="preserve">تاريخين متقاطعين"، يرمي إلى إذكاء وعي بنات وبنين المدارس البرازيلية </w:t>
      </w:r>
      <w:r w:rsidRPr="00853BDC">
        <w:rPr>
          <w:rFonts w:hint="cs"/>
          <w:spacing w:val="-2"/>
          <w:rtl/>
        </w:rPr>
        <w:t>بأهمية تاريخ وثقافة أفريقيا والتصدي للعنصرية والتمييز من خلال أنشطة تفاعلية وتمارين عملية تستند إلى التعليم والثقافة.</w:t>
      </w:r>
    </w:p>
    <w:p w:rsidR="00926FAC" w:rsidRDefault="00926FAC" w:rsidP="00F177A4">
      <w:pPr>
        <w:pStyle w:val="SingleTxtGA"/>
        <w:rPr>
          <w:rFonts w:hint="cs"/>
          <w:rtl/>
        </w:rPr>
      </w:pPr>
      <w:r>
        <w:rPr>
          <w:rFonts w:hint="cs"/>
          <w:rtl/>
        </w:rPr>
        <w:t>10-</w:t>
      </w:r>
      <w:r>
        <w:rPr>
          <w:rFonts w:hint="cs"/>
          <w:rtl/>
        </w:rPr>
        <w:tab/>
        <w:t>وفي إطار الجائزة الوطنية "</w:t>
      </w:r>
      <w:proofErr w:type="spellStart"/>
      <w:r>
        <w:rPr>
          <w:rFonts w:hint="cs"/>
          <w:rtl/>
        </w:rPr>
        <w:t>لوريال</w:t>
      </w:r>
      <w:proofErr w:type="spellEnd"/>
      <w:r>
        <w:rPr>
          <w:rFonts w:hint="cs"/>
          <w:rtl/>
        </w:rPr>
        <w:t xml:space="preserve"> - اليونسكو" للمرأة في مجال العلوم، تختار هيئة محلفين مؤلفة من أعضاء في الأكاديمية البرازيلية للعلوم، واليونسكو، وشركة </w:t>
      </w:r>
      <w:proofErr w:type="spellStart"/>
      <w:r>
        <w:rPr>
          <w:rFonts w:hint="cs"/>
          <w:rtl/>
        </w:rPr>
        <w:t>لوريال</w:t>
      </w:r>
      <w:proofErr w:type="spellEnd"/>
      <w:r>
        <w:rPr>
          <w:rFonts w:hint="cs"/>
          <w:rtl/>
        </w:rPr>
        <w:t xml:space="preserve">، </w:t>
      </w:r>
      <w:r w:rsidR="00F177A4">
        <w:rPr>
          <w:rFonts w:hint="cs"/>
          <w:rtl/>
        </w:rPr>
        <w:t xml:space="preserve">في </w:t>
      </w:r>
      <w:r w:rsidR="00EF3239">
        <w:rPr>
          <w:rFonts w:hint="cs"/>
          <w:rtl/>
        </w:rPr>
        <w:t xml:space="preserve">كل </w:t>
      </w:r>
      <w:r>
        <w:rPr>
          <w:rFonts w:hint="cs"/>
          <w:rtl/>
        </w:rPr>
        <w:t xml:space="preserve">عام، سبع عالمات برازيليات. وتتلقى كل عالمة </w:t>
      </w:r>
      <w:r w:rsidR="00F177A4">
        <w:rPr>
          <w:rFonts w:hint="cs"/>
          <w:rtl/>
        </w:rPr>
        <w:t xml:space="preserve">منحة </w:t>
      </w:r>
      <w:r>
        <w:rPr>
          <w:rFonts w:hint="cs"/>
          <w:rtl/>
        </w:rPr>
        <w:t>000 20 دولار أمريكي لدعم تنمية مشروعها البحثي.</w:t>
      </w:r>
    </w:p>
    <w:p w:rsidR="00926FAC" w:rsidRDefault="00926FAC" w:rsidP="00F177A4">
      <w:pPr>
        <w:pStyle w:val="SingleTxtGA"/>
        <w:rPr>
          <w:rFonts w:hint="cs"/>
          <w:rtl/>
        </w:rPr>
      </w:pPr>
      <w:r>
        <w:rPr>
          <w:rFonts w:hint="cs"/>
          <w:rtl/>
        </w:rPr>
        <w:t>11-</w:t>
      </w:r>
      <w:r>
        <w:rPr>
          <w:rFonts w:hint="cs"/>
          <w:rtl/>
        </w:rPr>
        <w:tab/>
        <w:t>وقد قام مكتب اليونسكو في البرازي</w:t>
      </w:r>
      <w:r w:rsidR="00EF3239">
        <w:rPr>
          <w:rFonts w:hint="cs"/>
          <w:rtl/>
        </w:rPr>
        <w:t>ل مؤخراً بتصميم دورة تدريبية إل</w:t>
      </w:r>
      <w:r>
        <w:rPr>
          <w:rFonts w:hint="cs"/>
          <w:rtl/>
        </w:rPr>
        <w:t>كترونية لصالح المهنيين في مجالي الصحة والتعليم. وخصص</w:t>
      </w:r>
      <w:r w:rsidR="00F177A4">
        <w:rPr>
          <w:rFonts w:hint="cs"/>
          <w:rtl/>
        </w:rPr>
        <w:t>ت إحدى وحدات هذه الدورة التد</w:t>
      </w:r>
      <w:r>
        <w:rPr>
          <w:rFonts w:hint="cs"/>
          <w:rtl/>
        </w:rPr>
        <w:t xml:space="preserve">ريبية لموضوع "نوع الجنس والحقوق الجنسية والإنجابية للمراهقات والشابات". </w:t>
      </w:r>
      <w:r w:rsidR="00F177A4">
        <w:rPr>
          <w:rFonts w:hint="cs"/>
          <w:rtl/>
        </w:rPr>
        <w:t xml:space="preserve">وستقدم </w:t>
      </w:r>
      <w:r>
        <w:rPr>
          <w:rFonts w:hint="cs"/>
          <w:rtl/>
        </w:rPr>
        <w:t xml:space="preserve">هذه الدورة التدريبية </w:t>
      </w:r>
      <w:r w:rsidR="00F177A4" w:rsidRPr="00F177A4">
        <w:rPr>
          <w:rFonts w:hint="cs"/>
          <w:sz w:val="30"/>
          <w:rtl/>
        </w:rPr>
        <w:t>ل‍</w:t>
      </w:r>
      <w:r>
        <w:rPr>
          <w:rFonts w:hint="cs"/>
          <w:rtl/>
        </w:rPr>
        <w:t xml:space="preserve"> </w:t>
      </w:r>
      <w:r w:rsidR="00F177A4">
        <w:rPr>
          <w:rFonts w:hint="cs"/>
          <w:rtl/>
        </w:rPr>
        <w:t>000 40</w:t>
      </w:r>
      <w:r>
        <w:rPr>
          <w:rFonts w:hint="cs"/>
          <w:rtl/>
        </w:rPr>
        <w:t xml:space="preserve"> معلم ومعلمة في التعليم الأساسي والثانوي.</w:t>
      </w:r>
    </w:p>
    <w:p w:rsidR="00926FAC" w:rsidRPr="00853BDC" w:rsidRDefault="00926FAC" w:rsidP="00F177A4">
      <w:pPr>
        <w:pStyle w:val="SingleTxtGA"/>
        <w:rPr>
          <w:rFonts w:hint="cs"/>
          <w:spacing w:val="-2"/>
          <w:rtl/>
        </w:rPr>
      </w:pPr>
      <w:r>
        <w:rPr>
          <w:rFonts w:hint="cs"/>
          <w:rtl/>
        </w:rPr>
        <w:t>12-</w:t>
      </w:r>
      <w:r>
        <w:rPr>
          <w:rFonts w:hint="cs"/>
          <w:rtl/>
        </w:rPr>
        <w:tab/>
        <w:t xml:space="preserve">وقد صممت اليونسكو بالاشتراك مع حكومة البرازيل </w:t>
      </w:r>
      <w:r w:rsidR="00F177A4">
        <w:rPr>
          <w:rFonts w:hint="cs"/>
          <w:rtl/>
        </w:rPr>
        <w:t xml:space="preserve">كتيبات رسوم </w:t>
      </w:r>
      <w:r>
        <w:rPr>
          <w:rFonts w:hint="cs"/>
          <w:rtl/>
        </w:rPr>
        <w:t xml:space="preserve">هزلية، وأدلة وأقراص مدمجة للمعلمين عن مواضيع تتعلق بفيروس نقص المناعة البشري/الإيدز، والمساواة بين الجنسين، والحقوق الجنسية والإنجابية، وحقوق الإنسان </w:t>
      </w:r>
      <w:r w:rsidR="00F177A4">
        <w:rPr>
          <w:rFonts w:hint="cs"/>
          <w:rtl/>
        </w:rPr>
        <w:t xml:space="preserve">والوقاية من الإدمان على </w:t>
      </w:r>
      <w:r>
        <w:rPr>
          <w:rFonts w:hint="cs"/>
          <w:rtl/>
        </w:rPr>
        <w:t xml:space="preserve">المشروبات الكحولية وغيرها من المخدرات. ونُشرت هذه المواد على </w:t>
      </w:r>
      <w:r w:rsidR="00F177A4">
        <w:rPr>
          <w:rFonts w:hint="cs"/>
          <w:rtl/>
        </w:rPr>
        <w:t xml:space="preserve">000 40 </w:t>
      </w:r>
      <w:r>
        <w:rPr>
          <w:rFonts w:hint="cs"/>
          <w:rtl/>
        </w:rPr>
        <w:t xml:space="preserve">مدرسة </w:t>
      </w:r>
      <w:r w:rsidRPr="00853BDC">
        <w:rPr>
          <w:rFonts w:hint="cs"/>
          <w:spacing w:val="-2"/>
          <w:rtl/>
        </w:rPr>
        <w:t xml:space="preserve">حكومية في البرازيل. وتقوم اليونسكو أيضاً بتنظيم مؤتمرات عن "المرأة </w:t>
      </w:r>
      <w:r w:rsidR="00F177A4" w:rsidRPr="00853BDC">
        <w:rPr>
          <w:rFonts w:hint="cs"/>
          <w:spacing w:val="-2"/>
          <w:rtl/>
        </w:rPr>
        <w:t xml:space="preserve">المصابة بفيروس </w:t>
      </w:r>
      <w:r w:rsidRPr="00853BDC">
        <w:rPr>
          <w:rFonts w:hint="cs"/>
          <w:spacing w:val="-2"/>
          <w:rtl/>
        </w:rPr>
        <w:t>نقص المناعة البشري</w:t>
      </w:r>
      <w:r w:rsidR="00F177A4" w:rsidRPr="00853BDC">
        <w:rPr>
          <w:rFonts w:hint="cs"/>
          <w:spacing w:val="-2"/>
          <w:rtl/>
        </w:rPr>
        <w:t xml:space="preserve"> و</w:t>
      </w:r>
      <w:r w:rsidRPr="00853BDC">
        <w:rPr>
          <w:rFonts w:hint="cs"/>
          <w:spacing w:val="-2"/>
          <w:rtl/>
        </w:rPr>
        <w:t>الإيدز" في البلدان الناطقة بالبرتغالية "المعرفة من أجل التصرف". ونُظم مؤتمران في البرازيل وأنغولا في عام 2010، ومن المقرر عقد سبعة مؤتمرات أخرى في عام 2012 في كل من البرازيل والبلدان الأفريقية.</w:t>
      </w:r>
    </w:p>
    <w:p w:rsidR="00926FAC" w:rsidRPr="00F83BCF" w:rsidRDefault="00926FAC" w:rsidP="00F177A4">
      <w:pPr>
        <w:pStyle w:val="SingleTxtGA"/>
        <w:rPr>
          <w:rFonts w:hint="cs"/>
          <w:rtl/>
        </w:rPr>
      </w:pPr>
      <w:r>
        <w:rPr>
          <w:rFonts w:hint="cs"/>
          <w:rtl/>
        </w:rPr>
        <w:t>13-</w:t>
      </w:r>
      <w:r>
        <w:rPr>
          <w:rFonts w:hint="cs"/>
          <w:rtl/>
        </w:rPr>
        <w:tab/>
        <w:t>و</w:t>
      </w:r>
      <w:r w:rsidR="00F177A4">
        <w:rPr>
          <w:rFonts w:hint="cs"/>
          <w:rtl/>
        </w:rPr>
        <w:t xml:space="preserve">يعكف </w:t>
      </w:r>
      <w:r>
        <w:rPr>
          <w:rFonts w:hint="cs"/>
          <w:rtl/>
        </w:rPr>
        <w:t xml:space="preserve">مكتب اليونسكو في البرازيل والمكتب الإقليمي لليونسكو للتعليم في أفريقيا </w:t>
      </w:r>
      <w:r w:rsidR="00F177A4">
        <w:rPr>
          <w:rFonts w:hint="cs"/>
          <w:rtl/>
        </w:rPr>
        <w:t xml:space="preserve">على </w:t>
      </w:r>
      <w:r>
        <w:rPr>
          <w:rFonts w:hint="cs"/>
          <w:rtl/>
        </w:rPr>
        <w:t xml:space="preserve">تنظيم حلقة تدريبية معنونة "حقوق الإنسان والحقوق الجنسية والإنجابية" لصالح المعلمين في التعليم الأساسي من البلدان الأفريقية الناطقة بالبرتغالية. </w:t>
      </w:r>
      <w:r w:rsidR="00F177A4">
        <w:rPr>
          <w:rFonts w:hint="cs"/>
          <w:rtl/>
        </w:rPr>
        <w:t xml:space="preserve">وقد تم </w:t>
      </w:r>
      <w:r>
        <w:rPr>
          <w:rFonts w:hint="cs"/>
          <w:rtl/>
        </w:rPr>
        <w:t xml:space="preserve">حتى الآن تنظيم حلقتين تدريبيتين </w:t>
      </w:r>
      <w:r w:rsidR="00F177A4">
        <w:rPr>
          <w:rFonts w:hint="cs"/>
          <w:rtl/>
        </w:rPr>
        <w:t xml:space="preserve">واحدة </w:t>
      </w:r>
      <w:r>
        <w:rPr>
          <w:rFonts w:hint="cs"/>
          <w:rtl/>
        </w:rPr>
        <w:t xml:space="preserve">في الرأس الأخضر </w:t>
      </w:r>
      <w:r w:rsidR="00F177A4">
        <w:rPr>
          <w:rFonts w:hint="cs"/>
          <w:rtl/>
        </w:rPr>
        <w:t xml:space="preserve">والأخرى </w:t>
      </w:r>
      <w:r>
        <w:rPr>
          <w:rFonts w:hint="cs"/>
          <w:rtl/>
        </w:rPr>
        <w:t xml:space="preserve">في غينيا - بيساو. </w:t>
      </w:r>
      <w:r w:rsidR="00F177A4">
        <w:rPr>
          <w:rFonts w:hint="cs"/>
          <w:rtl/>
        </w:rPr>
        <w:t xml:space="preserve">وتناولت الحلقتان التدريبيتان مواضيع من قبيل </w:t>
      </w:r>
      <w:r>
        <w:rPr>
          <w:rFonts w:hint="cs"/>
          <w:rtl/>
        </w:rPr>
        <w:t>تشويه الأعضاء التناسلية للأنثى، والعدوى بفيروس نقص المناعة البشري، والعنف ضد المرأة</w:t>
      </w:r>
      <w:r w:rsidR="00F177A4">
        <w:rPr>
          <w:rFonts w:hint="cs"/>
          <w:rtl/>
        </w:rPr>
        <w:t>،</w:t>
      </w:r>
      <w:r>
        <w:rPr>
          <w:rFonts w:hint="cs"/>
          <w:rtl/>
        </w:rPr>
        <w:t xml:space="preserve"> والتنوع الجنسي.</w:t>
      </w:r>
    </w:p>
    <w:p w:rsidR="00926FAC" w:rsidRDefault="00926FAC" w:rsidP="00F177A4">
      <w:pPr>
        <w:pStyle w:val="SingleTxtGA"/>
        <w:rPr>
          <w:rFonts w:hint="cs"/>
          <w:rtl/>
          <w:lang w:val="fr-CH"/>
        </w:rPr>
      </w:pPr>
      <w:r>
        <w:rPr>
          <w:rFonts w:hint="cs"/>
          <w:rtl/>
          <w:lang w:val="fr-CH"/>
        </w:rPr>
        <w:t>14-</w:t>
      </w:r>
      <w:r>
        <w:rPr>
          <w:rFonts w:hint="cs"/>
          <w:rtl/>
          <w:lang w:val="fr-CH"/>
        </w:rPr>
        <w:tab/>
        <w:t>وفي إطار مبادرة اليونسكو</w:t>
      </w:r>
      <w:r w:rsidRPr="00926557">
        <w:rPr>
          <w:rFonts w:hint="cs"/>
          <w:rtl/>
          <w:lang w:val="fr-CH"/>
        </w:rPr>
        <w:t xml:space="preserve"> </w:t>
      </w:r>
      <w:r>
        <w:rPr>
          <w:rFonts w:hint="cs"/>
          <w:rtl/>
          <w:lang w:val="fr-CH"/>
        </w:rPr>
        <w:t xml:space="preserve">الدولية للمراكز المجتمعية المتعددة الوسائط، التي تشجع على تمكين المجتمع وتتصدى للفجوة الرقمية من خلال الجمع بين هيئات البث </w:t>
      </w:r>
      <w:r w:rsidR="00F177A4">
        <w:rPr>
          <w:rFonts w:hint="cs"/>
          <w:rtl/>
          <w:lang w:val="fr-CH"/>
        </w:rPr>
        <w:t xml:space="preserve">الإذاعي </w:t>
      </w:r>
      <w:r>
        <w:rPr>
          <w:rFonts w:hint="cs"/>
          <w:rtl/>
          <w:lang w:val="fr-CH"/>
        </w:rPr>
        <w:t xml:space="preserve">المجتمعية والإنترنت والتكنولوجيات ذات الصلة، نُفذ </w:t>
      </w:r>
      <w:r w:rsidR="00F177A4">
        <w:rPr>
          <w:rFonts w:hint="cs"/>
          <w:rtl/>
          <w:lang w:val="fr-CH"/>
        </w:rPr>
        <w:t xml:space="preserve">في البرازيل </w:t>
      </w:r>
      <w:r>
        <w:rPr>
          <w:rFonts w:hint="cs"/>
          <w:rtl/>
          <w:lang w:val="fr-CH"/>
        </w:rPr>
        <w:t xml:space="preserve">مشروع يتعلق </w:t>
      </w:r>
      <w:r w:rsidRPr="00757DB2">
        <w:rPr>
          <w:rFonts w:hint="cs"/>
          <w:sz w:val="30"/>
          <w:rtl/>
          <w:lang w:val="fr-CH"/>
        </w:rPr>
        <w:t>ب‍</w:t>
      </w:r>
      <w:r>
        <w:rPr>
          <w:rFonts w:hint="cs"/>
          <w:rtl/>
          <w:lang w:val="fr-CH"/>
        </w:rPr>
        <w:t xml:space="preserve"> "تعزيز الدور القيادي للمرأة في تنمية المجتمع من خلال الإذاعة والإنترنت". وجُهزت 13 إذاعة مجتمعية بالحواسيب وبالاتصالات بالإنترنت لتحسين </w:t>
      </w:r>
      <w:r w:rsidR="00F177A4">
        <w:rPr>
          <w:rFonts w:hint="cs"/>
          <w:rtl/>
          <w:lang w:val="fr-CH"/>
        </w:rPr>
        <w:t xml:space="preserve">معرفة </w:t>
      </w:r>
      <w:r>
        <w:rPr>
          <w:rFonts w:hint="cs"/>
          <w:rtl/>
          <w:lang w:val="fr-CH"/>
        </w:rPr>
        <w:t xml:space="preserve">المرأة بتكنولوجيات المعلومات والاتصالات </w:t>
      </w:r>
      <w:r w:rsidR="00F177A4">
        <w:rPr>
          <w:rFonts w:hint="cs"/>
          <w:rtl/>
          <w:lang w:val="fr-CH"/>
        </w:rPr>
        <w:t xml:space="preserve">وجعلها تشارك بفاعلية أكبر في وضع </w:t>
      </w:r>
      <w:r>
        <w:rPr>
          <w:rFonts w:hint="cs"/>
          <w:rtl/>
          <w:lang w:val="fr-CH"/>
        </w:rPr>
        <w:t xml:space="preserve">المضمون وفي اتخاذ القرارات. والفئة التي يستهدفها هذا المشروع </w:t>
      </w:r>
      <w:r w:rsidR="00F177A4">
        <w:rPr>
          <w:rFonts w:hint="cs"/>
          <w:rtl/>
          <w:lang w:val="fr-CH"/>
        </w:rPr>
        <w:t xml:space="preserve">في المقام الأول </w:t>
      </w:r>
      <w:r>
        <w:rPr>
          <w:rFonts w:hint="cs"/>
          <w:rtl/>
          <w:lang w:val="fr-CH"/>
        </w:rPr>
        <w:t xml:space="preserve">هي المرأة العاملة في مجال الاتصال عبر الإذاعة في المناطق الحضرية التي تفتقر للخدمات والتي تعاني من التهميش، وفي المناطق الريفية النائية التي لا </w:t>
      </w:r>
      <w:r w:rsidR="00F177A4">
        <w:rPr>
          <w:rFonts w:hint="cs"/>
          <w:rtl/>
          <w:lang w:val="fr-CH"/>
        </w:rPr>
        <w:t xml:space="preserve">توجد فيها اتصالات </w:t>
      </w:r>
      <w:r w:rsidR="00EF3239">
        <w:rPr>
          <w:rFonts w:hint="cs"/>
          <w:rtl/>
          <w:lang w:val="fr-CH"/>
        </w:rPr>
        <w:t>الإنترنت</w:t>
      </w:r>
      <w:r>
        <w:rPr>
          <w:rFonts w:hint="cs"/>
          <w:rtl/>
          <w:lang w:val="fr-CH"/>
        </w:rPr>
        <w:t xml:space="preserve">. والمجموعة المستهدفة </w:t>
      </w:r>
      <w:r w:rsidR="00EF3239">
        <w:rPr>
          <w:rFonts w:hint="cs"/>
          <w:rtl/>
          <w:lang w:val="fr-CH"/>
        </w:rPr>
        <w:t>في ا</w:t>
      </w:r>
      <w:r w:rsidR="00F177A4">
        <w:rPr>
          <w:rFonts w:hint="cs"/>
          <w:rtl/>
          <w:lang w:val="fr-CH"/>
        </w:rPr>
        <w:t xml:space="preserve">لمقام الثاني </w:t>
      </w:r>
      <w:r>
        <w:rPr>
          <w:rFonts w:hint="cs"/>
          <w:rtl/>
          <w:lang w:val="fr-CH"/>
        </w:rPr>
        <w:t xml:space="preserve">هي المرأة </w:t>
      </w:r>
      <w:r w:rsidR="00F177A4">
        <w:rPr>
          <w:rFonts w:hint="cs"/>
          <w:rtl/>
          <w:lang w:val="fr-CH"/>
        </w:rPr>
        <w:t xml:space="preserve">وباقي السكان المتمتعين بخدمات </w:t>
      </w:r>
      <w:r>
        <w:rPr>
          <w:rFonts w:hint="cs"/>
          <w:rtl/>
          <w:lang w:val="fr-CH"/>
        </w:rPr>
        <w:t xml:space="preserve">الإنترنت </w:t>
      </w:r>
      <w:r w:rsidR="00F177A4">
        <w:rPr>
          <w:rFonts w:hint="cs"/>
          <w:rtl/>
          <w:lang w:val="fr-CH"/>
        </w:rPr>
        <w:t xml:space="preserve">ويتلقون </w:t>
      </w:r>
      <w:r>
        <w:rPr>
          <w:rFonts w:hint="cs"/>
          <w:rtl/>
          <w:lang w:val="fr-CH"/>
        </w:rPr>
        <w:t>البرامج التي تُبث عبر المحطات الإذاعية المحلية.</w:t>
      </w:r>
    </w:p>
    <w:p w:rsidR="00926FAC" w:rsidRDefault="00926FAC" w:rsidP="00853BDC">
      <w:pPr>
        <w:pStyle w:val="SingleTxtGA"/>
        <w:spacing w:line="370" w:lineRule="exact"/>
        <w:rPr>
          <w:rFonts w:hint="cs"/>
          <w:rtl/>
          <w:lang w:val="fr-CH"/>
        </w:rPr>
      </w:pPr>
      <w:r>
        <w:rPr>
          <w:rFonts w:hint="cs"/>
          <w:rtl/>
          <w:lang w:val="fr-CH"/>
        </w:rPr>
        <w:t>15-</w:t>
      </w:r>
      <w:r>
        <w:rPr>
          <w:rFonts w:hint="cs"/>
          <w:rtl/>
          <w:lang w:val="fr-CH"/>
        </w:rPr>
        <w:tab/>
        <w:t xml:space="preserve">وثمة </w:t>
      </w:r>
      <w:r w:rsidR="00F177A4">
        <w:rPr>
          <w:rFonts w:hint="cs"/>
          <w:rtl/>
          <w:lang w:val="fr-CH"/>
        </w:rPr>
        <w:t xml:space="preserve">مشروع آخر في إطار مبادرة المراكز المجتمعية المتعدد </w:t>
      </w:r>
      <w:r>
        <w:rPr>
          <w:rFonts w:hint="cs"/>
          <w:rtl/>
          <w:lang w:val="fr-CH"/>
        </w:rPr>
        <w:t xml:space="preserve">وسائط الإعلام </w:t>
      </w:r>
      <w:r w:rsidR="00D23E96">
        <w:rPr>
          <w:rFonts w:hint="cs"/>
          <w:rtl/>
          <w:lang w:val="fr-CH"/>
        </w:rPr>
        <w:t>يُعنى</w:t>
      </w:r>
      <w:r w:rsidR="00853BDC">
        <w:rPr>
          <w:rFonts w:hint="cs"/>
          <w:rtl/>
          <w:lang w:val="fr-CH"/>
        </w:rPr>
        <w:t xml:space="preserve">    </w:t>
      </w:r>
      <w:r>
        <w:rPr>
          <w:rFonts w:hint="cs"/>
          <w:rtl/>
          <w:lang w:val="fr-CH"/>
        </w:rPr>
        <w:t xml:space="preserve"> "</w:t>
      </w:r>
      <w:r w:rsidR="00D23E96">
        <w:rPr>
          <w:rFonts w:hint="cs"/>
          <w:rtl/>
          <w:lang w:val="fr-CH"/>
        </w:rPr>
        <w:t>ب</w:t>
      </w:r>
      <w:r>
        <w:rPr>
          <w:rFonts w:hint="cs"/>
          <w:rtl/>
          <w:lang w:val="fr-CH"/>
        </w:rPr>
        <w:t xml:space="preserve">منع مشاركة المرأة في العنف المسلح المنظم". ويرمي هذا المشروع إلى تحسين نوعية وكمية </w:t>
      </w:r>
      <w:r w:rsidR="00D23E96">
        <w:rPr>
          <w:rFonts w:hint="cs"/>
          <w:rtl/>
          <w:lang w:val="fr-CH"/>
        </w:rPr>
        <w:t xml:space="preserve">شمول المسائل المتعلقة بالمرأة وبالعنف </w:t>
      </w:r>
      <w:r>
        <w:rPr>
          <w:rFonts w:hint="cs"/>
          <w:rtl/>
          <w:lang w:val="fr-CH"/>
        </w:rPr>
        <w:t>المسلح، و</w:t>
      </w:r>
      <w:r w:rsidR="00D23E96">
        <w:rPr>
          <w:rFonts w:hint="cs"/>
          <w:rtl/>
          <w:lang w:val="fr-CH"/>
        </w:rPr>
        <w:t>ب</w:t>
      </w:r>
      <w:r>
        <w:rPr>
          <w:rFonts w:hint="cs"/>
          <w:rtl/>
          <w:lang w:val="fr-CH"/>
        </w:rPr>
        <w:t>الأمن البشري والتنمية من خلال ما يلي:</w:t>
      </w:r>
      <w:r w:rsidR="00853BDC">
        <w:rPr>
          <w:rFonts w:hint="cs"/>
          <w:rtl/>
          <w:lang w:val="fr-CH"/>
        </w:rPr>
        <w:t xml:space="preserve">   </w:t>
      </w:r>
      <w:r>
        <w:rPr>
          <w:rFonts w:hint="cs"/>
          <w:rtl/>
          <w:lang w:val="fr-CH"/>
        </w:rPr>
        <w:t xml:space="preserve"> (أ) صياغة محتوى دقيق وتحليلي عن المرأة والعنف المسلح المنظم في </w:t>
      </w:r>
      <w:proofErr w:type="spellStart"/>
      <w:r>
        <w:rPr>
          <w:rFonts w:hint="cs"/>
          <w:rtl/>
          <w:lang w:val="fr-CH"/>
        </w:rPr>
        <w:t>ريو</w:t>
      </w:r>
      <w:proofErr w:type="spellEnd"/>
      <w:r>
        <w:rPr>
          <w:rFonts w:hint="cs"/>
          <w:rtl/>
          <w:lang w:val="fr-CH"/>
        </w:rPr>
        <w:t xml:space="preserve"> لنشره في وسائط الإعلام، بما في ذلك التلفزيون والإذاعة والصحف والمنافذ الإلكترونية؛ (ب) تدريب المرأة من المجتمعات المتأثرة على بناء القدرات في مجال التوعية الإعلامية وتطوير المهارات للعمل مع صحفيين من جميع وسائط الإعلام، مع مراعاة </w:t>
      </w:r>
      <w:r w:rsidR="00D23E96">
        <w:rPr>
          <w:rFonts w:hint="cs"/>
          <w:rtl/>
          <w:lang w:val="fr-CH"/>
        </w:rPr>
        <w:t xml:space="preserve">اعتبارات </w:t>
      </w:r>
      <w:r>
        <w:rPr>
          <w:rFonts w:hint="cs"/>
          <w:rtl/>
          <w:lang w:val="fr-CH"/>
        </w:rPr>
        <w:t xml:space="preserve">السلامة؛ (ج) تدريب ممثلين من منظمات المجتمع المدني </w:t>
      </w:r>
      <w:r w:rsidR="00D23E96">
        <w:rPr>
          <w:rFonts w:hint="cs"/>
          <w:rtl/>
          <w:lang w:val="fr-CH"/>
        </w:rPr>
        <w:t>ال</w:t>
      </w:r>
      <w:r>
        <w:rPr>
          <w:rFonts w:hint="cs"/>
          <w:rtl/>
          <w:lang w:val="fr-CH"/>
        </w:rPr>
        <w:t xml:space="preserve">معنية بقضايا المرأة للتعبير عن رسالة موحدة </w:t>
      </w:r>
      <w:r w:rsidR="00D23E96">
        <w:rPr>
          <w:rFonts w:hint="cs"/>
          <w:rtl/>
          <w:lang w:val="fr-CH"/>
        </w:rPr>
        <w:t xml:space="preserve">ورفع حجم التغطية الإعلامية لقضايا </w:t>
      </w:r>
      <w:r>
        <w:rPr>
          <w:rFonts w:hint="cs"/>
          <w:rtl/>
          <w:lang w:val="fr-CH"/>
        </w:rPr>
        <w:t xml:space="preserve">المرأة والجريمة المسلحة؛ (د) تنظيم دورات تدريبية بالتعاون مع صحفيين </w:t>
      </w:r>
      <w:r w:rsidR="00D23E96">
        <w:rPr>
          <w:rFonts w:hint="cs"/>
          <w:rtl/>
          <w:lang w:val="fr-CH"/>
        </w:rPr>
        <w:t xml:space="preserve">يعملون </w:t>
      </w:r>
      <w:r>
        <w:rPr>
          <w:rFonts w:hint="cs"/>
          <w:rtl/>
          <w:lang w:val="fr-CH"/>
        </w:rPr>
        <w:t xml:space="preserve">في </w:t>
      </w:r>
      <w:proofErr w:type="spellStart"/>
      <w:r>
        <w:rPr>
          <w:rFonts w:hint="cs"/>
          <w:rtl/>
          <w:lang w:val="fr-CH"/>
        </w:rPr>
        <w:t>ريو</w:t>
      </w:r>
      <w:proofErr w:type="spellEnd"/>
      <w:r>
        <w:rPr>
          <w:rFonts w:hint="cs"/>
          <w:rtl/>
          <w:lang w:val="fr-CH"/>
        </w:rPr>
        <w:t xml:space="preserve"> </w:t>
      </w:r>
      <w:proofErr w:type="spellStart"/>
      <w:r>
        <w:rPr>
          <w:rFonts w:hint="cs"/>
          <w:rtl/>
          <w:lang w:val="fr-CH"/>
        </w:rPr>
        <w:t>دي</w:t>
      </w:r>
      <w:proofErr w:type="spellEnd"/>
      <w:r>
        <w:rPr>
          <w:rFonts w:hint="cs"/>
          <w:rtl/>
          <w:lang w:val="fr-CH"/>
        </w:rPr>
        <w:t xml:space="preserve"> </w:t>
      </w:r>
      <w:proofErr w:type="spellStart"/>
      <w:r>
        <w:rPr>
          <w:rFonts w:hint="cs"/>
          <w:rtl/>
          <w:lang w:val="fr-CH"/>
        </w:rPr>
        <w:t>جانيرو</w:t>
      </w:r>
      <w:proofErr w:type="spellEnd"/>
      <w:r>
        <w:rPr>
          <w:rFonts w:hint="cs"/>
          <w:rtl/>
          <w:lang w:val="fr-CH"/>
        </w:rPr>
        <w:t>، ولا سيما مع صحفيات، لتقديم معلومات ونُهج جديدة لتغطية مشكلة العنف المسلح في المدينة؛ (</w:t>
      </w:r>
      <w:r w:rsidRPr="009C7D7A">
        <w:rPr>
          <w:rFonts w:hint="cs"/>
          <w:sz w:val="30"/>
          <w:rtl/>
          <w:lang w:val="fr-CH"/>
        </w:rPr>
        <w:t>ﻫ</w:t>
      </w:r>
      <w:r>
        <w:rPr>
          <w:rFonts w:hint="cs"/>
          <w:rtl/>
          <w:lang w:val="fr-CH"/>
        </w:rPr>
        <w:t xml:space="preserve">) بناء قاعدة بيانات دولية لعناوين الاتصالات وغيرها من المعلومات المفيدة عن المرأة، والأمن البشري والتنمية؛ (و) رصد تغطية وسائط الإعلام لهذه القضايا في </w:t>
      </w:r>
      <w:r w:rsidR="00D23E96">
        <w:rPr>
          <w:rFonts w:hint="cs"/>
          <w:rtl/>
          <w:lang w:val="fr-CH"/>
        </w:rPr>
        <w:t xml:space="preserve">الصحافة </w:t>
      </w:r>
      <w:r>
        <w:rPr>
          <w:rFonts w:hint="cs"/>
          <w:rtl/>
          <w:lang w:val="fr-CH"/>
        </w:rPr>
        <w:t xml:space="preserve">المطبوعة ومن خلال </w:t>
      </w:r>
      <w:r w:rsidR="00D23E96">
        <w:rPr>
          <w:rFonts w:hint="cs"/>
          <w:rtl/>
          <w:lang w:val="fr-CH"/>
        </w:rPr>
        <w:t>نشرة صحفية إلكترونية</w:t>
      </w:r>
      <w:r>
        <w:rPr>
          <w:rFonts w:hint="cs"/>
          <w:rtl/>
          <w:lang w:val="fr-CH"/>
        </w:rPr>
        <w:t xml:space="preserve">. ويتمثل أحد الأهداف الرئيسية الطويلة الأجل للمشروع في بناء قدرات المرأة للتصرف كداعية لتحسين الحالة الأمنية من خلال التأثير على الرأي العام بواسطة وسائط الإعلام. </w:t>
      </w:r>
    </w:p>
    <w:p w:rsidR="00926FAC" w:rsidRDefault="00926FAC" w:rsidP="00853BDC">
      <w:pPr>
        <w:pStyle w:val="SingleTxtGA"/>
        <w:spacing w:line="370" w:lineRule="exact"/>
        <w:rPr>
          <w:rFonts w:hint="cs"/>
          <w:rtl/>
          <w:lang w:val="fr-CH"/>
        </w:rPr>
      </w:pPr>
      <w:r>
        <w:rPr>
          <w:rFonts w:hint="cs"/>
          <w:rtl/>
          <w:lang w:val="fr-CH"/>
        </w:rPr>
        <w:t>16-</w:t>
      </w:r>
      <w:r>
        <w:rPr>
          <w:rFonts w:hint="cs"/>
          <w:rtl/>
          <w:lang w:val="fr-CH"/>
        </w:rPr>
        <w:tab/>
        <w:t>ويسعى مشروع المر</w:t>
      </w:r>
      <w:r w:rsidR="00D23E96">
        <w:rPr>
          <w:rFonts w:hint="cs"/>
          <w:rtl/>
          <w:lang w:val="fr-CH"/>
        </w:rPr>
        <w:t>ا</w:t>
      </w:r>
      <w:r>
        <w:rPr>
          <w:rFonts w:hint="cs"/>
          <w:rtl/>
          <w:lang w:val="fr-CH"/>
        </w:rPr>
        <w:t>كز المجتمعي</w:t>
      </w:r>
      <w:r w:rsidR="00D23E96">
        <w:rPr>
          <w:rFonts w:hint="cs"/>
          <w:rtl/>
          <w:lang w:val="fr-CH"/>
        </w:rPr>
        <w:t>ة</w:t>
      </w:r>
      <w:r>
        <w:rPr>
          <w:rFonts w:hint="cs"/>
          <w:rtl/>
          <w:lang w:val="fr-CH"/>
        </w:rPr>
        <w:t xml:space="preserve"> المتعدد</w:t>
      </w:r>
      <w:r w:rsidR="00D23E96">
        <w:rPr>
          <w:rFonts w:hint="cs"/>
          <w:rtl/>
          <w:lang w:val="fr-CH"/>
        </w:rPr>
        <w:t>ة</w:t>
      </w:r>
      <w:r>
        <w:rPr>
          <w:rFonts w:hint="cs"/>
          <w:rtl/>
          <w:lang w:val="fr-CH"/>
        </w:rPr>
        <w:t xml:space="preserve"> الوسائط</w:t>
      </w:r>
      <w:r w:rsidR="00D23E96">
        <w:rPr>
          <w:rFonts w:hint="cs"/>
          <w:rtl/>
          <w:lang w:val="fr-CH"/>
        </w:rPr>
        <w:t>،</w:t>
      </w:r>
      <w:r>
        <w:rPr>
          <w:rFonts w:hint="cs"/>
          <w:rtl/>
          <w:lang w:val="fr-CH"/>
        </w:rPr>
        <w:t xml:space="preserve"> المعنون "</w:t>
      </w:r>
      <w:r w:rsidR="00D23E96">
        <w:rPr>
          <w:rFonts w:hint="cs"/>
          <w:rtl/>
          <w:lang w:val="fr-CH"/>
        </w:rPr>
        <w:t>حلقة</w:t>
      </w:r>
      <w:r>
        <w:rPr>
          <w:rFonts w:hint="cs"/>
          <w:rtl/>
          <w:lang w:val="fr-CH"/>
        </w:rPr>
        <w:t xml:space="preserve"> </w:t>
      </w:r>
      <w:r w:rsidR="00D23E96">
        <w:rPr>
          <w:rFonts w:hint="cs"/>
          <w:rtl/>
          <w:lang w:val="fr-CH"/>
        </w:rPr>
        <w:t>ال</w:t>
      </w:r>
      <w:r>
        <w:rPr>
          <w:rFonts w:hint="cs"/>
          <w:rtl/>
          <w:lang w:val="fr-CH"/>
        </w:rPr>
        <w:t xml:space="preserve">عمل </w:t>
      </w:r>
      <w:r w:rsidR="00D23E96">
        <w:rPr>
          <w:rFonts w:hint="cs"/>
          <w:rtl/>
          <w:lang w:val="fr-CH"/>
        </w:rPr>
        <w:t>ال</w:t>
      </w:r>
      <w:r>
        <w:rPr>
          <w:rFonts w:hint="cs"/>
          <w:rtl/>
          <w:lang w:val="fr-CH"/>
        </w:rPr>
        <w:t xml:space="preserve">إقليمية عن </w:t>
      </w:r>
      <w:r w:rsidR="00D23E96">
        <w:rPr>
          <w:rFonts w:hint="cs"/>
          <w:rtl/>
          <w:lang w:val="fr-CH"/>
        </w:rPr>
        <w:t xml:space="preserve">إذكاء </w:t>
      </w:r>
      <w:r>
        <w:rPr>
          <w:rFonts w:hint="cs"/>
          <w:rtl/>
          <w:lang w:val="fr-CH"/>
        </w:rPr>
        <w:t>الوعي الجنساني من خلال وسائط الإعلام"</w:t>
      </w:r>
      <w:r w:rsidR="00D23E96">
        <w:rPr>
          <w:rFonts w:hint="cs"/>
          <w:rtl/>
          <w:lang w:val="fr-CH"/>
        </w:rPr>
        <w:t>،</w:t>
      </w:r>
      <w:r>
        <w:rPr>
          <w:rFonts w:hint="cs"/>
          <w:rtl/>
          <w:lang w:val="fr-CH"/>
        </w:rPr>
        <w:t xml:space="preserve"> إلى الأخذ بسياسات وقوانين تراعي الاعتبارات الجنسانية في مكافحة التمييز ضد المرأة، وتزويد المهنيين في وسائط الإعلام بالمعارف والمهارات اللازمة </w:t>
      </w:r>
      <w:r w:rsidR="00F900F1">
        <w:rPr>
          <w:rFonts w:hint="cs"/>
          <w:rtl/>
          <w:lang w:val="fr-CH"/>
        </w:rPr>
        <w:t xml:space="preserve">للتعرف على </w:t>
      </w:r>
      <w:r>
        <w:rPr>
          <w:rFonts w:hint="cs"/>
          <w:rtl/>
          <w:lang w:val="fr-CH"/>
        </w:rPr>
        <w:t xml:space="preserve">قضايا المساواة بين الجنسين </w:t>
      </w:r>
      <w:r w:rsidR="00F900F1">
        <w:rPr>
          <w:rFonts w:hint="cs"/>
          <w:rtl/>
          <w:lang w:val="fr-CH"/>
        </w:rPr>
        <w:t xml:space="preserve">ومعالجتها في </w:t>
      </w:r>
      <w:r>
        <w:rPr>
          <w:rFonts w:hint="cs"/>
          <w:rtl/>
          <w:lang w:val="fr-CH"/>
        </w:rPr>
        <w:t xml:space="preserve">جميع عمليات الاتصالات ومراعاة </w:t>
      </w:r>
      <w:r w:rsidR="00F900F1">
        <w:rPr>
          <w:rFonts w:hint="cs"/>
          <w:rtl/>
          <w:lang w:val="fr-CH"/>
        </w:rPr>
        <w:t xml:space="preserve">المسألة الجنسانية </w:t>
      </w:r>
      <w:r>
        <w:rPr>
          <w:rFonts w:hint="cs"/>
          <w:rtl/>
          <w:lang w:val="fr-CH"/>
        </w:rPr>
        <w:t xml:space="preserve">عند تقديم الأخبار والإبلاغ بصورة موضوعية. ويرمي المشروع إلى تدريب 25 صحفياً و/أو مهنياً على الإبلاغ بشكل يراعي الاعتبارات الجنسانية لتمكينهم من التشجيع </w:t>
      </w:r>
      <w:r w:rsidR="00F900F1">
        <w:rPr>
          <w:rFonts w:hint="cs"/>
          <w:rtl/>
          <w:lang w:val="fr-CH"/>
        </w:rPr>
        <w:t xml:space="preserve">على </w:t>
      </w:r>
      <w:r>
        <w:rPr>
          <w:rFonts w:hint="cs"/>
          <w:rtl/>
          <w:lang w:val="fr-CH"/>
        </w:rPr>
        <w:t>المساواة بين الجنسين من خلال وسائط الإعلام وتعزيز القدرات المؤسسية بهدف إيجاد مختبر وطني لوسائط الإعلام.</w:t>
      </w:r>
    </w:p>
    <w:p w:rsidR="00926FAC" w:rsidRDefault="00F900F1" w:rsidP="00853BDC">
      <w:pPr>
        <w:pStyle w:val="H1GA"/>
        <w:rPr>
          <w:rFonts w:hint="cs"/>
          <w:rtl/>
          <w:lang w:val="fr-CH"/>
        </w:rPr>
      </w:pPr>
      <w:r>
        <w:rPr>
          <w:rFonts w:hint="cs"/>
          <w:rtl/>
          <w:lang w:val="fr-CH"/>
        </w:rPr>
        <w:tab/>
      </w:r>
      <w:r>
        <w:rPr>
          <w:rFonts w:hint="cs"/>
          <w:rtl/>
          <w:lang w:val="fr-CH"/>
        </w:rPr>
        <w:tab/>
      </w:r>
      <w:r w:rsidR="00926FAC">
        <w:rPr>
          <w:rFonts w:hint="cs"/>
          <w:rtl/>
          <w:lang w:val="fr-CH"/>
        </w:rPr>
        <w:t>الكونغو</w:t>
      </w:r>
    </w:p>
    <w:p w:rsidR="00926FAC" w:rsidRPr="00853BDC" w:rsidRDefault="00926FAC" w:rsidP="00EF3239">
      <w:pPr>
        <w:pStyle w:val="SingleTxtGA"/>
        <w:rPr>
          <w:rFonts w:hint="cs"/>
          <w:spacing w:val="-2"/>
          <w:rtl/>
          <w:lang w:val="fr-CH"/>
        </w:rPr>
      </w:pPr>
      <w:r w:rsidRPr="00853BDC">
        <w:rPr>
          <w:rFonts w:hint="cs"/>
          <w:spacing w:val="-2"/>
          <w:rtl/>
          <w:lang w:val="fr-CH"/>
        </w:rPr>
        <w:t>17-</w:t>
      </w:r>
      <w:r w:rsidRPr="00853BDC">
        <w:rPr>
          <w:rFonts w:hint="cs"/>
          <w:spacing w:val="-2"/>
          <w:rtl/>
          <w:lang w:val="fr-CH"/>
        </w:rPr>
        <w:tab/>
        <w:t xml:space="preserve">يرمي مشروع اليونسكو المعنون "تعزيز الاستجابة العالمية </w:t>
      </w:r>
      <w:r w:rsidR="00F900F1" w:rsidRPr="00853BDC">
        <w:rPr>
          <w:rFonts w:hint="cs"/>
          <w:spacing w:val="-2"/>
          <w:rtl/>
          <w:lang w:val="fr-CH"/>
        </w:rPr>
        <w:t xml:space="preserve">من أجل التعليم ومكافحة </w:t>
      </w:r>
      <w:r w:rsidRPr="00853BDC">
        <w:rPr>
          <w:rFonts w:hint="cs"/>
          <w:spacing w:val="-2"/>
          <w:rtl/>
          <w:lang w:val="fr-CH"/>
        </w:rPr>
        <w:t xml:space="preserve">فيروس نقص البشري والإيدز في الكونغو" إلى إتاحة فرص تعليمية للمرأة المهمشة والمستبعدة، والحد من الوصم والتمييز، وفي الوقت نفسه احترام حقوق الإنسان، والتنوع الثقافي والمساواة بين الجنسين. وسيساعد المشروع أيضاً على </w:t>
      </w:r>
      <w:r w:rsidR="00F900F1" w:rsidRPr="00853BDC">
        <w:rPr>
          <w:rFonts w:hint="cs"/>
          <w:spacing w:val="-2"/>
          <w:rtl/>
          <w:lang w:val="fr-CH"/>
        </w:rPr>
        <w:t xml:space="preserve">تمكين المرأة والفتيات من </w:t>
      </w:r>
      <w:r w:rsidRPr="00853BDC">
        <w:rPr>
          <w:rFonts w:hint="cs"/>
          <w:spacing w:val="-2"/>
          <w:rtl/>
          <w:lang w:val="fr-CH"/>
        </w:rPr>
        <w:t xml:space="preserve">فرص تعليمية جيدة النوعية بشأن فيروس نقص المناعة البشري والإيدز </w:t>
      </w:r>
      <w:r w:rsidR="00F900F1" w:rsidRPr="00853BDC">
        <w:rPr>
          <w:rFonts w:hint="cs"/>
          <w:spacing w:val="-2"/>
          <w:rtl/>
          <w:lang w:val="fr-CH"/>
        </w:rPr>
        <w:t xml:space="preserve">في </w:t>
      </w:r>
      <w:r w:rsidRPr="00853BDC">
        <w:rPr>
          <w:rFonts w:hint="cs"/>
          <w:spacing w:val="-2"/>
          <w:rtl/>
          <w:lang w:val="fr-CH"/>
        </w:rPr>
        <w:t>أماكن العمل وفي المدارس على السواء.</w:t>
      </w:r>
    </w:p>
    <w:p w:rsidR="00926FAC" w:rsidRDefault="00F900F1" w:rsidP="00853BDC">
      <w:pPr>
        <w:pStyle w:val="H1GA"/>
        <w:rPr>
          <w:rFonts w:hint="cs"/>
          <w:rtl/>
          <w:lang w:val="fr-CH"/>
        </w:rPr>
      </w:pPr>
      <w:r>
        <w:rPr>
          <w:rFonts w:hint="cs"/>
          <w:rtl/>
          <w:lang w:val="fr-CH"/>
        </w:rPr>
        <w:tab/>
      </w:r>
      <w:r>
        <w:rPr>
          <w:rFonts w:hint="cs"/>
          <w:rtl/>
          <w:lang w:val="fr-CH"/>
        </w:rPr>
        <w:tab/>
      </w:r>
      <w:r w:rsidR="00926FAC">
        <w:rPr>
          <w:rFonts w:hint="cs"/>
          <w:rtl/>
          <w:lang w:val="fr-CH"/>
        </w:rPr>
        <w:t>غرينادا</w:t>
      </w:r>
    </w:p>
    <w:p w:rsidR="00926FAC" w:rsidRDefault="00926FAC" w:rsidP="00FE368A">
      <w:pPr>
        <w:pStyle w:val="SingleTxtGA"/>
        <w:rPr>
          <w:rFonts w:hint="cs"/>
          <w:rtl/>
          <w:lang w:val="fr-CH"/>
        </w:rPr>
      </w:pPr>
      <w:r>
        <w:rPr>
          <w:rFonts w:hint="cs"/>
          <w:rtl/>
          <w:lang w:val="fr-CH"/>
        </w:rPr>
        <w:t>18-</w:t>
      </w:r>
      <w:r>
        <w:rPr>
          <w:rFonts w:hint="cs"/>
          <w:rtl/>
          <w:lang w:val="fr-CH"/>
        </w:rPr>
        <w:tab/>
        <w:t xml:space="preserve">أنشأت اليونسكو وغرينادا مركزاً مجتمعياً متعدد الوسائط بهدف تحسين قدرات الاتصالات للمرأة والفتيات الريفيات لتمكينهن من الوصول إلى المعلومات التي </w:t>
      </w:r>
      <w:r w:rsidR="00F900F1">
        <w:rPr>
          <w:rFonts w:hint="cs"/>
          <w:rtl/>
          <w:lang w:val="fr-CH"/>
        </w:rPr>
        <w:t xml:space="preserve">تحتجن إليها </w:t>
      </w:r>
      <w:r>
        <w:rPr>
          <w:rFonts w:hint="cs"/>
          <w:rtl/>
          <w:lang w:val="fr-CH"/>
        </w:rPr>
        <w:t>للمشاركة في حوار وطني وعمليات ديمقراطية لاتخاذ القرارات التي تؤثر على سبل</w:t>
      </w:r>
      <w:r w:rsidR="00F900F1">
        <w:rPr>
          <w:rFonts w:hint="cs"/>
          <w:rtl/>
          <w:lang w:val="fr-CH"/>
        </w:rPr>
        <w:t xml:space="preserve"> عيشهن</w:t>
      </w:r>
      <w:r>
        <w:rPr>
          <w:rFonts w:hint="cs"/>
          <w:rtl/>
          <w:lang w:val="fr-CH"/>
        </w:rPr>
        <w:t>. وسيقدم المركز خدمات الاتصالات، والتدريب إلى ما لا يقل عن 40 امرأة وفتاة ريفية في مجال مهارات تكنولوجيا المعلومات والاتصالات، من قبيل إنشاء مواق</w:t>
      </w:r>
      <w:r w:rsidR="00F900F1">
        <w:rPr>
          <w:rFonts w:hint="cs"/>
          <w:rtl/>
          <w:lang w:val="fr-CH"/>
        </w:rPr>
        <w:t>ع</w:t>
      </w:r>
      <w:r>
        <w:rPr>
          <w:rFonts w:hint="cs"/>
          <w:rtl/>
          <w:lang w:val="fr-CH"/>
        </w:rPr>
        <w:t xml:space="preserve"> شبكية، وتسجيلات صوتية ومرئية، والوصول إلى الإنترنت. </w:t>
      </w:r>
      <w:r w:rsidR="00FE368A">
        <w:rPr>
          <w:rFonts w:hint="cs"/>
          <w:rtl/>
          <w:lang w:val="fr-CH"/>
        </w:rPr>
        <w:t xml:space="preserve">وسيدعم </w:t>
      </w:r>
      <w:r>
        <w:rPr>
          <w:rFonts w:hint="cs"/>
          <w:rtl/>
          <w:lang w:val="fr-CH"/>
        </w:rPr>
        <w:t xml:space="preserve">المشروع </w:t>
      </w:r>
      <w:r w:rsidR="00FE368A">
        <w:rPr>
          <w:rFonts w:hint="cs"/>
          <w:rtl/>
          <w:lang w:val="fr-CH"/>
        </w:rPr>
        <w:t xml:space="preserve">أيضاً مجموعة البرامج التدريبية والمعلومات الحيوية تعمل </w:t>
      </w:r>
      <w:r>
        <w:rPr>
          <w:rFonts w:hint="cs"/>
          <w:rtl/>
          <w:lang w:val="fr-CH"/>
        </w:rPr>
        <w:t>رابطة التنمية المجتمعية في غرينادا</w:t>
      </w:r>
      <w:r w:rsidR="00FE368A">
        <w:rPr>
          <w:rFonts w:hint="cs"/>
          <w:rtl/>
          <w:lang w:val="fr-CH"/>
        </w:rPr>
        <w:t xml:space="preserve"> </w:t>
      </w:r>
      <w:r>
        <w:rPr>
          <w:rFonts w:hint="cs"/>
          <w:rtl/>
          <w:lang w:val="fr-CH"/>
        </w:rPr>
        <w:t xml:space="preserve">- وهي منظمة غير حكومية تعمل في التنمية الريفية منذ عام 1985- </w:t>
      </w:r>
      <w:r w:rsidR="00FE368A">
        <w:rPr>
          <w:rFonts w:hint="cs"/>
          <w:rtl/>
          <w:lang w:val="fr-CH"/>
        </w:rPr>
        <w:t xml:space="preserve">على </w:t>
      </w:r>
      <w:r>
        <w:rPr>
          <w:rFonts w:hint="cs"/>
          <w:rtl/>
          <w:lang w:val="fr-CH"/>
        </w:rPr>
        <w:t xml:space="preserve">تقديمها حالياً إلى المرأة الريفية، وذلك من خلال تحرير وتوثيق الخبرات في مجال التدريب </w:t>
      </w:r>
      <w:r w:rsidR="00FE368A">
        <w:rPr>
          <w:rFonts w:hint="cs"/>
          <w:rtl/>
          <w:lang w:val="fr-CH"/>
        </w:rPr>
        <w:t xml:space="preserve">في شكل </w:t>
      </w:r>
      <w:r>
        <w:rPr>
          <w:rFonts w:hint="cs"/>
          <w:rtl/>
          <w:lang w:val="fr-CH"/>
        </w:rPr>
        <w:t xml:space="preserve">برامج متعددة الوسائط للتعلم الذاتي. وسيقدم المشروع </w:t>
      </w:r>
      <w:r w:rsidR="00FE368A">
        <w:rPr>
          <w:rFonts w:hint="cs"/>
          <w:rtl/>
          <w:lang w:val="fr-CH"/>
        </w:rPr>
        <w:t xml:space="preserve">أيضاً </w:t>
      </w:r>
      <w:r>
        <w:rPr>
          <w:rFonts w:hint="cs"/>
          <w:rtl/>
          <w:lang w:val="fr-CH"/>
        </w:rPr>
        <w:t xml:space="preserve">التدريب في النشر </w:t>
      </w:r>
      <w:r w:rsidR="00FE368A">
        <w:rPr>
          <w:rFonts w:hint="cs"/>
          <w:rtl/>
          <w:lang w:val="fr-CH"/>
        </w:rPr>
        <w:t xml:space="preserve">الإلكتروني </w:t>
      </w:r>
      <w:r>
        <w:rPr>
          <w:rFonts w:hint="cs"/>
          <w:rtl/>
          <w:lang w:val="fr-CH"/>
        </w:rPr>
        <w:t>إلى ما لا يقل عن 45 امرأة ورجل من العاملين في التحرير على المستوى المحلي.</w:t>
      </w:r>
    </w:p>
    <w:p w:rsidR="00926FAC" w:rsidRDefault="00FE368A" w:rsidP="00853BDC">
      <w:pPr>
        <w:pStyle w:val="H1GA"/>
        <w:spacing w:before="120"/>
        <w:rPr>
          <w:rFonts w:hint="cs"/>
          <w:rtl/>
          <w:lang w:val="fr-CH"/>
        </w:rPr>
      </w:pPr>
      <w:r>
        <w:rPr>
          <w:rFonts w:hint="cs"/>
          <w:rtl/>
          <w:lang w:val="fr-CH"/>
        </w:rPr>
        <w:tab/>
      </w:r>
      <w:r>
        <w:rPr>
          <w:rFonts w:hint="cs"/>
          <w:rtl/>
          <w:lang w:val="fr-CH"/>
        </w:rPr>
        <w:tab/>
      </w:r>
      <w:r w:rsidR="00926FAC">
        <w:rPr>
          <w:rFonts w:hint="cs"/>
          <w:rtl/>
          <w:lang w:val="fr-CH"/>
        </w:rPr>
        <w:t>الأردن</w:t>
      </w:r>
    </w:p>
    <w:p w:rsidR="00926FAC" w:rsidRDefault="00926FAC" w:rsidP="00FE368A">
      <w:pPr>
        <w:pStyle w:val="SingleTxtGA"/>
        <w:rPr>
          <w:rFonts w:hint="cs"/>
          <w:rtl/>
          <w:lang w:val="fr-CH"/>
        </w:rPr>
      </w:pPr>
      <w:r>
        <w:rPr>
          <w:rFonts w:hint="cs"/>
          <w:rtl/>
          <w:lang w:val="fr-CH"/>
        </w:rPr>
        <w:t>19-</w:t>
      </w:r>
      <w:r>
        <w:rPr>
          <w:rFonts w:hint="cs"/>
          <w:rtl/>
          <w:lang w:val="fr-CH"/>
        </w:rPr>
        <w:tab/>
        <w:t xml:space="preserve">يقوم مكتب اليونسكو في بيروت بمراجعة الأطر القانونية والسياساتية للنظم التعليمية في الأردن. والغرض من هذه المراجعة هو تحديد </w:t>
      </w:r>
      <w:r w:rsidR="00FE368A">
        <w:rPr>
          <w:rFonts w:hint="cs"/>
          <w:rtl/>
          <w:lang w:val="fr-CH"/>
        </w:rPr>
        <w:t xml:space="preserve">مدى </w:t>
      </w:r>
      <w:r>
        <w:rPr>
          <w:rFonts w:hint="cs"/>
          <w:rtl/>
          <w:lang w:val="fr-CH"/>
        </w:rPr>
        <w:t xml:space="preserve">تطابق القوانين والسياسات الوطنية مع الأطر الدولية لحقوق الإنسان المتعلقة بالحق في التعليم وأحكامها المتعلقة بالمساواة بين الجنسين. وبالاستناد إلى استنتاجات هذه المراجعة، ستقدم اليونسكو توصيات لصياغة إصلاحات وقوانين تراعي الاعتبارات الجنسانية في التعليم. </w:t>
      </w:r>
      <w:r w:rsidR="00FE368A">
        <w:rPr>
          <w:rFonts w:hint="cs"/>
          <w:rtl/>
          <w:lang w:val="fr-CH"/>
        </w:rPr>
        <w:t xml:space="preserve">ويرمي </w:t>
      </w:r>
      <w:r>
        <w:rPr>
          <w:rFonts w:hint="cs"/>
          <w:rtl/>
          <w:lang w:val="fr-CH"/>
        </w:rPr>
        <w:t xml:space="preserve">هذا النشاط </w:t>
      </w:r>
      <w:r w:rsidR="00FE368A">
        <w:rPr>
          <w:rFonts w:hint="cs"/>
          <w:rtl/>
          <w:lang w:val="fr-CH"/>
        </w:rPr>
        <w:t xml:space="preserve">إلى </w:t>
      </w:r>
      <w:r>
        <w:rPr>
          <w:rFonts w:hint="cs"/>
          <w:rtl/>
          <w:lang w:val="fr-CH"/>
        </w:rPr>
        <w:t xml:space="preserve">مساعدة الدول الأعضاء على </w:t>
      </w:r>
      <w:r w:rsidR="00FE368A">
        <w:rPr>
          <w:rFonts w:hint="cs"/>
          <w:rtl/>
          <w:lang w:val="fr-CH"/>
        </w:rPr>
        <w:t xml:space="preserve">تكثيف جهودها </w:t>
      </w:r>
      <w:r>
        <w:rPr>
          <w:rFonts w:hint="cs"/>
          <w:rtl/>
          <w:lang w:val="fr-CH"/>
        </w:rPr>
        <w:t xml:space="preserve">لبلوغ الأهداف </w:t>
      </w:r>
      <w:r w:rsidR="00FE368A">
        <w:rPr>
          <w:rFonts w:hint="cs"/>
          <w:rtl/>
          <w:lang w:val="fr-CH"/>
        </w:rPr>
        <w:t>الإنمائية الدولية</w:t>
      </w:r>
      <w:r>
        <w:rPr>
          <w:rFonts w:hint="cs"/>
          <w:rtl/>
          <w:lang w:val="fr-CH"/>
        </w:rPr>
        <w:t>، ولا سيما تلك المتعلقة بالمساواة بين الجنسين.</w:t>
      </w:r>
    </w:p>
    <w:p w:rsidR="00926FAC" w:rsidRDefault="00926FAC" w:rsidP="00F74F44">
      <w:pPr>
        <w:pStyle w:val="SingleTxtGA"/>
        <w:rPr>
          <w:rFonts w:hint="cs"/>
          <w:rtl/>
          <w:lang w:val="fr-CH"/>
        </w:rPr>
      </w:pPr>
      <w:r>
        <w:rPr>
          <w:rFonts w:hint="cs"/>
          <w:rtl/>
          <w:lang w:val="fr-CH"/>
        </w:rPr>
        <w:t>20-</w:t>
      </w:r>
      <w:r>
        <w:rPr>
          <w:rFonts w:hint="cs"/>
          <w:rtl/>
          <w:lang w:val="fr-CH"/>
        </w:rPr>
        <w:tab/>
        <w:t xml:space="preserve">ويرمي مشروع "بناء قدرات المواطنة الصحفية في المناطق الريفية" إلى تقديم درجة عالية من الدعم لدور المرأة في تنمية المجتمع من خلال إشراك الأعضاء في المجتمع من إناث وذكور عند معالجة القضايا المحلية. </w:t>
      </w:r>
      <w:r w:rsidR="00FE368A">
        <w:rPr>
          <w:rFonts w:hint="cs"/>
          <w:rtl/>
          <w:lang w:val="fr-CH"/>
        </w:rPr>
        <w:t xml:space="preserve">وسيتيح هذا </w:t>
      </w:r>
      <w:r>
        <w:rPr>
          <w:rFonts w:hint="cs"/>
          <w:rtl/>
          <w:lang w:val="fr-CH"/>
        </w:rPr>
        <w:t xml:space="preserve">المشروع </w:t>
      </w:r>
      <w:r w:rsidR="00FE368A">
        <w:rPr>
          <w:rFonts w:hint="cs"/>
          <w:rtl/>
          <w:lang w:val="fr-CH"/>
        </w:rPr>
        <w:t xml:space="preserve">إنشاء </w:t>
      </w:r>
      <w:r>
        <w:rPr>
          <w:rFonts w:hint="cs"/>
          <w:rtl/>
          <w:lang w:val="fr-CH"/>
        </w:rPr>
        <w:t xml:space="preserve">شبكة من ست صحفيات </w:t>
      </w:r>
      <w:r w:rsidR="00F74F44">
        <w:rPr>
          <w:rFonts w:hint="cs"/>
          <w:rtl/>
          <w:lang w:val="fr-CH"/>
        </w:rPr>
        <w:t xml:space="preserve">من إذاعات </w:t>
      </w:r>
      <w:r>
        <w:rPr>
          <w:rFonts w:hint="cs"/>
          <w:rtl/>
          <w:lang w:val="fr-CH"/>
        </w:rPr>
        <w:t>مجتمعية، تتراوح أعمارهن بين 25 و30 عاماً</w:t>
      </w:r>
      <w:r w:rsidR="00F74F44">
        <w:rPr>
          <w:rFonts w:hint="cs"/>
          <w:rtl/>
          <w:lang w:val="fr-CH"/>
        </w:rPr>
        <w:t xml:space="preserve">، يتدربن </w:t>
      </w:r>
      <w:r>
        <w:rPr>
          <w:rFonts w:hint="cs"/>
          <w:rtl/>
          <w:lang w:val="fr-CH"/>
        </w:rPr>
        <w:t>خلال فترة ستة أشهر</w:t>
      </w:r>
      <w:r w:rsidR="00853BDC">
        <w:rPr>
          <w:rFonts w:hint="cs"/>
          <w:rtl/>
          <w:lang w:val="fr-CH"/>
        </w:rPr>
        <w:t xml:space="preserve">    </w:t>
      </w:r>
      <w:r>
        <w:rPr>
          <w:rFonts w:hint="cs"/>
          <w:rtl/>
          <w:lang w:val="fr-CH"/>
        </w:rPr>
        <w:t xml:space="preserve"> لإنتاج 12 </w:t>
      </w:r>
      <w:r w:rsidR="00F74F44">
        <w:rPr>
          <w:rFonts w:hint="cs"/>
          <w:rtl/>
          <w:lang w:val="fr-CH"/>
        </w:rPr>
        <w:t xml:space="preserve">برنامجاً يقدمن فيها الوقائع </w:t>
      </w:r>
      <w:r>
        <w:rPr>
          <w:rFonts w:hint="cs"/>
          <w:rtl/>
          <w:lang w:val="fr-CH"/>
        </w:rPr>
        <w:t xml:space="preserve">الاجتماعية - الاقتصادية </w:t>
      </w:r>
      <w:r w:rsidR="00F74F44">
        <w:rPr>
          <w:rFonts w:hint="cs"/>
          <w:rtl/>
          <w:lang w:val="fr-CH"/>
        </w:rPr>
        <w:t xml:space="preserve">لمجتمعاتهن </w:t>
      </w:r>
      <w:r>
        <w:rPr>
          <w:rFonts w:hint="cs"/>
          <w:rtl/>
          <w:lang w:val="fr-CH"/>
        </w:rPr>
        <w:t>من منظور المساواة بين الجنسين</w:t>
      </w:r>
      <w:r w:rsidR="00F74F44">
        <w:rPr>
          <w:rFonts w:hint="cs"/>
          <w:rtl/>
          <w:lang w:val="fr-CH"/>
        </w:rPr>
        <w:t>. وسيسعى أيضاً إلى</w:t>
      </w:r>
      <w:r>
        <w:rPr>
          <w:rFonts w:hint="cs"/>
          <w:rtl/>
          <w:lang w:val="fr-CH"/>
        </w:rPr>
        <w:t xml:space="preserve"> تعزيز تمكين المرأة وسد الفجوة الجنسانية في إطار المشهد </w:t>
      </w:r>
      <w:r w:rsidR="00F74F44">
        <w:rPr>
          <w:rFonts w:hint="cs"/>
          <w:rtl/>
          <w:lang w:val="fr-CH"/>
        </w:rPr>
        <w:t xml:space="preserve">الإعلامي </w:t>
      </w:r>
      <w:r>
        <w:rPr>
          <w:rFonts w:hint="cs"/>
          <w:rtl/>
          <w:lang w:val="fr-CH"/>
        </w:rPr>
        <w:t>الأردني.</w:t>
      </w:r>
    </w:p>
    <w:p w:rsidR="00926FAC" w:rsidRDefault="00F74F44" w:rsidP="00853BDC">
      <w:pPr>
        <w:pStyle w:val="H1GA"/>
        <w:rPr>
          <w:rFonts w:hint="cs"/>
          <w:rtl/>
          <w:lang w:val="fr-CH"/>
        </w:rPr>
      </w:pPr>
      <w:r>
        <w:rPr>
          <w:rFonts w:hint="cs"/>
          <w:rtl/>
          <w:lang w:val="fr-CH"/>
        </w:rPr>
        <w:tab/>
      </w:r>
      <w:r>
        <w:rPr>
          <w:rFonts w:hint="cs"/>
          <w:rtl/>
          <w:lang w:val="fr-CH"/>
        </w:rPr>
        <w:tab/>
      </w:r>
      <w:r w:rsidR="00926FAC">
        <w:rPr>
          <w:rFonts w:hint="cs"/>
          <w:rtl/>
          <w:lang w:val="fr-CH"/>
        </w:rPr>
        <w:t>النرويج</w:t>
      </w:r>
    </w:p>
    <w:p w:rsidR="00926FAC" w:rsidRDefault="00926FAC" w:rsidP="00853BDC">
      <w:pPr>
        <w:pStyle w:val="SingleTxtGA"/>
        <w:rPr>
          <w:rFonts w:hint="cs"/>
          <w:rtl/>
          <w:lang w:val="fr-CH"/>
        </w:rPr>
      </w:pPr>
      <w:r>
        <w:rPr>
          <w:rFonts w:hint="cs"/>
          <w:rtl/>
          <w:lang w:val="fr-CH"/>
        </w:rPr>
        <w:t>21-</w:t>
      </w:r>
      <w:r>
        <w:rPr>
          <w:rFonts w:hint="cs"/>
          <w:rtl/>
          <w:lang w:val="fr-CH"/>
        </w:rPr>
        <w:tab/>
        <w:t>لا توجد معلومات.</w:t>
      </w:r>
    </w:p>
    <w:p w:rsidR="00926FAC" w:rsidRDefault="00F74F44" w:rsidP="00853BDC">
      <w:pPr>
        <w:pStyle w:val="H1GA"/>
        <w:rPr>
          <w:rFonts w:hint="cs"/>
          <w:rtl/>
          <w:lang w:val="fr-CH"/>
        </w:rPr>
      </w:pPr>
      <w:r>
        <w:rPr>
          <w:rFonts w:hint="cs"/>
          <w:rtl/>
          <w:lang w:val="fr-CH"/>
        </w:rPr>
        <w:tab/>
      </w:r>
      <w:r>
        <w:rPr>
          <w:rFonts w:hint="cs"/>
          <w:rtl/>
          <w:lang w:val="fr-CH"/>
        </w:rPr>
        <w:tab/>
      </w:r>
      <w:r w:rsidR="00926FAC">
        <w:rPr>
          <w:rFonts w:hint="cs"/>
          <w:rtl/>
          <w:lang w:val="fr-CH"/>
        </w:rPr>
        <w:t>زمبابوي</w:t>
      </w:r>
    </w:p>
    <w:p w:rsidR="00926FAC" w:rsidRDefault="00926FAC" w:rsidP="00EF3239">
      <w:pPr>
        <w:pStyle w:val="SingleTxtGA"/>
        <w:rPr>
          <w:rFonts w:hint="cs"/>
          <w:rtl/>
          <w:lang w:val="fr-CH"/>
        </w:rPr>
      </w:pPr>
      <w:r>
        <w:rPr>
          <w:rFonts w:hint="cs"/>
          <w:rtl/>
          <w:lang w:val="fr-CH"/>
        </w:rPr>
        <w:t>22-</w:t>
      </w:r>
      <w:r>
        <w:rPr>
          <w:rFonts w:hint="cs"/>
          <w:rtl/>
          <w:lang w:val="fr-CH"/>
        </w:rPr>
        <w:tab/>
        <w:t xml:space="preserve">سيسهم المشروع المعنون "تعزيز النُظم الوطنية للتعليم والتدريب على الصعيدين التقني والمهني في مجموعة </w:t>
      </w:r>
      <w:r w:rsidR="00F74F44">
        <w:rPr>
          <w:rFonts w:hint="cs"/>
          <w:rtl/>
          <w:lang w:val="fr-CH"/>
        </w:rPr>
        <w:t>ال</w:t>
      </w:r>
      <w:r>
        <w:rPr>
          <w:rFonts w:hint="cs"/>
          <w:rtl/>
          <w:lang w:val="fr-CH"/>
        </w:rPr>
        <w:t xml:space="preserve">بلدان </w:t>
      </w:r>
      <w:r w:rsidR="00F74F44">
        <w:rPr>
          <w:rFonts w:hint="cs"/>
          <w:rtl/>
          <w:lang w:val="fr-CH"/>
        </w:rPr>
        <w:t xml:space="preserve">التي يعنى بها مكتب اليونسكو في </w:t>
      </w:r>
      <w:r>
        <w:rPr>
          <w:rFonts w:hint="cs"/>
          <w:rtl/>
          <w:lang w:val="fr-CH"/>
        </w:rPr>
        <w:t xml:space="preserve">هراري (بوتسوانا وملاوي وموزامبيق وزامبيا وزمبابوي)" في صياغة سياسات </w:t>
      </w:r>
      <w:r w:rsidR="00F74F44">
        <w:rPr>
          <w:rFonts w:hint="cs"/>
          <w:rtl/>
          <w:lang w:val="fr-CH"/>
        </w:rPr>
        <w:t xml:space="preserve">تشجع على </w:t>
      </w:r>
      <w:r w:rsidR="00EF3239">
        <w:rPr>
          <w:rFonts w:hint="cs"/>
          <w:rtl/>
          <w:lang w:val="fr-CH"/>
        </w:rPr>
        <w:t>ح</w:t>
      </w:r>
      <w:r>
        <w:rPr>
          <w:rFonts w:hint="cs"/>
          <w:rtl/>
          <w:lang w:val="fr-CH"/>
        </w:rPr>
        <w:t xml:space="preserve">صول البنات والبنين على قدم المساواة </w:t>
      </w:r>
      <w:r w:rsidR="00F74F44">
        <w:rPr>
          <w:rFonts w:hint="cs"/>
          <w:rtl/>
          <w:lang w:val="fr-CH"/>
        </w:rPr>
        <w:t xml:space="preserve">على </w:t>
      </w:r>
      <w:r>
        <w:rPr>
          <w:rFonts w:hint="cs"/>
          <w:rtl/>
          <w:lang w:val="fr-CH"/>
        </w:rPr>
        <w:t xml:space="preserve">التعليم العام والتقني والمهني الثانوي، </w:t>
      </w:r>
      <w:r w:rsidR="00F74F44">
        <w:rPr>
          <w:rFonts w:hint="cs"/>
          <w:rtl/>
          <w:lang w:val="fr-CH"/>
        </w:rPr>
        <w:t xml:space="preserve">وعلى </w:t>
      </w:r>
      <w:r>
        <w:rPr>
          <w:rFonts w:hint="cs"/>
          <w:rtl/>
          <w:lang w:val="fr-CH"/>
        </w:rPr>
        <w:t>الحوار السياساتي بشأن التعليم من أجل التنمية المستدامة من خلال الأنشطة المشتركة التي تراعي المبادئ العلمية، والثقافة والاتصالات وتحترم أيضاً التنوع الثقافي والمساواة بين الجنسين. وسيفيد المشروع الشابات والشباب الملتحقين بنظم التعليم الوطنية وكذلك السلطات الوطنية التقنية والمهنية.</w:t>
      </w:r>
    </w:p>
    <w:p w:rsidR="00926FAC" w:rsidRDefault="00926FAC" w:rsidP="00F74F44">
      <w:pPr>
        <w:pStyle w:val="SingleTxtGA"/>
        <w:rPr>
          <w:rFonts w:hint="cs"/>
          <w:rtl/>
          <w:lang w:val="fr-CH"/>
        </w:rPr>
      </w:pPr>
      <w:r>
        <w:rPr>
          <w:rFonts w:hint="cs"/>
          <w:rtl/>
          <w:lang w:val="fr-CH"/>
        </w:rPr>
        <w:t>23-</w:t>
      </w:r>
      <w:r>
        <w:rPr>
          <w:rFonts w:hint="cs"/>
          <w:rtl/>
          <w:lang w:val="fr-CH"/>
        </w:rPr>
        <w:tab/>
        <w:t xml:space="preserve">وفي إطار اتفاقية التراث العالمي لعام 1972، تشجع اليونسكو على صون واستعادة وإدارة مواقع التراث العالمي </w:t>
      </w:r>
      <w:r w:rsidR="00F74F44">
        <w:rPr>
          <w:rFonts w:hint="cs"/>
          <w:rtl/>
          <w:lang w:val="fr-CH"/>
        </w:rPr>
        <w:t xml:space="preserve">إدارة مستديمة </w:t>
      </w:r>
      <w:r>
        <w:rPr>
          <w:rFonts w:hint="cs"/>
          <w:rtl/>
          <w:lang w:val="fr-CH"/>
        </w:rPr>
        <w:t xml:space="preserve">في مجموعة بلدان </w:t>
      </w:r>
      <w:r w:rsidR="00F74F44">
        <w:rPr>
          <w:rFonts w:hint="cs"/>
          <w:rtl/>
          <w:lang w:val="fr-CH"/>
        </w:rPr>
        <w:t xml:space="preserve">مكتب </w:t>
      </w:r>
      <w:r>
        <w:rPr>
          <w:rFonts w:hint="cs"/>
          <w:rtl/>
          <w:lang w:val="fr-CH"/>
        </w:rPr>
        <w:t xml:space="preserve">هراري (بوتسوانا وملاوي وموزامبيق وزامبيا وزمبابوي) وذلك </w:t>
      </w:r>
      <w:r w:rsidR="00F74F44">
        <w:rPr>
          <w:rFonts w:hint="cs"/>
          <w:rtl/>
          <w:lang w:val="fr-CH"/>
        </w:rPr>
        <w:t xml:space="preserve">أساساً بتشجيع </w:t>
      </w:r>
      <w:r>
        <w:rPr>
          <w:rFonts w:hint="cs"/>
          <w:rtl/>
          <w:lang w:val="fr-CH"/>
        </w:rPr>
        <w:t xml:space="preserve">المرأة على المشاركة بنشاط في لجان التراث العالمي </w:t>
      </w:r>
      <w:r w:rsidR="00F74F44">
        <w:rPr>
          <w:rFonts w:hint="cs"/>
          <w:rtl/>
          <w:lang w:val="fr-CH"/>
        </w:rPr>
        <w:t xml:space="preserve">وفي المبادرات ذات الصلة لإدارة وصون </w:t>
      </w:r>
      <w:r>
        <w:rPr>
          <w:rFonts w:hint="cs"/>
          <w:rtl/>
          <w:lang w:val="fr-CH"/>
        </w:rPr>
        <w:t>التراث العالمي، و</w:t>
      </w:r>
      <w:r w:rsidR="00F74F44">
        <w:rPr>
          <w:rFonts w:hint="cs"/>
          <w:rtl/>
          <w:lang w:val="fr-CH"/>
        </w:rPr>
        <w:t xml:space="preserve">بتعزيز أبعاد </w:t>
      </w:r>
      <w:r>
        <w:rPr>
          <w:rFonts w:hint="cs"/>
          <w:rtl/>
          <w:lang w:val="fr-CH"/>
        </w:rPr>
        <w:t xml:space="preserve">إطار التراث الثقافي غير المادي </w:t>
      </w:r>
      <w:r w:rsidR="00F74F44">
        <w:rPr>
          <w:rFonts w:hint="cs"/>
          <w:rtl/>
          <w:lang w:val="fr-CH"/>
        </w:rPr>
        <w:t xml:space="preserve">المتصلة بالمساواة بين الجنسين </w:t>
      </w:r>
      <w:r>
        <w:rPr>
          <w:rFonts w:hint="cs"/>
          <w:rtl/>
          <w:lang w:val="fr-CH"/>
        </w:rPr>
        <w:t xml:space="preserve">ودور المرأة الهام في نقل التراث غير المادي. وتقوم اليونسكو أيضاً بتعزيز السياحة الثقافية </w:t>
      </w:r>
      <w:r w:rsidR="00F74F44">
        <w:rPr>
          <w:rFonts w:hint="cs"/>
          <w:rtl/>
          <w:lang w:val="fr-CH"/>
        </w:rPr>
        <w:t xml:space="preserve">المجتمعية </w:t>
      </w:r>
      <w:r>
        <w:rPr>
          <w:rFonts w:hint="cs"/>
          <w:rtl/>
          <w:lang w:val="fr-CH"/>
        </w:rPr>
        <w:t xml:space="preserve">في زمبابوي من خلال إعادة تأهيل الأسواق لترويج السلع الثقافية وبناء قدرات المبدعين المتواجدين بالقرب من المواقع التراثية والمعالم الأثرية الوطنية من خلال زيادة </w:t>
      </w:r>
      <w:r w:rsidR="00F74F44">
        <w:rPr>
          <w:rFonts w:hint="cs"/>
          <w:rtl/>
          <w:lang w:val="fr-CH"/>
        </w:rPr>
        <w:t>ال</w:t>
      </w:r>
      <w:r>
        <w:rPr>
          <w:rFonts w:hint="cs"/>
          <w:rtl/>
          <w:lang w:val="fr-CH"/>
        </w:rPr>
        <w:t xml:space="preserve">مشاركة </w:t>
      </w:r>
      <w:r w:rsidR="00F74F44">
        <w:rPr>
          <w:rFonts w:hint="cs"/>
          <w:rtl/>
          <w:lang w:val="fr-CH"/>
        </w:rPr>
        <w:t xml:space="preserve">الفعالة والملموسة للمرأة بوصفها الفاعل الرئيسي </w:t>
      </w:r>
      <w:r>
        <w:rPr>
          <w:rFonts w:hint="cs"/>
          <w:rtl/>
          <w:lang w:val="fr-CH"/>
        </w:rPr>
        <w:t>في الصناعات الثقافية والإبداعية.</w:t>
      </w:r>
    </w:p>
    <w:p w:rsidR="00926FAC" w:rsidRDefault="005E0019" w:rsidP="00F74F44">
      <w:pPr>
        <w:pStyle w:val="SingleTxtGA"/>
        <w:rPr>
          <w:rFonts w:hint="cs"/>
          <w:rtl/>
          <w:lang w:val="fr-CH"/>
        </w:rPr>
      </w:pPr>
      <w:r>
        <w:rPr>
          <w:rFonts w:hint="cs"/>
          <w:rtl/>
          <w:lang w:val="fr-CH"/>
        </w:rPr>
        <w:t>24-</w:t>
      </w:r>
      <w:r>
        <w:rPr>
          <w:rFonts w:hint="cs"/>
          <w:rtl/>
          <w:lang w:val="fr-CH"/>
        </w:rPr>
        <w:tab/>
        <w:t>وقد نظمت اليونسكو و</w:t>
      </w:r>
      <w:r w:rsidR="00926FAC">
        <w:rPr>
          <w:rFonts w:hint="cs"/>
          <w:rtl/>
          <w:lang w:val="fr-CH"/>
        </w:rPr>
        <w:t xml:space="preserve">مشروع"صانعات الأفلام في زمبابوي" مهرجاناً </w:t>
      </w:r>
      <w:r w:rsidR="00F74F44">
        <w:rPr>
          <w:rFonts w:hint="cs"/>
          <w:rtl/>
          <w:lang w:val="fr-CH"/>
        </w:rPr>
        <w:t>ل</w:t>
      </w:r>
      <w:r w:rsidR="00926FAC">
        <w:rPr>
          <w:rFonts w:hint="cs"/>
          <w:rtl/>
          <w:lang w:val="fr-CH"/>
        </w:rPr>
        <w:t xml:space="preserve">لأفلام </w:t>
      </w:r>
      <w:r w:rsidR="00F74F44">
        <w:rPr>
          <w:rFonts w:hint="cs"/>
          <w:rtl/>
          <w:lang w:val="fr-CH"/>
        </w:rPr>
        <w:t xml:space="preserve">التصويرية، </w:t>
      </w:r>
      <w:r w:rsidR="00926FAC">
        <w:rPr>
          <w:rFonts w:hint="cs"/>
          <w:rtl/>
          <w:lang w:val="fr-CH"/>
        </w:rPr>
        <w:t xml:space="preserve">في تشرين الثاني/نوفمبر 2010، يرمي إلى تمكين </w:t>
      </w:r>
      <w:r w:rsidR="00F74F44">
        <w:rPr>
          <w:rFonts w:hint="cs"/>
          <w:rtl/>
          <w:lang w:val="fr-CH"/>
        </w:rPr>
        <w:t xml:space="preserve">المخرجات </w:t>
      </w:r>
      <w:r w:rsidR="00926FAC">
        <w:rPr>
          <w:rFonts w:hint="cs"/>
          <w:rtl/>
          <w:lang w:val="fr-CH"/>
        </w:rPr>
        <w:t>السينمائيات وتعزيز التنوع الإبداعي للمرأة.</w:t>
      </w:r>
    </w:p>
    <w:p w:rsidR="00926FAC" w:rsidRDefault="00926FAC" w:rsidP="00926FAC">
      <w:pPr>
        <w:spacing w:after="120" w:line="360" w:lineRule="auto"/>
        <w:rPr>
          <w:rFonts w:hint="cs"/>
          <w:rtl/>
          <w:lang w:val="fr-CH"/>
        </w:rPr>
      </w:pPr>
    </w:p>
    <w:p w:rsidR="00F74F44" w:rsidRDefault="00F74F44" w:rsidP="00926FAC">
      <w:pPr>
        <w:spacing w:after="120" w:line="360" w:lineRule="auto"/>
        <w:rPr>
          <w:rtl/>
          <w:lang w:val="fr-CH"/>
        </w:rPr>
        <w:sectPr w:rsidR="00F74F44"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pPr>
    </w:p>
    <w:p w:rsidR="00926FAC" w:rsidRPr="0004623A" w:rsidRDefault="00926FAC" w:rsidP="0004623A">
      <w:pPr>
        <w:pStyle w:val="SingleTxtGA"/>
        <w:rPr>
          <w:rFonts w:hint="cs"/>
          <w:b/>
          <w:bCs/>
          <w:rtl/>
          <w:lang w:bidi="ar"/>
        </w:rPr>
      </w:pPr>
      <w:r w:rsidRPr="0004623A">
        <w:rPr>
          <w:rFonts w:hint="cs"/>
          <w:b/>
          <w:bCs/>
          <w:rtl/>
        </w:rPr>
        <w:t>جدول:</w:t>
      </w:r>
      <w:r w:rsidRPr="0004623A">
        <w:rPr>
          <w:rFonts w:hint="cs"/>
          <w:b/>
          <w:bCs/>
          <w:rtl/>
          <w:lang w:bidi="ar"/>
        </w:rPr>
        <w:t xml:space="preserve"> نسب القيد الإجمالية</w:t>
      </w:r>
      <w:r w:rsidRPr="0004623A">
        <w:rPr>
          <w:rFonts w:hint="cs"/>
          <w:b/>
          <w:bCs/>
          <w:rtl/>
        </w:rPr>
        <w:t xml:space="preserve"> للإناث والذكور: مؤشر</w:t>
      </w:r>
      <w:r w:rsidRPr="0004623A">
        <w:rPr>
          <w:rFonts w:hint="cs"/>
          <w:b/>
          <w:bCs/>
          <w:rtl/>
          <w:lang w:bidi="ar"/>
        </w:rPr>
        <w:t xml:space="preserve"> تكافؤ الجنسين في إحصاءات التعليم لجميع البلدان التي قدمت تقارير إلى الدورة الحادية والخمسين</w:t>
      </w:r>
    </w:p>
    <w:tbl>
      <w:tblPr>
        <w:bidiVisual/>
        <w:tblW w:w="12863" w:type="dxa"/>
        <w:tblCellSpacing w:w="0" w:type="dxa"/>
        <w:tblInd w:w="14" w:type="dxa"/>
        <w:shd w:val="clear" w:color="000000" w:fill="auto"/>
        <w:tblCellMar>
          <w:left w:w="0" w:type="dxa"/>
          <w:right w:w="0" w:type="dxa"/>
        </w:tblCellMar>
        <w:tblLook w:val="0000" w:firstRow="0" w:lastRow="0" w:firstColumn="0" w:lastColumn="0" w:noHBand="0" w:noVBand="0"/>
      </w:tblPr>
      <w:tblGrid>
        <w:gridCol w:w="761"/>
        <w:gridCol w:w="686"/>
        <w:gridCol w:w="1399"/>
        <w:gridCol w:w="1386"/>
        <w:gridCol w:w="1218"/>
        <w:gridCol w:w="1260"/>
        <w:gridCol w:w="1273"/>
        <w:gridCol w:w="1288"/>
        <w:gridCol w:w="1260"/>
        <w:gridCol w:w="1288"/>
        <w:gridCol w:w="1044"/>
      </w:tblGrid>
      <w:tr w:rsidR="00EF3239" w:rsidRPr="0004623A" w:rsidTr="00EF3239">
        <w:trPr>
          <w:trHeight w:val="534"/>
          <w:tblHeader/>
          <w:tblCellSpacing w:w="0" w:type="dxa"/>
        </w:trPr>
        <w:tc>
          <w:tcPr>
            <w:tcW w:w="1447" w:type="dxa"/>
            <w:gridSpan w:val="2"/>
            <w:tcBorders>
              <w:top w:val="single" w:sz="4" w:space="0" w:color="auto"/>
              <w:bottom w:val="single" w:sz="12" w:space="0" w:color="auto"/>
            </w:tcBorders>
            <w:shd w:val="clear" w:color="000000" w:fill="auto"/>
            <w:vAlign w:val="bottom"/>
          </w:tcPr>
          <w:p w:rsidR="00EF3239" w:rsidRPr="00BB46F8" w:rsidRDefault="00EF3239" w:rsidP="00965983">
            <w:pPr>
              <w:pStyle w:val="SingleTxt"/>
              <w:spacing w:before="40" w:after="40" w:line="290" w:lineRule="exact"/>
              <w:ind w:left="57" w:right="0"/>
              <w:jc w:val="left"/>
              <w:rPr>
                <w:rFonts w:hint="cs"/>
                <w:i/>
                <w:iCs/>
                <w:sz w:val="16"/>
                <w:szCs w:val="24"/>
                <w:rtl/>
                <w:lang w:bidi="ar"/>
              </w:rPr>
            </w:pPr>
            <w:r w:rsidRPr="00BB46F8">
              <w:rPr>
                <w:rFonts w:hint="cs"/>
                <w:i/>
                <w:iCs/>
                <w:sz w:val="16"/>
                <w:szCs w:val="24"/>
                <w:rtl/>
                <w:lang w:bidi="ar"/>
              </w:rPr>
              <w:t>بيانات</w:t>
            </w:r>
          </w:p>
        </w:tc>
        <w:tc>
          <w:tcPr>
            <w:tcW w:w="1399"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الابتدائي، الإناث</w:t>
            </w:r>
          </w:p>
        </w:tc>
        <w:tc>
          <w:tcPr>
            <w:tcW w:w="1386"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الابتدائي، الذكور</w:t>
            </w:r>
          </w:p>
        </w:tc>
        <w:tc>
          <w:tcPr>
            <w:tcW w:w="1218"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الثانوي، الإناث</w:t>
            </w:r>
          </w:p>
        </w:tc>
        <w:tc>
          <w:tcPr>
            <w:tcW w:w="1260"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الثانوي، الذكور</w:t>
            </w:r>
          </w:p>
        </w:tc>
        <w:tc>
          <w:tcPr>
            <w:tcW w:w="1273"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الجامعي، الإناث</w:t>
            </w:r>
          </w:p>
        </w:tc>
        <w:tc>
          <w:tcPr>
            <w:tcW w:w="1288" w:type="dxa"/>
            <w:tcBorders>
              <w:top w:val="single" w:sz="4" w:space="0" w:color="auto"/>
              <w:bottom w:val="single" w:sz="12" w:space="0" w:color="auto"/>
            </w:tcBorders>
            <w:shd w:val="clear" w:color="000000" w:fill="auto"/>
            <w:vAlign w:val="bottom"/>
          </w:tcPr>
          <w:p w:rsidR="00EF3239" w:rsidRPr="00EF3239" w:rsidRDefault="00EF3239" w:rsidP="003316AE">
            <w:pPr>
              <w:pStyle w:val="SingleTxt"/>
              <w:spacing w:before="40" w:after="40" w:line="290" w:lineRule="exact"/>
              <w:ind w:left="57" w:right="198"/>
              <w:rPr>
                <w:rFonts w:hint="cs"/>
                <w:i/>
                <w:iCs/>
                <w:spacing w:val="-4"/>
                <w:kern w:val="0"/>
                <w:sz w:val="16"/>
                <w:szCs w:val="24"/>
                <w:rtl/>
              </w:rPr>
            </w:pPr>
            <w:r w:rsidRPr="00EF3239">
              <w:rPr>
                <w:rFonts w:hint="cs"/>
                <w:i/>
                <w:iCs/>
                <w:spacing w:val="-4"/>
                <w:kern w:val="0"/>
                <w:sz w:val="16"/>
                <w:szCs w:val="24"/>
                <w:rtl/>
              </w:rPr>
              <w:t>نسبة الالتحاق الإجمالية،</w:t>
            </w:r>
            <w:r w:rsidRPr="00EF3239">
              <w:rPr>
                <w:i/>
                <w:iCs/>
                <w:spacing w:val="-4"/>
                <w:kern w:val="0"/>
                <w:sz w:val="16"/>
                <w:szCs w:val="24"/>
                <w:rtl/>
              </w:rPr>
              <w:t xml:space="preserve"> </w:t>
            </w:r>
            <w:r w:rsidRPr="00EF3239">
              <w:rPr>
                <w:rFonts w:hint="cs"/>
                <w:i/>
                <w:iCs/>
                <w:spacing w:val="-4"/>
                <w:kern w:val="0"/>
                <w:sz w:val="16"/>
                <w:szCs w:val="24"/>
                <w:rtl/>
              </w:rPr>
              <w:t>التعليم الجامعي، الذكور</w:t>
            </w:r>
          </w:p>
        </w:tc>
        <w:tc>
          <w:tcPr>
            <w:tcW w:w="1260" w:type="dxa"/>
            <w:tcBorders>
              <w:top w:val="single" w:sz="4" w:space="0" w:color="auto"/>
              <w:bottom w:val="single" w:sz="12" w:space="0" w:color="auto"/>
            </w:tcBorders>
            <w:shd w:val="clear" w:color="000000" w:fill="auto"/>
            <w:vAlign w:val="bottom"/>
          </w:tcPr>
          <w:p w:rsidR="00EF3239" w:rsidRPr="00BB46F8" w:rsidRDefault="00EF3239" w:rsidP="003316AE">
            <w:pPr>
              <w:spacing w:before="40" w:after="40" w:line="290" w:lineRule="exact"/>
              <w:ind w:left="57" w:right="170"/>
              <w:rPr>
                <w:rFonts w:hint="cs"/>
                <w:i/>
                <w:iCs/>
                <w:sz w:val="16"/>
                <w:szCs w:val="24"/>
                <w:rtl/>
                <w:lang w:val="fr-CH" w:bidi="ar"/>
              </w:rPr>
            </w:pPr>
            <w:r w:rsidRPr="00BB46F8">
              <w:rPr>
                <w:rFonts w:hint="cs"/>
                <w:i/>
                <w:iCs/>
                <w:sz w:val="16"/>
                <w:szCs w:val="24"/>
                <w:rtl/>
                <w:lang w:bidi="ar"/>
              </w:rPr>
              <w:t>مؤشر تكافؤ الجنسين لنسبة القيد الإجمالي</w:t>
            </w:r>
            <w:r w:rsidRPr="00BB46F8">
              <w:rPr>
                <w:rFonts w:hint="cs"/>
                <w:i/>
                <w:iCs/>
                <w:sz w:val="16"/>
                <w:szCs w:val="24"/>
                <w:rtl/>
                <w:lang w:val="fr-CH" w:bidi="ar"/>
              </w:rPr>
              <w:t>، التعليم الابتدائي</w:t>
            </w:r>
          </w:p>
        </w:tc>
        <w:tc>
          <w:tcPr>
            <w:tcW w:w="1288" w:type="dxa"/>
            <w:tcBorders>
              <w:top w:val="single" w:sz="4" w:space="0" w:color="auto"/>
              <w:bottom w:val="single" w:sz="12" w:space="0" w:color="auto"/>
            </w:tcBorders>
            <w:shd w:val="clear" w:color="000000" w:fill="auto"/>
            <w:vAlign w:val="bottom"/>
          </w:tcPr>
          <w:p w:rsidR="00EF3239" w:rsidRPr="00BB46F8" w:rsidRDefault="00EF3239" w:rsidP="00EF3239">
            <w:pPr>
              <w:spacing w:before="40" w:after="40" w:line="290" w:lineRule="exact"/>
              <w:ind w:left="113" w:right="113"/>
              <w:rPr>
                <w:rFonts w:hint="cs"/>
                <w:i/>
                <w:iCs/>
                <w:sz w:val="16"/>
                <w:szCs w:val="24"/>
                <w:rtl/>
                <w:lang w:bidi="ar"/>
              </w:rPr>
            </w:pPr>
            <w:r w:rsidRPr="00BB46F8">
              <w:rPr>
                <w:rFonts w:hint="cs"/>
                <w:i/>
                <w:iCs/>
                <w:sz w:val="16"/>
                <w:szCs w:val="24"/>
                <w:rtl/>
                <w:lang w:bidi="ar"/>
              </w:rPr>
              <w:t>مؤشر تكافؤ الجنسين لنسبة القيد الإجمالي</w:t>
            </w:r>
            <w:r w:rsidRPr="00BB46F8">
              <w:rPr>
                <w:rFonts w:hint="cs"/>
                <w:i/>
                <w:iCs/>
                <w:sz w:val="16"/>
                <w:szCs w:val="24"/>
                <w:rtl/>
                <w:lang w:val="fr-CH" w:bidi="ar"/>
              </w:rPr>
              <w:t xml:space="preserve">، التعليم الثانوي </w:t>
            </w:r>
          </w:p>
        </w:tc>
        <w:tc>
          <w:tcPr>
            <w:tcW w:w="1044" w:type="dxa"/>
            <w:tcBorders>
              <w:top w:val="single" w:sz="4" w:space="0" w:color="auto"/>
              <w:bottom w:val="single" w:sz="12" w:space="0" w:color="auto"/>
            </w:tcBorders>
            <w:shd w:val="clear" w:color="000000" w:fill="auto"/>
            <w:vAlign w:val="bottom"/>
          </w:tcPr>
          <w:p w:rsidR="00EF3239" w:rsidRPr="00BB46F8" w:rsidRDefault="00EF3239" w:rsidP="003316AE">
            <w:pPr>
              <w:spacing w:before="40" w:after="40" w:line="290" w:lineRule="exact"/>
              <w:ind w:left="113"/>
              <w:rPr>
                <w:rFonts w:hint="cs"/>
                <w:i/>
                <w:iCs/>
                <w:sz w:val="16"/>
                <w:szCs w:val="24"/>
                <w:rtl/>
                <w:lang w:bidi="ar"/>
              </w:rPr>
            </w:pPr>
            <w:r w:rsidRPr="00BB46F8">
              <w:rPr>
                <w:rFonts w:hint="cs"/>
                <w:i/>
                <w:iCs/>
                <w:sz w:val="16"/>
                <w:szCs w:val="24"/>
                <w:rtl/>
                <w:lang w:bidi="ar"/>
              </w:rPr>
              <w:t>مؤشر تكافؤ الجنسين لنسبة القيد الإجمالي</w:t>
            </w:r>
            <w:r w:rsidRPr="00BB46F8">
              <w:rPr>
                <w:rFonts w:hint="cs"/>
                <w:i/>
                <w:iCs/>
                <w:sz w:val="16"/>
                <w:szCs w:val="24"/>
                <w:rtl/>
                <w:lang w:val="fr-CH" w:bidi="ar"/>
              </w:rPr>
              <w:t xml:space="preserve">، التعليم </w:t>
            </w:r>
            <w:r>
              <w:rPr>
                <w:rFonts w:hint="cs"/>
                <w:i/>
                <w:iCs/>
                <w:sz w:val="16"/>
                <w:szCs w:val="24"/>
                <w:rtl/>
                <w:lang w:bidi="ar"/>
              </w:rPr>
              <w:t>الجامعي</w:t>
            </w:r>
          </w:p>
        </w:tc>
      </w:tr>
      <w:tr w:rsidR="00EC0C60" w:rsidRPr="0004623A" w:rsidTr="00EF3239">
        <w:trPr>
          <w:trHeight w:val="240"/>
          <w:tblHeader/>
          <w:tblCellSpacing w:w="0" w:type="dxa"/>
        </w:trPr>
        <w:tc>
          <w:tcPr>
            <w:tcW w:w="761" w:type="dxa"/>
            <w:shd w:val="clear" w:color="000000" w:fill="auto"/>
          </w:tcPr>
          <w:p w:rsidR="00EC0C60" w:rsidRPr="0004623A" w:rsidRDefault="00EC0C60" w:rsidP="00965983">
            <w:pPr>
              <w:spacing w:before="40" w:after="40" w:line="290" w:lineRule="exact"/>
              <w:ind w:left="57"/>
              <w:rPr>
                <w:rFonts w:hint="cs"/>
                <w:b/>
                <w:sz w:val="16"/>
                <w:szCs w:val="24"/>
              </w:rPr>
            </w:pPr>
            <w:r w:rsidRPr="0004623A">
              <w:rPr>
                <w:rFonts w:hint="cs"/>
                <w:b/>
                <w:sz w:val="16"/>
                <w:szCs w:val="24"/>
                <w:rtl/>
              </w:rPr>
              <w:t>البلد</w:t>
            </w:r>
          </w:p>
        </w:tc>
        <w:tc>
          <w:tcPr>
            <w:tcW w:w="686" w:type="dxa"/>
            <w:shd w:val="clear" w:color="000000" w:fill="auto"/>
          </w:tcPr>
          <w:p w:rsidR="00EC0C60" w:rsidRPr="0004623A" w:rsidRDefault="00EC0C60" w:rsidP="00965983">
            <w:pPr>
              <w:spacing w:before="40" w:after="40" w:line="290" w:lineRule="exact"/>
              <w:ind w:left="57"/>
              <w:rPr>
                <w:rFonts w:hint="cs"/>
                <w:b/>
                <w:sz w:val="16"/>
                <w:szCs w:val="24"/>
              </w:rPr>
            </w:pPr>
            <w:r w:rsidRPr="0004623A">
              <w:rPr>
                <w:rFonts w:hint="cs"/>
                <w:b/>
                <w:sz w:val="16"/>
                <w:szCs w:val="24"/>
                <w:rtl/>
              </w:rPr>
              <w:t>السنة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الأردن</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١٠٠</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٩٨</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٩١</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٨٨</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٤١</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٣٦</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٠٢</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٠٤</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١٢</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٩٨</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٩٧</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٩٣</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٨٩</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٤٤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٠١</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٠٤</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١٢</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٤٤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١٢</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البرازيل</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٢٧</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٢٩</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١٢٣</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١٣٢</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١٠٦</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٩٦</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٣٩</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٣٠</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٩٣</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١١</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٢٩</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٤٢</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٣١</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٣٥</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الجزائر</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١٠٨</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١١٥</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٢٨</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٢٠</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٤٠</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١٠٦</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١١٣</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١٠٧</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١١٤</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٩٦</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٩٤</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٣٦</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٢٥</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٠٢</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٤٤</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١٠٧</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١١٣</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٣٧</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٢٥</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٤٦</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زمبابوي</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r w:rsidRPr="0004623A">
              <w:rPr>
                <w:rFonts w:cs="Times New Roman"/>
                <w:sz w:val="16"/>
                <w:szCs w:val="24"/>
                <w:rtl/>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٥</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٧</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rFonts w:hint="cs"/>
                <w:sz w:val="16"/>
                <w:szCs w:val="24"/>
              </w:rPr>
            </w:pPr>
            <w:r>
              <w:rPr>
                <w:rFonts w:hint="cs"/>
                <w:sz w:val="16"/>
                <w:szCs w:val="24"/>
                <w:rtl/>
              </w:rPr>
              <w:t>0.80</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غرينادا</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٩٦</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٩٧</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١١٢</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٩٨</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٩٧</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٩٧</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١٠٢</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١٠٥</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١١٥</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٩٥</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٩١</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١٠٢</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١٠٨</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١٠١</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١٠١</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٦١</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٤٥</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٠٠</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٣٦</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١٠٢</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١٠٥</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١٠٦</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٩٧</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٠٣</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الكونغو</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١٠٦</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١١٣</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١٠٤</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١١١</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١٠٨</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١١٦</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٢</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٩٤</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٠</w:t>
            </w:r>
            <w:r w:rsidRPr="0004623A">
              <w:rPr>
                <w:rFonts w:cs="Times New Roman"/>
                <w:sz w:val="16"/>
                <w:szCs w:val="24"/>
                <w:rtl/>
              </w:rPr>
              <w:t>٫</w:t>
            </w:r>
            <w:r w:rsidRPr="0004623A">
              <w:rPr>
                <w:sz w:val="16"/>
                <w:szCs w:val="24"/>
                <w:rtl/>
              </w:rPr>
              <w:t>٢١</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١١٢</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١١٨</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٣</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٨</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٩٥</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٠</w:t>
            </w:r>
            <w:r w:rsidRPr="0004623A">
              <w:rPr>
                <w:rFonts w:cs="Times New Roman"/>
                <w:sz w:val="16"/>
                <w:szCs w:val="24"/>
                <w:rtl/>
              </w:rPr>
              <w:t>٫</w:t>
            </w:r>
            <w:r w:rsidRPr="0004623A">
              <w:rPr>
                <w:sz w:val="16"/>
                <w:szCs w:val="24"/>
                <w:rtl/>
              </w:rPr>
              <w:t>٣٣</w:t>
            </w:r>
          </w:p>
        </w:tc>
      </w:tr>
      <w:tr w:rsidR="00EC0C60" w:rsidRPr="0004623A" w:rsidTr="00EF3239">
        <w:trPr>
          <w:trHeight w:val="240"/>
          <w:tblCellSpacing w:w="0" w:type="dxa"/>
        </w:trPr>
        <w:tc>
          <w:tcPr>
            <w:tcW w:w="761" w:type="dxa"/>
            <w:vMerge w:val="restart"/>
            <w:shd w:val="clear" w:color="000000" w:fill="auto"/>
          </w:tcPr>
          <w:p w:rsidR="00EC0C60" w:rsidRPr="0004623A" w:rsidRDefault="00EC0C60" w:rsidP="00965983">
            <w:pPr>
              <w:spacing w:before="40" w:after="40" w:line="290" w:lineRule="exact"/>
              <w:rPr>
                <w:rFonts w:hint="cs"/>
                <w:sz w:val="16"/>
                <w:szCs w:val="24"/>
              </w:rPr>
            </w:pPr>
            <w:r>
              <w:rPr>
                <w:rFonts w:hint="cs"/>
                <w:sz w:val="16"/>
                <w:szCs w:val="24"/>
                <w:rtl/>
              </w:rPr>
              <w:t>النرويج</w:t>
            </w: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٢٠٠٧</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٩٩</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٩٩</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١١٣</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١١٤</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٩٣</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٥٩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٠٠</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٩٩</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٥٨</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٢٠٠٨</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٩٩</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٩٩</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١١١</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١١٣</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٩١</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٥٦</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٠٠</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٩٨</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٦٢</w:t>
            </w:r>
          </w:p>
        </w:tc>
      </w:tr>
      <w:tr w:rsidR="00EC0C60" w:rsidRPr="0004623A" w:rsidTr="00EF3239">
        <w:trPr>
          <w:trHeight w:val="240"/>
          <w:tblCellSpacing w:w="0" w:type="dxa"/>
        </w:trPr>
        <w:tc>
          <w:tcPr>
            <w:tcW w:w="761" w:type="dxa"/>
            <w:vMerge/>
            <w:shd w:val="clear" w:color="000000" w:fill="auto"/>
          </w:tcPr>
          <w:p w:rsidR="00EC0C60" w:rsidRPr="0004623A" w:rsidRDefault="00EC0C60" w:rsidP="00965983">
            <w:pPr>
              <w:spacing w:before="40" w:after="40" w:line="290" w:lineRule="exact"/>
              <w:rPr>
                <w:sz w:val="16"/>
                <w:szCs w:val="24"/>
              </w:rPr>
            </w:pPr>
          </w:p>
        </w:tc>
        <w:tc>
          <w:tcPr>
            <w:tcW w:w="686" w:type="dxa"/>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٢٠٠٩</w:t>
            </w:r>
          </w:p>
        </w:tc>
        <w:tc>
          <w:tcPr>
            <w:tcW w:w="1399" w:type="dxa"/>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tl/>
              </w:rPr>
              <w:t>٩٩</w:t>
            </w:r>
          </w:p>
        </w:tc>
        <w:tc>
          <w:tcPr>
            <w:tcW w:w="1386"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٩٩</w:t>
            </w:r>
          </w:p>
        </w:tc>
        <w:tc>
          <w:tcPr>
            <w:tcW w:w="121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١٠٩</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١١١</w:t>
            </w:r>
          </w:p>
        </w:tc>
        <w:tc>
          <w:tcPr>
            <w:tcW w:w="1273"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٩٢</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٥٦</w:t>
            </w:r>
          </w:p>
        </w:tc>
        <w:tc>
          <w:tcPr>
            <w:tcW w:w="1260"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١</w:t>
            </w:r>
            <w:r w:rsidRPr="0004623A">
              <w:rPr>
                <w:rFonts w:cs="Times New Roman"/>
                <w:sz w:val="16"/>
                <w:szCs w:val="24"/>
                <w:rtl/>
              </w:rPr>
              <w:t>٫</w:t>
            </w:r>
            <w:r w:rsidRPr="0004623A">
              <w:rPr>
                <w:sz w:val="16"/>
                <w:szCs w:val="24"/>
                <w:rtl/>
              </w:rPr>
              <w:t>٠٠</w:t>
            </w:r>
          </w:p>
        </w:tc>
        <w:tc>
          <w:tcPr>
            <w:tcW w:w="1288" w:type="dxa"/>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tl/>
              </w:rPr>
              <w:t>٠</w:t>
            </w:r>
            <w:r w:rsidRPr="0004623A">
              <w:rPr>
                <w:rFonts w:cs="Times New Roman"/>
                <w:sz w:val="16"/>
                <w:szCs w:val="24"/>
                <w:rtl/>
              </w:rPr>
              <w:t>٫</w:t>
            </w:r>
            <w:r w:rsidRPr="0004623A">
              <w:rPr>
                <w:sz w:val="16"/>
                <w:szCs w:val="24"/>
                <w:rtl/>
              </w:rPr>
              <w:t>٩٨</w:t>
            </w:r>
          </w:p>
        </w:tc>
        <w:tc>
          <w:tcPr>
            <w:tcW w:w="1044" w:type="dxa"/>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tl/>
              </w:rPr>
              <w:t>١</w:t>
            </w:r>
            <w:r w:rsidRPr="0004623A">
              <w:rPr>
                <w:rFonts w:cs="Times New Roman"/>
                <w:sz w:val="16"/>
                <w:szCs w:val="24"/>
                <w:rtl/>
              </w:rPr>
              <w:t>٫</w:t>
            </w:r>
            <w:r w:rsidRPr="0004623A">
              <w:rPr>
                <w:sz w:val="16"/>
                <w:szCs w:val="24"/>
                <w:rtl/>
              </w:rPr>
              <w:t>٦٤</w:t>
            </w:r>
          </w:p>
        </w:tc>
      </w:tr>
      <w:tr w:rsidR="00EC0C60" w:rsidRPr="0004623A" w:rsidTr="00EF3239">
        <w:trPr>
          <w:trHeight w:val="240"/>
          <w:tblCellSpacing w:w="0" w:type="dxa"/>
        </w:trPr>
        <w:tc>
          <w:tcPr>
            <w:tcW w:w="761" w:type="dxa"/>
            <w:vMerge/>
            <w:tcBorders>
              <w:bottom w:val="single" w:sz="12" w:space="0" w:color="auto"/>
            </w:tcBorders>
            <w:shd w:val="clear" w:color="000000" w:fill="auto"/>
          </w:tcPr>
          <w:p w:rsidR="00EC0C60" w:rsidRPr="0004623A" w:rsidRDefault="00EC0C60" w:rsidP="00965983">
            <w:pPr>
              <w:spacing w:before="40" w:after="40" w:line="290" w:lineRule="exact"/>
              <w:rPr>
                <w:sz w:val="16"/>
                <w:szCs w:val="24"/>
              </w:rPr>
            </w:pPr>
          </w:p>
        </w:tc>
        <w:tc>
          <w:tcPr>
            <w:tcW w:w="686" w:type="dxa"/>
            <w:tcBorders>
              <w:bottom w:val="single" w:sz="12" w:space="0" w:color="auto"/>
            </w:tcBorders>
            <w:shd w:val="clear" w:color="000000" w:fill="auto"/>
          </w:tcPr>
          <w:p w:rsidR="00EC0C60" w:rsidRPr="0004623A" w:rsidRDefault="00EC0C60" w:rsidP="00965983">
            <w:pPr>
              <w:spacing w:before="40" w:after="40" w:line="290" w:lineRule="exact"/>
              <w:ind w:left="57"/>
              <w:rPr>
                <w:sz w:val="16"/>
                <w:szCs w:val="24"/>
              </w:rPr>
            </w:pPr>
            <w:r w:rsidRPr="0004623A">
              <w:rPr>
                <w:sz w:val="16"/>
                <w:szCs w:val="24"/>
                <w:rtl/>
              </w:rPr>
              <w:t>٢٠١٠</w:t>
            </w:r>
          </w:p>
        </w:tc>
        <w:tc>
          <w:tcPr>
            <w:tcW w:w="1399"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170"/>
              <w:jc w:val="right"/>
              <w:rPr>
                <w:sz w:val="16"/>
                <w:szCs w:val="24"/>
              </w:rPr>
            </w:pPr>
            <w:r w:rsidRPr="0004623A">
              <w:rPr>
                <w:sz w:val="16"/>
                <w:szCs w:val="24"/>
              </w:rPr>
              <w:t>…</w:t>
            </w:r>
          </w:p>
        </w:tc>
        <w:tc>
          <w:tcPr>
            <w:tcW w:w="1386"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18"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73"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60"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288"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57"/>
              <w:jc w:val="right"/>
              <w:rPr>
                <w:sz w:val="16"/>
                <w:szCs w:val="24"/>
              </w:rPr>
            </w:pPr>
            <w:r w:rsidRPr="0004623A">
              <w:rPr>
                <w:sz w:val="16"/>
                <w:szCs w:val="24"/>
              </w:rPr>
              <w:t>…</w:t>
            </w:r>
          </w:p>
        </w:tc>
        <w:tc>
          <w:tcPr>
            <w:tcW w:w="1044" w:type="dxa"/>
            <w:tcBorders>
              <w:bottom w:val="single" w:sz="12" w:space="0" w:color="auto"/>
            </w:tcBorders>
            <w:shd w:val="clear" w:color="000000" w:fill="auto"/>
            <w:vAlign w:val="bottom"/>
          </w:tcPr>
          <w:p w:rsidR="00EC0C60" w:rsidRPr="0004623A" w:rsidRDefault="00EC0C60" w:rsidP="00541955">
            <w:pPr>
              <w:bidi w:val="0"/>
              <w:spacing w:before="40" w:after="40" w:line="290" w:lineRule="exact"/>
              <w:ind w:right="113"/>
              <w:jc w:val="right"/>
              <w:rPr>
                <w:sz w:val="16"/>
                <w:szCs w:val="24"/>
              </w:rPr>
            </w:pPr>
            <w:r w:rsidRPr="0004623A">
              <w:rPr>
                <w:sz w:val="16"/>
                <w:szCs w:val="24"/>
              </w:rPr>
              <w:t>…</w:t>
            </w:r>
          </w:p>
        </w:tc>
      </w:tr>
    </w:tbl>
    <w:p w:rsidR="008B4BC6" w:rsidRPr="0004623A" w:rsidRDefault="0004623A" w:rsidP="0004623A">
      <w:pPr>
        <w:spacing w:before="120"/>
        <w:jc w:val="center"/>
        <w:rPr>
          <w:rFonts w:hint="cs"/>
          <w:u w:val="single"/>
          <w:rtl/>
        </w:rPr>
      </w:pPr>
      <w:r>
        <w:rPr>
          <w:u w:val="single"/>
          <w:rtl/>
        </w:rPr>
        <w:tab/>
      </w:r>
      <w:r>
        <w:rPr>
          <w:u w:val="single"/>
          <w:rtl/>
        </w:rPr>
        <w:tab/>
      </w:r>
      <w:r>
        <w:rPr>
          <w:u w:val="single"/>
          <w:rtl/>
        </w:rPr>
        <w:tab/>
      </w:r>
    </w:p>
    <w:sectPr w:rsidR="008B4BC6" w:rsidRPr="0004623A" w:rsidSect="00F74F44">
      <w:headerReference w:type="even" r:id="rId15"/>
      <w:footerReference w:type="even" r:id="rId16"/>
      <w:headerReference w:type="first" r:id="rId17"/>
      <w:footerReference w:type="first" r:id="rId18"/>
      <w:endnotePr>
        <w:numFmt w:val="decimal"/>
      </w:endnotePr>
      <w:pgSz w:w="16838" w:h="11906" w:orient="landscape" w:code="9"/>
      <w:pgMar w:top="1134" w:right="1701" w:bottom="1134" w:left="2268"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AE" w:rsidRPr="00FE6865" w:rsidRDefault="003316AE" w:rsidP="00FE6865">
      <w:pPr>
        <w:pStyle w:val="Footer"/>
      </w:pPr>
    </w:p>
  </w:endnote>
  <w:endnote w:type="continuationSeparator" w:id="0">
    <w:p w:rsidR="003316AE" w:rsidRDefault="0033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Pr="00926FAC" w:rsidRDefault="008E2B4C" w:rsidP="00926FAC">
    <w:pPr>
      <w:pStyle w:val="Footer"/>
      <w:tabs>
        <w:tab w:val="right" w:pos="9598"/>
      </w:tabs>
    </w:pPr>
    <w:r>
      <w:t>GE.12-40010</w:t>
    </w:r>
    <w:r>
      <w:tab/>
    </w:r>
    <w:r w:rsidRPr="00926FAC">
      <w:rPr>
        <w:b/>
        <w:sz w:val="18"/>
      </w:rPr>
      <w:fldChar w:fldCharType="begin"/>
    </w:r>
    <w:r w:rsidRPr="00926FAC">
      <w:rPr>
        <w:b/>
        <w:sz w:val="18"/>
      </w:rPr>
      <w:instrText xml:space="preserve"> PAGE  \* MERGEFORMAT </w:instrText>
    </w:r>
    <w:r w:rsidRPr="00926FAC">
      <w:rPr>
        <w:b/>
        <w:sz w:val="18"/>
      </w:rPr>
      <w:fldChar w:fldCharType="separate"/>
    </w:r>
    <w:r w:rsidR="00EC0C60">
      <w:rPr>
        <w:b/>
        <w:noProof/>
        <w:sz w:val="18"/>
      </w:rPr>
      <w:t>8</w:t>
    </w:r>
    <w:r w:rsidRPr="00926FA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Pr="00926FAC" w:rsidRDefault="008E2B4C" w:rsidP="00926FAC">
    <w:pPr>
      <w:pStyle w:val="Footer"/>
      <w:tabs>
        <w:tab w:val="right" w:pos="9598"/>
      </w:tabs>
      <w:rPr>
        <w:b/>
        <w:sz w:val="18"/>
      </w:rPr>
    </w:pPr>
    <w:r w:rsidRPr="00926FAC">
      <w:rPr>
        <w:b/>
        <w:sz w:val="18"/>
      </w:rPr>
      <w:fldChar w:fldCharType="begin"/>
    </w:r>
    <w:r w:rsidRPr="00926FAC">
      <w:rPr>
        <w:b/>
        <w:sz w:val="18"/>
      </w:rPr>
      <w:instrText xml:space="preserve"> PAGE  \* MERGEFORMAT </w:instrText>
    </w:r>
    <w:r w:rsidRPr="00926FAC">
      <w:rPr>
        <w:b/>
        <w:sz w:val="18"/>
      </w:rPr>
      <w:fldChar w:fldCharType="separate"/>
    </w:r>
    <w:r w:rsidR="00EC0C60">
      <w:rPr>
        <w:b/>
        <w:noProof/>
        <w:sz w:val="18"/>
      </w:rPr>
      <w:t>7</w:t>
    </w:r>
    <w:r w:rsidRPr="00926FAC">
      <w:rPr>
        <w:b/>
        <w:sz w:val="18"/>
      </w:rPr>
      <w:fldChar w:fldCharType="end"/>
    </w:r>
    <w:r>
      <w:rPr>
        <w:b/>
        <w:sz w:val="18"/>
      </w:rPr>
      <w:tab/>
    </w:r>
    <w:r>
      <w:t>GE.12-40010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Default="008E2B4C" w:rsidP="00926FAC">
    <w:pPr>
      <w:pStyle w:val="Footer"/>
      <w:jc w:val="right"/>
    </w:pPr>
    <w:r>
      <w:rPr>
        <w:sz w:val="20"/>
      </w:rPr>
      <w:t>(A)   GE.12-40010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6;mso-position-horizontal-relative:text;mso-position-vertical-relative:text" wrapcoords="-177 0 -177 20965 21600 20965 21600 0 -177 0" o:allowincell="f">
          <v:imagedata r:id="rId1" o:title="PleaseRecycleArabic"/>
          <w10:wrap type="tight"/>
          <w10:anchorlock/>
        </v:shape>
      </w:pict>
    </w:r>
    <w:r>
      <w:rPr>
        <w:sz w:val="20"/>
      </w:rPr>
      <w:t xml:space="preserve">    010212    020212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64" w:rsidRPr="00D74364" w:rsidRDefault="00D74364" w:rsidP="00D743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Pr="00F74F44" w:rsidRDefault="008E2B4C" w:rsidP="00F74F4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AE" w:rsidRDefault="003316AE" w:rsidP="00834FF4">
      <w:pPr>
        <w:pStyle w:val="Footer"/>
        <w:bidi/>
        <w:spacing w:after="80" w:line="200" w:lineRule="exact"/>
        <w:ind w:left="680"/>
      </w:pPr>
      <w:r>
        <w:rPr>
          <w:rFonts w:hint="cs"/>
          <w:rtl/>
        </w:rPr>
        <w:t>__________</w:t>
      </w:r>
    </w:p>
  </w:footnote>
  <w:footnote w:type="continuationSeparator" w:id="0">
    <w:p w:rsidR="003316AE" w:rsidRDefault="003316AE" w:rsidP="00834FF4">
      <w:pPr>
        <w:pStyle w:val="Footer"/>
        <w:bidi/>
        <w:spacing w:after="80" w:line="200" w:lineRule="exact"/>
        <w:ind w:left="680"/>
      </w:pPr>
      <w:r>
        <w:rPr>
          <w:rFonts w:hint="cs"/>
          <w:rtl/>
        </w:rPr>
        <w:t>__________</w:t>
      </w:r>
    </w:p>
  </w:footnote>
  <w:footnote w:id="1">
    <w:p w:rsidR="008E2B4C" w:rsidRPr="00926FAC" w:rsidRDefault="008E2B4C" w:rsidP="00926FAC">
      <w:pPr>
        <w:pStyle w:val="footnoteText0"/>
        <w:rPr>
          <w:rFonts w:hint="cs"/>
        </w:rPr>
      </w:pPr>
      <w:r>
        <w:rPr>
          <w:rtl/>
        </w:rPr>
        <w:tab/>
      </w:r>
      <w:r w:rsidRPr="00926FAC">
        <w:rPr>
          <w:rStyle w:val="FootnoteReference"/>
          <w:sz w:val="20"/>
          <w:vertAlign w:val="baseline"/>
          <w:rtl/>
        </w:rPr>
        <w:t>*</w:t>
      </w:r>
      <w:r>
        <w:rPr>
          <w:rtl/>
        </w:rPr>
        <w:tab/>
      </w:r>
      <w:r>
        <w:rPr>
          <w:rFonts w:hint="cs"/>
          <w:rtl/>
        </w:rPr>
        <w:t>تأخر تقديم 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Pr="00926FAC" w:rsidRDefault="008E2B4C" w:rsidP="00926FAC">
    <w:pPr>
      <w:pStyle w:val="Header"/>
      <w:jc w:val="right"/>
    </w:pPr>
    <w:r w:rsidRPr="00926FAC">
      <w:t>CEDAW/C/51/2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Pr="00926FAC" w:rsidRDefault="008E2B4C" w:rsidP="00926FAC">
    <w:pPr>
      <w:pStyle w:val="Header"/>
      <w:jc w:val="left"/>
    </w:pPr>
    <w:r w:rsidRPr="00926FAC">
      <w:t>CEDAW/C/51/2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Default="008E2B4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8E2B4C" w:rsidRPr="00460CB7" w:rsidRDefault="008E2B4C"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64" w:rsidRPr="00D74364" w:rsidRDefault="00D57525" w:rsidP="00D74364">
    <w:pPr>
      <w:pStyle w:val="Header"/>
    </w:pPr>
    <w:r>
      <w:rPr>
        <w:noProof/>
      </w:rPr>
      <w:pict>
        <v:shapetype id="_x0000_t202" coordsize="21600,21600" o:spt="202" path="m,l,21600r21600,l21600,xe">
          <v:stroke joinstyle="miter"/>
          <v:path gradientshapeok="t" o:connecttype="rect"/>
        </v:shapetype>
        <v:shape id="_x0000_s2059" type="#_x0000_t202" style="position:absolute;left:0;text-align:left;margin-left:794.65pt;margin-top:56.05pt;width:20.1pt;height:481.9pt;z-index:6;mso-position-horizontal-relative:page;mso-position-vertical-relative:page" wrapcoords="-939 0 -939 21566 21600 21566 21600 0 -939 0" o:allowincell="f" stroked="f">
          <v:textbox style="layout-flow:vertical" inset="0,0,0,0">
            <w:txbxContent>
              <w:p w:rsidR="00D57525" w:rsidRPr="0012131A" w:rsidRDefault="00D57525" w:rsidP="00D57525">
                <w:pPr>
                  <w:pStyle w:val="Header"/>
                  <w:jc w:val="right"/>
                </w:pPr>
                <w:r>
                  <w:t>CEDAW/C/51/2</w:t>
                </w:r>
              </w:p>
              <w:p w:rsidR="00D57525" w:rsidRDefault="00D57525" w:rsidP="00D57525">
                <w:pPr>
                  <w:rPr>
                    <w:rFonts w:hint="cs"/>
                  </w:rPr>
                </w:pPr>
              </w:p>
            </w:txbxContent>
          </v:textbox>
          <w10:anchorlock/>
        </v:shape>
      </w:pict>
    </w:r>
    <w:r>
      <w:rPr>
        <w:noProof/>
      </w:rPr>
      <w:pict>
        <v:shape id="_x0000_s2057" type="#_x0000_t202" style="position:absolute;left:0;text-align:left;margin-left:52.75pt;margin-top:58.4pt;width:17.5pt;height:481.9pt;z-index:4;mso-position-horizontal-relative:page;mso-position-vertical-relative:page" wrapcoords="-939 0 -939 21566 21600 21566 21600 0 -939 0" o:allowincell="f" stroked="f">
          <v:textbox style="layout-flow:vertical" inset="0,0,0,0">
            <w:txbxContent>
              <w:p w:rsidR="00D57525" w:rsidRPr="00B23C7D" w:rsidRDefault="00D57525" w:rsidP="00D57525">
                <w:pPr>
                  <w:pStyle w:val="Footer"/>
                  <w:tabs>
                    <w:tab w:val="right" w:pos="9598"/>
                  </w:tabs>
                  <w:rPr>
                    <w:b/>
                    <w:sz w:val="18"/>
                  </w:rPr>
                </w:pPr>
                <w:r w:rsidRPr="00B23C7D">
                  <w:t>GE.</w:t>
                </w:r>
                <w:r>
                  <w:t>12-40010</w:t>
                </w:r>
                <w:r>
                  <w:tab/>
                </w:r>
                <w:r>
                  <w:rPr>
                    <w:rStyle w:val="PageNumber"/>
                  </w:rPr>
                  <w:fldChar w:fldCharType="begin"/>
                </w:r>
                <w:r>
                  <w:rPr>
                    <w:rStyle w:val="PageNumber"/>
                  </w:rPr>
                  <w:instrText xml:space="preserve"> PAGE </w:instrText>
                </w:r>
                <w:r>
                  <w:rPr>
                    <w:rStyle w:val="PageNumber"/>
                  </w:rPr>
                  <w:fldChar w:fldCharType="separate"/>
                </w:r>
                <w:r w:rsidR="00EC0C60">
                  <w:rPr>
                    <w:rStyle w:val="PageNumber"/>
                    <w:noProof/>
                  </w:rPr>
                  <w:t>10</w:t>
                </w:r>
                <w:r>
                  <w:rPr>
                    <w:rStyle w:val="PageNumber"/>
                  </w:rPr>
                  <w:fldChar w:fldCharType="end"/>
                </w:r>
              </w:p>
              <w:p w:rsidR="00D57525" w:rsidRDefault="00D57525" w:rsidP="00D57525"/>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4C" w:rsidRDefault="00D5752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8" type="#_x0000_t202" style="position:absolute;left:0;text-align:left;margin-left:794.65pt;margin-top:56.5pt;width:17.55pt;height:481.9pt;z-index:5;mso-position-horizontal-relative:page;mso-position-vertical-relative:page" wrapcoords="-939 0 -939 21566 21600 21566 21600 0 -939 0" o:allowincell="f" stroked="f">
          <v:textbox style="layout-flow:vertical" inset="0,0,0,0">
            <w:txbxContent>
              <w:p w:rsidR="00D57525" w:rsidRPr="0012131A" w:rsidRDefault="00D57525" w:rsidP="00BB46F8">
                <w:pPr>
                  <w:pStyle w:val="Header"/>
                  <w:jc w:val="left"/>
                </w:pPr>
                <w:r>
                  <w:t>CEDAW/C/51/2</w:t>
                </w:r>
              </w:p>
              <w:p w:rsidR="00D57525" w:rsidRDefault="00D57525" w:rsidP="00D57525">
                <w:pPr>
                  <w:rPr>
                    <w:rFonts w:hint="cs"/>
                  </w:rPr>
                </w:pPr>
              </w:p>
            </w:txbxContent>
          </v:textbox>
          <w10:anchorlock/>
        </v:shape>
      </w:pict>
    </w:r>
    <w:r>
      <w:rPr>
        <w:noProof/>
      </w:rPr>
      <w:pict>
        <v:shape id="_x0000_s2056" type="#_x0000_t202" style="position:absolute;left:0;text-align:left;margin-left:52.9pt;margin-top:58.1pt;width:17.55pt;height:481.9pt;z-index:3;mso-position-horizontal-relative:page;mso-position-vertical-relative:page" wrapcoords="-939 0 -939 21566 21600 21566 21600 0 -939 0" o:allowincell="f" stroked="f">
          <v:textbox style="layout-flow:vertical" inset="0,0,0,0">
            <w:txbxContent>
              <w:p w:rsidR="00D57525" w:rsidRPr="00B23C7D" w:rsidRDefault="00D57525" w:rsidP="00D57525">
                <w:pPr>
                  <w:pStyle w:val="Footer"/>
                  <w:tabs>
                    <w:tab w:val="right" w:pos="9598"/>
                  </w:tabs>
                  <w:rPr>
                    <w:b/>
                    <w:sz w:val="18"/>
                  </w:rPr>
                </w:pPr>
                <w:r>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Pr>
                  <w:fldChar w:fldCharType="separate"/>
                </w:r>
                <w:r w:rsidR="00EC0C60">
                  <w:rPr>
                    <w:rStyle w:val="PageNumber"/>
                    <w:noProof/>
                  </w:rPr>
                  <w:t>9</w:t>
                </w:r>
                <w:r>
                  <w:rPr>
                    <w:rStyle w:val="PageNumber"/>
                  </w:rPr>
                  <w:fldChar w:fldCharType="end"/>
                </w:r>
                <w:r>
                  <w:rPr>
                    <w:rStyle w:val="PageNumber"/>
                  </w:rPr>
                  <w:tab/>
                </w:r>
                <w:r w:rsidRPr="00B23C7D">
                  <w:t>GE.</w:t>
                </w:r>
                <w:r>
                  <w:t>12-40010</w:t>
                </w:r>
              </w:p>
              <w:p w:rsidR="00D57525" w:rsidRDefault="00D57525" w:rsidP="00D57525"/>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17B"/>
    <w:rsid w:val="00040E25"/>
    <w:rsid w:val="00042149"/>
    <w:rsid w:val="000448E5"/>
    <w:rsid w:val="0004623A"/>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73BF1"/>
    <w:rsid w:val="001830C5"/>
    <w:rsid w:val="001A5161"/>
    <w:rsid w:val="001A60BD"/>
    <w:rsid w:val="002225D3"/>
    <w:rsid w:val="002244FB"/>
    <w:rsid w:val="00232277"/>
    <w:rsid w:val="0023736D"/>
    <w:rsid w:val="00257225"/>
    <w:rsid w:val="00310160"/>
    <w:rsid w:val="003316AE"/>
    <w:rsid w:val="00341A8C"/>
    <w:rsid w:val="003519E6"/>
    <w:rsid w:val="003B4356"/>
    <w:rsid w:val="003F08A8"/>
    <w:rsid w:val="004250E3"/>
    <w:rsid w:val="00460CB7"/>
    <w:rsid w:val="00472A81"/>
    <w:rsid w:val="004A20A6"/>
    <w:rsid w:val="004B2C92"/>
    <w:rsid w:val="004D6A3A"/>
    <w:rsid w:val="004F4AD7"/>
    <w:rsid w:val="00541955"/>
    <w:rsid w:val="00557CD3"/>
    <w:rsid w:val="00571432"/>
    <w:rsid w:val="005732A2"/>
    <w:rsid w:val="005762A5"/>
    <w:rsid w:val="00590BA3"/>
    <w:rsid w:val="005B46D9"/>
    <w:rsid w:val="005B7AE0"/>
    <w:rsid w:val="005C77BF"/>
    <w:rsid w:val="005E0019"/>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4793D"/>
    <w:rsid w:val="0079344E"/>
    <w:rsid w:val="007E197F"/>
    <w:rsid w:val="007F68C4"/>
    <w:rsid w:val="008153DE"/>
    <w:rsid w:val="00834FF4"/>
    <w:rsid w:val="00852A10"/>
    <w:rsid w:val="00853BDC"/>
    <w:rsid w:val="00862634"/>
    <w:rsid w:val="00866C59"/>
    <w:rsid w:val="00877306"/>
    <w:rsid w:val="008A6242"/>
    <w:rsid w:val="008B4BC6"/>
    <w:rsid w:val="008E2B4C"/>
    <w:rsid w:val="00901E57"/>
    <w:rsid w:val="009070DF"/>
    <w:rsid w:val="00922026"/>
    <w:rsid w:val="00926FAC"/>
    <w:rsid w:val="00935F0E"/>
    <w:rsid w:val="0095208F"/>
    <w:rsid w:val="00965983"/>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74C"/>
    <w:rsid w:val="00AF0BBA"/>
    <w:rsid w:val="00B25BBD"/>
    <w:rsid w:val="00B303F2"/>
    <w:rsid w:val="00B30468"/>
    <w:rsid w:val="00B355D7"/>
    <w:rsid w:val="00B44E31"/>
    <w:rsid w:val="00BA4F7E"/>
    <w:rsid w:val="00BB2C41"/>
    <w:rsid w:val="00BB46F8"/>
    <w:rsid w:val="00BC55C8"/>
    <w:rsid w:val="00BC5C10"/>
    <w:rsid w:val="00BE2964"/>
    <w:rsid w:val="00C21623"/>
    <w:rsid w:val="00C24FBD"/>
    <w:rsid w:val="00C473BA"/>
    <w:rsid w:val="00C611ED"/>
    <w:rsid w:val="00C6490A"/>
    <w:rsid w:val="00C64FE1"/>
    <w:rsid w:val="00C74296"/>
    <w:rsid w:val="00C75A53"/>
    <w:rsid w:val="00C8345E"/>
    <w:rsid w:val="00CA5F7C"/>
    <w:rsid w:val="00D23E96"/>
    <w:rsid w:val="00D51067"/>
    <w:rsid w:val="00D57525"/>
    <w:rsid w:val="00D74364"/>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0C60"/>
    <w:rsid w:val="00EC306E"/>
    <w:rsid w:val="00EC50B9"/>
    <w:rsid w:val="00ED26A0"/>
    <w:rsid w:val="00EF3239"/>
    <w:rsid w:val="00F1727A"/>
    <w:rsid w:val="00F177A4"/>
    <w:rsid w:val="00F34764"/>
    <w:rsid w:val="00F54E3C"/>
    <w:rsid w:val="00F5717B"/>
    <w:rsid w:val="00F7225E"/>
    <w:rsid w:val="00F74F44"/>
    <w:rsid w:val="00F874BD"/>
    <w:rsid w:val="00F900F1"/>
    <w:rsid w:val="00FB1D0B"/>
    <w:rsid w:val="00FE368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Hyperlink">
    <w:name w:val="Hyperlink"/>
    <w:semiHidden/>
    <w:rsid w:val="00926FAC"/>
    <w:rPr>
      <w:color w:val="auto"/>
      <w:u w:val="none"/>
    </w:rPr>
  </w:style>
  <w:style w:type="paragraph" w:customStyle="1" w:styleId="SingleTxt">
    <w:name w:val="__Single Txt"/>
    <w:basedOn w:val="Normal"/>
    <w:rsid w:val="00926FA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23">
    <w:name w:val="_ H_2/3"/>
    <w:basedOn w:val="Normal"/>
    <w:next w:val="SingleTxt"/>
    <w:rsid w:val="00926FAC"/>
    <w:pPr>
      <w:keepNext/>
      <w:keepLines/>
      <w:suppressAutoHyphens/>
      <w:spacing w:line="400" w:lineRule="exact"/>
      <w:jc w:val="both"/>
      <w:outlineLvl w:val="1"/>
    </w:pPr>
    <w:rPr>
      <w:b/>
      <w:bCs/>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9/001900/190009F.pdf"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10</Pages>
  <Words>2534</Words>
  <Characters>14449</Characters>
  <Application>Microsoft Office Word</Application>
  <DocSecurity>4</DocSecurity>
  <Lines>120</Lines>
  <Paragraphs>33</Paragraphs>
  <ScaleCrop>false</ScaleCrop>
  <HeadingPairs>
    <vt:vector size="2" baseType="variant">
      <vt:variant>
        <vt:lpstr>العنوان</vt:lpstr>
      </vt:variant>
      <vt:variant>
        <vt:i4>1</vt:i4>
      </vt:variant>
    </vt:vector>
  </HeadingPairs>
  <TitlesOfParts>
    <vt:vector size="1" baseType="lpstr">
      <vt:lpstr>CEDAW/C/51/2</vt:lpstr>
    </vt:vector>
  </TitlesOfParts>
  <Company>CSD</Company>
  <LinksUpToDate>false</LinksUpToDate>
  <CharactersWithSpaces>16950</CharactersWithSpaces>
  <SharedDoc>false</SharedDoc>
  <HLinks>
    <vt:vector size="6" baseType="variant">
      <vt:variant>
        <vt:i4>1245184</vt:i4>
      </vt:variant>
      <vt:variant>
        <vt:i4>0</vt:i4>
      </vt:variant>
      <vt:variant>
        <vt:i4>0</vt:i4>
      </vt:variant>
      <vt:variant>
        <vt:i4>5</vt:i4>
      </vt:variant>
      <vt:variant>
        <vt:lpwstr>http://unesdoc.unesco.org/images/0019/001900/190009F.pdf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CEDAW/C/51/2</dc:title>
  <dc:subject>KHUDHAIRI, SEDDIKI</dc:subject>
  <dc:creator>BALAN</dc:creator>
  <cp:keywords/>
  <dc:description/>
  <cp:lastModifiedBy>BALAN</cp:lastModifiedBy>
  <cp:revision>2</cp:revision>
  <cp:lastPrinted>2012-02-01T14:46:00Z</cp:lastPrinted>
  <dcterms:created xsi:type="dcterms:W3CDTF">2012-02-02T11:49:00Z</dcterms:created>
  <dcterms:modified xsi:type="dcterms:W3CDTF">2012-02-02T11:49:00Z</dcterms:modified>
</cp:coreProperties>
</file>