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98" w:rsidRDefault="000F2598" w:rsidP="000F2598">
      <w:pPr>
        <w:spacing w:line="60" w:lineRule="exact"/>
        <w:rPr>
          <w:lang w:val="en-US"/>
        </w:rPr>
        <w:sectPr w:rsidR="000F2598" w:rsidSect="000F259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08"/>
          <w:noEndnote/>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01pt;margin-top:682pt;width:57.9pt;height:57.9pt;z-index:1;mso-position-horizontal-relative:page;mso-position-vertical-relative:page" o:preferrelative="f">
            <v:imagedata r:id="rId13" o:title="2011&amp;Size =1&amp;Lang = R"/>
            <w10:wrap anchorx="page" anchory="page"/>
          </v:shape>
        </w:pict>
      </w:r>
      <w:commentRangeEnd w:id="0"/>
      <w:r>
        <w:rPr>
          <w:rStyle w:val="CommentReference"/>
        </w:rPr>
        <w:commentReference w:id="0"/>
      </w:r>
    </w:p>
    <w:p w:rsidR="00137D3E" w:rsidRPr="00137D3E" w:rsidRDefault="00137D3E" w:rsidP="00137D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37D3E">
        <w:t xml:space="preserve">Комитет по ликвидации дискриминации </w:t>
      </w:r>
      <w:r w:rsidRPr="00137D3E">
        <w:br/>
        <w:t>в отношении женщин</w:t>
      </w:r>
    </w:p>
    <w:p w:rsidR="00137D3E" w:rsidRPr="00137D3E" w:rsidRDefault="00137D3E" w:rsidP="00137D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D3E">
        <w:t>Пятьдесят шестая сессия</w:t>
      </w:r>
    </w:p>
    <w:p w:rsidR="00137D3E" w:rsidRDefault="007B4187" w:rsidP="00137D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30 сентября — 18 октября 2013 года</w:t>
      </w:r>
    </w:p>
    <w:p w:rsidR="007B4187" w:rsidRPr="007B4187" w:rsidRDefault="007B4187" w:rsidP="007B4187">
      <w:pPr>
        <w:pStyle w:val="SingleTxt"/>
        <w:spacing w:after="0" w:line="120" w:lineRule="exact"/>
        <w:rPr>
          <w:sz w:val="10"/>
        </w:rPr>
      </w:pPr>
    </w:p>
    <w:p w:rsidR="007B4187" w:rsidRPr="007B4187" w:rsidRDefault="007B4187" w:rsidP="007B4187">
      <w:pPr>
        <w:pStyle w:val="SingleTxt"/>
        <w:spacing w:after="0" w:line="120" w:lineRule="exact"/>
        <w:rPr>
          <w:sz w:val="10"/>
        </w:rPr>
      </w:pPr>
    </w:p>
    <w:p w:rsidR="007B4187" w:rsidRPr="007B4187" w:rsidRDefault="007B4187" w:rsidP="007B4187">
      <w:pPr>
        <w:pStyle w:val="SingleTxt"/>
        <w:spacing w:after="0" w:line="120" w:lineRule="exact"/>
        <w:rPr>
          <w:sz w:val="10"/>
        </w:rPr>
      </w:pPr>
    </w:p>
    <w:p w:rsidR="0068294E" w:rsidRPr="0068294E" w:rsidRDefault="0068294E" w:rsidP="0068294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8294E">
        <w:tab/>
      </w:r>
      <w:r w:rsidRPr="0068294E">
        <w:tab/>
        <w:t xml:space="preserve">Сообщение № </w:t>
      </w:r>
      <w:r w:rsidRPr="007B4187">
        <w:t>29/</w:t>
      </w:r>
      <w:bookmarkStart w:id="1" w:name="_Hlt367802652"/>
      <w:bookmarkStart w:id="2" w:name="_Hlt367802653"/>
      <w:r w:rsidRPr="007B4187">
        <w:t>2</w:t>
      </w:r>
      <w:bookmarkStart w:id="3" w:name="_Hlt367802654"/>
      <w:bookmarkEnd w:id="1"/>
      <w:bookmarkEnd w:id="2"/>
      <w:r w:rsidRPr="007B4187">
        <w:t>0</w:t>
      </w:r>
      <w:bookmarkEnd w:id="3"/>
      <w:r w:rsidRPr="007B4187">
        <w:t>11</w:t>
      </w:r>
    </w:p>
    <w:p w:rsidR="0068294E" w:rsidRPr="0068294E" w:rsidRDefault="0068294E" w:rsidP="0068294E">
      <w:pPr>
        <w:pStyle w:val="SingleTxt"/>
        <w:spacing w:after="0" w:line="120" w:lineRule="exact"/>
        <w:rPr>
          <w:sz w:val="10"/>
        </w:rPr>
      </w:pPr>
    </w:p>
    <w:p w:rsidR="0068294E" w:rsidRPr="0068294E" w:rsidRDefault="0068294E" w:rsidP="0068294E">
      <w:pPr>
        <w:pStyle w:val="SingleTxt"/>
        <w:spacing w:after="0" w:line="120" w:lineRule="exact"/>
        <w:rPr>
          <w:sz w:val="10"/>
        </w:rPr>
      </w:pPr>
    </w:p>
    <w:p w:rsidR="00137D3E" w:rsidRPr="00137D3E" w:rsidRDefault="0068294E" w:rsidP="006829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принятое Комитетом на его пять</w:t>
      </w:r>
      <w:r w:rsidR="00661DB4">
        <w:t xml:space="preserve">десят шестой сессии, </w:t>
      </w:r>
      <w:r w:rsidRPr="00137D3E">
        <w:t>30 сентября</w:t>
      </w:r>
      <w:r>
        <w:t xml:space="preserve"> — </w:t>
      </w:r>
      <w:r w:rsidRPr="00137D3E">
        <w:t>18 октября 2013 года</w:t>
      </w:r>
    </w:p>
    <w:p w:rsidR="0068294E" w:rsidRPr="0068294E" w:rsidRDefault="0068294E" w:rsidP="0068294E">
      <w:pPr>
        <w:pStyle w:val="SingleTxt"/>
        <w:spacing w:after="0" w:line="120" w:lineRule="exact"/>
        <w:rPr>
          <w:b/>
          <w:sz w:val="10"/>
        </w:rPr>
      </w:pPr>
    </w:p>
    <w:p w:rsidR="0068294E" w:rsidRPr="0068294E" w:rsidRDefault="0068294E" w:rsidP="0068294E">
      <w:pPr>
        <w:pStyle w:val="SingleTxt"/>
        <w:spacing w:after="0" w:line="120" w:lineRule="exact"/>
        <w:rPr>
          <w:b/>
          <w:sz w:val="10"/>
        </w:rPr>
      </w:pPr>
    </w:p>
    <w:tbl>
      <w:tblPr>
        <w:tblW w:w="7218" w:type="dxa"/>
        <w:tblInd w:w="1287" w:type="dxa"/>
        <w:tblLayout w:type="fixed"/>
        <w:tblCellMar>
          <w:left w:w="0" w:type="dxa"/>
          <w:right w:w="0" w:type="dxa"/>
        </w:tblCellMar>
        <w:tblLook w:val="01E0"/>
      </w:tblPr>
      <w:tblGrid>
        <w:gridCol w:w="2979"/>
        <w:gridCol w:w="4239"/>
      </w:tblGrid>
      <w:tr w:rsidR="00FF7AA6" w:rsidRPr="00001A5A" w:rsidTr="00621F43">
        <w:tc>
          <w:tcPr>
            <w:tcW w:w="2979" w:type="dxa"/>
            <w:shd w:val="clear" w:color="auto" w:fill="auto"/>
          </w:tcPr>
          <w:p w:rsidR="00FF7AA6" w:rsidRPr="00FE606D" w:rsidRDefault="00621F43" w:rsidP="00A55F93">
            <w:pPr>
              <w:tabs>
                <w:tab w:val="left" w:pos="333"/>
              </w:tabs>
              <w:spacing w:after="120"/>
              <w:rPr>
                <w:i/>
              </w:rPr>
            </w:pPr>
            <w:r>
              <w:rPr>
                <w:i/>
              </w:rPr>
              <w:tab/>
            </w:r>
            <w:r w:rsidR="00FF7AA6" w:rsidRPr="00FE606D">
              <w:rPr>
                <w:i/>
              </w:rPr>
              <w:t>Представлено</w:t>
            </w:r>
            <w:r w:rsidR="00FF7AA6" w:rsidRPr="00FF7AA6">
              <w:t>:</w:t>
            </w:r>
          </w:p>
        </w:tc>
        <w:tc>
          <w:tcPr>
            <w:tcW w:w="4239" w:type="dxa"/>
            <w:shd w:val="clear" w:color="auto" w:fill="auto"/>
          </w:tcPr>
          <w:p w:rsidR="00FF7AA6" w:rsidRPr="00001A5A" w:rsidRDefault="00621F43" w:rsidP="00621F43">
            <w:pPr>
              <w:spacing w:after="120"/>
            </w:pPr>
            <w:r>
              <w:t>Маймуной Санхе (не представлена</w:t>
            </w:r>
            <w:r>
              <w:br/>
            </w:r>
            <w:r w:rsidR="00FF7AA6" w:rsidRPr="000F6B2E">
              <w:t>адвок</w:t>
            </w:r>
            <w:r w:rsidR="00FF7AA6" w:rsidRPr="000F6B2E">
              <w:t>а</w:t>
            </w:r>
            <w:r w:rsidR="00FF7AA6" w:rsidRPr="000F6B2E">
              <w:t>том)</w:t>
            </w:r>
          </w:p>
        </w:tc>
      </w:tr>
      <w:tr w:rsidR="00FF7AA6" w:rsidTr="00621F43">
        <w:tc>
          <w:tcPr>
            <w:tcW w:w="2979" w:type="dxa"/>
            <w:shd w:val="clear" w:color="auto" w:fill="auto"/>
          </w:tcPr>
          <w:p w:rsidR="00FF7AA6" w:rsidRPr="00FE606D" w:rsidRDefault="00621F43" w:rsidP="00621F43">
            <w:pPr>
              <w:tabs>
                <w:tab w:val="left" w:pos="333"/>
              </w:tabs>
              <w:spacing w:after="120"/>
              <w:rPr>
                <w:i/>
              </w:rPr>
            </w:pPr>
            <w:r>
              <w:rPr>
                <w:i/>
              </w:rPr>
              <w:tab/>
            </w:r>
            <w:r w:rsidR="00FF7AA6" w:rsidRPr="00FE606D">
              <w:rPr>
                <w:i/>
              </w:rPr>
              <w:t>Предполагаемая жер</w:t>
            </w:r>
            <w:r w:rsidR="00FF7AA6" w:rsidRPr="00FE606D">
              <w:rPr>
                <w:i/>
              </w:rPr>
              <w:t>т</w:t>
            </w:r>
            <w:r w:rsidR="00FF7AA6" w:rsidRPr="00FE606D">
              <w:rPr>
                <w:i/>
              </w:rPr>
              <w:t>ва</w:t>
            </w:r>
            <w:r w:rsidR="00FF7AA6" w:rsidRPr="00FF7AA6">
              <w:t>:</w:t>
            </w:r>
          </w:p>
        </w:tc>
        <w:tc>
          <w:tcPr>
            <w:tcW w:w="4239" w:type="dxa"/>
            <w:shd w:val="clear" w:color="auto" w:fill="auto"/>
          </w:tcPr>
          <w:p w:rsidR="00FF7AA6" w:rsidRDefault="00FF7AA6" w:rsidP="00621F43">
            <w:pPr>
              <w:spacing w:after="120"/>
            </w:pPr>
            <w:r>
              <w:t>а</w:t>
            </w:r>
            <w:r w:rsidRPr="000F6B2E">
              <w:t>втор</w:t>
            </w:r>
          </w:p>
        </w:tc>
      </w:tr>
      <w:tr w:rsidR="00FF7AA6" w:rsidTr="00621F43">
        <w:tc>
          <w:tcPr>
            <w:tcW w:w="2979" w:type="dxa"/>
            <w:shd w:val="clear" w:color="auto" w:fill="auto"/>
          </w:tcPr>
          <w:p w:rsidR="00FF7AA6" w:rsidRPr="00FE606D" w:rsidRDefault="00621F43" w:rsidP="00621F43">
            <w:pPr>
              <w:tabs>
                <w:tab w:val="left" w:pos="333"/>
              </w:tabs>
              <w:spacing w:after="120"/>
              <w:rPr>
                <w:i/>
              </w:rPr>
            </w:pPr>
            <w:r>
              <w:rPr>
                <w:i/>
              </w:rPr>
              <w:tab/>
            </w:r>
            <w:r w:rsidR="00FF7AA6" w:rsidRPr="00FE606D">
              <w:rPr>
                <w:i/>
              </w:rPr>
              <w:t>Государство-участник</w:t>
            </w:r>
            <w:r w:rsidR="00FF7AA6" w:rsidRPr="00FF7AA6">
              <w:t>:</w:t>
            </w:r>
          </w:p>
        </w:tc>
        <w:tc>
          <w:tcPr>
            <w:tcW w:w="4239" w:type="dxa"/>
            <w:shd w:val="clear" w:color="auto" w:fill="auto"/>
          </w:tcPr>
          <w:p w:rsidR="00FF7AA6" w:rsidRDefault="00FF7AA6" w:rsidP="00621F43">
            <w:pPr>
              <w:spacing w:after="120"/>
            </w:pPr>
            <w:r w:rsidRPr="000F6B2E">
              <w:t>Испания</w:t>
            </w:r>
          </w:p>
        </w:tc>
      </w:tr>
      <w:tr w:rsidR="00FF7AA6" w:rsidTr="00621F43">
        <w:tc>
          <w:tcPr>
            <w:tcW w:w="2979" w:type="dxa"/>
            <w:shd w:val="clear" w:color="auto" w:fill="auto"/>
          </w:tcPr>
          <w:p w:rsidR="00FF7AA6" w:rsidRPr="00FE606D" w:rsidRDefault="00621F43" w:rsidP="00621F43">
            <w:pPr>
              <w:tabs>
                <w:tab w:val="left" w:pos="333"/>
              </w:tabs>
              <w:spacing w:after="120"/>
              <w:rPr>
                <w:i/>
              </w:rPr>
            </w:pPr>
            <w:r>
              <w:rPr>
                <w:i/>
              </w:rPr>
              <w:tab/>
            </w:r>
            <w:r w:rsidR="00FF7AA6" w:rsidRPr="00FE606D">
              <w:rPr>
                <w:i/>
              </w:rPr>
              <w:t>Дата сообщения</w:t>
            </w:r>
            <w:r w:rsidR="00FF7AA6" w:rsidRPr="00FF7AA6">
              <w:t>:</w:t>
            </w:r>
          </w:p>
        </w:tc>
        <w:tc>
          <w:tcPr>
            <w:tcW w:w="4239" w:type="dxa"/>
            <w:shd w:val="clear" w:color="auto" w:fill="auto"/>
          </w:tcPr>
          <w:p w:rsidR="00FF7AA6" w:rsidRPr="002A4F6C" w:rsidRDefault="00FF7AA6" w:rsidP="00621F43">
            <w:pPr>
              <w:spacing w:after="120"/>
            </w:pPr>
            <w:r w:rsidRPr="000F6B2E">
              <w:t>30 де</w:t>
            </w:r>
            <w:r>
              <w:t>кабря 2010 года (первоначальное</w:t>
            </w:r>
            <w:r>
              <w:br/>
            </w:r>
            <w:r w:rsidRPr="000F6B2E">
              <w:t>предста</w:t>
            </w:r>
            <w:r w:rsidRPr="000F6B2E">
              <w:t>в</w:t>
            </w:r>
            <w:r w:rsidRPr="000F6B2E">
              <w:t>ление)</w:t>
            </w:r>
          </w:p>
        </w:tc>
      </w:tr>
      <w:tr w:rsidR="00FF7AA6" w:rsidTr="00621F43">
        <w:tc>
          <w:tcPr>
            <w:tcW w:w="2979" w:type="dxa"/>
            <w:shd w:val="clear" w:color="auto" w:fill="auto"/>
          </w:tcPr>
          <w:p w:rsidR="00FF7AA6" w:rsidRPr="00FE606D" w:rsidRDefault="00621F43" w:rsidP="00621F43">
            <w:pPr>
              <w:tabs>
                <w:tab w:val="left" w:pos="333"/>
              </w:tabs>
              <w:spacing w:after="120"/>
              <w:rPr>
                <w:i/>
              </w:rPr>
            </w:pPr>
            <w:r>
              <w:rPr>
                <w:i/>
              </w:rPr>
              <w:tab/>
            </w:r>
            <w:r w:rsidR="00FF7AA6" w:rsidRPr="00FE606D">
              <w:rPr>
                <w:i/>
              </w:rPr>
              <w:t>Справочная документ</w:t>
            </w:r>
            <w:r w:rsidR="00FF7AA6" w:rsidRPr="00FE606D">
              <w:rPr>
                <w:i/>
              </w:rPr>
              <w:t>а</w:t>
            </w:r>
            <w:r w:rsidR="00FF7AA6" w:rsidRPr="00FE606D">
              <w:rPr>
                <w:i/>
              </w:rPr>
              <w:t>ция</w:t>
            </w:r>
            <w:r w:rsidR="00FF7AA6" w:rsidRPr="00FF7AA6">
              <w:t>:</w:t>
            </w:r>
          </w:p>
        </w:tc>
        <w:tc>
          <w:tcPr>
            <w:tcW w:w="4239" w:type="dxa"/>
            <w:shd w:val="clear" w:color="auto" w:fill="auto"/>
          </w:tcPr>
          <w:p w:rsidR="00FF7AA6" w:rsidRDefault="00FF7AA6" w:rsidP="00621F43">
            <w:pPr>
              <w:spacing w:after="120"/>
            </w:pPr>
            <w:r w:rsidRPr="000F6B2E">
              <w:t>препровождена государству-участнику</w:t>
            </w:r>
            <w:r>
              <w:t xml:space="preserve"> </w:t>
            </w:r>
            <w:r w:rsidRPr="000F6B2E">
              <w:t>10</w:t>
            </w:r>
            <w:r>
              <w:t> </w:t>
            </w:r>
            <w:r w:rsidRPr="000F6B2E">
              <w:t>февраля 2011 года (в ви</w:t>
            </w:r>
            <w:r w:rsidR="00621F43">
              <w:t>де документа</w:t>
            </w:r>
            <w:r w:rsidR="00621F43">
              <w:br/>
            </w:r>
            <w:r w:rsidRPr="000F6B2E">
              <w:t>н</w:t>
            </w:r>
            <w:r w:rsidRPr="000F6B2E">
              <w:t>е</w:t>
            </w:r>
            <w:r w:rsidR="00621F43">
              <w:t xml:space="preserve"> </w:t>
            </w:r>
            <w:r w:rsidRPr="000F6B2E">
              <w:t>распространялась)</w:t>
            </w:r>
          </w:p>
        </w:tc>
      </w:tr>
      <w:tr w:rsidR="00FF7AA6" w:rsidTr="00621F43">
        <w:tc>
          <w:tcPr>
            <w:tcW w:w="2979" w:type="dxa"/>
            <w:shd w:val="clear" w:color="auto" w:fill="auto"/>
          </w:tcPr>
          <w:p w:rsidR="00FF7AA6" w:rsidRPr="00FE606D" w:rsidRDefault="00621F43" w:rsidP="00621F43">
            <w:pPr>
              <w:tabs>
                <w:tab w:val="left" w:pos="333"/>
              </w:tabs>
              <w:spacing w:after="120"/>
              <w:rPr>
                <w:i/>
              </w:rPr>
            </w:pPr>
            <w:r>
              <w:rPr>
                <w:i/>
              </w:rPr>
              <w:tab/>
            </w:r>
            <w:r w:rsidR="00FF7AA6" w:rsidRPr="00FE606D">
              <w:rPr>
                <w:i/>
              </w:rPr>
              <w:t>Дата принятия реш</w:t>
            </w:r>
            <w:r w:rsidR="00FF7AA6" w:rsidRPr="00FE606D">
              <w:rPr>
                <w:i/>
              </w:rPr>
              <w:t>е</w:t>
            </w:r>
            <w:r w:rsidR="00FF7AA6" w:rsidRPr="00FE606D">
              <w:rPr>
                <w:i/>
              </w:rPr>
              <w:t>ния</w:t>
            </w:r>
            <w:r w:rsidR="00FF7AA6" w:rsidRPr="00FF7AA6">
              <w:t>:</w:t>
            </w:r>
          </w:p>
        </w:tc>
        <w:tc>
          <w:tcPr>
            <w:tcW w:w="4239" w:type="dxa"/>
            <w:shd w:val="clear" w:color="auto" w:fill="auto"/>
            <w:vAlign w:val="bottom"/>
          </w:tcPr>
          <w:p w:rsidR="00FF7AA6" w:rsidRDefault="00FF7AA6" w:rsidP="00621F43">
            <w:pPr>
              <w:spacing w:after="120"/>
            </w:pPr>
            <w:r>
              <w:t>11</w:t>
            </w:r>
            <w:r w:rsidRPr="000F6B2E">
              <w:t xml:space="preserve"> октября 2013 года</w:t>
            </w:r>
          </w:p>
        </w:tc>
      </w:tr>
    </w:tbl>
    <w:p w:rsidR="00FF7AA6" w:rsidRPr="00FF7AA6" w:rsidRDefault="00FF7AA6" w:rsidP="007B4187">
      <w:pPr>
        <w:pStyle w:val="SingleTxt"/>
      </w:pPr>
    </w:p>
    <w:p w:rsidR="00FF7AA6" w:rsidRDefault="00FF7AA6" w:rsidP="00621F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F6B2E">
        <w:t>Приложение</w:t>
      </w:r>
    </w:p>
    <w:p w:rsidR="00FF7AA6" w:rsidRPr="00FF7AA6" w:rsidRDefault="00FF7AA6" w:rsidP="00FF7AA6">
      <w:pPr>
        <w:pStyle w:val="SingleTxt"/>
        <w:spacing w:after="0" w:line="120" w:lineRule="exact"/>
        <w:rPr>
          <w:sz w:val="10"/>
        </w:rPr>
      </w:pPr>
    </w:p>
    <w:p w:rsidR="00FF7AA6" w:rsidRDefault="00FF7AA6" w:rsidP="00FF7A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6B2E">
        <w:tab/>
      </w:r>
      <w:r w:rsidRPr="000F6B2E">
        <w:tab/>
        <w:t>Решение Комитета по ликвидации дискриминации в</w:t>
      </w:r>
      <w:r>
        <w:t> </w:t>
      </w:r>
      <w:r w:rsidRPr="000F6B2E">
        <w:t>отношении женщин в соответствии с</w:t>
      </w:r>
      <w:r>
        <w:t> </w:t>
      </w:r>
      <w:r w:rsidRPr="000F6B2E">
        <w:t>Факультативным протоколом к Конвенции о</w:t>
      </w:r>
      <w:r>
        <w:t> </w:t>
      </w:r>
      <w:r w:rsidRPr="000F6B2E">
        <w:t>ликвидации всех форм дискриминации</w:t>
      </w:r>
      <w:r>
        <w:br/>
      </w:r>
      <w:r w:rsidRPr="000F6B2E">
        <w:t>в о</w:t>
      </w:r>
      <w:r w:rsidRPr="000F6B2E">
        <w:t>т</w:t>
      </w:r>
      <w:r w:rsidRPr="000F6B2E">
        <w:t>ношении ж</w:t>
      </w:r>
      <w:r>
        <w:t>енщин (пятьдесят шестая сессия)</w:t>
      </w:r>
    </w:p>
    <w:p w:rsidR="00FF7AA6" w:rsidRPr="00FF7AA6" w:rsidRDefault="00FF7AA6" w:rsidP="00FF7AA6">
      <w:pPr>
        <w:pStyle w:val="SingleTxt"/>
        <w:spacing w:after="0" w:line="120" w:lineRule="exact"/>
        <w:rPr>
          <w:sz w:val="10"/>
        </w:rPr>
      </w:pPr>
    </w:p>
    <w:p w:rsidR="00FF7AA6" w:rsidRPr="00FF7AA6" w:rsidRDefault="00FF7AA6" w:rsidP="00FF7AA6">
      <w:pPr>
        <w:pStyle w:val="SingleTxt"/>
        <w:spacing w:after="0" w:line="120" w:lineRule="exact"/>
        <w:rPr>
          <w:sz w:val="10"/>
        </w:rPr>
      </w:pPr>
    </w:p>
    <w:p w:rsidR="00FF7AA6" w:rsidRPr="00FF7AA6" w:rsidRDefault="00FF7AA6" w:rsidP="00FF7AA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F7AA6">
        <w:tab/>
      </w:r>
      <w:r w:rsidRPr="00FF7AA6">
        <w:tab/>
        <w:t xml:space="preserve">Сообщение № </w:t>
      </w:r>
      <w:r w:rsidRPr="00935C6E">
        <w:t>29/201</w:t>
      </w:r>
      <w:r w:rsidRPr="00FF7AA6">
        <w:t xml:space="preserve">1, </w:t>
      </w:r>
      <w:r w:rsidRPr="00FF7AA6">
        <w:rPr>
          <w:i/>
        </w:rPr>
        <w:t>Маймуна Санхе против Испании</w:t>
      </w:r>
      <w:r w:rsidRPr="00FB09C1">
        <w:rPr>
          <w:rStyle w:val="FootnoteReference"/>
          <w:b w:val="0"/>
          <w:i/>
          <w:sz w:val="20"/>
        </w:rPr>
        <w:footnoteReference w:customMarkFollows="1" w:id="1"/>
        <w:t>*</w:t>
      </w:r>
    </w:p>
    <w:p w:rsidR="00FF7AA6" w:rsidRPr="00FF7AA6" w:rsidRDefault="00FF7AA6" w:rsidP="00FF7AA6">
      <w:pPr>
        <w:pStyle w:val="SingleTxt"/>
        <w:spacing w:after="0" w:line="120" w:lineRule="exact"/>
        <w:rPr>
          <w:sz w:val="10"/>
        </w:rPr>
      </w:pPr>
    </w:p>
    <w:p w:rsidR="00FF7AA6" w:rsidRPr="00FF7AA6" w:rsidRDefault="00FF7AA6" w:rsidP="00FF7AA6">
      <w:pPr>
        <w:pStyle w:val="SingleTxt"/>
        <w:spacing w:after="0" w:line="120" w:lineRule="exact"/>
        <w:rPr>
          <w:sz w:val="10"/>
        </w:rPr>
      </w:pPr>
    </w:p>
    <w:tbl>
      <w:tblPr>
        <w:tblW w:w="7218" w:type="dxa"/>
        <w:tblInd w:w="1287" w:type="dxa"/>
        <w:tblLayout w:type="fixed"/>
        <w:tblCellMar>
          <w:left w:w="0" w:type="dxa"/>
          <w:right w:w="0" w:type="dxa"/>
        </w:tblCellMar>
        <w:tblLook w:val="01E0"/>
      </w:tblPr>
      <w:tblGrid>
        <w:gridCol w:w="3024"/>
        <w:gridCol w:w="4194"/>
      </w:tblGrid>
      <w:tr w:rsidR="00621F43" w:rsidRPr="00001A5A" w:rsidTr="00D3654A">
        <w:tc>
          <w:tcPr>
            <w:tcW w:w="3024" w:type="dxa"/>
            <w:shd w:val="clear" w:color="auto" w:fill="auto"/>
          </w:tcPr>
          <w:p w:rsidR="00621F43" w:rsidRPr="00FE606D" w:rsidRDefault="00A55F93" w:rsidP="00A55F93">
            <w:pPr>
              <w:tabs>
                <w:tab w:val="left" w:pos="333"/>
              </w:tabs>
              <w:spacing w:after="120"/>
              <w:rPr>
                <w:i/>
              </w:rPr>
            </w:pPr>
            <w:r>
              <w:rPr>
                <w:i/>
              </w:rPr>
              <w:tab/>
            </w:r>
            <w:r w:rsidR="00621F43" w:rsidRPr="00FE606D">
              <w:rPr>
                <w:i/>
              </w:rPr>
              <w:t>Представлено</w:t>
            </w:r>
            <w:r w:rsidR="00621F43" w:rsidRPr="00FF7AA6">
              <w:t>:</w:t>
            </w:r>
          </w:p>
        </w:tc>
        <w:tc>
          <w:tcPr>
            <w:tcW w:w="4194" w:type="dxa"/>
          </w:tcPr>
          <w:p w:rsidR="00621F43" w:rsidRPr="00001A5A" w:rsidRDefault="00D3654A" w:rsidP="00E70D1B">
            <w:pPr>
              <w:spacing w:after="120"/>
            </w:pPr>
            <w:r>
              <w:t>Маймуной Санхе (не представлена</w:t>
            </w:r>
            <w:r>
              <w:br/>
            </w:r>
            <w:r w:rsidR="00621F43" w:rsidRPr="000F6B2E">
              <w:t>адвок</w:t>
            </w:r>
            <w:r w:rsidR="00621F43" w:rsidRPr="000F6B2E">
              <w:t>а</w:t>
            </w:r>
            <w:r w:rsidR="00621F43" w:rsidRPr="000F6B2E">
              <w:t>том)</w:t>
            </w:r>
          </w:p>
        </w:tc>
      </w:tr>
      <w:tr w:rsidR="00621F43" w:rsidTr="00D3654A">
        <w:tc>
          <w:tcPr>
            <w:tcW w:w="3024" w:type="dxa"/>
            <w:shd w:val="clear" w:color="auto" w:fill="auto"/>
          </w:tcPr>
          <w:p w:rsidR="00621F43" w:rsidRPr="00FE606D" w:rsidRDefault="00A55F93" w:rsidP="00A55F93">
            <w:pPr>
              <w:tabs>
                <w:tab w:val="left" w:pos="333"/>
              </w:tabs>
              <w:spacing w:after="120"/>
              <w:rPr>
                <w:i/>
              </w:rPr>
            </w:pPr>
            <w:r>
              <w:rPr>
                <w:i/>
              </w:rPr>
              <w:tab/>
            </w:r>
            <w:r w:rsidR="00621F43" w:rsidRPr="00FE606D">
              <w:rPr>
                <w:i/>
              </w:rPr>
              <w:t>Предполагаемая жер</w:t>
            </w:r>
            <w:r w:rsidR="00621F43" w:rsidRPr="00FE606D">
              <w:rPr>
                <w:i/>
              </w:rPr>
              <w:t>т</w:t>
            </w:r>
            <w:r w:rsidR="00621F43" w:rsidRPr="00FE606D">
              <w:rPr>
                <w:i/>
              </w:rPr>
              <w:t>ва</w:t>
            </w:r>
            <w:r w:rsidR="00621F43" w:rsidRPr="00FF7AA6">
              <w:t>:</w:t>
            </w:r>
          </w:p>
        </w:tc>
        <w:tc>
          <w:tcPr>
            <w:tcW w:w="4194" w:type="dxa"/>
          </w:tcPr>
          <w:p w:rsidR="00621F43" w:rsidRDefault="00621F43" w:rsidP="00E70D1B">
            <w:pPr>
              <w:spacing w:after="120"/>
            </w:pPr>
            <w:r>
              <w:t>а</w:t>
            </w:r>
            <w:r w:rsidRPr="000F6B2E">
              <w:t>втор</w:t>
            </w:r>
          </w:p>
        </w:tc>
      </w:tr>
      <w:tr w:rsidR="00621F43" w:rsidTr="00D3654A">
        <w:tc>
          <w:tcPr>
            <w:tcW w:w="3024" w:type="dxa"/>
            <w:shd w:val="clear" w:color="auto" w:fill="auto"/>
          </w:tcPr>
          <w:p w:rsidR="00621F43" w:rsidRPr="00FE606D" w:rsidRDefault="00A55F93" w:rsidP="00A55F93">
            <w:pPr>
              <w:tabs>
                <w:tab w:val="left" w:pos="333"/>
              </w:tabs>
              <w:spacing w:after="120"/>
              <w:rPr>
                <w:i/>
              </w:rPr>
            </w:pPr>
            <w:r>
              <w:rPr>
                <w:i/>
              </w:rPr>
              <w:tab/>
            </w:r>
            <w:r w:rsidR="00621F43" w:rsidRPr="00FE606D">
              <w:rPr>
                <w:i/>
              </w:rPr>
              <w:t>Государство-участник</w:t>
            </w:r>
            <w:r w:rsidR="00621F43" w:rsidRPr="00FF7AA6">
              <w:t>:</w:t>
            </w:r>
          </w:p>
        </w:tc>
        <w:tc>
          <w:tcPr>
            <w:tcW w:w="4194" w:type="dxa"/>
          </w:tcPr>
          <w:p w:rsidR="00621F43" w:rsidRDefault="00621F43" w:rsidP="00E70D1B">
            <w:pPr>
              <w:spacing w:after="120"/>
            </w:pPr>
            <w:r w:rsidRPr="000F6B2E">
              <w:t>Испания</w:t>
            </w:r>
          </w:p>
        </w:tc>
      </w:tr>
      <w:tr w:rsidR="00621F43" w:rsidTr="00D3654A">
        <w:tc>
          <w:tcPr>
            <w:tcW w:w="3024" w:type="dxa"/>
            <w:shd w:val="clear" w:color="auto" w:fill="auto"/>
          </w:tcPr>
          <w:p w:rsidR="00621F43" w:rsidRPr="00FE606D" w:rsidRDefault="00A55F93" w:rsidP="00A55F93">
            <w:pPr>
              <w:tabs>
                <w:tab w:val="left" w:pos="333"/>
              </w:tabs>
              <w:spacing w:after="120"/>
              <w:rPr>
                <w:i/>
              </w:rPr>
            </w:pPr>
            <w:r>
              <w:rPr>
                <w:i/>
              </w:rPr>
              <w:tab/>
            </w:r>
            <w:r w:rsidR="00621F43" w:rsidRPr="00FE606D">
              <w:rPr>
                <w:i/>
              </w:rPr>
              <w:t>Дата сообщения</w:t>
            </w:r>
            <w:r w:rsidR="00621F43" w:rsidRPr="00FF7AA6">
              <w:t>:</w:t>
            </w:r>
          </w:p>
        </w:tc>
        <w:tc>
          <w:tcPr>
            <w:tcW w:w="4194" w:type="dxa"/>
          </w:tcPr>
          <w:p w:rsidR="00621F43" w:rsidRPr="002A4F6C" w:rsidRDefault="00621F43" w:rsidP="00E70D1B">
            <w:pPr>
              <w:spacing w:after="120"/>
            </w:pPr>
            <w:r w:rsidRPr="000F6B2E">
              <w:t>30 де</w:t>
            </w:r>
            <w:r w:rsidR="00D3654A">
              <w:t>кабря 2010 года (первоначальное</w:t>
            </w:r>
            <w:r w:rsidR="00D3654A">
              <w:br/>
            </w:r>
            <w:r w:rsidRPr="000F6B2E">
              <w:t>пре</w:t>
            </w:r>
            <w:r w:rsidRPr="000F6B2E">
              <w:t>д</w:t>
            </w:r>
            <w:r w:rsidRPr="000F6B2E">
              <w:t>ставление)</w:t>
            </w:r>
          </w:p>
        </w:tc>
      </w:tr>
      <w:tr w:rsidR="00621F43" w:rsidTr="00D3654A">
        <w:tc>
          <w:tcPr>
            <w:tcW w:w="3024" w:type="dxa"/>
            <w:shd w:val="clear" w:color="auto" w:fill="auto"/>
          </w:tcPr>
          <w:p w:rsidR="00621F43" w:rsidRPr="00FE606D" w:rsidRDefault="00A55F93" w:rsidP="00A55F93">
            <w:pPr>
              <w:tabs>
                <w:tab w:val="left" w:pos="333"/>
              </w:tabs>
              <w:spacing w:after="120"/>
              <w:ind w:left="333" w:hanging="333"/>
              <w:rPr>
                <w:i/>
              </w:rPr>
            </w:pPr>
            <w:r>
              <w:rPr>
                <w:i/>
              </w:rPr>
              <w:tab/>
            </w:r>
            <w:r w:rsidR="00621F43" w:rsidRPr="00FE606D">
              <w:rPr>
                <w:i/>
              </w:rPr>
              <w:t>Справочная документ</w:t>
            </w:r>
            <w:r w:rsidR="00621F43" w:rsidRPr="00FE606D">
              <w:rPr>
                <w:i/>
              </w:rPr>
              <w:t>а</w:t>
            </w:r>
            <w:r w:rsidR="00621F43" w:rsidRPr="00FE606D">
              <w:rPr>
                <w:i/>
              </w:rPr>
              <w:t>ция</w:t>
            </w:r>
            <w:r w:rsidR="00621F43" w:rsidRPr="00FF7AA6">
              <w:t>:</w:t>
            </w:r>
          </w:p>
        </w:tc>
        <w:tc>
          <w:tcPr>
            <w:tcW w:w="4194" w:type="dxa"/>
          </w:tcPr>
          <w:p w:rsidR="00621F43" w:rsidRDefault="00621F43" w:rsidP="00E70D1B">
            <w:pPr>
              <w:spacing w:after="120"/>
            </w:pPr>
            <w:r w:rsidRPr="000F6B2E">
              <w:t>препровождена государству-участнику</w:t>
            </w:r>
            <w:r>
              <w:t xml:space="preserve"> </w:t>
            </w:r>
            <w:r w:rsidRPr="000F6B2E">
              <w:t>10</w:t>
            </w:r>
            <w:r>
              <w:t> </w:t>
            </w:r>
            <w:r w:rsidRPr="000F6B2E">
              <w:t>февраля</w:t>
            </w:r>
            <w:r w:rsidR="00D3654A">
              <w:t xml:space="preserve"> 2011 года (в виде документа не </w:t>
            </w:r>
            <w:r w:rsidRPr="000F6B2E">
              <w:t>распространялась)</w:t>
            </w:r>
          </w:p>
        </w:tc>
      </w:tr>
    </w:tbl>
    <w:p w:rsidR="00FF7AA6" w:rsidRPr="000F6B2E" w:rsidRDefault="00FF7AA6" w:rsidP="00B35272">
      <w:pPr>
        <w:pStyle w:val="SingleTxt"/>
      </w:pPr>
      <w:r w:rsidRPr="000F6B2E">
        <w:tab/>
      </w:r>
      <w:r w:rsidRPr="000F6B2E">
        <w:rPr>
          <w:i/>
        </w:rPr>
        <w:t xml:space="preserve">Комитет по ликвидации дискриминации в отношении женщин, </w:t>
      </w:r>
      <w:r w:rsidRPr="000F6B2E">
        <w:t>учре</w:t>
      </w:r>
      <w:r w:rsidRPr="000F6B2E">
        <w:t>ж</w:t>
      </w:r>
      <w:r w:rsidRPr="000F6B2E">
        <w:t>ден</w:t>
      </w:r>
      <w:r w:rsidR="00B35272">
        <w:t>ный в соответствии со статьей </w:t>
      </w:r>
      <w:r w:rsidRPr="000F6B2E">
        <w:t>17 Конвенции о ликвидации всех форм ди</w:t>
      </w:r>
      <w:r w:rsidRPr="000F6B2E">
        <w:t>с</w:t>
      </w:r>
      <w:r w:rsidRPr="000F6B2E">
        <w:t>криминации в отношении женщин,</w:t>
      </w:r>
    </w:p>
    <w:p w:rsidR="00FF7AA6" w:rsidRPr="000F6B2E" w:rsidRDefault="00FF7AA6" w:rsidP="00B35272">
      <w:pPr>
        <w:pStyle w:val="SingleTxt"/>
      </w:pPr>
      <w:r w:rsidRPr="000F6B2E">
        <w:tab/>
      </w:r>
      <w:r w:rsidRPr="000F6B2E">
        <w:rPr>
          <w:i/>
        </w:rPr>
        <w:t>на своем заседании</w:t>
      </w:r>
      <w:r w:rsidR="00B35272">
        <w:t xml:space="preserve"> 11</w:t>
      </w:r>
      <w:r>
        <w:t xml:space="preserve"> </w:t>
      </w:r>
      <w:r w:rsidRPr="000F6B2E">
        <w:t>октя</w:t>
      </w:r>
      <w:r>
        <w:t>бря 2013 года</w:t>
      </w:r>
    </w:p>
    <w:p w:rsidR="00FF7AA6" w:rsidRDefault="00FF7AA6" w:rsidP="00B35272">
      <w:pPr>
        <w:pStyle w:val="SingleTxt"/>
      </w:pPr>
      <w:r w:rsidRPr="000F6B2E">
        <w:tab/>
      </w:r>
      <w:r w:rsidRPr="000F6B2E">
        <w:rPr>
          <w:i/>
        </w:rPr>
        <w:t>принимает</w:t>
      </w:r>
      <w:r>
        <w:rPr>
          <w:i/>
        </w:rPr>
        <w:t xml:space="preserve"> </w:t>
      </w:r>
      <w:r w:rsidRPr="000F6B2E">
        <w:t>следующее:</w:t>
      </w:r>
    </w:p>
    <w:p w:rsidR="00596BC1" w:rsidRPr="00596BC1" w:rsidRDefault="00596BC1" w:rsidP="00596BC1">
      <w:pPr>
        <w:pStyle w:val="SingleTxt"/>
        <w:spacing w:after="0" w:line="120" w:lineRule="exact"/>
        <w:rPr>
          <w:sz w:val="10"/>
        </w:rPr>
      </w:pPr>
    </w:p>
    <w:p w:rsidR="00596BC1" w:rsidRPr="00596BC1" w:rsidRDefault="00596BC1" w:rsidP="00596BC1">
      <w:pPr>
        <w:pStyle w:val="SingleTxt"/>
        <w:spacing w:after="0" w:line="120" w:lineRule="exact"/>
        <w:rPr>
          <w:sz w:val="10"/>
        </w:rPr>
      </w:pPr>
    </w:p>
    <w:p w:rsidR="00FF7AA6" w:rsidRDefault="00FF7AA6" w:rsidP="00596B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6B2E">
        <w:tab/>
      </w:r>
      <w:r w:rsidRPr="000F6B2E">
        <w:tab/>
        <w:t>Решение о приемлемости</w:t>
      </w:r>
    </w:p>
    <w:p w:rsidR="00E70D1B" w:rsidRPr="00E70D1B" w:rsidRDefault="00E70D1B" w:rsidP="00E70D1B">
      <w:pPr>
        <w:pStyle w:val="SingleTxt"/>
        <w:spacing w:after="0" w:line="120" w:lineRule="exact"/>
        <w:rPr>
          <w:sz w:val="10"/>
        </w:rPr>
      </w:pPr>
    </w:p>
    <w:p w:rsidR="00E70D1B" w:rsidRPr="00E70D1B" w:rsidRDefault="00E70D1B" w:rsidP="00E70D1B">
      <w:pPr>
        <w:pStyle w:val="SingleTxt"/>
        <w:spacing w:after="0" w:line="120" w:lineRule="exact"/>
        <w:rPr>
          <w:sz w:val="10"/>
        </w:rPr>
      </w:pPr>
    </w:p>
    <w:p w:rsidR="00FF7AA6" w:rsidRPr="000F6B2E" w:rsidRDefault="00FF7AA6" w:rsidP="00E70D1B">
      <w:pPr>
        <w:pStyle w:val="SingleTxt"/>
      </w:pPr>
      <w:r w:rsidRPr="000F6B2E">
        <w:t>[</w:t>
      </w:r>
      <w:r w:rsidRPr="000F6B2E">
        <w:rPr>
          <w:i/>
        </w:rPr>
        <w:t>Примечание:</w:t>
      </w:r>
      <w:r w:rsidRPr="000F6B2E">
        <w:t xml:space="preserve"> Пояснительные подстраничные примечания и замечания в тексте окончательного решения будут опущены.]</w:t>
      </w:r>
    </w:p>
    <w:p w:rsidR="00FF7AA6" w:rsidRPr="000F6B2E" w:rsidRDefault="00FF7AA6" w:rsidP="00E70D1B">
      <w:pPr>
        <w:pStyle w:val="SingleTxt"/>
      </w:pPr>
      <w:r>
        <w:t>1.1</w:t>
      </w:r>
      <w:r>
        <w:tab/>
        <w:t>Автор</w:t>
      </w:r>
      <w:r w:rsidR="00596BC1">
        <w:t xml:space="preserve"> </w:t>
      </w:r>
      <w:r>
        <w:t>сообщения</w:t>
      </w:r>
      <w:r w:rsidR="00596BC1">
        <w:t xml:space="preserve"> — </w:t>
      </w:r>
      <w:r w:rsidRPr="000F6B2E">
        <w:t xml:space="preserve">Маймуна </w:t>
      </w:r>
      <w:r w:rsidR="0093126D" w:rsidRPr="000F6B2E">
        <w:t>Санхе</w:t>
      </w:r>
      <w:r w:rsidRPr="000F6B2E">
        <w:t>, гражданка Сенегала. Она утвержд</w:t>
      </w:r>
      <w:r w:rsidRPr="000F6B2E">
        <w:t>а</w:t>
      </w:r>
      <w:r w:rsidRPr="000F6B2E">
        <w:t xml:space="preserve">ет, что является жертвой нарушения Испанией статьи 1, пунктов </w:t>
      </w:r>
      <w:r w:rsidR="00596BC1">
        <w:t>(</w:t>
      </w:r>
      <w:r w:rsidRPr="000F6B2E">
        <w:t>a)</w:t>
      </w:r>
      <w:r w:rsidR="00060288">
        <w:t>–</w:t>
      </w:r>
      <w:r w:rsidR="00596BC1">
        <w:t>(</w:t>
      </w:r>
      <w:r w:rsidRPr="000F6B2E">
        <w:t>g) статьи 2, ста</w:t>
      </w:r>
      <w:r w:rsidR="00596BC1">
        <w:t>тьи 3, статьи 6,</w:t>
      </w:r>
      <w:r>
        <w:t xml:space="preserve"> </w:t>
      </w:r>
      <w:r w:rsidR="00596BC1">
        <w:t>пункта </w:t>
      </w:r>
      <w:r w:rsidRPr="000F6B2E">
        <w:t>1 статьи 9,</w:t>
      </w:r>
      <w:r w:rsidR="00596BC1">
        <w:t xml:space="preserve"> </w:t>
      </w:r>
      <w:r w:rsidRPr="000F6B2E">
        <w:t xml:space="preserve">пункта </w:t>
      </w:r>
      <w:r w:rsidR="00596BC1">
        <w:t>(</w:t>
      </w:r>
      <w:r w:rsidRPr="000F6B2E">
        <w:t>a) статьи 10,</w:t>
      </w:r>
      <w:r w:rsidR="00596BC1">
        <w:t xml:space="preserve"> </w:t>
      </w:r>
      <w:r w:rsidRPr="000F6B2E">
        <w:t>подпунктов</w:t>
      </w:r>
      <w:r w:rsidR="00596BC1">
        <w:t> (</w:t>
      </w:r>
      <w:r w:rsidRPr="000F6B2E">
        <w:t xml:space="preserve">a) и </w:t>
      </w:r>
      <w:r w:rsidR="00596BC1">
        <w:t>(</w:t>
      </w:r>
      <w:r w:rsidRPr="000F6B2E">
        <w:t>d)</w:t>
      </w:r>
      <w:r>
        <w:t xml:space="preserve"> </w:t>
      </w:r>
      <w:r w:rsidRPr="000F6B2E">
        <w:t xml:space="preserve">пункта 1 и подпункта </w:t>
      </w:r>
      <w:r w:rsidR="00596BC1">
        <w:t>(</w:t>
      </w:r>
      <w:r w:rsidRPr="000F6B2E">
        <w:t>c) пункта 2 статьи 11, пунктов 1 и 2</w:t>
      </w:r>
      <w:r w:rsidR="00596BC1">
        <w:t xml:space="preserve"> </w:t>
      </w:r>
      <w:r w:rsidRPr="000F6B2E">
        <w:t>статьи</w:t>
      </w:r>
      <w:r w:rsidR="00596BC1">
        <w:t> </w:t>
      </w:r>
      <w:r w:rsidRPr="000F6B2E">
        <w:t>15 и по</w:t>
      </w:r>
      <w:r w:rsidRPr="000F6B2E">
        <w:t>д</w:t>
      </w:r>
      <w:r w:rsidRPr="000F6B2E">
        <w:t>пунк</w:t>
      </w:r>
      <w:r w:rsidR="00596BC1">
        <w:t>тов (</w:t>
      </w:r>
      <w:r w:rsidRPr="000F6B2E">
        <w:t xml:space="preserve">c), </w:t>
      </w:r>
      <w:r w:rsidR="00596BC1">
        <w:t>(</w:t>
      </w:r>
      <w:r w:rsidRPr="000F6B2E">
        <w:t xml:space="preserve">d) и </w:t>
      </w:r>
      <w:r w:rsidR="00596BC1">
        <w:t>(</w:t>
      </w:r>
      <w:r w:rsidRPr="000F6B2E">
        <w:t>f)</w:t>
      </w:r>
      <w:r>
        <w:t xml:space="preserve"> </w:t>
      </w:r>
      <w:r w:rsidRPr="000F6B2E">
        <w:t>пункта 1 статьи 16 Конвенции о ликвидации всех форм дискриминации в отношении женщин. Конвенция вступила в силу для госуда</w:t>
      </w:r>
      <w:r w:rsidRPr="000F6B2E">
        <w:t>р</w:t>
      </w:r>
      <w:r w:rsidRPr="000F6B2E">
        <w:t>ства-участника 4 февраля 1984 года, а Факультативный протокол к Конве</w:t>
      </w:r>
      <w:r w:rsidRPr="000F6B2E">
        <w:t>н</w:t>
      </w:r>
      <w:r w:rsidRPr="000F6B2E">
        <w:t>ции</w:t>
      </w:r>
      <w:r w:rsidR="00596BC1">
        <w:t xml:space="preserve"> — </w:t>
      </w:r>
      <w:r w:rsidRPr="000F6B2E">
        <w:t>6</w:t>
      </w:r>
      <w:r>
        <w:t> </w:t>
      </w:r>
      <w:r w:rsidRPr="000F6B2E">
        <w:t xml:space="preserve">октября 2001 года. Автор не представлена адвокатом. </w:t>
      </w:r>
    </w:p>
    <w:p w:rsidR="00FF7AA6" w:rsidRDefault="007B4187" w:rsidP="00FF7AA6">
      <w:pPr>
        <w:pStyle w:val="SingleTxt"/>
      </w:pPr>
      <w:r>
        <w:br w:type="page"/>
      </w:r>
      <w:r w:rsidR="00FF7AA6">
        <w:t>1.2</w:t>
      </w:r>
      <w:r w:rsidR="00FF7AA6">
        <w:tab/>
      </w:r>
      <w:r w:rsidR="00FF7AA6" w:rsidRPr="000F6B2E">
        <w:t>В соответствии со статьей 69 своих правил процедуры Комитет препров</w:t>
      </w:r>
      <w:r w:rsidR="00FF7AA6" w:rsidRPr="000F6B2E">
        <w:t>о</w:t>
      </w:r>
      <w:r w:rsidR="00FF7AA6" w:rsidRPr="000F6B2E">
        <w:t>дил государству-участнику данное сообщение вербальной нотой от 10 февр</w:t>
      </w:r>
      <w:r w:rsidR="00FF7AA6" w:rsidRPr="000F6B2E">
        <w:t>а</w:t>
      </w:r>
      <w:r w:rsidR="00FF7AA6" w:rsidRPr="000F6B2E">
        <w:t>ля 2011 года. При этом Комитет просил государство-участник не высылать а</w:t>
      </w:r>
      <w:r w:rsidR="00FF7AA6" w:rsidRPr="000F6B2E">
        <w:t>в</w:t>
      </w:r>
      <w:r w:rsidR="00FF7AA6" w:rsidRPr="000F6B2E">
        <w:t>тора в Сенегал, пока ее дело рассматривается Комитетом, согласно статье 5 Факул</w:t>
      </w:r>
      <w:r w:rsidR="00FF7AA6" w:rsidRPr="000F6B2E">
        <w:t>ь</w:t>
      </w:r>
      <w:r w:rsidR="00FF7AA6" w:rsidRPr="000F6B2E">
        <w:t>тативного протокола и статье 63 правил процедуры. 7 марта 2011 года госуда</w:t>
      </w:r>
      <w:r w:rsidR="00FF7AA6" w:rsidRPr="000F6B2E">
        <w:t>р</w:t>
      </w:r>
      <w:r w:rsidR="00FF7AA6" w:rsidRPr="000F6B2E">
        <w:t>ство-участник проинформировало Комитет о том, что оно не предпринимало</w:t>
      </w:r>
      <w:r w:rsidR="00FF7AA6">
        <w:t xml:space="preserve"> </w:t>
      </w:r>
      <w:r w:rsidR="00FF7AA6" w:rsidRPr="000F6B2E">
        <w:t>никаких мер по высылке автора.</w:t>
      </w:r>
    </w:p>
    <w:p w:rsidR="00FB09C1" w:rsidRPr="00FB09C1" w:rsidRDefault="00FB09C1" w:rsidP="00FB09C1">
      <w:pPr>
        <w:pStyle w:val="SingleTxt"/>
        <w:spacing w:after="0" w:line="120" w:lineRule="exact"/>
        <w:rPr>
          <w:sz w:val="10"/>
        </w:rPr>
      </w:pPr>
    </w:p>
    <w:p w:rsidR="00FB09C1" w:rsidRPr="00FB09C1" w:rsidRDefault="00FB09C1" w:rsidP="00FB0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09C1">
        <w:tab/>
      </w:r>
      <w:r w:rsidRPr="00FB09C1">
        <w:tab/>
        <w:t>Факты в изложении автора</w:t>
      </w:r>
    </w:p>
    <w:p w:rsidR="00FB09C1" w:rsidRPr="00FB09C1" w:rsidRDefault="00FB09C1" w:rsidP="00FB09C1">
      <w:pPr>
        <w:pStyle w:val="SingleTxt"/>
        <w:spacing w:after="0" w:line="120" w:lineRule="exact"/>
        <w:rPr>
          <w:sz w:val="10"/>
        </w:rPr>
      </w:pPr>
    </w:p>
    <w:p w:rsidR="00FB09C1" w:rsidRPr="00FB09C1" w:rsidRDefault="00FB09C1" w:rsidP="00FB09C1">
      <w:pPr>
        <w:pStyle w:val="SingleTxt"/>
      </w:pPr>
      <w:r w:rsidRPr="00FB09C1">
        <w:t>2.1</w:t>
      </w:r>
      <w:r w:rsidRPr="00FB09C1">
        <w:tab/>
        <w:t>Автор, гражданка Сенегала, прибыла в Испанию в 2000 году для обучения в аспирантуре. В период 2000–2005 годов она имела вид на жительство для учебы.</w:t>
      </w:r>
    </w:p>
    <w:p w:rsidR="00FB09C1" w:rsidRPr="00FB09C1" w:rsidRDefault="00FB09C1" w:rsidP="00FB09C1">
      <w:pPr>
        <w:pStyle w:val="SingleTxt"/>
      </w:pPr>
      <w:r w:rsidRPr="00FB09C1">
        <w:t>2.2</w:t>
      </w:r>
      <w:r w:rsidRPr="00FB09C1">
        <w:tab/>
        <w:t>Автор утверждает, что в 2001</w:t>
      </w:r>
      <w:r>
        <w:t> </w:t>
      </w:r>
      <w:r w:rsidRPr="00FB09C1">
        <w:t>году она вступила в брак с г-ном С.А.А., гражданином Нигерии, имевшим статус постоянного законного резидента И</w:t>
      </w:r>
      <w:r w:rsidRPr="00FB09C1">
        <w:t>с</w:t>
      </w:r>
      <w:r w:rsidRPr="00FB09C1">
        <w:t>пании и работавшим в этой стране по постоянному трудовому договору. Одн</w:t>
      </w:r>
      <w:r w:rsidRPr="00FB09C1">
        <w:t>а</w:t>
      </w:r>
      <w:r w:rsidRPr="00FB09C1">
        <w:t>ко согласно данным Отдела записей актов гражданского состояния Кубас-де-ла-Сагра гражданский брак был заключен 2 сентября 2003 года. Автор имеет двоих сыновей, рожденных 8 сентября 2003 года и 26 октября 2009 года. Пе</w:t>
      </w:r>
      <w:r w:rsidRPr="00FB09C1">
        <w:t>р</w:t>
      </w:r>
      <w:r w:rsidRPr="00FB09C1">
        <w:t>вый сын имеет испанское гражданство, а второй</w:t>
      </w:r>
      <w:r>
        <w:t xml:space="preserve"> — </w:t>
      </w:r>
      <w:r w:rsidRPr="00FB09C1">
        <w:t>постоянный вид на жител</w:t>
      </w:r>
      <w:r w:rsidRPr="00FB09C1">
        <w:t>ь</w:t>
      </w:r>
      <w:r w:rsidRPr="00FB09C1">
        <w:t>ство в Испании.</w:t>
      </w:r>
    </w:p>
    <w:p w:rsidR="00FB09C1" w:rsidRPr="00FB09C1" w:rsidRDefault="00FB09C1" w:rsidP="00FB09C1">
      <w:pPr>
        <w:pStyle w:val="SingleTxt"/>
      </w:pPr>
      <w:r w:rsidRPr="00FB09C1">
        <w:t>2.3</w:t>
      </w:r>
      <w:r w:rsidRPr="00FB09C1">
        <w:tab/>
      </w:r>
      <w:r>
        <w:t>30</w:t>
      </w:r>
      <w:r>
        <w:rPr>
          <w:lang w:val="en-US"/>
        </w:rPr>
        <w:t> </w:t>
      </w:r>
      <w:r>
        <w:t>сентября 2005</w:t>
      </w:r>
      <w:r>
        <w:rPr>
          <w:lang w:val="en-US"/>
        </w:rPr>
        <w:t> </w:t>
      </w:r>
      <w:r w:rsidRPr="00FB09C1">
        <w:t>года Представительство государственной администр</w:t>
      </w:r>
      <w:r w:rsidRPr="00FB09C1">
        <w:t>а</w:t>
      </w:r>
      <w:r w:rsidRPr="00FB09C1">
        <w:t>ции в Валенсии предоставило автору временный вид на жительство и разреш</w:t>
      </w:r>
      <w:r w:rsidRPr="00FB09C1">
        <w:t>е</w:t>
      </w:r>
      <w:r w:rsidRPr="00FB09C1">
        <w:t>ние на работу на основании сложившихся трудовых отношений, что соответс</w:t>
      </w:r>
      <w:r w:rsidRPr="00FB09C1">
        <w:t>т</w:t>
      </w:r>
      <w:r w:rsidRPr="00FB09C1">
        <w:t>вовало процессу упорядочения, предусмотренному третьим переходным пол</w:t>
      </w:r>
      <w:r w:rsidRPr="00FB09C1">
        <w:t>о</w:t>
      </w:r>
      <w:r w:rsidRPr="00FB09C1">
        <w:t>жени</w:t>
      </w:r>
      <w:r>
        <w:t>ем королевского указа</w:t>
      </w:r>
      <w:r>
        <w:rPr>
          <w:lang w:val="en-US"/>
        </w:rPr>
        <w:t> </w:t>
      </w:r>
      <w:r w:rsidRPr="00FB09C1">
        <w:t>2393/2004, утвердившего положение о порядке пр</w:t>
      </w:r>
      <w:r w:rsidRPr="00FB09C1">
        <w:t>и</w:t>
      </w:r>
      <w:r w:rsidRPr="00FB09C1">
        <w:t>менения закона об иностранцах, поскольку автор нанималась на работу на предприятие своего супруга. 30 ноября 2006 года автор получила продление указанного разрешения сроком на два года. 15 августа 2008 года автор подп</w:t>
      </w:r>
      <w:r w:rsidRPr="00FB09C1">
        <w:t>и</w:t>
      </w:r>
      <w:r w:rsidRPr="00FB09C1">
        <w:t xml:space="preserve">сала новый трудовой договор на неполный рабочий день с фирмой </w:t>
      </w:r>
      <w:r>
        <w:t>«</w:t>
      </w:r>
      <w:r w:rsidRPr="00FB09C1">
        <w:t>СЕПРОТЕК</w:t>
      </w:r>
      <w:r>
        <w:t>»</w:t>
      </w:r>
      <w:r w:rsidRPr="00FB09C1">
        <w:t xml:space="preserve"> (S</w:t>
      </w:r>
      <w:r>
        <w:rPr>
          <w:lang w:val="en-US"/>
        </w:rPr>
        <w:t>eproTec</w:t>
      </w:r>
      <w:r w:rsidRPr="00FB09C1">
        <w:t xml:space="preserve"> Traducciones e Interpretación S.L.).</w:t>
      </w:r>
    </w:p>
    <w:p w:rsidR="00FB09C1" w:rsidRPr="00FB09C1" w:rsidRDefault="00FB09C1" w:rsidP="00FB09C1">
      <w:pPr>
        <w:pStyle w:val="SingleTxt"/>
      </w:pPr>
      <w:r w:rsidRPr="00FB09C1">
        <w:t>2.4</w:t>
      </w:r>
      <w:r w:rsidRPr="00FB09C1">
        <w:tab/>
        <w:t>28 октября 2008 года автор подала заявление о продлении вида на жител</w:t>
      </w:r>
      <w:r w:rsidRPr="00FB09C1">
        <w:t>ь</w:t>
      </w:r>
      <w:r w:rsidRPr="00FB09C1">
        <w:t>ство и временного разрешения на работу в Представительство государственной администрации в Мадриде. В качестве приложения к заявлению автор предст</w:t>
      </w:r>
      <w:r w:rsidRPr="00FB09C1">
        <w:t>а</w:t>
      </w:r>
      <w:r w:rsidRPr="00FB09C1">
        <w:t>вила справку о трудовой деятельности в течение следующих периодов 2 декабря 2005</w:t>
      </w:r>
      <w:r>
        <w:rPr>
          <w:lang w:val="en-US"/>
        </w:rPr>
        <w:t> </w:t>
      </w:r>
      <w:r w:rsidRPr="00FB09C1">
        <w:t>года</w:t>
      </w:r>
      <w:r>
        <w:t> — 31 марта 2006 года; 1 апреля 2006 </w:t>
      </w:r>
      <w:r w:rsidRPr="00FB09C1">
        <w:t>года</w:t>
      </w:r>
      <w:r>
        <w:t xml:space="preserve"> — </w:t>
      </w:r>
      <w:r w:rsidRPr="00FB09C1">
        <w:t>30</w:t>
      </w:r>
      <w:r>
        <w:rPr>
          <w:lang w:val="en-US"/>
        </w:rPr>
        <w:t> </w:t>
      </w:r>
      <w:r w:rsidRPr="00FB09C1">
        <w:t>июня 2006 </w:t>
      </w:r>
      <w:r>
        <w:t>года; 24</w:t>
      </w:r>
      <w:r>
        <w:rPr>
          <w:lang w:val="en-US"/>
        </w:rPr>
        <w:t> </w:t>
      </w:r>
      <w:r>
        <w:t>июня 2006</w:t>
      </w:r>
      <w:r>
        <w:rPr>
          <w:lang w:val="en-US"/>
        </w:rPr>
        <w:t> </w:t>
      </w:r>
      <w:r w:rsidRPr="00FB09C1">
        <w:t>года</w:t>
      </w:r>
      <w:r>
        <w:rPr>
          <w:lang w:val="en-US"/>
        </w:rPr>
        <w:t> </w:t>
      </w:r>
      <w:r w:rsidRPr="00FB09C1">
        <w:t>— 7</w:t>
      </w:r>
      <w:r>
        <w:t> сентября 2006 года; а также с 15 </w:t>
      </w:r>
      <w:r w:rsidRPr="00FB09C1">
        <w:t>августа 2008 года</w:t>
      </w:r>
      <w:r w:rsidR="007B4187">
        <w:t>.</w:t>
      </w:r>
      <w:r w:rsidRPr="00FB09C1">
        <w:t xml:space="preserve"> 15</w:t>
      </w:r>
      <w:r>
        <w:t> </w:t>
      </w:r>
      <w:r w:rsidRPr="00FB09C1">
        <w:t>ян</w:t>
      </w:r>
      <w:r>
        <w:t>варя 2009 </w:t>
      </w:r>
      <w:r w:rsidRPr="00FB09C1">
        <w:t>года ее заявление было отклонено, поскольку автор не представила справки о трудовой деятельности в течение шести месяцев к</w:t>
      </w:r>
      <w:r w:rsidRPr="00FB09C1">
        <w:t>а</w:t>
      </w:r>
      <w:r w:rsidRPr="00FB09C1">
        <w:t>ждого года, что предусмотрено пунктами 3 и 4 статьи 54 положения о порядке осуществления закона об иностранцах, утвержденного королевским ук</w:t>
      </w:r>
      <w:r w:rsidRPr="00FB09C1">
        <w:t>а</w:t>
      </w:r>
      <w:r w:rsidRPr="00FB09C1">
        <w:t>зом 2394/2004. Автор была проинформирована о том, что в течение трех мес</w:t>
      </w:r>
      <w:r w:rsidRPr="00FB09C1">
        <w:t>я</w:t>
      </w:r>
      <w:r w:rsidRPr="00FB09C1">
        <w:t xml:space="preserve">цев она может вновь обратиться за разрешением на проживание </w:t>
      </w:r>
      <w:r>
        <w:t>«</w:t>
      </w:r>
      <w:r w:rsidRPr="00FB09C1">
        <w:t>без права на работу</w:t>
      </w:r>
      <w:r>
        <w:t>»</w:t>
      </w:r>
      <w:r w:rsidRPr="00FB09C1">
        <w:t xml:space="preserve"> или на любой иной вид проживания в силу исключительных обсто</w:t>
      </w:r>
      <w:r w:rsidRPr="00FB09C1">
        <w:t>я</w:t>
      </w:r>
      <w:r w:rsidRPr="00FB09C1">
        <w:t xml:space="preserve">тельств, включая сложившиеся отношения. </w:t>
      </w:r>
    </w:p>
    <w:p w:rsidR="00FB09C1" w:rsidRPr="00FB09C1" w:rsidRDefault="00FB09C1" w:rsidP="00FB09C1">
      <w:pPr>
        <w:pStyle w:val="SingleTxt"/>
      </w:pPr>
      <w:r w:rsidRPr="00FB09C1">
        <w:t>2.5</w:t>
      </w:r>
      <w:r w:rsidRPr="00FB09C1">
        <w:tab/>
        <w:t>16 февраля 2009 года автор подала административную жалобу в выш</w:t>
      </w:r>
      <w:r w:rsidRPr="00FB09C1">
        <w:t>е</w:t>
      </w:r>
      <w:r w:rsidRPr="00FB09C1">
        <w:t>стоящую инстанцию</w:t>
      </w:r>
      <w:r>
        <w:t xml:space="preserve"> — </w:t>
      </w:r>
      <w:r w:rsidRPr="00FB09C1">
        <w:t>Министерство труда и по делам иммигрантов. Автор заявила, что, хотя она и не смогла удостоверить факт своей трудовой деятел</w:t>
      </w:r>
      <w:r w:rsidRPr="00FB09C1">
        <w:t>ь</w:t>
      </w:r>
      <w:r w:rsidRPr="00FB09C1">
        <w:t>ности на протяжении более шести месяцев в год, ею были выполнены все тр</w:t>
      </w:r>
      <w:r w:rsidRPr="00FB09C1">
        <w:t>е</w:t>
      </w:r>
      <w:r w:rsidRPr="00FB09C1">
        <w:t>бования пункта</w:t>
      </w:r>
      <w:r>
        <w:t xml:space="preserve"> 4 статьи 54 королевского указа </w:t>
      </w:r>
      <w:r w:rsidRPr="00FB09C1">
        <w:t>2393/2004. Решение об отк</w:t>
      </w:r>
      <w:r w:rsidRPr="00FB09C1">
        <w:t>а</w:t>
      </w:r>
      <w:r w:rsidRPr="00FB09C1">
        <w:t>зе в выдаче временного вида на жительство и временного разрешения на раб</w:t>
      </w:r>
      <w:r w:rsidRPr="00FB09C1">
        <w:t>о</w:t>
      </w:r>
      <w:r w:rsidRPr="00FB09C1">
        <w:t>ту не учитывает форс-мажорные обстоятельства, повлиявшие на ее трудовую де</w:t>
      </w:r>
      <w:r w:rsidRPr="00FB09C1">
        <w:t>я</w:t>
      </w:r>
      <w:r w:rsidRPr="00FB09C1">
        <w:t>тельность, безосновательно игнорирует ее ситуацию с занятостью и с</w:t>
      </w:r>
      <w:r w:rsidRPr="00FB09C1">
        <w:t>е</w:t>
      </w:r>
      <w:r w:rsidRPr="00FB09C1">
        <w:t>мейное положение и ущемляет право и обязанность родителей заботиться о своих н</w:t>
      </w:r>
      <w:r w:rsidRPr="00FB09C1">
        <w:t>е</w:t>
      </w:r>
      <w:r w:rsidRPr="00FB09C1">
        <w:t>совершеннолетних детях и защищать их. Автор утверждает, что в своем реш</w:t>
      </w:r>
      <w:r w:rsidRPr="00FB09C1">
        <w:t>е</w:t>
      </w:r>
      <w:r w:rsidRPr="00FB09C1">
        <w:t>нии Представительство не приняло во внимание, что Гражданский кодекс гос</w:t>
      </w:r>
      <w:r w:rsidRPr="00FB09C1">
        <w:t>у</w:t>
      </w:r>
      <w:r w:rsidRPr="00FB09C1">
        <w:t xml:space="preserve">дарства-участника устанавливает равные права и обязанности отца и матери, и это стало причиной </w:t>
      </w:r>
      <w:r>
        <w:t>«</w:t>
      </w:r>
      <w:r w:rsidRPr="00FB09C1">
        <w:t>неравенства родителей в отношении своих обязанн</w:t>
      </w:r>
      <w:r w:rsidRPr="00FB09C1">
        <w:t>о</w:t>
      </w:r>
      <w:r w:rsidRPr="00FB09C1">
        <w:t>стей</w:t>
      </w:r>
      <w:r>
        <w:t>» </w:t>
      </w:r>
      <w:r w:rsidRPr="00FB09C1">
        <w:rPr>
          <w:i/>
        </w:rPr>
        <w:t>(sic)</w:t>
      </w:r>
      <w:r w:rsidRPr="00FB09C1">
        <w:t>.</w:t>
      </w:r>
    </w:p>
    <w:p w:rsidR="00FB09C1" w:rsidRPr="00FB09C1" w:rsidRDefault="00FB09C1" w:rsidP="00FB09C1">
      <w:pPr>
        <w:pStyle w:val="SingleTxt"/>
      </w:pPr>
      <w:r w:rsidRPr="00FB09C1">
        <w:t>2.6</w:t>
      </w:r>
      <w:r w:rsidRPr="00FB09C1">
        <w:tab/>
        <w:t>19 мая 2009 года автор подала жалобу в Суд по административным делам, заявив о нарушении права на равенство, закрепленного в статье 14 Констит</w:t>
      </w:r>
      <w:r w:rsidRPr="00FB09C1">
        <w:t>у</w:t>
      </w:r>
      <w:r w:rsidRPr="00FB09C1">
        <w:t>ции государства-участника. Она подчеркнула, что располагает действующим трудовым договором и что вследствие решения об отказе продлить срок дейс</w:t>
      </w:r>
      <w:r w:rsidRPr="00FB09C1">
        <w:t>т</w:t>
      </w:r>
      <w:r w:rsidRPr="00FB09C1">
        <w:t>вия временного разрешения на проживание и работу она не может продолжать оказывать услуги предприятию, на котором она работает. По словам автора, при вынесении отрицательного решения по ходатайству о продлении вида на жительство и разрешения на работу не учитывались определенные в статьях 39 и 40 закона об иностранцах критерии гибкости в отношении иностранцев, имеющих на иждивении прямых родственников по восходящей или нисход</w:t>
      </w:r>
      <w:r w:rsidRPr="00FB09C1">
        <w:t>я</w:t>
      </w:r>
      <w:r w:rsidRPr="00FB09C1">
        <w:t>щей линии, являющихся гражданами Испании, следовательно, данное решение не соответствует закону и закрепляет ситуацию неравного обращения между автором, иностранной гражданкой, имеющей на иждивении несовершенноле</w:t>
      </w:r>
      <w:r w:rsidRPr="00FB09C1">
        <w:t>т</w:t>
      </w:r>
      <w:r w:rsidRPr="00FB09C1">
        <w:t>него ребенка, и испанскими гражданами, также имеющими на иждивении н</w:t>
      </w:r>
      <w:r w:rsidRPr="00FB09C1">
        <w:t>е</w:t>
      </w:r>
      <w:r w:rsidRPr="00FB09C1">
        <w:t>совершеннолетних детей. Тем не менее статьи закона об иностранцах, на кот</w:t>
      </w:r>
      <w:r w:rsidRPr="00FB09C1">
        <w:t>о</w:t>
      </w:r>
      <w:r w:rsidRPr="00FB09C1">
        <w:t>рые ссылается автор и которые действовали в момент, когда возник спор и б</w:t>
      </w:r>
      <w:r w:rsidRPr="00FB09C1">
        <w:t>ы</w:t>
      </w:r>
      <w:r w:rsidRPr="00FB09C1">
        <w:t>ла привлечена административно-судебная процедура, регулируют область, где государство-участник устанавливает свою иммиграционную политику с учетом ситуации на рынке труда, а исключения, установленные в статье 40, не прим</w:t>
      </w:r>
      <w:r w:rsidRPr="00FB09C1">
        <w:t>е</w:t>
      </w:r>
      <w:r w:rsidRPr="00FB09C1">
        <w:t>няются в случае продления разрешения на работу неполный рабочий день.</w:t>
      </w:r>
    </w:p>
    <w:p w:rsidR="00FB09C1" w:rsidRPr="00FB09C1" w:rsidRDefault="00FB09C1" w:rsidP="00FB09C1">
      <w:pPr>
        <w:pStyle w:val="SingleTxt"/>
      </w:pPr>
      <w:r w:rsidRPr="00FB09C1">
        <w:t>2.7</w:t>
      </w:r>
      <w:r w:rsidRPr="00FB09C1">
        <w:tab/>
        <w:t>В ответ на письменное обра</w:t>
      </w:r>
      <w:r>
        <w:t>щение, представленное автором 2 </w:t>
      </w:r>
      <w:r w:rsidRPr="00FB09C1">
        <w:t>июля 2009 года, ведомство народного защитника сообщило ей о том, что, как пре</w:t>
      </w:r>
      <w:r w:rsidRPr="00FB09C1">
        <w:t>д</w:t>
      </w:r>
      <w:r w:rsidRPr="00FB09C1">
        <w:t>ставляется, содержащаяся в заявлении информация не подтверждает обосн</w:t>
      </w:r>
      <w:r w:rsidRPr="00FB09C1">
        <w:t>о</w:t>
      </w:r>
      <w:r w:rsidRPr="00FB09C1">
        <w:t>ванность ссылок ни на одну из норм положения о порядке осуществления з</w:t>
      </w:r>
      <w:r w:rsidRPr="00FB09C1">
        <w:t>а</w:t>
      </w:r>
      <w:r w:rsidRPr="00FB09C1">
        <w:t>кона об иностранцах, регулирующих вопросы продления срока действия вр</w:t>
      </w:r>
      <w:r w:rsidRPr="00FB09C1">
        <w:t>е</w:t>
      </w:r>
      <w:r w:rsidRPr="00FB09C1">
        <w:t>менных разрешений на работу и проживание. Однако в свете того, что автор проживала в течение нескольких лет в государстве-участнике, ведомство н</w:t>
      </w:r>
      <w:r w:rsidRPr="00FB09C1">
        <w:t>а</w:t>
      </w:r>
      <w:r w:rsidRPr="00FB09C1">
        <w:t xml:space="preserve">родного защитника указало, что </w:t>
      </w:r>
      <w:r>
        <w:t>«</w:t>
      </w:r>
      <w:r w:rsidRPr="00FB09C1">
        <w:t>статья</w:t>
      </w:r>
      <w:r>
        <w:t> </w:t>
      </w:r>
      <w:r w:rsidRPr="00FB09C1">
        <w:t>31.3 закона об иностранцах пред</w:t>
      </w:r>
      <w:r w:rsidRPr="00FB09C1">
        <w:t>у</w:t>
      </w:r>
      <w:r w:rsidRPr="00FB09C1">
        <w:t>сматривает, что административный орган может выдать разрешение на време</w:t>
      </w:r>
      <w:r w:rsidRPr="00FB09C1">
        <w:t>н</w:t>
      </w:r>
      <w:r w:rsidRPr="00FB09C1">
        <w:t>ное проживание в силу наличия сложившихся отношений, а также исходя из гуманитарных соображений, вследствие сотрудничества с правосудием или к</w:t>
      </w:r>
      <w:r w:rsidRPr="00FB09C1">
        <w:t>а</w:t>
      </w:r>
      <w:r w:rsidRPr="00FB09C1">
        <w:t>ких-либо иных исключительных обстоятельств, предусмотренных законод</w:t>
      </w:r>
      <w:r w:rsidRPr="00FB09C1">
        <w:t>а</w:t>
      </w:r>
      <w:r w:rsidRPr="00FB09C1">
        <w:t>тельством</w:t>
      </w:r>
      <w:r>
        <w:t>»</w:t>
      </w:r>
      <w:r w:rsidRPr="00FB09C1">
        <w:t xml:space="preserve"> и что </w:t>
      </w:r>
      <w:r>
        <w:t>«</w:t>
      </w:r>
      <w:r w:rsidRPr="00FB09C1">
        <w:t>в</w:t>
      </w:r>
      <w:r>
        <w:t xml:space="preserve"> </w:t>
      </w:r>
      <w:r w:rsidRPr="00FB09C1">
        <w:t>этих обстоятельствах виза не требуется</w:t>
      </w:r>
      <w:r>
        <w:t>»</w:t>
      </w:r>
      <w:r w:rsidRPr="00FB09C1">
        <w:t>. Ведомство н</w:t>
      </w:r>
      <w:r w:rsidRPr="00FB09C1">
        <w:t>а</w:t>
      </w:r>
      <w:r w:rsidRPr="00FB09C1">
        <w:t>родного защитника также уведомило о том, что согласно статье 45 положения о порядке осуществления закона об иностранцах, заявление о выдаче временного разрешения на проживание в силу наличия сложившихся отношений требует соблюдения следующих критериев: a) постоянное проживание в Испании в т</w:t>
      </w:r>
      <w:r w:rsidRPr="00FB09C1">
        <w:t>е</w:t>
      </w:r>
      <w:r w:rsidRPr="00FB09C1">
        <w:t>чение как минимум трех лет; b) отсутствие уголовной судимости в Испании и в стране происхождения; с) наличие на момент подачи заявления трудового д</w:t>
      </w:r>
      <w:r w:rsidRPr="00FB09C1">
        <w:t>о</w:t>
      </w:r>
      <w:r w:rsidRPr="00FB09C1">
        <w:t>говора, срок действия которого должен составлять не менее одного года; d) н</w:t>
      </w:r>
      <w:r w:rsidRPr="00FB09C1">
        <w:t>а</w:t>
      </w:r>
      <w:r w:rsidRPr="00FB09C1">
        <w:t>личие семейных связей с другими иностранцами, проживающими в стране, или справка о</w:t>
      </w:r>
      <w:r>
        <w:t xml:space="preserve"> </w:t>
      </w:r>
      <w:r w:rsidRPr="00FB09C1">
        <w:t>социальной интеграции, выданная муниципалитетом по месту пр</w:t>
      </w:r>
      <w:r w:rsidRPr="00FB09C1">
        <w:t>о</w:t>
      </w:r>
      <w:r w:rsidR="007B4187">
        <w:t>живания.</w:t>
      </w:r>
    </w:p>
    <w:p w:rsidR="00FB09C1" w:rsidRPr="00FB09C1" w:rsidRDefault="00FB09C1" w:rsidP="00FB09C1">
      <w:pPr>
        <w:pStyle w:val="SingleTxt"/>
      </w:pPr>
      <w:r w:rsidRPr="00FB09C1">
        <w:t>2.8</w:t>
      </w:r>
      <w:r w:rsidRPr="00FB09C1">
        <w:tab/>
        <w:t>28 августа 2009 года прокурор Высшего суда автономной области Мадрид вмешался в ход разбирательства в соответствии со статьями 114 и 119 зак</w:t>
      </w:r>
      <w:r w:rsidRPr="00FB09C1">
        <w:t>о</w:t>
      </w:r>
      <w:r w:rsidRPr="00FB09C1">
        <w:t>на </w:t>
      </w:r>
      <w:r w:rsidRPr="007B4187">
        <w:t>29/199</w:t>
      </w:r>
      <w:r>
        <w:t>8</w:t>
      </w:r>
      <w:r w:rsidRPr="00FB09C1">
        <w:t>, поскольку была привлечена особая процедура обеспечения осно</w:t>
      </w:r>
      <w:r w:rsidRPr="00FB09C1">
        <w:t>в</w:t>
      </w:r>
      <w:r w:rsidRPr="00FB09C1">
        <w:t>ных прав. Касательно утверждения автора о том, что ей не было обеспечено обращение наравне с женщинами-испанками, которые являются матерями д</w:t>
      </w:r>
      <w:r w:rsidRPr="00FB09C1">
        <w:t>е</w:t>
      </w:r>
      <w:r w:rsidRPr="00FB09C1">
        <w:t>тей, имеющих испанское гражданство, прокурор отметил, что проведенное а</w:t>
      </w:r>
      <w:r w:rsidRPr="00FB09C1">
        <w:t>в</w:t>
      </w:r>
      <w:r w:rsidRPr="00FB09C1">
        <w:t>тором сравнение представляется обоснованным и что такое право на равенство базируется на том обстоятельстве, что в обоих случаях речь идет о женщинах, осуществляющих родительские права в отношении несовершеннолетних гра</w:t>
      </w:r>
      <w:r w:rsidRPr="00FB09C1">
        <w:t>ж</w:t>
      </w:r>
      <w:r w:rsidRPr="00FB09C1">
        <w:t>дан Испании, которым должны быть предоставлены равные права. Отказ в предоставлении заявителю разрешения на работу представляет собой наруш</w:t>
      </w:r>
      <w:r w:rsidRPr="00FB09C1">
        <w:t>е</w:t>
      </w:r>
      <w:r w:rsidRPr="00FB09C1">
        <w:t>ние ее основного права на равенство. Прокурор заключил, что Суд должен ра</w:t>
      </w:r>
      <w:r w:rsidRPr="00FB09C1">
        <w:t>с</w:t>
      </w:r>
      <w:r w:rsidRPr="00FB09C1">
        <w:t>смотреть заявление, поскольку налицо нарушение права на равенство, закре</w:t>
      </w:r>
      <w:r w:rsidRPr="00FB09C1">
        <w:t>п</w:t>
      </w:r>
      <w:r w:rsidRPr="00FB09C1">
        <w:t>ленное в статье 14 Конституции государства-участника.</w:t>
      </w:r>
    </w:p>
    <w:p w:rsidR="00FB09C1" w:rsidRPr="00FB09C1" w:rsidRDefault="00FB09C1" w:rsidP="00FB09C1">
      <w:pPr>
        <w:pStyle w:val="SingleTxt"/>
      </w:pPr>
      <w:r w:rsidRPr="00FB09C1">
        <w:t>2.9</w:t>
      </w:r>
      <w:r w:rsidRPr="00FB09C1">
        <w:tab/>
        <w:t>3</w:t>
      </w:r>
      <w:r>
        <w:t> сентября 2009 </w:t>
      </w:r>
      <w:r w:rsidRPr="00FB09C1">
        <w:t xml:space="preserve">года </w:t>
      </w:r>
      <w:r>
        <w:t>Суд по административным делам № </w:t>
      </w:r>
      <w:r w:rsidRPr="00FB09C1">
        <w:t>22 отказал в</w:t>
      </w:r>
      <w:r>
        <w:t xml:space="preserve"> </w:t>
      </w:r>
      <w:r w:rsidRPr="00FB09C1">
        <w:t>удовлетворении ходатайства автора. В соответствии с судебной практикой Ко</w:t>
      </w:r>
      <w:r w:rsidRPr="00FB09C1">
        <w:t>н</w:t>
      </w:r>
      <w:r w:rsidRPr="00FB09C1">
        <w:t>ституционного суда в отношении права на равенство перед законом Суд по а</w:t>
      </w:r>
      <w:r w:rsidRPr="00FB09C1">
        <w:t>д</w:t>
      </w:r>
      <w:r w:rsidRPr="00FB09C1">
        <w:t xml:space="preserve">министративным делам постановил, что </w:t>
      </w:r>
      <w:r>
        <w:t>«</w:t>
      </w:r>
      <w:r w:rsidRPr="00FB09C1">
        <w:t>правовой статус истицы, явля</w:t>
      </w:r>
      <w:r w:rsidRPr="00FB09C1">
        <w:t>ю</w:t>
      </w:r>
      <w:r w:rsidRPr="00FB09C1">
        <w:t>щейся иностранной гражданкой, не идентичен статусу испанских граждан, с котор</w:t>
      </w:r>
      <w:r w:rsidRPr="00FB09C1">
        <w:t>ы</w:t>
      </w:r>
      <w:r w:rsidRPr="00FB09C1">
        <w:t>ми она сравнивает себя с точки зрения права на проживание на территории И</w:t>
      </w:r>
      <w:r w:rsidRPr="00FB09C1">
        <w:t>с</w:t>
      </w:r>
      <w:r w:rsidRPr="00FB09C1">
        <w:t>пании и с точки зрения занятости</w:t>
      </w:r>
      <w:r>
        <w:t>»</w:t>
      </w:r>
      <w:r w:rsidRPr="00FB09C1">
        <w:t xml:space="preserve"> и что </w:t>
      </w:r>
      <w:r>
        <w:t>«</w:t>
      </w:r>
      <w:r w:rsidRPr="00FB09C1">
        <w:t>иностранцы не имеют таких же прав, как испанские граждане, поэтому их статус нельзя сравнивать ни на основании Конституции, ни на основании общего законодательства</w:t>
      </w:r>
      <w:r>
        <w:t>»</w:t>
      </w:r>
      <w:r w:rsidR="007B4187">
        <w:t>.</w:t>
      </w:r>
    </w:p>
    <w:p w:rsidR="00FB09C1" w:rsidRPr="00FB09C1" w:rsidRDefault="00FB09C1" w:rsidP="00FB09C1">
      <w:pPr>
        <w:pStyle w:val="SingleTxt"/>
      </w:pPr>
      <w:r w:rsidRPr="00FB09C1">
        <w:t>2.10</w:t>
      </w:r>
      <w:r w:rsidRPr="00FB09C1">
        <w:tab/>
        <w:t>18 сентября 2009 года автор обжаловала это решение, вновь изложив свою позицию в заявлении и отметив, что суд, отклонив ее иск, не рассмотрев его надлежащим образом и не приняв во внимание заключение прокуратуры Вы</w:t>
      </w:r>
      <w:r w:rsidRPr="00FB09C1">
        <w:t>с</w:t>
      </w:r>
      <w:r w:rsidRPr="00FB09C1">
        <w:t>шего суда автономной области Мадрид, нарушил ее право на справедливое с</w:t>
      </w:r>
      <w:r w:rsidRPr="00FB09C1">
        <w:t>у</w:t>
      </w:r>
      <w:r w:rsidRPr="00FB09C1">
        <w:t>дебное разбирательство. Кроме того, автор заявляет, что Суд отказал в выдаче ей разрешения на работу, но не отказывал в выдаче ей вида на жительство, п</w:t>
      </w:r>
      <w:r w:rsidRPr="00FB09C1">
        <w:t>о</w:t>
      </w:r>
      <w:r w:rsidRPr="00FB09C1">
        <w:t>скольку из обжалованного решения следовало, что ей надлежало ходатайств</w:t>
      </w:r>
      <w:r w:rsidRPr="00FB09C1">
        <w:t>о</w:t>
      </w:r>
      <w:r w:rsidRPr="00FB09C1">
        <w:t>вать о выдаче разрешения, не связанного с трудовой деятельностью, включая мотивы длительного проживания. Кроме того, автор заявила, что в ее иске о</w:t>
      </w:r>
      <w:r w:rsidRPr="00FB09C1">
        <w:t>т</w:t>
      </w:r>
      <w:r w:rsidRPr="00FB09C1">
        <w:t>сутствует абсолютное сравнение, но присутствует только сравнение, каса</w:t>
      </w:r>
      <w:r w:rsidRPr="00FB09C1">
        <w:t>ю</w:t>
      </w:r>
      <w:r w:rsidRPr="00FB09C1">
        <w:t>щееся существа дела, поскольку к матерям, имеющим испанское гражданство, не применяются требования, установленные в статье 40 закона об иностра</w:t>
      </w:r>
      <w:r w:rsidRPr="00FB09C1">
        <w:t>н</w:t>
      </w:r>
      <w:r w:rsidRPr="00FB09C1">
        <w:t>цах, хотя в обоих случаях речь идет о матерях, которые имеют родительские права в отношении несовершеннолетнего гражданина Испании.</w:t>
      </w:r>
    </w:p>
    <w:p w:rsidR="00FB09C1" w:rsidRPr="00FB09C1" w:rsidRDefault="00FB09C1" w:rsidP="00FB09C1">
      <w:pPr>
        <w:pStyle w:val="SingleTxt"/>
      </w:pPr>
      <w:r w:rsidRPr="00FB09C1">
        <w:t>2.11</w:t>
      </w:r>
      <w:r w:rsidRPr="00FB09C1">
        <w:tab/>
        <w:t>В то же время 4 марта 2010 года Министерство труда и иммиграции о</w:t>
      </w:r>
      <w:r w:rsidRPr="00FB09C1">
        <w:t>т</w:t>
      </w:r>
      <w:r w:rsidRPr="00FB09C1">
        <w:t>клонило административную апелляцион</w:t>
      </w:r>
      <w:r w:rsidR="008B33B0">
        <w:t>ную жалобу, поданную автором 16 </w:t>
      </w:r>
      <w:r w:rsidRPr="00FB09C1">
        <w:t>февраля 2009 года, поскольку автор не подтвердила свою трудовую деятел</w:t>
      </w:r>
      <w:r w:rsidRPr="00FB09C1">
        <w:t>ь</w:t>
      </w:r>
      <w:r w:rsidRPr="00FB09C1">
        <w:t>ность в период между 7 сентября 2006 года и 15 августа 2008 года и не подп</w:t>
      </w:r>
      <w:r w:rsidRPr="00FB09C1">
        <w:t>а</w:t>
      </w:r>
      <w:r w:rsidRPr="00FB09C1">
        <w:t>дает под какое-либо из допущений, установленных в пункте 4 статьи 54 пол</w:t>
      </w:r>
      <w:r w:rsidRPr="00FB09C1">
        <w:t>о</w:t>
      </w:r>
      <w:r w:rsidRPr="00FB09C1">
        <w:t>жения о порядке осуще</w:t>
      </w:r>
      <w:r w:rsidR="007B4187">
        <w:t>ствления закона об иностранцах.</w:t>
      </w:r>
    </w:p>
    <w:p w:rsidR="00FB09C1" w:rsidRPr="00FB09C1" w:rsidRDefault="00FB09C1" w:rsidP="00FB09C1">
      <w:pPr>
        <w:pStyle w:val="SingleTxt"/>
      </w:pPr>
      <w:r w:rsidRPr="00FB09C1">
        <w:t>2.12</w:t>
      </w:r>
      <w:r w:rsidRPr="00FB09C1">
        <w:tab/>
        <w:t>13 июля 2010 года Высший суд Мадрида отклонил ее апелляционную ж</w:t>
      </w:r>
      <w:r w:rsidRPr="00FB09C1">
        <w:t>а</w:t>
      </w:r>
      <w:r w:rsidRPr="00FB09C1">
        <w:t>лобу и постановил, что автор должна возместить судебные издержки. Что кас</w:t>
      </w:r>
      <w:r w:rsidRPr="00FB09C1">
        <w:t>а</w:t>
      </w:r>
      <w:r w:rsidRPr="00FB09C1">
        <w:t>ется утверждений автора о том, что права, нарушенные в результате неравного статуса, касаются работы, а не проживания, суд опроверг наличие дискрим</w:t>
      </w:r>
      <w:r w:rsidRPr="00FB09C1">
        <w:t>и</w:t>
      </w:r>
      <w:r w:rsidR="007B4187">
        <w:t>нации, постановив следующее:</w:t>
      </w:r>
    </w:p>
    <w:p w:rsidR="00FB09C1" w:rsidRPr="00FB09C1" w:rsidRDefault="00FB09C1" w:rsidP="00FB09C1">
      <w:pPr>
        <w:pStyle w:val="SingleTxt"/>
      </w:pPr>
      <w:r w:rsidRPr="00FB09C1">
        <w:tab/>
      </w:r>
      <w:r>
        <w:t>«</w:t>
      </w:r>
      <w:r w:rsidRPr="00FB09C1">
        <w:t>Для того чтобы работать в Испании, иностранцы, в частности заявитель, предварительно должны получить соответствующее административное разр</w:t>
      </w:r>
      <w:r w:rsidRPr="00FB09C1">
        <w:t>е</w:t>
      </w:r>
      <w:r w:rsidRPr="00FB09C1">
        <w:t>шение при соблюдении требований, установленных для его получения, в то время как граждане Испании имеют право работать без необходимости предв</w:t>
      </w:r>
      <w:r w:rsidRPr="00FB09C1">
        <w:t>а</w:t>
      </w:r>
      <w:r w:rsidRPr="00FB09C1">
        <w:t>рительного получения какого-либо административного разрешения. В этой связи отказ в выдаче указанного административного разрешения на работу на основании несоблюдения установленных законом требований для получения такого разрешения</w:t>
      </w:r>
      <w:r w:rsidR="008B33B0">
        <w:t xml:space="preserve"> — </w:t>
      </w:r>
      <w:r w:rsidRPr="00FB09C1">
        <w:t>причем это несоблюдение не оспаривается заявителем</w:t>
      </w:r>
      <w:r w:rsidR="008B33B0">
        <w:t xml:space="preserve"> — </w:t>
      </w:r>
      <w:r w:rsidRPr="00FB09C1">
        <w:t>нельзя считать нарушением конституционного принципа равенства в сравн</w:t>
      </w:r>
      <w:r w:rsidRPr="00FB09C1">
        <w:t>е</w:t>
      </w:r>
      <w:r w:rsidRPr="00FB09C1">
        <w:t>нии с гражданами Испании, ибо последние, для того чтобы работать, не ну</w:t>
      </w:r>
      <w:r w:rsidRPr="00FB09C1">
        <w:t>ж</w:t>
      </w:r>
      <w:r w:rsidRPr="00FB09C1">
        <w:t>даются ни в каком административном разрешении. Таким образом, закон уст</w:t>
      </w:r>
      <w:r w:rsidRPr="00FB09C1">
        <w:t>а</w:t>
      </w:r>
      <w:r w:rsidRPr="00FB09C1">
        <w:t>навливает разный подход к праву на работу граждан Испании и иностранцев, и это различие является законным на основании Конституции, как было разъя</w:t>
      </w:r>
      <w:r w:rsidRPr="00FB09C1">
        <w:t>с</w:t>
      </w:r>
      <w:r w:rsidRPr="00FB09C1">
        <w:t>нено выше, что не позволяет требовать уравнивания в этом отношении граждан Испании и иностранцев.</w:t>
      </w:r>
    </w:p>
    <w:p w:rsidR="00FB09C1" w:rsidRPr="00FB09C1" w:rsidRDefault="00FB09C1" w:rsidP="00FB09C1">
      <w:pPr>
        <w:pStyle w:val="SingleTxt"/>
      </w:pPr>
      <w:r w:rsidRPr="00FB09C1">
        <w:tab/>
        <w:t>Кроме того, в рассматриваемом случае заявитель не была абсолютно л</w:t>
      </w:r>
      <w:r w:rsidRPr="00FB09C1">
        <w:t>и</w:t>
      </w:r>
      <w:r w:rsidRPr="00FB09C1">
        <w:t>шена возможности работать в Испании, поскольку в самом оспариваемом р</w:t>
      </w:r>
      <w:r w:rsidRPr="00FB09C1">
        <w:t>е</w:t>
      </w:r>
      <w:r w:rsidRPr="00FB09C1">
        <w:t>шении ей указываются другие способы приобретения такой возможности, в ч</w:t>
      </w:r>
      <w:r w:rsidRPr="00FB09C1">
        <w:t>а</w:t>
      </w:r>
      <w:r w:rsidRPr="00FB09C1">
        <w:t>стности путем получения разрешения на проживание на основании пребыв</w:t>
      </w:r>
      <w:r w:rsidRPr="00FB09C1">
        <w:t>а</w:t>
      </w:r>
      <w:r w:rsidRPr="00FB09C1">
        <w:t>ния в стране в течение длительного времени (часть 3 статьи 31 органического за</w:t>
      </w:r>
      <w:r w:rsidR="008B33B0">
        <w:t>кона </w:t>
      </w:r>
      <w:r w:rsidRPr="00FB09C1">
        <w:t>4/2000), что одновременно дает разреш</w:t>
      </w:r>
      <w:r w:rsidR="008B33B0">
        <w:t>ение на работу в Испании (пункт 7 статьи 45 королевского указа </w:t>
      </w:r>
      <w:r w:rsidRPr="00FB09C1">
        <w:t>2393/2004). Таким образом, оспарива</w:t>
      </w:r>
      <w:r w:rsidRPr="00FB09C1">
        <w:t>е</w:t>
      </w:r>
      <w:r w:rsidRPr="00FB09C1">
        <w:t>мое решение не лишает истицу права на работу, а лишает ее лишь возможности получить разрешение на работу тем конкретным способом, который она избр</w:t>
      </w:r>
      <w:r w:rsidRPr="00FB09C1">
        <w:t>а</w:t>
      </w:r>
      <w:r w:rsidRPr="00FB09C1">
        <w:t>ла… при этом уже в самом оспариваемом решении указываются другие спос</w:t>
      </w:r>
      <w:r w:rsidRPr="00FB09C1">
        <w:t>о</w:t>
      </w:r>
      <w:r w:rsidRPr="00FB09C1">
        <w:t>бы получения необходимого ей разрешения на работу с учетом сложившихся отношений: ее пребывание в стране в течение длительного времени, нахожд</w:t>
      </w:r>
      <w:r w:rsidRPr="00FB09C1">
        <w:t>е</w:t>
      </w:r>
      <w:r w:rsidRPr="00FB09C1">
        <w:t>ние в</w:t>
      </w:r>
      <w:r w:rsidR="008B33B0">
        <w:t xml:space="preserve"> </w:t>
      </w:r>
      <w:r w:rsidRPr="00FB09C1">
        <w:t>браке с лицом, законно проживающим в стране и имеющим вид на ж</w:t>
      </w:r>
      <w:r w:rsidRPr="00FB09C1">
        <w:t>и</w:t>
      </w:r>
      <w:r w:rsidRPr="00FB09C1">
        <w:t>тельство, наличие общего ребенка, являющегося гражданином Испании, в</w:t>
      </w:r>
      <w:r w:rsidRPr="00FB09C1">
        <w:t>ы</w:t>
      </w:r>
      <w:r w:rsidRPr="00FB09C1">
        <w:t>данное ранее разрешение на проживание и работу, на основании которого она занималась определенной трудовой деятельностью, наличие в настоящий м</w:t>
      </w:r>
      <w:r w:rsidRPr="00FB09C1">
        <w:t>о</w:t>
      </w:r>
      <w:r w:rsidRPr="00FB09C1">
        <w:t>мент нового трудового договора и т.д.</w:t>
      </w:r>
      <w:r>
        <w:t>»</w:t>
      </w:r>
      <w:r w:rsidRPr="00FB09C1">
        <w:t>.</w:t>
      </w:r>
    </w:p>
    <w:p w:rsidR="00FB09C1" w:rsidRPr="00FB09C1" w:rsidRDefault="00FB09C1" w:rsidP="00FB09C1">
      <w:pPr>
        <w:pStyle w:val="SingleTxt"/>
      </w:pPr>
      <w:r w:rsidRPr="00FB09C1">
        <w:t>2.13</w:t>
      </w:r>
      <w:r w:rsidRPr="00FB09C1">
        <w:tab/>
        <w:t>21 сентября 2010 года автор подала в Конституционный суд ходатайство по процедуре ампаро, в котором заявила о нарушении прав на справедливое судебное разбирательство и на равенство перед законом. Автор просила суд разрешить ей самой защищать себя в суде, поскольку размер ее доходов пр</w:t>
      </w:r>
      <w:r w:rsidRPr="00FB09C1">
        <w:t>е</w:t>
      </w:r>
      <w:r w:rsidRPr="00FB09C1">
        <w:t>вышал сумму, предусматривающую право на бесплатные услуги адвоката или постановить назначить бесплатного поверенного и официального адвоката в интересах правосудия. Автор вновь приводит аргументы о том, что она расп</w:t>
      </w:r>
      <w:r w:rsidRPr="00FB09C1">
        <w:t>о</w:t>
      </w:r>
      <w:r w:rsidRPr="00FB09C1">
        <w:t>лагает новым трудовым договором и, кроме того, является матерью несове</w:t>
      </w:r>
      <w:r w:rsidRPr="00FB09C1">
        <w:t>р</w:t>
      </w:r>
      <w:r w:rsidRPr="00FB09C1">
        <w:t>шеннолетнего гражданина Испании и супругой иностранца, имеющего пост</w:t>
      </w:r>
      <w:r w:rsidRPr="00FB09C1">
        <w:t>о</w:t>
      </w:r>
      <w:r w:rsidRPr="00FB09C1">
        <w:t>янное разрешение на проживание и работу, из чего следует, что право, уст</w:t>
      </w:r>
      <w:r w:rsidRPr="00FB09C1">
        <w:t>а</w:t>
      </w:r>
      <w:r w:rsidRPr="00FB09C1">
        <w:t>новленное в законе об иностранцах, было умышленно нарушено.</w:t>
      </w:r>
    </w:p>
    <w:p w:rsidR="00FB09C1" w:rsidRPr="00FB09C1" w:rsidRDefault="00FB09C1" w:rsidP="00FB09C1">
      <w:pPr>
        <w:pStyle w:val="SingleTxt"/>
      </w:pPr>
      <w:r w:rsidRPr="00FB09C1">
        <w:t>2.14</w:t>
      </w:r>
      <w:r w:rsidRPr="00FB09C1">
        <w:tab/>
        <w:t>29 сентября 2010 года Конституционный суд обратился в Коллегию адв</w:t>
      </w:r>
      <w:r w:rsidRPr="00FB09C1">
        <w:t>о</w:t>
      </w:r>
      <w:r w:rsidRPr="00FB09C1">
        <w:t>катов Мадрида с просьбой назначить автору адвоката или поверенного в суде. Однако и Коллегия адвокатов, и Центральная комиссия по оказанию беспла</w:t>
      </w:r>
      <w:r w:rsidRPr="00FB09C1">
        <w:t>т</w:t>
      </w:r>
      <w:r w:rsidRPr="00FB09C1">
        <w:t>ной юридической помощи Министерства юстиции отказались предоставить а</w:t>
      </w:r>
      <w:r w:rsidRPr="00FB09C1">
        <w:t>в</w:t>
      </w:r>
      <w:r w:rsidRPr="00FB09C1">
        <w:t xml:space="preserve">тору бесплатную юридическую помощь, поскольку денежные доходы ее семьи, рассчитанные по годовой шкале с учетом всех источников дохода на каждого члена семьи, вдвое превышали межотраслевой минимальный размер оплаты труда, предусмотренный статьей 3 закона </w:t>
      </w:r>
      <w:r w:rsidRPr="007B4187">
        <w:t>1/</w:t>
      </w:r>
      <w:r w:rsidR="007B4187">
        <w:t>19</w:t>
      </w:r>
      <w:r w:rsidRPr="007B4187">
        <w:t>96</w:t>
      </w:r>
      <w:r w:rsidRPr="00FB09C1">
        <w:t>.</w:t>
      </w:r>
    </w:p>
    <w:p w:rsidR="00FB09C1" w:rsidRPr="00FB09C1" w:rsidRDefault="00FB09C1" w:rsidP="00FB09C1">
      <w:pPr>
        <w:pStyle w:val="SingleTxt"/>
      </w:pPr>
      <w:r w:rsidRPr="00FB09C1">
        <w:t>2.15</w:t>
      </w:r>
      <w:r w:rsidRPr="00FB09C1">
        <w:tab/>
        <w:t>1 декабря 2010 года автор сообщила Конституционному суду о решении Коллегии адвокатов Мадрида отказать ей в предоставлении помощи и ходата</w:t>
      </w:r>
      <w:r w:rsidRPr="00FB09C1">
        <w:t>й</w:t>
      </w:r>
      <w:r w:rsidRPr="00FB09C1">
        <w:t>ствовала о признании за ней права на юридическую помощь. Автор заявила, что понесла расходы по своей защите в ходе предыдущих разбирательств, о</w:t>
      </w:r>
      <w:r w:rsidRPr="00FB09C1">
        <w:t>д</w:t>
      </w:r>
      <w:r w:rsidRPr="00FB09C1">
        <w:t>нако не располагает средствами для дальнейшей оплаты этих услуг. Кроме т</w:t>
      </w:r>
      <w:r w:rsidRPr="00FB09C1">
        <w:t>о</w:t>
      </w:r>
      <w:r w:rsidRPr="00FB09C1">
        <w:t>го, во избежание негативных последствий, которые могут сказаться на функции защиты прав, автор просила принять следующие обеспечительные меры: сч</w:t>
      </w:r>
      <w:r w:rsidRPr="00FB09C1">
        <w:t>и</w:t>
      </w:r>
      <w:r w:rsidRPr="00FB09C1">
        <w:t>тать продленным срок действия разрешения на проживание и работу до моме</w:t>
      </w:r>
      <w:r w:rsidRPr="00FB09C1">
        <w:t>н</w:t>
      </w:r>
      <w:r w:rsidRPr="00FB09C1">
        <w:t>та вынесения решения по ее иску; выдать ей разрешение на выезд из Испании и возвращение в страну; а также применять по отношению к ней нормы, рег</w:t>
      </w:r>
      <w:r w:rsidRPr="00FB09C1">
        <w:t>у</w:t>
      </w:r>
      <w:r w:rsidRPr="00FB09C1">
        <w:t>лирующие вычеты из подоходного налога, без какой-либо дискриминации. А</w:t>
      </w:r>
      <w:r w:rsidRPr="00FB09C1">
        <w:t>в</w:t>
      </w:r>
      <w:r w:rsidRPr="00FB09C1">
        <w:t>тор утверждала, что на практике ее право на свободу передвижения было огр</w:t>
      </w:r>
      <w:r w:rsidRPr="00FB09C1">
        <w:t>а</w:t>
      </w:r>
      <w:r w:rsidRPr="00FB09C1">
        <w:t>ничено,, поскольку Управление иммиграции несколько раз отказало ей в пол</w:t>
      </w:r>
      <w:r w:rsidRPr="00FB09C1">
        <w:t>у</w:t>
      </w:r>
      <w:r w:rsidRPr="00FB09C1">
        <w:t>чении разрешения на выезд и въезд в Испанию, из-за чего в базе данных ее м</w:t>
      </w:r>
      <w:r w:rsidRPr="00FB09C1">
        <w:t>и</w:t>
      </w:r>
      <w:r w:rsidRPr="00FB09C1">
        <w:t xml:space="preserve">грационный статус значится как </w:t>
      </w:r>
      <w:r>
        <w:t>«</w:t>
      </w:r>
      <w:r w:rsidRPr="00FB09C1">
        <w:t>нелегальный</w:t>
      </w:r>
      <w:r>
        <w:t>»</w:t>
      </w:r>
      <w:r w:rsidRPr="00FB09C1">
        <w:t xml:space="preserve"> с 15 января 2009 года</w:t>
      </w:r>
      <w:r w:rsidRPr="00FB09C1">
        <w:rPr>
          <w:vertAlign w:val="superscript"/>
        </w:rPr>
        <w:footnoteReference w:id="2"/>
      </w:r>
      <w:r w:rsidRPr="00FB09C1">
        <w:t>. По этой причине, в частности, она не смогла присутствовать на похоронах своей мат</w:t>
      </w:r>
      <w:r w:rsidRPr="00FB09C1">
        <w:t>е</w:t>
      </w:r>
      <w:r w:rsidRPr="00FB09C1">
        <w:t>ри, а налоговая служба не позволила ей произвести соответствующие налог</w:t>
      </w:r>
      <w:r w:rsidRPr="00FB09C1">
        <w:t>о</w:t>
      </w:r>
      <w:r w:rsidRPr="00FB09C1">
        <w:t>вые вычеты при подаче де</w:t>
      </w:r>
      <w:r w:rsidR="007B4187">
        <w:t>кларации о доходах за 2009 год.</w:t>
      </w:r>
    </w:p>
    <w:p w:rsidR="00FB09C1" w:rsidRPr="00FB09C1" w:rsidRDefault="00FB09C1" w:rsidP="00FB09C1">
      <w:pPr>
        <w:pStyle w:val="SingleTxt"/>
      </w:pPr>
      <w:r w:rsidRPr="00FB09C1">
        <w:t>2.16</w:t>
      </w:r>
      <w:r w:rsidRPr="00FB09C1">
        <w:tab/>
        <w:t>3 декабря 2010 года Конституционный суд уведомил автора, что у нее есть 10-дневный срок, для того чтобы воспользоваться помощью адвоката, в</w:t>
      </w:r>
      <w:r w:rsidR="008B33B0">
        <w:t xml:space="preserve"> </w:t>
      </w:r>
      <w:r w:rsidRPr="00FB09C1">
        <w:t>пр</w:t>
      </w:r>
      <w:r w:rsidRPr="00FB09C1">
        <w:t>о</w:t>
      </w:r>
      <w:r w:rsidRPr="00FB09C1">
        <w:t>тивном случае судебное разбирательство будет закрыто, а исковое заявление будет сдано в архив. 13 декабря 2010 года автор оспорила решение Комиссии об отказе в бесплатной юридической помощи в этом же органе, заявив, что, х</w:t>
      </w:r>
      <w:r w:rsidRPr="00FB09C1">
        <w:t>о</w:t>
      </w:r>
      <w:r w:rsidRPr="00FB09C1">
        <w:t>тя размер доходов семьи превышал максимум, установленный законом для п</w:t>
      </w:r>
      <w:r w:rsidRPr="00FB09C1">
        <w:t>о</w:t>
      </w:r>
      <w:r w:rsidRPr="00FB09C1">
        <w:t>лучения права на бесплатную юридическую помощь, этих средств едва хв</w:t>
      </w:r>
      <w:r w:rsidRPr="00FB09C1">
        <w:t>а</w:t>
      </w:r>
      <w:r w:rsidRPr="00FB09C1">
        <w:t>тало на покрытие повседневных расходов семьи, вследствие чего она просила об исключительном признании права на получение бесплатной юридической п</w:t>
      </w:r>
      <w:r w:rsidRPr="00FB09C1">
        <w:t>о</w:t>
      </w:r>
      <w:r w:rsidRPr="00FB09C1">
        <w:t>мощи.</w:t>
      </w:r>
    </w:p>
    <w:p w:rsidR="00FB09C1" w:rsidRPr="00FB09C1" w:rsidRDefault="00FB09C1" w:rsidP="00FB09C1">
      <w:pPr>
        <w:pStyle w:val="SingleTxt"/>
      </w:pPr>
      <w:r w:rsidRPr="00FB09C1">
        <w:t>2.17</w:t>
      </w:r>
      <w:r w:rsidRPr="00FB09C1">
        <w:tab/>
        <w:t>21 сентября 2010 года супруг автора посетил Отдел по делам иностранцев в Леганесе, Мадрид, чтобы вручить ходатайство о воссоединении семьи в пользу автора. Сотрудник Отдела отказался принять документ, поскольку за</w:t>
      </w:r>
      <w:r w:rsidRPr="00FB09C1">
        <w:t>я</w:t>
      </w:r>
      <w:r w:rsidRPr="00FB09C1">
        <w:t>витель ходатайства уже находилась в Испании, а прием ходатайства допускае</w:t>
      </w:r>
      <w:r w:rsidRPr="00FB09C1">
        <w:t>т</w:t>
      </w:r>
      <w:r w:rsidRPr="00FB09C1">
        <w:t xml:space="preserve">ся лишь при условии, что </w:t>
      </w:r>
      <w:r>
        <w:t>«</w:t>
      </w:r>
      <w:r w:rsidRPr="00FB09C1">
        <w:t>лицо, о воссоединении с которым идет речь</w:t>
      </w:r>
      <w:r>
        <w:t>»</w:t>
      </w:r>
      <w:r w:rsidRPr="00FB09C1">
        <w:t>, нах</w:t>
      </w:r>
      <w:r w:rsidRPr="00FB09C1">
        <w:t>о</w:t>
      </w:r>
      <w:r w:rsidRPr="00FB09C1">
        <w:t>дится за пределами Испании. По мнению автора, такое решение противоречит Конвенции. Автор утверждает, что указанное условие не применяется ни к супругам граждан Испании, имеющих иностранное происхождение, ни к су</w:t>
      </w:r>
      <w:r w:rsidRPr="00FB09C1">
        <w:t>п</w:t>
      </w:r>
      <w:r w:rsidRPr="00FB09C1">
        <w:t>ругам иностранцев, законно проживающих в других странах Европейского союза. Автор полагает, что она отвечает всем требованиям, установленным з</w:t>
      </w:r>
      <w:r w:rsidRPr="00FB09C1">
        <w:t>а</w:t>
      </w:r>
      <w:r w:rsidRPr="00FB09C1">
        <w:t>коном для воссоединения семьи, однако государство-участник выдвигает ей более сложные условия, чем другим иностранцам, наход</w:t>
      </w:r>
      <w:r w:rsidR="007B4187">
        <w:t>ящимся в аналогичном положении.</w:t>
      </w:r>
    </w:p>
    <w:p w:rsidR="00FB09C1" w:rsidRPr="00FB09C1" w:rsidRDefault="00FB09C1" w:rsidP="00FB09C1">
      <w:pPr>
        <w:pStyle w:val="SingleTxt"/>
      </w:pPr>
      <w:r w:rsidRPr="00FB09C1">
        <w:t>2.18</w:t>
      </w:r>
      <w:r w:rsidRPr="00FB09C1">
        <w:tab/>
        <w:t>Автор заявляет, что исчерпала все средства внутренней правовой защиты и что решение Конституционного суда от 3</w:t>
      </w:r>
      <w:r w:rsidR="008B33B0">
        <w:t> декабря 2010 </w:t>
      </w:r>
      <w:r w:rsidRPr="00FB09C1">
        <w:t>года окончательно прекратило процедуру ампаро.</w:t>
      </w:r>
    </w:p>
    <w:p w:rsidR="008B33B0" w:rsidRPr="008B33B0" w:rsidRDefault="008B33B0" w:rsidP="008B33B0">
      <w:pPr>
        <w:pStyle w:val="SingleTxt"/>
        <w:spacing w:after="0" w:line="120" w:lineRule="exact"/>
        <w:rPr>
          <w:b/>
          <w:sz w:val="10"/>
        </w:rPr>
      </w:pPr>
    </w:p>
    <w:p w:rsidR="00FB09C1" w:rsidRPr="00FB09C1" w:rsidRDefault="00FB09C1" w:rsidP="008B33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09C1">
        <w:tab/>
      </w:r>
      <w:r w:rsidRPr="00FB09C1">
        <w:tab/>
        <w:t>Жалоба</w:t>
      </w:r>
    </w:p>
    <w:p w:rsidR="008B33B0" w:rsidRPr="008B33B0" w:rsidRDefault="008B33B0" w:rsidP="008B33B0">
      <w:pPr>
        <w:pStyle w:val="SingleTxt"/>
        <w:spacing w:after="0" w:line="120" w:lineRule="exact"/>
        <w:rPr>
          <w:sz w:val="10"/>
        </w:rPr>
      </w:pPr>
    </w:p>
    <w:p w:rsidR="00FB09C1" w:rsidRPr="00FB09C1" w:rsidRDefault="00FB09C1" w:rsidP="00FB09C1">
      <w:pPr>
        <w:pStyle w:val="SingleTxt"/>
      </w:pPr>
      <w:r w:rsidRPr="00FB09C1">
        <w:t>3.1</w:t>
      </w:r>
      <w:r w:rsidRPr="00FB09C1">
        <w:tab/>
        <w:t>Автор считает, что описанные фа</w:t>
      </w:r>
      <w:r w:rsidR="008B33B0">
        <w:t>кты составляют нарушение статьи 1, пунктов (</w:t>
      </w:r>
      <w:r w:rsidRPr="00FB09C1">
        <w:t>a)</w:t>
      </w:r>
      <w:r w:rsidR="008B33B0">
        <w:t>-(</w:t>
      </w:r>
      <w:r w:rsidRPr="00FB09C1">
        <w:t>g) статьи 2, статьи 3, стат</w:t>
      </w:r>
      <w:r w:rsidR="008B33B0">
        <w:t>ьи 6, пункта 1 статьи 9, пункта (</w:t>
      </w:r>
      <w:r w:rsidRPr="00FB09C1">
        <w:t>a) ст</w:t>
      </w:r>
      <w:r w:rsidRPr="00FB09C1">
        <w:t>а</w:t>
      </w:r>
      <w:r w:rsidR="008B33B0">
        <w:t>тьи 10, подпунктов (</w:t>
      </w:r>
      <w:r w:rsidRPr="00FB09C1">
        <w:t xml:space="preserve">a) и </w:t>
      </w:r>
      <w:r w:rsidR="008B33B0">
        <w:t>(</w:t>
      </w:r>
      <w:r w:rsidRPr="00FB09C1">
        <w:t>d) пункта 1 и под</w:t>
      </w:r>
      <w:r w:rsidR="008B33B0">
        <w:t>пункта (</w:t>
      </w:r>
      <w:r w:rsidRPr="00FB09C1">
        <w:t>c) пункта 2 статьи 11, пун</w:t>
      </w:r>
      <w:r w:rsidRPr="00FB09C1">
        <w:t>к</w:t>
      </w:r>
      <w:r w:rsidRPr="00FB09C1">
        <w:t>т</w:t>
      </w:r>
      <w:r w:rsidR="008B33B0">
        <w:t>ов 1 и 2 статьи 15 и подпунктов (</w:t>
      </w:r>
      <w:r w:rsidRPr="00FB09C1">
        <w:t xml:space="preserve">c), </w:t>
      </w:r>
      <w:r w:rsidR="008B33B0">
        <w:t>(</w:t>
      </w:r>
      <w:r w:rsidRPr="00FB09C1">
        <w:t xml:space="preserve">d) и </w:t>
      </w:r>
      <w:r w:rsidR="008B33B0">
        <w:t>(</w:t>
      </w:r>
      <w:r w:rsidRPr="00FB09C1">
        <w:t>f</w:t>
      </w:r>
      <w:r w:rsidR="007B4187">
        <w:t>) пункта 1 статьи 16 Конвенции.</w:t>
      </w:r>
    </w:p>
    <w:p w:rsidR="00FB09C1" w:rsidRPr="00FB09C1" w:rsidRDefault="00FB09C1" w:rsidP="00FB09C1">
      <w:pPr>
        <w:pStyle w:val="SingleTxt"/>
      </w:pPr>
      <w:r w:rsidRPr="00FB09C1">
        <w:t>3.2</w:t>
      </w:r>
      <w:r w:rsidRPr="00FB09C1">
        <w:tab/>
        <w:t>Отказ в выдаче разрешения на работу исключительно из-за того, что она не работала шесть месяцев в</w:t>
      </w:r>
      <w:r w:rsidR="008B33B0">
        <w:t xml:space="preserve"> году за период с сентября 2006 </w:t>
      </w:r>
      <w:r w:rsidRPr="00FB09C1">
        <w:t>года по август 2008 года, свидетельствует о неравном отношении к ней и другим лицам в ан</w:t>
      </w:r>
      <w:r w:rsidRPr="00FB09C1">
        <w:t>а</w:t>
      </w:r>
      <w:r w:rsidRPr="00FB09C1">
        <w:t>логичном положении, т.е. лицам, которые находятся в такой же ситуации и имеют на иждивении несовершеннолетнего ребенка, являющегося граждан</w:t>
      </w:r>
      <w:r w:rsidRPr="00FB09C1">
        <w:t>и</w:t>
      </w:r>
      <w:r w:rsidRPr="00FB09C1">
        <w:t>ном Испании, которому они обязаны обеспечивать защиту и уход. Такое реш</w:t>
      </w:r>
      <w:r w:rsidRPr="00FB09C1">
        <w:t>е</w:t>
      </w:r>
      <w:r w:rsidRPr="00FB09C1">
        <w:t>ние затрагивает права семьи, и в особенности права детей, которых автор об</w:t>
      </w:r>
      <w:r w:rsidRPr="00FB09C1">
        <w:t>я</w:t>
      </w:r>
      <w:r w:rsidRPr="00FB09C1">
        <w:t>зана содержать до достижения ими совершеннолетнего возраста. В Гражда</w:t>
      </w:r>
      <w:r w:rsidRPr="00FB09C1">
        <w:t>н</w:t>
      </w:r>
      <w:r w:rsidRPr="00FB09C1">
        <w:t>ском кодексе государства-участника, равно как и в преамбуле Конвенции з</w:t>
      </w:r>
      <w:r w:rsidRPr="00FB09C1">
        <w:t>а</w:t>
      </w:r>
      <w:r w:rsidRPr="00FB09C1">
        <w:t>креплено, что права и обязанности отца и матери являются равными, однако отказ в выдаче разрешения на работу привел к нарушению равенства между обязанностями роди</w:t>
      </w:r>
      <w:r w:rsidR="007B4187">
        <w:t>телей.</w:t>
      </w:r>
    </w:p>
    <w:p w:rsidR="00FB09C1" w:rsidRPr="00FB09C1" w:rsidRDefault="00FB09C1" w:rsidP="00FB09C1">
      <w:pPr>
        <w:pStyle w:val="SingleTxt"/>
      </w:pPr>
      <w:r w:rsidRPr="00FB09C1">
        <w:t>3.3</w:t>
      </w:r>
      <w:r w:rsidRPr="00FB09C1">
        <w:tab/>
        <w:t>По мнению автора, ее ситуация подпадает под два допущения, устано</w:t>
      </w:r>
      <w:r w:rsidRPr="00FB09C1">
        <w:t>в</w:t>
      </w:r>
      <w:r w:rsidR="008B33B0">
        <w:t>ленные законом </w:t>
      </w:r>
      <w:r w:rsidRPr="00FB09C1">
        <w:t>4/2000 для получения разрешения на работу: она состоит в браке с иностранцем, у которого есть вид на жительство и постоянное разр</w:t>
      </w:r>
      <w:r w:rsidRPr="00FB09C1">
        <w:t>е</w:t>
      </w:r>
      <w:r w:rsidRPr="00FB09C1">
        <w:t>шение на работу, а также она имеет на иждивении несовершеннолетнего р</w:t>
      </w:r>
      <w:r w:rsidRPr="00FB09C1">
        <w:t>е</w:t>
      </w:r>
      <w:r w:rsidRPr="00FB09C1">
        <w:t>бенка, являющегося гражданином Испании. Именно таков случай автора. Вследствие этого отказ в выдаче временного разрешения на работу является произвольным актом и противоречит закону.</w:t>
      </w:r>
    </w:p>
    <w:p w:rsidR="00FB09C1" w:rsidRPr="00FB09C1" w:rsidRDefault="00FB09C1" w:rsidP="00FB09C1">
      <w:pPr>
        <w:pStyle w:val="SingleTxt"/>
      </w:pPr>
      <w:r w:rsidRPr="00FB09C1">
        <w:t>3.4</w:t>
      </w:r>
      <w:r w:rsidRPr="00FB09C1">
        <w:tab/>
        <w:t>Отказ в ответ на просьбу о продлении срока действия временного разр</w:t>
      </w:r>
      <w:r w:rsidRPr="00FB09C1">
        <w:t>е</w:t>
      </w:r>
      <w:r w:rsidRPr="00FB09C1">
        <w:t>шения на проживание и работу оставляет автору единственную возмо</w:t>
      </w:r>
      <w:r w:rsidRPr="00FB09C1">
        <w:t>ж</w:t>
      </w:r>
      <w:r w:rsidRPr="00FB09C1">
        <w:t>ность</w:t>
      </w:r>
      <w:r w:rsidR="00C2348F">
        <w:t xml:space="preserve"> — </w:t>
      </w:r>
      <w:r w:rsidRPr="00FB09C1">
        <w:t xml:space="preserve">подать ходатайство на выдачу разрешения в силу </w:t>
      </w:r>
      <w:r>
        <w:t>«</w:t>
      </w:r>
      <w:r w:rsidRPr="00FB09C1">
        <w:t>сложившихся о</w:t>
      </w:r>
      <w:r w:rsidRPr="00FB09C1">
        <w:t>т</w:t>
      </w:r>
      <w:r w:rsidRPr="00FB09C1">
        <w:t>ношений</w:t>
      </w:r>
      <w:r>
        <w:t>»</w:t>
      </w:r>
      <w:r w:rsidRPr="00FB09C1">
        <w:t>, для чего необходимо оставить работу и семью и вернуться в свою страну, чтобы получить справку об отсутствии судимости, поскольку распол</w:t>
      </w:r>
      <w:r w:rsidRPr="00FB09C1">
        <w:t>о</w:t>
      </w:r>
      <w:r w:rsidRPr="00FB09C1">
        <w:t>женное в Испании посольство страны ее происхождения не имеет ни отдела, ни даже сотрудника, который мог бы оказать ей помощь в оформлении этих документов, что в данный момент сопряжено с большими трудностями, так как у автора беременность высокого риска. Требование оставить работу и добр</w:t>
      </w:r>
      <w:r w:rsidRPr="00FB09C1">
        <w:t>о</w:t>
      </w:r>
      <w:r w:rsidRPr="00FB09C1">
        <w:t>вольно покинуть страну, предъявленное автору, является антисоциальным и несправедливым решением, которое предполагает разъединение семьи и нар</w:t>
      </w:r>
      <w:r w:rsidRPr="00FB09C1">
        <w:t>у</w:t>
      </w:r>
      <w:r w:rsidRPr="00FB09C1">
        <w:t>шает права детей. Более того, автор утверждает, что отказ в продлении срока действия временного разрешения на работу и запрещение просить о выдаче нового разрешения на работу причиняют значительный ущерб. Решение об о</w:t>
      </w:r>
      <w:r w:rsidRPr="00FB09C1">
        <w:t>т</w:t>
      </w:r>
      <w:r w:rsidRPr="00FB09C1">
        <w:t>казе влечет за собой серьезные осложнения в момент получения разрешения на постоянное жительство или получение гражданства Испании, поскольку для этого требуется длительное и непрерывное проживание в стране в течение п</w:t>
      </w:r>
      <w:r w:rsidRPr="00FB09C1">
        <w:t>я</w:t>
      </w:r>
      <w:r w:rsidRPr="00FB09C1">
        <w:t>ти или десяти лет, соответственно. Отказ в продлении срока действия ее вр</w:t>
      </w:r>
      <w:r w:rsidRPr="00FB09C1">
        <w:t>е</w:t>
      </w:r>
      <w:r w:rsidRPr="00FB09C1">
        <w:t>менного разрешения на работу подразумевает, что прежнее непрерывное пр</w:t>
      </w:r>
      <w:r w:rsidRPr="00FB09C1">
        <w:t>о</w:t>
      </w:r>
      <w:r w:rsidRPr="00FB09C1">
        <w:t>живание в течение четырех лет зачтено не будет. В то же время другие предл</w:t>
      </w:r>
      <w:r w:rsidRPr="00FB09C1">
        <w:t>а</w:t>
      </w:r>
      <w:r w:rsidRPr="00FB09C1">
        <w:t>гаемые властями возможности, включая сложившиеся отношения, сопряжены с риском возни</w:t>
      </w:r>
      <w:r w:rsidRPr="00FB09C1">
        <w:t>к</w:t>
      </w:r>
      <w:r w:rsidRPr="00FB09C1">
        <w:t>новения ненадлежащей миграционной ситуации, если власти не дадут ответа на возможное ходатайство в течение трех месяцев, тогда как о</w:t>
      </w:r>
      <w:r w:rsidRPr="00FB09C1">
        <w:t>п</w:t>
      </w:r>
      <w:r w:rsidRPr="00FB09C1">
        <w:t>ротестование отказа в продлении вида на жительство и разрешения на работу в государстве-участнике позволило бы ей спокойно продолжить работать, сохр</w:t>
      </w:r>
      <w:r w:rsidRPr="00FB09C1">
        <w:t>а</w:t>
      </w:r>
      <w:r w:rsidRPr="00FB09C1">
        <w:t>нить семью и завершить учебу в докторантуре.</w:t>
      </w:r>
    </w:p>
    <w:p w:rsidR="00FB09C1" w:rsidRPr="00FB09C1" w:rsidRDefault="00FB09C1" w:rsidP="00FB09C1">
      <w:pPr>
        <w:pStyle w:val="SingleTxt"/>
      </w:pPr>
      <w:r w:rsidRPr="00FB09C1">
        <w:t>3.5</w:t>
      </w:r>
      <w:r w:rsidRPr="00FB09C1">
        <w:tab/>
        <w:t>Кроме того, автор утверждает, что лишение ее права вести тяжбу без п</w:t>
      </w:r>
      <w:r w:rsidRPr="00FB09C1">
        <w:t>о</w:t>
      </w:r>
      <w:r w:rsidRPr="00FB09C1">
        <w:t>мощи адвоката является дискриминационным, поскольку у автора нет дене</w:t>
      </w:r>
      <w:r w:rsidRPr="00FB09C1">
        <w:t>ж</w:t>
      </w:r>
      <w:r w:rsidRPr="00FB09C1">
        <w:t>ных средств, чтобы воспользоваться платными услугами адвоката, и нет права на бесплатную юридическую помощь. Хотя ее доходы и превышали макс</w:t>
      </w:r>
      <w:r w:rsidRPr="00FB09C1">
        <w:t>и</w:t>
      </w:r>
      <w:r w:rsidRPr="00FB09C1">
        <w:t>мальную сумму, установленную законом для получения бесплатной юридич</w:t>
      </w:r>
      <w:r w:rsidRPr="00FB09C1">
        <w:t>е</w:t>
      </w:r>
      <w:r w:rsidRPr="00FB09C1">
        <w:t>ской помощи, они существенно сократились в 2010 и 2011 годах, а судебное решение по ее просьбе о бесплатной юридической помощи затянулось более чем на полтора года, что привело к утрате силы ее ходатайства о процедуре ампаро, поэтому в качестве исключения государству-участнику пришлось пр</w:t>
      </w:r>
      <w:r w:rsidRPr="00FB09C1">
        <w:t>е</w:t>
      </w:r>
      <w:r w:rsidRPr="00FB09C1">
        <w:t xml:space="preserve">доставить ей испрашиваемую помощь согласно статье 5 закона </w:t>
      </w:r>
      <w:r w:rsidRPr="007B4187">
        <w:t>1/199</w:t>
      </w:r>
      <w:r w:rsidRPr="00FB09C1">
        <w:t>6.</w:t>
      </w:r>
    </w:p>
    <w:p w:rsidR="00FB09C1" w:rsidRPr="00FB09C1" w:rsidRDefault="00FB09C1" w:rsidP="00FB09C1">
      <w:pPr>
        <w:pStyle w:val="SingleTxt"/>
      </w:pPr>
      <w:r w:rsidRPr="00FB09C1">
        <w:t>3.6</w:t>
      </w:r>
      <w:r w:rsidRPr="00FB09C1">
        <w:tab/>
        <w:t>Автор обращается к Комитету с просьбой предписать Испании внести п</w:t>
      </w:r>
      <w:r w:rsidRPr="00FB09C1">
        <w:t>о</w:t>
      </w:r>
      <w:r w:rsidRPr="00FB09C1">
        <w:t>правки во все законы, которые прямо и (или) косвенно нарушают положения Конвенции, в частности это касается неправомерного, унизительного и ди</w:t>
      </w:r>
      <w:r w:rsidRPr="00FB09C1">
        <w:t>с</w:t>
      </w:r>
      <w:r w:rsidRPr="00FB09C1">
        <w:t>криминационного отношения, которое ощутили на себе автор и ее семья в р</w:t>
      </w:r>
      <w:r w:rsidRPr="00FB09C1">
        <w:t>е</w:t>
      </w:r>
      <w:r w:rsidRPr="00FB09C1">
        <w:t>зультате действия или бездействия государства-участника. Кроме того, автор просит возместить ей моральный и материальный ущерб в размере 20 000 евро, нанесенн</w:t>
      </w:r>
      <w:r w:rsidR="007B4187">
        <w:t>ый в связи с этими нарушениями.</w:t>
      </w:r>
    </w:p>
    <w:p w:rsidR="00C2348F" w:rsidRPr="00C2348F" w:rsidRDefault="00C2348F" w:rsidP="00C2348F">
      <w:pPr>
        <w:pStyle w:val="SingleTxt"/>
        <w:spacing w:after="0" w:line="120" w:lineRule="exact"/>
        <w:rPr>
          <w:b/>
          <w:sz w:val="10"/>
        </w:rPr>
      </w:pPr>
    </w:p>
    <w:p w:rsidR="00FB09C1" w:rsidRPr="00FB09C1" w:rsidRDefault="00FB09C1" w:rsidP="00C23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09C1">
        <w:tab/>
      </w:r>
      <w:r w:rsidRPr="00FB09C1">
        <w:tab/>
        <w:t>Замечания государства-участника относительно приемлемости сообщения</w:t>
      </w:r>
    </w:p>
    <w:p w:rsidR="00C2348F" w:rsidRPr="00C2348F" w:rsidRDefault="00C2348F" w:rsidP="00C2348F">
      <w:pPr>
        <w:pStyle w:val="SingleTxt"/>
        <w:spacing w:after="0" w:line="120" w:lineRule="exact"/>
        <w:rPr>
          <w:sz w:val="10"/>
        </w:rPr>
      </w:pPr>
    </w:p>
    <w:p w:rsidR="00FB09C1" w:rsidRPr="00FB09C1" w:rsidRDefault="00C2348F" w:rsidP="00FB09C1">
      <w:pPr>
        <w:pStyle w:val="SingleTxt"/>
      </w:pPr>
      <w:r>
        <w:t>4.1</w:t>
      </w:r>
      <w:r>
        <w:tab/>
        <w:t>В вербальной ноте от 14 </w:t>
      </w:r>
      <w:r w:rsidR="00FB09C1" w:rsidRPr="00FB09C1">
        <w:t>марта 2011 года государство-участник заявило, что сообщение является неприемлемым, поскольку не были исчерпаны все внутренние средства правовой защиты и поскольку оно является бе</w:t>
      </w:r>
      <w:r>
        <w:t>спочвенным в силу пунктов 1 и 2(</w:t>
      </w:r>
      <w:r w:rsidR="00FB09C1" w:rsidRPr="00FB09C1">
        <w:t>с) статьи 4 Факульт</w:t>
      </w:r>
      <w:r w:rsidR="007B4187">
        <w:t>ативного протокола к Конвенции.</w:t>
      </w:r>
    </w:p>
    <w:p w:rsidR="00FB09C1" w:rsidRPr="00FB09C1" w:rsidRDefault="00FB09C1" w:rsidP="00FB09C1">
      <w:pPr>
        <w:pStyle w:val="SingleTxt"/>
      </w:pPr>
      <w:r w:rsidRPr="00FB09C1">
        <w:t>4.2</w:t>
      </w:r>
      <w:r w:rsidRPr="00FB09C1">
        <w:tab/>
        <w:t>Получив сообщение Комиссии от 29 ноября 2010 года, в котором автору было отказано в предоставлении бесплатной юридической помощи, Констит</w:t>
      </w:r>
      <w:r w:rsidRPr="00FB09C1">
        <w:t>у</w:t>
      </w:r>
      <w:r w:rsidRPr="00FB09C1">
        <w:t>ционный суд 3 декабря 2010 года издал распоряжение, где автору предоставл</w:t>
      </w:r>
      <w:r w:rsidRPr="00FB09C1">
        <w:t>я</w:t>
      </w:r>
      <w:r w:rsidRPr="00FB09C1">
        <w:t>лось 10 дней на то, чтобы в суд явился ее судебный представитель, и указыв</w:t>
      </w:r>
      <w:r w:rsidRPr="00FB09C1">
        <w:t>а</w:t>
      </w:r>
      <w:r w:rsidRPr="00FB09C1">
        <w:t>лось, что в противном случае судебное разбирательство будет закрыто, а мат</w:t>
      </w:r>
      <w:r w:rsidRPr="00FB09C1">
        <w:t>е</w:t>
      </w:r>
      <w:r w:rsidRPr="00FB09C1">
        <w:t>риалы дела будут сданы в архив. Однако 9 декабря 2010 года автор обжаловала это решение Комиссии. Учитывая этот факт, Конституционный суд издал 3 я</w:t>
      </w:r>
      <w:r w:rsidRPr="00FB09C1">
        <w:t>н</w:t>
      </w:r>
      <w:r w:rsidRPr="00FB09C1">
        <w:t>варя 2011 года очередное распоряжение, в котором постановил временно сдать материалы дела в архив до тех пор, пока не будет вынесено окончательное р</w:t>
      </w:r>
      <w:r w:rsidRPr="00FB09C1">
        <w:t>е</w:t>
      </w:r>
      <w:r w:rsidR="007B4187">
        <w:t>шение по апелляции.</w:t>
      </w:r>
    </w:p>
    <w:p w:rsidR="00FB09C1" w:rsidRPr="00FB09C1" w:rsidRDefault="00FB09C1" w:rsidP="00FB09C1">
      <w:pPr>
        <w:pStyle w:val="SingleTxt"/>
      </w:pPr>
      <w:r w:rsidRPr="00FB09C1">
        <w:t>4.3</w:t>
      </w:r>
      <w:r w:rsidRPr="00FB09C1">
        <w:tab/>
        <w:t>Ввиду вышеуказанного государство-участник заявляет, что на момент п</w:t>
      </w:r>
      <w:r w:rsidRPr="00FB09C1">
        <w:t>о</w:t>
      </w:r>
      <w:r w:rsidRPr="00FB09C1">
        <w:t>дачи сообщения автор не исчерпала средства внутренней правовой защиты, п</w:t>
      </w:r>
      <w:r w:rsidRPr="00FB09C1">
        <w:t>о</w:t>
      </w:r>
      <w:r w:rsidRPr="00FB09C1">
        <w:t>скольку в тот момент не могло существовать решения по существу дела, вын</w:t>
      </w:r>
      <w:r w:rsidRPr="00FB09C1">
        <w:t>е</w:t>
      </w:r>
      <w:r w:rsidRPr="00FB09C1">
        <w:t>сенного Конституционным судом.</w:t>
      </w:r>
    </w:p>
    <w:p w:rsidR="00FB09C1" w:rsidRPr="00FB09C1" w:rsidRDefault="00FB09C1" w:rsidP="00FB09C1">
      <w:pPr>
        <w:pStyle w:val="SingleTxt"/>
      </w:pPr>
      <w:r w:rsidRPr="00FB09C1">
        <w:t>4.4</w:t>
      </w:r>
      <w:r w:rsidRPr="00FB09C1">
        <w:tab/>
        <w:t>Жалоба автора не является достаточно обоснованной и аргументирова</w:t>
      </w:r>
      <w:r w:rsidRPr="00FB09C1">
        <w:t>н</w:t>
      </w:r>
      <w:r w:rsidRPr="00FB09C1">
        <w:t>ной, а доводы, приводимые автором в подтверждение нарушения ее прав, носят исключительно общий характер. Кроме того, автор злоупотребляет правом на представление сообщений, поскольку она не заявляет о конкретном наруш</w:t>
      </w:r>
      <w:r w:rsidRPr="00FB09C1">
        <w:t>е</w:t>
      </w:r>
      <w:r w:rsidRPr="00FB09C1">
        <w:t>нии, а абстрактно ставит под сомнение правовую систему в целом.</w:t>
      </w:r>
    </w:p>
    <w:p w:rsidR="00FB09C1" w:rsidRPr="00FB09C1" w:rsidRDefault="00FB09C1" w:rsidP="00FB09C1">
      <w:pPr>
        <w:pStyle w:val="SingleTxt"/>
      </w:pPr>
      <w:r w:rsidRPr="00FB09C1">
        <w:t>4.5</w:t>
      </w:r>
      <w:r w:rsidRPr="00FB09C1">
        <w:tab/>
        <w:t>Административное решение об отказе в выдаче временного разрешения на проживание и работу может на законном основании быть вынесено госуда</w:t>
      </w:r>
      <w:r w:rsidRPr="00FB09C1">
        <w:t>р</w:t>
      </w:r>
      <w:r w:rsidRPr="00FB09C1">
        <w:t>ством-участником в рамках его иммиграционной политики, включая требов</w:t>
      </w:r>
      <w:r w:rsidRPr="00FB09C1">
        <w:t>а</w:t>
      </w:r>
      <w:r w:rsidRPr="00FB09C1">
        <w:t>ния и обязательные условия в отношении въезда иностранцев в Испанию и их проживания на ее территории, и в рамках соблюдения международных догов</w:t>
      </w:r>
      <w:r w:rsidRPr="00FB09C1">
        <w:t>о</w:t>
      </w:r>
      <w:r w:rsidRPr="00FB09C1">
        <w:t>ров, стороной в которых выступает Испания. Конституция не признает за ин</w:t>
      </w:r>
      <w:r w:rsidRPr="00FB09C1">
        <w:t>о</w:t>
      </w:r>
      <w:r w:rsidRPr="00FB09C1">
        <w:t>странцами право въезжать на территорию государства-участника и проживать на его территории. Конституция также не признает основное право на восс</w:t>
      </w:r>
      <w:r w:rsidRPr="00FB09C1">
        <w:t>о</w:t>
      </w:r>
      <w:r w:rsidRPr="00FB09C1">
        <w:t>единение семьи; тем не менее законодатель урегулировал в качестве права иностранцев право на воссоединение семьи, если только соблюдены устано</w:t>
      </w:r>
      <w:r w:rsidRPr="00FB09C1">
        <w:t>в</w:t>
      </w:r>
      <w:r w:rsidRPr="00FB09C1">
        <w:t>ленные законом требования.</w:t>
      </w:r>
    </w:p>
    <w:p w:rsidR="00C2348F" w:rsidRPr="00C2348F" w:rsidRDefault="00C2348F" w:rsidP="00C2348F">
      <w:pPr>
        <w:pStyle w:val="SingleTxt"/>
        <w:spacing w:after="0" w:line="120" w:lineRule="exact"/>
        <w:rPr>
          <w:b/>
          <w:sz w:val="10"/>
        </w:rPr>
      </w:pPr>
    </w:p>
    <w:p w:rsidR="00FB09C1" w:rsidRPr="00FB09C1" w:rsidRDefault="00FB09C1" w:rsidP="00C23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09C1">
        <w:tab/>
      </w:r>
      <w:r w:rsidRPr="00FB09C1">
        <w:tab/>
        <w:t>Комментарии автора по замечаниям государства-участника о</w:t>
      </w:r>
      <w:r w:rsidRPr="00FB09C1">
        <w:t>т</w:t>
      </w:r>
      <w:r w:rsidRPr="00FB09C1">
        <w:t>носительно приемлемости сообщения</w:t>
      </w:r>
    </w:p>
    <w:p w:rsidR="00C2348F" w:rsidRPr="00C2348F" w:rsidRDefault="00C2348F" w:rsidP="00C2348F">
      <w:pPr>
        <w:pStyle w:val="SingleTxt"/>
        <w:spacing w:after="0" w:line="120" w:lineRule="exact"/>
        <w:rPr>
          <w:sz w:val="10"/>
        </w:rPr>
      </w:pPr>
    </w:p>
    <w:p w:rsidR="00FB09C1" w:rsidRPr="00FB09C1" w:rsidRDefault="00FB09C1" w:rsidP="00FB09C1">
      <w:pPr>
        <w:pStyle w:val="SingleTxt"/>
      </w:pPr>
      <w:r w:rsidRPr="00FB09C1">
        <w:t>5.1</w:t>
      </w:r>
      <w:r w:rsidRPr="00FB09C1">
        <w:tab/>
        <w:t>28 апреля 2011 года автор представила комментарии по замечаниям, и</w:t>
      </w:r>
      <w:r w:rsidRPr="00FB09C1">
        <w:t>з</w:t>
      </w:r>
      <w:r w:rsidRPr="00FB09C1">
        <w:t>ложе</w:t>
      </w:r>
      <w:r w:rsidR="007B4187">
        <w:t>нным государством-участником.</w:t>
      </w:r>
    </w:p>
    <w:p w:rsidR="00FB09C1" w:rsidRPr="00FB09C1" w:rsidRDefault="00FB09C1" w:rsidP="00FB09C1">
      <w:pPr>
        <w:pStyle w:val="SingleTxt"/>
      </w:pPr>
      <w:r w:rsidRPr="00FB09C1">
        <w:t>5.2</w:t>
      </w:r>
      <w:r w:rsidRPr="00FB09C1">
        <w:tab/>
        <w:t>Автор утверждает, что государство-участник не объяснило подробно, к</w:t>
      </w:r>
      <w:r w:rsidRPr="00FB09C1">
        <w:t>а</w:t>
      </w:r>
      <w:r w:rsidRPr="00FB09C1">
        <w:t>кими эффективными средствами правовой защиты может воспользоваться а</w:t>
      </w:r>
      <w:r w:rsidRPr="00FB09C1">
        <w:t>в</w:t>
      </w:r>
      <w:r w:rsidRPr="00FB09C1">
        <w:t>тор в данном конкретном случае.</w:t>
      </w:r>
    </w:p>
    <w:p w:rsidR="00FB09C1" w:rsidRPr="00FB09C1" w:rsidRDefault="00FB09C1" w:rsidP="00FB09C1">
      <w:pPr>
        <w:pStyle w:val="SingleTxt"/>
      </w:pPr>
      <w:r w:rsidRPr="00FB09C1">
        <w:t>5.3</w:t>
      </w:r>
      <w:r w:rsidRPr="00FB09C1">
        <w:tab/>
        <w:t>Автор утверждает, что Конституционный суд поступил опрометчиво, приняв 3 декабря 2010 года решение окончательно сдать в архив ходатайство о процедуре ампаро, поскольку опирался на постановление Комиссии, которое не было окончательным и было должным образом обжаловано автором. На практике указанное решение лишило ходатайство о процедуре ампаро смысла и</w:t>
      </w:r>
      <w:r w:rsidR="00C2348F">
        <w:t xml:space="preserve"> </w:t>
      </w:r>
      <w:r w:rsidRPr="00FB09C1">
        <w:t xml:space="preserve">действенности прежде всего по той причине, что Конституционный суд </w:t>
      </w:r>
      <w:r>
        <w:t>«</w:t>
      </w:r>
      <w:r w:rsidRPr="00FB09C1">
        <w:t>не принял никаких действий в отношении просьбы принять обеспечительные м</w:t>
      </w:r>
      <w:r w:rsidRPr="00FB09C1">
        <w:t>е</w:t>
      </w:r>
      <w:r w:rsidRPr="00FB09C1">
        <w:t>ры</w:t>
      </w:r>
      <w:r>
        <w:t>»</w:t>
      </w:r>
      <w:r w:rsidR="007B4187">
        <w:t>.</w:t>
      </w:r>
    </w:p>
    <w:p w:rsidR="00FB09C1" w:rsidRPr="00FB09C1" w:rsidRDefault="00C2348F" w:rsidP="00FB09C1">
      <w:pPr>
        <w:pStyle w:val="SingleTxt"/>
      </w:pPr>
      <w:r>
        <w:t>5.4</w:t>
      </w:r>
      <w:r>
        <w:tab/>
        <w:t>17 декабря 2010 </w:t>
      </w:r>
      <w:r w:rsidR="00FB09C1" w:rsidRPr="00FB09C1">
        <w:t>года отказ был опротестован в Конституционном суде. Несмотря на утверждения автора о том, что именно Конституционный суд о</w:t>
      </w:r>
      <w:r w:rsidR="00FB09C1" w:rsidRPr="00FB09C1">
        <w:t>б</w:t>
      </w:r>
      <w:r w:rsidR="00FB09C1" w:rsidRPr="00FB09C1">
        <w:t>ладает компетенцией для вынесения решения по указанному средству прав</w:t>
      </w:r>
      <w:r w:rsidR="00FB09C1" w:rsidRPr="00FB09C1">
        <w:t>о</w:t>
      </w:r>
      <w:r w:rsidR="00FB09C1" w:rsidRPr="00FB09C1">
        <w:t xml:space="preserve">вой защиты, последний ненадлежащим образом </w:t>
      </w:r>
      <w:r w:rsidR="007B4187">
        <w:t>уклонился от рассмотрения дела.</w:t>
      </w:r>
    </w:p>
    <w:p w:rsidR="00FB09C1" w:rsidRPr="00FB09C1" w:rsidRDefault="00C2348F" w:rsidP="00FB09C1">
      <w:pPr>
        <w:pStyle w:val="SingleTxt"/>
      </w:pPr>
      <w:r>
        <w:t>5.5</w:t>
      </w:r>
      <w:r>
        <w:tab/>
        <w:t>14 февраля 2011 </w:t>
      </w:r>
      <w:r w:rsidR="00FB09C1" w:rsidRPr="00FB09C1">
        <w:t>года суд постановил, что не обладает юрисдикцией для рассмотрения протеста, поданного автором, и указал, что данный протест сл</w:t>
      </w:r>
      <w:r w:rsidR="00FB09C1" w:rsidRPr="00FB09C1">
        <w:t>е</w:t>
      </w:r>
      <w:r w:rsidR="00FB09C1" w:rsidRPr="00FB09C1">
        <w:t>дует рассматривать в органах, обладающих юрисдикцией по администрати</w:t>
      </w:r>
      <w:r w:rsidR="00FB09C1" w:rsidRPr="00FB09C1">
        <w:t>в</w:t>
      </w:r>
      <w:r w:rsidR="007B4187">
        <w:t>ным делам.</w:t>
      </w:r>
    </w:p>
    <w:p w:rsidR="00FB09C1" w:rsidRPr="00FB09C1" w:rsidRDefault="00FB09C1" w:rsidP="00FB09C1">
      <w:pPr>
        <w:pStyle w:val="SingleTxt"/>
      </w:pPr>
      <w:r w:rsidRPr="00FB09C1">
        <w:t>5.6</w:t>
      </w:r>
      <w:r w:rsidRPr="00FB09C1">
        <w:tab/>
        <w:t>Дело было передано в суд по административным делам. Автор вновь за</w:t>
      </w:r>
      <w:r w:rsidRPr="00FB09C1">
        <w:t>я</w:t>
      </w:r>
      <w:r w:rsidRPr="00FB09C1">
        <w:t>вила, что новый суд также не обладает компетенцией для рассмотрения жал</w:t>
      </w:r>
      <w:r w:rsidRPr="00FB09C1">
        <w:t>о</w:t>
      </w:r>
      <w:r w:rsidRPr="00FB09C1">
        <w:t>бы, и во время представления своих комментариев утверждала, что с учетом сложившейся ситуации процесс неоправданно затягивается, по смыслу пункта 1 статьи 4 Факультати</w:t>
      </w:r>
      <w:r w:rsidR="007B4187">
        <w:t>вного протокола.</w:t>
      </w:r>
    </w:p>
    <w:p w:rsidR="00FB09C1" w:rsidRPr="00FB09C1" w:rsidRDefault="00FB09C1" w:rsidP="00FB09C1">
      <w:pPr>
        <w:pStyle w:val="SingleTxt"/>
      </w:pPr>
      <w:r w:rsidRPr="00FB09C1">
        <w:t>5.7</w:t>
      </w:r>
      <w:r w:rsidRPr="00FB09C1">
        <w:tab/>
        <w:t>Автор заявляет, что ходатайство о процедуре ампаро, поданное в Конст</w:t>
      </w:r>
      <w:r w:rsidRPr="00FB09C1">
        <w:t>и</w:t>
      </w:r>
      <w:r w:rsidRPr="00FB09C1">
        <w:t>туционный суд, не представляется эффективным и надлежащим средством правовой защиты. По данным проведенного в государстве-участнике исслед</w:t>
      </w:r>
      <w:r w:rsidRPr="00FB09C1">
        <w:t>о</w:t>
      </w:r>
      <w:r w:rsidRPr="00FB09C1">
        <w:t>вания, ежегодно судом не принимается к рассмотрению в среднем 96% ход</w:t>
      </w:r>
      <w:r w:rsidRPr="00FB09C1">
        <w:t>а</w:t>
      </w:r>
      <w:r w:rsidRPr="00FB09C1">
        <w:t>тайств о процедуре ампаро, и по значительному количеству принятых к ра</w:t>
      </w:r>
      <w:r w:rsidRPr="00FB09C1">
        <w:t>с</w:t>
      </w:r>
      <w:r w:rsidRPr="00FB09C1">
        <w:t>смотрению ходатайств о процеду</w:t>
      </w:r>
      <w:r w:rsidR="007B4187">
        <w:t>ре ампаро решение не выносится.</w:t>
      </w:r>
    </w:p>
    <w:p w:rsidR="00FB09C1" w:rsidRPr="00FB09C1" w:rsidRDefault="00FB09C1" w:rsidP="00FB09C1">
      <w:pPr>
        <w:pStyle w:val="SingleTxt"/>
      </w:pPr>
      <w:r w:rsidRPr="00FB09C1">
        <w:t>5.8</w:t>
      </w:r>
      <w:r w:rsidRPr="00FB09C1">
        <w:tab/>
        <w:t>Касательно существа сообщения автор вновь подтверждает все изложе</w:t>
      </w:r>
      <w:r w:rsidRPr="00FB09C1">
        <w:t>н</w:t>
      </w:r>
      <w:r w:rsidRPr="00FB09C1">
        <w:t>ные в ее первоначальном сообщении обоснования и напоминает, что с ними с</w:t>
      </w:r>
      <w:r w:rsidRPr="00FB09C1">
        <w:t>о</w:t>
      </w:r>
      <w:r w:rsidRPr="00FB09C1">
        <w:t>гласилась прокуратура Высшего суда Мадрида.</w:t>
      </w:r>
    </w:p>
    <w:p w:rsidR="00FB09C1" w:rsidRPr="00FB09C1" w:rsidRDefault="00FB09C1" w:rsidP="00FB09C1">
      <w:pPr>
        <w:pStyle w:val="SingleTxt"/>
      </w:pPr>
      <w:r w:rsidRPr="00FB09C1">
        <w:t>5.9</w:t>
      </w:r>
      <w:r w:rsidRPr="00FB09C1">
        <w:tab/>
        <w:t>Автор ссылается на общие ре</w:t>
      </w:r>
      <w:r w:rsidR="00C2348F">
        <w:t>комендации Комитета </w:t>
      </w:r>
      <w:r w:rsidRPr="00FB09C1">
        <w:t>9, 16, 17, 19, 21, 25 и 26 и добавляет, что государство-участник не приняло никаких мер с целью дать количественную оценку неоплачиваемому труду домашних работников и не обеспечило учет такого труда при расчете своего валового национального пр</w:t>
      </w:r>
      <w:r w:rsidRPr="00FB09C1">
        <w:t>о</w:t>
      </w:r>
      <w:r w:rsidRPr="00FB09C1">
        <w:t>дукта. Исходя из этого отказ автору в продлении срока действия разреш</w:t>
      </w:r>
      <w:r w:rsidRPr="00FB09C1">
        <w:t>е</w:t>
      </w:r>
      <w:r w:rsidRPr="00FB09C1">
        <w:t>ния на работу на том основании, что она в течение более шести месяцев раб</w:t>
      </w:r>
      <w:r w:rsidRPr="00FB09C1">
        <w:t>о</w:t>
      </w:r>
      <w:r w:rsidRPr="00FB09C1">
        <w:t>тала без оплаты в своей семье на дому, является нарушением, которое может быть вм</w:t>
      </w:r>
      <w:r w:rsidRPr="00FB09C1">
        <w:t>е</w:t>
      </w:r>
      <w:r w:rsidRPr="00FB09C1">
        <w:t>нено государству-участнику.</w:t>
      </w:r>
    </w:p>
    <w:p w:rsidR="00FB09C1" w:rsidRPr="00FB09C1" w:rsidRDefault="00FB09C1" w:rsidP="00FB09C1">
      <w:pPr>
        <w:pStyle w:val="SingleTxt"/>
      </w:pPr>
      <w:r w:rsidRPr="00FB09C1">
        <w:t>5.10</w:t>
      </w:r>
      <w:r w:rsidRPr="00FB09C1">
        <w:tab/>
        <w:t>Как утверждает автор, факты, представленные в ее сообщении, доказыв</w:t>
      </w:r>
      <w:r w:rsidRPr="00FB09C1">
        <w:t>а</w:t>
      </w:r>
      <w:r w:rsidRPr="00FB09C1">
        <w:t>ют, что государство-участник не принимает во внимание рекомендации Ком</w:t>
      </w:r>
      <w:r w:rsidRPr="00FB09C1">
        <w:t>и</w:t>
      </w:r>
      <w:r w:rsidRPr="00FB09C1">
        <w:t>тета. Автор ссылается на заключительное замечание Комитета от 22</w:t>
      </w:r>
      <w:r w:rsidR="00C2348F">
        <w:t> </w:t>
      </w:r>
      <w:r w:rsidRPr="00FB09C1">
        <w:t xml:space="preserve">июля 2009 года, в котором он настоятельно призвал </w:t>
      </w:r>
      <w:r>
        <w:t>«</w:t>
      </w:r>
      <w:r w:rsidRPr="00FB09C1">
        <w:t>государство-участник обесп</w:t>
      </w:r>
      <w:r w:rsidRPr="00FB09C1">
        <w:t>е</w:t>
      </w:r>
      <w:r w:rsidRPr="00FB09C1">
        <w:t>чить равные возможности для женщин и мужчин на рынке труда, в частности посредством принятия временных специальных мер и установления огран</w:t>
      </w:r>
      <w:r w:rsidRPr="00FB09C1">
        <w:t>и</w:t>
      </w:r>
      <w:r w:rsidRPr="00FB09C1">
        <w:t>ченных по срокам показателей, в соответствии с пунктом 1 статьи 4 Конвенции и своей общей рекомендацией 25</w:t>
      </w:r>
      <w:r>
        <w:t>»</w:t>
      </w:r>
      <w:r w:rsidR="00C2348F">
        <w:rPr>
          <w:rStyle w:val="FootnoteReference"/>
        </w:rPr>
        <w:footnoteReference w:id="3"/>
      </w:r>
      <w:r w:rsidR="007B4187">
        <w:t>.</w:t>
      </w:r>
    </w:p>
    <w:p w:rsidR="00C2348F" w:rsidRPr="00C2348F" w:rsidRDefault="00C2348F" w:rsidP="00C2348F">
      <w:pPr>
        <w:pStyle w:val="SingleTxt"/>
        <w:spacing w:after="0" w:line="120" w:lineRule="exact"/>
        <w:rPr>
          <w:b/>
          <w:sz w:val="10"/>
        </w:rPr>
      </w:pPr>
    </w:p>
    <w:p w:rsidR="00FB09C1" w:rsidRPr="00FB09C1" w:rsidRDefault="00FB09C1" w:rsidP="00C23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09C1">
        <w:tab/>
      </w:r>
      <w:r w:rsidRPr="00FB09C1">
        <w:tab/>
        <w:t>Замечания государства-участника по существу сообщения</w:t>
      </w:r>
    </w:p>
    <w:p w:rsidR="00C2348F" w:rsidRPr="00C2348F" w:rsidRDefault="00C2348F" w:rsidP="00C2348F">
      <w:pPr>
        <w:pStyle w:val="SingleTxt"/>
        <w:spacing w:after="0" w:line="120" w:lineRule="exact"/>
        <w:rPr>
          <w:sz w:val="10"/>
        </w:rPr>
      </w:pPr>
    </w:p>
    <w:p w:rsidR="00FB09C1" w:rsidRPr="00FB09C1" w:rsidRDefault="00FB09C1" w:rsidP="00FB09C1">
      <w:pPr>
        <w:pStyle w:val="SingleTxt"/>
      </w:pPr>
      <w:r w:rsidRPr="00FB09C1">
        <w:t>6.1</w:t>
      </w:r>
      <w:r w:rsidRPr="00FB09C1">
        <w:tab/>
        <w:t>В вербальных нотах от 13 июля 2011 года и 22 апреля 2013 года госуда</w:t>
      </w:r>
      <w:r w:rsidRPr="00FB09C1">
        <w:t>р</w:t>
      </w:r>
      <w:r w:rsidRPr="00FB09C1">
        <w:t>ство-участник представило свои замечания по существу и вновь изложило просьбу признать сообщение неприемлемым в силу того, что не были исчерп</w:t>
      </w:r>
      <w:r w:rsidRPr="00FB09C1">
        <w:t>а</w:t>
      </w:r>
      <w:r w:rsidRPr="00FB09C1">
        <w:t>ны все доступные внутренние средства правовой защиты, произошло злоупо</w:t>
      </w:r>
      <w:r w:rsidRPr="00FB09C1">
        <w:t>т</w:t>
      </w:r>
      <w:r w:rsidRPr="00FB09C1">
        <w:t>ребление соответствующим правом, а сообщение является беспочвенным, с</w:t>
      </w:r>
      <w:r w:rsidRPr="00FB09C1">
        <w:t>о</w:t>
      </w:r>
      <w:r w:rsidR="00C2348F">
        <w:t>гласно пунктам 1 и подпунктом (</w:t>
      </w:r>
      <w:r w:rsidRPr="00FB09C1">
        <w:t>с) пункта 2 статьи 4 Факультативного прот</w:t>
      </w:r>
      <w:r w:rsidRPr="00FB09C1">
        <w:t>о</w:t>
      </w:r>
      <w:r w:rsidRPr="00FB09C1">
        <w:t>кола соответственно, или, в ином случае, объявить, что какого-либо нарушения Конвенции не имеется.</w:t>
      </w:r>
    </w:p>
    <w:p w:rsidR="00FB09C1" w:rsidRPr="00FB09C1" w:rsidRDefault="00FB09C1" w:rsidP="00FB09C1">
      <w:pPr>
        <w:pStyle w:val="SingleTxt"/>
      </w:pPr>
      <w:r w:rsidRPr="00FB09C1">
        <w:t>6.2</w:t>
      </w:r>
      <w:r w:rsidRPr="00FB09C1">
        <w:tab/>
        <w:t>На момент представления сообщения Конституционный суд не вынес р</w:t>
      </w:r>
      <w:r w:rsidRPr="00FB09C1">
        <w:t>е</w:t>
      </w:r>
      <w:r w:rsidRPr="00FB09C1">
        <w:t>шения касательно апелляции автора по процедуре ампаро. Суд лишь временно сдал в архив материалы дела до тех пор, пока не будет вынесено решение по жалобе на постановление Комиссии.</w:t>
      </w:r>
    </w:p>
    <w:p w:rsidR="00FB09C1" w:rsidRPr="00FB09C1" w:rsidRDefault="00FB09C1" w:rsidP="00FB09C1">
      <w:pPr>
        <w:pStyle w:val="SingleTxt"/>
      </w:pPr>
      <w:r w:rsidRPr="00FB09C1">
        <w:t>6.3</w:t>
      </w:r>
      <w:r w:rsidRPr="00FB09C1">
        <w:tab/>
        <w:t>Хотя автор заявляет о нарушении многочисленных норм Конвенции, в ее сообщении основное внимание уделяется вопросу об отказе ей в предполага</w:t>
      </w:r>
      <w:r w:rsidRPr="00FB09C1">
        <w:t>е</w:t>
      </w:r>
      <w:r w:rsidRPr="00FB09C1">
        <w:t>мом праве на разрешение на работу и не приводится никаких объективных данных, которые позволяли бы говорить о каких-либо нарушениях статей Ко</w:t>
      </w:r>
      <w:r w:rsidRPr="00FB09C1">
        <w:t>н</w:t>
      </w:r>
      <w:r w:rsidRPr="00FB09C1">
        <w:t>венции. Государство-участник, действуя в рамках своей иммиграционной п</w:t>
      </w:r>
      <w:r w:rsidRPr="00FB09C1">
        <w:t>о</w:t>
      </w:r>
      <w:r w:rsidRPr="00FB09C1">
        <w:t>литики, вправе принимать административные решения об отказе в выдаче вида на жительство и разрешения на работу. В случае автора ни одно из решений властей не основывается на том, что она является женщиной, но все решения обусловлены тем, что нет подтверждения соответствию требованиям, устано</w:t>
      </w:r>
      <w:r w:rsidRPr="00FB09C1">
        <w:t>в</w:t>
      </w:r>
      <w:r w:rsidRPr="00FB09C1">
        <w:t>ленным законом.</w:t>
      </w:r>
    </w:p>
    <w:p w:rsidR="00FB09C1" w:rsidRPr="00FB09C1" w:rsidRDefault="00FB09C1" w:rsidP="00FB09C1">
      <w:pPr>
        <w:pStyle w:val="SingleTxt"/>
      </w:pPr>
      <w:r w:rsidRPr="00FB09C1">
        <w:t>6.4</w:t>
      </w:r>
      <w:r w:rsidRPr="00FB09C1">
        <w:tab/>
        <w:t>Государство-участник отвергает наличие дискриминации по признаку п</w:t>
      </w:r>
      <w:r w:rsidRPr="00FB09C1">
        <w:t>о</w:t>
      </w:r>
      <w:r w:rsidRPr="00FB09C1">
        <w:t>ла в действиях органов Министерства внутренних дел при выполнении их функций по приему, прохождению и обработке документации и при обращении с иностранными гражданами, находящимися в государстве-участнике. В этой связи оно представило копию официального документа Министерства вну</w:t>
      </w:r>
      <w:r w:rsidRPr="00FB09C1">
        <w:t>т</w:t>
      </w:r>
      <w:r w:rsidRPr="00FB09C1">
        <w:t>ренних дел от 7 марта 2011 года, где содержатся данные (в разбивке по призн</w:t>
      </w:r>
      <w:r w:rsidRPr="00FB09C1">
        <w:t>а</w:t>
      </w:r>
      <w:r w:rsidRPr="00FB09C1">
        <w:t>ку пола) о количестве отказов в предоставлении вида на жительство за период 2006−2010 годов. Цифры свидетельствуют</w:t>
      </w:r>
      <w:r w:rsidR="00C2348F">
        <w:t xml:space="preserve"> о том, что за период 2006−2010 </w:t>
      </w:r>
      <w:r w:rsidRPr="00FB09C1">
        <w:t>г</w:t>
      </w:r>
      <w:r w:rsidRPr="00FB09C1">
        <w:t>о</w:t>
      </w:r>
      <w:r w:rsidRPr="00FB09C1">
        <w:t>дов отказ в получении вида на жительство чаще получали мужчины, чем же</w:t>
      </w:r>
      <w:r w:rsidRPr="00FB09C1">
        <w:t>н</w:t>
      </w:r>
      <w:r w:rsidRPr="00FB09C1">
        <w:t>щины. Так, в 2009 и 2010 годах соответственно 44 6</w:t>
      </w:r>
      <w:r w:rsidR="00C2348F">
        <w:t>83 (из 108 568) и 36 159 (из 97 </w:t>
      </w:r>
      <w:r w:rsidRPr="00FB09C1">
        <w:t>033) случаев отказа касались заявлений, представленных женщинами, тогда как в 2006, 2007 и 2008 годах по заявлениям, представленным женщинами, б</w:t>
      </w:r>
      <w:r w:rsidRPr="00FB09C1">
        <w:t>ы</w:t>
      </w:r>
      <w:r w:rsidRPr="00FB09C1">
        <w:t>ло отказано соответственно в 52 260 (из 146 597), 68 490 (из 188 276) и 79 919 (из 201 779) случаях.</w:t>
      </w:r>
    </w:p>
    <w:p w:rsidR="00FB09C1" w:rsidRPr="00FB09C1" w:rsidRDefault="00FB09C1" w:rsidP="00FB09C1">
      <w:pPr>
        <w:pStyle w:val="SingleTxt"/>
      </w:pPr>
      <w:r w:rsidRPr="00FB09C1">
        <w:t>6.5</w:t>
      </w:r>
      <w:r w:rsidRPr="00FB09C1">
        <w:tab/>
        <w:t>Государство-участник опровергает заявления прокуратуры, сделанные в Суде по административным делам № 22 Мадрида, и утверждает, что решение об отказе в продлении срока действия временного разрешения на проживание и работу, вынесенное Представительством государственной администрации в Мадриде, соответствует нормам закона об иностранцах и положения о порядке его осуществления. Кроме того, исключения, установленные в статьях 38 и 40 закона, предусматривают фактическое наличи</w:t>
      </w:r>
      <w:r w:rsidR="00C2348F">
        <w:t>е трудового договора. В пун</w:t>
      </w:r>
      <w:r w:rsidR="00C2348F">
        <w:t>к</w:t>
      </w:r>
      <w:r w:rsidR="00C2348F">
        <w:t>тах </w:t>
      </w:r>
      <w:r w:rsidRPr="00FB09C1">
        <w:t>3 и 4 статьи 54 положения, что полностью соответствует закону об ин</w:t>
      </w:r>
      <w:r w:rsidRPr="00FB09C1">
        <w:t>о</w:t>
      </w:r>
      <w:r w:rsidRPr="00FB09C1">
        <w:t>странцах, подробно изложено, какие требования надлежит выполнить заявит</w:t>
      </w:r>
      <w:r w:rsidRPr="00FB09C1">
        <w:t>е</w:t>
      </w:r>
      <w:r w:rsidRPr="00FB09C1">
        <w:t>лю для продления срока действия его разрешения на проживание и работу в случае подписания им трудового договора с новым работодателем. В частн</w:t>
      </w:r>
      <w:r w:rsidRPr="00FB09C1">
        <w:t>о</w:t>
      </w:r>
      <w:r w:rsidRPr="00FB09C1">
        <w:t>сти, необходимо подтвердить ведение трудовой деятельности, в связи с кот</w:t>
      </w:r>
      <w:r w:rsidRPr="00FB09C1">
        <w:t>о</w:t>
      </w:r>
      <w:r w:rsidRPr="00FB09C1">
        <w:t>рой было выдано разрешение, в течение как минимум шести месяцев в год или, если это невозможно, подтвердить ведение такой деятельности в течение как минимум трех месяцев в год; подтвердить, что трудовые отношения, на осн</w:t>
      </w:r>
      <w:r w:rsidRPr="00FB09C1">
        <w:t>о</w:t>
      </w:r>
      <w:r w:rsidRPr="00FB09C1">
        <w:t>вании которых было выдано разрешение, прекратились в связи с обстоятельс</w:t>
      </w:r>
      <w:r w:rsidRPr="00FB09C1">
        <w:t>т</w:t>
      </w:r>
      <w:r w:rsidRPr="00FB09C1">
        <w:t>вами, не зависящими от воли заявителя; подтвердить, что заявитель активно пытался трудоустроиться; и подтвердить наличие действующего трудового д</w:t>
      </w:r>
      <w:r w:rsidRPr="00FB09C1">
        <w:t>о</w:t>
      </w:r>
      <w:r w:rsidRPr="00FB09C1">
        <w:t>говора на момент подачи заявления о продлении срока действия разрешения.</w:t>
      </w:r>
    </w:p>
    <w:p w:rsidR="00FB09C1" w:rsidRPr="00FB09C1" w:rsidRDefault="00FB09C1" w:rsidP="00FB09C1">
      <w:pPr>
        <w:pStyle w:val="SingleTxt"/>
      </w:pPr>
      <w:r w:rsidRPr="00FB09C1">
        <w:t>6.6</w:t>
      </w:r>
      <w:r w:rsidRPr="00FB09C1">
        <w:tab/>
        <w:t>Автор не стала использовать те альтернативные возможности, которые были указаны ей непосредственно в решении об отказе в продлении разреш</w:t>
      </w:r>
      <w:r w:rsidRPr="00FB09C1">
        <w:t>е</w:t>
      </w:r>
      <w:r w:rsidRPr="00FB09C1">
        <w:t xml:space="preserve">ния на работу и вида на жительство и впоследствии были отмечены в докладе ведомства народного защитника, а именно: подать заявление на выдачу нового вида на жительство </w:t>
      </w:r>
      <w:r>
        <w:t>«</w:t>
      </w:r>
      <w:r w:rsidRPr="00FB09C1">
        <w:t>без права на работу</w:t>
      </w:r>
      <w:r>
        <w:t>»</w:t>
      </w:r>
      <w:r w:rsidRPr="00FB09C1">
        <w:t xml:space="preserve"> или любого иного вида временного разрешения</w:t>
      </w:r>
      <w:r w:rsidR="00C2348F">
        <w:t xml:space="preserve"> — </w:t>
      </w:r>
      <w:r w:rsidRPr="00FB09C1">
        <w:t>в силу сложившихся отношений, по гуманитарным соображен</w:t>
      </w:r>
      <w:r w:rsidRPr="00FB09C1">
        <w:t>и</w:t>
      </w:r>
      <w:r w:rsidRPr="00FB09C1">
        <w:t>ям, ввиду сотрудничества с правосудием или в силу каких-либо других искл</w:t>
      </w:r>
      <w:r w:rsidRPr="00FB09C1">
        <w:t>ю</w:t>
      </w:r>
      <w:r w:rsidRPr="00FB09C1">
        <w:t>чительных обстоятельств, предусмотренных нормативными актами. Так, автор могла подать заявление с просьбой предоставить вид на жительство без права на работу, который ей был бы предоставлен, поскольку она проживает в гос</w:t>
      </w:r>
      <w:r w:rsidRPr="00FB09C1">
        <w:t>у</w:t>
      </w:r>
      <w:r w:rsidRPr="00FB09C1">
        <w:t>дарстве-участнике с 2000 года, находится замужем за иностранцем с постоя</w:t>
      </w:r>
      <w:r w:rsidRPr="00FB09C1">
        <w:t>н</w:t>
      </w:r>
      <w:r w:rsidRPr="00FB09C1">
        <w:t>ным видом на жительство в Испании и двое ее детей, один из которых я</w:t>
      </w:r>
      <w:r w:rsidRPr="00FB09C1">
        <w:t>в</w:t>
      </w:r>
      <w:r w:rsidRPr="00FB09C1">
        <w:t>ляется гражданином Испании, проживают в государстве-участнике. Такое ра</w:t>
      </w:r>
      <w:r w:rsidRPr="00FB09C1">
        <w:t>з</w:t>
      </w:r>
      <w:r w:rsidRPr="00FB09C1">
        <w:t>решение не дает права на работу, но отнюдь не препятствует тому, чтобы человек раб</w:t>
      </w:r>
      <w:r w:rsidRPr="00FB09C1">
        <w:t>о</w:t>
      </w:r>
      <w:r w:rsidR="00C2348F">
        <w:t>тал, поскольку подпункты (</w:t>
      </w:r>
      <w:r w:rsidRPr="00FB09C1">
        <w:t xml:space="preserve">c) и </w:t>
      </w:r>
      <w:r w:rsidR="00C2348F">
        <w:t>(</w:t>
      </w:r>
      <w:r w:rsidRPr="00FB09C1">
        <w:t>g) с</w:t>
      </w:r>
      <w:r w:rsidR="00C2348F">
        <w:t xml:space="preserve">татьи 40 Органического </w:t>
      </w:r>
      <w:r w:rsidR="00C2348F" w:rsidRPr="00C2348F">
        <w:t>закона</w:t>
      </w:r>
      <w:r w:rsidR="00C2348F">
        <w:t> </w:t>
      </w:r>
      <w:r w:rsidRPr="00C2348F">
        <w:t>4</w:t>
      </w:r>
      <w:r w:rsidRPr="00FB09C1">
        <w:t>/2000 пр</w:t>
      </w:r>
      <w:r w:rsidRPr="00FB09C1">
        <w:t>е</w:t>
      </w:r>
      <w:r w:rsidRPr="00FB09C1">
        <w:t>дусматривают исключения, если лицо, получившее контракт или предлож</w:t>
      </w:r>
      <w:r w:rsidRPr="00FB09C1">
        <w:t>е</w:t>
      </w:r>
      <w:r w:rsidRPr="00FB09C1">
        <w:t>ние о работе, является супругом/супругой иностранца-резидента с продленным в</w:t>
      </w:r>
      <w:r w:rsidRPr="00FB09C1">
        <w:t>и</w:t>
      </w:r>
      <w:r w:rsidRPr="00FB09C1">
        <w:t>дом на жительство, при условии что супруги законно прожив</w:t>
      </w:r>
      <w:r w:rsidRPr="00FB09C1">
        <w:t>а</w:t>
      </w:r>
      <w:r w:rsidRPr="00FB09C1">
        <w:t>ют в Испании не менее года, либо если лицо является иностранцем, имеющим на иждивении родственников по восходящей или нисходящей линии, являющихся граждан</w:t>
      </w:r>
      <w:r w:rsidRPr="00FB09C1">
        <w:t>а</w:t>
      </w:r>
      <w:r w:rsidRPr="00FB09C1">
        <w:t>ми Испании. Кроме того, автор также могла подать заявление на получение в</w:t>
      </w:r>
      <w:r w:rsidRPr="00FB09C1">
        <w:t>и</w:t>
      </w:r>
      <w:r w:rsidRPr="00FB09C1">
        <w:t>да на жительство в силу исключительных обстоятельств, в силу сложивши</w:t>
      </w:r>
      <w:r w:rsidR="00C2348F">
        <w:t>хся отношений, в силу подпункта (</w:t>
      </w:r>
      <w:r w:rsidRPr="00FB09C1">
        <w:t>b) пункта 2 статьи 45 положения о порядке ос</w:t>
      </w:r>
      <w:r w:rsidRPr="00FB09C1">
        <w:t>у</w:t>
      </w:r>
      <w:r w:rsidRPr="00FB09C1">
        <w:t>ществления закона об иностранцах согласно условиям, о к</w:t>
      </w:r>
      <w:r w:rsidRPr="00FB09C1">
        <w:t>о</w:t>
      </w:r>
      <w:r w:rsidRPr="00FB09C1">
        <w:t>торых ей сообщило</w:t>
      </w:r>
      <w:r w:rsidR="00C2348F">
        <w:t xml:space="preserve"> ведомство народного защитника.</w:t>
      </w:r>
      <w:r w:rsidRPr="00FB09C1">
        <w:t xml:space="preserve"> Последний вариант одновременно давал бы разрешение на </w:t>
      </w:r>
      <w:r w:rsidR="00C2348F">
        <w:t>работу в соответствии с пунктом </w:t>
      </w:r>
      <w:r w:rsidRPr="00FB09C1">
        <w:t>7 статьи 47 положения. Для подачи такого заявления необходимо представить справку о наличии или о</w:t>
      </w:r>
      <w:r w:rsidRPr="00FB09C1">
        <w:t>т</w:t>
      </w:r>
      <w:r w:rsidRPr="00FB09C1">
        <w:t>сутствии судимостей. Однако автор не была обязана выехать из Испании, чт</w:t>
      </w:r>
      <w:r w:rsidRPr="00FB09C1">
        <w:t>о</w:t>
      </w:r>
      <w:r w:rsidRPr="00FB09C1">
        <w:t>бы получить такую справку. Более того, поскольку указанная справка была представлена автором в 2005 году и именно с тех пор автор проживает в Исп</w:t>
      </w:r>
      <w:r w:rsidRPr="00FB09C1">
        <w:t>а</w:t>
      </w:r>
      <w:r w:rsidRPr="00FB09C1">
        <w:t>нии, власти страны могли бы засвидетельствовать отсутствие судимостей с вышеуказанного момента до момента подачи заявления. Таким образом, гос</w:t>
      </w:r>
      <w:r w:rsidRPr="00FB09C1">
        <w:t>у</w:t>
      </w:r>
      <w:r w:rsidRPr="00FB09C1">
        <w:t>дарство-участник утверждает, что автор отвечала требованиям для получения любого из вышеперечисленных разрешений с возможностью права на зако</w:t>
      </w:r>
      <w:r w:rsidRPr="00FB09C1">
        <w:t>н</w:t>
      </w:r>
      <w:r w:rsidRPr="00FB09C1">
        <w:t>ную работу.</w:t>
      </w:r>
    </w:p>
    <w:p w:rsidR="00FB09C1" w:rsidRPr="00FB09C1" w:rsidRDefault="00FB09C1" w:rsidP="00FB09C1">
      <w:pPr>
        <w:pStyle w:val="SingleTxt"/>
      </w:pPr>
      <w:r w:rsidRPr="00FB09C1">
        <w:t>6.7</w:t>
      </w:r>
      <w:r w:rsidRPr="00FB09C1">
        <w:tab/>
        <w:t>Что же касается ходатайства о воссоединении семьи, поданного супругом автора 21 сентября 2010 года, то государство-участник отмечает, что не прил</w:t>
      </w:r>
      <w:r w:rsidRPr="00FB09C1">
        <w:t>а</w:t>
      </w:r>
      <w:r w:rsidRPr="00FB09C1">
        <w:t>гается каких-либо документов, должным образом подтверждающих факт под</w:t>
      </w:r>
      <w:r w:rsidRPr="00FB09C1">
        <w:t>а</w:t>
      </w:r>
      <w:r w:rsidRPr="00FB09C1">
        <w:t>чи указанного ходатайства. В любом случае отказ в ходатайстве о воссоедин</w:t>
      </w:r>
      <w:r w:rsidRPr="00FB09C1">
        <w:t>е</w:t>
      </w:r>
      <w:r w:rsidRPr="00FB09C1">
        <w:t xml:space="preserve">нии семьи основывается на том факте, что </w:t>
      </w:r>
      <w:r>
        <w:t>«</w:t>
      </w:r>
      <w:r w:rsidRPr="00FB09C1">
        <w:t>лицо, о воссоединении с которым идет речь</w:t>
      </w:r>
      <w:r>
        <w:t>»</w:t>
      </w:r>
      <w:r w:rsidRPr="00FB09C1">
        <w:t>, т.е. автор, не проживает за пределами Испании, и такое непринятие нельзя считать дискриминацией по признаку пола, тем более что ходатайство было подано ее супругом.</w:t>
      </w:r>
    </w:p>
    <w:p w:rsidR="00FB09C1" w:rsidRPr="00FB09C1" w:rsidRDefault="00FB09C1" w:rsidP="00FB09C1">
      <w:pPr>
        <w:pStyle w:val="SingleTxt"/>
      </w:pPr>
      <w:r w:rsidRPr="00FB09C1">
        <w:t>6.8</w:t>
      </w:r>
      <w:r w:rsidRPr="00FB09C1">
        <w:tab/>
        <w:t>Столь же неприемлемы утверждения о дискриминации автора в связи с отказом ей в праве на защиту, поскольку она не располагает средствами для оплаты юридических услуг, как того требует Конституционный суд. Право на бесплатную юридическую помощь тем, кто подтвердит недостаточность д</w:t>
      </w:r>
      <w:r w:rsidRPr="00FB09C1">
        <w:t>е</w:t>
      </w:r>
      <w:r w:rsidRPr="00FB09C1">
        <w:t>нежных средств для участия в судебном разбирательстве, распространяется на равных условиях на всех граждан Испании и всех иностранцев, находящихся на территории Испании, вне зависимости от того, пребывают они там законно или нет. Вместе с тем имеются подтверждения того, что доходы автора вдвое превышали межотраслевой минимальный размер оплаты труда, установленный на момент подачи заявления, поэтому в соответствии с законом у автора не б</w:t>
      </w:r>
      <w:r w:rsidRPr="00FB09C1">
        <w:t>ы</w:t>
      </w:r>
      <w:r w:rsidRPr="00FB09C1">
        <w:t>ло права на бесплатную юридическую помощь.</w:t>
      </w:r>
    </w:p>
    <w:p w:rsidR="00C2348F" w:rsidRPr="00C2348F" w:rsidRDefault="00C2348F" w:rsidP="00C2348F">
      <w:pPr>
        <w:pStyle w:val="SingleTxt"/>
        <w:spacing w:after="0" w:line="120" w:lineRule="exact"/>
        <w:rPr>
          <w:b/>
          <w:sz w:val="10"/>
        </w:rPr>
      </w:pPr>
    </w:p>
    <w:p w:rsidR="00FB09C1" w:rsidRPr="00FB09C1" w:rsidRDefault="00FB09C1" w:rsidP="00C23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09C1">
        <w:tab/>
      </w:r>
      <w:r w:rsidRPr="00FB09C1">
        <w:tab/>
        <w:t>Комментарии автора по замечаниям государства-участника по существу</w:t>
      </w:r>
    </w:p>
    <w:p w:rsidR="00C2348F" w:rsidRPr="00C2348F" w:rsidRDefault="00C2348F" w:rsidP="00C2348F">
      <w:pPr>
        <w:pStyle w:val="SingleTxt"/>
        <w:spacing w:after="0" w:line="120" w:lineRule="exact"/>
        <w:rPr>
          <w:sz w:val="10"/>
        </w:rPr>
      </w:pPr>
    </w:p>
    <w:p w:rsidR="00FB09C1" w:rsidRPr="00FB09C1" w:rsidRDefault="00FB09C1" w:rsidP="00FB09C1">
      <w:pPr>
        <w:pStyle w:val="SingleTxt"/>
      </w:pPr>
      <w:r w:rsidRPr="00FB09C1">
        <w:t>7.1</w:t>
      </w:r>
      <w:r w:rsidRPr="00FB09C1">
        <w:tab/>
        <w:t>15 сентября 2011 года автор представила комментарии по замечаниям, и</w:t>
      </w:r>
      <w:r w:rsidRPr="00FB09C1">
        <w:t>з</w:t>
      </w:r>
      <w:r w:rsidRPr="00FB09C1">
        <w:t>ложенным государством-участником по существу сообщения.</w:t>
      </w:r>
    </w:p>
    <w:p w:rsidR="00FB09C1" w:rsidRPr="00FB09C1" w:rsidRDefault="00FB09C1" w:rsidP="00FB09C1">
      <w:pPr>
        <w:pStyle w:val="SingleTxt"/>
      </w:pPr>
      <w:r w:rsidRPr="00FB09C1">
        <w:t>7.2</w:t>
      </w:r>
      <w:r w:rsidRPr="00FB09C1">
        <w:tab/>
        <w:t>Как отмечал сам Высший суд Мадрида, автор представила доказательства того, что находится замужем за иностранцем, имеющим вид на жительство и постоянное разрешение на работу в Испании, что у нее есть ребенок, явля</w:t>
      </w:r>
      <w:r w:rsidRPr="00FB09C1">
        <w:t>ю</w:t>
      </w:r>
      <w:r w:rsidRPr="00FB09C1">
        <w:t>щийся гражданином Испании, что они проживают совместно и что у нее есть трудовой договор от 15 августа 2008 года на неполный рабочий день. Тем не менее, несмотря на вышесказанное и несмотря на то, что брак был зарегистр</w:t>
      </w:r>
      <w:r w:rsidRPr="00FB09C1">
        <w:t>и</w:t>
      </w:r>
      <w:r w:rsidRPr="00FB09C1">
        <w:t>рован официальными органами государства-участника, семейное положение автора ставится под сомнение, поскольку, как заявил Суд, если бы супруг авт</w:t>
      </w:r>
      <w:r w:rsidRPr="00FB09C1">
        <w:t>о</w:t>
      </w:r>
      <w:r w:rsidRPr="00FB09C1">
        <w:t>ра должным образом доказал соответствие всем требованиям, установленным законом, то автор смогла бы воспользоваться правом на воссоединение семьи. Следовательно, право</w:t>
      </w:r>
      <w:r w:rsidR="00C2348F">
        <w:t xml:space="preserve"> автора, признанное в подпункте (а) пункта 1 статьи </w:t>
      </w:r>
      <w:r w:rsidRPr="00FB09C1">
        <w:t>11 Конвенции, не гарантируется должным образом государством-участником.</w:t>
      </w:r>
    </w:p>
    <w:p w:rsidR="00FB09C1" w:rsidRPr="00FB09C1" w:rsidRDefault="00FB09C1" w:rsidP="00FB09C1">
      <w:pPr>
        <w:pStyle w:val="SingleTxt"/>
      </w:pPr>
      <w:r w:rsidRPr="00FB09C1">
        <w:t>7.3</w:t>
      </w:r>
      <w:r w:rsidRPr="00FB09C1">
        <w:tab/>
        <w:t>Что касается права на бесплатную юридическую помощь, то личные д</w:t>
      </w:r>
      <w:r w:rsidRPr="00FB09C1">
        <w:t>о</w:t>
      </w:r>
      <w:r w:rsidR="00C2348F">
        <w:t>ходы автора за 2010 </w:t>
      </w:r>
      <w:r w:rsidRPr="00FB09C1">
        <w:t>год не превышали минимальный размер оплаты труда, и если только взять общий семейный доход за год, тогда сумма превышает г</w:t>
      </w:r>
      <w:r w:rsidRPr="00FB09C1">
        <w:t>о</w:t>
      </w:r>
      <w:r w:rsidRPr="00FB09C1">
        <w:t>довой межотраслевой минимальный размер оплаты труда в два раза. В то же время Комиссия и само государство-участник ссылаются в Комитете на доходы автора, не уточняя, что в действительности речь идет о доходах семьи. Нак</w:t>
      </w:r>
      <w:r w:rsidRPr="00FB09C1">
        <w:t>о</w:t>
      </w:r>
      <w:r w:rsidRPr="00FB09C1">
        <w:t>нец, автор ссылается н</w:t>
      </w:r>
      <w:r w:rsidR="00C2348F">
        <w:t>а статью </w:t>
      </w:r>
      <w:r w:rsidRPr="00FB09C1">
        <w:t>5 закона о юридической помощи, где пред</w:t>
      </w:r>
      <w:r w:rsidRPr="00FB09C1">
        <w:t>у</w:t>
      </w:r>
      <w:r w:rsidRPr="00FB09C1">
        <w:t>сматриваются следующие исключения: принимаются во внимание семейные обстоятельства заявителя, число детей и членов семьи, находящихся на его и</w:t>
      </w:r>
      <w:r w:rsidRPr="00FB09C1">
        <w:t>ж</w:t>
      </w:r>
      <w:r w:rsidRPr="00FB09C1">
        <w:t>дивении, состояние здоровья, лежащие на заявителе финансовые обязательс</w:t>
      </w:r>
      <w:r w:rsidRPr="00FB09C1">
        <w:t>т</w:t>
      </w:r>
      <w:r w:rsidRPr="00FB09C1">
        <w:t>ва, расходы, понесенные с момента начала процесса, и другие обстоятельства аналогичного характера с учетом их объективной оценки.</w:t>
      </w:r>
    </w:p>
    <w:p w:rsidR="00FB09C1" w:rsidRPr="00FB09C1" w:rsidRDefault="00FB09C1" w:rsidP="00FB09C1">
      <w:pPr>
        <w:pStyle w:val="SingleTxt"/>
      </w:pPr>
      <w:r w:rsidRPr="00FB09C1">
        <w:t>7.4</w:t>
      </w:r>
      <w:r w:rsidRPr="00FB09C1">
        <w:tab/>
        <w:t>Автор отмечает, что все возможные варианты, предложенные ей госуда</w:t>
      </w:r>
      <w:r w:rsidRPr="00FB09C1">
        <w:t>р</w:t>
      </w:r>
      <w:r w:rsidRPr="00FB09C1">
        <w:t>ством-участником, включая наличие сложившихся отношений, предполагают представление справки о наличии или отсутствии судимости в стране прои</w:t>
      </w:r>
      <w:r w:rsidRPr="00FB09C1">
        <w:t>с</w:t>
      </w:r>
      <w:r w:rsidRPr="00FB09C1">
        <w:t>хождения. В данном случае автор должна запросить такую справку лично, а для этого ей придется покинуть территорию государства-участника.</w:t>
      </w:r>
    </w:p>
    <w:p w:rsidR="00FB09C1" w:rsidRPr="00FB09C1" w:rsidRDefault="00FB09C1" w:rsidP="00FB09C1">
      <w:pPr>
        <w:pStyle w:val="SingleTxt"/>
      </w:pPr>
      <w:r w:rsidRPr="00FB09C1">
        <w:t>7.5</w:t>
      </w:r>
      <w:r w:rsidRPr="00FB09C1">
        <w:tab/>
        <w:t>Что касается исчерпания всех внутренних средств правовой защиты, то автор отмечает, что государство-участник не представило обоснованных пр</w:t>
      </w:r>
      <w:r w:rsidRPr="00FB09C1">
        <w:t>и</w:t>
      </w:r>
      <w:r w:rsidRPr="00FB09C1">
        <w:t>чин, которые оправдывали бы отсрочку процедуры ампаро из-за затягивания процесса рассмотрения судами ее апелляции касательно постановления Коми</w:t>
      </w:r>
      <w:r w:rsidRPr="00FB09C1">
        <w:t>с</w:t>
      </w:r>
      <w:r w:rsidRPr="00FB09C1">
        <w:t>сии об отказе в бесплатной юридической помощи.</w:t>
      </w:r>
    </w:p>
    <w:p w:rsidR="00FB09C1" w:rsidRPr="00FB09C1" w:rsidRDefault="00FB09C1" w:rsidP="00FB09C1">
      <w:pPr>
        <w:pStyle w:val="SingleTxt"/>
      </w:pPr>
      <w:r w:rsidRPr="00FB09C1">
        <w:t>7.6</w:t>
      </w:r>
      <w:r w:rsidRPr="00FB09C1">
        <w:tab/>
        <w:t>10 июля 2009 года королевским указом 1162/2009 государство-участник внесло изменения в дискриминирующие положения законов, которые примен</w:t>
      </w:r>
      <w:r w:rsidRPr="00FB09C1">
        <w:t>я</w:t>
      </w:r>
      <w:r w:rsidRPr="00FB09C1">
        <w:t xml:space="preserve">лись в отношении автора с 2005 года. Новое законодательство позволяет </w:t>
      </w:r>
      <w:r>
        <w:t>«</w:t>
      </w:r>
      <w:r w:rsidRPr="00FB09C1">
        <w:t>пр</w:t>
      </w:r>
      <w:r w:rsidRPr="00FB09C1">
        <w:t>о</w:t>
      </w:r>
      <w:r w:rsidRPr="00FB09C1">
        <w:t>длевать разрешение на проживание женщинам, состоящим в браке с иностра</w:t>
      </w:r>
      <w:r w:rsidRPr="00FB09C1">
        <w:t>н</w:t>
      </w:r>
      <w:r w:rsidRPr="00FB09C1">
        <w:t>цами, которым было продлено разрешение на проживание</w:t>
      </w:r>
      <w:r>
        <w:t>»</w:t>
      </w:r>
      <w:r w:rsidRPr="00FB09C1">
        <w:t>, при этом требов</w:t>
      </w:r>
      <w:r w:rsidRPr="00FB09C1">
        <w:t>а</w:t>
      </w:r>
      <w:r w:rsidRPr="00FB09C1">
        <w:t>ние минимального срока трудовой деятельности в течение года не устанавл</w:t>
      </w:r>
      <w:r w:rsidRPr="00FB09C1">
        <w:t>и</w:t>
      </w:r>
      <w:r w:rsidRPr="00FB09C1">
        <w:t>вается. Автор заявляет, что после этого доля отказов в возобновлении разреш</w:t>
      </w:r>
      <w:r w:rsidRPr="00FB09C1">
        <w:t>е</w:t>
      </w:r>
      <w:r w:rsidRPr="00FB09C1">
        <w:t>ний на работу существенно снизилась.</w:t>
      </w:r>
    </w:p>
    <w:p w:rsidR="00C2348F" w:rsidRPr="00C2348F" w:rsidRDefault="00C2348F" w:rsidP="00C2348F">
      <w:pPr>
        <w:pStyle w:val="SingleTxt"/>
        <w:spacing w:after="0" w:line="120" w:lineRule="exact"/>
        <w:rPr>
          <w:b/>
          <w:sz w:val="10"/>
        </w:rPr>
      </w:pPr>
    </w:p>
    <w:p w:rsidR="00FB09C1" w:rsidRPr="00FB09C1" w:rsidRDefault="00FB09C1" w:rsidP="00C23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09C1">
        <w:tab/>
      </w:r>
      <w:r w:rsidRPr="00FB09C1">
        <w:tab/>
        <w:t>Дополнительная информация, представленная автором</w:t>
      </w:r>
    </w:p>
    <w:p w:rsidR="00C2348F" w:rsidRPr="00C2348F" w:rsidRDefault="00C2348F" w:rsidP="00C2348F">
      <w:pPr>
        <w:pStyle w:val="SingleTxt"/>
        <w:spacing w:after="0" w:line="120" w:lineRule="exact"/>
        <w:rPr>
          <w:sz w:val="10"/>
        </w:rPr>
      </w:pPr>
    </w:p>
    <w:p w:rsidR="00FB09C1" w:rsidRPr="00FB09C1" w:rsidRDefault="00FB09C1" w:rsidP="00FB09C1">
      <w:pPr>
        <w:pStyle w:val="SingleTxt"/>
      </w:pPr>
      <w:r w:rsidRPr="00FB09C1">
        <w:t>8.1</w:t>
      </w:r>
      <w:r w:rsidRPr="00FB09C1">
        <w:tab/>
        <w:t>Согласно сообщению автора от 22 августа 2011 года, Суд по администр</w:t>
      </w:r>
      <w:r w:rsidRPr="00FB09C1">
        <w:t>а</w:t>
      </w:r>
      <w:r w:rsidRPr="00FB09C1">
        <w:t>тивным делам № 22 Мадрида объявил, что он не обладает полномочиями ра</w:t>
      </w:r>
      <w:r w:rsidRPr="00FB09C1">
        <w:t>с</w:t>
      </w:r>
      <w:r w:rsidRPr="00FB09C1">
        <w:t>сматривать постановление Центральной комиссии по бесплатной юридической помощи, и указал, что рассмотрение такого опротестования находится в комп</w:t>
      </w:r>
      <w:r w:rsidRPr="00FB09C1">
        <w:t>е</w:t>
      </w:r>
      <w:r w:rsidRPr="00FB09C1">
        <w:t xml:space="preserve">тенции Конституционного суда. </w:t>
      </w:r>
    </w:p>
    <w:p w:rsidR="00FB09C1" w:rsidRPr="00FB09C1" w:rsidRDefault="00FB09C1" w:rsidP="00FB09C1">
      <w:pPr>
        <w:pStyle w:val="SingleTxt"/>
      </w:pPr>
      <w:r w:rsidRPr="00FB09C1">
        <w:t>8.2</w:t>
      </w:r>
      <w:r w:rsidRPr="00FB09C1">
        <w:tab/>
        <w:t>16 февраля 2012 года автор сообщила Комитету, что 13 февраля 2012 года она обратилась в Конституционный суд с ходатайством о том, чтобы тот, среди прочего, признал свою правомочность рассматривать опротестование и расп</w:t>
      </w:r>
      <w:r w:rsidRPr="00FB09C1">
        <w:t>о</w:t>
      </w:r>
      <w:r w:rsidRPr="00FB09C1">
        <w:t>рядился о принятии обеспечительных мер во избежание негативных последс</w:t>
      </w:r>
      <w:r w:rsidRPr="00FB09C1">
        <w:t>т</w:t>
      </w:r>
      <w:r w:rsidRPr="00FB09C1">
        <w:t>вий, которые могут привести к утрате эффективности процедуры, а также чт</w:t>
      </w:r>
      <w:r w:rsidRPr="00FB09C1">
        <w:t>о</w:t>
      </w:r>
      <w:r w:rsidRPr="00FB09C1">
        <w:t>бы Суд разрешил ей регистрироваться в органах государственной службы зан</w:t>
      </w:r>
      <w:r w:rsidRPr="00FB09C1">
        <w:t>я</w:t>
      </w:r>
      <w:r w:rsidRPr="00FB09C1">
        <w:t>тости населения и агентствах по трудоустройству в качестве иностранного р</w:t>
      </w:r>
      <w:r w:rsidRPr="00FB09C1">
        <w:t>а</w:t>
      </w:r>
      <w:r w:rsidRPr="00FB09C1">
        <w:t>ботника, не являющегося гражданином Европейского союза.</w:t>
      </w:r>
    </w:p>
    <w:p w:rsidR="00FB09C1" w:rsidRPr="00FB09C1" w:rsidRDefault="00FB09C1" w:rsidP="00FB09C1">
      <w:pPr>
        <w:pStyle w:val="SingleTxt"/>
      </w:pPr>
      <w:r w:rsidRPr="00FB09C1">
        <w:t>8.3</w:t>
      </w:r>
      <w:r w:rsidRPr="00FB09C1">
        <w:tab/>
        <w:t>16 августа 2012 года автор сообщила Комитету, что 26 марта 2012 года Конституционный суд вновь определил, что он не обладает юрисдикцией ра</w:t>
      </w:r>
      <w:r w:rsidRPr="00FB09C1">
        <w:t>с</w:t>
      </w:r>
      <w:r w:rsidRPr="00FB09C1">
        <w:t>сматривать жалобу на решение Центральной комиссии в со</w:t>
      </w:r>
      <w:r w:rsidR="00C2348F">
        <w:t>ответствии со статьей 20 закона </w:t>
      </w:r>
      <w:r w:rsidRPr="00FB09C1">
        <w:t>1/1996 о бесплатной юридической помощи и со своей собс</w:t>
      </w:r>
      <w:r w:rsidRPr="00FB09C1">
        <w:t>т</w:t>
      </w:r>
      <w:r w:rsidRPr="00FB09C1">
        <w:t>венной судебной практике рассмотрения ходатайств о предоставлении бе</w:t>
      </w:r>
      <w:r w:rsidRPr="00FB09C1">
        <w:t>с</w:t>
      </w:r>
      <w:r w:rsidRPr="00FB09C1">
        <w:t>платной юридической помощи уже после начала судебного разбирательства. Если бы производство по делу, в отношении которого было заявлено ходата</w:t>
      </w:r>
      <w:r w:rsidRPr="00FB09C1">
        <w:t>й</w:t>
      </w:r>
      <w:r w:rsidRPr="00FB09C1">
        <w:t>ство, не было начато, ее рассмотрение относилось бы к компетенции суда пе</w:t>
      </w:r>
      <w:r w:rsidRPr="00FB09C1">
        <w:t>р</w:t>
      </w:r>
      <w:r w:rsidRPr="00FB09C1">
        <w:t>вой инстанции. Таким образом, Конституционный суд вернул материалы дела в Суд по админ</w:t>
      </w:r>
      <w:r w:rsidR="007B4187">
        <w:t>истративным делам № 22 Мадрида.</w:t>
      </w:r>
    </w:p>
    <w:p w:rsidR="00FB09C1" w:rsidRPr="00FB09C1" w:rsidRDefault="00FB09C1" w:rsidP="00FB09C1">
      <w:pPr>
        <w:pStyle w:val="SingleTxt"/>
      </w:pPr>
      <w:r w:rsidRPr="00FB09C1">
        <w:t xml:space="preserve">8.4 </w:t>
      </w:r>
      <w:r w:rsidRPr="00FB09C1">
        <w:tab/>
        <w:t>1 октября 2012 года автор сообщила Комитету, что 26 июля 2012 года Суд по административным делам № 22 Мадрида подтвердил решение Центральной комиссии, поскольку, согласно ее декларации о доходах за 2009 год, совоку</w:t>
      </w:r>
      <w:r w:rsidRPr="00FB09C1">
        <w:t>п</w:t>
      </w:r>
      <w:r w:rsidRPr="00FB09C1">
        <w:t>ный доход ее семьи составлял более 35</w:t>
      </w:r>
      <w:r w:rsidR="00C2348F">
        <w:rPr>
          <w:lang w:val="en-US"/>
        </w:rPr>
        <w:t> </w:t>
      </w:r>
      <w:r w:rsidRPr="00FB09C1">
        <w:t>000 евро и, следовательно, превышал максимальный уровень дохода, у</w:t>
      </w:r>
      <w:r w:rsidR="00C2348F">
        <w:t>становленный в статье</w:t>
      </w:r>
      <w:r w:rsidR="00C2348F">
        <w:rPr>
          <w:lang w:val="en-US"/>
        </w:rPr>
        <w:t> </w:t>
      </w:r>
      <w:r w:rsidR="00C2348F">
        <w:t>3 закона</w:t>
      </w:r>
      <w:r w:rsidR="00C2348F">
        <w:rPr>
          <w:lang w:val="en-US"/>
        </w:rPr>
        <w:t> </w:t>
      </w:r>
      <w:r w:rsidRPr="00FB09C1">
        <w:t>1/1996 о</w:t>
      </w:r>
      <w:r w:rsidR="00C2348F" w:rsidRPr="00C2348F">
        <w:t xml:space="preserve"> </w:t>
      </w:r>
      <w:r w:rsidRPr="00FB09C1">
        <w:t>бе</w:t>
      </w:r>
      <w:r w:rsidRPr="00FB09C1">
        <w:t>с</w:t>
      </w:r>
      <w:r w:rsidRPr="00FB09C1">
        <w:t>платной юридической помощи. Для того чтобы иметь такое право, автор дол</w:t>
      </w:r>
      <w:r w:rsidRPr="00FB09C1">
        <w:t>ж</w:t>
      </w:r>
      <w:r w:rsidRPr="00FB09C1">
        <w:t>на была подтвердить свою нуждаемость конкретными аргументами, а не только утверждениями о наличии долгов. Решение не подлежит обжалованию.</w:t>
      </w:r>
    </w:p>
    <w:p w:rsidR="00FB09C1" w:rsidRPr="00FB09C1" w:rsidRDefault="00FB09C1" w:rsidP="00FB09C1">
      <w:pPr>
        <w:pStyle w:val="SingleTxt"/>
      </w:pPr>
      <w:r w:rsidRPr="00FB09C1">
        <w:t>8.5</w:t>
      </w:r>
      <w:r w:rsidRPr="00FB09C1">
        <w:tab/>
        <w:t>Автор информировала Конституционный суд о решении Суда по админ</w:t>
      </w:r>
      <w:r w:rsidRPr="00FB09C1">
        <w:t>и</w:t>
      </w:r>
      <w:r w:rsidRPr="00FB09C1">
        <w:t>стративным делам № 22 Мадрида и просила включить данное решение в ход</w:t>
      </w:r>
      <w:r w:rsidRPr="00FB09C1">
        <w:t>а</w:t>
      </w:r>
      <w:r w:rsidRPr="00FB09C1">
        <w:t>тайство о процедуре ампаро для целей объявления недействительным решения Суда и признания исключительного права автора на испрашиваемую юридич</w:t>
      </w:r>
      <w:r w:rsidRPr="00FB09C1">
        <w:t>е</w:t>
      </w:r>
      <w:r w:rsidRPr="00FB09C1">
        <w:t>скую помощь. Хотя ее доходы и превышали максимальный уровень, устано</w:t>
      </w:r>
      <w:r w:rsidRPr="00FB09C1">
        <w:t>в</w:t>
      </w:r>
      <w:r w:rsidRPr="00FB09C1">
        <w:t>ленный законом для получения бесплатной юридической помощи, в 2010 и 2011 годах она испытывала финансовые трудности. Кроме того, администр</w:t>
      </w:r>
      <w:r w:rsidRPr="00FB09C1">
        <w:t>а</w:t>
      </w:r>
      <w:r w:rsidRPr="00FB09C1">
        <w:t>тивно-судебное разбирательство затянулось на более чем полтора года, что привело к утрате действенности ходатайства о процедуре ампаро. поэтому Суд должен был принять во внимание эти обстоятельства и в качестве исключения предос</w:t>
      </w:r>
      <w:r w:rsidR="007B4187">
        <w:t>тавить ей испрашиваемую помощь.</w:t>
      </w:r>
    </w:p>
    <w:p w:rsidR="00FB09C1" w:rsidRPr="00FB09C1" w:rsidRDefault="00FB09C1" w:rsidP="00FB09C1">
      <w:pPr>
        <w:pStyle w:val="SingleTxt"/>
      </w:pPr>
      <w:r w:rsidRPr="00FB09C1">
        <w:t>8.6</w:t>
      </w:r>
      <w:r w:rsidRPr="00FB09C1">
        <w:tab/>
        <w:t>22 февраля 2013 года автор сообщила Комитету, что 17 сентября 2012 года Конституционный суд назначил 10-дневный срок для явки в суд (через посре</w:t>
      </w:r>
      <w:r w:rsidRPr="00FB09C1">
        <w:t>д</w:t>
      </w:r>
      <w:r w:rsidRPr="00FB09C1">
        <w:t>ство поверенного и адвоката, назначенных за ее счет) в соответствии с пунктом 1 статьи 81 Органического закона о Конституционном суде. 28 января 2013 г</w:t>
      </w:r>
      <w:r w:rsidRPr="00FB09C1">
        <w:t>о</w:t>
      </w:r>
      <w:r w:rsidRPr="00FB09C1">
        <w:t>да за неявкой автора Конституционный суд окончатель</w:t>
      </w:r>
      <w:r w:rsidR="007B4187">
        <w:t>но сдал материалы дела в архив.</w:t>
      </w:r>
    </w:p>
    <w:p w:rsidR="00C2348F" w:rsidRPr="00C2348F" w:rsidRDefault="00C2348F" w:rsidP="00C2348F">
      <w:pPr>
        <w:pStyle w:val="SingleTxt"/>
        <w:spacing w:after="0" w:line="120" w:lineRule="exact"/>
        <w:rPr>
          <w:b/>
          <w:sz w:val="10"/>
        </w:rPr>
      </w:pPr>
    </w:p>
    <w:p w:rsidR="00FB09C1" w:rsidRPr="00C2348F" w:rsidRDefault="00FB09C1" w:rsidP="00C23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09C1">
        <w:tab/>
      </w:r>
      <w:r w:rsidRPr="00FB09C1">
        <w:tab/>
        <w:t>Рассмотрение в Комитете</w:t>
      </w:r>
      <w:r w:rsidR="00C2348F">
        <w:t xml:space="preserve"> вопроса о приемлемости</w:t>
      </w:r>
    </w:p>
    <w:p w:rsidR="00C2348F" w:rsidRPr="00C2348F" w:rsidRDefault="00C2348F" w:rsidP="00C2348F">
      <w:pPr>
        <w:pStyle w:val="SingleTxt"/>
        <w:spacing w:after="0" w:line="120" w:lineRule="exact"/>
        <w:rPr>
          <w:sz w:val="10"/>
        </w:rPr>
      </w:pPr>
    </w:p>
    <w:p w:rsidR="00FB09C1" w:rsidRPr="00FB09C1" w:rsidRDefault="00FB09C1" w:rsidP="00FB09C1">
      <w:pPr>
        <w:pStyle w:val="SingleTxt"/>
      </w:pPr>
      <w:r w:rsidRPr="00FB09C1">
        <w:t>9.1</w:t>
      </w:r>
      <w:r w:rsidRPr="00FB09C1">
        <w:tab/>
        <w:t>В соответствии с правилом 64 правил процедуры Комитет должен пр</w:t>
      </w:r>
      <w:r w:rsidRPr="00FB09C1">
        <w:t>и</w:t>
      </w:r>
      <w:r w:rsidRPr="00FB09C1">
        <w:t>нять решение о приемлемости сообщения согласно Факультативному проток</w:t>
      </w:r>
      <w:r w:rsidRPr="00FB09C1">
        <w:t>о</w:t>
      </w:r>
      <w:r w:rsidRPr="00FB09C1">
        <w:t>лу к Конвенции. В соответствии с положениями статьи 66 Комитет вправе пр</w:t>
      </w:r>
      <w:r w:rsidRPr="00FB09C1">
        <w:t>и</w:t>
      </w:r>
      <w:r w:rsidRPr="00FB09C1">
        <w:t>нять решение о рассмотрении вопроса о приемлемости сообщения отдельно от существа дела.</w:t>
      </w:r>
    </w:p>
    <w:p w:rsidR="00FB09C1" w:rsidRPr="00FB09C1" w:rsidRDefault="00C2348F" w:rsidP="00FB09C1">
      <w:pPr>
        <w:pStyle w:val="SingleTxt"/>
      </w:pPr>
      <w:r>
        <w:t>9.2</w:t>
      </w:r>
      <w:r>
        <w:tab/>
        <w:t>В соответствии с подпунктом</w:t>
      </w:r>
      <w:r>
        <w:rPr>
          <w:lang w:val="en-US"/>
        </w:rPr>
        <w:t> </w:t>
      </w:r>
      <w:r w:rsidRPr="00C2348F">
        <w:t>(</w:t>
      </w:r>
      <w:r w:rsidR="00FB09C1" w:rsidRPr="00FB09C1">
        <w:t>а) пункта 2 статьи 4 Факультативного пр</w:t>
      </w:r>
      <w:r w:rsidR="00FB09C1" w:rsidRPr="00FB09C1">
        <w:t>о</w:t>
      </w:r>
      <w:r w:rsidR="00FB09C1" w:rsidRPr="00FB09C1">
        <w:t>токола Комитет удостоверился в том, что данный же вопрос не рассматривался и не рассматривается в соответствии с какой-либо иной процедурой междун</w:t>
      </w:r>
      <w:r w:rsidR="00FB09C1" w:rsidRPr="00FB09C1">
        <w:t>а</w:t>
      </w:r>
      <w:r w:rsidR="00FB09C1" w:rsidRPr="00FB09C1">
        <w:t>родного расследования или урегулирования.</w:t>
      </w:r>
    </w:p>
    <w:p w:rsidR="00FB09C1" w:rsidRPr="00FB09C1" w:rsidRDefault="00FB09C1" w:rsidP="00FB09C1">
      <w:pPr>
        <w:pStyle w:val="SingleTxt"/>
      </w:pPr>
      <w:r w:rsidRPr="00FB09C1">
        <w:t>9.3</w:t>
      </w:r>
      <w:r w:rsidRPr="00FB09C1">
        <w:tab/>
        <w:t>Комитет принимает к сведению аргумент государства-участника о том, что сообщение должно быть признано неприемлемым, ибо на момент его пре</w:t>
      </w:r>
      <w:r w:rsidRPr="00FB09C1">
        <w:t>д</w:t>
      </w:r>
      <w:r w:rsidRPr="00FB09C1">
        <w:t>ставления не были исчерпаны внутренние средства защиты, поскольку Конст</w:t>
      </w:r>
      <w:r w:rsidRPr="00FB09C1">
        <w:t>и</w:t>
      </w:r>
      <w:r w:rsidRPr="00FB09C1">
        <w:t>туционным судом не было вынесено решение по существу вопроса, а лишь б</w:t>
      </w:r>
      <w:r w:rsidRPr="00FB09C1">
        <w:t>ы</w:t>
      </w:r>
      <w:r w:rsidRPr="00FB09C1">
        <w:t>ло принято постановление о временной сдаче материалов дела в архив. В этой связи Комитет принимает к сведению информацию, представленную автором в отношении разбирательства, касающегося процедуры ампаро, а именно: что 21 сентября 2010 года автор подала в Конституционный суд ходатайство по процедуре ампаро; что 11 и 29 ноября 2010 года коллегия адвокатов Мадрида и Центральная комиссия по бесплатной юридической помощи , соответственно, отказали в ходатайстве о предоставлении бесплатной юридической помощи; что 3 января 2011 года жалоба ампаро была приостановлено производством вплоть до принятия решения по жалобе на решение в отказе от предоставления бесплатной юридической помощи; что 26 июля 2012 года Суд по администр</w:t>
      </w:r>
      <w:r w:rsidRPr="00FB09C1">
        <w:t>а</w:t>
      </w:r>
      <w:r w:rsidRPr="00FB09C1">
        <w:t>тивным делам № 22 Мадрида вынес решение отказать в бесплатной юридич</w:t>
      </w:r>
      <w:r w:rsidRPr="00FB09C1">
        <w:t>е</w:t>
      </w:r>
      <w:r w:rsidRPr="00FB09C1">
        <w:t>ской помощи, поскольку доходы семьи автора превышали установленный зак</w:t>
      </w:r>
      <w:r w:rsidRPr="00FB09C1">
        <w:t>о</w:t>
      </w:r>
      <w:r w:rsidRPr="00FB09C1">
        <w:t>ном предельный уровень для получения так</w:t>
      </w:r>
      <w:r w:rsidR="00C2348F">
        <w:t>ого права; что впоследствии, 17 </w:t>
      </w:r>
      <w:r w:rsidRPr="00FB09C1">
        <w:t>сентября 2012 года, Конституционный суд назначил автору 10-дневный срок для явки в суд с поверенным в делах и адвокатом для официальной подачи ж</w:t>
      </w:r>
      <w:r w:rsidRPr="00FB09C1">
        <w:t>а</w:t>
      </w:r>
      <w:r w:rsidRPr="00FB09C1">
        <w:t>лобы; и что ввиду невыполнения этого требования автором Конституционный суд 28 января 2013 го</w:t>
      </w:r>
      <w:r w:rsidR="007B4187">
        <w:t>да сдал материалы дела в архив.</w:t>
      </w:r>
    </w:p>
    <w:p w:rsidR="00FB09C1" w:rsidRPr="00FB09C1" w:rsidRDefault="00FB09C1" w:rsidP="00FB09C1">
      <w:pPr>
        <w:pStyle w:val="SingleTxt"/>
      </w:pPr>
      <w:r w:rsidRPr="00FB09C1">
        <w:t>9.4</w:t>
      </w:r>
      <w:r w:rsidRPr="00FB09C1">
        <w:tab/>
        <w:t>Комитет отмечает, что автор не сообщила уважительных причин, в силу которых она не выполнила требование Конституционного суда явиться в Суд в 10-дневный срок и таким образом не выполнила обязательного юридического требования для подачи жалобы в Суд. Комитет принимает к сведению проц</w:t>
      </w:r>
      <w:r w:rsidRPr="00FB09C1">
        <w:t>е</w:t>
      </w:r>
      <w:r w:rsidRPr="00FB09C1">
        <w:t>дуру, использованную автором для получения юридической помощи, т.е. ее о</w:t>
      </w:r>
      <w:r w:rsidRPr="00FB09C1">
        <w:t>б</w:t>
      </w:r>
      <w:r w:rsidRPr="00FB09C1">
        <w:t>ращение в суд, который принял решение отклонить ходатайство автора в силу несоблюдения требований закона для получения такой помощи. Тем не менее Комитет считает, что доводы автора, связанные с ее финансовыми трудност</w:t>
      </w:r>
      <w:r w:rsidRPr="00FB09C1">
        <w:t>я</w:t>
      </w:r>
      <w:r w:rsidRPr="00FB09C1">
        <w:t>ми, не позволяющими ей нанять адвоката, носят очень общий характер, что а</w:t>
      </w:r>
      <w:r w:rsidRPr="00FB09C1">
        <w:t>в</w:t>
      </w:r>
      <w:r w:rsidRPr="00FB09C1">
        <w:t>тор не дает точной информации по этому вопросу, и поэтому Комитет не может считать убедительно доказанным то утверждение, что автор не имела средств, чтобы нанять адвоката, или была не в состоянии получить такие услуги с п</w:t>
      </w:r>
      <w:r w:rsidRPr="00FB09C1">
        <w:t>о</w:t>
      </w:r>
      <w:r w:rsidRPr="00FB09C1">
        <w:t>мощью других средств, не создающих для нее непомерное финансовое бремя. Поэтому Комитет считает, что внутренние средства защиты не были исчерпаны и что это обстоятельство не может быть отнесено на счет государства-члена. Поэтому Комитет признает сообщение неприемлемым в соответствии с пун</w:t>
      </w:r>
      <w:r w:rsidRPr="00FB09C1">
        <w:t>к</w:t>
      </w:r>
      <w:r w:rsidRPr="00FB09C1">
        <w:t>том 1 статьи 4 Факультативного протокола.</w:t>
      </w:r>
    </w:p>
    <w:p w:rsidR="00FB09C1" w:rsidRPr="00FB09C1" w:rsidRDefault="00FB09C1" w:rsidP="00FB09C1">
      <w:pPr>
        <w:pStyle w:val="SingleTxt"/>
        <w:rPr>
          <w:iCs/>
        </w:rPr>
      </w:pPr>
      <w:r w:rsidRPr="00FB09C1">
        <w:t>10.</w:t>
      </w:r>
      <w:r w:rsidRPr="00FB09C1">
        <w:tab/>
        <w:t>Исходя из вышеизложенного, Комитет п</w:t>
      </w:r>
      <w:r w:rsidR="007B4187">
        <w:t>о правам человека постановляет:</w:t>
      </w:r>
    </w:p>
    <w:p w:rsidR="00FB09C1" w:rsidRPr="00FB09C1" w:rsidRDefault="00FB09C1" w:rsidP="00FB09C1">
      <w:pPr>
        <w:pStyle w:val="SingleTxt"/>
        <w:rPr>
          <w:iCs/>
        </w:rPr>
      </w:pPr>
      <w:r w:rsidRPr="00FB09C1">
        <w:tab/>
        <w:t>а)</w:t>
      </w:r>
      <w:r w:rsidRPr="00FB09C1">
        <w:tab/>
        <w:t>признать данное сообщение неприемлемым в соответствии с пун</w:t>
      </w:r>
      <w:r w:rsidRPr="00FB09C1">
        <w:t>к</w:t>
      </w:r>
      <w:r w:rsidRPr="00FB09C1">
        <w:t>том 1 стат</w:t>
      </w:r>
      <w:r w:rsidR="007B4187">
        <w:t>ьи 4 Факультативного протокола;</w:t>
      </w:r>
    </w:p>
    <w:p w:rsidR="00FB09C1" w:rsidRPr="00FB09C1" w:rsidRDefault="00FB09C1" w:rsidP="00FB09C1">
      <w:pPr>
        <w:pStyle w:val="SingleTxt"/>
        <w:rPr>
          <w:iCs/>
        </w:rPr>
      </w:pPr>
      <w:r w:rsidRPr="00FB09C1">
        <w:tab/>
        <w:t>b)</w:t>
      </w:r>
      <w:r w:rsidRPr="00FB09C1">
        <w:tab/>
        <w:t xml:space="preserve">препроводить настоящее решение </w:t>
      </w:r>
      <w:r w:rsidR="00935C6E">
        <w:t>государству-участнику и автору сообщения</w:t>
      </w:r>
      <w:r w:rsidRPr="00FB09C1">
        <w:t>.</w:t>
      </w:r>
    </w:p>
    <w:p w:rsidR="00FB09C1" w:rsidRDefault="00FB09C1" w:rsidP="00FB09C1">
      <w:pPr>
        <w:pStyle w:val="SingleTxt"/>
      </w:pPr>
      <w:r w:rsidRPr="00FB09C1">
        <w:t>[Принято на английском, арабском, испанском, китайском, русском и францу</w:t>
      </w:r>
      <w:r w:rsidRPr="00FB09C1">
        <w:t>з</w:t>
      </w:r>
      <w:r w:rsidRPr="00FB09C1">
        <w:t>ском языках, причем оригиналом является текст на испанском языке.</w:t>
      </w:r>
    </w:p>
    <w:p w:rsidR="00935C6E" w:rsidRPr="00935C6E" w:rsidRDefault="00935C6E" w:rsidP="00935C6E">
      <w:pPr>
        <w:pStyle w:val="SingleTxt"/>
        <w:spacing w:after="0" w:line="240" w:lineRule="auto"/>
      </w:pPr>
      <w:r>
        <w:rPr>
          <w:noProof/>
          <w:w w:val="100"/>
          <w:lang w:eastAsia="ru-RU"/>
        </w:rPr>
        <w:pict>
          <v:line id="_x0000_s1028" style="position:absolute;left:0;text-align:left;z-index:2" from="210.2pt,30pt" to="282.2pt,30pt" strokeweight=".25pt"/>
        </w:pict>
      </w:r>
    </w:p>
    <w:sectPr w:rsidR="00935C6E" w:rsidRPr="00935C6E" w:rsidSect="000F2598">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14T10:35:00Z" w:initials="Start">
    <w:p w:rsidR="00BC0DE6" w:rsidRPr="00137D3E" w:rsidRDefault="00BC0DE6">
      <w:pPr>
        <w:pStyle w:val="CommentText"/>
        <w:rPr>
          <w:lang w:val="en-US"/>
        </w:rPr>
      </w:pPr>
      <w:r>
        <w:fldChar w:fldCharType="begin"/>
      </w:r>
      <w:r w:rsidRPr="00137D3E">
        <w:rPr>
          <w:rStyle w:val="CommentReference"/>
          <w:lang w:val="en-US"/>
        </w:rPr>
        <w:instrText xml:space="preserve"> </w:instrText>
      </w:r>
      <w:r w:rsidRPr="00137D3E">
        <w:rPr>
          <w:lang w:val="en-US"/>
        </w:rPr>
        <w:instrText>PAGE \# "'Page: '#'</w:instrText>
      </w:r>
      <w:r w:rsidRPr="00137D3E">
        <w:rPr>
          <w:lang w:val="en-US"/>
        </w:rPr>
        <w:br/>
        <w:instrText>'"</w:instrText>
      </w:r>
      <w:r w:rsidRPr="00137D3E">
        <w:rPr>
          <w:rStyle w:val="CommentReference"/>
          <w:lang w:val="en-US"/>
        </w:rPr>
        <w:instrText xml:space="preserve"> </w:instrText>
      </w:r>
      <w:r>
        <w:fldChar w:fldCharType="end"/>
      </w:r>
      <w:r>
        <w:rPr>
          <w:rStyle w:val="CommentReference"/>
        </w:rPr>
        <w:annotationRef/>
      </w:r>
      <w:r w:rsidRPr="00137D3E">
        <w:rPr>
          <w:lang w:val="en-US"/>
        </w:rPr>
        <w:t>&lt;&lt;ODS JOB NO&gt;&gt;N1353307R&lt;&lt;ODS JOB NO&gt;&gt;</w:t>
      </w:r>
    </w:p>
    <w:p w:rsidR="00BC0DE6" w:rsidRDefault="00BC0DE6">
      <w:pPr>
        <w:pStyle w:val="CommentText"/>
      </w:pPr>
      <w:r>
        <w:t>&lt;&lt;ODS DOC SYMBOL1&gt;&gt;CEDAW/C/56/D/29/2011&lt;&lt;ODS DOC SYMBOL1&gt;&gt;</w:t>
      </w:r>
    </w:p>
    <w:p w:rsidR="00BC0DE6" w:rsidRDefault="00BC0DE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737" w:rsidRDefault="00704737">
      <w:r>
        <w:separator/>
      </w:r>
    </w:p>
  </w:endnote>
  <w:endnote w:type="continuationSeparator" w:id="0">
    <w:p w:rsidR="00704737" w:rsidRDefault="00704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BC0DE6" w:rsidTr="000F2598">
      <w:tblPrEx>
        <w:tblCellMar>
          <w:top w:w="0" w:type="dxa"/>
          <w:bottom w:w="0" w:type="dxa"/>
        </w:tblCellMar>
      </w:tblPrEx>
      <w:tc>
        <w:tcPr>
          <w:tcW w:w="5033" w:type="dxa"/>
          <w:shd w:val="clear" w:color="auto" w:fill="auto"/>
          <w:vAlign w:val="bottom"/>
        </w:tcPr>
        <w:p w:rsidR="00BC0DE6" w:rsidRPr="000F2598" w:rsidRDefault="00BC0DE6" w:rsidP="000F2598">
          <w:pPr>
            <w:pStyle w:val="Footer"/>
          </w:pPr>
          <w:fldSimple w:instr=" PAGE  \* Arabic  \* MERGEFORMAT ">
            <w:r w:rsidR="00AD0D95">
              <w:t>2</w:t>
            </w:r>
          </w:fldSimple>
          <w:r>
            <w:t>/</w:t>
          </w:r>
          <w:fldSimple w:instr=" NUMPAGES  \* Arabic  \* MERGEFORMAT ">
            <w:r w:rsidR="00663DB0">
              <w:t>17</w:t>
            </w:r>
          </w:fldSimple>
        </w:p>
      </w:tc>
      <w:tc>
        <w:tcPr>
          <w:tcW w:w="5033" w:type="dxa"/>
          <w:shd w:val="clear" w:color="auto" w:fill="auto"/>
          <w:vAlign w:val="bottom"/>
        </w:tcPr>
        <w:p w:rsidR="00BC0DE6" w:rsidRPr="000F2598" w:rsidRDefault="00BC0DE6" w:rsidP="000F2598">
          <w:pPr>
            <w:pStyle w:val="Footer"/>
            <w:jc w:val="right"/>
            <w:rPr>
              <w:b w:val="0"/>
              <w:sz w:val="14"/>
            </w:rPr>
          </w:pPr>
          <w:fldSimple w:instr=" DOCVARIABLE &quot;FooterJN&quot; \* MERGEFORMAT ">
            <w:r>
              <w:rPr>
                <w:b w:val="0"/>
                <w:sz w:val="14"/>
              </w:rPr>
              <w:t>13-53307</w:t>
            </w:r>
          </w:fldSimple>
        </w:p>
      </w:tc>
    </w:tr>
  </w:tbl>
  <w:p w:rsidR="00BC0DE6" w:rsidRPr="000F2598" w:rsidRDefault="00BC0DE6" w:rsidP="000F2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BC0DE6" w:rsidTr="000F2598">
      <w:tblPrEx>
        <w:tblCellMar>
          <w:top w:w="0" w:type="dxa"/>
          <w:bottom w:w="0" w:type="dxa"/>
        </w:tblCellMar>
      </w:tblPrEx>
      <w:tc>
        <w:tcPr>
          <w:tcW w:w="5033" w:type="dxa"/>
          <w:shd w:val="clear" w:color="auto" w:fill="auto"/>
          <w:vAlign w:val="bottom"/>
        </w:tcPr>
        <w:p w:rsidR="00BC0DE6" w:rsidRPr="000F2598" w:rsidRDefault="00BC0DE6" w:rsidP="000F2598">
          <w:pPr>
            <w:pStyle w:val="Footer"/>
            <w:rPr>
              <w:b w:val="0"/>
              <w:sz w:val="14"/>
            </w:rPr>
          </w:pPr>
          <w:fldSimple w:instr=" DOCVARIABLE &quot;FooterJN&quot; \* MERGEFORMAT ">
            <w:r>
              <w:rPr>
                <w:b w:val="0"/>
                <w:sz w:val="14"/>
              </w:rPr>
              <w:t>13-53307</w:t>
            </w:r>
          </w:fldSimple>
        </w:p>
      </w:tc>
      <w:tc>
        <w:tcPr>
          <w:tcW w:w="5033" w:type="dxa"/>
          <w:shd w:val="clear" w:color="auto" w:fill="auto"/>
          <w:vAlign w:val="bottom"/>
        </w:tcPr>
        <w:p w:rsidR="00BC0DE6" w:rsidRPr="000F2598" w:rsidRDefault="00BC0DE6" w:rsidP="000F2598">
          <w:pPr>
            <w:pStyle w:val="Footer"/>
            <w:jc w:val="right"/>
          </w:pPr>
          <w:fldSimple w:instr=" PAGE  \* Arabic  \* MERGEFORMAT ">
            <w:r w:rsidR="00663DB0">
              <w:t>17</w:t>
            </w:r>
          </w:fldSimple>
          <w:r>
            <w:t>/</w:t>
          </w:r>
          <w:fldSimple w:instr=" NUMPAGES  \* Arabic  \* MERGEFORMAT ">
            <w:r w:rsidR="00663DB0">
              <w:t>17</w:t>
            </w:r>
          </w:fldSimple>
        </w:p>
      </w:tc>
    </w:tr>
  </w:tbl>
  <w:p w:rsidR="00BC0DE6" w:rsidRPr="000F2598" w:rsidRDefault="00BC0DE6" w:rsidP="000F25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6" w:rsidRDefault="00BC0DE6">
    <w:pPr>
      <w:pStyle w:val="Footer"/>
    </w:pPr>
  </w:p>
  <w:tbl>
    <w:tblPr>
      <w:tblW w:w="0" w:type="auto"/>
      <w:tblLayout w:type="fixed"/>
      <w:tblLook w:val="0000"/>
    </w:tblPr>
    <w:tblGrid>
      <w:gridCol w:w="3830"/>
      <w:gridCol w:w="5033"/>
    </w:tblGrid>
    <w:tr w:rsidR="00BC0DE6" w:rsidTr="000F2598">
      <w:tblPrEx>
        <w:tblCellMar>
          <w:top w:w="0" w:type="dxa"/>
          <w:bottom w:w="0" w:type="dxa"/>
        </w:tblCellMar>
      </w:tblPrEx>
      <w:tc>
        <w:tcPr>
          <w:tcW w:w="3830" w:type="dxa"/>
        </w:tcPr>
        <w:p w:rsidR="00BC0DE6" w:rsidRDefault="00BC0DE6" w:rsidP="000F2598">
          <w:pPr>
            <w:pStyle w:val="Footer"/>
            <w:rPr>
              <w:b w:val="0"/>
              <w:sz w:val="20"/>
            </w:rPr>
          </w:pPr>
          <w:r>
            <w:rPr>
              <w:b w:val="0"/>
              <w:sz w:val="20"/>
            </w:rPr>
            <w:t>13-53307 (R)    1</w:t>
          </w:r>
          <w:r>
            <w:rPr>
              <w:b w:val="0"/>
              <w:sz w:val="20"/>
              <w:lang w:val="ru-RU"/>
            </w:rPr>
            <w:t>3</w:t>
          </w:r>
          <w:r>
            <w:rPr>
              <w:b w:val="0"/>
              <w:sz w:val="20"/>
            </w:rPr>
            <w:t>1113    141113</w:t>
          </w:r>
        </w:p>
        <w:p w:rsidR="00BC0DE6" w:rsidRPr="000F2598" w:rsidRDefault="00BC0DE6" w:rsidP="000F2598">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*1353307*</w:t>
            </w:r>
          </w:fldSimple>
        </w:p>
      </w:tc>
      <w:tc>
        <w:tcPr>
          <w:tcW w:w="5033" w:type="dxa"/>
        </w:tcPr>
        <w:p w:rsidR="00BC0DE6" w:rsidRDefault="00BC0DE6" w:rsidP="000F2598">
          <w:pPr>
            <w:pStyle w:val="Footer"/>
            <w:spacing w:line="240" w:lineRule="atLeast"/>
            <w:jc w:val="right"/>
            <w:rPr>
              <w:b w:val="0"/>
              <w:sz w:val="20"/>
            </w:rPr>
          </w:pPr>
          <w:r w:rsidRPr="000F259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r>
  </w:tbl>
  <w:p w:rsidR="00BC0DE6" w:rsidRPr="000F2598" w:rsidRDefault="00BC0DE6" w:rsidP="000F259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737" w:rsidRPr="00FB09C1" w:rsidRDefault="00704737" w:rsidP="00FB09C1">
      <w:pPr>
        <w:pStyle w:val="Footer"/>
        <w:spacing w:after="80"/>
        <w:ind w:left="792"/>
        <w:rPr>
          <w:sz w:val="16"/>
        </w:rPr>
      </w:pPr>
      <w:r w:rsidRPr="00FB09C1">
        <w:rPr>
          <w:sz w:val="16"/>
        </w:rPr>
        <w:t>__________________</w:t>
      </w:r>
    </w:p>
  </w:footnote>
  <w:footnote w:type="continuationSeparator" w:id="0">
    <w:p w:rsidR="00704737" w:rsidRPr="00FB09C1" w:rsidRDefault="00704737" w:rsidP="00FB09C1">
      <w:pPr>
        <w:pStyle w:val="Footer"/>
        <w:spacing w:after="80"/>
        <w:ind w:left="792"/>
        <w:rPr>
          <w:sz w:val="16"/>
        </w:rPr>
      </w:pPr>
      <w:r w:rsidRPr="00FB09C1">
        <w:rPr>
          <w:sz w:val="16"/>
        </w:rPr>
        <w:t>__________________</w:t>
      </w:r>
    </w:p>
  </w:footnote>
  <w:footnote w:id="1">
    <w:p w:rsidR="00BC0DE6" w:rsidRDefault="00BC0DE6" w:rsidP="00FB09C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r>
      <w:r w:rsidRPr="00596BC1">
        <w:t>В рассмотрении настоящего сообщения принимали участие следующие члены Комитета: Айше Ачар, Нур Аль-Джехани, Олинда Барейро-Бобадилья, Наела Габр, Хилари Гбедемах, Наела Хайдар,</w:t>
      </w:r>
      <w:r>
        <w:t xml:space="preserve"> </w:t>
      </w:r>
      <w:r w:rsidRPr="00596BC1">
        <w:t>Йоко Хаяси, Далия Лейнарт,</w:t>
      </w:r>
      <w:r>
        <w:t xml:space="preserve"> </w:t>
      </w:r>
      <w:r w:rsidRPr="00596BC1">
        <w:t>Виолета Нойбауэр, Теодора Нванкво, Прамила Паттен, Мария Хелена Пирес, Бьянкамария Померанци, Патриция Шульц, Дубравка Шимонович и Цзоу Сяоцяо.</w:t>
      </w:r>
    </w:p>
  </w:footnote>
  <w:footnote w:id="2">
    <w:p w:rsidR="00BC0DE6" w:rsidRPr="000F6B2E" w:rsidRDefault="00BC0DE6" w:rsidP="00FB09C1">
      <w:pPr>
        <w:pStyle w:val="FootnoteText"/>
        <w:tabs>
          <w:tab w:val="clear" w:pos="418"/>
          <w:tab w:val="right" w:pos="1195"/>
          <w:tab w:val="left" w:pos="1267"/>
          <w:tab w:val="left" w:pos="1742"/>
          <w:tab w:val="left" w:pos="2218"/>
          <w:tab w:val="left" w:pos="2693"/>
        </w:tabs>
        <w:ind w:left="1267" w:right="1260" w:hanging="432"/>
      </w:pPr>
      <w:r>
        <w:rPr>
          <w:rStyle w:val="HM"/>
        </w:rPr>
        <w:tab/>
      </w:r>
      <w:r w:rsidRPr="00105139">
        <w:rPr>
          <w:rStyle w:val="FootnoteReference"/>
        </w:rPr>
        <w:footnoteRef/>
      </w:r>
      <w:r>
        <w:rPr>
          <w:rStyle w:val="HM"/>
        </w:rPr>
        <w:tab/>
      </w:r>
      <w:r w:rsidRPr="000F6B2E">
        <w:rPr>
          <w:rStyle w:val="HM"/>
        </w:rPr>
        <w:t>Тем не менее Комитет отмечает, что согласно документации, представленной автором 17</w:t>
      </w:r>
      <w:r w:rsidRPr="00105139">
        <w:rPr>
          <w:rStyle w:val="HM"/>
        </w:rPr>
        <w:t> </w:t>
      </w:r>
      <w:r w:rsidRPr="000F6B2E">
        <w:rPr>
          <w:rStyle w:val="HM"/>
        </w:rPr>
        <w:t>января 2013</w:t>
      </w:r>
      <w:r w:rsidRPr="00105139">
        <w:rPr>
          <w:rStyle w:val="HM"/>
        </w:rPr>
        <w:t> </w:t>
      </w:r>
      <w:r w:rsidRPr="000F6B2E">
        <w:rPr>
          <w:rStyle w:val="HM"/>
        </w:rPr>
        <w:t>года, где в</w:t>
      </w:r>
      <w:r w:rsidRPr="00105139">
        <w:rPr>
          <w:rStyle w:val="HM"/>
        </w:rPr>
        <w:t> </w:t>
      </w:r>
      <w:r w:rsidRPr="000F6B2E">
        <w:rPr>
          <w:rStyle w:val="HM"/>
        </w:rPr>
        <w:t>информационном листе о состоянии дел, выданном Министерством финансов и государственной администрации, указано:</w:t>
      </w:r>
      <w:r>
        <w:rPr>
          <w:rStyle w:val="HM"/>
        </w:rPr>
        <w:t xml:space="preserve"> </w:t>
      </w:r>
      <w:r w:rsidRPr="000F6B2E">
        <w:rPr>
          <w:rStyle w:val="HM"/>
        </w:rPr>
        <w:t>«разрешение на временное проживание и работу через второе продление; принятое решение</w:t>
      </w:r>
      <w:r>
        <w:rPr>
          <w:rStyle w:val="HM"/>
        </w:rPr>
        <w:t> — „Отказать“</w:t>
      </w:r>
      <w:r w:rsidRPr="000F6B2E">
        <w:rPr>
          <w:rStyle w:val="HM"/>
        </w:rPr>
        <w:t>»; и в официальном уведомлении от</w:t>
      </w:r>
      <w:r w:rsidRPr="00105139">
        <w:rPr>
          <w:rStyle w:val="HM"/>
        </w:rPr>
        <w:t> </w:t>
      </w:r>
      <w:r w:rsidRPr="000F6B2E">
        <w:rPr>
          <w:rStyle w:val="HM"/>
        </w:rPr>
        <w:t>31</w:t>
      </w:r>
      <w:r w:rsidRPr="00105139">
        <w:rPr>
          <w:rStyle w:val="HM"/>
        </w:rPr>
        <w:t> </w:t>
      </w:r>
      <w:r w:rsidRPr="000F6B2E">
        <w:rPr>
          <w:rStyle w:val="HM"/>
        </w:rPr>
        <w:t xml:space="preserve">мая 2010, выданном Представительством государственной администрации по вопросам труда и иммиграции в Мадриде, указано: </w:t>
      </w:r>
      <w:r>
        <w:rPr>
          <w:rStyle w:val="HM"/>
        </w:rPr>
        <w:t>«</w:t>
      </w:r>
      <w:r w:rsidRPr="000F6B2E">
        <w:rPr>
          <w:rStyle w:val="HM"/>
        </w:rPr>
        <w:t>[д]ело о продлении разрешения на временное проживание и работу … в просьбе было отказано 15 января 2009 года … 29 июня 2009 года подана жалоба по</w:t>
      </w:r>
      <w:r w:rsidRPr="00105139">
        <w:rPr>
          <w:rStyle w:val="HM"/>
        </w:rPr>
        <w:t> </w:t>
      </w:r>
      <w:r w:rsidRPr="000F6B2E">
        <w:rPr>
          <w:rStyle w:val="HM"/>
        </w:rPr>
        <w:t>судебно-административной защите, и по состоянию на сегодняшний день нет свидетельств того, что суд вынес решение</w:t>
      </w:r>
      <w:r>
        <w:rPr>
          <w:rStyle w:val="HM"/>
        </w:rPr>
        <w:t>»</w:t>
      </w:r>
      <w:r w:rsidRPr="000F6B2E">
        <w:rPr>
          <w:rStyle w:val="HM"/>
        </w:rPr>
        <w:t>. Комитет отмечает также, что согласно информации, представленной государством-участником 22 апреля 2013</w:t>
      </w:r>
      <w:r w:rsidRPr="00105139">
        <w:rPr>
          <w:rStyle w:val="HM"/>
        </w:rPr>
        <w:t> </w:t>
      </w:r>
      <w:r w:rsidRPr="000F6B2E">
        <w:rPr>
          <w:rStyle w:val="HM"/>
        </w:rPr>
        <w:t>года, 15</w:t>
      </w:r>
      <w:r w:rsidRPr="00105139">
        <w:rPr>
          <w:rStyle w:val="HM"/>
        </w:rPr>
        <w:t> </w:t>
      </w:r>
      <w:r w:rsidRPr="000F6B2E">
        <w:rPr>
          <w:rStyle w:val="HM"/>
        </w:rPr>
        <w:t>января 2009</w:t>
      </w:r>
      <w:r w:rsidRPr="00105139">
        <w:rPr>
          <w:rStyle w:val="HM"/>
        </w:rPr>
        <w:t> </w:t>
      </w:r>
      <w:r w:rsidRPr="000F6B2E">
        <w:rPr>
          <w:rStyle w:val="HM"/>
        </w:rPr>
        <w:t>года является датой, когда у автора истек срок вида на жительство и разрешения на работу.</w:t>
      </w:r>
    </w:p>
  </w:footnote>
  <w:footnote w:id="3">
    <w:p w:rsidR="00BC0DE6" w:rsidRPr="00C2348F" w:rsidRDefault="00BC0DE6" w:rsidP="00C234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C2348F">
        <w:rPr>
          <w:lang w:val="en-US"/>
        </w:rPr>
        <w:tab/>
      </w:r>
      <w:r w:rsidRPr="00C2348F">
        <w:t>См</w:t>
      </w:r>
      <w:r w:rsidRPr="00C2348F">
        <w:rPr>
          <w:lang w:val="en-US"/>
        </w:rPr>
        <w:t xml:space="preserve">. CEDAW/C/ESP/CO/6 </w:t>
      </w:r>
      <w:r w:rsidRPr="00C2348F">
        <w:t>и</w:t>
      </w:r>
      <w:r w:rsidRPr="00C2348F">
        <w:rPr>
          <w:lang w:val="en-US"/>
        </w:rPr>
        <w:t xml:space="preserve"> 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C0DE6" w:rsidTr="000F2598">
      <w:tblPrEx>
        <w:tblCellMar>
          <w:top w:w="0" w:type="dxa"/>
          <w:bottom w:w="0" w:type="dxa"/>
        </w:tblCellMar>
      </w:tblPrEx>
      <w:trPr>
        <w:trHeight w:hRule="exact" w:val="864"/>
      </w:trPr>
      <w:tc>
        <w:tcPr>
          <w:tcW w:w="4838" w:type="dxa"/>
          <w:shd w:val="clear" w:color="auto" w:fill="auto"/>
          <w:vAlign w:val="bottom"/>
        </w:tcPr>
        <w:p w:rsidR="00BC0DE6" w:rsidRPr="000F2598" w:rsidRDefault="00BC0DE6" w:rsidP="000F2598">
          <w:pPr>
            <w:pStyle w:val="Header"/>
            <w:spacing w:after="80"/>
            <w:rPr>
              <w:b/>
            </w:rPr>
          </w:pPr>
          <w:fldSimple w:instr=" DOCVARIABLE &quot;sss1&quot; \* MERGEFORMAT ">
            <w:r>
              <w:rPr>
                <w:b/>
              </w:rPr>
              <w:t>CEDAW/C/56/D/29/2011</w:t>
            </w:r>
          </w:fldSimple>
        </w:p>
      </w:tc>
      <w:tc>
        <w:tcPr>
          <w:tcW w:w="5033" w:type="dxa"/>
          <w:shd w:val="clear" w:color="auto" w:fill="auto"/>
          <w:vAlign w:val="bottom"/>
        </w:tcPr>
        <w:p w:rsidR="00BC0DE6" w:rsidRDefault="00BC0DE6" w:rsidP="000F2598">
          <w:pPr>
            <w:pStyle w:val="Header"/>
          </w:pPr>
        </w:p>
      </w:tc>
    </w:tr>
  </w:tbl>
  <w:p w:rsidR="00BC0DE6" w:rsidRPr="000F2598" w:rsidRDefault="00BC0DE6" w:rsidP="000F2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C0DE6" w:rsidTr="000F2598">
      <w:tblPrEx>
        <w:tblCellMar>
          <w:top w:w="0" w:type="dxa"/>
          <w:bottom w:w="0" w:type="dxa"/>
        </w:tblCellMar>
      </w:tblPrEx>
      <w:trPr>
        <w:trHeight w:hRule="exact" w:val="864"/>
      </w:trPr>
      <w:tc>
        <w:tcPr>
          <w:tcW w:w="4838" w:type="dxa"/>
          <w:shd w:val="clear" w:color="auto" w:fill="auto"/>
          <w:vAlign w:val="bottom"/>
        </w:tcPr>
        <w:p w:rsidR="00BC0DE6" w:rsidRDefault="00BC0DE6" w:rsidP="000F2598">
          <w:pPr>
            <w:pStyle w:val="Header"/>
          </w:pPr>
        </w:p>
      </w:tc>
      <w:tc>
        <w:tcPr>
          <w:tcW w:w="5033" w:type="dxa"/>
          <w:shd w:val="clear" w:color="auto" w:fill="auto"/>
          <w:vAlign w:val="bottom"/>
        </w:tcPr>
        <w:p w:rsidR="00BC0DE6" w:rsidRPr="000F2598" w:rsidRDefault="00BC0DE6" w:rsidP="000F2598">
          <w:pPr>
            <w:pStyle w:val="Header"/>
            <w:spacing w:after="80"/>
            <w:jc w:val="right"/>
            <w:rPr>
              <w:b/>
            </w:rPr>
          </w:pPr>
          <w:fldSimple w:instr=" DOCVARIABLE &quot;sss1&quot; \* MERGEFORMAT ">
            <w:r>
              <w:rPr>
                <w:b/>
              </w:rPr>
              <w:t>CEDAW/C/56/D/29/2011</w:t>
            </w:r>
          </w:fldSimple>
        </w:p>
      </w:tc>
    </w:tr>
  </w:tbl>
  <w:p w:rsidR="00BC0DE6" w:rsidRPr="000F2598" w:rsidRDefault="00BC0DE6" w:rsidP="000F2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BC0DE6" w:rsidTr="000F2598">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BC0DE6" w:rsidRPr="000F2598" w:rsidRDefault="00BC0DE6" w:rsidP="000F259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BC0DE6" w:rsidRDefault="00BC0DE6" w:rsidP="000F2598">
          <w:pPr>
            <w:pStyle w:val="Header"/>
            <w:spacing w:after="120"/>
          </w:pPr>
        </w:p>
      </w:tc>
      <w:tc>
        <w:tcPr>
          <w:tcW w:w="5213" w:type="dxa"/>
          <w:gridSpan w:val="3"/>
          <w:tcBorders>
            <w:bottom w:val="single" w:sz="4" w:space="0" w:color="auto"/>
          </w:tcBorders>
          <w:shd w:val="clear" w:color="auto" w:fill="auto"/>
          <w:vAlign w:val="bottom"/>
        </w:tcPr>
        <w:p w:rsidR="00BC0DE6" w:rsidRPr="000F2598" w:rsidRDefault="00BC0DE6" w:rsidP="000F2598">
          <w:pPr>
            <w:pStyle w:val="Header"/>
            <w:spacing w:after="20"/>
            <w:jc w:val="right"/>
            <w:rPr>
              <w:sz w:val="20"/>
            </w:rPr>
          </w:pPr>
          <w:r>
            <w:rPr>
              <w:sz w:val="40"/>
            </w:rPr>
            <w:t>CEDAW</w:t>
          </w:r>
          <w:r>
            <w:rPr>
              <w:sz w:val="20"/>
            </w:rPr>
            <w:t>/C/56/D/29/2011</w:t>
          </w:r>
        </w:p>
      </w:tc>
    </w:tr>
    <w:tr w:rsidR="00BC0DE6" w:rsidRPr="00137D3E" w:rsidTr="000F259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C0DE6" w:rsidRDefault="00BC0DE6" w:rsidP="000F259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C0DE6" w:rsidRPr="000F2598" w:rsidRDefault="00BC0DE6" w:rsidP="000F2598">
          <w:pPr>
            <w:pStyle w:val="Header"/>
            <w:spacing w:before="109"/>
          </w:pPr>
        </w:p>
      </w:tc>
      <w:tc>
        <w:tcPr>
          <w:tcW w:w="5227" w:type="dxa"/>
          <w:gridSpan w:val="3"/>
          <w:tcBorders>
            <w:top w:val="single" w:sz="4" w:space="0" w:color="auto"/>
            <w:bottom w:val="single" w:sz="12" w:space="0" w:color="auto"/>
          </w:tcBorders>
          <w:shd w:val="clear" w:color="auto" w:fill="auto"/>
        </w:tcPr>
        <w:p w:rsidR="00BC0DE6" w:rsidRPr="000F2598" w:rsidRDefault="00BC0DE6" w:rsidP="000F2598">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BC0DE6" w:rsidRPr="00137D3E" w:rsidRDefault="00BC0DE6" w:rsidP="000F2598">
          <w:pPr>
            <w:pStyle w:val="Header"/>
            <w:spacing w:before="109"/>
            <w:rPr>
              <w:lang w:val="ru-RU"/>
            </w:rPr>
          </w:pPr>
        </w:p>
      </w:tc>
      <w:tc>
        <w:tcPr>
          <w:tcW w:w="3140" w:type="dxa"/>
          <w:tcBorders>
            <w:top w:val="single" w:sz="4" w:space="0" w:color="auto"/>
            <w:bottom w:val="single" w:sz="12" w:space="0" w:color="auto"/>
          </w:tcBorders>
          <w:shd w:val="clear" w:color="auto" w:fill="auto"/>
        </w:tcPr>
        <w:p w:rsidR="00BC0DE6" w:rsidRPr="00137D3E" w:rsidRDefault="00BC0DE6" w:rsidP="000F2598">
          <w:pPr>
            <w:spacing w:before="240"/>
            <w:rPr>
              <w:lang w:val="en-US"/>
            </w:rPr>
          </w:pPr>
          <w:r w:rsidRPr="00137D3E">
            <w:rPr>
              <w:lang w:val="en-US"/>
            </w:rPr>
            <w:t>Distr.: General</w:t>
          </w:r>
        </w:p>
        <w:p w:rsidR="00BC0DE6" w:rsidRPr="00137D3E" w:rsidRDefault="00BC0DE6" w:rsidP="000F2598">
          <w:pPr>
            <w:rPr>
              <w:lang w:val="en-US"/>
            </w:rPr>
          </w:pPr>
          <w:r w:rsidRPr="00137D3E">
            <w:rPr>
              <w:lang w:val="en-US"/>
            </w:rPr>
            <w:t>28 October 2013</w:t>
          </w:r>
        </w:p>
        <w:p w:rsidR="00BC0DE6" w:rsidRPr="00137D3E" w:rsidRDefault="00BC0DE6" w:rsidP="000F2598">
          <w:pPr>
            <w:rPr>
              <w:lang w:val="en-US"/>
            </w:rPr>
          </w:pPr>
          <w:r w:rsidRPr="00137D3E">
            <w:rPr>
              <w:lang w:val="en-US"/>
            </w:rPr>
            <w:t>Russian</w:t>
          </w:r>
        </w:p>
        <w:p w:rsidR="00BC0DE6" w:rsidRPr="00137D3E" w:rsidRDefault="00BC0DE6" w:rsidP="000F2598">
          <w:pPr>
            <w:rPr>
              <w:lang w:val="en-US"/>
            </w:rPr>
          </w:pPr>
          <w:r w:rsidRPr="00137D3E">
            <w:rPr>
              <w:lang w:val="en-US"/>
            </w:rPr>
            <w:t>Original: Spanish</w:t>
          </w:r>
        </w:p>
      </w:tc>
    </w:tr>
  </w:tbl>
  <w:p w:rsidR="00BC0DE6" w:rsidRPr="000F2598" w:rsidRDefault="00BC0DE6" w:rsidP="000F2598">
    <w:pPr>
      <w:pStyle w:val="Header"/>
      <w:spacing w:line="20" w:lineRule="exac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07*"/>
    <w:docVar w:name="CreationDt" w:val="14/11/2013 10:35:31"/>
    <w:docVar w:name="DocCategory" w:val="Doc"/>
    <w:docVar w:name="DocType" w:val="Final"/>
    <w:docVar w:name="FooterJN" w:val="13-53307"/>
    <w:docVar w:name="jobn" w:val="13-53307 (R)"/>
    <w:docVar w:name="jobnDT" w:val="13-53307 (R)   141113"/>
    <w:docVar w:name="jobnDTDT" w:val="13-53307 (R)   141113   141113"/>
    <w:docVar w:name="JobNo" w:val="1353307R"/>
    <w:docVar w:name="OandT" w:val=" "/>
    <w:docVar w:name="sss1" w:val="CEDAW/C/56/D/29/2011"/>
    <w:docVar w:name="sss2" w:val="-"/>
    <w:docVar w:name="Symbol1" w:val="CEDAW/C/56/D/29/2011"/>
    <w:docVar w:name="Symbol2" w:val="-"/>
  </w:docVars>
  <w:rsids>
    <w:rsidRoot w:val="00EC786F"/>
    <w:rsid w:val="00005D71"/>
    <w:rsid w:val="00006D3A"/>
    <w:rsid w:val="000121EB"/>
    <w:rsid w:val="00027C74"/>
    <w:rsid w:val="000453DA"/>
    <w:rsid w:val="000456EE"/>
    <w:rsid w:val="00051525"/>
    <w:rsid w:val="00060288"/>
    <w:rsid w:val="00060967"/>
    <w:rsid w:val="00067768"/>
    <w:rsid w:val="00071657"/>
    <w:rsid w:val="00072B9A"/>
    <w:rsid w:val="000733EE"/>
    <w:rsid w:val="00086C68"/>
    <w:rsid w:val="00094451"/>
    <w:rsid w:val="000A140F"/>
    <w:rsid w:val="000A257D"/>
    <w:rsid w:val="000B55FB"/>
    <w:rsid w:val="000C7E7B"/>
    <w:rsid w:val="000D4332"/>
    <w:rsid w:val="000E22D8"/>
    <w:rsid w:val="000E5959"/>
    <w:rsid w:val="000E5AE4"/>
    <w:rsid w:val="000F2598"/>
    <w:rsid w:val="0010004F"/>
    <w:rsid w:val="00101C22"/>
    <w:rsid w:val="001107C6"/>
    <w:rsid w:val="001117C6"/>
    <w:rsid w:val="0011681A"/>
    <w:rsid w:val="0012286E"/>
    <w:rsid w:val="00124792"/>
    <w:rsid w:val="001316F9"/>
    <w:rsid w:val="00132C80"/>
    <w:rsid w:val="00137928"/>
    <w:rsid w:val="00137D3E"/>
    <w:rsid w:val="00153F7F"/>
    <w:rsid w:val="0015549A"/>
    <w:rsid w:val="00155888"/>
    <w:rsid w:val="00162122"/>
    <w:rsid w:val="00163E9E"/>
    <w:rsid w:val="00166134"/>
    <w:rsid w:val="001663A4"/>
    <w:rsid w:val="00187070"/>
    <w:rsid w:val="001907AF"/>
    <w:rsid w:val="00190B0F"/>
    <w:rsid w:val="00194D77"/>
    <w:rsid w:val="001A0224"/>
    <w:rsid w:val="001B301A"/>
    <w:rsid w:val="001B4B9E"/>
    <w:rsid w:val="001B78EB"/>
    <w:rsid w:val="001C07B7"/>
    <w:rsid w:val="001D1AAB"/>
    <w:rsid w:val="001D616C"/>
    <w:rsid w:val="001E0D73"/>
    <w:rsid w:val="001E2245"/>
    <w:rsid w:val="001E2434"/>
    <w:rsid w:val="001E549D"/>
    <w:rsid w:val="001F1622"/>
    <w:rsid w:val="00204B80"/>
    <w:rsid w:val="002063C7"/>
    <w:rsid w:val="00206D99"/>
    <w:rsid w:val="002111D1"/>
    <w:rsid w:val="00224617"/>
    <w:rsid w:val="002300BF"/>
    <w:rsid w:val="0023167F"/>
    <w:rsid w:val="00252F1F"/>
    <w:rsid w:val="00254933"/>
    <w:rsid w:val="002549E8"/>
    <w:rsid w:val="0026033B"/>
    <w:rsid w:val="002625F5"/>
    <w:rsid w:val="00263747"/>
    <w:rsid w:val="002656BA"/>
    <w:rsid w:val="0027035E"/>
    <w:rsid w:val="00273D16"/>
    <w:rsid w:val="00274115"/>
    <w:rsid w:val="00290971"/>
    <w:rsid w:val="00295953"/>
    <w:rsid w:val="002A33FE"/>
    <w:rsid w:val="002A529E"/>
    <w:rsid w:val="002B7B47"/>
    <w:rsid w:val="002D0A63"/>
    <w:rsid w:val="002E6BF4"/>
    <w:rsid w:val="002F7CE3"/>
    <w:rsid w:val="00301FA0"/>
    <w:rsid w:val="00304CD3"/>
    <w:rsid w:val="003078EF"/>
    <w:rsid w:val="00322BEE"/>
    <w:rsid w:val="00323640"/>
    <w:rsid w:val="003245A4"/>
    <w:rsid w:val="00324CF9"/>
    <w:rsid w:val="00334763"/>
    <w:rsid w:val="00340AEC"/>
    <w:rsid w:val="00342A7A"/>
    <w:rsid w:val="003439DF"/>
    <w:rsid w:val="00350BA4"/>
    <w:rsid w:val="003537FA"/>
    <w:rsid w:val="003546B2"/>
    <w:rsid w:val="00355ACD"/>
    <w:rsid w:val="003575F3"/>
    <w:rsid w:val="0036225D"/>
    <w:rsid w:val="00363C4B"/>
    <w:rsid w:val="003723B7"/>
    <w:rsid w:val="00377A08"/>
    <w:rsid w:val="00385C15"/>
    <w:rsid w:val="003967E4"/>
    <w:rsid w:val="003A0598"/>
    <w:rsid w:val="003A6FDC"/>
    <w:rsid w:val="003B41AA"/>
    <w:rsid w:val="003B4951"/>
    <w:rsid w:val="003C4EE0"/>
    <w:rsid w:val="003C543A"/>
    <w:rsid w:val="003C5DC2"/>
    <w:rsid w:val="003E2B4F"/>
    <w:rsid w:val="003E5CCD"/>
    <w:rsid w:val="003E5D5E"/>
    <w:rsid w:val="003E5F2D"/>
    <w:rsid w:val="003E730F"/>
    <w:rsid w:val="003F2AAD"/>
    <w:rsid w:val="003F31EE"/>
    <w:rsid w:val="003F6585"/>
    <w:rsid w:val="0040369D"/>
    <w:rsid w:val="004069A2"/>
    <w:rsid w:val="0040710C"/>
    <w:rsid w:val="00407E18"/>
    <w:rsid w:val="004106FC"/>
    <w:rsid w:val="00412514"/>
    <w:rsid w:val="004238B0"/>
    <w:rsid w:val="00425121"/>
    <w:rsid w:val="00426C2A"/>
    <w:rsid w:val="00427059"/>
    <w:rsid w:val="00435D4E"/>
    <w:rsid w:val="00450ABB"/>
    <w:rsid w:val="0045465A"/>
    <w:rsid w:val="0045480F"/>
    <w:rsid w:val="00465704"/>
    <w:rsid w:val="00472B05"/>
    <w:rsid w:val="00476C43"/>
    <w:rsid w:val="0047733F"/>
    <w:rsid w:val="00480A82"/>
    <w:rsid w:val="0049561B"/>
    <w:rsid w:val="004A3A8A"/>
    <w:rsid w:val="004B2572"/>
    <w:rsid w:val="004B3EAA"/>
    <w:rsid w:val="004C1CDE"/>
    <w:rsid w:val="004D67BC"/>
    <w:rsid w:val="004E1B63"/>
    <w:rsid w:val="004E2D79"/>
    <w:rsid w:val="004E2F73"/>
    <w:rsid w:val="004E7281"/>
    <w:rsid w:val="00511165"/>
    <w:rsid w:val="00525B01"/>
    <w:rsid w:val="00525C54"/>
    <w:rsid w:val="005311E8"/>
    <w:rsid w:val="00541410"/>
    <w:rsid w:val="00543171"/>
    <w:rsid w:val="005447CB"/>
    <w:rsid w:val="0055246B"/>
    <w:rsid w:val="00554D90"/>
    <w:rsid w:val="00555E22"/>
    <w:rsid w:val="0056278A"/>
    <w:rsid w:val="00571248"/>
    <w:rsid w:val="00596BC1"/>
    <w:rsid w:val="005A3562"/>
    <w:rsid w:val="005A3C68"/>
    <w:rsid w:val="005A3F58"/>
    <w:rsid w:val="005B4EA0"/>
    <w:rsid w:val="005C0A7D"/>
    <w:rsid w:val="005C1AB0"/>
    <w:rsid w:val="005C45D1"/>
    <w:rsid w:val="005D2513"/>
    <w:rsid w:val="005E0019"/>
    <w:rsid w:val="005E0023"/>
    <w:rsid w:val="005F415D"/>
    <w:rsid w:val="00602143"/>
    <w:rsid w:val="00604510"/>
    <w:rsid w:val="00615153"/>
    <w:rsid w:val="006176BE"/>
    <w:rsid w:val="00621F43"/>
    <w:rsid w:val="0062643E"/>
    <w:rsid w:val="00632D0B"/>
    <w:rsid w:val="00636167"/>
    <w:rsid w:val="006373F3"/>
    <w:rsid w:val="00656FF1"/>
    <w:rsid w:val="00661DB4"/>
    <w:rsid w:val="00663DB0"/>
    <w:rsid w:val="00663E67"/>
    <w:rsid w:val="00670BE6"/>
    <w:rsid w:val="0068294E"/>
    <w:rsid w:val="00684F20"/>
    <w:rsid w:val="0069766D"/>
    <w:rsid w:val="006A1989"/>
    <w:rsid w:val="006A4674"/>
    <w:rsid w:val="006A581C"/>
    <w:rsid w:val="006A70C8"/>
    <w:rsid w:val="006B27EC"/>
    <w:rsid w:val="006D7766"/>
    <w:rsid w:val="006E57BD"/>
    <w:rsid w:val="006F23E6"/>
    <w:rsid w:val="006F365F"/>
    <w:rsid w:val="0070092E"/>
    <w:rsid w:val="00704737"/>
    <w:rsid w:val="007211BA"/>
    <w:rsid w:val="00733A96"/>
    <w:rsid w:val="007422C8"/>
    <w:rsid w:val="007465AD"/>
    <w:rsid w:val="007529E4"/>
    <w:rsid w:val="0075643A"/>
    <w:rsid w:val="00772B06"/>
    <w:rsid w:val="0077752C"/>
    <w:rsid w:val="00777664"/>
    <w:rsid w:val="007807F7"/>
    <w:rsid w:val="0078103A"/>
    <w:rsid w:val="00782033"/>
    <w:rsid w:val="00785467"/>
    <w:rsid w:val="007A7D19"/>
    <w:rsid w:val="007B0281"/>
    <w:rsid w:val="007B1F15"/>
    <w:rsid w:val="007B4187"/>
    <w:rsid w:val="007D0821"/>
    <w:rsid w:val="007D7973"/>
    <w:rsid w:val="007E2B96"/>
    <w:rsid w:val="008014B4"/>
    <w:rsid w:val="00801F92"/>
    <w:rsid w:val="00807207"/>
    <w:rsid w:val="00814840"/>
    <w:rsid w:val="0082546D"/>
    <w:rsid w:val="00825D6F"/>
    <w:rsid w:val="008302D0"/>
    <w:rsid w:val="00840E1D"/>
    <w:rsid w:val="00842CEF"/>
    <w:rsid w:val="00864B77"/>
    <w:rsid w:val="00871EEE"/>
    <w:rsid w:val="00877A6D"/>
    <w:rsid w:val="00877B57"/>
    <w:rsid w:val="008809D0"/>
    <w:rsid w:val="00882568"/>
    <w:rsid w:val="00882AA2"/>
    <w:rsid w:val="00884F66"/>
    <w:rsid w:val="00890728"/>
    <w:rsid w:val="008A267B"/>
    <w:rsid w:val="008A2A07"/>
    <w:rsid w:val="008B1543"/>
    <w:rsid w:val="008B2406"/>
    <w:rsid w:val="008B33B0"/>
    <w:rsid w:val="008B4830"/>
    <w:rsid w:val="008D20C2"/>
    <w:rsid w:val="008D2173"/>
    <w:rsid w:val="008D7EF0"/>
    <w:rsid w:val="008E463A"/>
    <w:rsid w:val="008F21B6"/>
    <w:rsid w:val="00902AC8"/>
    <w:rsid w:val="0090576E"/>
    <w:rsid w:val="00910652"/>
    <w:rsid w:val="0091632F"/>
    <w:rsid w:val="00916CD9"/>
    <w:rsid w:val="00920724"/>
    <w:rsid w:val="009228A5"/>
    <w:rsid w:val="00927EEA"/>
    <w:rsid w:val="00930B0F"/>
    <w:rsid w:val="0093126D"/>
    <w:rsid w:val="009321BA"/>
    <w:rsid w:val="00935C6E"/>
    <w:rsid w:val="00944E74"/>
    <w:rsid w:val="00956090"/>
    <w:rsid w:val="00960D80"/>
    <w:rsid w:val="0097608B"/>
    <w:rsid w:val="009766F4"/>
    <w:rsid w:val="00981D86"/>
    <w:rsid w:val="00990926"/>
    <w:rsid w:val="009A4712"/>
    <w:rsid w:val="009A75CE"/>
    <w:rsid w:val="009B1853"/>
    <w:rsid w:val="009B3F4B"/>
    <w:rsid w:val="009C1519"/>
    <w:rsid w:val="009C5D0D"/>
    <w:rsid w:val="009D18FE"/>
    <w:rsid w:val="009D5AA3"/>
    <w:rsid w:val="009D76A8"/>
    <w:rsid w:val="009E7068"/>
    <w:rsid w:val="009F64BE"/>
    <w:rsid w:val="00A25540"/>
    <w:rsid w:val="00A2634B"/>
    <w:rsid w:val="00A506DF"/>
    <w:rsid w:val="00A55F93"/>
    <w:rsid w:val="00A60D1F"/>
    <w:rsid w:val="00A64BF3"/>
    <w:rsid w:val="00A66744"/>
    <w:rsid w:val="00A66F3C"/>
    <w:rsid w:val="00A72FB2"/>
    <w:rsid w:val="00A77434"/>
    <w:rsid w:val="00A932C5"/>
    <w:rsid w:val="00AA7911"/>
    <w:rsid w:val="00AB0F2F"/>
    <w:rsid w:val="00AB20FA"/>
    <w:rsid w:val="00AB749A"/>
    <w:rsid w:val="00AC27C8"/>
    <w:rsid w:val="00AC4CCE"/>
    <w:rsid w:val="00AD0D95"/>
    <w:rsid w:val="00AE4E7F"/>
    <w:rsid w:val="00AF046A"/>
    <w:rsid w:val="00AF4CCE"/>
    <w:rsid w:val="00B005D1"/>
    <w:rsid w:val="00B10627"/>
    <w:rsid w:val="00B24430"/>
    <w:rsid w:val="00B31A62"/>
    <w:rsid w:val="00B33B92"/>
    <w:rsid w:val="00B35272"/>
    <w:rsid w:val="00B37093"/>
    <w:rsid w:val="00B41EE7"/>
    <w:rsid w:val="00B44850"/>
    <w:rsid w:val="00B46D7A"/>
    <w:rsid w:val="00B50A04"/>
    <w:rsid w:val="00B53281"/>
    <w:rsid w:val="00B54356"/>
    <w:rsid w:val="00B545A9"/>
    <w:rsid w:val="00B56FC7"/>
    <w:rsid w:val="00B67CAF"/>
    <w:rsid w:val="00B742FC"/>
    <w:rsid w:val="00B93D7B"/>
    <w:rsid w:val="00BA4E05"/>
    <w:rsid w:val="00BA6CEF"/>
    <w:rsid w:val="00BB39DF"/>
    <w:rsid w:val="00BB592C"/>
    <w:rsid w:val="00BC030B"/>
    <w:rsid w:val="00BC0DE6"/>
    <w:rsid w:val="00BC46C1"/>
    <w:rsid w:val="00BD1023"/>
    <w:rsid w:val="00BD2395"/>
    <w:rsid w:val="00BD48EB"/>
    <w:rsid w:val="00BD5105"/>
    <w:rsid w:val="00BE732F"/>
    <w:rsid w:val="00BE735B"/>
    <w:rsid w:val="00BF1904"/>
    <w:rsid w:val="00C00F56"/>
    <w:rsid w:val="00C14817"/>
    <w:rsid w:val="00C15911"/>
    <w:rsid w:val="00C22F31"/>
    <w:rsid w:val="00C2348F"/>
    <w:rsid w:val="00C3021A"/>
    <w:rsid w:val="00C323D9"/>
    <w:rsid w:val="00C32BF1"/>
    <w:rsid w:val="00C330A4"/>
    <w:rsid w:val="00C3589B"/>
    <w:rsid w:val="00C35DAF"/>
    <w:rsid w:val="00C36C3D"/>
    <w:rsid w:val="00C4049B"/>
    <w:rsid w:val="00C44942"/>
    <w:rsid w:val="00C551BA"/>
    <w:rsid w:val="00C5793A"/>
    <w:rsid w:val="00C62474"/>
    <w:rsid w:val="00C62D32"/>
    <w:rsid w:val="00C636EC"/>
    <w:rsid w:val="00C6448D"/>
    <w:rsid w:val="00C67968"/>
    <w:rsid w:val="00C7271C"/>
    <w:rsid w:val="00C74A64"/>
    <w:rsid w:val="00C75B7B"/>
    <w:rsid w:val="00C77E70"/>
    <w:rsid w:val="00C80852"/>
    <w:rsid w:val="00C8725A"/>
    <w:rsid w:val="00C91290"/>
    <w:rsid w:val="00C916ED"/>
    <w:rsid w:val="00C91E89"/>
    <w:rsid w:val="00CA13D0"/>
    <w:rsid w:val="00CA5356"/>
    <w:rsid w:val="00CA5648"/>
    <w:rsid w:val="00CB1880"/>
    <w:rsid w:val="00CB4DF3"/>
    <w:rsid w:val="00CB63B3"/>
    <w:rsid w:val="00CD1F13"/>
    <w:rsid w:val="00CD3494"/>
    <w:rsid w:val="00CD5C17"/>
    <w:rsid w:val="00CE06DF"/>
    <w:rsid w:val="00CE23C8"/>
    <w:rsid w:val="00CE57D7"/>
    <w:rsid w:val="00CE5881"/>
    <w:rsid w:val="00CF623C"/>
    <w:rsid w:val="00D06046"/>
    <w:rsid w:val="00D06B8D"/>
    <w:rsid w:val="00D157DB"/>
    <w:rsid w:val="00D3010C"/>
    <w:rsid w:val="00D30806"/>
    <w:rsid w:val="00D3654A"/>
    <w:rsid w:val="00D43AF1"/>
    <w:rsid w:val="00D463F0"/>
    <w:rsid w:val="00D47267"/>
    <w:rsid w:val="00D47558"/>
    <w:rsid w:val="00D5676A"/>
    <w:rsid w:val="00D60737"/>
    <w:rsid w:val="00D620B2"/>
    <w:rsid w:val="00D62FD0"/>
    <w:rsid w:val="00D66C34"/>
    <w:rsid w:val="00D70633"/>
    <w:rsid w:val="00D91718"/>
    <w:rsid w:val="00D932CB"/>
    <w:rsid w:val="00D95BEC"/>
    <w:rsid w:val="00D95CBB"/>
    <w:rsid w:val="00D96620"/>
    <w:rsid w:val="00DA1F57"/>
    <w:rsid w:val="00DA5F52"/>
    <w:rsid w:val="00DA666E"/>
    <w:rsid w:val="00DB6461"/>
    <w:rsid w:val="00DB699A"/>
    <w:rsid w:val="00DC24D3"/>
    <w:rsid w:val="00DC32E5"/>
    <w:rsid w:val="00DC4696"/>
    <w:rsid w:val="00DD591B"/>
    <w:rsid w:val="00DD7228"/>
    <w:rsid w:val="00DE2DB0"/>
    <w:rsid w:val="00DE5E5D"/>
    <w:rsid w:val="00DF1785"/>
    <w:rsid w:val="00DF7D80"/>
    <w:rsid w:val="00E05593"/>
    <w:rsid w:val="00E16068"/>
    <w:rsid w:val="00E17DE0"/>
    <w:rsid w:val="00E3317B"/>
    <w:rsid w:val="00E3468B"/>
    <w:rsid w:val="00E41818"/>
    <w:rsid w:val="00E45880"/>
    <w:rsid w:val="00E45B2C"/>
    <w:rsid w:val="00E54D9D"/>
    <w:rsid w:val="00E55342"/>
    <w:rsid w:val="00E6707A"/>
    <w:rsid w:val="00E70D1B"/>
    <w:rsid w:val="00E72374"/>
    <w:rsid w:val="00E825E7"/>
    <w:rsid w:val="00E840BA"/>
    <w:rsid w:val="00E9069B"/>
    <w:rsid w:val="00E946FF"/>
    <w:rsid w:val="00EA047B"/>
    <w:rsid w:val="00EA2334"/>
    <w:rsid w:val="00EB05F9"/>
    <w:rsid w:val="00EB451F"/>
    <w:rsid w:val="00EC0362"/>
    <w:rsid w:val="00EC4F9E"/>
    <w:rsid w:val="00EC55FB"/>
    <w:rsid w:val="00EC786F"/>
    <w:rsid w:val="00ED2DC7"/>
    <w:rsid w:val="00ED6B18"/>
    <w:rsid w:val="00EE63BD"/>
    <w:rsid w:val="00EF3CC4"/>
    <w:rsid w:val="00F01AD0"/>
    <w:rsid w:val="00F1582B"/>
    <w:rsid w:val="00F219A2"/>
    <w:rsid w:val="00F24A3B"/>
    <w:rsid w:val="00F3094F"/>
    <w:rsid w:val="00F32208"/>
    <w:rsid w:val="00F34ED6"/>
    <w:rsid w:val="00F409BE"/>
    <w:rsid w:val="00F4347F"/>
    <w:rsid w:val="00F52825"/>
    <w:rsid w:val="00F55344"/>
    <w:rsid w:val="00F76664"/>
    <w:rsid w:val="00F76E96"/>
    <w:rsid w:val="00F91203"/>
    <w:rsid w:val="00FA0AC9"/>
    <w:rsid w:val="00FB09C1"/>
    <w:rsid w:val="00FB140E"/>
    <w:rsid w:val="00FB6F38"/>
    <w:rsid w:val="00FC49A2"/>
    <w:rsid w:val="00FC6CE4"/>
    <w:rsid w:val="00FD3C21"/>
    <w:rsid w:val="00FD49A4"/>
    <w:rsid w:val="00FF6961"/>
    <w:rsid w:val="00FF7A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SingleTxt"/>
    <w:rsid w:val="00B46D7A"/>
    <w:pPr>
      <w:suppressAutoHyphens/>
      <w:spacing w:line="270" w:lineRule="exact"/>
      <w:outlineLvl w:val="0"/>
    </w:pPr>
    <w:rPr>
      <w:b/>
      <w:sz w:val="24"/>
    </w:rPr>
  </w:style>
  <w:style w:type="paragraph" w:customStyle="1" w:styleId="HCh">
    <w:name w:val="_ H _Ch"/>
    <w:basedOn w:val="H1"/>
    <w:next w:val="SingleTxt"/>
    <w:rsid w:val="00B46D7A"/>
    <w:pPr>
      <w:keepNext/>
      <w:keepLines/>
      <w:spacing w:line="300" w:lineRule="exact"/>
    </w:pPr>
    <w:rPr>
      <w:spacing w:val="-2"/>
      <w:sz w:val="28"/>
    </w:rPr>
  </w:style>
  <w:style w:type="paragraph" w:customStyle="1" w:styleId="H23">
    <w:name w:val="_ H_2/3"/>
    <w:basedOn w:val="H1"/>
    <w:next w:val="SingleTxt"/>
    <w:rsid w:val="00B46D7A"/>
    <w:pPr>
      <w:keepNext/>
      <w:keepLines/>
      <w:spacing w:line="240" w:lineRule="exact"/>
      <w:outlineLvl w:val="1"/>
    </w:pPr>
    <w:rPr>
      <w:spacing w:val="2"/>
      <w:sz w:val="20"/>
    </w:rPr>
  </w:style>
  <w:style w:type="paragraph" w:customStyle="1" w:styleId="H4">
    <w:name w:val="_ H_4"/>
    <w:basedOn w:val="Normal"/>
    <w:next w:val="Normal"/>
    <w:rsid w:val="00B46D7A"/>
    <w:pPr>
      <w:keepNext/>
      <w:keepLines/>
      <w:tabs>
        <w:tab w:val="right" w:pos="360"/>
      </w:tabs>
      <w:suppressAutoHyphens/>
      <w:outlineLvl w:val="3"/>
    </w:pPr>
    <w:rPr>
      <w:i/>
      <w:spacing w:val="3"/>
    </w:rPr>
  </w:style>
  <w:style w:type="paragraph" w:customStyle="1" w:styleId="H56">
    <w:name w:val="_ H_5/6"/>
    <w:basedOn w:val="Normal"/>
    <w:next w:val="Normal"/>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basedOn w:val="DefaultParagraphFont"/>
    <w:semiHidden/>
    <w:rsid w:val="00B46D7A"/>
    <w:rPr>
      <w:sz w:val="6"/>
    </w:rPr>
  </w:style>
  <w:style w:type="character" w:styleId="FootnoteReference">
    <w:name w:val="footnote reference"/>
    <w:aliases w:val="4_GR"/>
    <w:basedOn w:val="DefaultParagraphFont"/>
    <w:semiHidden/>
    <w:rsid w:val="00B46D7A"/>
    <w:rPr>
      <w:spacing w:val="-5"/>
      <w:w w:val="130"/>
      <w:position w:val="-4"/>
      <w:vertAlign w:val="superscript"/>
    </w:rPr>
  </w:style>
  <w:style w:type="character" w:styleId="EndnoteReference">
    <w:name w:val="endnote reference"/>
    <w:basedOn w:val="FootnoteReference"/>
    <w:semiHidden/>
    <w:rsid w:val="00B46D7A"/>
  </w:style>
  <w:style w:type="paragraph" w:styleId="FootnoteText">
    <w:name w:val="footnote text"/>
    <w:basedOn w:val="Normal"/>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B46D7A"/>
  </w:style>
  <w:style w:type="paragraph" w:styleId="Footer">
    <w:name w:val="footer"/>
    <w:rsid w:val="00B46D7A"/>
    <w:pPr>
      <w:tabs>
        <w:tab w:val="center" w:pos="4320"/>
        <w:tab w:val="right" w:pos="8640"/>
      </w:tabs>
    </w:pPr>
    <w:rPr>
      <w:b/>
      <w:noProof/>
      <w:sz w:val="17"/>
    </w:rPr>
  </w:style>
  <w:style w:type="paragraph" w:styleId="Header">
    <w:name w:val="header"/>
    <w:rsid w:val="00B46D7A"/>
    <w:pPr>
      <w:tabs>
        <w:tab w:val="center" w:pos="4320"/>
        <w:tab w:val="right" w:pos="8640"/>
      </w:tabs>
    </w:pPr>
    <w:rPr>
      <w:noProof/>
      <w:sz w:val="17"/>
    </w:rPr>
  </w:style>
  <w:style w:type="character" w:styleId="LineNumber">
    <w:name w:val="line number"/>
    <w:basedOn w:val="DefaultParagraphFont"/>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0F2598"/>
  </w:style>
  <w:style w:type="paragraph" w:styleId="CommentSubject">
    <w:name w:val="annotation subject"/>
    <w:basedOn w:val="CommentText"/>
    <w:next w:val="CommentText"/>
    <w:semiHidden/>
    <w:rsid w:val="000F2598"/>
    <w:rPr>
      <w:b/>
      <w:bCs/>
    </w:rPr>
  </w:style>
  <w:style w:type="paragraph" w:styleId="Date">
    <w:name w:val="Date"/>
    <w:basedOn w:val="Normal"/>
    <w:next w:val="Normal"/>
    <w:semiHidden/>
    <w:rsid w:val="00137D3E"/>
    <w:pPr>
      <w:spacing w:line="240" w:lineRule="atLeast"/>
    </w:pPr>
  </w:style>
  <w:style w:type="character" w:styleId="Hyperlink">
    <w:name w:val="Hyperlink"/>
    <w:basedOn w:val="DefaultParagraphFont"/>
    <w:rsid w:val="00137D3E"/>
    <w:rPr>
      <w:color w:val="0000FF"/>
      <w:u w:val="none"/>
    </w:rPr>
  </w:style>
  <w:style w:type="paragraph" w:customStyle="1" w:styleId="H1GR">
    <w:name w:val="_ H_1_GR"/>
    <w:basedOn w:val="Normal"/>
    <w:next w:val="Normal"/>
    <w:rsid w:val="00FF7AA6"/>
    <w:pPr>
      <w:keepNext/>
      <w:keepLines/>
      <w:tabs>
        <w:tab w:val="right" w:pos="851"/>
      </w:tabs>
      <w:suppressAutoHyphens/>
      <w:spacing w:before="360" w:after="240" w:line="270" w:lineRule="exact"/>
      <w:ind w:left="1134" w:right="1134" w:hanging="1134"/>
    </w:pPr>
    <w:rPr>
      <w:b/>
      <w:sz w:val="24"/>
      <w:lang w:eastAsia="ru-RU"/>
    </w:rPr>
  </w:style>
  <w:style w:type="paragraph" w:customStyle="1" w:styleId="HChGR">
    <w:name w:val="_ H _Ch_GR"/>
    <w:basedOn w:val="Normal"/>
    <w:next w:val="Normal"/>
    <w:rsid w:val="00FF7AA6"/>
    <w:pPr>
      <w:keepNext/>
      <w:keepLines/>
      <w:tabs>
        <w:tab w:val="right" w:pos="851"/>
      </w:tabs>
      <w:suppressAutoHyphens/>
      <w:spacing w:before="360" w:after="240" w:line="300" w:lineRule="exact"/>
      <w:ind w:left="1134" w:right="1134" w:hanging="1134"/>
    </w:pPr>
    <w:rPr>
      <w:b/>
      <w:sz w:val="28"/>
      <w:lang w:eastAsia="ru-RU"/>
    </w:rPr>
  </w:style>
  <w:style w:type="paragraph" w:customStyle="1" w:styleId="SingleTxtGR">
    <w:name w:val="_ Single Txt_GR"/>
    <w:basedOn w:val="Normal"/>
    <w:rsid w:val="00FF7AA6"/>
    <w:pPr>
      <w:tabs>
        <w:tab w:val="left" w:pos="1701"/>
        <w:tab w:val="left" w:pos="2268"/>
        <w:tab w:val="left" w:pos="2835"/>
        <w:tab w:val="left" w:pos="3402"/>
        <w:tab w:val="left" w:pos="3969"/>
      </w:tabs>
      <w:spacing w:after="120" w:line="240" w:lineRule="atLeast"/>
      <w:ind w:left="1134" w:right="1134"/>
      <w:jc w:val="both"/>
    </w:pPr>
  </w:style>
  <w:style w:type="character" w:styleId="FollowedHyperlink">
    <w:name w:val="FollowedHyperlink"/>
    <w:basedOn w:val="DefaultParagraphFont"/>
    <w:rsid w:val="00935C6E"/>
    <w:rPr>
      <w:color w:val="0000FF"/>
      <w:u w:val="none"/>
    </w:rPr>
  </w:style>
</w:styles>
</file>

<file path=word/webSettings.xml><?xml version="1.0" encoding="utf-8"?>
<w:webSettings xmlns:r="http://schemas.openxmlformats.org/officeDocument/2006/relationships" xmlns:w="http://schemas.openxmlformats.org/wordprocessingml/2006/main">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7046</Words>
  <Characters>40165</Characters>
  <Application>Microsoft Office Outlook</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RTPU User</dc:creator>
  <cp:keywords/>
  <dc:description/>
  <cp:lastModifiedBy>RTPU User</cp:lastModifiedBy>
  <cp:revision>4</cp:revision>
  <cp:lastPrinted>2013-11-14T10:44:00Z</cp:lastPrinted>
  <dcterms:created xsi:type="dcterms:W3CDTF">2013-11-14T16:55:00Z</dcterms:created>
  <dcterms:modified xsi:type="dcterms:W3CDTF">2013-11-14T17:52:00Z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1353307</vt:lpwstr>
  </property>
  <property fmtid="{D5CDD505-2E9C-101B-9397-08002B2CF9AE}" pid="3" name="Symbol1">
    <vt:lpwstr>CEDAW/C/56/D/29/2011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17</vt:lpwstr>
  </property>
  <property fmtid="{D5CDD505-2E9C-101B-9397-08002B2CF9AE}" pid="8" name="Operator">
    <vt:lpwstr>Fedorova</vt:lpwstr>
  </property>
</Properties>
</file>