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D8" w:rsidRPr="006546D8" w:rsidRDefault="00EA3CD9" w:rsidP="006546D8">
      <w:pPr>
        <w:spacing w:line="240" w:lineRule="auto"/>
        <w:rPr>
          <w:sz w:val="2"/>
        </w:rPr>
        <w:sectPr w:rsidR="006546D8" w:rsidRPr="006546D8" w:rsidSect="00C128E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amp;Size =1&amp;Lang = E"/>
          </v:shape>
        </w:pict>
      </w:r>
      <w:commentRangeEnd w:id="0"/>
      <w:r w:rsidR="006546D8" w:rsidRPr="006546D8">
        <w:rPr>
          <w:rStyle w:val="CommentReference"/>
          <w:sz w:val="2"/>
        </w:rPr>
        <w:commentReference w:id="0"/>
      </w:r>
    </w:p>
    <w:p w:rsidR="00C128EE" w:rsidRDefault="00C128EE" w:rsidP="00C128EE">
      <w:pPr>
        <w:pStyle w:val="H1"/>
        <w:ind w:left="0" w:firstLine="0"/>
      </w:pPr>
      <w:r>
        <w:t xml:space="preserve">Committee on the Elimination of Discrimination </w:t>
      </w:r>
      <w:r>
        <w:br/>
        <w:t xml:space="preserve">against Women </w:t>
      </w:r>
    </w:p>
    <w:p w:rsidR="00C128EE" w:rsidRDefault="00C128EE" w:rsidP="00C128EE">
      <w:pPr>
        <w:pStyle w:val="H23"/>
      </w:pPr>
      <w:r>
        <w:t>Fifty-eighth session</w:t>
      </w:r>
    </w:p>
    <w:p w:rsidR="00C128EE" w:rsidRDefault="00C128EE" w:rsidP="00C128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30 June-18 July 2014</w:t>
      </w:r>
    </w:p>
    <w:p w:rsidR="00C128EE" w:rsidRDefault="00C128EE" w:rsidP="00C128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Item 2 of the provisional agenda</w:t>
      </w:r>
    </w:p>
    <w:p w:rsidR="00C128EE" w:rsidRDefault="00C128EE" w:rsidP="00C128EE">
      <w:pPr>
        <w:pStyle w:val="H23"/>
      </w:pPr>
      <w:r>
        <w:t>Adoption of the agenda and organization of work</w:t>
      </w: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Default="00C128EE" w:rsidP="00C128EE">
      <w:pPr>
        <w:pStyle w:val="HCh"/>
      </w:pPr>
      <w:r>
        <w:tab/>
      </w:r>
      <w:r>
        <w:tab/>
        <w:t xml:space="preserve">Provisional agenda and annotations </w:t>
      </w: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Default="00C128EE" w:rsidP="00C128EE">
      <w:pPr>
        <w:pStyle w:val="H1"/>
      </w:pPr>
      <w:r>
        <w:tab/>
      </w:r>
      <w:r>
        <w:tab/>
        <w:t>Provisional agenda</w:t>
      </w: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Default="00C128EE" w:rsidP="00380666">
      <w:pPr>
        <w:pStyle w:val="SingleTxt"/>
        <w:jc w:val="left"/>
      </w:pPr>
      <w:r>
        <w:t>1.</w:t>
      </w:r>
      <w:r>
        <w:tab/>
        <w:t>Opening of the session.</w:t>
      </w:r>
    </w:p>
    <w:p w:rsidR="00C128EE" w:rsidRDefault="00C128EE" w:rsidP="00380666">
      <w:pPr>
        <w:pStyle w:val="SingleTxt"/>
        <w:jc w:val="left"/>
      </w:pPr>
      <w:r>
        <w:t>2.</w:t>
      </w:r>
      <w:r>
        <w:tab/>
        <w:t>Adoption of the agenda and organization of work.</w:t>
      </w:r>
    </w:p>
    <w:p w:rsidR="00C128EE" w:rsidRDefault="00C128EE" w:rsidP="00380666">
      <w:pPr>
        <w:pStyle w:val="SingleTxt"/>
        <w:ind w:left="1742" w:hanging="475"/>
        <w:jc w:val="left"/>
      </w:pPr>
      <w:r>
        <w:t>3.</w:t>
      </w:r>
      <w:r>
        <w:tab/>
        <w:t>Report of the Chair on activities undertaken between the fifty-seventh and fifty-eighth sessions of the Committee.</w:t>
      </w:r>
    </w:p>
    <w:p w:rsidR="00C128EE" w:rsidRDefault="00C128EE" w:rsidP="00380666">
      <w:pPr>
        <w:pStyle w:val="SingleTxt"/>
        <w:ind w:left="1742" w:hanging="475"/>
        <w:jc w:val="left"/>
      </w:pPr>
      <w:r>
        <w:t>4.</w:t>
      </w:r>
      <w:r>
        <w:tab/>
        <w:t>Consideration of reports submitted by States parties under article 18 of the Convention on the Elimination of All Forms of Discrimination against Women.</w:t>
      </w:r>
    </w:p>
    <w:p w:rsidR="00C128EE" w:rsidRDefault="00C128EE" w:rsidP="00380666">
      <w:pPr>
        <w:pStyle w:val="SingleTxt"/>
        <w:ind w:left="1742" w:hanging="475"/>
        <w:jc w:val="left"/>
      </w:pPr>
      <w:r>
        <w:t>5.</w:t>
      </w:r>
      <w:r>
        <w:tab/>
        <w:t>Follow-up to the consideration of reports submitted by States parties under article 18 of the Convention on the Elimination of All Forms of Discrimination against Women.</w:t>
      </w:r>
    </w:p>
    <w:p w:rsidR="00C128EE" w:rsidRDefault="00C128EE" w:rsidP="00380666">
      <w:pPr>
        <w:pStyle w:val="SingleTxt"/>
        <w:ind w:left="1742" w:hanging="475"/>
        <w:jc w:val="left"/>
      </w:pPr>
      <w:r>
        <w:t>6.</w:t>
      </w:r>
      <w:r>
        <w:tab/>
        <w:t>Implementation of articles 21 and 22 of the Convention on the Elimination of All Forms of Discrimination against Women.</w:t>
      </w:r>
    </w:p>
    <w:p w:rsidR="00C128EE" w:rsidRDefault="00C128EE" w:rsidP="00380666">
      <w:pPr>
        <w:pStyle w:val="SingleTxt"/>
        <w:jc w:val="left"/>
      </w:pPr>
      <w:r>
        <w:t>7.</w:t>
      </w:r>
      <w:r>
        <w:tab/>
        <w:t>Ways and means of expediting the work of the Committee.</w:t>
      </w:r>
    </w:p>
    <w:p w:rsidR="00C128EE" w:rsidRDefault="00C128EE" w:rsidP="00380666">
      <w:pPr>
        <w:pStyle w:val="SingleTxt"/>
        <w:ind w:left="1742" w:hanging="475"/>
        <w:jc w:val="left"/>
      </w:pPr>
      <w:r>
        <w:t>8.</w:t>
      </w:r>
      <w:r>
        <w:tab/>
        <w:t>Activities of the Committee under the Optional Protocol to the Convention on the Elimination of All Forms of Discrimination against Women.</w:t>
      </w:r>
    </w:p>
    <w:p w:rsidR="00C128EE" w:rsidRDefault="00C128EE" w:rsidP="00380666">
      <w:pPr>
        <w:pStyle w:val="SingleTxt"/>
        <w:jc w:val="left"/>
      </w:pPr>
      <w:r>
        <w:t>9.</w:t>
      </w:r>
      <w:r>
        <w:tab/>
        <w:t>Provisional agenda for the fifty-ninth session of the Committee.</w:t>
      </w:r>
    </w:p>
    <w:p w:rsidR="00C128EE" w:rsidRDefault="00C128EE" w:rsidP="00380666">
      <w:pPr>
        <w:pStyle w:val="SingleTxt"/>
        <w:jc w:val="left"/>
      </w:pPr>
      <w:r>
        <w:t>10.</w:t>
      </w:r>
      <w:r>
        <w:tab/>
        <w:t>Adoption of the report of the Committee on its fifty-eighth session.</w:t>
      </w: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Default="00C25C6F" w:rsidP="00C128EE">
      <w:pPr>
        <w:pStyle w:val="H1"/>
      </w:pPr>
      <w:r>
        <w:br w:type="page"/>
      </w:r>
      <w:r w:rsidR="00C128EE">
        <w:tab/>
      </w:r>
      <w:r w:rsidR="00C128EE">
        <w:tab/>
        <w:t>Annotations</w:t>
      </w:r>
    </w:p>
    <w:p w:rsidR="00C128EE" w:rsidRPr="00C128EE" w:rsidRDefault="00C128EE" w:rsidP="00C128EE">
      <w:pPr>
        <w:pStyle w:val="SingleTxt"/>
        <w:spacing w:after="0" w:line="120" w:lineRule="exact"/>
        <w:rPr>
          <w:sz w:val="10"/>
        </w:rPr>
      </w:pPr>
    </w:p>
    <w:p w:rsidR="00C128EE" w:rsidRPr="00C128EE" w:rsidRDefault="00C128EE" w:rsidP="00C128EE">
      <w:pPr>
        <w:pStyle w:val="SingleTxt"/>
        <w:spacing w:after="0" w:line="120" w:lineRule="exact"/>
        <w:rPr>
          <w:sz w:val="10"/>
        </w:rPr>
      </w:pPr>
    </w:p>
    <w:p w:rsidR="00C128EE" w:rsidRDefault="00C128EE" w:rsidP="00C128EE">
      <w:pPr>
        <w:pStyle w:val="H23"/>
      </w:pPr>
      <w:r>
        <w:tab/>
        <w:t>1.</w:t>
      </w:r>
      <w:r>
        <w:tab/>
        <w:t>Opening of the session</w:t>
      </w:r>
    </w:p>
    <w:p w:rsidR="00C128EE" w:rsidRPr="00C128EE" w:rsidRDefault="00C128EE" w:rsidP="00C128EE">
      <w:pPr>
        <w:pStyle w:val="SingleTxt"/>
        <w:spacing w:after="0" w:line="120" w:lineRule="exact"/>
        <w:rPr>
          <w:sz w:val="10"/>
        </w:rPr>
      </w:pPr>
    </w:p>
    <w:p w:rsidR="00C128EE" w:rsidRDefault="00C128EE" w:rsidP="00C128EE">
      <w:pPr>
        <w:pStyle w:val="SingleTxt"/>
      </w:pPr>
      <w:r>
        <w:t>The fifty-eighth session of the Committee on the Elimination of Discrimination against Women will be opened by the Chair of the Committee.</w:t>
      </w:r>
    </w:p>
    <w:p w:rsidR="009A37E1" w:rsidRPr="009A37E1" w:rsidRDefault="009A37E1" w:rsidP="009A37E1">
      <w:pPr>
        <w:pStyle w:val="SingleTxt"/>
        <w:spacing w:after="0" w:line="120" w:lineRule="exact"/>
        <w:rPr>
          <w:sz w:val="10"/>
        </w:rPr>
      </w:pPr>
    </w:p>
    <w:p w:rsidR="00C128EE" w:rsidRDefault="00C128EE" w:rsidP="00C128EE">
      <w:pPr>
        <w:pStyle w:val="H23"/>
      </w:pPr>
      <w:r>
        <w:tab/>
        <w:t>2.</w:t>
      </w:r>
      <w:r>
        <w:tab/>
        <w:t>Adoption of the agenda and organization of work</w:t>
      </w:r>
    </w:p>
    <w:p w:rsidR="00C128EE" w:rsidRPr="00C128EE" w:rsidRDefault="00C128EE" w:rsidP="00C128EE">
      <w:pPr>
        <w:pStyle w:val="SingleTxt"/>
        <w:spacing w:after="0" w:line="120" w:lineRule="exact"/>
        <w:rPr>
          <w:sz w:val="10"/>
        </w:rPr>
      </w:pPr>
    </w:p>
    <w:p w:rsidR="00C128EE" w:rsidRDefault="00C128EE" w:rsidP="00C128EE">
      <w:pPr>
        <w:pStyle w:val="SingleTxt"/>
      </w:pPr>
      <w:r>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rsidR="00C128EE" w:rsidRDefault="00C128EE" w:rsidP="00C128EE">
      <w:pPr>
        <w:pStyle w:val="SingleTxt"/>
      </w:pPr>
      <w:r>
        <w:t>At its fifty-seventh session, the Committee approved the provisional agenda for its fifty-eighth session.</w:t>
      </w:r>
    </w:p>
    <w:p w:rsidR="009A37E1" w:rsidRPr="009A37E1" w:rsidRDefault="009A37E1" w:rsidP="009A37E1">
      <w:pPr>
        <w:pStyle w:val="SingleTxt"/>
        <w:spacing w:after="0" w:line="120" w:lineRule="exact"/>
        <w:rPr>
          <w:sz w:val="10"/>
        </w:rPr>
      </w:pPr>
    </w:p>
    <w:p w:rsidR="00C128EE" w:rsidRDefault="00C128EE" w:rsidP="00C128EE">
      <w:pPr>
        <w:pStyle w:val="H23"/>
      </w:pPr>
      <w:r>
        <w:tab/>
        <w:t>3.</w:t>
      </w:r>
      <w:r>
        <w:tab/>
        <w:t>Report of the Chair on activities undertaken between the fifty-seventh and fifty-eighth sessions of the Committee</w:t>
      </w:r>
    </w:p>
    <w:p w:rsidR="00C128EE" w:rsidRPr="00C128EE" w:rsidRDefault="00C128EE" w:rsidP="00C128EE">
      <w:pPr>
        <w:pStyle w:val="SingleTxt"/>
        <w:spacing w:after="0" w:line="120" w:lineRule="exact"/>
        <w:rPr>
          <w:sz w:val="10"/>
        </w:rPr>
      </w:pPr>
    </w:p>
    <w:p w:rsidR="00C128EE" w:rsidRDefault="00C128EE" w:rsidP="00C128EE">
      <w:pPr>
        <w:pStyle w:val="SingleTxt"/>
      </w:pPr>
      <w:r>
        <w:t>Under item 3, the Chair will provide a briefing to the Committee on activities and events having occurred since the previous session that had a bearing on the work of the Committee.</w:t>
      </w:r>
    </w:p>
    <w:p w:rsidR="00C128EE" w:rsidRPr="00C128EE" w:rsidRDefault="00C128EE" w:rsidP="00C128EE">
      <w:pPr>
        <w:pStyle w:val="SingleTxt"/>
        <w:spacing w:after="0" w:line="120" w:lineRule="exact"/>
        <w:rPr>
          <w:sz w:val="10"/>
        </w:rPr>
      </w:pPr>
    </w:p>
    <w:p w:rsidR="00C128EE" w:rsidRDefault="00C128EE" w:rsidP="00C128EE">
      <w:pPr>
        <w:pStyle w:val="H23"/>
      </w:pPr>
      <w:r>
        <w:tab/>
      </w:r>
      <w:r>
        <w:tab/>
        <w:t>Documentation</w:t>
      </w:r>
    </w:p>
    <w:p w:rsidR="00C128EE" w:rsidRPr="00C128EE" w:rsidRDefault="00C128EE" w:rsidP="00C128EE">
      <w:pPr>
        <w:pStyle w:val="SingleTxt"/>
        <w:spacing w:after="0" w:line="120" w:lineRule="exact"/>
        <w:rPr>
          <w:sz w:val="10"/>
        </w:rPr>
      </w:pPr>
    </w:p>
    <w:p w:rsidR="00C128EE" w:rsidRDefault="00C128EE" w:rsidP="00C128EE">
      <w:pPr>
        <w:pStyle w:val="SingleTxt"/>
      </w:pPr>
      <w:r>
        <w:t>Provisional agenda and annotations (</w:t>
      </w:r>
      <w:hyperlink r:id="rId14" w:history="1">
        <w:r w:rsidRPr="009A37E1">
          <w:rPr>
            <w:rStyle w:val="Hyperlink"/>
          </w:rPr>
          <w:t>CEDAW/C/58/1</w:t>
        </w:r>
      </w:hyperlink>
      <w:r>
        <w:t>)</w:t>
      </w:r>
    </w:p>
    <w:p w:rsidR="00C128EE" w:rsidRPr="00C128EE" w:rsidRDefault="00C128EE" w:rsidP="00C128EE">
      <w:pPr>
        <w:pStyle w:val="SingleTxt"/>
        <w:spacing w:after="0" w:line="120" w:lineRule="exact"/>
        <w:rPr>
          <w:sz w:val="10"/>
        </w:rPr>
      </w:pPr>
    </w:p>
    <w:p w:rsidR="00C128EE" w:rsidRDefault="00C128EE" w:rsidP="00C128EE">
      <w:pPr>
        <w:pStyle w:val="H23"/>
      </w:pPr>
      <w:r>
        <w:tab/>
        <w:t>4.</w:t>
      </w:r>
      <w:r>
        <w:tab/>
        <w:t>Consideration of reports submitted by States parties under article 18 of the Convention on the Elimination of All Forms of Discrimination against Women</w:t>
      </w:r>
    </w:p>
    <w:p w:rsidR="00C128EE" w:rsidRPr="00C128EE" w:rsidRDefault="00C128EE" w:rsidP="00C128EE">
      <w:pPr>
        <w:pStyle w:val="SingleTxt"/>
        <w:spacing w:after="0" w:line="120" w:lineRule="exact"/>
        <w:rPr>
          <w:sz w:val="10"/>
        </w:rPr>
      </w:pPr>
    </w:p>
    <w:p w:rsidR="00C128EE" w:rsidRDefault="00C128EE" w:rsidP="00C128EE">
      <w:pPr>
        <w:pStyle w:val="SingleTxt"/>
      </w:pPr>
      <w:r>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rsidR="00C128EE" w:rsidRDefault="00C128EE" w:rsidP="00C128EE">
      <w:pPr>
        <w:pStyle w:val="SingleTxt"/>
      </w:pPr>
      <w:r>
        <w:t>The reports of the following States parties are scheduled to be considered at the fifty-eighth session of the Committee: Central African Republic, Georgia, India, Lithuania, Mauritania, Peru, Swaziland and Syrian Arab Republic.</w:t>
      </w:r>
    </w:p>
    <w:p w:rsidR="00C128EE" w:rsidRDefault="00C128EE" w:rsidP="00C128EE">
      <w:pPr>
        <w:pStyle w:val="SingleTxt"/>
      </w:pPr>
      <w:r>
        <w:t>Rule 51 of the rules of procedure provides that representatives of a State party shall be present at meetings of the Committee when the report of that State party is being examined and shall participate in discussions and answer questions concerning the report.</w:t>
      </w:r>
    </w:p>
    <w:p w:rsidR="00C128EE" w:rsidRDefault="00C128EE" w:rsidP="00C128EE">
      <w:pPr>
        <w:pStyle w:val="SingleTxt"/>
      </w:pPr>
      <w:r>
        <w:t>Rule 49 of the rules of procedure provides that, at each session, the Secretary-General shall notify the Committee of the non-receipt of any report required from a State party under article 18 of the Convention. The Secretary-General also provides the Committee with a list of reports submitted by States parties to the Convention, as well as a list of reports submitted by States parties to the Convention that have not yet been considered by the Committee.</w:t>
      </w:r>
    </w:p>
    <w:p w:rsidR="00C128EE" w:rsidRDefault="00C128EE" w:rsidP="00C128EE">
      <w:pPr>
        <w:pStyle w:val="SingleTxt"/>
      </w:pPr>
      <w:r>
        <w:t>At its fifty-eighth session, the Committee will be informed of the status of submission of overdue reports by States parties under article 18 of the Convention.</w:t>
      </w:r>
    </w:p>
    <w:p w:rsidR="00C128EE" w:rsidRDefault="00C128EE" w:rsidP="00C128EE">
      <w:pPr>
        <w:pStyle w:val="SingleTxt"/>
      </w:pPr>
      <w:r>
        <w:t xml:space="preserve">A pre-sessional working group of the Committee is convened before each session to </w:t>
      </w:r>
      <w:r w:rsidRPr="00C128EE">
        <w:rPr>
          <w:spacing w:val="2"/>
        </w:rPr>
        <w:t xml:space="preserve">prepare lists of issues and questions relating to reports for transmission to States parties before the meetings at which their reports are to be considered. The pre sessional working group for the fifty-eighth session met in Geneva from 21 to </w:t>
      </w:r>
      <w:r>
        <w:rPr>
          <w:spacing w:val="2"/>
        </w:rPr>
        <w:br/>
      </w:r>
      <w:r w:rsidRPr="00C128EE">
        <w:rPr>
          <w:spacing w:val="2"/>
        </w:rPr>
        <w:t>25 October 2013. The report of the pre-sessional working group (</w:t>
      </w:r>
      <w:hyperlink r:id="rId15" w:history="1">
        <w:r w:rsidRPr="009A37E1">
          <w:rPr>
            <w:rStyle w:val="Hyperlink"/>
            <w:spacing w:val="2"/>
          </w:rPr>
          <w:t>CEDAW/C/PSWG/58/1</w:t>
        </w:r>
      </w:hyperlink>
      <w:r w:rsidRPr="00C128EE">
        <w:rPr>
          <w:spacing w:val="2"/>
        </w:rPr>
        <w:t>) and</w:t>
      </w:r>
      <w:r>
        <w:t xml:space="preserve"> the responses of States parties to the lists of issues and questions will be before the Committee.</w:t>
      </w:r>
    </w:p>
    <w:p w:rsidR="00C128EE" w:rsidRPr="00C128EE" w:rsidRDefault="00C128EE" w:rsidP="00C128EE">
      <w:pPr>
        <w:pStyle w:val="SingleTxt"/>
        <w:spacing w:after="0" w:line="120" w:lineRule="exact"/>
        <w:rPr>
          <w:sz w:val="10"/>
        </w:rPr>
      </w:pPr>
    </w:p>
    <w:p w:rsidR="00C128EE" w:rsidRDefault="00C128EE" w:rsidP="00C128EE">
      <w:pPr>
        <w:pStyle w:val="H23"/>
      </w:pPr>
      <w:r>
        <w:tab/>
      </w:r>
      <w:r>
        <w:tab/>
        <w:t>Documentation</w:t>
      </w:r>
    </w:p>
    <w:p w:rsidR="00C128EE" w:rsidRPr="00C128EE" w:rsidRDefault="00C128EE" w:rsidP="00C128EE">
      <w:pPr>
        <w:pStyle w:val="SingleTxt"/>
        <w:spacing w:after="0" w:line="120" w:lineRule="exact"/>
        <w:rPr>
          <w:sz w:val="10"/>
        </w:rPr>
      </w:pPr>
    </w:p>
    <w:p w:rsidR="00C128EE" w:rsidRDefault="00C128EE" w:rsidP="00C128EE">
      <w:pPr>
        <w:pStyle w:val="H4"/>
      </w:pPr>
      <w:r>
        <w:tab/>
      </w:r>
      <w:r>
        <w:tab/>
        <w:t>Reports</w:t>
      </w:r>
    </w:p>
    <w:p w:rsidR="00C128EE" w:rsidRPr="00C128EE" w:rsidRDefault="00C128EE" w:rsidP="00C128EE">
      <w:pPr>
        <w:spacing w:line="120" w:lineRule="exact"/>
        <w:rPr>
          <w:sz w:val="10"/>
        </w:rPr>
      </w:pPr>
    </w:p>
    <w:p w:rsidR="00C128EE" w:rsidRDefault="00C128EE" w:rsidP="00C128EE">
      <w:pPr>
        <w:pStyle w:val="SingleTxt"/>
      </w:pPr>
      <w:r>
        <w:t>Combined initial and second to fifth periodic reports of the Central African Republic (</w:t>
      </w:r>
      <w:hyperlink r:id="rId16" w:history="1">
        <w:r w:rsidRPr="009A37E1">
          <w:rPr>
            <w:rStyle w:val="Hyperlink"/>
          </w:rPr>
          <w:t>CEDAW/C/CAF/1-5</w:t>
        </w:r>
      </w:hyperlink>
      <w:r>
        <w:t>)</w:t>
      </w:r>
    </w:p>
    <w:p w:rsidR="00C128EE" w:rsidRDefault="00C128EE" w:rsidP="00C128EE">
      <w:pPr>
        <w:pStyle w:val="SingleTxt"/>
      </w:pPr>
      <w:r>
        <w:t>Combined fourth and fifth periodic reports of Georgia (</w:t>
      </w:r>
      <w:hyperlink r:id="rId17" w:history="1">
        <w:r w:rsidRPr="009A37E1">
          <w:rPr>
            <w:rStyle w:val="Hyperlink"/>
          </w:rPr>
          <w:t>CEDAW/C/GEO/4-5</w:t>
        </w:r>
      </w:hyperlink>
      <w:r>
        <w:t>)</w:t>
      </w:r>
    </w:p>
    <w:p w:rsidR="00C128EE" w:rsidRDefault="00C128EE" w:rsidP="00C128EE">
      <w:pPr>
        <w:pStyle w:val="SingleTxt"/>
      </w:pPr>
      <w:r>
        <w:t>Combined fourth and fifth periodic reports of India (</w:t>
      </w:r>
      <w:hyperlink r:id="rId18" w:history="1">
        <w:r w:rsidRPr="009A37E1">
          <w:rPr>
            <w:rStyle w:val="Hyperlink"/>
          </w:rPr>
          <w:t>CEDAW/C/IND/4-5</w:t>
        </w:r>
      </w:hyperlink>
      <w:r>
        <w:t xml:space="preserve"> and Corr.1)</w:t>
      </w:r>
    </w:p>
    <w:p w:rsidR="00C128EE" w:rsidRDefault="00C128EE" w:rsidP="00C128EE">
      <w:pPr>
        <w:pStyle w:val="SingleTxt"/>
      </w:pPr>
      <w:r>
        <w:t>Fifth periodic report of Lithuania (</w:t>
      </w:r>
      <w:hyperlink r:id="rId19" w:history="1">
        <w:r w:rsidRPr="009A37E1">
          <w:rPr>
            <w:rStyle w:val="Hyperlink"/>
          </w:rPr>
          <w:t>CEDAW/C/LTU/5</w:t>
        </w:r>
      </w:hyperlink>
      <w:r>
        <w:t>)</w:t>
      </w:r>
    </w:p>
    <w:p w:rsidR="00C128EE" w:rsidRDefault="00C128EE" w:rsidP="00C128EE">
      <w:pPr>
        <w:pStyle w:val="SingleTxt"/>
      </w:pPr>
      <w:r>
        <w:t>Combined second and third periodic reports of Mauritania (</w:t>
      </w:r>
      <w:hyperlink r:id="rId20" w:history="1">
        <w:r w:rsidRPr="009A37E1">
          <w:rPr>
            <w:rStyle w:val="Hyperlink"/>
          </w:rPr>
          <w:t>CEDAW/C/MRT/2-3</w:t>
        </w:r>
      </w:hyperlink>
      <w:r>
        <w:t>)</w:t>
      </w:r>
    </w:p>
    <w:p w:rsidR="00C128EE" w:rsidRDefault="00C128EE" w:rsidP="00C128EE">
      <w:pPr>
        <w:pStyle w:val="SingleTxt"/>
      </w:pPr>
      <w:r>
        <w:t>Combined seventh and eighth periodic reports of Peru (</w:t>
      </w:r>
      <w:hyperlink r:id="rId21" w:history="1">
        <w:r w:rsidRPr="009A37E1">
          <w:rPr>
            <w:rStyle w:val="Hyperlink"/>
          </w:rPr>
          <w:t>CEDAW/C/PER/7-8</w:t>
        </w:r>
      </w:hyperlink>
      <w:r>
        <w:t>)</w:t>
      </w:r>
    </w:p>
    <w:p w:rsidR="00C128EE" w:rsidRDefault="00C128EE" w:rsidP="00C128EE">
      <w:pPr>
        <w:pStyle w:val="SingleTxt"/>
      </w:pPr>
      <w:r>
        <w:t>Combined initial and second periodic reports of Swaziland (</w:t>
      </w:r>
      <w:hyperlink r:id="rId22" w:history="1">
        <w:r w:rsidRPr="009A37E1">
          <w:rPr>
            <w:rStyle w:val="Hyperlink"/>
          </w:rPr>
          <w:t>CEDAW/C/SWZ/1-2</w:t>
        </w:r>
      </w:hyperlink>
      <w:r>
        <w:t>)</w:t>
      </w:r>
    </w:p>
    <w:p w:rsidR="00C128EE" w:rsidRDefault="00C128EE" w:rsidP="00C128EE">
      <w:pPr>
        <w:pStyle w:val="SingleTxt"/>
      </w:pPr>
      <w:r>
        <w:t>Second periodic report of the Syrian Arab Republic (</w:t>
      </w:r>
      <w:hyperlink r:id="rId23" w:history="1">
        <w:r w:rsidRPr="009A37E1">
          <w:rPr>
            <w:rStyle w:val="Hyperlink"/>
          </w:rPr>
          <w:t>CEDAW/C/SYR/2</w:t>
        </w:r>
      </w:hyperlink>
      <w:r>
        <w:t>)</w:t>
      </w:r>
    </w:p>
    <w:p w:rsidR="00C128EE" w:rsidRPr="00C128EE" w:rsidRDefault="00C128EE" w:rsidP="00C128EE">
      <w:pPr>
        <w:pStyle w:val="SingleTxt"/>
        <w:spacing w:after="0" w:line="120" w:lineRule="exact"/>
        <w:rPr>
          <w:sz w:val="10"/>
        </w:rPr>
      </w:pPr>
    </w:p>
    <w:p w:rsidR="00C128EE" w:rsidRDefault="00C128EE" w:rsidP="00C25C6F">
      <w:pPr>
        <w:pStyle w:val="H4"/>
      </w:pPr>
      <w:r>
        <w:tab/>
      </w:r>
      <w:r>
        <w:tab/>
        <w:t xml:space="preserve">Lists of issues and questions </w:t>
      </w:r>
    </w:p>
    <w:p w:rsidR="00C128EE" w:rsidRPr="00C128EE" w:rsidRDefault="00C128EE" w:rsidP="00C128EE">
      <w:pPr>
        <w:pStyle w:val="SingleTxt"/>
        <w:spacing w:after="0" w:line="120" w:lineRule="exact"/>
        <w:rPr>
          <w:sz w:val="10"/>
        </w:rPr>
      </w:pPr>
    </w:p>
    <w:p w:rsidR="00C128EE" w:rsidRDefault="00C128EE" w:rsidP="00C128EE">
      <w:pPr>
        <w:pStyle w:val="SingleTxt"/>
      </w:pPr>
      <w:r>
        <w:t>Central African Republic (</w:t>
      </w:r>
      <w:hyperlink r:id="rId24" w:history="1">
        <w:r w:rsidRPr="009A37E1">
          <w:rPr>
            <w:rStyle w:val="Hyperlink"/>
          </w:rPr>
          <w:t>CEDAW/C/CAF/Q/1-5</w:t>
        </w:r>
      </w:hyperlink>
      <w:r>
        <w:t>)</w:t>
      </w:r>
    </w:p>
    <w:p w:rsidR="00C128EE" w:rsidRDefault="00C128EE" w:rsidP="00C128EE">
      <w:pPr>
        <w:pStyle w:val="SingleTxt"/>
      </w:pPr>
      <w:r>
        <w:t>Georgia (</w:t>
      </w:r>
      <w:hyperlink r:id="rId25" w:history="1">
        <w:r w:rsidRPr="009A37E1">
          <w:rPr>
            <w:rStyle w:val="Hyperlink"/>
          </w:rPr>
          <w:t>CEDAW/C/GEO/Q/4-5</w:t>
        </w:r>
      </w:hyperlink>
      <w:r>
        <w:t>)</w:t>
      </w:r>
    </w:p>
    <w:p w:rsidR="00C128EE" w:rsidRDefault="00C128EE" w:rsidP="00C128EE">
      <w:pPr>
        <w:pStyle w:val="SingleTxt"/>
      </w:pPr>
      <w:r>
        <w:t>India (</w:t>
      </w:r>
      <w:hyperlink r:id="rId26" w:history="1">
        <w:r w:rsidRPr="009A37E1">
          <w:rPr>
            <w:rStyle w:val="Hyperlink"/>
          </w:rPr>
          <w:t>CEDAW/C/IND/Q/4-5</w:t>
        </w:r>
      </w:hyperlink>
      <w:r>
        <w:t>)</w:t>
      </w:r>
    </w:p>
    <w:p w:rsidR="00C128EE" w:rsidRDefault="00C128EE" w:rsidP="00C128EE">
      <w:pPr>
        <w:pStyle w:val="SingleTxt"/>
      </w:pPr>
      <w:r>
        <w:t>Lithuania (</w:t>
      </w:r>
      <w:hyperlink r:id="rId27" w:history="1">
        <w:r w:rsidRPr="009A37E1">
          <w:rPr>
            <w:rStyle w:val="Hyperlink"/>
          </w:rPr>
          <w:t>CEDAW/C/LTU/Q/5</w:t>
        </w:r>
      </w:hyperlink>
      <w:r>
        <w:t>)</w:t>
      </w:r>
    </w:p>
    <w:p w:rsidR="00C128EE" w:rsidRDefault="00C128EE" w:rsidP="00C128EE">
      <w:pPr>
        <w:pStyle w:val="SingleTxt"/>
      </w:pPr>
      <w:r>
        <w:t>Mauritania (</w:t>
      </w:r>
      <w:hyperlink r:id="rId28" w:history="1">
        <w:r w:rsidRPr="009A37E1">
          <w:rPr>
            <w:rStyle w:val="Hyperlink"/>
          </w:rPr>
          <w:t>CEDAW/C/MRT/Q/2-3</w:t>
        </w:r>
      </w:hyperlink>
      <w:r>
        <w:t>)</w:t>
      </w:r>
    </w:p>
    <w:p w:rsidR="00C128EE" w:rsidRDefault="00C128EE" w:rsidP="00C128EE">
      <w:pPr>
        <w:pStyle w:val="SingleTxt"/>
      </w:pPr>
      <w:r>
        <w:t>Peru (</w:t>
      </w:r>
      <w:hyperlink r:id="rId29" w:history="1">
        <w:r w:rsidRPr="009A37E1">
          <w:rPr>
            <w:rStyle w:val="Hyperlink"/>
          </w:rPr>
          <w:t>CEDAW/C/PER/Q/7-8</w:t>
        </w:r>
      </w:hyperlink>
      <w:r>
        <w:t>)</w:t>
      </w:r>
    </w:p>
    <w:p w:rsidR="00C128EE" w:rsidRDefault="00C128EE" w:rsidP="00C128EE">
      <w:pPr>
        <w:pStyle w:val="SingleTxt"/>
      </w:pPr>
      <w:r>
        <w:t>Swaziland (</w:t>
      </w:r>
      <w:hyperlink r:id="rId30" w:history="1">
        <w:r w:rsidRPr="009A37E1">
          <w:rPr>
            <w:rStyle w:val="Hyperlink"/>
          </w:rPr>
          <w:t>CEDAW/C/SWZ/Q/1-2</w:t>
        </w:r>
      </w:hyperlink>
      <w:r>
        <w:t>)</w:t>
      </w:r>
    </w:p>
    <w:p w:rsidR="00C128EE" w:rsidRDefault="00C128EE" w:rsidP="00C128EE">
      <w:pPr>
        <w:pStyle w:val="SingleTxt"/>
      </w:pPr>
      <w:r>
        <w:t>Syrian Arab Republic (</w:t>
      </w:r>
      <w:hyperlink r:id="rId31" w:history="1">
        <w:r w:rsidRPr="009A37E1">
          <w:rPr>
            <w:rStyle w:val="Hyperlink"/>
          </w:rPr>
          <w:t>CEDAW/C/SYR/Q/2</w:t>
        </w:r>
      </w:hyperlink>
      <w:r>
        <w:t>)</w:t>
      </w:r>
    </w:p>
    <w:p w:rsidR="00C128EE" w:rsidRPr="00C128EE" w:rsidRDefault="00C128EE" w:rsidP="00C128EE">
      <w:pPr>
        <w:pStyle w:val="SingleTxt"/>
        <w:spacing w:after="0" w:line="120" w:lineRule="exact"/>
        <w:rPr>
          <w:sz w:val="10"/>
        </w:rPr>
      </w:pPr>
    </w:p>
    <w:p w:rsidR="00C128EE" w:rsidRDefault="00C128EE" w:rsidP="00C25C6F">
      <w:pPr>
        <w:pStyle w:val="H4"/>
      </w:pPr>
      <w:r>
        <w:tab/>
      </w:r>
      <w:r>
        <w:tab/>
        <w:t xml:space="preserve">Responses to the lists of issues and questions </w:t>
      </w:r>
    </w:p>
    <w:p w:rsidR="00C128EE" w:rsidRPr="00C128EE" w:rsidRDefault="00C128EE" w:rsidP="00C128EE">
      <w:pPr>
        <w:pStyle w:val="SingleTxt"/>
        <w:spacing w:after="0" w:line="120" w:lineRule="exact"/>
        <w:rPr>
          <w:sz w:val="10"/>
        </w:rPr>
      </w:pPr>
    </w:p>
    <w:p w:rsidR="00C128EE" w:rsidRDefault="00C128EE" w:rsidP="00C128EE">
      <w:pPr>
        <w:pStyle w:val="SingleTxt"/>
      </w:pPr>
      <w:r>
        <w:t>Central African Republic (</w:t>
      </w:r>
      <w:hyperlink r:id="rId32" w:history="1">
        <w:r w:rsidRPr="009A37E1">
          <w:rPr>
            <w:rStyle w:val="Hyperlink"/>
          </w:rPr>
          <w:t>CEDAW/C/CAF/Q/1-5/Add.1</w:t>
        </w:r>
      </w:hyperlink>
      <w:r>
        <w:t>)</w:t>
      </w:r>
    </w:p>
    <w:p w:rsidR="00C128EE" w:rsidRDefault="00C128EE" w:rsidP="00C128EE">
      <w:pPr>
        <w:pStyle w:val="SingleTxt"/>
      </w:pPr>
      <w:r>
        <w:t>Georgia (</w:t>
      </w:r>
      <w:hyperlink r:id="rId33" w:history="1">
        <w:r w:rsidRPr="009A37E1">
          <w:rPr>
            <w:rStyle w:val="Hyperlink"/>
          </w:rPr>
          <w:t>CEDAW/C/GEO/Q/4-5/Add.1</w:t>
        </w:r>
      </w:hyperlink>
      <w:r>
        <w:t>)</w:t>
      </w:r>
    </w:p>
    <w:p w:rsidR="00C128EE" w:rsidRDefault="00C128EE" w:rsidP="00C128EE">
      <w:pPr>
        <w:pStyle w:val="SingleTxt"/>
      </w:pPr>
      <w:r>
        <w:t>India (</w:t>
      </w:r>
      <w:hyperlink r:id="rId34" w:history="1">
        <w:r w:rsidRPr="009A37E1">
          <w:rPr>
            <w:rStyle w:val="Hyperlink"/>
          </w:rPr>
          <w:t>CEDAW/C/IND/Q/4-5/Add.1</w:t>
        </w:r>
      </w:hyperlink>
      <w:r>
        <w:t>)</w:t>
      </w:r>
    </w:p>
    <w:p w:rsidR="00C128EE" w:rsidRDefault="00C128EE" w:rsidP="00C128EE">
      <w:pPr>
        <w:pStyle w:val="SingleTxt"/>
      </w:pPr>
      <w:r>
        <w:t>Lithuania (</w:t>
      </w:r>
      <w:hyperlink r:id="rId35" w:history="1">
        <w:r w:rsidRPr="009A37E1">
          <w:rPr>
            <w:rStyle w:val="Hyperlink"/>
          </w:rPr>
          <w:t>CEDAW/C/LTU/Q/5/Add.1</w:t>
        </w:r>
      </w:hyperlink>
      <w:r>
        <w:t>)</w:t>
      </w:r>
    </w:p>
    <w:p w:rsidR="00C128EE" w:rsidRDefault="00C128EE" w:rsidP="00C128EE">
      <w:pPr>
        <w:pStyle w:val="SingleTxt"/>
      </w:pPr>
      <w:r>
        <w:t>Mauritania (</w:t>
      </w:r>
      <w:hyperlink r:id="rId36" w:history="1">
        <w:r w:rsidRPr="009A37E1">
          <w:rPr>
            <w:rStyle w:val="Hyperlink"/>
          </w:rPr>
          <w:t>CEDAW/C/MRT/Q/2-3/Add.1</w:t>
        </w:r>
      </w:hyperlink>
      <w:r>
        <w:t>)</w:t>
      </w:r>
    </w:p>
    <w:p w:rsidR="00C128EE" w:rsidRDefault="00C128EE" w:rsidP="00C128EE">
      <w:pPr>
        <w:pStyle w:val="SingleTxt"/>
      </w:pPr>
      <w:r>
        <w:t>Peru (</w:t>
      </w:r>
      <w:hyperlink r:id="rId37" w:history="1">
        <w:r w:rsidRPr="009A37E1">
          <w:rPr>
            <w:rStyle w:val="Hyperlink"/>
          </w:rPr>
          <w:t>CEDAW/C/PER/Q/7-8/Add.1</w:t>
        </w:r>
      </w:hyperlink>
      <w:r>
        <w:t>)</w:t>
      </w:r>
    </w:p>
    <w:p w:rsidR="00C128EE" w:rsidRDefault="00C128EE" w:rsidP="00C128EE">
      <w:pPr>
        <w:pStyle w:val="SingleTxt"/>
      </w:pPr>
      <w:r>
        <w:t>Swaziland (</w:t>
      </w:r>
      <w:hyperlink r:id="rId38" w:history="1">
        <w:r w:rsidRPr="009A37E1">
          <w:rPr>
            <w:rStyle w:val="Hyperlink"/>
          </w:rPr>
          <w:t>CEDAW/C/SWZ/Q/1-2/Add.1</w:t>
        </w:r>
      </w:hyperlink>
      <w:r>
        <w:t>)</w:t>
      </w:r>
    </w:p>
    <w:p w:rsidR="00C128EE" w:rsidRDefault="00C128EE" w:rsidP="00C128EE">
      <w:pPr>
        <w:pStyle w:val="SingleTxt"/>
      </w:pPr>
      <w:r>
        <w:t>Syrian Arab Republic (</w:t>
      </w:r>
      <w:hyperlink r:id="rId39" w:history="1">
        <w:r w:rsidRPr="009A37E1">
          <w:rPr>
            <w:rStyle w:val="Hyperlink"/>
          </w:rPr>
          <w:t>CEDAW/C/SYR/Q/2/Add.1</w:t>
        </w:r>
      </w:hyperlink>
      <w:r>
        <w:t>)</w:t>
      </w:r>
    </w:p>
    <w:p w:rsidR="00C25C6F" w:rsidRPr="00C25C6F" w:rsidRDefault="00C25C6F" w:rsidP="00C25C6F">
      <w:pPr>
        <w:pStyle w:val="SingleTxt"/>
        <w:spacing w:after="0" w:line="120" w:lineRule="exact"/>
        <w:rPr>
          <w:sz w:val="10"/>
        </w:rPr>
      </w:pPr>
    </w:p>
    <w:p w:rsidR="00C128EE" w:rsidRDefault="00C128EE" w:rsidP="00C25C6F">
      <w:pPr>
        <w:pStyle w:val="H23"/>
      </w:pPr>
      <w:r>
        <w:tab/>
        <w:t>5.</w:t>
      </w:r>
      <w:r>
        <w:tab/>
        <w:t xml:space="preserve">Follow-up to the consideration of reports submitted by States parties under article 18 of the Convention on the Elimination of All Forms of Discrimination against Women </w:t>
      </w:r>
    </w:p>
    <w:p w:rsidR="00C128EE" w:rsidRPr="00C128EE" w:rsidRDefault="00C128EE" w:rsidP="00C128EE">
      <w:pPr>
        <w:pStyle w:val="SingleTxt"/>
        <w:spacing w:after="0" w:line="120" w:lineRule="exact"/>
        <w:rPr>
          <w:sz w:val="10"/>
        </w:rPr>
      </w:pPr>
    </w:p>
    <w:p w:rsidR="00C128EE" w:rsidRDefault="00C128EE" w:rsidP="00C128EE">
      <w:pPr>
        <w:pStyle w:val="SingleTxt"/>
      </w:pPr>
      <w:r>
        <w:t>The Committee will discuss matters relating to follow-up to concluding observations.</w:t>
      </w:r>
    </w:p>
    <w:p w:rsidR="00C128EE" w:rsidRPr="00C128EE" w:rsidRDefault="00C128EE" w:rsidP="00C128EE">
      <w:pPr>
        <w:pStyle w:val="SingleTxt"/>
        <w:spacing w:after="0" w:line="120" w:lineRule="exact"/>
        <w:rPr>
          <w:sz w:val="10"/>
        </w:rPr>
      </w:pPr>
    </w:p>
    <w:p w:rsidR="00C128EE" w:rsidRDefault="00C128EE" w:rsidP="00C25C6F">
      <w:pPr>
        <w:pStyle w:val="H23"/>
      </w:pPr>
      <w:r>
        <w:tab/>
        <w:t>6.</w:t>
      </w:r>
      <w:r>
        <w:tab/>
        <w:t>Implementation of articles 21 and 22 of the Convention on the Elimination of All Forms of Discrimination against Women</w:t>
      </w:r>
    </w:p>
    <w:p w:rsidR="00C128EE" w:rsidRPr="00C128EE" w:rsidRDefault="00C128EE" w:rsidP="00C128EE">
      <w:pPr>
        <w:pStyle w:val="SingleTxt"/>
        <w:spacing w:after="0" w:line="120" w:lineRule="exact"/>
        <w:rPr>
          <w:sz w:val="10"/>
        </w:rPr>
      </w:pPr>
    </w:p>
    <w:p w:rsidR="00C128EE" w:rsidRDefault="00C128EE" w:rsidP="00C128EE">
      <w:pPr>
        <w:pStyle w:val="SingleTxt"/>
      </w:pPr>
      <w:r>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rsidR="00C128EE" w:rsidRDefault="00C128EE" w:rsidP="00C128EE">
      <w:pPr>
        <w:pStyle w:val="SingleTxt"/>
      </w:pPr>
      <w:r>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rsidR="00C128EE" w:rsidRPr="00C128EE" w:rsidRDefault="00C128EE" w:rsidP="00C128EE">
      <w:pPr>
        <w:pStyle w:val="SingleTxt"/>
        <w:spacing w:after="0" w:line="120" w:lineRule="exact"/>
        <w:rPr>
          <w:sz w:val="10"/>
        </w:rPr>
      </w:pPr>
    </w:p>
    <w:p w:rsidR="00C128EE" w:rsidRDefault="00C128EE" w:rsidP="00C25C6F">
      <w:pPr>
        <w:pStyle w:val="H23"/>
      </w:pPr>
      <w:r>
        <w:tab/>
      </w:r>
      <w:r>
        <w:tab/>
        <w:t>Documentation</w:t>
      </w:r>
    </w:p>
    <w:p w:rsidR="00C128EE" w:rsidRPr="00C128EE" w:rsidRDefault="00C128EE" w:rsidP="00C128EE">
      <w:pPr>
        <w:pStyle w:val="SingleTxt"/>
        <w:spacing w:after="0" w:line="120" w:lineRule="exact"/>
        <w:rPr>
          <w:sz w:val="10"/>
        </w:rPr>
      </w:pPr>
    </w:p>
    <w:p w:rsidR="00C128EE" w:rsidRDefault="00C128EE" w:rsidP="00C128EE">
      <w:pPr>
        <w:pStyle w:val="SingleTxt"/>
      </w:pPr>
      <w:r>
        <w:t>Reports provided by the specialized agencies of the United Nations on the implementation of the Convention in areas falling within the scope of their activities</w:t>
      </w:r>
    </w:p>
    <w:p w:rsidR="00C128EE" w:rsidRPr="00C128EE" w:rsidRDefault="00C128EE" w:rsidP="00C128EE">
      <w:pPr>
        <w:pStyle w:val="SingleTxt"/>
        <w:spacing w:after="0" w:line="120" w:lineRule="exact"/>
        <w:rPr>
          <w:sz w:val="10"/>
        </w:rPr>
      </w:pPr>
    </w:p>
    <w:p w:rsidR="00C128EE" w:rsidRDefault="00C128EE" w:rsidP="00C25C6F">
      <w:pPr>
        <w:pStyle w:val="H23"/>
      </w:pPr>
      <w:r>
        <w:tab/>
        <w:t>7.</w:t>
      </w:r>
      <w:r>
        <w:tab/>
        <w:t xml:space="preserve">Ways and means of expediting the work of the Committee </w:t>
      </w:r>
    </w:p>
    <w:p w:rsidR="00C128EE" w:rsidRPr="00C128EE" w:rsidRDefault="00C128EE" w:rsidP="00C128EE">
      <w:pPr>
        <w:pStyle w:val="SingleTxt"/>
        <w:spacing w:after="0" w:line="120" w:lineRule="exact"/>
        <w:rPr>
          <w:sz w:val="10"/>
        </w:rPr>
      </w:pPr>
    </w:p>
    <w:p w:rsidR="00C128EE" w:rsidRDefault="00C128EE" w:rsidP="00C128EE">
      <w:pPr>
        <w:pStyle w:val="SingleTxt"/>
      </w:pPr>
      <w:r>
        <w:t>The Committee will discuss matters relating to its methods of work.</w:t>
      </w:r>
    </w:p>
    <w:p w:rsidR="00C128EE" w:rsidRPr="00C128EE" w:rsidRDefault="00C128EE" w:rsidP="00C128EE">
      <w:pPr>
        <w:pStyle w:val="SingleTxt"/>
        <w:spacing w:after="0" w:line="120" w:lineRule="exact"/>
        <w:rPr>
          <w:sz w:val="10"/>
        </w:rPr>
      </w:pPr>
    </w:p>
    <w:p w:rsidR="00C128EE" w:rsidRDefault="00C128EE" w:rsidP="00C25C6F">
      <w:pPr>
        <w:pStyle w:val="H23"/>
      </w:pPr>
      <w:r>
        <w:tab/>
        <w:t>8.</w:t>
      </w:r>
      <w:r>
        <w:tab/>
        <w:t xml:space="preserve">Activities of the Committee under the Optional Protocol to the Convention on the Elimination of All Forms of Discrimination against Women </w:t>
      </w:r>
    </w:p>
    <w:p w:rsidR="00C128EE" w:rsidRPr="00C128EE" w:rsidRDefault="00C128EE" w:rsidP="00C128EE">
      <w:pPr>
        <w:pStyle w:val="SingleTxt"/>
        <w:spacing w:after="0" w:line="120" w:lineRule="exact"/>
        <w:rPr>
          <w:sz w:val="10"/>
        </w:rPr>
      </w:pPr>
    </w:p>
    <w:p w:rsidR="00C128EE" w:rsidRDefault="00C128EE" w:rsidP="00C128EE">
      <w:pPr>
        <w:pStyle w:val="SingleTxt"/>
      </w:pPr>
      <w:r>
        <w:t>The twenty-ninth session of the Working Group on Communications under the Optional Protocol will be held from 25 to 27 June 2014 in Geneva.</w:t>
      </w:r>
    </w:p>
    <w:p w:rsidR="00C128EE" w:rsidRDefault="00C128EE" w:rsidP="00C128EE">
      <w:pPr>
        <w:pStyle w:val="SingleTxt"/>
      </w:pPr>
      <w:r>
        <w:t>At its fifty-eighth session, the Committee will continue to implement its mandate under articles 2 and 8 of the Optional Protocol to the Convention.</w:t>
      </w:r>
    </w:p>
    <w:p w:rsidR="00C128EE" w:rsidRPr="00C128EE" w:rsidRDefault="00C128EE" w:rsidP="00C128EE">
      <w:pPr>
        <w:pStyle w:val="SingleTxt"/>
        <w:spacing w:after="0" w:line="120" w:lineRule="exact"/>
        <w:rPr>
          <w:sz w:val="10"/>
        </w:rPr>
      </w:pPr>
    </w:p>
    <w:p w:rsidR="00C128EE" w:rsidRDefault="00C128EE" w:rsidP="00C25C6F">
      <w:pPr>
        <w:pStyle w:val="H23"/>
      </w:pPr>
      <w:r>
        <w:tab/>
        <w:t>9.</w:t>
      </w:r>
      <w:r>
        <w:tab/>
        <w:t xml:space="preserve">Provisional agenda for the fifty-ninth session of the Committee </w:t>
      </w:r>
    </w:p>
    <w:p w:rsidR="00C128EE" w:rsidRPr="00C128EE" w:rsidRDefault="00C128EE" w:rsidP="00C128EE">
      <w:pPr>
        <w:pStyle w:val="SingleTxt"/>
        <w:spacing w:after="0" w:line="120" w:lineRule="exact"/>
        <w:rPr>
          <w:sz w:val="10"/>
        </w:rPr>
      </w:pPr>
    </w:p>
    <w:p w:rsidR="00C128EE" w:rsidRDefault="00C128EE" w:rsidP="00C25C6F">
      <w:pPr>
        <w:pStyle w:val="H23"/>
      </w:pPr>
      <w:r>
        <w:tab/>
      </w:r>
      <w:r>
        <w:tab/>
        <w:t>Documentation</w:t>
      </w:r>
    </w:p>
    <w:p w:rsidR="00C128EE" w:rsidRPr="00C128EE" w:rsidRDefault="00C128EE" w:rsidP="00C128EE">
      <w:pPr>
        <w:pStyle w:val="SingleTxt"/>
        <w:spacing w:after="0" w:line="120" w:lineRule="exact"/>
        <w:rPr>
          <w:sz w:val="10"/>
        </w:rPr>
      </w:pPr>
    </w:p>
    <w:p w:rsidR="00C128EE" w:rsidRDefault="00C128EE" w:rsidP="00C128EE">
      <w:pPr>
        <w:pStyle w:val="SingleTxt"/>
      </w:pPr>
      <w:r>
        <w:t>Provisional agenda for the fifty-ninth session (</w:t>
      </w:r>
      <w:hyperlink r:id="rId40" w:history="1">
        <w:r w:rsidRPr="009A37E1">
          <w:rPr>
            <w:rStyle w:val="Hyperlink"/>
          </w:rPr>
          <w:t>CEDAW/C/59/1</w:t>
        </w:r>
      </w:hyperlink>
      <w:r>
        <w:t>)</w:t>
      </w:r>
    </w:p>
    <w:p w:rsidR="00C128EE" w:rsidRPr="00C128EE" w:rsidRDefault="00C128EE" w:rsidP="00C128EE">
      <w:pPr>
        <w:pStyle w:val="SingleTxt"/>
        <w:spacing w:after="0" w:line="120" w:lineRule="exact"/>
        <w:rPr>
          <w:sz w:val="10"/>
        </w:rPr>
      </w:pPr>
    </w:p>
    <w:p w:rsidR="006546D8" w:rsidRDefault="00C128EE" w:rsidP="00C25C6F">
      <w:pPr>
        <w:pStyle w:val="H23"/>
      </w:pPr>
      <w:r>
        <w:tab/>
        <w:t>10.</w:t>
      </w:r>
      <w:r>
        <w:tab/>
        <w:t>Adoption of the report of the Committee on its fifty-eighth session</w:t>
      </w:r>
    </w:p>
    <w:p w:rsidR="00C128EE" w:rsidRPr="00C25C6F" w:rsidRDefault="00C128EE" w:rsidP="00C25C6F">
      <w:pPr>
        <w:pStyle w:val="SingleTxt"/>
        <w:spacing w:after="0" w:line="120" w:lineRule="exact"/>
        <w:rPr>
          <w:sz w:val="10"/>
        </w:rPr>
      </w:pPr>
    </w:p>
    <w:p w:rsidR="00C25C6F" w:rsidRPr="00C25C6F" w:rsidRDefault="00C25C6F" w:rsidP="00C25C6F">
      <w:pPr>
        <w:pStyle w:val="SingleTxt"/>
        <w:spacing w:after="0" w:line="120" w:lineRule="exact"/>
        <w:rPr>
          <w:sz w:val="10"/>
        </w:rPr>
      </w:pPr>
    </w:p>
    <w:p w:rsidR="00C25C6F" w:rsidRPr="00C128EE" w:rsidRDefault="00EA3CD9" w:rsidP="00C25C6F">
      <w:pPr>
        <w:pStyle w:val="SingleTxt"/>
      </w:pPr>
      <w:r>
        <w:rPr>
          <w:noProof/>
          <w:w w:val="100"/>
          <w:lang w:val="en-US"/>
        </w:rPr>
        <w:pict>
          <v:line id="_x0000_s1027" style="position:absolute;left:0;text-align:left;z-index:2" from="210.2pt,24pt" to="282.2pt,24pt" o:allowincell="f" strokeweight=".25pt"/>
        </w:pict>
      </w:r>
    </w:p>
    <w:sectPr w:rsidR="00C25C6F" w:rsidRPr="00C128EE" w:rsidSect="00C128EE">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15T11:23:00Z" w:initials="Start">
    <w:p w:rsidR="006546D8" w:rsidRDefault="006546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NO&gt;&gt;N1429224E&lt;&lt;ODS JOB NO&gt;&gt;</w:t>
      </w:r>
    </w:p>
    <w:p w:rsidR="006546D8" w:rsidRDefault="006546D8">
      <w:pPr>
        <w:pStyle w:val="CommentText"/>
      </w:pPr>
      <w:r>
        <w:t>&lt;&lt;ODS DOC SYMBOL1&gt;&gt;CEDAW/C/58/1&lt;&lt;ODS DOC SYMBOL1&gt;&gt;</w:t>
      </w:r>
    </w:p>
    <w:p w:rsidR="006546D8" w:rsidRDefault="006546D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1F" w:rsidRDefault="00C76F1F">
      <w:r>
        <w:separator/>
      </w:r>
    </w:p>
  </w:endnote>
  <w:endnote w:type="continuationSeparator" w:id="0">
    <w:p w:rsidR="00C76F1F" w:rsidRDefault="00C7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546D8" w:rsidRPr="00EA3CD9" w:rsidTr="006546D8">
      <w:tc>
        <w:tcPr>
          <w:tcW w:w="5033" w:type="dxa"/>
          <w:shd w:val="clear" w:color="auto" w:fill="auto"/>
        </w:tcPr>
        <w:p w:rsidR="006546D8" w:rsidRPr="00EA3CD9" w:rsidRDefault="006546D8" w:rsidP="006546D8">
          <w:pPr>
            <w:pStyle w:val="Footer"/>
            <w:jc w:val="right"/>
            <w:rPr>
              <w:b w:val="0"/>
              <w:w w:val="103"/>
              <w:sz w:val="14"/>
            </w:rPr>
          </w:pPr>
          <w:fldSimple w:instr=" DOCVARIABLE &quot;FooterJN&quot; \* MERGEFORMAT ">
            <w:r w:rsidR="00CB5637">
              <w:rPr>
                <w:b w:val="0"/>
                <w:w w:val="103"/>
                <w:sz w:val="14"/>
              </w:rPr>
              <w:t>14-29224</w:t>
            </w:r>
          </w:fldSimple>
        </w:p>
      </w:tc>
      <w:tc>
        <w:tcPr>
          <w:tcW w:w="5033" w:type="dxa"/>
          <w:shd w:val="clear" w:color="auto" w:fill="auto"/>
        </w:tcPr>
        <w:p w:rsidR="006546D8" w:rsidRPr="00EA3CD9" w:rsidRDefault="006546D8" w:rsidP="006546D8">
          <w:pPr>
            <w:pStyle w:val="Footer"/>
            <w:rPr>
              <w:w w:val="103"/>
            </w:rPr>
          </w:pPr>
          <w:r w:rsidRPr="00EA3CD9">
            <w:rPr>
              <w:w w:val="103"/>
            </w:rPr>
            <w:fldChar w:fldCharType="begin"/>
          </w:r>
          <w:r w:rsidRPr="00EA3CD9">
            <w:rPr>
              <w:w w:val="103"/>
            </w:rPr>
            <w:instrText xml:space="preserve"> PAGE  \* Arabic  \* MERGEFORMAT </w:instrText>
          </w:r>
          <w:r w:rsidRPr="00EA3CD9">
            <w:rPr>
              <w:w w:val="103"/>
            </w:rPr>
            <w:fldChar w:fldCharType="separate"/>
          </w:r>
          <w:r w:rsidR="00FD06C6">
            <w:rPr>
              <w:w w:val="103"/>
            </w:rPr>
            <w:t>2</w:t>
          </w:r>
          <w:r w:rsidRPr="00EA3CD9">
            <w:rPr>
              <w:w w:val="103"/>
            </w:rPr>
            <w:fldChar w:fldCharType="end"/>
          </w:r>
          <w:r w:rsidRPr="00EA3CD9">
            <w:rPr>
              <w:w w:val="103"/>
            </w:rPr>
            <w:t>/</w:t>
          </w:r>
          <w:fldSimple w:instr=" NUMPAGES  \* Arabic  \* MERGEFORMAT ">
            <w:r w:rsidR="00FD06C6">
              <w:rPr>
                <w:w w:val="103"/>
              </w:rPr>
              <w:t>2</w:t>
            </w:r>
          </w:fldSimple>
        </w:p>
      </w:tc>
    </w:tr>
  </w:tbl>
  <w:p w:rsidR="006546D8" w:rsidRPr="006546D8" w:rsidRDefault="006546D8" w:rsidP="00654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546D8" w:rsidRPr="00EA3CD9" w:rsidTr="006546D8">
      <w:tc>
        <w:tcPr>
          <w:tcW w:w="5033" w:type="dxa"/>
          <w:shd w:val="clear" w:color="auto" w:fill="auto"/>
        </w:tcPr>
        <w:p w:rsidR="006546D8" w:rsidRPr="00EA3CD9" w:rsidRDefault="006546D8" w:rsidP="006546D8">
          <w:pPr>
            <w:pStyle w:val="Footer"/>
            <w:jc w:val="right"/>
            <w:rPr>
              <w:w w:val="103"/>
            </w:rPr>
          </w:pPr>
          <w:r w:rsidRPr="00EA3CD9">
            <w:rPr>
              <w:w w:val="103"/>
            </w:rPr>
            <w:fldChar w:fldCharType="begin"/>
          </w:r>
          <w:r w:rsidRPr="00EA3CD9">
            <w:rPr>
              <w:w w:val="103"/>
            </w:rPr>
            <w:instrText xml:space="preserve"> PAGE  \* Arabic  \* MERGEFORMAT </w:instrText>
          </w:r>
          <w:r w:rsidRPr="00EA3CD9">
            <w:rPr>
              <w:w w:val="103"/>
            </w:rPr>
            <w:fldChar w:fldCharType="separate"/>
          </w:r>
          <w:r w:rsidR="00CB5637">
            <w:rPr>
              <w:w w:val="103"/>
            </w:rPr>
            <w:t>3</w:t>
          </w:r>
          <w:r w:rsidRPr="00EA3CD9">
            <w:rPr>
              <w:w w:val="103"/>
            </w:rPr>
            <w:fldChar w:fldCharType="end"/>
          </w:r>
          <w:r w:rsidRPr="00EA3CD9">
            <w:rPr>
              <w:w w:val="103"/>
            </w:rPr>
            <w:t>/</w:t>
          </w:r>
          <w:fldSimple w:instr=" NUMPAGES  \* Arabic  \* MERGEFORMAT ">
            <w:r w:rsidR="00CB5637">
              <w:rPr>
                <w:w w:val="103"/>
              </w:rPr>
              <w:t>4</w:t>
            </w:r>
          </w:fldSimple>
        </w:p>
      </w:tc>
      <w:tc>
        <w:tcPr>
          <w:tcW w:w="5033" w:type="dxa"/>
          <w:shd w:val="clear" w:color="auto" w:fill="auto"/>
        </w:tcPr>
        <w:p w:rsidR="006546D8" w:rsidRPr="00EA3CD9" w:rsidRDefault="006546D8" w:rsidP="006546D8">
          <w:pPr>
            <w:pStyle w:val="Footer"/>
            <w:rPr>
              <w:b w:val="0"/>
              <w:w w:val="103"/>
              <w:sz w:val="14"/>
            </w:rPr>
          </w:pPr>
          <w:fldSimple w:instr=" DOCVARIABLE &quot;FooterJN&quot; \* MERGEFORMAT ">
            <w:r w:rsidR="00CB5637">
              <w:rPr>
                <w:b w:val="0"/>
                <w:w w:val="103"/>
                <w:sz w:val="14"/>
              </w:rPr>
              <w:t>14-29224</w:t>
            </w:r>
          </w:fldSimple>
        </w:p>
      </w:tc>
    </w:tr>
  </w:tbl>
  <w:p w:rsidR="006546D8" w:rsidRPr="006546D8" w:rsidRDefault="006546D8" w:rsidP="00654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6546D8" w:rsidRPr="00EA3CD9" w:rsidTr="006546D8">
      <w:tc>
        <w:tcPr>
          <w:tcW w:w="5033" w:type="dxa"/>
        </w:tcPr>
        <w:p w:rsidR="006546D8" w:rsidRPr="00EA3CD9" w:rsidRDefault="006546D8" w:rsidP="006546D8">
          <w:pPr>
            <w:pStyle w:val="ReleaseDate"/>
          </w:pPr>
          <w:r w:rsidRPr="00EA3CD9">
            <w:t>14-29224 (E)</w:t>
          </w:r>
          <w:r w:rsidR="00C128EE" w:rsidRPr="00EA3CD9">
            <w:t xml:space="preserve">    </w:t>
          </w:r>
          <w:r w:rsidRPr="00EA3CD9">
            <w:t>150414</w:t>
          </w:r>
        </w:p>
        <w:p w:rsidR="006546D8" w:rsidRPr="00EA3CD9" w:rsidRDefault="006546D8" w:rsidP="006546D8">
          <w:pPr>
            <w:pStyle w:val="Footer"/>
            <w:spacing w:before="80" w:line="210" w:lineRule="exact"/>
            <w:rPr>
              <w:rFonts w:ascii="Barcode 3 of 9 by request" w:hAnsi="Barcode 3 of 9 by request"/>
              <w:sz w:val="24"/>
              <w:lang w:val="en-GB"/>
            </w:rPr>
          </w:pPr>
          <w:r w:rsidRPr="00EA3CD9">
            <w:rPr>
              <w:rFonts w:ascii="Barcode 3 of 9 by request" w:hAnsi="Barcode 3 of 9 by request"/>
              <w:sz w:val="24"/>
              <w:lang w:val="en-GB"/>
            </w:rPr>
            <w:t>*1429224*</w:t>
          </w:r>
        </w:p>
      </w:tc>
      <w:tc>
        <w:tcPr>
          <w:tcW w:w="3686" w:type="dxa"/>
        </w:tcPr>
        <w:p w:rsidR="006546D8" w:rsidRPr="00EA3CD9" w:rsidRDefault="00B24CA7" w:rsidP="006546D8">
          <w:pPr>
            <w:pStyle w:val="Footer"/>
            <w:jc w:val="right"/>
            <w:rPr>
              <w:b w:val="0"/>
              <w:sz w:val="20"/>
            </w:rPr>
          </w:pPr>
          <w:r w:rsidRPr="00EA3CD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6546D8" w:rsidRPr="006546D8" w:rsidRDefault="006546D8" w:rsidP="006546D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1F" w:rsidRDefault="00C76F1F">
      <w:r>
        <w:separator/>
      </w:r>
    </w:p>
  </w:footnote>
  <w:footnote w:type="continuationSeparator" w:id="0">
    <w:p w:rsidR="00C76F1F" w:rsidRDefault="00C76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546D8" w:rsidRPr="00EA3CD9" w:rsidTr="006546D8">
      <w:trPr>
        <w:trHeight w:hRule="exact" w:val="864"/>
      </w:trPr>
      <w:tc>
        <w:tcPr>
          <w:tcW w:w="4838" w:type="dxa"/>
          <w:shd w:val="clear" w:color="auto" w:fill="auto"/>
          <w:vAlign w:val="bottom"/>
        </w:tcPr>
        <w:p w:rsidR="006546D8" w:rsidRPr="00EA3CD9" w:rsidRDefault="006546D8" w:rsidP="006546D8">
          <w:pPr>
            <w:pStyle w:val="Header"/>
            <w:spacing w:after="80"/>
            <w:rPr>
              <w:b/>
            </w:rPr>
          </w:pPr>
          <w:fldSimple w:instr=" DOCVARIABLE &quot;sss1&quot; \* MERGEFORMAT ">
            <w:r w:rsidR="00CB5637">
              <w:rPr>
                <w:b/>
              </w:rPr>
              <w:t>CEDAW/C/58/1</w:t>
            </w:r>
          </w:fldSimple>
        </w:p>
      </w:tc>
      <w:tc>
        <w:tcPr>
          <w:tcW w:w="5033" w:type="dxa"/>
          <w:shd w:val="clear" w:color="auto" w:fill="auto"/>
          <w:vAlign w:val="bottom"/>
        </w:tcPr>
        <w:p w:rsidR="006546D8" w:rsidRPr="00EA3CD9" w:rsidRDefault="006546D8" w:rsidP="006546D8">
          <w:pPr>
            <w:pStyle w:val="Header"/>
          </w:pPr>
        </w:p>
      </w:tc>
    </w:tr>
  </w:tbl>
  <w:p w:rsidR="006546D8" w:rsidRPr="006546D8" w:rsidRDefault="006546D8" w:rsidP="00654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546D8" w:rsidRPr="00EA3CD9" w:rsidTr="006546D8">
      <w:trPr>
        <w:trHeight w:hRule="exact" w:val="864"/>
      </w:trPr>
      <w:tc>
        <w:tcPr>
          <w:tcW w:w="4838" w:type="dxa"/>
          <w:shd w:val="clear" w:color="auto" w:fill="auto"/>
          <w:vAlign w:val="bottom"/>
        </w:tcPr>
        <w:p w:rsidR="006546D8" w:rsidRPr="00EA3CD9" w:rsidRDefault="006546D8" w:rsidP="006546D8">
          <w:pPr>
            <w:pStyle w:val="Header"/>
          </w:pPr>
        </w:p>
      </w:tc>
      <w:tc>
        <w:tcPr>
          <w:tcW w:w="5033" w:type="dxa"/>
          <w:shd w:val="clear" w:color="auto" w:fill="auto"/>
          <w:vAlign w:val="bottom"/>
        </w:tcPr>
        <w:p w:rsidR="006546D8" w:rsidRPr="00EA3CD9" w:rsidRDefault="006546D8" w:rsidP="006546D8">
          <w:pPr>
            <w:pStyle w:val="Header"/>
            <w:spacing w:after="80"/>
            <w:jc w:val="right"/>
            <w:rPr>
              <w:b/>
            </w:rPr>
          </w:pPr>
          <w:fldSimple w:instr=" DOCVARIABLE &quot;sss1&quot; \* MERGEFORMAT ">
            <w:r w:rsidR="00CB5637">
              <w:rPr>
                <w:b/>
              </w:rPr>
              <w:t>CEDAW/C/58/1</w:t>
            </w:r>
          </w:fldSimple>
        </w:p>
      </w:tc>
    </w:tr>
  </w:tbl>
  <w:p w:rsidR="006546D8" w:rsidRPr="006546D8" w:rsidRDefault="006546D8" w:rsidP="00654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6546D8" w:rsidRPr="00EA3CD9" w:rsidTr="006546D8">
      <w:trPr>
        <w:trHeight w:hRule="exact" w:val="864"/>
      </w:trPr>
      <w:tc>
        <w:tcPr>
          <w:tcW w:w="1267" w:type="dxa"/>
          <w:tcBorders>
            <w:bottom w:val="single" w:sz="4" w:space="0" w:color="auto"/>
          </w:tcBorders>
          <w:shd w:val="clear" w:color="auto" w:fill="auto"/>
          <w:vAlign w:val="bottom"/>
        </w:tcPr>
        <w:p w:rsidR="006546D8" w:rsidRPr="00EA3CD9" w:rsidRDefault="006546D8" w:rsidP="006546D8">
          <w:pPr>
            <w:pStyle w:val="Header"/>
            <w:spacing w:after="120"/>
          </w:pPr>
        </w:p>
      </w:tc>
      <w:tc>
        <w:tcPr>
          <w:tcW w:w="1872" w:type="dxa"/>
          <w:tcBorders>
            <w:bottom w:val="single" w:sz="4" w:space="0" w:color="auto"/>
          </w:tcBorders>
          <w:shd w:val="clear" w:color="auto" w:fill="auto"/>
          <w:vAlign w:val="bottom"/>
        </w:tcPr>
        <w:p w:rsidR="006546D8" w:rsidRPr="00EA3CD9" w:rsidRDefault="006546D8" w:rsidP="006546D8">
          <w:pPr>
            <w:pStyle w:val="HCh"/>
            <w:spacing w:after="80"/>
            <w:rPr>
              <w:b w:val="0"/>
              <w:spacing w:val="2"/>
              <w:w w:val="96"/>
            </w:rPr>
          </w:pPr>
          <w:r w:rsidRPr="00EA3CD9">
            <w:rPr>
              <w:b w:val="0"/>
              <w:spacing w:val="2"/>
              <w:w w:val="96"/>
            </w:rPr>
            <w:t>United Nations</w:t>
          </w:r>
        </w:p>
      </w:tc>
      <w:tc>
        <w:tcPr>
          <w:tcW w:w="245" w:type="dxa"/>
          <w:tcBorders>
            <w:bottom w:val="single" w:sz="4" w:space="0" w:color="auto"/>
          </w:tcBorders>
          <w:shd w:val="clear" w:color="auto" w:fill="auto"/>
          <w:vAlign w:val="bottom"/>
        </w:tcPr>
        <w:p w:rsidR="006546D8" w:rsidRPr="00EA3CD9" w:rsidRDefault="006546D8" w:rsidP="006546D8">
          <w:pPr>
            <w:pStyle w:val="Header"/>
            <w:spacing w:after="120"/>
          </w:pPr>
        </w:p>
      </w:tc>
      <w:tc>
        <w:tcPr>
          <w:tcW w:w="6523" w:type="dxa"/>
          <w:gridSpan w:val="4"/>
          <w:tcBorders>
            <w:bottom w:val="single" w:sz="4" w:space="0" w:color="auto"/>
          </w:tcBorders>
          <w:shd w:val="clear" w:color="auto" w:fill="auto"/>
          <w:vAlign w:val="bottom"/>
        </w:tcPr>
        <w:p w:rsidR="006546D8" w:rsidRPr="00EA3CD9" w:rsidRDefault="006546D8" w:rsidP="006546D8">
          <w:pPr>
            <w:spacing w:after="80" w:line="240" w:lineRule="auto"/>
            <w:jc w:val="right"/>
            <w:rPr>
              <w:position w:val="-4"/>
            </w:rPr>
          </w:pPr>
          <w:r w:rsidRPr="00EA3CD9">
            <w:rPr>
              <w:position w:val="-4"/>
              <w:sz w:val="40"/>
            </w:rPr>
            <w:t>CEDAW</w:t>
          </w:r>
          <w:r w:rsidRPr="00EA3CD9">
            <w:rPr>
              <w:position w:val="-4"/>
            </w:rPr>
            <w:t>/C/58/1</w:t>
          </w:r>
        </w:p>
      </w:tc>
    </w:tr>
    <w:tr w:rsidR="006546D8" w:rsidRPr="00EA3CD9" w:rsidTr="006546D8">
      <w:trPr>
        <w:gridAfter w:val="1"/>
        <w:wAfter w:w="28" w:type="dxa"/>
        <w:trHeight w:hRule="exact" w:val="2880"/>
      </w:trPr>
      <w:tc>
        <w:tcPr>
          <w:tcW w:w="1267" w:type="dxa"/>
          <w:tcBorders>
            <w:top w:val="single" w:sz="4" w:space="0" w:color="auto"/>
            <w:bottom w:val="single" w:sz="12" w:space="0" w:color="auto"/>
          </w:tcBorders>
          <w:shd w:val="clear" w:color="auto" w:fill="auto"/>
        </w:tcPr>
        <w:p w:rsidR="006546D8" w:rsidRPr="00EA3CD9" w:rsidRDefault="006546D8" w:rsidP="006546D8">
          <w:pPr>
            <w:pStyle w:val="Header"/>
            <w:spacing w:before="109"/>
          </w:pPr>
          <w:r w:rsidRPr="00EA3CD9">
            <w:t xml:space="preserve"> </w:t>
          </w:r>
          <w:r w:rsidR="00EA3CD9" w:rsidRPr="00EA3C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v:imagedata r:id="rId1" o:title="_unlogo"/>
              </v:shape>
            </w:pict>
          </w:r>
        </w:p>
        <w:p w:rsidR="006546D8" w:rsidRPr="00EA3CD9" w:rsidRDefault="006546D8" w:rsidP="006546D8">
          <w:pPr>
            <w:pStyle w:val="Header"/>
            <w:spacing w:before="109"/>
          </w:pPr>
        </w:p>
      </w:tc>
      <w:tc>
        <w:tcPr>
          <w:tcW w:w="5227" w:type="dxa"/>
          <w:gridSpan w:val="3"/>
          <w:tcBorders>
            <w:top w:val="single" w:sz="4" w:space="0" w:color="auto"/>
            <w:bottom w:val="single" w:sz="12" w:space="0" w:color="auto"/>
          </w:tcBorders>
          <w:shd w:val="clear" w:color="auto" w:fill="auto"/>
        </w:tcPr>
        <w:p w:rsidR="006546D8" w:rsidRPr="00EA3CD9" w:rsidRDefault="006546D8" w:rsidP="006546D8">
          <w:pPr>
            <w:pStyle w:val="XLarge"/>
            <w:spacing w:before="109" w:line="330" w:lineRule="exact"/>
            <w:rPr>
              <w:sz w:val="34"/>
            </w:rPr>
          </w:pPr>
          <w:r w:rsidRPr="00EA3CD9">
            <w:rPr>
              <w:sz w:val="34"/>
            </w:rPr>
            <w:t>Convention on the Elimination</w:t>
          </w:r>
          <w:r w:rsidRPr="00EA3CD9">
            <w:rPr>
              <w:sz w:val="34"/>
            </w:rPr>
            <w:br/>
            <w:t>of All Forms of Discrimination against Women</w:t>
          </w:r>
        </w:p>
      </w:tc>
      <w:tc>
        <w:tcPr>
          <w:tcW w:w="245" w:type="dxa"/>
          <w:tcBorders>
            <w:top w:val="single" w:sz="4" w:space="0" w:color="auto"/>
            <w:bottom w:val="single" w:sz="12" w:space="0" w:color="auto"/>
          </w:tcBorders>
          <w:shd w:val="clear" w:color="auto" w:fill="auto"/>
        </w:tcPr>
        <w:p w:rsidR="006546D8" w:rsidRPr="00EA3CD9" w:rsidRDefault="006546D8" w:rsidP="006546D8">
          <w:pPr>
            <w:pStyle w:val="Header"/>
            <w:spacing w:before="109"/>
          </w:pPr>
        </w:p>
      </w:tc>
      <w:tc>
        <w:tcPr>
          <w:tcW w:w="3140" w:type="dxa"/>
          <w:tcBorders>
            <w:top w:val="single" w:sz="4" w:space="0" w:color="auto"/>
            <w:bottom w:val="single" w:sz="12" w:space="0" w:color="auto"/>
          </w:tcBorders>
          <w:shd w:val="clear" w:color="auto" w:fill="auto"/>
        </w:tcPr>
        <w:p w:rsidR="006546D8" w:rsidRPr="00EA3CD9" w:rsidRDefault="006546D8" w:rsidP="006546D8">
          <w:pPr>
            <w:pStyle w:val="Distribution"/>
            <w:rPr>
              <w:color w:val="010000"/>
            </w:rPr>
          </w:pPr>
          <w:r w:rsidRPr="00EA3CD9">
            <w:rPr>
              <w:color w:val="010000"/>
            </w:rPr>
            <w:t>Distr.: General</w:t>
          </w:r>
        </w:p>
        <w:p w:rsidR="006546D8" w:rsidRPr="00EA3CD9" w:rsidRDefault="006546D8" w:rsidP="006546D8">
          <w:pPr>
            <w:pStyle w:val="Publication"/>
            <w:rPr>
              <w:color w:val="010000"/>
            </w:rPr>
          </w:pPr>
          <w:r w:rsidRPr="00EA3CD9">
            <w:rPr>
              <w:color w:val="010000"/>
            </w:rPr>
            <w:t>7 April 2014</w:t>
          </w:r>
        </w:p>
        <w:p w:rsidR="006546D8" w:rsidRPr="00EA3CD9" w:rsidRDefault="006546D8" w:rsidP="006546D8"/>
        <w:p w:rsidR="006546D8" w:rsidRPr="00EA3CD9" w:rsidRDefault="006546D8" w:rsidP="006546D8">
          <w:pPr>
            <w:pStyle w:val="Original"/>
            <w:rPr>
              <w:color w:val="010000"/>
            </w:rPr>
          </w:pPr>
          <w:r w:rsidRPr="00EA3CD9">
            <w:rPr>
              <w:color w:val="010000"/>
            </w:rPr>
            <w:t>Original: English</w:t>
          </w:r>
        </w:p>
        <w:p w:rsidR="006546D8" w:rsidRPr="00EA3CD9" w:rsidRDefault="006546D8" w:rsidP="006546D8"/>
      </w:tc>
    </w:tr>
  </w:tbl>
  <w:p w:rsidR="006546D8" w:rsidRPr="006546D8" w:rsidRDefault="006546D8" w:rsidP="006546D8">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9224*"/>
    <w:docVar w:name="CreationDt" w:val="15/04/2014 11:23 AM"/>
    <w:docVar w:name="DocCategory" w:val="Doc"/>
    <w:docVar w:name="DocType" w:val="Final"/>
    <w:docVar w:name="FooterJN" w:val="14-29224"/>
    <w:docVar w:name="jobn" w:val="14-29224 (E)"/>
    <w:docVar w:name="jobnDT" w:val="14-29224 (E)   150414"/>
    <w:docVar w:name="jobnDTDT" w:val="14-29224 (E)   150414   150414"/>
    <w:docVar w:name="JobNo" w:val="1429224E"/>
    <w:docVar w:name="OandT" w:val=" "/>
    <w:docVar w:name="sss1" w:val="CEDAW/C/58/1"/>
    <w:docVar w:name="sss2" w:val="-"/>
    <w:docVar w:name="Symbol1" w:val="CEDAW/C/58/1"/>
    <w:docVar w:name="Symbol2" w:val="-"/>
  </w:docVars>
  <w:rsids>
    <w:rsidRoot w:val="009463F5"/>
    <w:rsid w:val="000243C1"/>
    <w:rsid w:val="0003242E"/>
    <w:rsid w:val="00060FB4"/>
    <w:rsid w:val="00062E0F"/>
    <w:rsid w:val="00073B00"/>
    <w:rsid w:val="000930EA"/>
    <w:rsid w:val="000C30BC"/>
    <w:rsid w:val="000E7174"/>
    <w:rsid w:val="00107D5F"/>
    <w:rsid w:val="00113764"/>
    <w:rsid w:val="0011565A"/>
    <w:rsid w:val="001208CF"/>
    <w:rsid w:val="00146E4B"/>
    <w:rsid w:val="001505B6"/>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F2BDA"/>
    <w:rsid w:val="001F5FE7"/>
    <w:rsid w:val="001F7C50"/>
    <w:rsid w:val="00213104"/>
    <w:rsid w:val="002141E3"/>
    <w:rsid w:val="00217424"/>
    <w:rsid w:val="00225B63"/>
    <w:rsid w:val="00232F19"/>
    <w:rsid w:val="00236DA6"/>
    <w:rsid w:val="002453F5"/>
    <w:rsid w:val="002508E9"/>
    <w:rsid w:val="002713B7"/>
    <w:rsid w:val="0027290F"/>
    <w:rsid w:val="00274B66"/>
    <w:rsid w:val="00275106"/>
    <w:rsid w:val="00275598"/>
    <w:rsid w:val="00276B79"/>
    <w:rsid w:val="002A5739"/>
    <w:rsid w:val="002B4B8E"/>
    <w:rsid w:val="002D4228"/>
    <w:rsid w:val="002F0531"/>
    <w:rsid w:val="00303242"/>
    <w:rsid w:val="00314F83"/>
    <w:rsid w:val="00326A29"/>
    <w:rsid w:val="0032749A"/>
    <w:rsid w:val="00332088"/>
    <w:rsid w:val="003466DC"/>
    <w:rsid w:val="00347DD3"/>
    <w:rsid w:val="003769DF"/>
    <w:rsid w:val="00380666"/>
    <w:rsid w:val="003928D1"/>
    <w:rsid w:val="003B0DE7"/>
    <w:rsid w:val="003C43F7"/>
    <w:rsid w:val="003E0D98"/>
    <w:rsid w:val="00401E19"/>
    <w:rsid w:val="00414F44"/>
    <w:rsid w:val="0041500E"/>
    <w:rsid w:val="00441580"/>
    <w:rsid w:val="00441EF4"/>
    <w:rsid w:val="004423AB"/>
    <w:rsid w:val="00443A4A"/>
    <w:rsid w:val="00444725"/>
    <w:rsid w:val="004472AD"/>
    <w:rsid w:val="0045397A"/>
    <w:rsid w:val="0047572C"/>
    <w:rsid w:val="004774B3"/>
    <w:rsid w:val="00477F9F"/>
    <w:rsid w:val="004831A5"/>
    <w:rsid w:val="00487AF6"/>
    <w:rsid w:val="00487D0A"/>
    <w:rsid w:val="00494C70"/>
    <w:rsid w:val="00497BF5"/>
    <w:rsid w:val="004A06AE"/>
    <w:rsid w:val="004A6F00"/>
    <w:rsid w:val="004C0A4B"/>
    <w:rsid w:val="004C599F"/>
    <w:rsid w:val="004C7A38"/>
    <w:rsid w:val="004C7E05"/>
    <w:rsid w:val="004D0839"/>
    <w:rsid w:val="004D7A08"/>
    <w:rsid w:val="004F269C"/>
    <w:rsid w:val="004F4AA8"/>
    <w:rsid w:val="004F71A8"/>
    <w:rsid w:val="00502499"/>
    <w:rsid w:val="00514854"/>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242A5"/>
    <w:rsid w:val="0062527E"/>
    <w:rsid w:val="00634FA8"/>
    <w:rsid w:val="00653B25"/>
    <w:rsid w:val="006546D8"/>
    <w:rsid w:val="00656459"/>
    <w:rsid w:val="0066368E"/>
    <w:rsid w:val="0067014A"/>
    <w:rsid w:val="00673A86"/>
    <w:rsid w:val="00694DAB"/>
    <w:rsid w:val="00696C4F"/>
    <w:rsid w:val="00696DA0"/>
    <w:rsid w:val="0069758C"/>
    <w:rsid w:val="006A012D"/>
    <w:rsid w:val="006A33A3"/>
    <w:rsid w:val="006A45EA"/>
    <w:rsid w:val="006A7C03"/>
    <w:rsid w:val="006B6EDE"/>
    <w:rsid w:val="006B787A"/>
    <w:rsid w:val="006D74B5"/>
    <w:rsid w:val="006D766E"/>
    <w:rsid w:val="006F40EA"/>
    <w:rsid w:val="006F6266"/>
    <w:rsid w:val="00702C5A"/>
    <w:rsid w:val="00724074"/>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6115"/>
    <w:rsid w:val="008F30AD"/>
    <w:rsid w:val="00902F4F"/>
    <w:rsid w:val="00920276"/>
    <w:rsid w:val="0092264E"/>
    <w:rsid w:val="00935F51"/>
    <w:rsid w:val="00941EDA"/>
    <w:rsid w:val="009463F5"/>
    <w:rsid w:val="009567F0"/>
    <w:rsid w:val="00956D53"/>
    <w:rsid w:val="00961D71"/>
    <w:rsid w:val="00961E03"/>
    <w:rsid w:val="00987852"/>
    <w:rsid w:val="00993D85"/>
    <w:rsid w:val="009946BE"/>
    <w:rsid w:val="009A08DF"/>
    <w:rsid w:val="009A37E1"/>
    <w:rsid w:val="009C219D"/>
    <w:rsid w:val="009C4614"/>
    <w:rsid w:val="009D7F7A"/>
    <w:rsid w:val="009E177E"/>
    <w:rsid w:val="009E1D8F"/>
    <w:rsid w:val="009E6C4F"/>
    <w:rsid w:val="009F0EFA"/>
    <w:rsid w:val="009F1279"/>
    <w:rsid w:val="009F68B5"/>
    <w:rsid w:val="00A0449E"/>
    <w:rsid w:val="00A05B1C"/>
    <w:rsid w:val="00A07847"/>
    <w:rsid w:val="00A12857"/>
    <w:rsid w:val="00A251C7"/>
    <w:rsid w:val="00A26996"/>
    <w:rsid w:val="00A33C7F"/>
    <w:rsid w:val="00A44A1E"/>
    <w:rsid w:val="00A50ED5"/>
    <w:rsid w:val="00A52CCD"/>
    <w:rsid w:val="00A56356"/>
    <w:rsid w:val="00A7696A"/>
    <w:rsid w:val="00A769C4"/>
    <w:rsid w:val="00A83C88"/>
    <w:rsid w:val="00A90C30"/>
    <w:rsid w:val="00AA4BEA"/>
    <w:rsid w:val="00AA5215"/>
    <w:rsid w:val="00AD4C00"/>
    <w:rsid w:val="00AE6470"/>
    <w:rsid w:val="00AE6AFF"/>
    <w:rsid w:val="00AF6C82"/>
    <w:rsid w:val="00AF7784"/>
    <w:rsid w:val="00B10B5D"/>
    <w:rsid w:val="00B13D70"/>
    <w:rsid w:val="00B150ED"/>
    <w:rsid w:val="00B16B46"/>
    <w:rsid w:val="00B24CA7"/>
    <w:rsid w:val="00B27C06"/>
    <w:rsid w:val="00B53945"/>
    <w:rsid w:val="00B67B92"/>
    <w:rsid w:val="00B72250"/>
    <w:rsid w:val="00B81452"/>
    <w:rsid w:val="00BB1AD4"/>
    <w:rsid w:val="00BD0908"/>
    <w:rsid w:val="00BD0DCE"/>
    <w:rsid w:val="00BD2782"/>
    <w:rsid w:val="00BF472E"/>
    <w:rsid w:val="00BF7DFA"/>
    <w:rsid w:val="00C128EE"/>
    <w:rsid w:val="00C20B4C"/>
    <w:rsid w:val="00C2494E"/>
    <w:rsid w:val="00C24D28"/>
    <w:rsid w:val="00C25C6F"/>
    <w:rsid w:val="00C307BD"/>
    <w:rsid w:val="00C35789"/>
    <w:rsid w:val="00C4446E"/>
    <w:rsid w:val="00C51E36"/>
    <w:rsid w:val="00C76F1F"/>
    <w:rsid w:val="00C819A4"/>
    <w:rsid w:val="00C903D3"/>
    <w:rsid w:val="00C926AF"/>
    <w:rsid w:val="00CB5637"/>
    <w:rsid w:val="00CC1C6D"/>
    <w:rsid w:val="00CC5B87"/>
    <w:rsid w:val="00CD362B"/>
    <w:rsid w:val="00CD7F8F"/>
    <w:rsid w:val="00CE1B29"/>
    <w:rsid w:val="00CF2576"/>
    <w:rsid w:val="00CF734C"/>
    <w:rsid w:val="00D05C08"/>
    <w:rsid w:val="00D151CD"/>
    <w:rsid w:val="00D244DC"/>
    <w:rsid w:val="00D379B4"/>
    <w:rsid w:val="00D43BD4"/>
    <w:rsid w:val="00D54B65"/>
    <w:rsid w:val="00D750EB"/>
    <w:rsid w:val="00D94AF5"/>
    <w:rsid w:val="00DA2FC4"/>
    <w:rsid w:val="00DA58BE"/>
    <w:rsid w:val="00DB32C6"/>
    <w:rsid w:val="00E02BE4"/>
    <w:rsid w:val="00E05A3F"/>
    <w:rsid w:val="00E05FB1"/>
    <w:rsid w:val="00E2569F"/>
    <w:rsid w:val="00E34A2A"/>
    <w:rsid w:val="00E35AF0"/>
    <w:rsid w:val="00E5289B"/>
    <w:rsid w:val="00E64F8A"/>
    <w:rsid w:val="00E67750"/>
    <w:rsid w:val="00E677E7"/>
    <w:rsid w:val="00E763F4"/>
    <w:rsid w:val="00E76523"/>
    <w:rsid w:val="00E836AF"/>
    <w:rsid w:val="00E85EF4"/>
    <w:rsid w:val="00E94566"/>
    <w:rsid w:val="00E94860"/>
    <w:rsid w:val="00EA3CD9"/>
    <w:rsid w:val="00EA63A7"/>
    <w:rsid w:val="00EA6942"/>
    <w:rsid w:val="00EB1E10"/>
    <w:rsid w:val="00EB7547"/>
    <w:rsid w:val="00EB7684"/>
    <w:rsid w:val="00ED1D3A"/>
    <w:rsid w:val="00EF31CF"/>
    <w:rsid w:val="00EF478C"/>
    <w:rsid w:val="00EF63BE"/>
    <w:rsid w:val="00F34EDF"/>
    <w:rsid w:val="00F7009B"/>
    <w:rsid w:val="00F70C0E"/>
    <w:rsid w:val="00F82744"/>
    <w:rsid w:val="00F8507F"/>
    <w:rsid w:val="00F90544"/>
    <w:rsid w:val="00F9421B"/>
    <w:rsid w:val="00FA02D8"/>
    <w:rsid w:val="00FC3370"/>
    <w:rsid w:val="00FC3C0B"/>
    <w:rsid w:val="00FC43F4"/>
    <w:rsid w:val="00FC527B"/>
    <w:rsid w:val="00FD06C6"/>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6546D8"/>
    <w:rPr>
      <w:lang/>
    </w:rPr>
  </w:style>
  <w:style w:type="character" w:customStyle="1" w:styleId="CommentTextChar">
    <w:name w:val="Comment Text Char"/>
    <w:link w:val="CommentText"/>
    <w:rsid w:val="006546D8"/>
    <w:rPr>
      <w:spacing w:val="4"/>
      <w:w w:val="103"/>
      <w:kern w:val="14"/>
      <w:lang w:val="en-GB"/>
    </w:rPr>
  </w:style>
  <w:style w:type="paragraph" w:styleId="CommentSubject">
    <w:name w:val="annotation subject"/>
    <w:basedOn w:val="CommentText"/>
    <w:next w:val="CommentText"/>
    <w:link w:val="CommentSubjectChar"/>
    <w:rsid w:val="006546D8"/>
    <w:rPr>
      <w:b/>
      <w:bCs/>
    </w:rPr>
  </w:style>
  <w:style w:type="character" w:customStyle="1" w:styleId="CommentSubjectChar">
    <w:name w:val="Comment Subject Char"/>
    <w:link w:val="CommentSubject"/>
    <w:rsid w:val="006546D8"/>
    <w:rPr>
      <w:b/>
      <w:bCs/>
      <w:spacing w:val="4"/>
      <w:w w:val="103"/>
      <w:kern w:val="14"/>
      <w:lang w:val="en-GB"/>
    </w:rPr>
  </w:style>
  <w:style w:type="character" w:styleId="Hyperlink">
    <w:name w:val="Hyperlink"/>
    <w:rsid w:val="009A37E1"/>
    <w:rPr>
      <w:color w:val="0000FF"/>
      <w:u w:val="none"/>
    </w:rPr>
  </w:style>
  <w:style w:type="character" w:styleId="FollowedHyperlink">
    <w:name w:val="FollowedHyperlink"/>
    <w:rsid w:val="009A37E1"/>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IND/4" TargetMode="External"/><Relationship Id="rId26" Type="http://schemas.openxmlformats.org/officeDocument/2006/relationships/hyperlink" Target="http://undocs.org/CEDAW/C/IND/Q/4" TargetMode="External"/><Relationship Id="rId39" Type="http://schemas.openxmlformats.org/officeDocument/2006/relationships/hyperlink" Target="http://undocs.org/CEDAW/C/SYR/Q/2/Add.1" TargetMode="External"/><Relationship Id="rId3" Type="http://schemas.openxmlformats.org/officeDocument/2006/relationships/webSettings" Target="webSettings.xml"/><Relationship Id="rId21" Type="http://schemas.openxmlformats.org/officeDocument/2006/relationships/hyperlink" Target="http://undocs.org/CEDAW/C/PER/7" TargetMode="External"/><Relationship Id="rId34" Type="http://schemas.openxmlformats.org/officeDocument/2006/relationships/hyperlink" Target="http://undocs.org/CEDAW/C/IND/Q/4" TargetMode="External"/><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GEO/4" TargetMode="External"/><Relationship Id="rId25" Type="http://schemas.openxmlformats.org/officeDocument/2006/relationships/hyperlink" Target="http://undocs.org/CEDAW/C/GEO/Q/4" TargetMode="External"/><Relationship Id="rId33" Type="http://schemas.openxmlformats.org/officeDocument/2006/relationships/hyperlink" Target="http://undocs.org/CEDAW/C/GEO/Q/4" TargetMode="External"/><Relationship Id="rId38" Type="http://schemas.openxmlformats.org/officeDocument/2006/relationships/hyperlink" Target="http://undocs.org/CEDAW/C/SWZ/Q/1" TargetMode="External"/><Relationship Id="rId2" Type="http://schemas.openxmlformats.org/officeDocument/2006/relationships/settings" Target="settings.xml"/><Relationship Id="rId16" Type="http://schemas.openxmlformats.org/officeDocument/2006/relationships/hyperlink" Target="http://undocs.org/CEDAW/C/CAF/1" TargetMode="External"/><Relationship Id="rId20" Type="http://schemas.openxmlformats.org/officeDocument/2006/relationships/hyperlink" Target="http://undocs.org/CEDAW/C/MRT/2" TargetMode="External"/><Relationship Id="rId29" Type="http://schemas.openxmlformats.org/officeDocument/2006/relationships/hyperlink" Target="http://undocs.org/CEDAW/C/PER/Q/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EDAW/C/CAF/Q/1" TargetMode="External"/><Relationship Id="rId32" Type="http://schemas.openxmlformats.org/officeDocument/2006/relationships/hyperlink" Target="http://undocs.org/CEDAW/C/CAF/Q/1" TargetMode="External"/><Relationship Id="rId37" Type="http://schemas.openxmlformats.org/officeDocument/2006/relationships/hyperlink" Target="http://undocs.org/CEDAW/C/PER/Q/7" TargetMode="External"/><Relationship Id="rId40" Type="http://schemas.openxmlformats.org/officeDocument/2006/relationships/hyperlink" Target="http://undocs.org/CEDAW/C/59/1" TargetMode="External"/><Relationship Id="rId5" Type="http://schemas.openxmlformats.org/officeDocument/2006/relationships/endnotes" Target="endnotes.xml"/><Relationship Id="rId15" Type="http://schemas.openxmlformats.org/officeDocument/2006/relationships/hyperlink" Target="http://undocs.org/CEDAW/C/PSWG/58/1" TargetMode="External"/><Relationship Id="rId23" Type="http://schemas.openxmlformats.org/officeDocument/2006/relationships/hyperlink" Target="http://undocs.org/CEDAW/C/SYR/2" TargetMode="External"/><Relationship Id="rId28" Type="http://schemas.openxmlformats.org/officeDocument/2006/relationships/hyperlink" Target="http://undocs.org/CEDAW/C/MRT/Q/2" TargetMode="External"/><Relationship Id="rId36" Type="http://schemas.openxmlformats.org/officeDocument/2006/relationships/hyperlink" Target="http://undocs.org/CEDAW/C/MRT/Q/2" TargetMode="External"/><Relationship Id="rId10" Type="http://schemas.openxmlformats.org/officeDocument/2006/relationships/header" Target="header3.xml"/><Relationship Id="rId19" Type="http://schemas.openxmlformats.org/officeDocument/2006/relationships/hyperlink" Target="http://undocs.org/CEDAW/C/LTU/5" TargetMode="External"/><Relationship Id="rId31" Type="http://schemas.openxmlformats.org/officeDocument/2006/relationships/hyperlink" Target="http://undocs.org/CEDAW/C/SYR/Q/2"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58/1" TargetMode="External"/><Relationship Id="rId22" Type="http://schemas.openxmlformats.org/officeDocument/2006/relationships/hyperlink" Target="http://undocs.org/CEDAW/C/SWZ/1" TargetMode="External"/><Relationship Id="rId27" Type="http://schemas.openxmlformats.org/officeDocument/2006/relationships/hyperlink" Target="http://undocs.org/CEDAW/C/LTU/Q/5" TargetMode="External"/><Relationship Id="rId30" Type="http://schemas.openxmlformats.org/officeDocument/2006/relationships/hyperlink" Target="http://undocs.org/CEDAW/C/SWZ/Q/1" TargetMode="External"/><Relationship Id="rId35" Type="http://schemas.openxmlformats.org/officeDocument/2006/relationships/hyperlink" Target="http://undocs.org/CEDAW/C/LTU/Q/5/Add.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1403</Words>
  <Characters>8000</Characters>
  <Application>Microsoft Office Outlook</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9385</CharactersWithSpaces>
  <SharedDoc>false</SharedDoc>
  <HLinks>
    <vt:vector size="162" baseType="variant">
      <vt:variant>
        <vt:i4>2490490</vt:i4>
      </vt:variant>
      <vt:variant>
        <vt:i4>78</vt:i4>
      </vt:variant>
      <vt:variant>
        <vt:i4>0</vt:i4>
      </vt:variant>
      <vt:variant>
        <vt:i4>5</vt:i4>
      </vt:variant>
      <vt:variant>
        <vt:lpwstr>http://undocs.org/CEDAW/C/59/1</vt:lpwstr>
      </vt:variant>
      <vt:variant>
        <vt:lpwstr/>
      </vt:variant>
      <vt:variant>
        <vt:i4>3276839</vt:i4>
      </vt:variant>
      <vt:variant>
        <vt:i4>75</vt:i4>
      </vt:variant>
      <vt:variant>
        <vt:i4>0</vt:i4>
      </vt:variant>
      <vt:variant>
        <vt:i4>5</vt:i4>
      </vt:variant>
      <vt:variant>
        <vt:lpwstr>http://undocs.org/CEDAW/C/SYR/Q/2/Add.1</vt:lpwstr>
      </vt:variant>
      <vt:variant>
        <vt:lpwstr/>
      </vt:variant>
      <vt:variant>
        <vt:i4>5832728</vt:i4>
      </vt:variant>
      <vt:variant>
        <vt:i4>72</vt:i4>
      </vt:variant>
      <vt:variant>
        <vt:i4>0</vt:i4>
      </vt:variant>
      <vt:variant>
        <vt:i4>5</vt:i4>
      </vt:variant>
      <vt:variant>
        <vt:lpwstr>http://undocs.org/CEDAW/C/SWZ/Q/1</vt:lpwstr>
      </vt:variant>
      <vt:variant>
        <vt:lpwstr/>
      </vt:variant>
      <vt:variant>
        <vt:i4>4915219</vt:i4>
      </vt:variant>
      <vt:variant>
        <vt:i4>69</vt:i4>
      </vt:variant>
      <vt:variant>
        <vt:i4>0</vt:i4>
      </vt:variant>
      <vt:variant>
        <vt:i4>5</vt:i4>
      </vt:variant>
      <vt:variant>
        <vt:lpwstr>http://undocs.org/CEDAW/C/PER/Q/7</vt:lpwstr>
      </vt:variant>
      <vt:variant>
        <vt:lpwstr/>
      </vt:variant>
      <vt:variant>
        <vt:i4>6029320</vt:i4>
      </vt:variant>
      <vt:variant>
        <vt:i4>66</vt:i4>
      </vt:variant>
      <vt:variant>
        <vt:i4>0</vt:i4>
      </vt:variant>
      <vt:variant>
        <vt:i4>5</vt:i4>
      </vt:variant>
      <vt:variant>
        <vt:lpwstr>http://undocs.org/CEDAW/C/MRT/Q/2</vt:lpwstr>
      </vt:variant>
      <vt:variant>
        <vt:lpwstr/>
      </vt:variant>
      <vt:variant>
        <vt:i4>4128824</vt:i4>
      </vt:variant>
      <vt:variant>
        <vt:i4>63</vt:i4>
      </vt:variant>
      <vt:variant>
        <vt:i4>0</vt:i4>
      </vt:variant>
      <vt:variant>
        <vt:i4>5</vt:i4>
      </vt:variant>
      <vt:variant>
        <vt:lpwstr>http://undocs.org/CEDAW/C/LTU/Q/5/Add.1</vt:lpwstr>
      </vt:variant>
      <vt:variant>
        <vt:lpwstr/>
      </vt:variant>
      <vt:variant>
        <vt:i4>4194332</vt:i4>
      </vt:variant>
      <vt:variant>
        <vt:i4>60</vt:i4>
      </vt:variant>
      <vt:variant>
        <vt:i4>0</vt:i4>
      </vt:variant>
      <vt:variant>
        <vt:i4>5</vt:i4>
      </vt:variant>
      <vt:variant>
        <vt:lpwstr>http://undocs.org/CEDAW/C/IND/Q/4</vt:lpwstr>
      </vt:variant>
      <vt:variant>
        <vt:lpwstr/>
      </vt:variant>
      <vt:variant>
        <vt:i4>4915225</vt:i4>
      </vt:variant>
      <vt:variant>
        <vt:i4>57</vt:i4>
      </vt:variant>
      <vt:variant>
        <vt:i4>0</vt:i4>
      </vt:variant>
      <vt:variant>
        <vt:i4>5</vt:i4>
      </vt:variant>
      <vt:variant>
        <vt:lpwstr>http://undocs.org/CEDAW/C/GEO/Q/4</vt:lpwstr>
      </vt:variant>
      <vt:variant>
        <vt:lpwstr/>
      </vt:variant>
      <vt:variant>
        <vt:i4>5177364</vt:i4>
      </vt:variant>
      <vt:variant>
        <vt:i4>54</vt:i4>
      </vt:variant>
      <vt:variant>
        <vt:i4>0</vt:i4>
      </vt:variant>
      <vt:variant>
        <vt:i4>5</vt:i4>
      </vt:variant>
      <vt:variant>
        <vt:lpwstr>http://undocs.org/CEDAW/C/CAF/Q/1</vt:lpwstr>
      </vt:variant>
      <vt:variant>
        <vt:lpwstr/>
      </vt:variant>
      <vt:variant>
        <vt:i4>5701648</vt:i4>
      </vt:variant>
      <vt:variant>
        <vt:i4>51</vt:i4>
      </vt:variant>
      <vt:variant>
        <vt:i4>0</vt:i4>
      </vt:variant>
      <vt:variant>
        <vt:i4>5</vt:i4>
      </vt:variant>
      <vt:variant>
        <vt:lpwstr>http://undocs.org/CEDAW/C/SYR/Q/2</vt:lpwstr>
      </vt:variant>
      <vt:variant>
        <vt:lpwstr/>
      </vt:variant>
      <vt:variant>
        <vt:i4>5832728</vt:i4>
      </vt:variant>
      <vt:variant>
        <vt:i4>48</vt:i4>
      </vt:variant>
      <vt:variant>
        <vt:i4>0</vt:i4>
      </vt:variant>
      <vt:variant>
        <vt:i4>5</vt:i4>
      </vt:variant>
      <vt:variant>
        <vt:lpwstr>http://undocs.org/CEDAW/C/SWZ/Q/1</vt:lpwstr>
      </vt:variant>
      <vt:variant>
        <vt:lpwstr/>
      </vt:variant>
      <vt:variant>
        <vt:i4>4915219</vt:i4>
      </vt:variant>
      <vt:variant>
        <vt:i4>45</vt:i4>
      </vt:variant>
      <vt:variant>
        <vt:i4>0</vt:i4>
      </vt:variant>
      <vt:variant>
        <vt:i4>5</vt:i4>
      </vt:variant>
      <vt:variant>
        <vt:lpwstr>http://undocs.org/CEDAW/C/PER/Q/7</vt:lpwstr>
      </vt:variant>
      <vt:variant>
        <vt:lpwstr/>
      </vt:variant>
      <vt:variant>
        <vt:i4>6029320</vt:i4>
      </vt:variant>
      <vt:variant>
        <vt:i4>42</vt:i4>
      </vt:variant>
      <vt:variant>
        <vt:i4>0</vt:i4>
      </vt:variant>
      <vt:variant>
        <vt:i4>5</vt:i4>
      </vt:variant>
      <vt:variant>
        <vt:lpwstr>http://undocs.org/CEDAW/C/MRT/Q/2</vt:lpwstr>
      </vt:variant>
      <vt:variant>
        <vt:lpwstr/>
      </vt:variant>
      <vt:variant>
        <vt:i4>5898248</vt:i4>
      </vt:variant>
      <vt:variant>
        <vt:i4>39</vt:i4>
      </vt:variant>
      <vt:variant>
        <vt:i4>0</vt:i4>
      </vt:variant>
      <vt:variant>
        <vt:i4>5</vt:i4>
      </vt:variant>
      <vt:variant>
        <vt:lpwstr>http://undocs.org/CEDAW/C/LTU/Q/5</vt:lpwstr>
      </vt:variant>
      <vt:variant>
        <vt:lpwstr/>
      </vt:variant>
      <vt:variant>
        <vt:i4>4194332</vt:i4>
      </vt:variant>
      <vt:variant>
        <vt:i4>36</vt:i4>
      </vt:variant>
      <vt:variant>
        <vt:i4>0</vt:i4>
      </vt:variant>
      <vt:variant>
        <vt:i4>5</vt:i4>
      </vt:variant>
      <vt:variant>
        <vt:lpwstr>http://undocs.org/CEDAW/C/IND/Q/4</vt:lpwstr>
      </vt:variant>
      <vt:variant>
        <vt:lpwstr/>
      </vt:variant>
      <vt:variant>
        <vt:i4>4915225</vt:i4>
      </vt:variant>
      <vt:variant>
        <vt:i4>33</vt:i4>
      </vt:variant>
      <vt:variant>
        <vt:i4>0</vt:i4>
      </vt:variant>
      <vt:variant>
        <vt:i4>5</vt:i4>
      </vt:variant>
      <vt:variant>
        <vt:lpwstr>http://undocs.org/CEDAW/C/GEO/Q/4</vt:lpwstr>
      </vt:variant>
      <vt:variant>
        <vt:lpwstr/>
      </vt:variant>
      <vt:variant>
        <vt:i4>5177364</vt:i4>
      </vt:variant>
      <vt:variant>
        <vt:i4>30</vt:i4>
      </vt:variant>
      <vt:variant>
        <vt:i4>0</vt:i4>
      </vt:variant>
      <vt:variant>
        <vt:i4>5</vt:i4>
      </vt:variant>
      <vt:variant>
        <vt:lpwstr>http://undocs.org/CEDAW/C/CAF/Q/1</vt:lpwstr>
      </vt:variant>
      <vt:variant>
        <vt:lpwstr/>
      </vt:variant>
      <vt:variant>
        <vt:i4>7864417</vt:i4>
      </vt:variant>
      <vt:variant>
        <vt:i4>27</vt:i4>
      </vt:variant>
      <vt:variant>
        <vt:i4>0</vt:i4>
      </vt:variant>
      <vt:variant>
        <vt:i4>5</vt:i4>
      </vt:variant>
      <vt:variant>
        <vt:lpwstr>http://undocs.org/CEDAW/C/SYR/2</vt:lpwstr>
      </vt:variant>
      <vt:variant>
        <vt:lpwstr/>
      </vt:variant>
      <vt:variant>
        <vt:i4>7733353</vt:i4>
      </vt:variant>
      <vt:variant>
        <vt:i4>24</vt:i4>
      </vt:variant>
      <vt:variant>
        <vt:i4>0</vt:i4>
      </vt:variant>
      <vt:variant>
        <vt:i4>5</vt:i4>
      </vt:variant>
      <vt:variant>
        <vt:lpwstr>http://undocs.org/CEDAW/C/SWZ/1</vt:lpwstr>
      </vt:variant>
      <vt:variant>
        <vt:lpwstr/>
      </vt:variant>
      <vt:variant>
        <vt:i4>6553698</vt:i4>
      </vt:variant>
      <vt:variant>
        <vt:i4>21</vt:i4>
      </vt:variant>
      <vt:variant>
        <vt:i4>0</vt:i4>
      </vt:variant>
      <vt:variant>
        <vt:i4>5</vt:i4>
      </vt:variant>
      <vt:variant>
        <vt:lpwstr>http://undocs.org/CEDAW/C/PER/7</vt:lpwstr>
      </vt:variant>
      <vt:variant>
        <vt:lpwstr/>
      </vt:variant>
      <vt:variant>
        <vt:i4>7536761</vt:i4>
      </vt:variant>
      <vt:variant>
        <vt:i4>18</vt:i4>
      </vt:variant>
      <vt:variant>
        <vt:i4>0</vt:i4>
      </vt:variant>
      <vt:variant>
        <vt:i4>5</vt:i4>
      </vt:variant>
      <vt:variant>
        <vt:lpwstr>http://undocs.org/CEDAW/C/MRT/2</vt:lpwstr>
      </vt:variant>
      <vt:variant>
        <vt:lpwstr/>
      </vt:variant>
      <vt:variant>
        <vt:i4>7667833</vt:i4>
      </vt:variant>
      <vt:variant>
        <vt:i4>15</vt:i4>
      </vt:variant>
      <vt:variant>
        <vt:i4>0</vt:i4>
      </vt:variant>
      <vt:variant>
        <vt:i4>5</vt:i4>
      </vt:variant>
      <vt:variant>
        <vt:lpwstr>http://undocs.org/CEDAW/C/LTU/5</vt:lpwstr>
      </vt:variant>
      <vt:variant>
        <vt:lpwstr/>
      </vt:variant>
      <vt:variant>
        <vt:i4>7274605</vt:i4>
      </vt:variant>
      <vt:variant>
        <vt:i4>12</vt:i4>
      </vt:variant>
      <vt:variant>
        <vt:i4>0</vt:i4>
      </vt:variant>
      <vt:variant>
        <vt:i4>5</vt:i4>
      </vt:variant>
      <vt:variant>
        <vt:lpwstr>http://undocs.org/CEDAW/C/IND/4</vt:lpwstr>
      </vt:variant>
      <vt:variant>
        <vt:lpwstr/>
      </vt:variant>
      <vt:variant>
        <vt:i4>6553704</vt:i4>
      </vt:variant>
      <vt:variant>
        <vt:i4>9</vt:i4>
      </vt:variant>
      <vt:variant>
        <vt:i4>0</vt:i4>
      </vt:variant>
      <vt:variant>
        <vt:i4>5</vt:i4>
      </vt:variant>
      <vt:variant>
        <vt:lpwstr>http://undocs.org/CEDAW/C/GEO/4</vt:lpwstr>
      </vt:variant>
      <vt:variant>
        <vt:lpwstr/>
      </vt:variant>
      <vt:variant>
        <vt:i4>6291557</vt:i4>
      </vt:variant>
      <vt:variant>
        <vt:i4>6</vt:i4>
      </vt:variant>
      <vt:variant>
        <vt:i4>0</vt:i4>
      </vt:variant>
      <vt:variant>
        <vt:i4>5</vt:i4>
      </vt:variant>
      <vt:variant>
        <vt:lpwstr>http://undocs.org/CEDAW/C/CAF/1</vt:lpwstr>
      </vt:variant>
      <vt:variant>
        <vt:lpwstr/>
      </vt:variant>
      <vt:variant>
        <vt:i4>2097264</vt:i4>
      </vt:variant>
      <vt:variant>
        <vt:i4>3</vt:i4>
      </vt:variant>
      <vt:variant>
        <vt:i4>0</vt:i4>
      </vt:variant>
      <vt:variant>
        <vt:i4>5</vt:i4>
      </vt:variant>
      <vt:variant>
        <vt:lpwstr>http://undocs.org/CEDAW/C/PSWG/58/1</vt:lpwstr>
      </vt:variant>
      <vt:variant>
        <vt:lpwstr/>
      </vt:variant>
      <vt:variant>
        <vt:i4>2556026</vt:i4>
      </vt:variant>
      <vt:variant>
        <vt:i4>0</vt:i4>
      </vt:variant>
      <vt:variant>
        <vt:i4>0</vt:i4>
      </vt:variant>
      <vt:variant>
        <vt:i4>5</vt:i4>
      </vt:variant>
      <vt:variant>
        <vt:lpwstr>http://undocs.org/CEDAW/C/58/1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7</cp:revision>
  <cp:lastPrinted>2014-04-15T11:23:00Z</cp:lastPrinted>
  <dcterms:created xsi:type="dcterms:W3CDTF">2014-04-15T11:11:00Z</dcterms:created>
  <dcterms:modified xsi:type="dcterms:W3CDTF">2014-04-15T12:27:00Z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1429224</vt:lpwstr>
  </property>
  <property fmtid="{D5CDD505-2E9C-101B-9397-08002B2CF9AE}" pid="3" name="Symbol1">
    <vt:lpwstr>CEDAW/C/58/1</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7 April 2014</vt:lpwstr>
  </property>
  <property fmtid="{D5CDD505-2E9C-101B-9397-08002B2CF9AE}" pid="8" name="Original">
    <vt:lpwstr>English</vt:lpwstr>
  </property>
  <property fmtid="{D5CDD505-2E9C-101B-9397-08002B2CF9AE}" pid="9" name="Release Date">
    <vt:lpwstr>150414</vt:lpwstr>
  </property>
  <property fmtid="{D5CDD505-2E9C-101B-9397-08002B2CF9AE}" pid="10" name="Comment">
    <vt:lpwstr/>
  </property>
  <property fmtid="{D5CDD505-2E9C-101B-9397-08002B2CF9AE}" pid="11" name="DraftPages">
    <vt:lpwstr>FINAL 4 (15M)</vt:lpwstr>
  </property>
  <property fmtid="{D5CDD505-2E9C-101B-9397-08002B2CF9AE}" pid="12" name="Operator">
    <vt:lpwstr>LM (F)</vt:lpwstr>
  </property>
</Properties>
</file>