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60" w:lineRule="exact"/>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2" w:h="15842" w:code="1"/>
          <w:pgMar w:top="1742" w:right="1195" w:bottom="1898" w:left="1195" w:header="576" w:footer="1030" w:gutter="0"/>
          <w:pgNumType w:start="1"/>
          <w:cols w:space="425"/>
          <w:titlePg/>
          <w:docGrid w:type="lines" w:linePitch="312"/>
        </w:sectPr>
      </w:pPr>
      <w:r>
        <w:rPr>
          <w:rStyle w:val="CommentReference"/>
          <w:rFonts w:hint="eastAsia"/>
          <w:vanish/>
        </w:rPr>
        <w:commentReference w:id="0"/>
      </w:r>
    </w:p>
    <w:p w:rsidR="00000000" w:rsidRDefault="00000000">
      <w:pPr>
        <w:spacing w:line="60" w:lineRule="exact"/>
        <w:rPr>
          <w:sz w:val="6"/>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消除对妇女歧视委员会</w:t>
      </w:r>
    </w:p>
    <w:p w:rsidR="00000000" w:rsidRDefault="00000000">
      <w:pPr>
        <w:pStyle w:val="SingleTxt"/>
        <w:spacing w:after="0"/>
        <w:ind w:left="0" w:right="0"/>
        <w:rPr>
          <w:rFonts w:ascii="SimHei" w:eastAsia="SimHei" w:hint="eastAsia"/>
          <w:color w:val="FF0000"/>
        </w:rPr>
      </w:pPr>
      <w:r>
        <w:rPr>
          <w:rFonts w:ascii="SimHei" w:eastAsia="SimHei" w:hint="eastAsia"/>
          <w:color w:val="FF0000"/>
        </w:rPr>
        <w:t>第二十六届会议</w:t>
      </w:r>
    </w:p>
    <w:p w:rsidR="00000000" w:rsidRDefault="00000000">
      <w:pPr>
        <w:pStyle w:val="SingleTxt"/>
        <w:spacing w:after="0"/>
        <w:ind w:left="0" w:right="0"/>
        <w:rPr>
          <w:rFonts w:hint="eastAsia"/>
        </w:rPr>
      </w:pPr>
      <w:r>
        <w:rPr>
          <w:rFonts w:hint="eastAsia"/>
        </w:rPr>
        <w:t>2002年1月14日至2月1日</w:t>
      </w:r>
    </w:p>
    <w:p w:rsidR="00000000" w:rsidRDefault="00000000">
      <w:pPr>
        <w:framePr w:w="9792" w:h="432" w:hSpace="180" w:wrap="around" w:hAnchor="page" w:x="1210" w:yAlign="bottom"/>
        <w:spacing w:line="100" w:lineRule="exact"/>
        <w:rPr>
          <w:sz w:val="10"/>
        </w:rPr>
      </w:pPr>
    </w:p>
    <w:p w:rsidR="00000000" w:rsidRDefault="00000000">
      <w:pPr>
        <w:framePr w:w="9792" w:h="432" w:hSpace="180" w:wrap="around" w:hAnchor="page" w:x="1210" w:yAlign="bottom"/>
        <w:spacing w:line="60" w:lineRule="exact"/>
        <w:rPr>
          <w:sz w:val="6"/>
        </w:rPr>
      </w:pPr>
      <w:r>
        <w:rPr>
          <w:noProof/>
          <w:sz w:val="6"/>
        </w:rPr>
        <w:pict>
          <v:line id="_x0000_s2050" style="position:absolute;z-index:1;mso-position-horizontal-relative:page" from="108pt,-1pt" to="180pt,-1pt" strokeweight=".25pt">
            <w10:wrap anchorx="page"/>
          </v:line>
        </w:pict>
      </w:r>
    </w:p>
    <w:p w:rsidR="00000000" w:rsidRDefault="00000000">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jc w:val="both"/>
        <w:rPr>
          <w:rFonts w:hint="eastAsia"/>
          <w:sz w:val="18"/>
        </w:rPr>
      </w:pPr>
      <w:r>
        <w:rPr>
          <w:rFonts w:hint="eastAsia"/>
          <w:sz w:val="18"/>
        </w:rPr>
        <w:tab/>
      </w:r>
      <w:r>
        <w:rPr>
          <w:rFonts w:hint="eastAsia"/>
          <w:sz w:val="18"/>
          <w:vertAlign w:val="superscript"/>
        </w:rPr>
        <w:t>＊</w:t>
      </w:r>
      <w:r>
        <w:rPr>
          <w:rFonts w:hint="eastAsia"/>
          <w:sz w:val="18"/>
        </w:rPr>
        <w:tab/>
        <w:t>CEDAW/C/2002/I/1。</w:t>
      </w:r>
    </w:p>
    <w:p w:rsidR="00000000" w:rsidRDefault="00000000">
      <w:pPr>
        <w:pStyle w:val="SingleTxt"/>
        <w:spacing w:after="0"/>
        <w:ind w:left="0" w:right="0"/>
        <w:rPr>
          <w:rFonts w:hint="eastAsia"/>
        </w:rPr>
      </w:pPr>
      <w:r>
        <w:rPr>
          <w:rFonts w:hint="eastAsia"/>
        </w:rPr>
        <w:t>临时议程项目6</w:t>
      </w:r>
      <w:r>
        <w:rPr>
          <w:rFonts w:hint="eastAsia"/>
          <w:vertAlign w:val="superscript"/>
        </w:rPr>
        <w:t>＊</w:t>
      </w:r>
    </w:p>
    <w:p w:rsidR="00000000" w:rsidRDefault="00000000">
      <w:pPr>
        <w:pStyle w:val="SingleTxt"/>
        <w:spacing w:after="0"/>
        <w:ind w:left="0" w:right="0"/>
        <w:rPr>
          <w:rFonts w:ascii="SimHei" w:eastAsia="SimHei" w:hint="eastAsia"/>
          <w:color w:val="FF0000"/>
        </w:rPr>
      </w:pPr>
      <w:r>
        <w:rPr>
          <w:rFonts w:ascii="SimHei" w:eastAsia="SimHei" w:hint="eastAsia"/>
          <w:color w:val="FF0000"/>
        </w:rPr>
        <w:t>消除对妇女一切形式歧视公约</w:t>
      </w:r>
    </w:p>
    <w:p w:rsidR="00000000" w:rsidRDefault="00000000">
      <w:pPr>
        <w:pStyle w:val="SingleTxt"/>
        <w:spacing w:after="0"/>
        <w:ind w:left="0" w:right="0"/>
        <w:rPr>
          <w:rFonts w:ascii="SimHei" w:eastAsia="SimHei"/>
          <w:color w:val="FF0000"/>
        </w:rPr>
      </w:pPr>
      <w:r>
        <w:rPr>
          <w:rFonts w:ascii="SimHei" w:eastAsia="SimHei" w:hint="eastAsia"/>
          <w:color w:val="FF0000"/>
        </w:rPr>
        <w:t>第21条的执行情况</w:t>
      </w:r>
    </w:p>
    <w:p w:rsidR="00000000" w:rsidRDefault="00000000">
      <w:pPr>
        <w:pStyle w:val="SingleTxt"/>
        <w:spacing w:after="0"/>
        <w:ind w:left="0" w:right="0"/>
      </w:pP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60"/>
        <w:ind w:left="1264" w:right="1264" w:hanging="1264"/>
        <w:jc w:val="both"/>
        <w:rPr>
          <w:rFonts w:hint="eastAsia"/>
        </w:rPr>
      </w:pPr>
      <w:r>
        <w:tab/>
      </w:r>
      <w:r>
        <w:tab/>
      </w:r>
      <w:r>
        <w:rPr>
          <w:rFonts w:hint="eastAsia"/>
        </w:rPr>
        <w:t>联合国各专门机构就公约在其活动范围领域的</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20"/>
        <w:ind w:left="1264" w:right="1264" w:hanging="1264"/>
        <w:jc w:val="both"/>
        <w:rPr>
          <w:rFonts w:hint="eastAsia"/>
        </w:rPr>
      </w:pPr>
      <w:r>
        <w:tab/>
      </w:r>
      <w:r>
        <w:tab/>
      </w:r>
      <w:r>
        <w:rPr>
          <w:rFonts w:hint="eastAsia"/>
        </w:rPr>
        <w:t>执行情况所提交的报告</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20"/>
        <w:ind w:left="1264" w:right="1264" w:hanging="1264"/>
        <w:jc w:val="both"/>
        <w:rPr>
          <w:rFonts w:hint="eastAsia"/>
        </w:rPr>
      </w:pPr>
      <w:r>
        <w:tab/>
      </w:r>
      <w:r>
        <w:tab/>
      </w:r>
      <w:r>
        <w:rPr>
          <w:rFonts w:hint="eastAsia"/>
        </w:rPr>
        <w:t>秘书长的说明</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20"/>
        <w:ind w:left="1264" w:right="1264" w:hanging="1264"/>
        <w:jc w:val="both"/>
        <w:rPr>
          <w:rFonts w:hint="eastAsia"/>
        </w:rPr>
      </w:pPr>
      <w:r>
        <w:tab/>
      </w:r>
      <w:r>
        <w:tab/>
      </w:r>
      <w:r>
        <w:rPr>
          <w:rFonts w:hint="eastAsia"/>
        </w:rPr>
        <w:t>增编</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20"/>
        <w:ind w:left="1264" w:right="1264" w:hanging="1264"/>
        <w:jc w:val="both"/>
        <w:rPr>
          <w:rFonts w:hint="eastAsia"/>
        </w:rPr>
      </w:pPr>
      <w:r>
        <w:tab/>
      </w:r>
      <w:r>
        <w:tab/>
      </w:r>
      <w:r>
        <w:rPr>
          <w:rFonts w:hint="eastAsia"/>
        </w:rPr>
        <w:t>联合国粮食及农业组织</w:t>
      </w:r>
    </w:p>
    <w:p w:rsidR="00000000" w:rsidRDefault="00000000">
      <w:pPr>
        <w:pStyle w:val="SingleTxt"/>
        <w:rPr>
          <w:rFonts w:hint="eastAsia"/>
        </w:rPr>
      </w:pPr>
      <w:r>
        <w:rPr>
          <w:rFonts w:hint="eastAsia"/>
        </w:rPr>
        <w:t>1.</w:t>
      </w:r>
      <w:r>
        <w:rPr>
          <w:rFonts w:hint="eastAsia"/>
        </w:rPr>
        <w:tab/>
        <w:t>2001年10月30，日秘书处代表委员会请联合国粮食及农业组织（粮农组织）向委员会提交一份报告，提供各国向粮农组织提交的关于消除对妇女一切形式歧视公约第11条和有关条款的执行情况的资料，用以补充委员会第二十六届会议将审议的公约缔约国提交的报告所载资料。</w:t>
      </w:r>
    </w:p>
    <w:p w:rsidR="00000000" w:rsidRDefault="00000000">
      <w:pPr>
        <w:pStyle w:val="SingleTxt"/>
        <w:rPr>
          <w:rFonts w:hint="eastAsia"/>
        </w:rPr>
      </w:pPr>
      <w:r>
        <w:rPr>
          <w:rFonts w:hint="eastAsia"/>
        </w:rPr>
        <w:t>2.</w:t>
      </w:r>
      <w:r>
        <w:rPr>
          <w:rFonts w:hint="eastAsia"/>
        </w:rPr>
        <w:tab/>
        <w:t>委员会所要的其他资料涉及粮农组织为促进公约的执行而开展的各项活动和方案以及作出的政策决定。</w:t>
      </w:r>
    </w:p>
    <w:p w:rsidR="00000000" w:rsidRDefault="00000000">
      <w:pPr>
        <w:pStyle w:val="SingleTxt"/>
        <w:rPr>
          <w:rFonts w:hint="eastAsia"/>
        </w:rPr>
      </w:pPr>
      <w:r>
        <w:rPr>
          <w:rFonts w:hint="eastAsia"/>
        </w:rPr>
        <w:t>3.</w:t>
      </w:r>
      <w:r>
        <w:rPr>
          <w:rFonts w:hint="eastAsia"/>
        </w:rPr>
        <w:tab/>
        <w:t>随后所附报告是根据委员会的要求提交的。</w:t>
      </w:r>
    </w:p>
    <w:p w:rsidR="00000000" w:rsidRDefault="00000000">
      <w:pPr>
        <w:pStyle w:val="SingleTxt"/>
        <w:rPr>
          <w:rFonts w:hint="eastAsia"/>
        </w:rPr>
      </w:pP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附件</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rPr>
      </w:pPr>
      <w:r>
        <w:rPr>
          <w:rFonts w:hint="eastAsia"/>
        </w:rPr>
        <w:tab/>
      </w:r>
      <w:r>
        <w:rPr>
          <w:rFonts w:hint="eastAsia"/>
        </w:rPr>
        <w:tab/>
        <w:t>粮农组织向消除对妇女歧视委员会</w:t>
      </w:r>
      <w:r>
        <w:br/>
      </w:r>
      <w:r>
        <w:rPr>
          <w:rFonts w:hint="eastAsia"/>
        </w:rPr>
        <w:t>第二十六届会议提交的报告</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斐济</w:t>
      </w:r>
    </w:p>
    <w:p w:rsidR="00000000" w:rsidRDefault="00000000">
      <w:pPr>
        <w:pStyle w:val="SingleTxt"/>
      </w:pPr>
    </w:p>
    <w:p w:rsidR="00000000" w:rsidRDefault="00000000">
      <w:pPr>
        <w:pStyle w:val="SingleTxt"/>
        <w:rPr>
          <w:rFonts w:hint="eastAsia"/>
        </w:rPr>
      </w:pPr>
      <w:r>
        <w:rPr>
          <w:rFonts w:hint="eastAsia"/>
        </w:rPr>
        <w:t>1.</w:t>
      </w:r>
      <w:r>
        <w:rPr>
          <w:rFonts w:hint="eastAsia"/>
        </w:rPr>
        <w:tab/>
        <w:t>根据粮农组织的统计数据，斐济群岛2000年的人口约为814 000人，其中50.5％住在农村地区。人口由各种不同的种族组成。在劳动力的参与、具体部门的职业选择和家庭形成形态方面，存在种族差别。多数的农村人口为斐济籍。</w:t>
      </w:r>
    </w:p>
    <w:p w:rsidR="00000000" w:rsidRDefault="00000000">
      <w:pPr>
        <w:pStyle w:val="SingleTxt"/>
        <w:rPr>
          <w:rFonts w:hint="eastAsia"/>
        </w:rPr>
      </w:pPr>
      <w:r>
        <w:rPr>
          <w:rFonts w:hint="eastAsia"/>
        </w:rPr>
        <w:t>2.</w:t>
      </w:r>
      <w:r>
        <w:rPr>
          <w:rFonts w:hint="eastAsia"/>
        </w:rPr>
        <w:tab/>
        <w:t>农业是主要生计，并且是斐济的最大经济部门，几乎占了外汇收入的43％。2000年，农业提供了几乎50％的总就业并占了斐济国内总产值（国产总值）的19％。虽然该部门近年来出现持续增长的趋势，但自1994年以来对经济的贡献已下降了国产总值的21％。</w:t>
      </w:r>
    </w:p>
    <w:p w:rsidR="00000000" w:rsidRDefault="00000000">
      <w:pPr>
        <w:pStyle w:val="SingleTxt"/>
        <w:rPr>
          <w:rFonts w:hint="eastAsia"/>
        </w:rPr>
      </w:pPr>
      <w:r>
        <w:rPr>
          <w:rFonts w:hint="eastAsia"/>
        </w:rPr>
        <w:t>3.</w:t>
      </w:r>
      <w:r>
        <w:rPr>
          <w:rFonts w:hint="eastAsia"/>
        </w:rPr>
        <w:tab/>
        <w:t>林业部门继续提供国产总值的2.5％和出口收入的10％。林业产品是第五大出口商品。斐济林业计划的重点是硬木和松树种植。斐济目前具有44 760公顷的硬木森林和40 730公顷的松树森林。</w:t>
      </w:r>
    </w:p>
    <w:p w:rsidR="00000000" w:rsidRDefault="00000000">
      <w:pPr>
        <w:pStyle w:val="SingleTxt"/>
        <w:rPr>
          <w:rFonts w:hint="eastAsia"/>
        </w:rPr>
      </w:pPr>
      <w:r>
        <w:rPr>
          <w:rFonts w:hint="eastAsia"/>
        </w:rPr>
        <w:t>4.</w:t>
      </w:r>
      <w:r>
        <w:rPr>
          <w:rFonts w:hint="eastAsia"/>
        </w:rPr>
        <w:tab/>
        <w:t>渔业现为第四大出口工业，主要是向日本和其他市场出口大批金枪鱼。林业的扩充潜力很大。斐济的村庄约有90％处于沿海地区，而且斐济大部分的农村人口仍然依靠自给性渔业来满足他们的蛋白质需要。</w:t>
      </w:r>
    </w:p>
    <w:p w:rsidR="00000000" w:rsidRDefault="00000000">
      <w:pPr>
        <w:pStyle w:val="SingleTxt"/>
        <w:rPr>
          <w:rFonts w:hint="eastAsia"/>
        </w:rPr>
      </w:pPr>
      <w:r>
        <w:rPr>
          <w:rFonts w:hint="eastAsia"/>
        </w:rPr>
        <w:t>5.</w:t>
      </w:r>
      <w:r>
        <w:rPr>
          <w:rFonts w:hint="eastAsia"/>
        </w:rPr>
        <w:tab/>
        <w:t>牛肉、制乳和养猪业在过去几年已告衰退。</w:t>
      </w:r>
    </w:p>
    <w:p w:rsidR="00000000" w:rsidRDefault="00000000">
      <w:pPr>
        <w:pStyle w:val="SingleTxt"/>
        <w:rPr>
          <w:rFonts w:hint="eastAsia"/>
        </w:rPr>
      </w:pPr>
      <w:r>
        <w:rPr>
          <w:rFonts w:hint="eastAsia"/>
        </w:rPr>
        <w:t>6.</w:t>
      </w:r>
      <w:r>
        <w:rPr>
          <w:rFonts w:hint="eastAsia"/>
        </w:rPr>
        <w:tab/>
        <w:t>根据粮农组织的统计数据,虽然从事农业经济活动的人口百分比从1995年的42％降至2000年的39％，可是参与农业的估计的妇女比例从1995年的16.5％增至2000年的19.3％。从事农业的男子比例从1995年的83.4％降至2000年的80.6％。</w:t>
      </w:r>
    </w:p>
    <w:p w:rsidR="00000000" w:rsidRDefault="00000000">
      <w:pPr>
        <w:pStyle w:val="SingleTxt"/>
        <w:rPr>
          <w:rFonts w:hint="eastAsia"/>
        </w:rPr>
      </w:pPr>
      <w:r>
        <w:rPr>
          <w:rFonts w:hint="eastAsia"/>
        </w:rPr>
        <w:t>7.</w:t>
      </w:r>
      <w:r>
        <w:rPr>
          <w:rFonts w:hint="eastAsia"/>
        </w:rPr>
        <w:tab/>
        <w:t>土地所有权问题一向是一个敏感问题，并且导致2000年5月当选的政府受到武力接管。土著土地占斐济土地总面积的82.9%，因此不能出售或以其他方式脱离其目前的所有权。然而，可以通过土著土地托管委员会租用这些土地。这些土地的租用期一般很长，从30年到99年。必须确定租约使用的目的并须经土著土地托管委员会批准。大量甘蔗地租约在2000-2002年期间到期。最近政府改变和对业主和租户各自权利方面的分歧使双方难以就这些租约达成协议。</w:t>
      </w:r>
    </w:p>
    <w:p w:rsidR="00000000" w:rsidRDefault="00000000">
      <w:pPr>
        <w:pStyle w:val="SingleTxt"/>
        <w:rPr>
          <w:rFonts w:hint="eastAsia"/>
        </w:rPr>
      </w:pPr>
      <w:r>
        <w:rPr>
          <w:rFonts w:hint="eastAsia"/>
        </w:rPr>
        <w:t>8.</w:t>
      </w:r>
      <w:r>
        <w:rPr>
          <w:rFonts w:hint="eastAsia"/>
        </w:rPr>
        <w:tab/>
        <w:t>对很多农村家庭来说，家庭作坊仍然非常重要；多数的人口依赖某种形式的现金收入以维持生活标准。约有1/4的劳动力受雇于支付工资和薪酬的职业，其余的劳动力从非正式就业和销售初级产品赚取收入。然而，在2000年5月的事件发生后，约有6 000至8 000人失去工作。很多企业，尤其是旅馆和零售商削减多达半数的钟点，同时维持雇员技术上”就业”。实际损失的收入数额远远超过官方的工作和收入损失数字所计量的数额。</w:t>
      </w:r>
    </w:p>
    <w:p w:rsidR="00000000" w:rsidRDefault="00000000">
      <w:pPr>
        <w:pStyle w:val="SingleTxt"/>
        <w:rPr>
          <w:rFonts w:hint="eastAsia"/>
        </w:rPr>
      </w:pPr>
      <w:r>
        <w:rPr>
          <w:rFonts w:hint="eastAsia"/>
        </w:rPr>
        <w:t>9.</w:t>
      </w:r>
      <w:r>
        <w:rPr>
          <w:rFonts w:hint="eastAsia"/>
        </w:rPr>
        <w:tab/>
        <w:t>越来越多的斐济妇女成为农业、市场园艺、捕鱼、珊瑚采集、工艺制作、零售商店和食品销售等创收活动的个体户。政策的目的是让妇女作为伙伴参与发展，训练妇女增加自己的就业机会，加强有关性别问题的信息，协调活动和审查有关性别问题的立法。进行了有关对性别问题敏感的培训，目前已将性别问题列入政策和活动主流。</w:t>
      </w:r>
    </w:p>
    <w:p w:rsidR="00000000" w:rsidRDefault="00000000">
      <w:pPr>
        <w:pStyle w:val="SingleTxt"/>
        <w:rPr>
          <w:rFonts w:hint="eastAsia"/>
        </w:rPr>
      </w:pPr>
      <w:r>
        <w:rPr>
          <w:rFonts w:hint="eastAsia"/>
        </w:rPr>
        <w:t>10.</w:t>
      </w:r>
      <w:r>
        <w:rPr>
          <w:rFonts w:hint="eastAsia"/>
        </w:rPr>
        <w:tab/>
        <w:t>粮农组织的技术方案在下列领域向斐济提供基本援助：农业统计、非洲郁金香的治理、向受旱灾影响的农民紧急提供基本农业投入物、加强国家紧急备灾减灾的能力以及调查蜜蜂害虫和虫害。斐济又获得了通过四项</w:t>
      </w:r>
      <w:proofErr w:type="spellStart"/>
      <w:r>
        <w:rPr>
          <w:rFonts w:hint="eastAsia"/>
        </w:rPr>
        <w:t>TeleFood</w:t>
      </w:r>
      <w:proofErr w:type="spellEnd"/>
      <w:r>
        <w:rPr>
          <w:rFonts w:hint="eastAsia"/>
        </w:rPr>
        <w:t>项目提供的援助。</w:t>
      </w:r>
      <w:proofErr w:type="spellStart"/>
      <w:r>
        <w:rPr>
          <w:rFonts w:hint="eastAsia"/>
        </w:rPr>
        <w:t>TeleFood</w:t>
      </w:r>
      <w:proofErr w:type="spellEnd"/>
      <w:r>
        <w:rPr>
          <w:rFonts w:hint="eastAsia"/>
        </w:rPr>
        <w:t>是粮农组织每年进行的广播、音乐会和其他活动的运动，对外联系及和提高人们对世界饥饿问题的认识，为数百个反饥饿的项目筹集资源。在核准的</w:t>
      </w:r>
      <w:proofErr w:type="spellStart"/>
      <w:r>
        <w:rPr>
          <w:rFonts w:hint="eastAsia"/>
        </w:rPr>
        <w:t>TeleFood</w:t>
      </w:r>
      <w:proofErr w:type="spellEnd"/>
      <w:r>
        <w:rPr>
          <w:rFonts w:hint="eastAsia"/>
        </w:rPr>
        <w:t>项目中，有一个项目题为”武奥村妇女项目：小型养猪农场”，这个项目经1997年</w:t>
      </w:r>
      <w:proofErr w:type="spellStart"/>
      <w:r>
        <w:rPr>
          <w:rFonts w:hint="eastAsia"/>
        </w:rPr>
        <w:t>TeleFood</w:t>
      </w:r>
      <w:proofErr w:type="spellEnd"/>
      <w:r>
        <w:rPr>
          <w:rFonts w:hint="eastAsia"/>
        </w:rPr>
        <w:t>运动筹集的资金核定并于2000年12月完成。</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rPr>
      </w:pPr>
      <w:r>
        <w:rPr>
          <w:rFonts w:hint="eastAsia"/>
        </w:rPr>
        <w:tab/>
      </w:r>
      <w:r>
        <w:rPr>
          <w:rFonts w:hint="eastAsia"/>
        </w:rPr>
        <w:tab/>
        <w:t>粮农组织的援助</w:t>
      </w:r>
    </w:p>
    <w:p w:rsidR="00000000" w:rsidRDefault="00000000">
      <w:pPr>
        <w:pStyle w:val="SingleTxt"/>
        <w:rPr>
          <w:rFonts w:hint="eastAsia"/>
        </w:rPr>
      </w:pPr>
      <w:r>
        <w:rPr>
          <w:rFonts w:hint="eastAsia"/>
        </w:rPr>
        <w:t>11.</w:t>
      </w:r>
      <w:r>
        <w:rPr>
          <w:rFonts w:hint="eastAsia"/>
        </w:rPr>
        <w:tab/>
        <w:t>小型的商业渔业供应斐济境内消费的大部分鱼类。政府政策鼓励这些渔业提高效率和改进向消费者提供的鱼类的质量。考虑到这点,粮农组织展开了题为“增强传统海洋渔业保有权”的技术援助项目。该项目的目标是增进传统的</w:t>
      </w:r>
      <w:proofErr w:type="spellStart"/>
      <w:r>
        <w:rPr>
          <w:rFonts w:hint="eastAsia"/>
        </w:rPr>
        <w:t>qoliqoli</w:t>
      </w:r>
      <w:proofErr w:type="spellEnd"/>
      <w:r>
        <w:rPr>
          <w:rFonts w:hint="eastAsia"/>
        </w:rPr>
        <w:t>制度的作用，以加强沿海渔业管理。加强这项传统的渔业管理制度将直接增加人民对渔业部门的参与，增强他们管理渔业和提高粮食安全的能力。此外，还会改进最贫穷群体的尤其是捕鱼社会中的妇女的社会及经济地位。实现这项目标的办法将是制定一项以传统管理为基础的方法、培训农村社会的准则和训练个人参与下游的社区管理培训。</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rPr>
      </w:pPr>
      <w:r>
        <w:rPr>
          <w:rFonts w:hint="eastAsia"/>
        </w:rPr>
        <w:tab/>
      </w:r>
      <w:r>
        <w:rPr>
          <w:rFonts w:hint="eastAsia"/>
        </w:rPr>
        <w:tab/>
        <w:t>特里尼达和多巴哥</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rPr>
      </w:pPr>
      <w:r>
        <w:rPr>
          <w:rFonts w:hint="eastAsia"/>
        </w:rPr>
        <w:tab/>
      </w:r>
      <w:r>
        <w:rPr>
          <w:rFonts w:hint="eastAsia"/>
        </w:rPr>
        <w:tab/>
        <w:t>农业</w:t>
      </w:r>
    </w:p>
    <w:p w:rsidR="00000000" w:rsidRDefault="00000000">
      <w:pPr>
        <w:pStyle w:val="SingleTxt"/>
        <w:rPr>
          <w:rFonts w:hint="eastAsia"/>
        </w:rPr>
      </w:pPr>
      <w:r>
        <w:rPr>
          <w:rFonts w:hint="eastAsia"/>
        </w:rPr>
        <w:t>12.</w:t>
      </w:r>
      <w:r>
        <w:rPr>
          <w:rFonts w:hint="eastAsia"/>
        </w:rPr>
        <w:tab/>
        <w:t>根据粮农组织的统计数据，特里尼达和多巴哥2000年达人口约为1 298 900人，其中的26％住在农村地区。只有8.7％经济活跃的人口从事农业工作。</w:t>
      </w:r>
    </w:p>
    <w:p w:rsidR="00000000" w:rsidRDefault="00000000">
      <w:pPr>
        <w:pStyle w:val="SingleTxt"/>
        <w:rPr>
          <w:rFonts w:hint="eastAsia"/>
        </w:rPr>
      </w:pPr>
      <w:r>
        <w:rPr>
          <w:rFonts w:hint="eastAsia"/>
        </w:rPr>
        <w:t>13.</w:t>
      </w:r>
      <w:r>
        <w:rPr>
          <w:rFonts w:hint="eastAsia"/>
        </w:rPr>
        <w:tab/>
        <w:t>2000年参与劳动力的妇女总比例为37.3％，但其中只有3.7％从事农业工作。经济活跃的男子比例为62.7％，其中11.6％从事农业工作。在从事农业工作的总人口中，有16％为妇女。</w:t>
      </w:r>
    </w:p>
    <w:p w:rsidR="00000000" w:rsidRDefault="00000000">
      <w:pPr>
        <w:pStyle w:val="SingleTxt"/>
        <w:rPr>
          <w:rFonts w:hint="eastAsia"/>
        </w:rPr>
      </w:pPr>
      <w:r>
        <w:rPr>
          <w:rFonts w:hint="eastAsia"/>
        </w:rPr>
        <w:t>14.</w:t>
      </w:r>
      <w:r>
        <w:rPr>
          <w:rFonts w:hint="eastAsia"/>
        </w:rPr>
        <w:tab/>
        <w:t>经过连续两年减产后，农业部门的产出在1999年增加了12.6％。该部门在国内总产值（国产总值）中所占的份额从1998年的2.4％增至2.9％。</w:t>
      </w:r>
    </w:p>
    <w:p w:rsidR="00000000" w:rsidRDefault="00000000">
      <w:pPr>
        <w:pStyle w:val="SingleTxt"/>
        <w:rPr>
          <w:rFonts w:hint="eastAsia"/>
        </w:rPr>
      </w:pP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rPr>
      </w:pPr>
      <w:r>
        <w:rPr>
          <w:rFonts w:hint="eastAsia"/>
        </w:rPr>
        <w:tab/>
      </w:r>
      <w:r>
        <w:rPr>
          <w:rFonts w:hint="eastAsia"/>
        </w:rPr>
        <w:tab/>
        <w:t>从事农业的妇女</w:t>
      </w:r>
    </w:p>
    <w:p w:rsidR="00000000" w:rsidRDefault="00000000">
      <w:pPr>
        <w:pStyle w:val="SingleTxt"/>
        <w:rPr>
          <w:rFonts w:hint="eastAsia"/>
        </w:rPr>
      </w:pPr>
      <w:r>
        <w:rPr>
          <w:rFonts w:hint="eastAsia"/>
        </w:rPr>
        <w:t>15.</w:t>
      </w:r>
      <w:r>
        <w:rPr>
          <w:rFonts w:hint="eastAsia"/>
        </w:rPr>
        <w:tab/>
        <w:t>妇女进行重要的农活，例如种植、砍伐、除草、施肥和收割等。</w:t>
      </w:r>
    </w:p>
    <w:p w:rsidR="00000000" w:rsidRDefault="00000000">
      <w:pPr>
        <w:pStyle w:val="SingleTxt"/>
        <w:rPr>
          <w:rFonts w:hint="eastAsia"/>
        </w:rPr>
      </w:pPr>
      <w:r>
        <w:rPr>
          <w:rFonts w:hint="eastAsia"/>
        </w:rPr>
        <w:t>16.</w:t>
      </w:r>
      <w:r>
        <w:rPr>
          <w:rFonts w:hint="eastAsia"/>
        </w:rPr>
        <w:tab/>
        <w:t>粮农组织1995年一份关于“1990年代初期，增加农业推广活动对女农民的相关性和效率” 的研究表明，特里尼达和多巴哥有26.25％的家庭户主为妇女，61.25％为男子。研究又表明只有13.75％的女农民参加妇女农民协会，40％的妇女在农活中得到丈夫的协助。对于留作家庭使用和储存的作物的选择，妇女具有很大的影响力。有关次要作物耕种、销售和运销的决策则是丈夫和妻子双方的责任。特里尼达和多巴哥80％的女农民对家庭收入的管理作出重大决定。</w:t>
      </w:r>
    </w:p>
    <w:p w:rsidR="00000000" w:rsidRDefault="00000000">
      <w:pPr>
        <w:pStyle w:val="SingleTxt"/>
        <w:spacing w:after="0" w:line="240" w:lineRule="auto"/>
        <w:rPr>
          <w:sz w:val="20"/>
        </w:rPr>
      </w:pPr>
      <w:r>
        <w:rPr>
          <w:noProof/>
          <w:sz w:val="20"/>
        </w:rPr>
        <w:pict>
          <v:line id="_x0000_s2051" style="position:absolute;left:0;text-align:left;z-index:2;mso-position-horizontal:center" from="0,30pt" to="1in,30pt" strokeweight=".25pt"/>
        </w:pict>
      </w:r>
    </w:p>
    <w:sectPr w:rsidR="00000000">
      <w:endnotePr>
        <w:numFmt w:val="decimal"/>
      </w:endnotePr>
      <w:type w:val="continuous"/>
      <w:pgSz w:w="12242" w:h="15842" w:code="1"/>
      <w:pgMar w:top="1742" w:right="1195" w:bottom="1898" w:left="1195" w:header="576" w:footer="1030" w:gutter="0"/>
      <w:pgNumType w:start="1"/>
      <w:cols w:space="425"/>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w:instrText>
      </w:r>
      <w:r>
        <w:rPr>
          <w:rFonts w:hint="eastAsia"/>
        </w:rPr>
        <w:instrText xml:space="preserve"> \# "'页：'#'</w:instrText>
      </w:r>
      <w:r>
        <w:rPr>
          <w:rFonts w:hint="eastAsia"/>
        </w:rPr>
        <w:br/>
        <w:instrText>'"</w:instrText>
      </w:r>
      <w:r>
        <w:rPr>
          <w:rStyle w:val="CommentReference"/>
        </w:rPr>
        <w:instrText xml:space="preserve">  </w:instrText>
      </w:r>
      <w:r>
        <w:fldChar w:fldCharType="separate"/>
      </w:r>
      <w:r>
        <w:rPr>
          <w:rFonts w:hint="eastAsia"/>
          <w:noProof/>
        </w:rPr>
        <w:t>页：</w:t>
      </w:r>
      <w:r>
        <w:rPr>
          <w:noProof/>
        </w:rPr>
        <w:t>1</w:t>
      </w:r>
      <w:r>
        <w:rPr>
          <w:rFonts w:hint="eastAsia"/>
          <w:noProof/>
        </w:rPr>
        <w:br/>
      </w:r>
      <w:r>
        <w:fldChar w:fldCharType="end"/>
      </w:r>
      <w:r>
        <w:rPr>
          <w:rStyle w:val="CommentReference"/>
          <w:rFonts w:hint="eastAsia"/>
        </w:rPr>
        <w:annotationRef/>
      </w:r>
      <w:r>
        <w:t>&lt;&lt;ODS JOB NO&gt;&gt;N0169436C&lt;&lt;ODS JOB NO&gt;&gt;</w:t>
      </w:r>
    </w:p>
    <w:p w:rsidR="00000000" w:rsidRDefault="00000000">
      <w:pPr>
        <w:pStyle w:val="CommentText"/>
      </w:pPr>
      <w:r>
        <w:t>&lt;&lt;ODS DOC SYMBOL1&gt;&gt;CEDAW/C/2002/I/3/Add.1&lt;&lt;ODS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4"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p>
      </w:tc>
      <w:tc>
        <w:tcPr>
          <w:tcW w:w="5034" w:type="dxa"/>
          <w:vAlign w:val="bottom"/>
        </w:tcPr>
        <w:p w:rsidR="00000000" w:rsidRDefault="00000000">
          <w:pPr>
            <w:pStyle w:val="Footer"/>
            <w:jc w:val="right"/>
          </w:pPr>
          <w:r>
            <w:fldChar w:fldCharType="begin"/>
          </w:r>
          <w:r>
            <w:instrText xml:space="preserve"> PAGE  \* MERGEFORMAT </w:instrText>
          </w:r>
          <w:r>
            <w:fldChar w:fldCharType="separate"/>
          </w:r>
          <w:r>
            <w:t>3</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b w:val="0"/>
        <w:sz w:val="21"/>
      </w:rPr>
    </w:pPr>
    <w:r>
      <w:rPr>
        <w:b w:val="0"/>
        <w:sz w:val="21"/>
      </w:rPr>
      <w:t>01-69436 (C)    020102    020102</w:t>
    </w:r>
  </w:p>
  <w:p w:rsidR="00000000" w:rsidRDefault="00000000">
    <w:pPr>
      <w:pStyle w:val="Footer"/>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sz w:val="17"/>
                        </w:rPr>
                      </w:pPr>
                      <w:r>
                        <w:rPr>
                          <w:b/>
                          <w:sz w:val="17"/>
                        </w:rPr>
                        <w:t>CEDAW/C/2002/I/3/Add.1</w:t>
                      </w:r>
                    </w:p>
                  </w:tc>
                  <w:tc>
                    <w:tcPr>
                      <w:tcW w:w="5048"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sz w:val="17"/>
                        </w:rPr>
                      </w:pPr>
                      <w:r>
                        <w:rPr>
                          <w:b/>
                          <w:sz w:val="17"/>
                        </w:rPr>
                        <w:t>CEDAW/C/2002/I/3/Add.1</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1872" w:type="dxa"/>
          <w:tcBorders>
            <w:top w:val="nil"/>
            <w:left w:val="nil"/>
            <w:bottom w:val="single" w:sz="4" w:space="0" w:color="auto"/>
            <w:right w:val="nil"/>
          </w:tcBorders>
          <w:vAlign w:val="bottom"/>
        </w:tcPr>
        <w:p w:rsidR="00000000" w:rsidRDefault="00000000">
          <w:pPr>
            <w:pStyle w:val="HCh"/>
            <w:spacing w:after="80"/>
            <w:rPr>
              <w:rFonts w:eastAsia="SimSun"/>
              <w:spacing w:val="40"/>
              <w:w w:val="96"/>
            </w:rPr>
          </w:pPr>
          <w:r>
            <w:rPr>
              <w:rFonts w:eastAsia="SimSun" w:hint="eastAsia"/>
              <w:spacing w:val="40"/>
              <w:w w:val="96"/>
            </w:rPr>
            <w:t>联合国</w:t>
          </w:r>
        </w:p>
      </w:tc>
      <w:tc>
        <w:tcPr>
          <w:tcW w:w="245"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rFonts w:ascii="Times New Roman"/>
              <w:position w:val="-4"/>
              <w:sz w:val="20"/>
            </w:rPr>
          </w:pPr>
          <w:r>
            <w:rPr>
              <w:rFonts w:ascii="Times New Roman"/>
              <w:position w:val="-4"/>
              <w:sz w:val="40"/>
            </w:rPr>
            <w:t>CEDAW</w:t>
          </w:r>
          <w:r>
            <w:rPr>
              <w:rFonts w:ascii="Times New Roman"/>
              <w:position w:val="-4"/>
              <w:sz w:val="20"/>
            </w:rPr>
            <w:t>/C/2002/I/3/Add.1</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000000" w:rsidRDefault="00000000">
          <w:pPr>
            <w:pStyle w:val="Header"/>
            <w:spacing w:before="109"/>
            <w:ind w:left="-72"/>
          </w:pPr>
        </w:p>
      </w:tc>
      <w:tc>
        <w:tcPr>
          <w:tcW w:w="5227" w:type="dxa"/>
          <w:gridSpan w:val="3"/>
          <w:tcBorders>
            <w:left w:val="nil"/>
            <w:bottom w:val="single" w:sz="12" w:space="0" w:color="auto"/>
            <w:right w:val="nil"/>
          </w:tcBorders>
        </w:tcPr>
        <w:p w:rsidR="00000000" w:rsidRDefault="00000000">
          <w:pPr>
            <w:pStyle w:val="XLarge"/>
            <w:spacing w:before="109" w:after="140" w:line="400" w:lineRule="exact"/>
            <w:rPr>
              <w:sz w:val="34"/>
            </w:rPr>
          </w:pPr>
          <w:r>
            <w:rPr>
              <w:rFonts w:hint="eastAsia"/>
              <w:sz w:val="34"/>
            </w:rPr>
            <w:t>消除对妇女一切形式歧视公约</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line="240" w:lineRule="exact"/>
            <w:rPr>
              <w:rFonts w:ascii="Times New Roman"/>
            </w:rPr>
          </w:pPr>
          <w:r>
            <w:rPr>
              <w:rFonts w:ascii="Times New Roman"/>
            </w:rPr>
            <w:t>Distr.: General</w:t>
          </w:r>
        </w:p>
        <w:p w:rsidR="00000000" w:rsidRDefault="00000000">
          <w:pPr>
            <w:spacing w:line="240" w:lineRule="exact"/>
            <w:rPr>
              <w:rFonts w:ascii="Times New Roman"/>
            </w:rPr>
          </w:pPr>
          <w:r>
            <w:rPr>
              <w:rFonts w:ascii="Times New Roman"/>
            </w:rPr>
            <w:t>13 December 2001</w:t>
          </w:r>
        </w:p>
        <w:p w:rsidR="00000000" w:rsidRDefault="00000000">
          <w:pPr>
            <w:spacing w:line="240" w:lineRule="exact"/>
            <w:rPr>
              <w:rFonts w:ascii="Times New Roman"/>
            </w:rPr>
          </w:pPr>
          <w:r>
            <w:rPr>
              <w:rFonts w:ascii="Times New Roman"/>
            </w:rPr>
            <w:t>Chinese</w:t>
          </w:r>
        </w:p>
        <w:p w:rsidR="00000000" w:rsidRDefault="00000000">
          <w:pPr>
            <w:spacing w:line="240" w:lineRule="exact"/>
            <w:rPr>
              <w:rFonts w:ascii="Times New Roman"/>
            </w:rPr>
          </w:pPr>
          <w:r>
            <w:rPr>
              <w:rFonts w:ascii="Times New Roman"/>
            </w:rPr>
            <w:t>Original: English</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zh-CN" w:vendorID="64" w:dllVersion="131077" w:nlCheck="1" w:checkStyle="1"/>
  <w:proofState w:spelling="clean"/>
  <w:doNotTrackMoves/>
  <w:defaultTabStop w:val="431"/>
  <w:evenAndOddHeaders/>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spaceForUL/>
    <w:balanceSingleByteDoubleByteWidth/>
    <w:doNotLeaveBackslashAlone/>
    <w:ulTrailSpace/>
    <w:doNotExpandShiftReturn/>
    <w:printColBlack/>
    <w:showBreaksInFrames/>
    <w:suppressBottomSpacing/>
    <w:suppressTopSpacing/>
    <w:suppressSpBfAfterPgBrk/>
    <w:alignTablesRowByRow/>
    <w:adjustLineHeightInTable/>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2/01/2002 1:51: PM"/>
    <w:docVar w:name="DocCategory" w:val="Doc"/>
    <w:docVar w:name="DocType" w:val="Final"/>
    <w:docVar w:name="JobNo" w:val="016940169436C"/>
    <w:docVar w:name="OandT" w:val="chen"/>
    <w:docVar w:name="Symbol1" w:val="CEDAW/C/2002/I/3/Add.1"/>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uppressAutoHyphens/>
      <w:outlineLvl w:val="0"/>
    </w:pPr>
    <w:rPr>
      <w:rFonts w:ascii="SimHei" w:eastAsia="SimHei"/>
      <w:color w:val="FF0000"/>
      <w:sz w:val="24"/>
    </w:rPr>
  </w:style>
  <w:style w:type="paragraph" w:customStyle="1" w:styleId="HCh">
    <w:name w:val="_ H _Ch"/>
    <w:basedOn w:val="H1"/>
    <w:next w:val="SingleTxt"/>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SingleTxt"/>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semiHidden/>
    <w:pPr>
      <w:tabs>
        <w:tab w:val="left" w:pos="431"/>
      </w:tabs>
      <w:spacing w:after="140"/>
    </w:pPr>
    <w:rPr>
      <w:rFonts w:hAnsi="Courier New" w:cs="Courier New"/>
      <w:szCs w:val="21"/>
    </w:rPr>
  </w:style>
  <w:style w:type="paragraph" w:styleId="NormalIndent">
    <w:name w:val="Normal Indent"/>
    <w:basedOn w:val="Normal"/>
    <w:semiHidden/>
    <w:pPr>
      <w:ind w:firstLine="431"/>
    </w:pPr>
  </w:style>
  <w:style w:type="paragraph" w:styleId="BodyText">
    <w:name w:val="Body Text"/>
    <w:basedOn w:val="Normal"/>
    <w:semiHidden/>
  </w:style>
  <w:style w:type="paragraph" w:styleId="BodyText2">
    <w:name w:val="Body Text 2"/>
    <w:basedOn w:val="Normal"/>
    <w:semiHidden/>
  </w:style>
  <w:style w:type="character" w:styleId="LineNumber">
    <w:name w:val="line number"/>
    <w:semiHidden/>
    <w:rPr>
      <w:sz w:val="14"/>
    </w:rPr>
  </w:style>
  <w:style w:type="paragraph" w:styleId="Header">
    <w:name w:val="header"/>
    <w:semiHidden/>
    <w:pPr>
      <w:tabs>
        <w:tab w:val="center" w:pos="4320"/>
        <w:tab w:val="right" w:pos="8640"/>
      </w:tabs>
    </w:pPr>
    <w:rPr>
      <w:noProof/>
      <w:sz w:val="18"/>
      <w:lang w:val="en-US" w:eastAsia="zh-CN"/>
    </w:rPr>
  </w:style>
  <w:style w:type="paragraph" w:styleId="Footer">
    <w:name w:val="footer"/>
    <w:semiHidden/>
    <w:pPr>
      <w:tabs>
        <w:tab w:val="center" w:pos="4320"/>
        <w:tab w:val="right" w:pos="8640"/>
      </w:tabs>
    </w:pPr>
    <w:rPr>
      <w:b/>
      <w:noProof/>
      <w:sz w:val="17"/>
      <w:lang w:val="en-US" w:eastAsia="zh-CN"/>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379</Words>
  <Characters>2162</Characters>
  <Application>Microsoft Office Word</Application>
  <DocSecurity>4</DocSecurity>
  <Lines>18</Lines>
  <Paragraphs>4</Paragraphs>
  <ScaleCrop>false</ScaleCrop>
  <HeadingPairs>
    <vt:vector size="2" baseType="variant">
      <vt:variant>
        <vt:lpstr>题目</vt:lpstr>
      </vt:variant>
      <vt:variant>
        <vt:i4>1</vt:i4>
      </vt:variant>
    </vt:vector>
  </HeadingPairs>
  <TitlesOfParts>
    <vt:vector size="1" baseType="lpstr">
      <vt:lpstr> </vt:lpstr>
    </vt:vector>
  </TitlesOfParts>
  <Company>United Nations</Company>
  <LinksUpToDate>false</LinksUpToDate>
  <CharactersWithSpaces>2655</CharactersWithSpaces>
  <SharedDoc>false</SharedDoc>
  <HLinks>
    <vt:vector size="6" baseType="variant">
      <vt:variant>
        <vt:i4>4522087</vt:i4>
      </vt:variant>
      <vt:variant>
        <vt:i4>6466</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dc:creator>
  <cp:keywords/>
  <dc:description/>
  <cp:lastModifiedBy>DGAACS</cp:lastModifiedBy>
  <cp:revision>7</cp:revision>
  <cp:lastPrinted>2002-01-02T13:40:00Z</cp:lastPrinted>
  <dcterms:created xsi:type="dcterms:W3CDTF">2002-01-03T22:51:00Z</dcterms:created>
  <dcterms:modified xsi:type="dcterms:W3CDTF">2002-01-03T22:53:00Z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016940169436</vt:lpwstr>
  </property>
  <property fmtid="{D5CDD505-2E9C-101B-9397-08002B2CF9AE}" pid="3" name="Symbol1">
    <vt:lpwstr>CEDAW/C/2002/I/3/Add.1</vt:lpwstr>
  </property>
  <property fmtid="{D5CDD505-2E9C-101B-9397-08002B2CF9AE}" pid="4" name="Symbol2">
    <vt:lpwstr/>
  </property>
  <property fmtid="{D5CDD505-2E9C-101B-9397-08002B2CF9AE}" pid="5" name="Translator">
    <vt:lpwstr/>
  </property>
  <property fmtid="{D5CDD505-2E9C-101B-9397-08002B2CF9AE}" pid="6" name="Operator">
    <vt:lpwstr>chen</vt:lpwstr>
  </property>
  <property fmtid="{D5CDD505-2E9C-101B-9397-08002B2CF9AE}" pid="7" name="DraftPages">
    <vt:lpwstr> </vt:lpwstr>
  </property>
  <property fmtid="{D5CDD505-2E9C-101B-9397-08002B2CF9AE}" pid="8" name="Comment">
    <vt:lpwstr/>
  </property>
</Properties>
</file>