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Comité para la Eliminación de la Discriminación</w:t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contra la Mujer</w:t>
      </w:r>
    </w:p>
    <w:p w:rsidR="00000000" w:rsidRDefault="00000000">
      <w:r>
        <w:rPr>
          <w:b/>
        </w:rPr>
        <w:t>23° período de sesiones</w:t>
      </w:r>
    </w:p>
    <w:p w:rsidR="00000000" w:rsidRDefault="00000000">
      <w:r>
        <w:t>12 a 30 de junio de 2000</w:t>
      </w: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000000" w:rsidRDefault="00000000">
      <w:pPr>
        <w:framePr w:w="9792" w:h="432" w:hSpace="180" w:wrap="around" w:hAnchor="page" w:x="1210" w:yAlign="bottom"/>
        <w:spacing w:line="240" w:lineRule="auto"/>
        <w:rPr>
          <w:sz w:val="6"/>
        </w:rPr>
      </w:pPr>
      <w:r>
        <w:rPr>
          <w:noProof/>
          <w:w w:val="100"/>
          <w:sz w:val="6"/>
        </w:rPr>
        <w:pict>
          <v:line id="_x0000_s2050" style="position:absolute;z-index:1;mso-position-horizontal:absolute;mso-position-horizontal-relative:page;mso-position-vertical:absolute;mso-position-vertical-relative:text" from="108pt,-1pt" to="180pt,-1pt" o:allowincell="f" strokeweight=".25pt">
            <w10:wrap anchorx="page"/>
          </v:line>
        </w:pict>
      </w:r>
    </w:p>
    <w:p w:rsidR="00000000" w:rsidRDefault="00000000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  <w:t>CEDAW/C/2000/II/1.</w:t>
      </w:r>
    </w:p>
    <w:p w:rsidR="00000000" w:rsidRDefault="00000000">
      <w:r>
        <w:t>Tema 5 del programa provisional*</w:t>
      </w:r>
    </w:p>
    <w:p w:rsidR="00000000" w:rsidRDefault="00000000">
      <w:pPr>
        <w:rPr>
          <w:b/>
        </w:rPr>
      </w:pPr>
      <w:r>
        <w:rPr>
          <w:b/>
        </w:rPr>
        <w:t>Aplicación del artículo 21 de la Convención sobre</w:t>
      </w:r>
    </w:p>
    <w:p w:rsidR="00000000" w:rsidRDefault="00000000">
      <w:pPr>
        <w:rPr>
          <w:b/>
        </w:rPr>
      </w:pPr>
      <w:r>
        <w:rPr>
          <w:b/>
        </w:rPr>
        <w:t>la Eliminación de todas las formas de discriminación</w:t>
      </w:r>
    </w:p>
    <w:p w:rsidR="00000000" w:rsidRDefault="00000000">
      <w:pPr>
        <w:rPr>
          <w:b/>
        </w:rPr>
      </w:pPr>
      <w:r>
        <w:rPr>
          <w:b/>
        </w:rPr>
        <w:t>contra la mujer</w:t>
      </w:r>
    </w:p>
    <w:p w:rsidR="00000000" w:rsidRDefault="00000000">
      <w:pPr>
        <w:spacing w:line="120" w:lineRule="exact"/>
        <w:rPr>
          <w:b/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Informes proporcionados por los organismos especializados de las Naciones Unidas relativos a la aplicación de la Convención en las esferas que corresponden al ámbito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de sus actividades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Nota del Secretario General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Adición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Organización Mundial de la Salud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numPr>
          <w:ilvl w:val="0"/>
          <w:numId w:val="1"/>
        </w:numPr>
        <w:tabs>
          <w:tab w:val="clear" w:pos="475"/>
          <w:tab w:val="num" w:pos="1742"/>
        </w:tabs>
        <w:ind w:left="1267"/>
      </w:pPr>
      <w:r>
        <w:t>En nombre del Comité, el 18 de noviembre de 1999 la Secretaría invitó a la Organización Mundial de la Salud (OMS) a que presentara al Comité, a más tardar el 20 de diciembre de 1999, un informe relativo a la información proporcionada por los Estados a la OMS sobre la aplicación del artículo 14 y artículos conexos de la Convención sobre la eliminación de todas las formas de discriminación contra la mujer, como complemento de la información contenida en los informes de esos E</w:t>
      </w:r>
      <w:r>
        <w:t>s</w:t>
      </w:r>
      <w:r>
        <w:t>tados partes que se examinarían en el 23° período de sesiones.</w:t>
      </w:r>
    </w:p>
    <w:p w:rsidR="00000000" w:rsidRDefault="00000000">
      <w:pPr>
        <w:pStyle w:val="SingleTxt"/>
        <w:numPr>
          <w:ilvl w:val="0"/>
          <w:numId w:val="1"/>
        </w:numPr>
        <w:tabs>
          <w:tab w:val="clear" w:pos="475"/>
          <w:tab w:val="num" w:pos="1742"/>
        </w:tabs>
        <w:suppressAutoHyphens/>
        <w:ind w:left="1267"/>
      </w:pPr>
      <w:r>
        <w:t>La información de otra índole solicitada por el Comité se refiere a las actividades realizadas, los programas ejecutados y las decisiones de política adoptadas por la OMS para fomentar la aplicación del artículo 14 y artículos conexos de la Co</w:t>
      </w:r>
      <w:r>
        <w:t>n</w:t>
      </w:r>
      <w:r>
        <w:t>vención.</w:t>
      </w:r>
    </w:p>
    <w:p w:rsidR="00000000" w:rsidRDefault="00000000">
      <w:pPr>
        <w:pStyle w:val="SingleTxt"/>
        <w:numPr>
          <w:ilvl w:val="0"/>
          <w:numId w:val="1"/>
        </w:numPr>
        <w:tabs>
          <w:tab w:val="clear" w:pos="475"/>
          <w:tab w:val="num" w:pos="1742"/>
        </w:tabs>
        <w:ind w:left="1267"/>
      </w:pPr>
      <w:r>
        <w:t>El informe que figura anexo al presente documento se ha preparado en cu</w:t>
      </w:r>
      <w:r>
        <w:t>m</w:t>
      </w:r>
      <w:r>
        <w:t>plimiento de la solicitud del Comité.</w:t>
      </w: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Anexo</w:t>
      </w:r>
    </w:p>
    <w:p w:rsidR="00000000" w:rsidRDefault="00000000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Informe presentado por la Organización Mundial de la Salud al Comité para la Eliminación de la Discriminación contra la Mujer, en su 23º período de sesiones (junio de 2000)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Introducción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ind w:left="1267"/>
      </w:pPr>
      <w:r>
        <w:t>En el artículo 12 de la Convención sobre la eliminación de todas las formas de discriminación contra la mujer se pide a los Estados partes que adopten “todas las medidas apropiadas para eliminar la discriminación contra la mujer en la esfera de la atención médica, a fin de asegurar, en condiciones de igualdad entre hombres y m</w:t>
      </w:r>
      <w:r>
        <w:t>u</w:t>
      </w:r>
      <w:r>
        <w:t>jeres, el acceso a servicios de atención médica, inclusive los que se refieren a la pl</w:t>
      </w:r>
      <w:r>
        <w:t>a</w:t>
      </w:r>
      <w:r>
        <w:t>nificación de la familia”. En el artículo se señalan además especialmente los “serv</w:t>
      </w:r>
      <w:r>
        <w:t>i</w:t>
      </w:r>
      <w:r>
        <w:t>cios apropiados en relación con el embarazo, el parto y el período posterior al pa</w:t>
      </w:r>
      <w:r>
        <w:t>r</w:t>
      </w:r>
      <w:r>
        <w:t>to”. En la Plataforma de Acción de Beijing (1995) se avanza en relación con dicho artículo y se lo refuerza, estableciendo los cinco objetivos estratégicos siguientes: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Fomentar el acceso de la mujer durante toda su vida a servicios de atención de la salud y a información y servicios conexos adecuados, de bajo costo y de buena calidad;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Fortalecer los programas de prevención que promuevan la salud de la mujer;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Tomar iniciativas en que se tengan en cuenta el género para hacer frente a las enfermedades de transmisión sexual, el VIH/SIDA y otras cuestiones de salud sexual y reproductiva;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Promover la investigación y difundir información sobre la salud de la mujer; y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  <w:t>Aumentar los recursos y supervisar el seguimiento de la salud de las mujeres</w:t>
      </w:r>
      <w:r>
        <w:rPr>
          <w:vertAlign w:val="superscript"/>
        </w:rPr>
        <w:t>1</w:t>
      </w:r>
      <w:r>
        <w:t>.</w:t>
      </w:r>
    </w:p>
    <w:p w:rsidR="00000000" w:rsidRDefault="00000000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ind w:left="1267"/>
      </w:pPr>
      <w:r>
        <w:t>En este informe se presentan los datos disponibles actualmente sobre indicad</w:t>
      </w:r>
      <w:r>
        <w:t>o</w:t>
      </w:r>
      <w:r>
        <w:t>res escogidos de salud para los países que han presentado los informes tercero o cuarto al Comité sobre la Eliminación de la Discriminación contra la Mujer (Austria, Cuba, Iraq y Rumania) en relación con cuatro encabezamientos principales: salud sexual y reproductiva; VIH/SIDA; promoción de la salud y prevención de enferm</w:t>
      </w:r>
      <w:r>
        <w:t>e</w:t>
      </w:r>
      <w:r>
        <w:t>dades; y violencia contra la mujer.</w:t>
      </w:r>
    </w:p>
    <w:p w:rsidR="00000000" w:rsidRDefault="00000000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Situación sanitaria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ind w:left="1267"/>
      </w:pPr>
      <w:r>
        <w:t>En los cuadros 1 a 6 figura un resumen de los indicadores en las esferas de la salud reproductiva, el VIH/SIDA, el consumo de tabaco y la violencia contra la mujer.</w:t>
      </w:r>
    </w:p>
    <w:p w:rsidR="00000000" w:rsidRDefault="00000000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ind w:left="1267"/>
      </w:pPr>
      <w:r>
        <w:t xml:space="preserve">Son relativamente desfavorables los indicadores sobre la salud reproductiva en el </w:t>
      </w:r>
      <w:r>
        <w:rPr>
          <w:b/>
        </w:rPr>
        <w:t>Iraq</w:t>
      </w:r>
      <w:r>
        <w:t>: una tasa alta de mortalidad derivada de la maternidad (310 por 100.000 n</w:t>
      </w:r>
      <w:r>
        <w:t>a</w:t>
      </w:r>
      <w:r>
        <w:t>cidos vivos)</w:t>
      </w:r>
      <w:r>
        <w:rPr>
          <w:vertAlign w:val="superscript"/>
        </w:rPr>
        <w:t>2</w:t>
      </w:r>
      <w:r>
        <w:t>, y un porcentaje de sólo el 54% de partos asistidos por personal esp</w:t>
      </w:r>
      <w:r>
        <w:t>e</w:t>
      </w:r>
      <w:r>
        <w:t>cializado; un porcentaje bajo de uso de anticonceptivos, estimado en un 14% de las mujeres casadas; y por consiguiente, una tasa de fecundidad elevada (5,3). No hay información sobre la prevalencia del VIH/SIDA, el consumo de tabaco o la viole</w:t>
      </w:r>
      <w:r>
        <w:t>n</w:t>
      </w:r>
      <w:r>
        <w:t>cia contra la mujer.</w:t>
      </w:r>
    </w:p>
    <w:p w:rsidR="00000000" w:rsidRDefault="00000000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ind w:left="1267"/>
      </w:pPr>
      <w:r>
        <w:t xml:space="preserve">En el informe de </w:t>
      </w:r>
      <w:r>
        <w:rPr>
          <w:b/>
        </w:rPr>
        <w:t>Austria</w:t>
      </w:r>
      <w:r>
        <w:t xml:space="preserve"> se señala que la tasa de mortalidad derivada de la maternidad es de 10 por 100.000 nacidos vivos y que hay asistencia de personal e</w:t>
      </w:r>
      <w:r>
        <w:t>s</w:t>
      </w:r>
      <w:r>
        <w:t>pecializado en todos los partos, lo que demuestra que la situación de la salud repr</w:t>
      </w:r>
      <w:r>
        <w:t>o</w:t>
      </w:r>
      <w:r>
        <w:t>ductiva en el mundo industrializado ha mejorado considerablemente. Se informa que el 71% de las mujeres casadas usan métodos anticonceptivos y que la tasa total de fecundidad es solamente de 1,4. Respecto del VIH/SIDA, a fines de 1997, vivían con VIH/SIDA 7.500 personas, de las cuales 1.400 eran mujeres. Los hombres se contagiaban principalmente por las relaciones homosexuales (49% de todos los c</w:t>
      </w:r>
      <w:r>
        <w:t>a</w:t>
      </w:r>
      <w:r>
        <w:t>sos de SIDA en 1997) y las mujeres por la utilización de agujas intravenosas para la administración de drogas (42% de todos los casos de SIDA en 1997)</w:t>
      </w:r>
      <w:r>
        <w:rPr>
          <w:vertAlign w:val="superscript"/>
        </w:rPr>
        <w:t>3</w:t>
      </w:r>
      <w:r>
        <w:t>. El consumo de tabaco entre las mujeres, que en un informe de 1995 se estimaba en un 24,6%, s</w:t>
      </w:r>
      <w:r>
        <w:t>i</w:t>
      </w:r>
      <w:r>
        <w:t>gue representando un peligro para la salud</w:t>
      </w:r>
      <w:r>
        <w:rPr>
          <w:vertAlign w:val="superscript"/>
        </w:rPr>
        <w:t>4</w:t>
      </w:r>
      <w:r>
        <w:t>. También la violencia es un problema grave, pues según un informe de 1992, el 19% de las mujeres son víctimas de vi</w:t>
      </w:r>
      <w:r>
        <w:t>o</w:t>
      </w:r>
      <w:r>
        <w:t>lencia y este porcentaje llega hasta un 59% en los casos de divorcio</w:t>
      </w:r>
      <w:r>
        <w:rPr>
          <w:vertAlign w:val="superscript"/>
        </w:rPr>
        <w:t>5</w:t>
      </w:r>
      <w:r>
        <w:t>.</w:t>
      </w:r>
    </w:p>
    <w:p w:rsidR="00000000" w:rsidRDefault="00000000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ind w:left="1267"/>
      </w:pPr>
      <w:r>
        <w:t xml:space="preserve">Los indicadores de salud reproductiva de </w:t>
      </w:r>
      <w:r>
        <w:rPr>
          <w:b/>
        </w:rPr>
        <w:t>Cuba</w:t>
      </w:r>
      <w:r>
        <w:t xml:space="preserve"> son relativamente buenos, pese a su nivel de prosperidad más bajo. La mortalidad derivada de la maternidad es de 95, y el 99% de los partos son atendidos por personal especializado. El uso de mét</w:t>
      </w:r>
      <w:r>
        <w:t>o</w:t>
      </w:r>
      <w:r>
        <w:t>dos anticonceptivos, que se estima en un 70% de las mujeres casadas, está al mismo nivel que en Austria. A su vez, la tasa total de fecundidad (1,6), refleja esta preoc</w:t>
      </w:r>
      <w:r>
        <w:t>u</w:t>
      </w:r>
      <w:r>
        <w:t>pación por la planificación de la familia</w:t>
      </w:r>
      <w:r>
        <w:rPr>
          <w:vertAlign w:val="superscript"/>
        </w:rPr>
        <w:t>6</w:t>
      </w:r>
      <w:r>
        <w:t>. La prevalencia del VIH/SIDA es muy baja (0,02% de los adultos) y en el 90% de los casos la transmisión se produce por co</w:t>
      </w:r>
      <w:r>
        <w:t>n</w:t>
      </w:r>
      <w:r>
        <w:t>tacto heterosexual.</w:t>
      </w:r>
    </w:p>
    <w:p w:rsidR="00000000" w:rsidRDefault="00000000">
      <w:pPr>
        <w:pStyle w:val="SingleTxt"/>
        <w:numPr>
          <w:ilvl w:val="0"/>
          <w:numId w:val="3"/>
        </w:numPr>
        <w:tabs>
          <w:tab w:val="clear" w:pos="475"/>
          <w:tab w:val="num" w:pos="1742"/>
        </w:tabs>
        <w:ind w:left="1267"/>
      </w:pPr>
      <w:r>
        <w:t xml:space="preserve">En </w:t>
      </w:r>
      <w:r>
        <w:rPr>
          <w:b/>
        </w:rPr>
        <w:t>Rumania</w:t>
      </w:r>
      <w:r>
        <w:t>, hay asistencia de personal especializado en el 99% de los partos, pero la mortalidad derivada de la maternidad sigue siendo relativamente alta (130). En 1993, el porcentaje de uso de métodos anticonceptivos se estimaba en el 57% de las mujeres casadas, pero no se dispone de datos más recientes.  La tasa total de f</w:t>
      </w:r>
      <w:r>
        <w:t>e</w:t>
      </w:r>
      <w:r>
        <w:t>cundidad es de 1,2, en consonancia con las tendencias de la región. Es baja la pr</w:t>
      </w:r>
      <w:r>
        <w:t>e</w:t>
      </w:r>
      <w:r>
        <w:t>valencia de la infección por VIH/SIDA, cuya principal forma de difusión, según i</w:t>
      </w:r>
      <w:r>
        <w:t>n</w:t>
      </w:r>
      <w:r>
        <w:t>formes de fines de 1997, eran los hemoderivados (19%), seguido por las relaciones heter</w:t>
      </w:r>
      <w:r>
        <w:t>o</w:t>
      </w:r>
      <w:r>
        <w:t>sexuales. No hay datos sobre violencia contra la mujer.</w:t>
      </w:r>
    </w:p>
    <w:p w:rsidR="00000000" w:rsidRDefault="00000000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000000" w:rsidRDefault="00000000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000000" w:rsidRDefault="00000000">
      <w:pPr>
        <w:pStyle w:val="EndnoteText"/>
        <w:tabs>
          <w:tab w:val="clear" w:pos="418"/>
          <w:tab w:val="right" w:pos="1354"/>
        </w:tabs>
        <w:spacing w:after="240"/>
        <w:ind w:left="0" w:firstLine="0"/>
        <w:rPr>
          <w:i/>
          <w:sz w:val="20"/>
        </w:rPr>
      </w:pPr>
      <w:r>
        <w:rPr>
          <w:i/>
          <w:sz w:val="20"/>
        </w:rPr>
        <w:tab/>
        <w:t>Referencias</w:t>
      </w:r>
    </w:p>
    <w:p w:rsidR="00000000" w:rsidRDefault="00000000">
      <w:pPr>
        <w:pStyle w:val="End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vertAlign w:val="superscript"/>
        </w:rPr>
        <w:t>1</w:t>
      </w:r>
      <w:r>
        <w:tab/>
        <w:t>Informe de la Cuarta Conferencia Mundial sobre la Mujer, Beijing, 4 a 15 de septiembre de 1995, (publicación de las Naciones Unidas, número de venta 96.IV.13) cap. I, resolución 1, anexo II, cap. IV, secc. C.</w:t>
      </w:r>
    </w:p>
    <w:p w:rsidR="00000000" w:rsidRDefault="00000000">
      <w:pPr>
        <w:pStyle w:val="End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vertAlign w:val="superscript"/>
        </w:rPr>
        <w:t>2</w:t>
      </w:r>
      <w:r>
        <w:tab/>
        <w:t>Estimaciones revisadas de la OMS/UNICEF para 1990 de la mortalidad derivada de la maternidad, Ginebra (1996).</w:t>
      </w:r>
    </w:p>
    <w:p w:rsidR="00000000" w:rsidRDefault="00000000">
      <w:pPr>
        <w:pStyle w:val="End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vertAlign w:val="superscript"/>
        </w:rPr>
        <w:t>3</w:t>
      </w:r>
      <w:r>
        <w:tab/>
        <w:t>OMS/ONUSIDA, hojas de datos epidemiológicos sobre el VIH y las enfermedades de transmisión sexual, Ginebra (1999).</w:t>
      </w:r>
    </w:p>
    <w:p w:rsidR="00000000" w:rsidRDefault="00000000">
      <w:pPr>
        <w:pStyle w:val="End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vertAlign w:val="superscript"/>
        </w:rPr>
        <w:t>4</w:t>
      </w:r>
      <w:r>
        <w:tab/>
        <w:t>OMS, iniciativa “Liberarse del tabaco” (1999).</w:t>
      </w:r>
    </w:p>
    <w:p w:rsidR="00000000" w:rsidRDefault="00000000">
      <w:pPr>
        <w:pStyle w:val="End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vertAlign w:val="superscript"/>
        </w:rPr>
        <w:t>5</w:t>
      </w:r>
      <w:r>
        <w:tab/>
        <w:t>OMS, base de datos sobre la violencia contra la mujer (1999).</w:t>
      </w:r>
    </w:p>
    <w:p w:rsidR="00000000" w:rsidRDefault="00000000">
      <w:pPr>
        <w:pStyle w:val="End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vertAlign w:val="superscript"/>
        </w:rPr>
        <w:t>6</w:t>
      </w:r>
      <w:r>
        <w:tab/>
        <w:t>División de Población de las Naciones Unidas, Nueva York (1999).</w:t>
      </w:r>
    </w:p>
    <w:p w:rsidR="00000000" w:rsidRDefault="00000000">
      <w:pPr>
        <w:pStyle w:val="SingleTxt"/>
        <w:jc w:val="left"/>
        <w:rPr>
          <w:b/>
        </w:rPr>
      </w:pPr>
      <w:r>
        <w:br w:type="page"/>
        <w:t>Cuadro 1</w:t>
      </w:r>
      <w:r>
        <w:rPr>
          <w:b/>
        </w:rPr>
        <w:br/>
        <w:t>Mortalidad derivada de la maternidad y asistencia especializada en el parto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610"/>
        <w:gridCol w:w="26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Tasa de mortalidad derivada </w:t>
            </w:r>
            <w:r>
              <w:rPr>
                <w:i/>
                <w:sz w:val="14"/>
              </w:rPr>
              <w:br/>
              <w:t>de la maternidad</w:t>
            </w:r>
            <w:r>
              <w:rPr>
                <w:i/>
                <w:sz w:val="14"/>
              </w:rPr>
              <w:br/>
              <w:t xml:space="preserve">(Estimación correspondiente </w:t>
            </w:r>
            <w:r>
              <w:rPr>
                <w:i/>
                <w:sz w:val="14"/>
              </w:rPr>
              <w:br/>
              <w:t>a 1990)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Asistencia de personal </w:t>
            </w:r>
            <w:r>
              <w:rPr>
                <w:i/>
                <w:sz w:val="14"/>
              </w:rPr>
              <w:br/>
              <w:t xml:space="preserve">especializado en el parto </w:t>
            </w:r>
            <w:r>
              <w:rPr>
                <w:i/>
                <w:sz w:val="14"/>
              </w:rPr>
              <w:br/>
              <w:t xml:space="preserve">(porcentaje) </w:t>
            </w:r>
            <w:r>
              <w:rPr>
                <w:i/>
                <w:sz w:val="14"/>
              </w:rPr>
              <w:br/>
              <w:t>(cifras más recientes)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207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6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Iraq</w:t>
            </w:r>
          </w:p>
        </w:tc>
        <w:tc>
          <w:tcPr>
            <w:tcW w:w="261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310</w:t>
            </w:r>
          </w:p>
        </w:tc>
        <w:tc>
          <w:tcPr>
            <w:tcW w:w="26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Austria</w:t>
            </w:r>
          </w:p>
        </w:tc>
        <w:tc>
          <w:tcPr>
            <w:tcW w:w="261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6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Cuba</w:t>
            </w:r>
          </w:p>
        </w:tc>
        <w:tc>
          <w:tcPr>
            <w:tcW w:w="261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26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Rumania</w:t>
            </w:r>
          </w:p>
        </w:tc>
        <w:tc>
          <w:tcPr>
            <w:tcW w:w="261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130</w:t>
            </w:r>
          </w:p>
        </w:tc>
        <w:tc>
          <w:tcPr>
            <w:tcW w:w="26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</w:trPr>
        <w:tc>
          <w:tcPr>
            <w:tcW w:w="207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64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jc w:val="left"/>
        <w:rPr>
          <w:b/>
        </w:rPr>
      </w:pPr>
      <w:r>
        <w:t>Cuadro 2</w:t>
      </w:r>
      <w:r>
        <w:br/>
      </w:r>
      <w:r>
        <w:rPr>
          <w:b/>
        </w:rPr>
        <w:t>Carácter legal del aborto</w:t>
      </w:r>
    </w:p>
    <w:p w:rsidR="00000000" w:rsidRDefault="00000000">
      <w:pPr>
        <w:pStyle w:val="SingleTxt"/>
        <w:spacing w:after="0" w:line="120" w:lineRule="exact"/>
        <w:rPr>
          <w:b/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915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64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Se permite el aborto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Salvar la vida de la madre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Salud </w:t>
            </w:r>
            <w:r>
              <w:rPr>
                <w:i/>
                <w:sz w:val="14"/>
              </w:rPr>
              <w:br/>
              <w:t>física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Salud</w:t>
            </w:r>
            <w:r>
              <w:rPr>
                <w:i/>
                <w:sz w:val="14"/>
              </w:rPr>
              <w:br/>
              <w:t>mental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Violación,</w:t>
            </w:r>
            <w:r>
              <w:rPr>
                <w:i/>
                <w:sz w:val="14"/>
              </w:rPr>
              <w:br/>
              <w:t>incesto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Problemas</w:t>
            </w:r>
            <w:r>
              <w:rPr>
                <w:i/>
                <w:sz w:val="14"/>
              </w:rPr>
              <w:br/>
              <w:t>fetales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Situación económica </w:t>
            </w:r>
            <w:r>
              <w:rPr>
                <w:i/>
                <w:sz w:val="14"/>
              </w:rPr>
              <w:br/>
              <w:t>o social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A pedido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91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Iraq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Austria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Cuba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Rumania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91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</w:trPr>
        <w:tc>
          <w:tcPr>
            <w:tcW w:w="91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</w:tbl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jc w:val="left"/>
        <w:rPr>
          <w:b/>
        </w:rPr>
      </w:pPr>
      <w:r>
        <w:t>Cuadro 3</w:t>
      </w:r>
      <w:r>
        <w:br/>
      </w:r>
      <w:r>
        <w:rPr>
          <w:b/>
        </w:rPr>
        <w:t>Prevalencia del uso de anticonceptivos y tasa total de fecundidad</w:t>
      </w:r>
    </w:p>
    <w:p w:rsidR="00000000" w:rsidRDefault="00000000">
      <w:pPr>
        <w:pStyle w:val="SingleTxt"/>
        <w:spacing w:after="0" w:line="120" w:lineRule="exact"/>
        <w:jc w:val="lef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00"/>
        <w:gridCol w:w="1900"/>
        <w:gridCol w:w="19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Porcentaje de uso de anticonceptivos entre </w:t>
            </w:r>
            <w:r>
              <w:rPr>
                <w:i/>
                <w:sz w:val="14"/>
              </w:rPr>
              <w:br/>
              <w:t>las mujeres casadas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Tasa global de fecundidad</w:t>
            </w:r>
            <w:r>
              <w:rPr>
                <w:i/>
                <w:sz w:val="14"/>
              </w:rPr>
              <w:br/>
              <w:t>1995-2000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90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90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90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Iraq</w:t>
            </w:r>
          </w:p>
        </w:tc>
        <w:tc>
          <w:tcPr>
            <w:tcW w:w="1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1990</w:t>
            </w:r>
          </w:p>
        </w:tc>
        <w:tc>
          <w:tcPr>
            <w:tcW w:w="190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Austria</w:t>
            </w:r>
          </w:p>
        </w:tc>
        <w:tc>
          <w:tcPr>
            <w:tcW w:w="1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1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1981-1982</w:t>
            </w:r>
          </w:p>
        </w:tc>
        <w:tc>
          <w:tcPr>
            <w:tcW w:w="190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Cuba</w:t>
            </w:r>
          </w:p>
        </w:tc>
        <w:tc>
          <w:tcPr>
            <w:tcW w:w="1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1987</w:t>
            </w:r>
          </w:p>
        </w:tc>
        <w:tc>
          <w:tcPr>
            <w:tcW w:w="190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Rumania</w:t>
            </w:r>
          </w:p>
        </w:tc>
        <w:tc>
          <w:tcPr>
            <w:tcW w:w="1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190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1993</w:t>
            </w:r>
          </w:p>
        </w:tc>
        <w:tc>
          <w:tcPr>
            <w:tcW w:w="190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</w:trPr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90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90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901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</w:tbl>
    <w:p w:rsidR="00000000" w:rsidRDefault="00000000">
      <w:pPr>
        <w:pStyle w:val="SingleTxt"/>
        <w:spacing w:after="0" w:line="120" w:lineRule="exact"/>
        <w:jc w:val="left"/>
        <w:rPr>
          <w:sz w:val="10"/>
        </w:rPr>
      </w:pPr>
    </w:p>
    <w:p w:rsidR="00000000" w:rsidRDefault="00000000">
      <w:pPr>
        <w:pStyle w:val="SingleTxt"/>
        <w:spacing w:after="0" w:line="120" w:lineRule="exact"/>
        <w:jc w:val="left"/>
        <w:rPr>
          <w:sz w:val="10"/>
        </w:rPr>
      </w:pPr>
    </w:p>
    <w:p w:rsidR="00000000" w:rsidRDefault="00000000">
      <w:pPr>
        <w:pStyle w:val="SingleTxt"/>
        <w:spacing w:after="0" w:line="120" w:lineRule="exact"/>
        <w:jc w:val="left"/>
        <w:rPr>
          <w:sz w:val="10"/>
        </w:rPr>
      </w:pPr>
    </w:p>
    <w:p w:rsidR="00000000" w:rsidRDefault="00000000">
      <w:pPr>
        <w:pStyle w:val="SingleTxt"/>
        <w:jc w:val="left"/>
      </w:pPr>
      <w:r>
        <w:br w:type="page"/>
        <w:t>Cuadro 4</w:t>
      </w:r>
      <w:r>
        <w:br/>
      </w:r>
      <w:r>
        <w:rPr>
          <w:b/>
        </w:rPr>
        <w:t>VIH/SIDA</w:t>
      </w:r>
    </w:p>
    <w:p w:rsidR="00000000" w:rsidRDefault="00000000">
      <w:pPr>
        <w:pStyle w:val="SingleTxt"/>
        <w:spacing w:after="0" w:line="120" w:lineRule="exact"/>
        <w:jc w:val="lef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936"/>
        <w:gridCol w:w="1210"/>
        <w:gridCol w:w="1260"/>
        <w:gridCol w:w="29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Porcentaje de adultos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Porcentaje medio </w:t>
            </w:r>
            <w:r>
              <w:rPr>
                <w:i/>
                <w:sz w:val="14"/>
              </w:rPr>
              <w:br/>
              <w:t>de mujeres embarazadas en zonas urbanas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Porcentaje medio de mujeres embarazadas en zonas no urbanas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Principales modos de transmisión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922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995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Iraq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..</w:t>
            </w:r>
          </w:p>
        </w:tc>
        <w:tc>
          <w:tcPr>
            <w:tcW w:w="121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..</w:t>
            </w:r>
          </w:p>
        </w:tc>
        <w:tc>
          <w:tcPr>
            <w:tcW w:w="12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..</w:t>
            </w:r>
          </w:p>
        </w:tc>
        <w:tc>
          <w:tcPr>
            <w:tcW w:w="299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Austria</w:t>
            </w:r>
          </w:p>
        </w:tc>
        <w:tc>
          <w:tcPr>
            <w:tcW w:w="936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0,18</w:t>
            </w:r>
          </w:p>
        </w:tc>
        <w:tc>
          <w:tcPr>
            <w:tcW w:w="121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..</w:t>
            </w:r>
          </w:p>
        </w:tc>
        <w:tc>
          <w:tcPr>
            <w:tcW w:w="126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..</w:t>
            </w:r>
          </w:p>
        </w:tc>
        <w:tc>
          <w:tcPr>
            <w:tcW w:w="2995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Usuarios de drogas intravenosas (42%) y  heterosexual (39%)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Cuba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0,02</w:t>
            </w:r>
          </w:p>
        </w:tc>
        <w:tc>
          <w:tcPr>
            <w:tcW w:w="121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2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..</w:t>
            </w:r>
          </w:p>
        </w:tc>
        <w:tc>
          <w:tcPr>
            <w:tcW w:w="299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Heterosexual (90%)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Rumania</w:t>
            </w:r>
          </w:p>
        </w:tc>
        <w:tc>
          <w:tcPr>
            <w:tcW w:w="93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0,01</w:t>
            </w:r>
          </w:p>
        </w:tc>
        <w:tc>
          <w:tcPr>
            <w:tcW w:w="121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..</w:t>
            </w:r>
          </w:p>
        </w:tc>
        <w:tc>
          <w:tcPr>
            <w:tcW w:w="126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..</w:t>
            </w:r>
          </w:p>
        </w:tc>
        <w:tc>
          <w:tcPr>
            <w:tcW w:w="2995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Por hemoderivados (19%)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92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20" w:lineRule="exact"/>
              <w:ind w:right="43"/>
              <w:rPr>
                <w:sz w:val="17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2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2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2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2995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20" w:lineRule="exact"/>
              <w:ind w:right="43"/>
              <w:jc w:val="right"/>
              <w:rPr>
                <w:sz w:val="17"/>
              </w:rPr>
            </w:pPr>
          </w:p>
        </w:tc>
      </w:tr>
    </w:tbl>
    <w:p w:rsidR="00000000" w:rsidRDefault="00000000">
      <w:pPr>
        <w:pStyle w:val="SingleTxt"/>
        <w:spacing w:after="0" w:line="120" w:lineRule="exact"/>
        <w:jc w:val="left"/>
        <w:rPr>
          <w:sz w:val="10"/>
        </w:rPr>
      </w:pPr>
    </w:p>
    <w:p w:rsidR="00000000" w:rsidRDefault="00000000">
      <w:pPr>
        <w:pStyle w:val="SingleTxt"/>
        <w:spacing w:after="0" w:line="120" w:lineRule="exact"/>
        <w:jc w:val="left"/>
        <w:rPr>
          <w:sz w:val="10"/>
        </w:rPr>
      </w:pPr>
    </w:p>
    <w:p w:rsidR="00000000" w:rsidRDefault="00000000">
      <w:pPr>
        <w:pStyle w:val="SingleTxt"/>
        <w:spacing w:after="0" w:line="120" w:lineRule="exact"/>
        <w:jc w:val="left"/>
        <w:rPr>
          <w:sz w:val="10"/>
        </w:rPr>
      </w:pPr>
    </w:p>
    <w:p w:rsidR="00000000" w:rsidRDefault="00000000">
      <w:pPr>
        <w:pStyle w:val="SingleTxt"/>
        <w:jc w:val="left"/>
      </w:pPr>
      <w:r>
        <w:t>Cuadro 5</w:t>
      </w:r>
      <w:r>
        <w:br/>
      </w:r>
      <w:r>
        <w:rPr>
          <w:b/>
        </w:rPr>
        <w:t>Consumo de tabaco entre las mujeres</w:t>
      </w:r>
    </w:p>
    <w:p w:rsidR="00000000" w:rsidRDefault="00000000">
      <w:pPr>
        <w:pStyle w:val="SingleTxt"/>
        <w:spacing w:after="0" w:line="120" w:lineRule="exact"/>
        <w:jc w:val="left"/>
        <w:rPr>
          <w:sz w:val="10"/>
        </w:rPr>
      </w:pPr>
    </w:p>
    <w:tbl>
      <w:tblPr>
        <w:tblW w:w="0" w:type="auto"/>
        <w:tblInd w:w="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936"/>
        <w:gridCol w:w="212"/>
        <w:gridCol w:w="998"/>
        <w:gridCol w:w="1260"/>
        <w:gridCol w:w="352"/>
        <w:gridCol w:w="2641"/>
        <w:gridCol w:w="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cantSplit/>
          <w:tblHeader/>
        </w:trPr>
        <w:tc>
          <w:tcPr>
            <w:tcW w:w="2070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160" w:lineRule="exact"/>
              <w:ind w:right="4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Fumadoras habituales en la actualidad</w:t>
            </w:r>
            <w:r>
              <w:rPr>
                <w:i/>
                <w:sz w:val="14"/>
              </w:rPr>
              <w:br/>
              <w:t>Entre 15 y 25 años de edad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blHeader/>
        </w:trPr>
        <w:tc>
          <w:tcPr>
            <w:tcW w:w="2070" w:type="dxa"/>
            <w:gridSpan w:val="3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2610" w:type="dxa"/>
            <w:gridSpan w:val="3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Porcentaje</w:t>
            </w:r>
          </w:p>
        </w:tc>
        <w:tc>
          <w:tcPr>
            <w:tcW w:w="26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Año del estudio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115"/>
          <w:tblHeader/>
        </w:trPr>
        <w:tc>
          <w:tcPr>
            <w:tcW w:w="2070" w:type="dxa"/>
            <w:gridSpan w:val="3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2641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070" w:type="dxa"/>
            <w:gridSpan w:val="3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Iraq</w:t>
            </w:r>
          </w:p>
        </w:tc>
        <w:tc>
          <w:tcPr>
            <w:tcW w:w="2610" w:type="dxa"/>
            <w:gridSpan w:val="3"/>
            <w:vAlign w:val="bottom"/>
          </w:tcPr>
          <w:p w:rsidR="00000000" w:rsidRDefault="00000000">
            <w:pPr>
              <w:tabs>
                <w:tab w:val="decimal" w:pos="2100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No se dispone de datos</w:t>
            </w:r>
          </w:p>
        </w:tc>
        <w:tc>
          <w:tcPr>
            <w:tcW w:w="26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070" w:type="dxa"/>
            <w:gridSpan w:val="3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Austria</w:t>
            </w:r>
          </w:p>
        </w:tc>
        <w:tc>
          <w:tcPr>
            <w:tcW w:w="2610" w:type="dxa"/>
            <w:gridSpan w:val="3"/>
            <w:vAlign w:val="bottom"/>
          </w:tcPr>
          <w:p w:rsidR="00000000" w:rsidRDefault="00000000">
            <w:pPr>
              <w:tabs>
                <w:tab w:val="decimal" w:pos="2100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24,6</w:t>
            </w:r>
          </w:p>
        </w:tc>
        <w:tc>
          <w:tcPr>
            <w:tcW w:w="26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070" w:type="dxa"/>
            <w:gridSpan w:val="3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Cuba</w:t>
            </w:r>
          </w:p>
        </w:tc>
        <w:tc>
          <w:tcPr>
            <w:tcW w:w="2610" w:type="dxa"/>
            <w:gridSpan w:val="3"/>
            <w:vAlign w:val="bottom"/>
          </w:tcPr>
          <w:p w:rsidR="00000000" w:rsidRDefault="00000000">
            <w:pPr>
              <w:tabs>
                <w:tab w:val="decimal" w:pos="2100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34,2</w:t>
            </w:r>
          </w:p>
        </w:tc>
        <w:tc>
          <w:tcPr>
            <w:tcW w:w="26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1995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2070" w:type="dxa"/>
            <w:gridSpan w:val="3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Rumania</w:t>
            </w:r>
          </w:p>
        </w:tc>
        <w:tc>
          <w:tcPr>
            <w:tcW w:w="2610" w:type="dxa"/>
            <w:gridSpan w:val="3"/>
            <w:vAlign w:val="bottom"/>
          </w:tcPr>
          <w:p w:rsidR="00000000" w:rsidRDefault="00000000">
            <w:pPr>
              <w:tabs>
                <w:tab w:val="decimal" w:pos="2100"/>
              </w:tabs>
              <w:spacing w:before="40" w:line="210" w:lineRule="exact"/>
              <w:ind w:right="43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641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1996/97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922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20" w:lineRule="exact"/>
              <w:ind w:right="43"/>
              <w:rPr>
                <w:sz w:val="17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2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10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2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2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2995" w:type="dxa"/>
            <w:gridSpan w:val="3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120" w:lineRule="exact"/>
              <w:ind w:right="43"/>
              <w:jc w:val="right"/>
              <w:rPr>
                <w:sz w:val="17"/>
              </w:rPr>
            </w:pPr>
          </w:p>
        </w:tc>
      </w:tr>
    </w:tbl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</w:rPr>
      </w:pPr>
      <w:r>
        <w:t>Cuadro 6</w:t>
      </w:r>
      <w:r>
        <w:br/>
      </w:r>
      <w:r>
        <w:rPr>
          <w:b/>
        </w:rPr>
        <w:t>Violencia contra la mujer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558"/>
        <w:gridCol w:w="684"/>
        <w:gridCol w:w="850"/>
        <w:gridCol w:w="1116"/>
        <w:gridCol w:w="1008"/>
        <w:gridCol w:w="990"/>
        <w:gridCol w:w="1008"/>
        <w:gridCol w:w="504"/>
        <w:gridCol w:w="630"/>
        <w:gridCol w:w="648"/>
        <w:gridCol w:w="12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Datos sobre el terreno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Volumen de la muestra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Grupo de muestra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Medida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Ubicación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Período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Relación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Todos los tipos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Porcen-taje de violencia física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Violación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000000" w:rsidRDefault="00000000">
            <w:pPr>
              <w:spacing w:before="81" w:after="81" w:line="160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Notas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tblHeader/>
        </w:trPr>
        <w:tc>
          <w:tcPr>
            <w:tcW w:w="64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vAlign w:val="bottom"/>
          </w:tcPr>
          <w:p w:rsidR="00000000" w:rsidRDefault="00000000">
            <w:pPr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b/>
                <w:spacing w:val="0"/>
                <w:sz w:val="17"/>
              </w:rPr>
            </w:pPr>
            <w:r>
              <w:rPr>
                <w:b/>
                <w:spacing w:val="0"/>
                <w:sz w:val="17"/>
              </w:rPr>
              <w:t>Austria</w:t>
            </w:r>
          </w:p>
        </w:tc>
        <w:tc>
          <w:tcPr>
            <w:tcW w:w="55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68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85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1116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100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99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100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50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630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648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1224" w:type="dxa"/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Viena</w:t>
            </w:r>
          </w:p>
        </w:tc>
        <w:tc>
          <w:tcPr>
            <w:tcW w:w="558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1992</w:t>
            </w:r>
          </w:p>
        </w:tc>
        <w:tc>
          <w:tcPr>
            <w:tcW w:w="6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1 500</w:t>
            </w:r>
          </w:p>
        </w:tc>
        <w:tc>
          <w:tcPr>
            <w:tcW w:w="85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Juicios de divorcio</w:t>
            </w:r>
          </w:p>
        </w:tc>
        <w:tc>
          <w:tcPr>
            <w:tcW w:w="1116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Citado en informe</w:t>
            </w:r>
          </w:p>
        </w:tc>
        <w:tc>
          <w:tcPr>
            <w:tcW w:w="1008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..</w:t>
            </w:r>
          </w:p>
        </w:tc>
        <w:tc>
          <w:tcPr>
            <w:tcW w:w="99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En el matrimonio actual</w:t>
            </w:r>
          </w:p>
        </w:tc>
        <w:tc>
          <w:tcPr>
            <w:tcW w:w="1008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" w:right="43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Marido</w:t>
            </w:r>
          </w:p>
        </w:tc>
        <w:tc>
          <w:tcPr>
            <w:tcW w:w="50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59,0</w:t>
            </w:r>
          </w:p>
        </w:tc>
        <w:tc>
          <w:tcPr>
            <w:tcW w:w="63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648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122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Se cita la violencia como una de las causas del divorcio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Viena</w:t>
            </w:r>
          </w:p>
        </w:tc>
        <w:tc>
          <w:tcPr>
            <w:tcW w:w="558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1992</w:t>
            </w:r>
          </w:p>
        </w:tc>
        <w:tc>
          <w:tcPr>
            <w:tcW w:w="68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200</w:t>
            </w:r>
          </w:p>
        </w:tc>
        <w:tc>
          <w:tcPr>
            <w:tcW w:w="85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Todas mujeres</w:t>
            </w:r>
          </w:p>
        </w:tc>
        <w:tc>
          <w:tcPr>
            <w:tcW w:w="1116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Conflictos inter-personales</w:t>
            </w:r>
          </w:p>
        </w:tc>
        <w:tc>
          <w:tcPr>
            <w:tcW w:w="1008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Reeducación de adultos</w:t>
            </w:r>
          </w:p>
        </w:tc>
        <w:tc>
          <w:tcPr>
            <w:tcW w:w="99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 xml:space="preserve">En los últimos </w:t>
            </w:r>
            <w:r>
              <w:rPr>
                <w:spacing w:val="0"/>
                <w:sz w:val="17"/>
              </w:rPr>
              <w:br/>
              <w:t>12 meses</w:t>
            </w:r>
          </w:p>
        </w:tc>
        <w:tc>
          <w:tcPr>
            <w:tcW w:w="1008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" w:right="43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Hombre, no cónyuge</w:t>
            </w:r>
          </w:p>
        </w:tc>
        <w:tc>
          <w:tcPr>
            <w:tcW w:w="50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  <w:r>
              <w:rPr>
                <w:spacing w:val="0"/>
                <w:sz w:val="17"/>
              </w:rPr>
              <w:t>19,0</w:t>
            </w:r>
          </w:p>
        </w:tc>
        <w:tc>
          <w:tcPr>
            <w:tcW w:w="630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648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  <w:tc>
          <w:tcPr>
            <w:tcW w:w="1224" w:type="dxa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pacing w:val="0"/>
                <w:sz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</w:trPr>
        <w:tc>
          <w:tcPr>
            <w:tcW w:w="64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116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224" w:type="dxa"/>
            <w:tcBorders>
              <w:bottom w:val="single" w:sz="12" w:space="0" w:color="auto"/>
            </w:tcBorders>
            <w:vAlign w:val="bottom"/>
          </w:tcPr>
          <w:p w:rsidR="00000000" w:rsidRDefault="0000000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</w:tbl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rPr>
          <w:noProof/>
          <w:w w:val="100"/>
        </w:rPr>
        <w:pict>
          <v:line id="_x0000_s2051" style="position:absolute;z-index:2;mso-position-horizontal:absolute;mso-position-horizontal-relative:text;mso-position-vertical:absolute;mso-position-vertical-relative:text" from="210.25pt,24pt" to="282.25pt,24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NO&gt;&gt;N0037713S&lt;&lt;ODS JOB NO&gt;&gt;</w:t>
      </w:r>
    </w:p>
    <w:p w:rsidR="00000000" w:rsidRDefault="00000000">
      <w:pPr>
        <w:pStyle w:val="CommentText"/>
      </w:pPr>
      <w:r>
        <w:t>&lt;&lt;ODS DOC SYMBOL1&gt;&gt;CEDAW/C/2000/II/3/Add.2&lt;&lt;ODS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0037713s.doc</w:t>
          </w:r>
          <w:r>
            <w:rPr>
              <w:b w:val="0"/>
              <w:sz w:val="14"/>
            </w:rPr>
            <w:fldChar w:fldCharType="end"/>
          </w: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0037713s.doc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00-37713 (S)    270400    270400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*0037713*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CEDAW/C/2000/II/3/Add.2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CEDAW/C/2000/II/3/Add.2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20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Naciones Unidas</w:t>
          </w:r>
        </w:p>
      </w:tc>
      <w:tc>
        <w:tcPr>
          <w:tcW w:w="5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/C/2000/II/3/Add.2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Convención sobre la eliminación</w:t>
          </w:r>
          <w:r>
            <w:rPr>
              <w:sz w:val="34"/>
            </w:rPr>
            <w:br/>
            <w:t>de todas las formas de discriminación</w:t>
          </w:r>
          <w:r>
            <w:rPr>
              <w:sz w:val="34"/>
            </w:rPr>
            <w:br/>
            <w:t>contra la mujer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 general</w:t>
          </w:r>
        </w:p>
        <w:p w:rsidR="00000000" w:rsidRDefault="00000000">
          <w:r>
            <w:t>4 de abril de 2000</w:t>
          </w:r>
        </w:p>
        <w:p w:rsidR="00000000" w:rsidRDefault="00000000">
          <w:r>
            <w:t>Español</w:t>
          </w:r>
        </w:p>
        <w:p w:rsidR="00000000" w:rsidRDefault="00000000">
          <w:r>
            <w:t>Original: inglés</w:t>
          </w:r>
        </w:p>
      </w:tc>
    </w:tr>
  </w:tbl>
  <w:p w:rsidR="00000000" w:rsidRDefault="0000000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812"/>
    <w:multiLevelType w:val="singleLevel"/>
    <w:tmpl w:val="E6143A2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">
    <w:nsid w:val="4DCF3798"/>
    <w:multiLevelType w:val="singleLevel"/>
    <w:tmpl w:val="004A89A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2">
    <w:nsid w:val="77856BB0"/>
    <w:multiLevelType w:val="singleLevel"/>
    <w:tmpl w:val="004A89A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s-ES_tradnl" w:vendorID="9" w:dllVersion="512" w:checkStyle="1"/>
  <w:doNotTrackMoves/>
  <w:defaultTabStop w:val="475"/>
  <w:autoHyphenation/>
  <w:hyphenationZone w:val="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7/04/2000 9:04: PM"/>
    <w:docVar w:name="DocCategory" w:val="Doc"/>
    <w:docVar w:name="DocType" w:val="Final"/>
    <w:docVar w:name="JobNo" w:val="0037713S"/>
    <w:docVar w:name="OandT" w:val="Pola"/>
    <w:docVar w:name="Symbol1" w:val="CEDAW/C/2000/II/3/Add.2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color w:val="FF0000"/>
      <w:spacing w:val="-5"/>
      <w:w w:val="130"/>
      <w:position w:val="-4"/>
      <w:vertAlign w:val="superscript"/>
    </w:rPr>
  </w:style>
  <w:style w:type="character" w:styleId="EndnoteReference">
    <w:name w:val="endnote reference"/>
    <w:semiHidden/>
    <w:rPr>
      <w:color w:val="FF00FF"/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pPr>
      <w:spacing w:after="80"/>
    </w:pPr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1331</Words>
  <Characters>7589</Characters>
  <Application>Microsoft Office Word</Application>
  <DocSecurity>4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9319</CharactersWithSpaces>
  <SharedDoc>false</SharedDoc>
  <HLinks>
    <vt:vector size="6" baseType="variant">
      <vt:variant>
        <vt:i4>4522087</vt:i4>
      </vt:variant>
      <vt:variant>
        <vt:i4>10440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Casseres, Paulina</dc:creator>
  <cp:keywords/>
  <dc:description/>
  <cp:lastModifiedBy>Waage, María Rosa</cp:lastModifiedBy>
  <cp:revision>2</cp:revision>
  <cp:lastPrinted>2000-04-27T22:38:00Z</cp:lastPrinted>
  <dcterms:created xsi:type="dcterms:W3CDTF">2000-04-27T22:40:00Z</dcterms:created>
  <dcterms:modified xsi:type="dcterms:W3CDTF">2000-04-27T22:40:00Z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0037713</vt:lpwstr>
  </property>
  <property fmtid="{D5CDD505-2E9C-101B-9397-08002B2CF9AE}" pid="3" name="Symbol1">
    <vt:lpwstr>CEDAW/C/2000/II/3/Add.2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>Consulta sobre traducción, cuadros traídos del inglés</vt:lpwstr>
  </property>
  <property fmtid="{D5CDD505-2E9C-101B-9397-08002B2CF9AE}" pid="7" name="DraftPages">
    <vt:lpwstr>5</vt:lpwstr>
  </property>
  <property fmtid="{D5CDD505-2E9C-101B-9397-08002B2CF9AE}" pid="8" name="Operator">
    <vt:lpwstr>Pola</vt:lpwstr>
  </property>
</Properties>
</file>