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spacing w:line="60" w:lineRule="exact"/>
        <w:rPr>
          <w:sz w:val="6"/>
        </w:rPr>
        <w:sectPr w:rsidR="00000000">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742" w:right="1195" w:bottom="1898" w:left="1195" w:header="576" w:footer="1030" w:gutter="0"/>
          <w:pgNumType w:start="1"/>
          <w:cols w:space="720"/>
          <w:noEndnote/>
          <w:titlePg/>
        </w:sectPr>
      </w:pPr>
      <w:r>
        <w:rPr>
          <w:rStyle w:val="CommentReference"/>
          <w:vanish/>
        </w:rPr>
        <w:commentReference w:id="0"/>
      </w:r>
    </w:p>
    <w:p w:rsidR="00000000" w:rsidRDefault="00000000">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pPr>
      <w:r>
        <w:t>Комитет по ликвидации дискриминации</w:t>
      </w:r>
      <w:r>
        <w:br/>
        <w:t>в отношении женщин</w:t>
      </w:r>
    </w:p>
    <w:p w:rsidR="00000000" w:rsidRDefault="00000000">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rPr>
          <w:b/>
        </w:rPr>
      </w:pPr>
      <w:r>
        <w:rPr>
          <w:b/>
        </w:rPr>
        <w:t>Двадцать седьмая сессия</w:t>
      </w:r>
      <w:r>
        <w:rPr>
          <w:b/>
        </w:rPr>
        <w:br/>
      </w:r>
      <w:r>
        <w:t>3–21 июня 2002 года</w:t>
      </w:r>
      <w:r>
        <w:br/>
        <w:t>Пункт 5 предварительной повестки дня</w:t>
      </w:r>
      <w:r>
        <w:rPr>
          <w:rStyle w:val="FootnoteReference"/>
        </w:rPr>
        <w:footnoteReference w:customMarkFollows="1" w:id="1"/>
        <w:t>*</w:t>
      </w:r>
      <w:r>
        <w:br/>
      </w:r>
      <w:r>
        <w:rPr>
          <w:b/>
        </w:rPr>
        <w:t>Осуществление статьи 21 Конвенции о ликвидации</w:t>
      </w:r>
      <w:r>
        <w:rPr>
          <w:b/>
        </w:rPr>
        <w:br/>
        <w:t>всех форм дискриминации в отношении женщин</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Доклад, подготовленный специализированными учреждениями Организации Объединенных Наций</w:t>
      </w:r>
      <w:r>
        <w:br/>
        <w:t>и касающийся осуществления Конвенции в областях, входящих в сферу их деятельности</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Записка Генерального секретаря</w:t>
      </w:r>
      <w:r>
        <w:rPr>
          <w:rStyle w:val="FootnoteReference"/>
          <w:b w:val="0"/>
          <w:sz w:val="20"/>
        </w:rPr>
        <w:footnoteReference w:customMarkFollows="1" w:id="2"/>
        <w:t>**</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Добавление</w:t>
      </w:r>
    </w:p>
    <w:p w:rsidR="00000000" w:rsidRDefault="00000000">
      <w:pPr>
        <w:pStyle w:val="SingleTxt"/>
        <w:spacing w:after="0" w:line="120" w:lineRule="exact"/>
        <w:rPr>
          <w:sz w:val="10"/>
        </w:rPr>
      </w:pP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Международная организация труда</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1.</w:t>
      </w:r>
      <w:r>
        <w:tab/>
        <w:t>От имени Комитета 17 апреля 2002 года Секретариат предложил Межд</w:t>
      </w:r>
      <w:r>
        <w:t>у</w:t>
      </w:r>
      <w:r>
        <w:t>народной организации труда (МОТ) представить Комитету доклад, содержащий представленную государствами МОТ информацию об осуществлении статьи 11 и связанных с ней статей Конвенции о ликвидации всех форм дискриминации в отношении женщин, дополняющей информацию, содержащуюся в докладах государств — участников Конвенции, которые будут рассмотрены на двадцать седьмой се</w:t>
      </w:r>
      <w:r>
        <w:t>с</w:t>
      </w:r>
      <w:r>
        <w:t>сии.</w:t>
      </w:r>
    </w:p>
    <w:p w:rsidR="00000000" w:rsidRDefault="00000000">
      <w:pPr>
        <w:pStyle w:val="SingleTxt"/>
      </w:pPr>
      <w:r>
        <w:t>2.</w:t>
      </w:r>
      <w:r>
        <w:tab/>
        <w:t>Кроме того, Комитет запросил информацию, касающуюся осуществля</w:t>
      </w:r>
      <w:r>
        <w:t>е</w:t>
      </w:r>
      <w:r>
        <w:t>мых МОТ мероприятий, программ и директивных решений, направленных на поощрение осуществления статьи 11 и связанных с ней статей Конвенции.</w:t>
      </w:r>
    </w:p>
    <w:p w:rsidR="00000000" w:rsidRDefault="00000000">
      <w:pPr>
        <w:pStyle w:val="SingleTxt"/>
      </w:pPr>
      <w:r>
        <w:t>3.</w:t>
      </w:r>
      <w:r>
        <w:tab/>
        <w:t>Содержащийся в приложении доклад представляется в соответствии с просьбой К</w:t>
      </w:r>
      <w:r>
        <w:t>о</w:t>
      </w:r>
      <w:r>
        <w:t>митета.</w:t>
      </w: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Приложение</w:t>
      </w:r>
    </w:p>
    <w:p w:rsidR="00000000" w:rsidRDefault="00000000">
      <w:pPr>
        <w:spacing w:line="120" w:lineRule="exact"/>
        <w:rPr>
          <w:sz w:val="10"/>
        </w:rPr>
      </w:pP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Доклад, представленный Международной организацией труда Комитету по ликвидации дискриминации в отношении женщин на его двадцать седьмой сессии </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Ch"/>
        <w:spacing w:after="120"/>
      </w:pPr>
      <w:r>
        <w:t>Содержание</w:t>
      </w:r>
    </w:p>
    <w:tbl>
      <w:tblPr>
        <w:tblW w:w="0" w:type="auto"/>
        <w:tblInd w:w="2" w:type="dxa"/>
        <w:tblLayout w:type="fixed"/>
        <w:tblCellMar>
          <w:left w:w="0" w:type="dxa"/>
          <w:right w:w="0" w:type="dxa"/>
        </w:tblCellMar>
        <w:tblLook w:val="0000" w:firstRow="0" w:lastRow="0" w:firstColumn="0" w:lastColumn="0" w:noHBand="0" w:noVBand="0"/>
      </w:tblPr>
      <w:tblGrid>
        <w:gridCol w:w="1060"/>
        <w:gridCol w:w="7315"/>
        <w:gridCol w:w="994"/>
        <w:gridCol w:w="533"/>
      </w:tblGrid>
      <w:tr w:rsidR="00000000">
        <w:tblPrEx>
          <w:tblCellMar>
            <w:top w:w="0" w:type="dxa"/>
            <w:left w:w="0" w:type="dxa"/>
            <w:bottom w:w="0" w:type="dxa"/>
            <w:right w:w="0" w:type="dxa"/>
          </w:tblCellMar>
        </w:tblPrEx>
        <w:trPr>
          <w:tblHeader/>
        </w:trPr>
        <w:tc>
          <w:tcPr>
            <w:tcW w:w="1060" w:type="dxa"/>
          </w:tcPr>
          <w:p w:rsidR="00000000" w:rsidRDefault="00000000">
            <w:pPr>
              <w:spacing w:after="120" w:line="240" w:lineRule="auto"/>
              <w:jc w:val="right"/>
              <w:rPr>
                <w:i/>
                <w:sz w:val="14"/>
              </w:rPr>
            </w:pPr>
            <w:r>
              <w:rPr>
                <w:i/>
                <w:sz w:val="14"/>
              </w:rPr>
              <w:t>Часть</w:t>
            </w:r>
          </w:p>
        </w:tc>
        <w:tc>
          <w:tcPr>
            <w:tcW w:w="7315" w:type="dxa"/>
          </w:tcPr>
          <w:p w:rsidR="00000000" w:rsidRDefault="00000000">
            <w:pPr>
              <w:spacing w:after="120" w:line="240" w:lineRule="auto"/>
              <w:rPr>
                <w:i/>
                <w:sz w:val="14"/>
              </w:rPr>
            </w:pPr>
          </w:p>
        </w:tc>
        <w:tc>
          <w:tcPr>
            <w:tcW w:w="994" w:type="dxa"/>
          </w:tcPr>
          <w:p w:rsidR="00000000" w:rsidRDefault="00000000">
            <w:pPr>
              <w:spacing w:after="120" w:line="240" w:lineRule="auto"/>
              <w:jc w:val="right"/>
              <w:rPr>
                <w:i/>
                <w:sz w:val="14"/>
              </w:rPr>
            </w:pPr>
            <w:r>
              <w:rPr>
                <w:i/>
                <w:sz w:val="14"/>
              </w:rPr>
              <w:t>Пункты</w:t>
            </w:r>
          </w:p>
        </w:tc>
        <w:tc>
          <w:tcPr>
            <w:tcW w:w="533" w:type="dxa"/>
          </w:tcPr>
          <w:p w:rsidR="00000000" w:rsidRDefault="00000000">
            <w:pPr>
              <w:spacing w:after="120" w:line="240" w:lineRule="auto"/>
              <w:jc w:val="right"/>
              <w:rPr>
                <w:i/>
                <w:sz w:val="14"/>
              </w:rPr>
            </w:pPr>
            <w:r>
              <w:rPr>
                <w:i/>
                <w:sz w:val="14"/>
              </w:rPr>
              <w:t>Стр.</w:t>
            </w:r>
          </w:p>
        </w:tc>
      </w:tr>
      <w:tr w:rsidR="00000000">
        <w:tblPrEx>
          <w:tblCellMar>
            <w:top w:w="0" w:type="dxa"/>
            <w:left w:w="0" w:type="dxa"/>
            <w:bottom w:w="0" w:type="dxa"/>
            <w:right w:w="0" w:type="dxa"/>
          </w:tblCellMar>
        </w:tblPrEx>
        <w:trPr>
          <w:cantSplit/>
        </w:trPr>
        <w:tc>
          <w:tcPr>
            <w:tcW w:w="8375" w:type="dxa"/>
            <w:gridSpan w:val="2"/>
          </w:tcPr>
          <w:p w:rsidR="00000000" w:rsidRDefault="00000000">
            <w:pPr>
              <w:tabs>
                <w:tab w:val="right" w:pos="1080"/>
                <w:tab w:val="left" w:pos="1296"/>
                <w:tab w:val="left" w:pos="1728"/>
                <w:tab w:val="right" w:leader="dot" w:pos="8381"/>
              </w:tabs>
              <w:spacing w:after="120"/>
              <w:rPr>
                <w:spacing w:val="60"/>
                <w:sz w:val="17"/>
              </w:rPr>
            </w:pPr>
            <w:r>
              <w:tab/>
              <w:t>I.</w:t>
            </w:r>
            <w:r>
              <w:tab/>
              <w:t>Введение</w:t>
            </w:r>
            <w:r>
              <w:rPr>
                <w:spacing w:val="60"/>
                <w:sz w:val="17"/>
              </w:rPr>
              <w:tab/>
            </w:r>
            <w:r>
              <w:rPr>
                <w:spacing w:val="60"/>
                <w:sz w:val="17"/>
              </w:rPr>
              <w:tab/>
            </w:r>
          </w:p>
        </w:tc>
        <w:tc>
          <w:tcPr>
            <w:tcW w:w="994" w:type="dxa"/>
            <w:vAlign w:val="bottom"/>
          </w:tcPr>
          <w:p w:rsidR="00000000" w:rsidRDefault="00000000">
            <w:pPr>
              <w:spacing w:after="120"/>
              <w:jc w:val="right"/>
            </w:pPr>
            <w:r>
              <w:t>1–4</w:t>
            </w:r>
          </w:p>
        </w:tc>
        <w:tc>
          <w:tcPr>
            <w:tcW w:w="533" w:type="dxa"/>
            <w:vAlign w:val="bottom"/>
          </w:tcPr>
          <w:p w:rsidR="00000000" w:rsidRDefault="00000000">
            <w:pPr>
              <w:spacing w:after="120"/>
              <w:jc w:val="right"/>
            </w:pPr>
            <w:r>
              <w:t>3</w:t>
            </w:r>
          </w:p>
        </w:tc>
      </w:tr>
      <w:tr w:rsidR="00000000">
        <w:tblPrEx>
          <w:tblCellMar>
            <w:top w:w="0" w:type="dxa"/>
            <w:left w:w="0" w:type="dxa"/>
            <w:bottom w:w="0" w:type="dxa"/>
            <w:right w:w="0" w:type="dxa"/>
          </w:tblCellMar>
        </w:tblPrEx>
        <w:trPr>
          <w:cantSplit/>
        </w:trPr>
        <w:tc>
          <w:tcPr>
            <w:tcW w:w="8375" w:type="dxa"/>
            <w:gridSpan w:val="2"/>
          </w:tcPr>
          <w:p w:rsidR="00000000" w:rsidRDefault="00000000">
            <w:pPr>
              <w:tabs>
                <w:tab w:val="right" w:pos="1080"/>
                <w:tab w:val="left" w:pos="1296"/>
                <w:tab w:val="left" w:pos="1728"/>
                <w:tab w:val="left" w:pos="2160"/>
                <w:tab w:val="left" w:pos="2592"/>
                <w:tab w:val="left" w:pos="3024"/>
                <w:tab w:val="right" w:leader="dot" w:pos="8381"/>
              </w:tabs>
              <w:spacing w:after="120"/>
              <w:rPr>
                <w:spacing w:val="60"/>
                <w:sz w:val="17"/>
              </w:rPr>
            </w:pPr>
            <w:r>
              <w:tab/>
              <w:t>II.</w:t>
            </w:r>
            <w:r>
              <w:tab/>
              <w:t>Информация о положении женщин в отдельных странах</w:t>
            </w:r>
            <w:r>
              <w:rPr>
                <w:spacing w:val="60"/>
                <w:sz w:val="17"/>
              </w:rPr>
              <w:tab/>
            </w:r>
          </w:p>
        </w:tc>
        <w:tc>
          <w:tcPr>
            <w:tcW w:w="994" w:type="dxa"/>
            <w:vAlign w:val="bottom"/>
          </w:tcPr>
          <w:p w:rsidR="00000000" w:rsidRDefault="00000000">
            <w:pPr>
              <w:spacing w:after="120"/>
              <w:jc w:val="right"/>
            </w:pPr>
            <w:r>
              <w:t>5–49</w:t>
            </w:r>
          </w:p>
        </w:tc>
        <w:tc>
          <w:tcPr>
            <w:tcW w:w="533" w:type="dxa"/>
            <w:vAlign w:val="bottom"/>
          </w:tcPr>
          <w:p w:rsidR="00000000" w:rsidRDefault="00000000">
            <w:pPr>
              <w:spacing w:after="120"/>
              <w:jc w:val="right"/>
            </w:pPr>
            <w:r>
              <w:t>4</w:t>
            </w:r>
          </w:p>
        </w:tc>
      </w:tr>
      <w:tr w:rsidR="00000000">
        <w:tblPrEx>
          <w:tblCellMar>
            <w:top w:w="0" w:type="dxa"/>
            <w:left w:w="0" w:type="dxa"/>
            <w:bottom w:w="0" w:type="dxa"/>
            <w:right w:w="0" w:type="dxa"/>
          </w:tblCellMar>
        </w:tblPrEx>
        <w:trPr>
          <w:cantSplit/>
        </w:trPr>
        <w:tc>
          <w:tcPr>
            <w:tcW w:w="8375" w:type="dxa"/>
            <w:gridSpan w:val="2"/>
          </w:tcPr>
          <w:p w:rsidR="00000000" w:rsidRDefault="00000000">
            <w:pPr>
              <w:tabs>
                <w:tab w:val="right" w:pos="1080"/>
                <w:tab w:val="left" w:pos="1296"/>
                <w:tab w:val="left" w:pos="1728"/>
                <w:tab w:val="right" w:leader="dot" w:pos="8381"/>
              </w:tabs>
              <w:spacing w:after="120"/>
              <w:rPr>
                <w:spacing w:val="60"/>
                <w:sz w:val="17"/>
              </w:rPr>
            </w:pPr>
            <w:r>
              <w:tab/>
            </w:r>
            <w:r>
              <w:tab/>
              <w:t>Бельгия</w:t>
            </w:r>
            <w:r>
              <w:rPr>
                <w:spacing w:val="60"/>
                <w:sz w:val="17"/>
              </w:rPr>
              <w:tab/>
            </w:r>
          </w:p>
        </w:tc>
        <w:tc>
          <w:tcPr>
            <w:tcW w:w="994" w:type="dxa"/>
            <w:vAlign w:val="bottom"/>
          </w:tcPr>
          <w:p w:rsidR="00000000" w:rsidRDefault="00000000">
            <w:pPr>
              <w:spacing w:after="120"/>
              <w:jc w:val="right"/>
            </w:pPr>
            <w:r>
              <w:t>5–13</w:t>
            </w:r>
          </w:p>
        </w:tc>
        <w:tc>
          <w:tcPr>
            <w:tcW w:w="533" w:type="dxa"/>
            <w:vAlign w:val="bottom"/>
          </w:tcPr>
          <w:p w:rsidR="00000000" w:rsidRDefault="00000000">
            <w:pPr>
              <w:spacing w:after="120"/>
              <w:jc w:val="right"/>
            </w:pPr>
            <w:r>
              <w:t>4</w:t>
            </w:r>
          </w:p>
        </w:tc>
      </w:tr>
      <w:tr w:rsidR="00000000">
        <w:tblPrEx>
          <w:tblCellMar>
            <w:top w:w="0" w:type="dxa"/>
            <w:left w:w="0" w:type="dxa"/>
            <w:bottom w:w="0" w:type="dxa"/>
            <w:right w:w="0" w:type="dxa"/>
          </w:tblCellMar>
        </w:tblPrEx>
        <w:trPr>
          <w:cantSplit/>
        </w:trPr>
        <w:tc>
          <w:tcPr>
            <w:tcW w:w="8375" w:type="dxa"/>
            <w:gridSpan w:val="2"/>
          </w:tcPr>
          <w:p w:rsidR="00000000" w:rsidRDefault="00000000">
            <w:pPr>
              <w:tabs>
                <w:tab w:val="right" w:pos="1080"/>
                <w:tab w:val="left" w:pos="1296"/>
                <w:tab w:val="left" w:pos="1728"/>
                <w:tab w:val="right" w:leader="dot" w:pos="8381"/>
              </w:tabs>
              <w:spacing w:after="120"/>
              <w:rPr>
                <w:spacing w:val="60"/>
                <w:sz w:val="17"/>
              </w:rPr>
            </w:pPr>
            <w:r>
              <w:tab/>
            </w:r>
            <w:r>
              <w:tab/>
              <w:t>Дания</w:t>
            </w:r>
            <w:r>
              <w:rPr>
                <w:spacing w:val="60"/>
                <w:sz w:val="17"/>
              </w:rPr>
              <w:tab/>
            </w:r>
          </w:p>
        </w:tc>
        <w:tc>
          <w:tcPr>
            <w:tcW w:w="994" w:type="dxa"/>
            <w:vAlign w:val="bottom"/>
          </w:tcPr>
          <w:p w:rsidR="00000000" w:rsidRDefault="00000000">
            <w:pPr>
              <w:spacing w:after="120"/>
              <w:jc w:val="right"/>
            </w:pPr>
            <w:r>
              <w:t>14–20</w:t>
            </w:r>
          </w:p>
        </w:tc>
        <w:tc>
          <w:tcPr>
            <w:tcW w:w="533" w:type="dxa"/>
            <w:vAlign w:val="bottom"/>
          </w:tcPr>
          <w:p w:rsidR="00000000" w:rsidRDefault="00000000">
            <w:pPr>
              <w:spacing w:after="120"/>
              <w:jc w:val="right"/>
            </w:pPr>
            <w:r>
              <w:t>6</w:t>
            </w:r>
          </w:p>
        </w:tc>
      </w:tr>
      <w:tr w:rsidR="00000000">
        <w:tblPrEx>
          <w:tblCellMar>
            <w:top w:w="0" w:type="dxa"/>
            <w:left w:w="0" w:type="dxa"/>
            <w:bottom w:w="0" w:type="dxa"/>
            <w:right w:w="0" w:type="dxa"/>
          </w:tblCellMar>
        </w:tblPrEx>
        <w:trPr>
          <w:cantSplit/>
        </w:trPr>
        <w:tc>
          <w:tcPr>
            <w:tcW w:w="8375" w:type="dxa"/>
            <w:gridSpan w:val="2"/>
          </w:tcPr>
          <w:p w:rsidR="00000000" w:rsidRDefault="00000000">
            <w:pPr>
              <w:tabs>
                <w:tab w:val="right" w:pos="1080"/>
                <w:tab w:val="left" w:pos="1296"/>
                <w:tab w:val="left" w:pos="1728"/>
                <w:tab w:val="right" w:leader="dot" w:pos="8381"/>
              </w:tabs>
              <w:spacing w:after="120"/>
              <w:rPr>
                <w:spacing w:val="60"/>
                <w:sz w:val="17"/>
              </w:rPr>
            </w:pPr>
            <w:r>
              <w:tab/>
            </w:r>
            <w:r>
              <w:tab/>
              <w:t>Тунис</w:t>
            </w:r>
            <w:r>
              <w:rPr>
                <w:spacing w:val="60"/>
                <w:sz w:val="17"/>
              </w:rPr>
              <w:tab/>
            </w:r>
          </w:p>
        </w:tc>
        <w:tc>
          <w:tcPr>
            <w:tcW w:w="994" w:type="dxa"/>
            <w:vAlign w:val="bottom"/>
          </w:tcPr>
          <w:p w:rsidR="00000000" w:rsidRDefault="00000000">
            <w:pPr>
              <w:spacing w:after="120"/>
              <w:jc w:val="right"/>
            </w:pPr>
            <w:r>
              <w:t>21–27</w:t>
            </w:r>
          </w:p>
        </w:tc>
        <w:tc>
          <w:tcPr>
            <w:tcW w:w="533" w:type="dxa"/>
            <w:vAlign w:val="bottom"/>
          </w:tcPr>
          <w:p w:rsidR="00000000" w:rsidRDefault="00000000">
            <w:pPr>
              <w:spacing w:after="120"/>
              <w:jc w:val="right"/>
            </w:pPr>
            <w:r>
              <w:t>7</w:t>
            </w:r>
          </w:p>
        </w:tc>
      </w:tr>
      <w:tr w:rsidR="00000000">
        <w:tblPrEx>
          <w:tblCellMar>
            <w:top w:w="0" w:type="dxa"/>
            <w:left w:w="0" w:type="dxa"/>
            <w:bottom w:w="0" w:type="dxa"/>
            <w:right w:w="0" w:type="dxa"/>
          </w:tblCellMar>
        </w:tblPrEx>
        <w:trPr>
          <w:cantSplit/>
        </w:trPr>
        <w:tc>
          <w:tcPr>
            <w:tcW w:w="8375" w:type="dxa"/>
            <w:gridSpan w:val="2"/>
          </w:tcPr>
          <w:p w:rsidR="00000000" w:rsidRDefault="00000000">
            <w:pPr>
              <w:tabs>
                <w:tab w:val="right" w:pos="1080"/>
                <w:tab w:val="left" w:pos="1296"/>
                <w:tab w:val="left" w:pos="1728"/>
                <w:tab w:val="right" w:leader="dot" w:pos="8381"/>
              </w:tabs>
              <w:spacing w:after="120"/>
              <w:rPr>
                <w:spacing w:val="60"/>
                <w:sz w:val="17"/>
              </w:rPr>
            </w:pPr>
            <w:r>
              <w:tab/>
            </w:r>
            <w:r>
              <w:tab/>
              <w:t>Украина</w:t>
            </w:r>
            <w:r>
              <w:rPr>
                <w:spacing w:val="60"/>
                <w:sz w:val="17"/>
              </w:rPr>
              <w:tab/>
            </w:r>
          </w:p>
        </w:tc>
        <w:tc>
          <w:tcPr>
            <w:tcW w:w="994" w:type="dxa"/>
            <w:vAlign w:val="bottom"/>
          </w:tcPr>
          <w:p w:rsidR="00000000" w:rsidRDefault="00000000">
            <w:pPr>
              <w:spacing w:after="120"/>
              <w:jc w:val="right"/>
            </w:pPr>
            <w:r>
              <w:t>28–36</w:t>
            </w:r>
          </w:p>
        </w:tc>
        <w:tc>
          <w:tcPr>
            <w:tcW w:w="533" w:type="dxa"/>
            <w:vAlign w:val="bottom"/>
          </w:tcPr>
          <w:p w:rsidR="00000000" w:rsidRDefault="00000000">
            <w:pPr>
              <w:spacing w:after="120"/>
              <w:jc w:val="right"/>
            </w:pPr>
            <w:r>
              <w:t>9</w:t>
            </w:r>
          </w:p>
        </w:tc>
      </w:tr>
      <w:tr w:rsidR="00000000">
        <w:tblPrEx>
          <w:tblCellMar>
            <w:top w:w="0" w:type="dxa"/>
            <w:left w:w="0" w:type="dxa"/>
            <w:bottom w:w="0" w:type="dxa"/>
            <w:right w:w="0" w:type="dxa"/>
          </w:tblCellMar>
        </w:tblPrEx>
        <w:trPr>
          <w:cantSplit/>
        </w:trPr>
        <w:tc>
          <w:tcPr>
            <w:tcW w:w="8375" w:type="dxa"/>
            <w:gridSpan w:val="2"/>
          </w:tcPr>
          <w:p w:rsidR="00000000" w:rsidRDefault="00000000">
            <w:pPr>
              <w:tabs>
                <w:tab w:val="right" w:pos="1080"/>
                <w:tab w:val="left" w:pos="1296"/>
                <w:tab w:val="left" w:pos="1728"/>
                <w:tab w:val="right" w:leader="dot" w:pos="8381"/>
              </w:tabs>
              <w:spacing w:after="120"/>
              <w:rPr>
                <w:spacing w:val="60"/>
                <w:sz w:val="17"/>
              </w:rPr>
            </w:pPr>
            <w:r>
              <w:tab/>
            </w:r>
            <w:r>
              <w:tab/>
              <w:t>Замбия</w:t>
            </w:r>
            <w:r>
              <w:rPr>
                <w:spacing w:val="60"/>
                <w:sz w:val="17"/>
              </w:rPr>
              <w:tab/>
            </w:r>
          </w:p>
        </w:tc>
        <w:tc>
          <w:tcPr>
            <w:tcW w:w="994" w:type="dxa"/>
            <w:vAlign w:val="bottom"/>
          </w:tcPr>
          <w:p w:rsidR="00000000" w:rsidRDefault="00000000">
            <w:pPr>
              <w:spacing w:after="120"/>
              <w:jc w:val="right"/>
            </w:pPr>
            <w:r>
              <w:t>37–49</w:t>
            </w:r>
          </w:p>
        </w:tc>
        <w:tc>
          <w:tcPr>
            <w:tcW w:w="533" w:type="dxa"/>
            <w:vAlign w:val="bottom"/>
          </w:tcPr>
          <w:p w:rsidR="00000000" w:rsidRDefault="00000000">
            <w:pPr>
              <w:spacing w:after="120"/>
              <w:jc w:val="right"/>
            </w:pPr>
            <w:r>
              <w:t>10</w:t>
            </w:r>
          </w:p>
        </w:tc>
      </w:tr>
      <w:tr w:rsidR="00000000">
        <w:tblPrEx>
          <w:tblCellMar>
            <w:top w:w="0" w:type="dxa"/>
            <w:left w:w="0" w:type="dxa"/>
            <w:bottom w:w="0" w:type="dxa"/>
            <w:right w:w="0" w:type="dxa"/>
          </w:tblCellMar>
        </w:tblPrEx>
        <w:trPr>
          <w:cantSplit/>
        </w:trPr>
        <w:tc>
          <w:tcPr>
            <w:tcW w:w="8375" w:type="dxa"/>
            <w:gridSpan w:val="2"/>
          </w:tcPr>
          <w:p w:rsidR="00000000" w:rsidRDefault="00000000">
            <w:pPr>
              <w:tabs>
                <w:tab w:val="right" w:pos="1080"/>
                <w:tab w:val="left" w:pos="1296"/>
                <w:tab w:val="left" w:pos="1728"/>
                <w:tab w:val="left" w:pos="2160"/>
                <w:tab w:val="left" w:pos="2592"/>
                <w:tab w:val="left" w:pos="3024"/>
                <w:tab w:val="left" w:pos="3456"/>
                <w:tab w:val="right" w:leader="dot" w:pos="8381"/>
              </w:tabs>
              <w:spacing w:after="120"/>
              <w:rPr>
                <w:spacing w:val="60"/>
                <w:sz w:val="17"/>
              </w:rPr>
            </w:pPr>
            <w:r>
              <w:tab/>
              <w:t>III.</w:t>
            </w:r>
            <w:r>
              <w:tab/>
              <w:t>Дополнительная информация</w:t>
            </w:r>
            <w:r>
              <w:rPr>
                <w:spacing w:val="60"/>
                <w:sz w:val="17"/>
              </w:rPr>
              <w:tab/>
            </w:r>
          </w:p>
        </w:tc>
        <w:tc>
          <w:tcPr>
            <w:tcW w:w="994" w:type="dxa"/>
            <w:vAlign w:val="bottom"/>
          </w:tcPr>
          <w:p w:rsidR="00000000" w:rsidRDefault="00000000">
            <w:pPr>
              <w:spacing w:after="120"/>
              <w:jc w:val="right"/>
            </w:pPr>
            <w:r>
              <w:t>50–52</w:t>
            </w:r>
          </w:p>
        </w:tc>
        <w:tc>
          <w:tcPr>
            <w:tcW w:w="533" w:type="dxa"/>
            <w:vAlign w:val="bottom"/>
          </w:tcPr>
          <w:p w:rsidR="00000000" w:rsidRDefault="00000000">
            <w:pPr>
              <w:spacing w:after="120"/>
              <w:jc w:val="right"/>
            </w:pPr>
            <w:r>
              <w:t>14</w:t>
            </w:r>
          </w:p>
        </w:tc>
      </w:tr>
    </w:tbl>
    <w:p w:rsidR="00000000" w:rsidRDefault="00000000">
      <w:pPr>
        <w:pStyle w:val="SingleTxt"/>
      </w:pP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tab/>
        <w:t>I.</w:t>
      </w:r>
      <w:r>
        <w:tab/>
        <w:t>Введение</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1.</w:t>
      </w:r>
      <w:r>
        <w:tab/>
        <w:t>Положения статьи 11 Конвенции о ликвидации всех форм дискриминации в отношении женщин нашли свое отражение в целом ряде конвенций Межд</w:t>
      </w:r>
      <w:r>
        <w:t>у</w:t>
      </w:r>
      <w:r>
        <w:t>народной организации труда (МОТ). Информация, содержащаяся в настоящем докладе, имеет отношение главным образом к следующим из 184 конвенций, принятых до настоящего времени:</w:t>
      </w:r>
    </w:p>
    <w:p w:rsidR="00000000" w:rsidRDefault="00000000">
      <w:pPr>
        <w:pStyle w:val="SingleTxt"/>
        <w:tabs>
          <w:tab w:val="right" w:pos="1685"/>
        </w:tabs>
        <w:ind w:left="1742" w:hanging="475"/>
      </w:pPr>
      <w:r>
        <w:tab/>
        <w:t>•</w:t>
      </w:r>
      <w:r>
        <w:tab/>
        <w:t>Конвенция о равном вознаграждении, 1951 год (№ 100), которую ратиф</w:t>
      </w:r>
      <w:r>
        <w:t>и</w:t>
      </w:r>
      <w:r>
        <w:t>цировали 156 государств-членов;</w:t>
      </w:r>
    </w:p>
    <w:p w:rsidR="00000000" w:rsidRDefault="00000000">
      <w:pPr>
        <w:pStyle w:val="SingleTxt"/>
        <w:tabs>
          <w:tab w:val="right" w:pos="1685"/>
        </w:tabs>
        <w:ind w:left="1742" w:hanging="475"/>
      </w:pPr>
      <w:r>
        <w:tab/>
        <w:t>•</w:t>
      </w:r>
      <w:r>
        <w:tab/>
        <w:t>Конвенция о дискриминации в области труда и занятий, 1958 год (№ 111), которую р</w:t>
      </w:r>
      <w:r>
        <w:t>а</w:t>
      </w:r>
      <w:r>
        <w:t>тифицировали 154 государства-члена;</w:t>
      </w:r>
    </w:p>
    <w:p w:rsidR="00000000" w:rsidRDefault="00000000">
      <w:pPr>
        <w:pStyle w:val="SingleTxt"/>
        <w:tabs>
          <w:tab w:val="right" w:pos="1685"/>
        </w:tabs>
        <w:ind w:left="1742" w:hanging="475"/>
      </w:pPr>
      <w:r>
        <w:tab/>
        <w:t>•</w:t>
      </w:r>
      <w:r>
        <w:tab/>
        <w:t>Конвенция о трудящихся с семейными обязанностями, 1981 год (№ 156), которую р</w:t>
      </w:r>
      <w:r>
        <w:t>а</w:t>
      </w:r>
      <w:r>
        <w:t>тифицировали 33 государства-члена.</w:t>
      </w:r>
    </w:p>
    <w:p w:rsidR="00000000" w:rsidRDefault="00000000">
      <w:pPr>
        <w:pStyle w:val="SingleTxt"/>
        <w:tabs>
          <w:tab w:val="clear" w:pos="6538"/>
          <w:tab w:val="clear" w:pos="7013"/>
          <w:tab w:val="clear" w:pos="7488"/>
          <w:tab w:val="clear" w:pos="7978"/>
          <w:tab w:val="clear" w:pos="8453"/>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2.</w:t>
      </w:r>
      <w:r>
        <w:tab/>
        <w:t>Когда это уместно, делается ссылка на другие конвенции, касающиеся в</w:t>
      </w:r>
      <w:r>
        <w:t>о</w:t>
      </w:r>
      <w:r>
        <w:t>просов занятости женщин, в том числе:</w:t>
      </w:r>
    </w:p>
    <w:p w:rsidR="00000000" w:rsidRDefault="00000000">
      <w:pPr>
        <w:pStyle w:val="SingleTxt"/>
        <w:spacing w:after="0" w:line="120" w:lineRule="exact"/>
        <w:rPr>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Принудительный труд</w:t>
      </w:r>
    </w:p>
    <w:p w:rsidR="00000000" w:rsidRDefault="00000000">
      <w:pPr>
        <w:pStyle w:val="SingleTxt"/>
        <w:spacing w:after="0" w:line="120" w:lineRule="exact"/>
        <w:rPr>
          <w:sz w:val="10"/>
        </w:rPr>
      </w:pPr>
    </w:p>
    <w:p w:rsidR="00000000" w:rsidRDefault="00000000">
      <w:pPr>
        <w:pStyle w:val="SingleTxt"/>
        <w:tabs>
          <w:tab w:val="right" w:pos="1685"/>
        </w:tabs>
        <w:ind w:left="1742" w:hanging="475"/>
      </w:pPr>
      <w:r>
        <w:tab/>
        <w:t>•</w:t>
      </w:r>
      <w:r>
        <w:tab/>
        <w:t>Конвенция о принудительном труде, 1930 год (№ 29)</w:t>
      </w:r>
    </w:p>
    <w:p w:rsidR="00000000" w:rsidRDefault="00000000">
      <w:pPr>
        <w:pStyle w:val="SingleTxt"/>
        <w:tabs>
          <w:tab w:val="right" w:pos="1685"/>
        </w:tabs>
        <w:ind w:left="1742" w:hanging="475"/>
      </w:pPr>
      <w:r>
        <w:tab/>
        <w:t>•</w:t>
      </w:r>
      <w:r>
        <w:tab/>
        <w:t>Конвенция об упразднении принудительного труда, 1957 год (№ 105)</w:t>
      </w:r>
    </w:p>
    <w:p w:rsidR="00000000" w:rsidRDefault="00000000">
      <w:pPr>
        <w:pStyle w:val="SingleTxt"/>
        <w:spacing w:after="0" w:line="120" w:lineRule="exact"/>
        <w:rPr>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Детский труд</w:t>
      </w:r>
    </w:p>
    <w:p w:rsidR="00000000" w:rsidRDefault="00000000">
      <w:pPr>
        <w:pStyle w:val="SingleTxt"/>
        <w:spacing w:after="0" w:line="120" w:lineRule="exact"/>
        <w:rPr>
          <w:sz w:val="10"/>
        </w:rPr>
      </w:pPr>
    </w:p>
    <w:p w:rsidR="00000000" w:rsidRDefault="00000000">
      <w:pPr>
        <w:pStyle w:val="SingleTxt"/>
        <w:tabs>
          <w:tab w:val="right" w:pos="1685"/>
        </w:tabs>
        <w:ind w:left="1742" w:hanging="475"/>
      </w:pPr>
      <w:r>
        <w:tab/>
        <w:t>•</w:t>
      </w:r>
      <w:r>
        <w:tab/>
        <w:t>Конвенция о минимальном возрасте, 1973 год (№ 138)</w:t>
      </w:r>
    </w:p>
    <w:p w:rsidR="00000000" w:rsidRDefault="00000000">
      <w:pPr>
        <w:pStyle w:val="SingleTxt"/>
        <w:tabs>
          <w:tab w:val="right" w:pos="1685"/>
        </w:tabs>
        <w:ind w:left="1742" w:hanging="475"/>
      </w:pPr>
      <w:r>
        <w:tab/>
        <w:t>•</w:t>
      </w:r>
      <w:r>
        <w:tab/>
        <w:t>Конвенция о наихудших формах детского труда, 1999 год (№ 182)</w:t>
      </w:r>
    </w:p>
    <w:p w:rsidR="00000000" w:rsidRDefault="00000000">
      <w:pPr>
        <w:pStyle w:val="SingleTxt"/>
        <w:spacing w:after="0" w:line="120" w:lineRule="exact"/>
        <w:rPr>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Свобода ассоциации</w:t>
      </w:r>
    </w:p>
    <w:p w:rsidR="00000000" w:rsidRDefault="00000000">
      <w:pPr>
        <w:pStyle w:val="SingleTxt"/>
        <w:spacing w:after="0" w:line="120" w:lineRule="exact"/>
        <w:rPr>
          <w:sz w:val="10"/>
        </w:rPr>
      </w:pPr>
    </w:p>
    <w:p w:rsidR="00000000" w:rsidRDefault="00000000">
      <w:pPr>
        <w:pStyle w:val="SingleTxt"/>
        <w:tabs>
          <w:tab w:val="right" w:pos="1685"/>
        </w:tabs>
        <w:ind w:left="1742" w:hanging="475"/>
      </w:pPr>
      <w:r>
        <w:tab/>
        <w:t>•</w:t>
      </w:r>
      <w:r>
        <w:tab/>
        <w:t>Конвенция о свободе ассоциации и защите права на организацию, 1948 год (№ 87)</w:t>
      </w:r>
    </w:p>
    <w:p w:rsidR="00000000" w:rsidRDefault="00000000">
      <w:pPr>
        <w:pStyle w:val="SingleTxt"/>
        <w:tabs>
          <w:tab w:val="right" w:pos="1685"/>
        </w:tabs>
        <w:ind w:left="1742" w:hanging="475"/>
      </w:pPr>
      <w:r>
        <w:tab/>
        <w:t>•</w:t>
      </w:r>
      <w:r>
        <w:tab/>
        <w:t>Конвенция о праве на организацию и ведение коллективных переговоров, 1949 год (№ 98)</w:t>
      </w:r>
    </w:p>
    <w:p w:rsidR="00000000" w:rsidRDefault="00000000">
      <w:pPr>
        <w:pStyle w:val="SingleTxt"/>
        <w:spacing w:after="0" w:line="120" w:lineRule="exact"/>
        <w:rPr>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Политика в области занятости</w:t>
      </w:r>
    </w:p>
    <w:p w:rsidR="00000000" w:rsidRDefault="00000000">
      <w:pPr>
        <w:pStyle w:val="SingleTxt"/>
        <w:spacing w:after="0" w:line="120" w:lineRule="exact"/>
        <w:rPr>
          <w:sz w:val="10"/>
        </w:rPr>
      </w:pPr>
    </w:p>
    <w:p w:rsidR="00000000" w:rsidRDefault="00000000">
      <w:pPr>
        <w:pStyle w:val="SingleTxt"/>
        <w:tabs>
          <w:tab w:val="right" w:pos="1685"/>
        </w:tabs>
        <w:ind w:left="1742" w:hanging="475"/>
      </w:pPr>
      <w:r>
        <w:tab/>
        <w:t>•</w:t>
      </w:r>
      <w:r>
        <w:tab/>
        <w:t>Конвенция о политике в области занятости, 1964 год (№ 122)</w:t>
      </w:r>
    </w:p>
    <w:p w:rsidR="00000000" w:rsidRDefault="00000000">
      <w:pPr>
        <w:pStyle w:val="SingleTxt"/>
        <w:tabs>
          <w:tab w:val="right" w:pos="1685"/>
        </w:tabs>
        <w:ind w:left="1742" w:hanging="475"/>
      </w:pPr>
      <w:r>
        <w:tab/>
        <w:t>•</w:t>
      </w:r>
      <w:r>
        <w:tab/>
        <w:t>Конвенция о развитии людских ресурсов, 1975 год (№ 142)</w:t>
      </w:r>
    </w:p>
    <w:p w:rsidR="00000000" w:rsidRDefault="00000000">
      <w:pPr>
        <w:pStyle w:val="SingleTxt"/>
        <w:spacing w:after="0" w:line="120" w:lineRule="exact"/>
        <w:rPr>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Охрана материнства</w:t>
      </w:r>
    </w:p>
    <w:p w:rsidR="00000000" w:rsidRDefault="00000000">
      <w:pPr>
        <w:pStyle w:val="SingleTxt"/>
        <w:spacing w:after="0" w:line="120" w:lineRule="exact"/>
        <w:rPr>
          <w:sz w:val="10"/>
        </w:rPr>
      </w:pPr>
    </w:p>
    <w:p w:rsidR="00000000" w:rsidRDefault="00000000">
      <w:pPr>
        <w:pStyle w:val="SingleTxt"/>
        <w:tabs>
          <w:tab w:val="right" w:pos="1685"/>
        </w:tabs>
        <w:ind w:left="1742" w:hanging="475"/>
      </w:pPr>
      <w:r>
        <w:tab/>
        <w:t>•</w:t>
      </w:r>
      <w:r>
        <w:tab/>
        <w:t>Конвенция об охране материнства, 1919 год (№ 3)</w:t>
      </w:r>
    </w:p>
    <w:p w:rsidR="00000000" w:rsidRDefault="00000000">
      <w:pPr>
        <w:pStyle w:val="SingleTxt"/>
        <w:tabs>
          <w:tab w:val="right" w:pos="1685"/>
        </w:tabs>
        <w:ind w:left="1742" w:hanging="475"/>
      </w:pPr>
      <w:r>
        <w:tab/>
        <w:t>•</w:t>
      </w:r>
      <w:r>
        <w:tab/>
        <w:t>Конвенция об охране материнства (пересмотренная), 1952 год (№ 103)</w:t>
      </w:r>
    </w:p>
    <w:p w:rsidR="00000000" w:rsidRDefault="00000000">
      <w:pPr>
        <w:pStyle w:val="SingleTxt"/>
        <w:spacing w:after="0" w:line="120" w:lineRule="exact"/>
        <w:rPr>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Ночной труд</w:t>
      </w:r>
    </w:p>
    <w:p w:rsidR="00000000" w:rsidRDefault="00000000">
      <w:pPr>
        <w:pStyle w:val="SingleTxt"/>
        <w:spacing w:after="0" w:line="120" w:lineRule="exact"/>
        <w:rPr>
          <w:sz w:val="10"/>
        </w:rPr>
      </w:pPr>
    </w:p>
    <w:p w:rsidR="00000000" w:rsidRDefault="00000000">
      <w:pPr>
        <w:pStyle w:val="SingleTxt"/>
        <w:tabs>
          <w:tab w:val="right" w:pos="1685"/>
        </w:tabs>
        <w:ind w:left="1742" w:hanging="475"/>
      </w:pPr>
      <w:r>
        <w:tab/>
        <w:t>•</w:t>
      </w:r>
      <w:r>
        <w:tab/>
        <w:t>Конвенция о ночном труде женщин (пересмотренная), 1948 год (№ 89) (и Протокол к ней)</w:t>
      </w:r>
    </w:p>
    <w:p w:rsidR="00000000" w:rsidRDefault="00000000">
      <w:pPr>
        <w:pStyle w:val="SingleTxt"/>
        <w:tabs>
          <w:tab w:val="right" w:pos="1685"/>
        </w:tabs>
        <w:ind w:left="1742" w:hanging="475"/>
      </w:pPr>
      <w:r>
        <w:tab/>
        <w:t>•</w:t>
      </w:r>
      <w:r>
        <w:tab/>
        <w:t>Конвенция о ночном труде, 1990 год (№ 170)</w:t>
      </w: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Подземные работы</w:t>
      </w:r>
    </w:p>
    <w:p w:rsidR="00000000" w:rsidRDefault="00000000">
      <w:pPr>
        <w:pStyle w:val="SingleTxt"/>
        <w:spacing w:after="0" w:line="120" w:lineRule="exact"/>
        <w:rPr>
          <w:sz w:val="10"/>
        </w:rPr>
      </w:pPr>
    </w:p>
    <w:p w:rsidR="00000000" w:rsidRDefault="00000000">
      <w:pPr>
        <w:pStyle w:val="SingleTxt"/>
        <w:tabs>
          <w:tab w:val="right" w:pos="1685"/>
        </w:tabs>
        <w:ind w:left="1742" w:hanging="475"/>
      </w:pPr>
      <w:r>
        <w:tab/>
        <w:t>•</w:t>
      </w:r>
      <w:r>
        <w:tab/>
        <w:t>Конвенция о применении труда женщин на подземных работах, 1935 год (№ 45)</w:t>
      </w:r>
    </w:p>
    <w:p w:rsidR="00000000" w:rsidRDefault="00000000">
      <w:pPr>
        <w:pStyle w:val="SingleTxt"/>
        <w:spacing w:after="0" w:line="120" w:lineRule="exact"/>
        <w:rPr>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Работа неполный рабочий день</w:t>
      </w:r>
    </w:p>
    <w:p w:rsidR="00000000" w:rsidRDefault="00000000">
      <w:pPr>
        <w:pStyle w:val="SingleTxt"/>
        <w:spacing w:after="0" w:line="120" w:lineRule="exact"/>
        <w:rPr>
          <w:sz w:val="10"/>
        </w:rPr>
      </w:pPr>
    </w:p>
    <w:p w:rsidR="00000000" w:rsidRDefault="00000000">
      <w:pPr>
        <w:pStyle w:val="SingleTxt"/>
        <w:tabs>
          <w:tab w:val="right" w:pos="1685"/>
        </w:tabs>
        <w:ind w:left="1742" w:hanging="475"/>
      </w:pPr>
      <w:r>
        <w:tab/>
        <w:t>•</w:t>
      </w:r>
      <w:r>
        <w:tab/>
        <w:t>Конвенция о работе на условиях неполного рабочего времени, 1994 год (№ 175)</w:t>
      </w:r>
    </w:p>
    <w:p w:rsidR="00000000" w:rsidRDefault="00000000">
      <w:pPr>
        <w:pStyle w:val="SingleTxt"/>
        <w:spacing w:after="0" w:line="120" w:lineRule="exact"/>
        <w:rPr>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Работа на дому</w:t>
      </w:r>
    </w:p>
    <w:p w:rsidR="00000000" w:rsidRDefault="00000000">
      <w:pPr>
        <w:pStyle w:val="SingleTxt"/>
        <w:spacing w:after="0" w:line="120" w:lineRule="exact"/>
        <w:rPr>
          <w:sz w:val="10"/>
        </w:rPr>
      </w:pPr>
    </w:p>
    <w:p w:rsidR="00000000" w:rsidRDefault="00000000">
      <w:pPr>
        <w:pStyle w:val="SingleTxt"/>
        <w:tabs>
          <w:tab w:val="right" w:pos="1685"/>
        </w:tabs>
        <w:ind w:left="1742" w:hanging="475"/>
      </w:pPr>
      <w:r>
        <w:tab/>
        <w:t>•</w:t>
      </w:r>
      <w:r>
        <w:tab/>
        <w:t>Конвенция о надомном труде, 1996 год (№ 177)</w:t>
      </w:r>
    </w:p>
    <w:p w:rsidR="00000000" w:rsidRDefault="00000000">
      <w:pPr>
        <w:pStyle w:val="SingleTxt"/>
        <w:tabs>
          <w:tab w:val="clear" w:pos="6538"/>
          <w:tab w:val="clear" w:pos="7013"/>
          <w:tab w:val="clear" w:pos="7488"/>
          <w:tab w:val="clear" w:pos="7978"/>
          <w:tab w:val="clear" w:pos="8453"/>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3.</w:t>
      </w:r>
      <w:r>
        <w:tab/>
        <w:t>Надзор за применением положений ратифицированных конвенций осущ</w:t>
      </w:r>
      <w:r>
        <w:t>е</w:t>
      </w:r>
      <w:r>
        <w:t>ствляется в МОТ Комитетом экспертов по применению конвенций и рекоме</w:t>
      </w:r>
      <w:r>
        <w:t>н</w:t>
      </w:r>
      <w:r>
        <w:t>даций (КЭПКР), который является органом независимых экспертов из разли</w:t>
      </w:r>
      <w:r>
        <w:t>ч</w:t>
      </w:r>
      <w:r>
        <w:t>ных стран мира, проводящим свои заседания на ежегодной основе. Содерж</w:t>
      </w:r>
      <w:r>
        <w:t>а</w:t>
      </w:r>
      <w:r>
        <w:t>щаяся в части II настоящего доклада информация состоит из замечаний и пр</w:t>
      </w:r>
      <w:r>
        <w:t>я</w:t>
      </w:r>
      <w:r>
        <w:t>мых запросов этого Комитета. Замечания — это комментарии, публикуемые в ежегодном докладе КЭПКР, который издается на английском, испанском и французском языках и представляется Международной конференции труда. Прямые запросы (на английском и французском языках, а в случае испано</w:t>
      </w:r>
      <w:r>
        <w:t>-</w:t>
      </w:r>
      <w:r>
        <w:t>язычных стран — еще и на испанском языке) не публикуются, но предаются гласности. Позднее они вносятся в базу данных МОТ о деятельности по надз</w:t>
      </w:r>
      <w:r>
        <w:t>о</w:t>
      </w:r>
      <w:r>
        <w:t>ру (ILOLEX) (с ними можно ознакомиться в интерактивном режиме, либо п</w:t>
      </w:r>
      <w:r>
        <w:t>о</w:t>
      </w:r>
      <w:r>
        <w:t>лучить их на КД</w:t>
      </w:r>
      <w:r>
        <w:noBreakHyphen/>
        <w:t>ПЗУ).</w:t>
      </w:r>
    </w:p>
    <w:p w:rsidR="00000000" w:rsidRDefault="00000000">
      <w:pPr>
        <w:pStyle w:val="SingleTxt"/>
        <w:tabs>
          <w:tab w:val="clear" w:pos="6538"/>
          <w:tab w:val="clear" w:pos="7013"/>
          <w:tab w:val="clear" w:pos="7488"/>
          <w:tab w:val="clear" w:pos="7978"/>
          <w:tab w:val="clear" w:pos="8453"/>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4.</w:t>
      </w:r>
      <w:r>
        <w:tab/>
        <w:t>Кроме того, в части III содержится дополнительная информация о соо</w:t>
      </w:r>
      <w:r>
        <w:t>т</w:t>
      </w:r>
      <w:r>
        <w:t>ветствующих странах.</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II.</w:t>
      </w:r>
      <w:r>
        <w:tab/>
        <w:t>Информация о положении женщин в отдельных странах</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Бельгия</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Позиция в отношении конвенций МОТ</w:t>
      </w:r>
    </w:p>
    <w:p w:rsidR="00000000" w:rsidRDefault="00000000">
      <w:pPr>
        <w:pStyle w:val="SingleTxt"/>
        <w:spacing w:after="0" w:line="120" w:lineRule="exact"/>
        <w:rPr>
          <w:sz w:val="10"/>
        </w:rPr>
      </w:pPr>
    </w:p>
    <w:p w:rsidR="00000000" w:rsidRDefault="00000000">
      <w:pPr>
        <w:pStyle w:val="SingleTxt"/>
      </w:pPr>
      <w:r>
        <w:t>5.</w:t>
      </w:r>
      <w:r>
        <w:tab/>
        <w:t>Из соответствующих конвенций МОТ Бельгия ратифицировала конве</w:t>
      </w:r>
      <w:r>
        <w:t>н</w:t>
      </w:r>
      <w:r>
        <w:t>ции №№ 100 и 111. Она также ратифицировала конвенции №№ 29, 87, 98, 105, 122 и 138.</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Комментарии надзорных органов МОТ</w:t>
      </w:r>
    </w:p>
    <w:p w:rsidR="00000000" w:rsidRDefault="00000000">
      <w:pPr>
        <w:pStyle w:val="SingleTxt"/>
        <w:spacing w:after="0" w:line="120" w:lineRule="exact"/>
        <w:rPr>
          <w:sz w:val="10"/>
        </w:rPr>
      </w:pPr>
    </w:p>
    <w:p w:rsidR="00000000" w:rsidRDefault="00000000">
      <w:pPr>
        <w:pStyle w:val="SingleTxt"/>
      </w:pPr>
      <w:r>
        <w:t>6.</w:t>
      </w:r>
      <w:r>
        <w:tab/>
        <w:t>Находящиеся на рассмотрении комментарии Комитета экспертов МОТ по вопросам, относящимся к положениям Конвенции, касаются следующего:</w:t>
      </w:r>
    </w:p>
    <w:p w:rsidR="00000000" w:rsidRDefault="00000000">
      <w:pPr>
        <w:pStyle w:val="SingleTxt"/>
        <w:spacing w:after="0" w:line="120" w:lineRule="exact"/>
        <w:rPr>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Конвенция № 100</w:t>
      </w:r>
    </w:p>
    <w:p w:rsidR="00000000" w:rsidRDefault="00000000">
      <w:pPr>
        <w:pStyle w:val="SingleTxt"/>
        <w:spacing w:after="0" w:line="120" w:lineRule="exact"/>
        <w:rPr>
          <w:sz w:val="10"/>
        </w:rPr>
      </w:pPr>
    </w:p>
    <w:p w:rsidR="00000000" w:rsidRDefault="00000000">
      <w:pPr>
        <w:pStyle w:val="SingleTxt"/>
      </w:pPr>
      <w:r>
        <w:t>7.</w:t>
      </w:r>
      <w:r>
        <w:tab/>
        <w:t>В своем прямом запросе от 1998 года Комитет отметил, что исследование, проведенное по поручению министерства труда и занятости, показало, что из 141 существующей в Бельгии секторальной классификации профессий лишь 16 процентов имели аналитическую основу. Неаналитические системы класс</w:t>
      </w:r>
      <w:r>
        <w:t>и</w:t>
      </w:r>
      <w:r>
        <w:t>фикации не были признаны нейтральными в плане гендерного подхода. В и</w:t>
      </w:r>
      <w:r>
        <w:t>с</w:t>
      </w:r>
      <w:r>
        <w:t>следовании был сделан общий вывод о срочной необходимости модернизации систем секторальной классификации. Комитет просил правительство предст</w:t>
      </w:r>
      <w:r>
        <w:t>а</w:t>
      </w:r>
      <w:r>
        <w:t>вить информацию о том, как поощряется использование беспристрастных ан</w:t>
      </w:r>
      <w:r>
        <w:t>а</w:t>
      </w:r>
      <w:r>
        <w:t>литических систем классиф</w:t>
      </w:r>
      <w:r>
        <w:t>и</w:t>
      </w:r>
      <w:r>
        <w:t>кации.</w:t>
      </w:r>
    </w:p>
    <w:p w:rsidR="00000000" w:rsidRDefault="00000000">
      <w:pPr>
        <w:pStyle w:val="SingleTxt"/>
      </w:pPr>
      <w:r>
        <w:t>8.</w:t>
      </w:r>
      <w:r>
        <w:tab/>
        <w:t>В докладе правительства 1999 года о федеральной политике в области з</w:t>
      </w:r>
      <w:r>
        <w:t>а</w:t>
      </w:r>
      <w:r>
        <w:t>нятости указывается, что между мужчинами и женщинами сохраняется нер</w:t>
      </w:r>
      <w:r>
        <w:t>а</w:t>
      </w:r>
      <w:r>
        <w:t>венство в оплате труда, и это в значительной степени связано с применяемыми системами классификации. Министр по вопросам равенства возможностей просил Национальный совет по трудовым вопросам проконсультировать его по ряду мер. Социальные партнеры обязались пересмотреть системы классифик</w:t>
      </w:r>
      <w:r>
        <w:t>а</w:t>
      </w:r>
      <w:r>
        <w:t>ции профессий в тех секторах, где эти системы приводят к существованию н</w:t>
      </w:r>
      <w:r>
        <w:t>е</w:t>
      </w:r>
      <w:r>
        <w:t>равного вознаграждения мужчин и женщин, и заменить их аналитическими и нейтральными в гендерном отношении сист</w:t>
      </w:r>
      <w:r>
        <w:t>е</w:t>
      </w:r>
      <w:r>
        <w:t>мами.</w:t>
      </w:r>
    </w:p>
    <w:p w:rsidR="00000000" w:rsidRDefault="00000000">
      <w:pPr>
        <w:pStyle w:val="SingleTxt"/>
        <w:rPr>
          <w:i/>
        </w:rPr>
      </w:pPr>
      <w:r>
        <w:t>9.</w:t>
      </w:r>
      <w:r>
        <w:tab/>
      </w:r>
      <w:r>
        <w:rPr>
          <w:i/>
        </w:rPr>
        <w:t>Доклад правительства об осуществлении Конвенции был получен и ра</w:t>
      </w:r>
      <w:r>
        <w:rPr>
          <w:i/>
        </w:rPr>
        <w:t>с</w:t>
      </w:r>
      <w:r>
        <w:rPr>
          <w:i/>
        </w:rPr>
        <w:t>смотрен Комитетом экспертов на его сессии в ноябре–декабре 2001 года.</w:t>
      </w:r>
    </w:p>
    <w:p w:rsidR="00000000" w:rsidRDefault="00000000">
      <w:pPr>
        <w:pStyle w:val="SingleTxt"/>
        <w:spacing w:after="0" w:line="120" w:lineRule="exact"/>
        <w:rPr>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1267"/>
      </w:pPr>
      <w:r>
        <w:tab/>
      </w:r>
      <w:r>
        <w:tab/>
        <w:t>Конвенция № 111</w:t>
      </w:r>
    </w:p>
    <w:p w:rsidR="00000000" w:rsidRDefault="00000000">
      <w:pPr>
        <w:pStyle w:val="SingleTxt"/>
        <w:spacing w:after="0" w:line="120" w:lineRule="exact"/>
        <w:rPr>
          <w:sz w:val="10"/>
        </w:rPr>
      </w:pPr>
    </w:p>
    <w:p w:rsidR="00000000" w:rsidRDefault="00000000">
      <w:pPr>
        <w:pStyle w:val="SingleTxt"/>
      </w:pPr>
      <w:r>
        <w:t>10.</w:t>
      </w:r>
      <w:r>
        <w:tab/>
        <w:t>В своем замечании от 2000 года Комитет принял к сведению принятие з</w:t>
      </w:r>
      <w:r>
        <w:t>а</w:t>
      </w:r>
      <w:r>
        <w:t>кона от 7 мая 1999 года о равном отношении к мужчинам и женщинам. Он с интересом отметил принятие этого нового закона, который вносит целый ряд нововведений в существующее законодательство. Он отметил, что этот закон включает две европейские директивы об одинаковом режиме социального обеспечения в конкретных профессиях (96/97/СЕ) и о бремени доказывания в случаях дискриминации по признаку пола (97/80/СЕ). Он также отметил, что в новом законе вводится понятие сексуального домогательства, которое содержит четкие определения понятий «равного обращения», «прямой дискриминации» и «косвенной дискриминации», и рассматривается вопрос о классификации профессий с целью ликвидировать различия в заработной плате между мужч</w:t>
      </w:r>
      <w:r>
        <w:t>и</w:t>
      </w:r>
      <w:r>
        <w:t>нами и женщинами.</w:t>
      </w:r>
    </w:p>
    <w:p w:rsidR="00000000" w:rsidRDefault="00000000">
      <w:pPr>
        <w:pStyle w:val="SingleTxt"/>
        <w:rPr>
          <w:i/>
        </w:rPr>
      </w:pPr>
      <w:r>
        <w:t>11.</w:t>
      </w:r>
      <w:r>
        <w:tab/>
      </w:r>
      <w:r>
        <w:rPr>
          <w:i/>
        </w:rPr>
        <w:t>Доклад правительства об осуществлении Конвенции был получен и будет рассмотрен Комитетом экспертов на его следующей сессии в ноябре–декабре 2002 года.</w:t>
      </w:r>
    </w:p>
    <w:p w:rsidR="00000000" w:rsidRDefault="00000000">
      <w:pPr>
        <w:pStyle w:val="SingleTxt"/>
        <w:spacing w:after="0" w:line="120" w:lineRule="exact"/>
        <w:rPr>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Конвенция № 122</w:t>
      </w:r>
    </w:p>
    <w:p w:rsidR="00000000" w:rsidRDefault="00000000">
      <w:pPr>
        <w:pStyle w:val="SingleTxt"/>
        <w:spacing w:after="0" w:line="120" w:lineRule="exact"/>
        <w:rPr>
          <w:sz w:val="10"/>
        </w:rPr>
      </w:pPr>
    </w:p>
    <w:p w:rsidR="00000000" w:rsidRDefault="00000000">
      <w:pPr>
        <w:pStyle w:val="SingleTxt"/>
      </w:pPr>
      <w:r>
        <w:t>12.</w:t>
      </w:r>
      <w:r>
        <w:tab/>
        <w:t>В своем замечании от 1999 года Комитет отметил, что коэффициент зан</w:t>
      </w:r>
      <w:r>
        <w:t>я</w:t>
      </w:r>
      <w:r>
        <w:t>тости увеличился с 54,7 процента в 1990 году до приблизительно 57 процентов в 1997 году, главным образом благодаря повышению занятости женщин, раб</w:t>
      </w:r>
      <w:r>
        <w:t>о</w:t>
      </w:r>
      <w:r>
        <w:t>тающих неполный рабочий день. Правительство пояснило, что этот коэффиц</w:t>
      </w:r>
      <w:r>
        <w:t>и</w:t>
      </w:r>
      <w:r>
        <w:t>ент по-прежнему ниже среднеевропейского показателя, поскольку коэффиц</w:t>
      </w:r>
      <w:r>
        <w:t>и</w:t>
      </w:r>
      <w:r>
        <w:t>ент лиц с высшим образованием по-прежнему остается выше среднего, а во</w:t>
      </w:r>
      <w:r>
        <w:t>з</w:t>
      </w:r>
      <w:r>
        <w:t>раст выхода на пенсию — более низким. Коэффициент участия составил 58,6 процента в 1990 году, но увеличился до 62,8 процента в 1996 году, вновь главным образом благодаря увеличению числа женщин, пополнивших рабочую силу. Хотя это ниже среднеевропейского показателя, правительство указало, что темпы роста выше среднего. По состоянию на 1996 год 15,4 процента тр</w:t>
      </w:r>
      <w:r>
        <w:t>у</w:t>
      </w:r>
      <w:r>
        <w:t>дящихся были работниками свободных профессий, а в 1997 году 14,7 процента работали неполный рабочий день. Коэффициент безработицы несколько уменьшился — с 10 процентов в 1994 году до 9,2 процента в 1997 году. Согла</w:t>
      </w:r>
      <w:r>
        <w:t>с</w:t>
      </w:r>
      <w:r>
        <w:t>но Евростату, коэффициент безработицы составлял 9 процентов по состоянию на май 1999 года. Комитет отметил, что, согласно страновому докладу ОЭСР по Бельгии, женщины составляют свыше 80 процентов лиц, работающих непо</w:t>
      </w:r>
      <w:r>
        <w:t>л</w:t>
      </w:r>
      <w:r>
        <w:t>ный рабочий день, и приблизительно 25 процентов женщин работают непо</w:t>
      </w:r>
      <w:r>
        <w:t>л</w:t>
      </w:r>
      <w:r>
        <w:t>ный р</w:t>
      </w:r>
      <w:r>
        <w:t>а</w:t>
      </w:r>
      <w:r>
        <w:t>бочий день помимо своей воли.</w:t>
      </w:r>
    </w:p>
    <w:p w:rsidR="00000000" w:rsidRDefault="00000000">
      <w:pPr>
        <w:pStyle w:val="SingleTxt"/>
      </w:pPr>
      <w:r>
        <w:t>13.</w:t>
      </w:r>
      <w:r>
        <w:tab/>
      </w:r>
      <w:r>
        <w:rPr>
          <w:i/>
        </w:rPr>
        <w:t>Доклад правительства об осуществлении Конвенции был получен и ра</w:t>
      </w:r>
      <w:r>
        <w:rPr>
          <w:i/>
        </w:rPr>
        <w:t>с</w:t>
      </w:r>
      <w:r>
        <w:rPr>
          <w:i/>
        </w:rPr>
        <w:t>смотрен Комитетом экспертов на его сессии в ноябре–декабре 2001 года.</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Дания</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Позиция в отношении конвенций МОТ</w:t>
      </w:r>
    </w:p>
    <w:p w:rsidR="00000000" w:rsidRDefault="00000000">
      <w:pPr>
        <w:pStyle w:val="SingleTxt"/>
        <w:spacing w:after="0" w:line="120" w:lineRule="exact"/>
        <w:rPr>
          <w:sz w:val="10"/>
        </w:rPr>
      </w:pPr>
    </w:p>
    <w:p w:rsidR="00000000" w:rsidRDefault="00000000">
      <w:pPr>
        <w:pStyle w:val="SingleTxt"/>
      </w:pPr>
      <w:r>
        <w:t>14.</w:t>
      </w:r>
      <w:r>
        <w:tab/>
        <w:t>Из соответствующих конвенций МОТ Дания ратифицировала конве</w:t>
      </w:r>
      <w:r>
        <w:t>н</w:t>
      </w:r>
      <w:r>
        <w:t>ции №№ 100 и 111. Она также ратифицировала конвенции №№ 29, 87, 98, 105, 122, 138 и 142.</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Комментарии надзорных органов МОТ</w:t>
      </w:r>
    </w:p>
    <w:p w:rsidR="00000000" w:rsidRDefault="00000000">
      <w:pPr>
        <w:pStyle w:val="SingleTxt"/>
        <w:spacing w:after="0" w:line="120" w:lineRule="exact"/>
        <w:rPr>
          <w:sz w:val="10"/>
        </w:rPr>
      </w:pPr>
    </w:p>
    <w:p w:rsidR="00000000" w:rsidRDefault="00000000">
      <w:pPr>
        <w:pStyle w:val="SingleTxt"/>
      </w:pPr>
      <w:r>
        <w:t>15.</w:t>
      </w:r>
      <w:r>
        <w:tab/>
        <w:t>Находящиеся на рассмотрении комментарии Комитета экспертов МОТ по вопросам, относящимся к положениям Конвенции, касаются следующего:</w:t>
      </w:r>
    </w:p>
    <w:p w:rsidR="00000000" w:rsidRDefault="00000000">
      <w:pPr>
        <w:pStyle w:val="SingleTxt"/>
        <w:spacing w:after="0" w:line="120" w:lineRule="exact"/>
        <w:rPr>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Конвенция № 100</w:t>
      </w:r>
    </w:p>
    <w:p w:rsidR="00000000" w:rsidRDefault="00000000">
      <w:pPr>
        <w:pStyle w:val="SingleTxt"/>
        <w:spacing w:after="0" w:line="120" w:lineRule="exact"/>
        <w:rPr>
          <w:sz w:val="10"/>
        </w:rPr>
      </w:pPr>
    </w:p>
    <w:p w:rsidR="00000000" w:rsidRDefault="00000000">
      <w:pPr>
        <w:pStyle w:val="SingleTxt"/>
      </w:pPr>
      <w:r>
        <w:t>16.</w:t>
      </w:r>
      <w:r>
        <w:tab/>
        <w:t>В своем прямом запросе от 2000 года Комитет с интересом отметил пр</w:t>
      </w:r>
      <w:r>
        <w:t>и</w:t>
      </w:r>
      <w:r>
        <w:t>нятие 30 мая 2000 года закона о равенстве между женщинами и мужчинами (закон № 388), направленного на официальное закрепление принципа равенс</w:t>
      </w:r>
      <w:r>
        <w:t>т</w:t>
      </w:r>
      <w:r>
        <w:t>ва в статутной форме в качестве базового элемента содействия обеспечению равенства. Он отметил, что этот новый закон предусматривает замену Совета по вопросам равного статуса трехступенчатой структурой в составе министра по вопросам равенства, научно-исследовательского и документационного це</w:t>
      </w:r>
      <w:r>
        <w:t>н</w:t>
      </w:r>
      <w:r>
        <w:t>тра по вопросам равенства (Центра знаний) и независимого органа, известного как Комитет по вопросам равного статуса.</w:t>
      </w:r>
    </w:p>
    <w:p w:rsidR="00000000" w:rsidRDefault="00000000">
      <w:pPr>
        <w:pStyle w:val="SingleTxt"/>
      </w:pPr>
      <w:r>
        <w:t>17.</w:t>
      </w:r>
      <w:r>
        <w:tab/>
        <w:t>Комитет также отметил существование достаточно постоянного различия в заработной плате женщин и мужчин за последние 15 лет (1985–2000 годы). В докладе о различиях в заработной плане мужчин и женщин, совместно опубл</w:t>
      </w:r>
      <w:r>
        <w:t>и</w:t>
      </w:r>
      <w:r>
        <w:t>кованном министерством труда и Советом по вопросам равного статуса в июне 2000 года, этот факт подтверждается в различных включенных в него таблицах; например, почасовая оплата в частном секторе в 1996 году составляла 153,2 кроны для мужчин и 126,2 кроны для женщин (разница в 20,9 процента), а в государственном секторе 147,0 крон для мужчин и 132,8 кроны для женщин (разница в 10,7 процента). Комитет отметил, что, приняв во внимание такие факторы, как выслуга лет, уровень образования, профессиональный опыт и и</w:t>
      </w:r>
      <w:r>
        <w:t>с</w:t>
      </w:r>
      <w:r>
        <w:t>пользование схем отпусков, единственным объяснением сохраняющихся разл</w:t>
      </w:r>
      <w:r>
        <w:t>и</w:t>
      </w:r>
      <w:r>
        <w:t>чий в заработной плате являются гендерные соображения. Он также отметил, что министерство труда выступило с инициативой проведения анализа влияния механизмов переговоров на различия в заработной плате мужчин и женщин для определения того, какие факторы заработной платы способствуют обеспечению равной оплаты, а какие еще больше увеличивают различия («Равенство на р</w:t>
      </w:r>
      <w:r>
        <w:t>а</w:t>
      </w:r>
      <w:r>
        <w:t>боте», министе</w:t>
      </w:r>
      <w:r>
        <w:t>р</w:t>
      </w:r>
      <w:r>
        <w:t>ство труда, июнь 1996 года).</w:t>
      </w:r>
    </w:p>
    <w:p w:rsidR="00000000" w:rsidRDefault="00000000">
      <w:pPr>
        <w:pStyle w:val="SingleTxt"/>
      </w:pPr>
      <w:r>
        <w:t>18.</w:t>
      </w:r>
      <w:r>
        <w:tab/>
        <w:t>В отношении проекта, касающегося фиксирования заработной платы на предприятиях, Комитет отметил, что он завершил свою работу и пришел к в</w:t>
      </w:r>
      <w:r>
        <w:t>ы</w:t>
      </w:r>
      <w:r>
        <w:t>воду о том, что наблюдается тенденция к меньшим различиям в заработной плате между мужчинами и женщинами, когда они не охватываются коллекти</w:t>
      </w:r>
      <w:r>
        <w:t>в</w:t>
      </w:r>
      <w:r>
        <w:t>ными соглашениями, и что и мужчины и женщины, не охватываемые колле</w:t>
      </w:r>
      <w:r>
        <w:t>к</w:t>
      </w:r>
      <w:r>
        <w:t>тивными соглашениями, получают более высокую заработную плату, чем те, кто охвачен коллективными соглашениями. Приняв к сведению причину более низких окладов в целом, Комитет просил правительство объяснить, почему существует больший разрыв в заработной плате между мужчинами и женщ</w:t>
      </w:r>
      <w:r>
        <w:t>и</w:t>
      </w:r>
      <w:r>
        <w:t>нами, охватываемыми коллективными соглашениями. В этой связи он отметил, что в результате последней серии коллективных переговоров, проведенных в феврале 2000 года, Конфедерация нанимателей Дании и Конфедерация про</w:t>
      </w:r>
      <w:r>
        <w:t>ф</w:t>
      </w:r>
      <w:r>
        <w:t>союзов Дании договорились провести обследование и более пристально сл</w:t>
      </w:r>
      <w:r>
        <w:t>е</w:t>
      </w:r>
      <w:r>
        <w:t>дить за обеспечением равенства и недискриминации и к марту 2002 года пре</w:t>
      </w:r>
      <w:r>
        <w:t>д</w:t>
      </w:r>
      <w:r>
        <w:t>ставить до</w:t>
      </w:r>
      <w:r>
        <w:t>к</w:t>
      </w:r>
      <w:r>
        <w:t>лад о своей работе.</w:t>
      </w:r>
    </w:p>
    <w:p w:rsidR="00000000" w:rsidRDefault="00000000">
      <w:pPr>
        <w:pStyle w:val="SingleTxt"/>
      </w:pPr>
      <w:r>
        <w:t>19.</w:t>
      </w:r>
      <w:r>
        <w:tab/>
        <w:t>Комитет отметил, что в июне 2002 года министерство труда приступило к осуществлению проекта оценки профессий в целях изучения влияния испол</w:t>
      </w:r>
      <w:r>
        <w:t>ь</w:t>
      </w:r>
      <w:r>
        <w:t>зуемых в настоящее время систем оценки профессий на различия в заработной плате и роли оценки профессий в качестве инструмента достижения равной оплаты. Он отметил, что в проекте также будет сделала попытка рассмотреть необходимость проведения оценок профессий при нейтральном в гендерном плане подходе с учетом сильных сторон и ценности работы, выполняемой мужчинами и женщинами. Кроме того, в проекте будут рассмотрены различные компоненты равной оплаты и критерии, используемые для классификации профессий, учитывая, что систематическое сопоставление профессий может быть средством определения работы равной ценности и тем самым может стать эффективным инструментом обеспечения равного возн</w:t>
      </w:r>
      <w:r>
        <w:t>а</w:t>
      </w:r>
      <w:r>
        <w:t>граждения.</w:t>
      </w:r>
    </w:p>
    <w:p w:rsidR="00000000" w:rsidRDefault="00000000">
      <w:pPr>
        <w:pStyle w:val="SingleTxt"/>
        <w:spacing w:after="0" w:line="120" w:lineRule="exact"/>
        <w:rPr>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Конвенция № 111</w:t>
      </w:r>
    </w:p>
    <w:p w:rsidR="00000000" w:rsidRDefault="00000000">
      <w:pPr>
        <w:pStyle w:val="SingleTxt"/>
        <w:spacing w:after="0" w:line="120" w:lineRule="exact"/>
        <w:rPr>
          <w:sz w:val="10"/>
        </w:rPr>
      </w:pPr>
    </w:p>
    <w:p w:rsidR="00000000" w:rsidRDefault="00000000">
      <w:pPr>
        <w:pStyle w:val="SingleTxt"/>
      </w:pPr>
      <w:r>
        <w:t>20.</w:t>
      </w:r>
      <w:r>
        <w:tab/>
        <w:t>В своем прямом запросе от 2000 года Комитет отметил, что коэффициент безработных среди женщин постоянно был выше, чем среди мужчин, в период 1993–1999 годов, например, соответственно 7 и 5,3 процента в 1999 году. Он также отметил, что аналогичным образом дело обстоит в отношении женщин из этнических меньшинств, в частности женщин, прибывших из Африки и Азии. Отметив принятые меры по активизации участия женщин в рабочей с</w:t>
      </w:r>
      <w:r>
        <w:t>и</w:t>
      </w:r>
      <w:r>
        <w:t>ле, в том числе женщин различного этнического происхождения, Комитет пр</w:t>
      </w:r>
      <w:r>
        <w:t>о</w:t>
      </w:r>
      <w:r>
        <w:t>сил правительство продолжать предоставлять информацию об этой деятельн</w:t>
      </w:r>
      <w:r>
        <w:t>о</w:t>
      </w:r>
      <w:r>
        <w:t>сти и ее последствиях.</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Тунис</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Позиция в отношении конвенций МОТ</w:t>
      </w:r>
    </w:p>
    <w:p w:rsidR="00000000" w:rsidRDefault="00000000">
      <w:pPr>
        <w:pStyle w:val="SingleTxt"/>
        <w:spacing w:after="0" w:line="120" w:lineRule="exact"/>
        <w:rPr>
          <w:sz w:val="10"/>
        </w:rPr>
      </w:pPr>
    </w:p>
    <w:p w:rsidR="00000000" w:rsidRDefault="00000000">
      <w:pPr>
        <w:pStyle w:val="SingleTxt"/>
      </w:pPr>
      <w:r>
        <w:t>21.</w:t>
      </w:r>
      <w:r>
        <w:tab/>
        <w:t>Из соответствующих конвенций МОТ Тунис ратифицировал конвенции №№ 100 и 111. Он также ратифицировал конвенции №№ 29, 87, 89, 98, 105, 138, 142 и 182.</w:t>
      </w:r>
    </w:p>
    <w:p w:rsidR="00000000" w:rsidRDefault="00000000">
      <w:pPr>
        <w:pStyle w:val="SingleTxt"/>
        <w:spacing w:after="0" w:line="120" w:lineRule="exact"/>
        <w:rPr>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Комментарии надзорных органов МОТ</w:t>
      </w:r>
    </w:p>
    <w:p w:rsidR="00000000" w:rsidRDefault="00000000">
      <w:pPr>
        <w:pStyle w:val="SingleTxt"/>
        <w:spacing w:after="0" w:line="120" w:lineRule="exact"/>
        <w:rPr>
          <w:sz w:val="10"/>
        </w:rPr>
      </w:pPr>
    </w:p>
    <w:p w:rsidR="00000000" w:rsidRDefault="00000000">
      <w:pPr>
        <w:pStyle w:val="SingleTxt"/>
      </w:pPr>
      <w:r>
        <w:t>22.</w:t>
      </w:r>
      <w:r>
        <w:tab/>
        <w:t>Находящиеся на рассмотрении комментарии Комитета экспертов МОТ по в</w:t>
      </w:r>
      <w:r>
        <w:t>о</w:t>
      </w:r>
      <w:r>
        <w:t>просам, относящимся к положениям Конвенции, касаются следующего:</w:t>
      </w:r>
    </w:p>
    <w:p w:rsidR="00000000" w:rsidRDefault="00000000">
      <w:pPr>
        <w:pStyle w:val="SingleTxt"/>
        <w:spacing w:after="0" w:line="120" w:lineRule="exact"/>
        <w:rPr>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Конвенция № 100</w:t>
      </w:r>
    </w:p>
    <w:p w:rsidR="00000000" w:rsidRDefault="00000000">
      <w:pPr>
        <w:pStyle w:val="SingleTxt"/>
        <w:spacing w:after="0" w:line="120" w:lineRule="exact"/>
        <w:rPr>
          <w:sz w:val="10"/>
        </w:rPr>
      </w:pPr>
    </w:p>
    <w:p w:rsidR="00000000" w:rsidRDefault="00000000">
      <w:pPr>
        <w:pStyle w:val="SingleTxt"/>
      </w:pPr>
      <w:r>
        <w:t>23.</w:t>
      </w:r>
      <w:r>
        <w:tab/>
        <w:t>В прямом запросе от 1998 года Комитет просил правительство как можно скорее представить статистические данные о разбивке мужчин и женщин по различным коэффициентам окладов и, по возможности, по профессиям, видам деятельности, выслуге лет и уровню квалификации, а также о процентной доле женщин, занимающих официальные государственные должности в каждой к</w:t>
      </w:r>
      <w:r>
        <w:t>а</w:t>
      </w:r>
      <w:r>
        <w:t>тегории от А до D. Комитет также просил представить информацию о ставках вознаграждения и классификациях профессий, установленных комитетами по сельскохозяйственным работам, учрежденными в соответствии с декретом № 2000–1988 от 12 сентября 2000 года.</w:t>
      </w:r>
    </w:p>
    <w:p w:rsidR="00000000" w:rsidRDefault="00000000">
      <w:pPr>
        <w:pStyle w:val="SingleTxt"/>
      </w:pPr>
      <w:r>
        <w:t>24.</w:t>
      </w:r>
      <w:r>
        <w:tab/>
      </w:r>
      <w:r>
        <w:rPr>
          <w:i/>
        </w:rPr>
        <w:t>Доклад правительства об осуществлении Конвенции был получен и ра</w:t>
      </w:r>
      <w:r>
        <w:rPr>
          <w:i/>
        </w:rPr>
        <w:t>с</w:t>
      </w:r>
      <w:r>
        <w:rPr>
          <w:i/>
        </w:rPr>
        <w:t>смотрен Комитетом экспертов на его сессии в ноябре — декабре 2001 года.</w:t>
      </w:r>
    </w:p>
    <w:p w:rsidR="00000000" w:rsidRDefault="00000000">
      <w:pPr>
        <w:pStyle w:val="SingleTxt"/>
        <w:spacing w:after="0" w:line="120" w:lineRule="exact"/>
        <w:rPr>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Конвенция № 111</w:t>
      </w:r>
    </w:p>
    <w:p w:rsidR="00000000" w:rsidRDefault="00000000">
      <w:pPr>
        <w:pStyle w:val="SingleTxt"/>
        <w:spacing w:after="0" w:line="120" w:lineRule="exact"/>
        <w:rPr>
          <w:sz w:val="10"/>
        </w:rPr>
      </w:pPr>
    </w:p>
    <w:p w:rsidR="00000000" w:rsidRDefault="00000000">
      <w:pPr>
        <w:pStyle w:val="SingleTxt"/>
      </w:pPr>
      <w:r>
        <w:t>25.</w:t>
      </w:r>
      <w:r>
        <w:tab/>
        <w:t>В своем прямом запросе от 2000 года Комитет отметил высокий уровень неграмотности среди девочек и женщин, их низкий образовательный уровень и слабое участие на рынке труда, а также профессиональную сегрегацию, кот</w:t>
      </w:r>
      <w:r>
        <w:t>о</w:t>
      </w:r>
      <w:r>
        <w:t>рой они подвергаются в процессе профессиональной подготовки и найма. Он просил правительство указать принятые меры по поощрению и обеспечению доступа женщин к образованию, профессиональной подготовке и занятости на равной с мужчинами основе. В отношении применения Конвенции в связи с дискриминацией по другим признакам, помимо пола, Комитет отметил, что и в Конституции (статья 6) и в законодательстве (Трудовой кодекс, условия службы в государственном секторе, коллективные трудовые соглашения) подобного р</w:t>
      </w:r>
      <w:r>
        <w:t>о</w:t>
      </w:r>
      <w:r>
        <w:t>да дискриминация запрещается. Он указал правительству на то, что наличие надлежащих национальных законов и положений, соответствующих Конве</w:t>
      </w:r>
      <w:r>
        <w:t>н</w:t>
      </w:r>
      <w:r>
        <w:t>ции, является необходимым условием, но само по себе недостаточно для э</w:t>
      </w:r>
      <w:r>
        <w:t>ф</w:t>
      </w:r>
      <w:r>
        <w:t>фективного применения принципов, изложенных в Конвенции. В этой связи Комитет просил правительство указать принятые или предусмотренные меры с целью активного содействия осуществлению принципов, изложенных в Ко</w:t>
      </w:r>
      <w:r>
        <w:t>н</w:t>
      </w:r>
      <w:r>
        <w:t>венции, в рамках его национальной политики по борьбе с ди</w:t>
      </w:r>
      <w:r>
        <w:t>с</w:t>
      </w:r>
      <w:r>
        <w:t>криминацией.</w:t>
      </w:r>
    </w:p>
    <w:p w:rsidR="00000000" w:rsidRDefault="00000000">
      <w:pPr>
        <w:pStyle w:val="SingleTxt"/>
        <w:spacing w:after="0" w:line="120" w:lineRule="exact"/>
        <w:rPr>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Конвенция № 122</w:t>
      </w:r>
    </w:p>
    <w:p w:rsidR="00000000" w:rsidRDefault="00000000">
      <w:pPr>
        <w:pStyle w:val="SingleTxt"/>
        <w:spacing w:after="0" w:line="120" w:lineRule="exact"/>
        <w:rPr>
          <w:sz w:val="10"/>
        </w:rPr>
      </w:pPr>
    </w:p>
    <w:p w:rsidR="00000000" w:rsidRDefault="00000000">
      <w:pPr>
        <w:pStyle w:val="SingleTxt"/>
      </w:pPr>
      <w:r>
        <w:t>26.</w:t>
      </w:r>
      <w:r>
        <w:tab/>
        <w:t>В своем замечании от 1999 года Комитет принял к сведению, что прав</w:t>
      </w:r>
      <w:r>
        <w:t>и</w:t>
      </w:r>
      <w:r>
        <w:t>тельство намерено разрабатывать базу данных о тенденциях на рынке труда и один раз в два года проводить исследования. Комитет выразил надежду на то, что этот проект будет завершен в ближайшем будущем и что он получит более подробную информацию о тенденциях в области занятости, безработицы и н</w:t>
      </w:r>
      <w:r>
        <w:t>е</w:t>
      </w:r>
      <w:r>
        <w:t>достаточной занятости как в целом, так и по конкретным категориям труд</w:t>
      </w:r>
      <w:r>
        <w:t>я</w:t>
      </w:r>
      <w:r>
        <w:t>щихся, таким, как женщины, молодежь, пожилые трудящиеся и труд</w:t>
      </w:r>
      <w:r>
        <w:t>я</w:t>
      </w:r>
      <w:r>
        <w:t>щиеся-инвалиды.</w:t>
      </w:r>
    </w:p>
    <w:p w:rsidR="00000000" w:rsidRDefault="00000000">
      <w:pPr>
        <w:pStyle w:val="SingleTxt"/>
        <w:rPr>
          <w:i/>
        </w:rPr>
      </w:pPr>
      <w:r>
        <w:t>27.</w:t>
      </w:r>
      <w:r>
        <w:tab/>
      </w:r>
      <w:r>
        <w:rPr>
          <w:i/>
        </w:rPr>
        <w:t>Доклад правительства об осуществлении Конвенции был получен и ра</w:t>
      </w:r>
      <w:r>
        <w:rPr>
          <w:i/>
        </w:rPr>
        <w:t>с</w:t>
      </w:r>
      <w:r>
        <w:rPr>
          <w:i/>
        </w:rPr>
        <w:t>смотрен Комитетом экспертов на его сессии в ноябре — декабре 2001 года.</w:t>
      </w:r>
    </w:p>
    <w:p w:rsidR="00000000" w:rsidRDefault="00000000">
      <w:pPr>
        <w:pStyle w:val="SingleTxt"/>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Pr>
          <w:sz w:val="10"/>
        </w:rPr>
        <w:br w:type="page"/>
      </w:r>
      <w:r>
        <w:tab/>
      </w:r>
      <w:r>
        <w:tab/>
        <w:t>Украина</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Позиция в отношении конвенций МОТ</w:t>
      </w:r>
    </w:p>
    <w:p w:rsidR="00000000" w:rsidRDefault="00000000">
      <w:pPr>
        <w:pStyle w:val="SingleTxt"/>
        <w:spacing w:after="0" w:line="120" w:lineRule="exact"/>
        <w:rPr>
          <w:sz w:val="10"/>
        </w:rPr>
      </w:pPr>
    </w:p>
    <w:p w:rsidR="00000000" w:rsidRDefault="00000000">
      <w:pPr>
        <w:pStyle w:val="SingleTxt"/>
      </w:pPr>
      <w:r>
        <w:t>28.</w:t>
      </w:r>
      <w:r>
        <w:tab/>
        <w:t>Из соответствующих конвенций МОТ Украина ратифицировала конве</w:t>
      </w:r>
      <w:r>
        <w:t>н</w:t>
      </w:r>
      <w:r>
        <w:t>ции №№ 100, 111 и 156. Она также ратифицировала конвенции №№ 29, 97, 98, 103, 105, 122, 138, 142 и 182.</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Комментарии надзорных органов МОТ</w:t>
      </w:r>
    </w:p>
    <w:p w:rsidR="00000000" w:rsidRDefault="00000000">
      <w:pPr>
        <w:pStyle w:val="SingleTxt"/>
        <w:spacing w:after="0" w:line="120" w:lineRule="exact"/>
        <w:rPr>
          <w:sz w:val="10"/>
        </w:rPr>
      </w:pPr>
    </w:p>
    <w:p w:rsidR="00000000" w:rsidRDefault="00000000">
      <w:pPr>
        <w:pStyle w:val="SingleTxt"/>
      </w:pPr>
      <w:r>
        <w:t>29.</w:t>
      </w:r>
      <w:r>
        <w:tab/>
        <w:t>Находящиеся на рассмотрении комментарии Комитета экспертов МОТ по вопросам, относящимся к положениям Конвенции, касаются следующего:</w:t>
      </w:r>
    </w:p>
    <w:p w:rsidR="00000000" w:rsidRDefault="00000000">
      <w:pPr>
        <w:pStyle w:val="SingleTxt"/>
        <w:spacing w:after="0" w:line="120" w:lineRule="exact"/>
        <w:rPr>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Конвенция № 100</w:t>
      </w:r>
    </w:p>
    <w:p w:rsidR="00000000" w:rsidRDefault="00000000">
      <w:pPr>
        <w:pStyle w:val="SingleTxt"/>
        <w:spacing w:after="0" w:line="120" w:lineRule="exact"/>
        <w:rPr>
          <w:sz w:val="10"/>
        </w:rPr>
      </w:pPr>
    </w:p>
    <w:p w:rsidR="00000000" w:rsidRDefault="00000000">
      <w:pPr>
        <w:pStyle w:val="SingleTxt"/>
      </w:pPr>
      <w:r>
        <w:t>30.</w:t>
      </w:r>
      <w:r>
        <w:tab/>
        <w:t>В своем прямом запросе 1998 года Комитет напомнил о том, что ни в о</w:t>
      </w:r>
      <w:r>
        <w:t>д</w:t>
      </w:r>
      <w:r>
        <w:t>ном положении о вознаграждении, на которые ссылалось правительство, как представляется, не содержится такого определения равного вознаграждения, которое соответствовало бы закрепленному в Конвенции принципу «равного вознаграждения мужчин и женщин за труд равной ценности». Комитет просил правительство принять необходимые меры к тому, чтобы принцип равного во</w:t>
      </w:r>
      <w:r>
        <w:t>з</w:t>
      </w:r>
      <w:r>
        <w:t>награждения в полной мере применялся к заработной плате, определенной в разделах 1 и 2 Закона, касающегося выплаты заработной платы, а именно баз</w:t>
      </w:r>
      <w:r>
        <w:t>о</w:t>
      </w:r>
      <w:r>
        <w:t>вого оклада, дополнительного вознаграждения и других поощрительных и компенсационных выплат. Комитет вновь выразил надежду на то, что этот принцип будет включен в законодательство, а точнее в Трудовой кодекс, кот</w:t>
      </w:r>
      <w:r>
        <w:t>о</w:t>
      </w:r>
      <w:r>
        <w:t>рый нах</w:t>
      </w:r>
      <w:r>
        <w:t>о</w:t>
      </w:r>
      <w:r>
        <w:t>дится в стадии разработки.</w:t>
      </w:r>
    </w:p>
    <w:p w:rsidR="00000000" w:rsidRDefault="00000000">
      <w:pPr>
        <w:pStyle w:val="SingleTxt"/>
      </w:pPr>
      <w:r>
        <w:t>31.</w:t>
      </w:r>
      <w:r>
        <w:tab/>
        <w:t>Комитет также принял к сведению заявление правительства о том, что ч</w:t>
      </w:r>
      <w:r>
        <w:t>а</w:t>
      </w:r>
      <w:r>
        <w:t>стные предприятия и организации сами заключают коллективные договоры, у</w:t>
      </w:r>
      <w:r>
        <w:t>с</w:t>
      </w:r>
      <w:r>
        <w:t>танавливая ставки заработной платы и ставки окладов в зависимости от сло</w:t>
      </w:r>
      <w:r>
        <w:t>ж</w:t>
      </w:r>
      <w:r>
        <w:t>ности труда и требуемой квалификации в соответствии со стандартами и г</w:t>
      </w:r>
      <w:r>
        <w:t>а</w:t>
      </w:r>
      <w:r>
        <w:t>рантиями, предусмотренными в общем договоре и секторальных договорах. Что касается работников учреждений и организаций, финансируемых из гос</w:t>
      </w:r>
      <w:r>
        <w:t>у</w:t>
      </w:r>
      <w:r>
        <w:t>дарственного бюджета, то их ставки заработной платы установлены в указе к</w:t>
      </w:r>
      <w:r>
        <w:t>а</w:t>
      </w:r>
      <w:r>
        <w:t>бинета министров Украины. Комитет просил правительство представить в его следующем докладе копию общего договора, а также копии секторальных д</w:t>
      </w:r>
      <w:r>
        <w:t>о</w:t>
      </w:r>
      <w:r>
        <w:t>говоров, содержащих стандарты, которые используются при заключении ко</w:t>
      </w:r>
      <w:r>
        <w:t>л</w:t>
      </w:r>
      <w:r>
        <w:t>лективных договоров, устанавливающих ставки заработной платы и ставки о</w:t>
      </w:r>
      <w:r>
        <w:t>к</w:t>
      </w:r>
      <w:r>
        <w:t>ладов в частных предприятиях и организациях, а также указ кабинета минис</w:t>
      </w:r>
      <w:r>
        <w:t>т</w:t>
      </w:r>
      <w:r>
        <w:t>ров, устанавливающий ставки заработной платы для работников учреждений и организаций, финансируемых из государственного бюджета.</w:t>
      </w:r>
    </w:p>
    <w:p w:rsidR="00000000" w:rsidRDefault="00000000">
      <w:pPr>
        <w:pStyle w:val="SingleTxt"/>
        <w:rPr>
          <w:i/>
        </w:rPr>
      </w:pPr>
      <w:r>
        <w:t>32.</w:t>
      </w:r>
      <w:r>
        <w:tab/>
      </w:r>
      <w:r>
        <w:rPr>
          <w:i/>
        </w:rPr>
        <w:t>Доклад правительства об осуществлении Конвенции был получен и ра</w:t>
      </w:r>
      <w:r>
        <w:rPr>
          <w:i/>
        </w:rPr>
        <w:t>с</w:t>
      </w:r>
      <w:r>
        <w:rPr>
          <w:i/>
        </w:rPr>
        <w:t>смотрен Комитетом экспертов на его сессии в ноябре/декабре 2001 года.</w:t>
      </w:r>
    </w:p>
    <w:p w:rsidR="00000000" w:rsidRDefault="00000000">
      <w:pPr>
        <w:pStyle w:val="SingleTxt"/>
        <w:spacing w:after="0" w:line="120" w:lineRule="exact"/>
        <w:rPr>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Конвенция № 111</w:t>
      </w:r>
    </w:p>
    <w:p w:rsidR="00000000" w:rsidRDefault="00000000">
      <w:pPr>
        <w:pStyle w:val="SingleTxt"/>
        <w:spacing w:after="0" w:line="120" w:lineRule="exact"/>
        <w:rPr>
          <w:sz w:val="10"/>
        </w:rPr>
      </w:pPr>
    </w:p>
    <w:p w:rsidR="00000000" w:rsidRDefault="00000000">
      <w:pPr>
        <w:pStyle w:val="SingleTxt"/>
      </w:pPr>
      <w:r>
        <w:t>33.</w:t>
      </w:r>
      <w:r>
        <w:tab/>
        <w:t>Комитет отметил, что подавляющее большинство работников, увольня</w:t>
      </w:r>
      <w:r>
        <w:t>е</w:t>
      </w:r>
      <w:r>
        <w:t>мых с предприятий и из организаций, составляют женщины и что женщинам труднее найти другую работу и вернуться на украинский рынок труда. Комитет напомнил правительству о том, что запретить дискриминацию обычно бывает недостаточно для ее искоренения на практике и что поэтому могут потреб</w:t>
      </w:r>
      <w:r>
        <w:t>о</w:t>
      </w:r>
      <w:r>
        <w:t>ваться антидискриминационные действия для ликвидации неравенства де</w:t>
      </w:r>
      <w:r>
        <w:noBreakHyphen/>
        <w:t>факто и для того, чтобы лица из уязвимых групп, подвергающихся дискр</w:t>
      </w:r>
      <w:r>
        <w:t>и</w:t>
      </w:r>
      <w:r>
        <w:t>минации, могли работать во всех секторах, по всем специальностям и на всех уровнях ответственности (см. общий обзор по вопросу о равенстве в области труда и занятий, 1988 год, пункт 166). В этой связи Комитет с интересом отм</w:t>
      </w:r>
      <w:r>
        <w:t>е</w:t>
      </w:r>
      <w:r>
        <w:t>тил принимаемые меры для повышения осведомленности о национальных з</w:t>
      </w:r>
      <w:r>
        <w:t>а</w:t>
      </w:r>
      <w:r>
        <w:t>конодательных и международных стандартах в области прав женщин, включая совместный проект правительства и Управления. Он также с интересом отм</w:t>
      </w:r>
      <w:r>
        <w:t>е</w:t>
      </w:r>
      <w:r>
        <w:t>тил принятие 8 сентября 1997 года Национального плана действий на 1997–2000 годы, в котором излагаются меры по улучшению положения женщин, а также принятие 5 марта 1999 года деклараций, определяющих государственную пол</w:t>
      </w:r>
      <w:r>
        <w:t>и</w:t>
      </w:r>
      <w:r>
        <w:t>тику в отношении семьи и женщин.</w:t>
      </w:r>
    </w:p>
    <w:p w:rsidR="00000000" w:rsidRDefault="00000000">
      <w:pPr>
        <w:pStyle w:val="SingleTxt"/>
      </w:pPr>
      <w:r>
        <w:t>34.</w:t>
      </w:r>
      <w:r>
        <w:tab/>
        <w:t>Правительство указало, что в 1998 году государственная служба занятости предоставила услуги по профориентации 1,8 млн. человек, что более чем вдвое превысило численность лиц, воспользовавшихся такими услугами в 1997 году. Кроме того, правительство сообщило, что в 1998 году курсы профессиональной подготовки и переподготовки прошли 105 200 граждан Украины, что на 55 процентов больше по сравнению с 1997 годом. Комитет с интересом отм</w:t>
      </w:r>
      <w:r>
        <w:t>е</w:t>
      </w:r>
      <w:r>
        <w:t>тил, что среди этих стажеров 60 300 человек (57 процентов) составляли же</w:t>
      </w:r>
      <w:r>
        <w:t>н</w:t>
      </w:r>
      <w:r>
        <w:t>щины. Он также отметил разработку и внедрение в ряде регионов Украины м</w:t>
      </w:r>
      <w:r>
        <w:t>о</w:t>
      </w:r>
      <w:r>
        <w:t>дульных программ профессиональной подготовки. Правительству было пре</w:t>
      </w:r>
      <w:r>
        <w:t>д</w:t>
      </w:r>
      <w:r>
        <w:t>ложено предоставить информацию о представленности мужчин и женщин и этнических меньшинств в различных программах профессиональной подгото</w:t>
      </w:r>
      <w:r>
        <w:t>в</w:t>
      </w:r>
      <w:r>
        <w:t>ки, а также о том, принимались ли или планировались какие-либо меры с ц</w:t>
      </w:r>
      <w:r>
        <w:t>е</w:t>
      </w:r>
      <w:r>
        <w:t>лью облегчить участие в этих программах работников, имеющих обязанности по дому.</w:t>
      </w:r>
    </w:p>
    <w:p w:rsidR="00000000" w:rsidRDefault="00000000">
      <w:pPr>
        <w:pStyle w:val="SingleTxt"/>
        <w:rPr>
          <w:i/>
        </w:rPr>
      </w:pPr>
      <w:r>
        <w:t>35.</w:t>
      </w:r>
      <w:r>
        <w:tab/>
      </w:r>
      <w:r>
        <w:rPr>
          <w:i/>
        </w:rPr>
        <w:t>Доклад правительства об осуществлении Конвенции был получен и будет ра</w:t>
      </w:r>
      <w:r>
        <w:rPr>
          <w:i/>
        </w:rPr>
        <w:t>с</w:t>
      </w:r>
      <w:r>
        <w:rPr>
          <w:i/>
        </w:rPr>
        <w:t>сматриваться Комитетом на его сессии в ноябре/декабре 2002 года.</w:t>
      </w:r>
    </w:p>
    <w:p w:rsidR="00000000" w:rsidRDefault="00000000">
      <w:pPr>
        <w:pStyle w:val="SingleTxt"/>
        <w:spacing w:after="0" w:line="120" w:lineRule="exact"/>
        <w:rPr>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Конвенция № 45</w:t>
      </w:r>
    </w:p>
    <w:p w:rsidR="00000000" w:rsidRDefault="00000000">
      <w:pPr>
        <w:pStyle w:val="SingleTxt"/>
        <w:spacing w:after="0" w:line="120" w:lineRule="exact"/>
        <w:rPr>
          <w:sz w:val="10"/>
        </w:rPr>
      </w:pPr>
    </w:p>
    <w:p w:rsidR="00000000" w:rsidRDefault="00000000">
      <w:pPr>
        <w:pStyle w:val="SingleTxt"/>
      </w:pPr>
      <w:r>
        <w:t>36.</w:t>
      </w:r>
      <w:r>
        <w:tab/>
        <w:t>В своем прямом запросе 1998 года Комитет принял к сведению заявление правительства о том, что в соответствии с распоряжением кабинета министров Украины № 381 от 27 марта 1996 года был принят ряд мер с целью освободить женщин от выполнения подземных работ и что эти меры осуществлялись на предприятиях под контролем государственных органов. Комитет также отм</w:t>
      </w:r>
      <w:r>
        <w:t>е</w:t>
      </w:r>
      <w:r>
        <w:t>тил, что в настоящее время в горнодобывающей промышленности занято в о</w:t>
      </w:r>
      <w:r>
        <w:t>б</w:t>
      </w:r>
      <w:r>
        <w:t>щей сложности 1019 женщин (на инженерной работе, в медицинской и соц</w:t>
      </w:r>
      <w:r>
        <w:t>и</w:t>
      </w:r>
      <w:r>
        <w:t>альной сферах или на должностях, не связанных с физическим трудом), в угольной промышленности — 196 100 женщин. Комитет просил правительство и в дальнейшем предоставлять информацию о ходе осуществления этой пр</w:t>
      </w:r>
      <w:r>
        <w:t>о</w:t>
      </w:r>
      <w:r>
        <w:t>граммы в соответствии с вышеуказанным распоряжением и о практическом применении Ко</w:t>
      </w:r>
      <w:r>
        <w:t>н</w:t>
      </w:r>
      <w:r>
        <w:t>венции.</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Замбия</w:t>
      </w:r>
    </w:p>
    <w:p w:rsidR="00000000" w:rsidRDefault="00000000">
      <w:pPr>
        <w:pStyle w:val="SingleTxt"/>
        <w:spacing w:after="0" w:line="120" w:lineRule="exact"/>
        <w:rPr>
          <w:sz w:val="10"/>
        </w:rPr>
      </w:pP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Позиция в отношении конвенций МОТ</w:t>
      </w:r>
    </w:p>
    <w:p w:rsidR="00000000" w:rsidRDefault="00000000">
      <w:pPr>
        <w:pStyle w:val="SingleTxt"/>
        <w:spacing w:after="0" w:line="120" w:lineRule="exact"/>
        <w:rPr>
          <w:sz w:val="10"/>
        </w:rPr>
      </w:pPr>
    </w:p>
    <w:p w:rsidR="00000000" w:rsidRDefault="00000000">
      <w:pPr>
        <w:pStyle w:val="SingleTxt"/>
      </w:pPr>
      <w:r>
        <w:t>37.</w:t>
      </w:r>
      <w:r>
        <w:tab/>
        <w:t>Из соответствующих конвенций МОТ Замбия ратифицировала конве</w:t>
      </w:r>
      <w:r>
        <w:t>н</w:t>
      </w:r>
      <w:r>
        <w:t>ции №№ 100 и 111. Она также ратифицировала конвенции №№ 29, 87, 98, 105, 122, 138 и 182.</w:t>
      </w:r>
    </w:p>
    <w:p w:rsidR="00000000" w:rsidRDefault="000000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Комментарии надзорных органов МОТ</w:t>
      </w:r>
    </w:p>
    <w:p w:rsidR="00000000" w:rsidRDefault="00000000">
      <w:pPr>
        <w:pStyle w:val="SingleTxt"/>
        <w:spacing w:after="0" w:line="120" w:lineRule="exact"/>
        <w:rPr>
          <w:sz w:val="10"/>
        </w:rPr>
      </w:pPr>
    </w:p>
    <w:p w:rsidR="00000000" w:rsidRDefault="00000000">
      <w:pPr>
        <w:pStyle w:val="SingleTxt"/>
      </w:pPr>
      <w:r>
        <w:t>38.</w:t>
      </w:r>
      <w:r>
        <w:tab/>
        <w:t>Находящиеся на рассмотрении комментарии Комитета экспертов МОТ по вопросам, относящимся к положениям Конвенции, касаются следующего:</w:t>
      </w:r>
    </w:p>
    <w:p w:rsidR="00000000" w:rsidRDefault="00000000">
      <w:pPr>
        <w:pStyle w:val="SingleTxt"/>
        <w:spacing w:after="0" w:line="120" w:lineRule="exact"/>
        <w:rPr>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Конвенция № 100</w:t>
      </w:r>
    </w:p>
    <w:p w:rsidR="00000000" w:rsidRDefault="00000000">
      <w:pPr>
        <w:pStyle w:val="SingleTxt"/>
        <w:spacing w:after="0" w:line="120" w:lineRule="exact"/>
        <w:rPr>
          <w:sz w:val="10"/>
        </w:rPr>
      </w:pPr>
    </w:p>
    <w:p w:rsidR="00000000" w:rsidRDefault="00000000">
      <w:pPr>
        <w:pStyle w:val="SingleTxt"/>
      </w:pPr>
      <w:r>
        <w:t>39.</w:t>
      </w:r>
      <w:r>
        <w:tab/>
        <w:t>В своем прямом запросе 1999 года Комитет отметил, что, как явствует из статистики распределения мужчин и женщин по профессиональным категор</w:t>
      </w:r>
      <w:r>
        <w:t>и</w:t>
      </w:r>
      <w:r>
        <w:t>ям по состоянию на май 1996 года, подготовленной компанией «Замбия конс</w:t>
      </w:r>
      <w:r>
        <w:t>о</w:t>
      </w:r>
      <w:r>
        <w:t>лидейтед коппер майнз» (ЗККМ), доля женщин, занятых в этом секторе, крайне мала и они работают в основном как специалисты. Статистика также указывает на отсутствие женщин в управленческом звене и отсутствие мужчин на секр</w:t>
      </w:r>
      <w:r>
        <w:t>е</w:t>
      </w:r>
      <w:r>
        <w:t>тарских должностях. Комитет обратил внимание правительства на то, что п</w:t>
      </w:r>
      <w:r>
        <w:t>о</w:t>
      </w:r>
      <w:r>
        <w:t>ложение женщин на рынке труда, и в частности их сосредоточение в так наз</w:t>
      </w:r>
      <w:r>
        <w:t>ы</w:t>
      </w:r>
      <w:r>
        <w:t>ваемых «женских» секторах и профессиональных категориях, — одна из пр</w:t>
      </w:r>
      <w:r>
        <w:t>и</w:t>
      </w:r>
      <w:r>
        <w:t>чин неравенства в оплате труда мужчин и женщин. В этой связи Комитет с</w:t>
      </w:r>
      <w:r>
        <w:t>о</w:t>
      </w:r>
      <w:r>
        <w:t>слался на пункт 6 Рекомендации о равном вознаграждении, 1951 год (№ 90), в которой предусматривается принятие ряда мер для повышения производител</w:t>
      </w:r>
      <w:r>
        <w:t>ь</w:t>
      </w:r>
      <w:r>
        <w:t>ности труда женщин как средства, способствующего осуществлению принципа равного вознаграждения. Комитет принял к сведению заявление правительства о том, что для повышения производительности труда женщин оно проводит политику, предусматривающую охват все большего числа женщин услугами по профессиональной подготовке, профориентации и консультированию. Комитет просил правительство предоставить более подробную информацию о том, к</w:t>
      </w:r>
      <w:r>
        <w:t>а</w:t>
      </w:r>
      <w:r>
        <w:t>кие конкретные меры принимаются для расширения доступа женщин к услугам по профессиональной подготовке, профориентации и консультированию в и</w:t>
      </w:r>
      <w:r>
        <w:t>н</w:t>
      </w:r>
      <w:r>
        <w:t>тересах сокращения разрыва в оплате труда мужчин и женщин. Комитет также подчеркнул важное значение статистических данных как подспорья при оценке им хода осуществления Конвенции и отметил ведущуюся работу по созданию системы информации о рынке труда. Он просил правительство держать его в курсе событий в этой области.</w:t>
      </w:r>
    </w:p>
    <w:p w:rsidR="00000000" w:rsidRDefault="00000000">
      <w:pPr>
        <w:pStyle w:val="SingleTxt"/>
        <w:rPr>
          <w:i/>
        </w:rPr>
      </w:pPr>
      <w:r>
        <w:t>40.</w:t>
      </w:r>
      <w:r>
        <w:tab/>
      </w:r>
      <w:r>
        <w:rPr>
          <w:i/>
        </w:rPr>
        <w:t>Доклад правительства об осуществлении Конвенции был получен и ра</w:t>
      </w:r>
      <w:r>
        <w:rPr>
          <w:i/>
        </w:rPr>
        <w:t>с</w:t>
      </w:r>
      <w:r>
        <w:rPr>
          <w:i/>
        </w:rPr>
        <w:t>смотрен Комитетом экспертов на его сессии в ноябре/декабре 2001 года.</w:t>
      </w:r>
    </w:p>
    <w:p w:rsidR="00000000" w:rsidRDefault="00000000">
      <w:pPr>
        <w:pStyle w:val="SingleTxt"/>
        <w:spacing w:after="0" w:line="120" w:lineRule="exact"/>
        <w:rPr>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Конвенция № 103</w:t>
      </w:r>
    </w:p>
    <w:p w:rsidR="00000000" w:rsidRDefault="00000000">
      <w:pPr>
        <w:pStyle w:val="SingleTxt"/>
        <w:spacing w:after="0" w:line="120" w:lineRule="exact"/>
        <w:rPr>
          <w:sz w:val="10"/>
        </w:rPr>
      </w:pPr>
    </w:p>
    <w:p w:rsidR="00000000" w:rsidRDefault="00000000">
      <w:pPr>
        <w:pStyle w:val="SingleTxt"/>
      </w:pPr>
      <w:r>
        <w:t>41.</w:t>
      </w:r>
      <w:r>
        <w:tab/>
        <w:t>В своем прямом запросе 1998 года Комитет высказал замечания по разд</w:t>
      </w:r>
      <w:r>
        <w:t>е</w:t>
      </w:r>
      <w:r>
        <w:t>лу 15A(1) Закона о занятости, в котором, вопреки положениям конвенций, о</w:t>
      </w:r>
      <w:r>
        <w:t>п</w:t>
      </w:r>
      <w:r>
        <w:t>ределяется, что работающая женщина имеет право на отпуск по беременности и родам только после того, как она проработала не меньше двух лет. В пункте 1 статьи 3 Конвенции право на отпуск по беременности и родам никак не увяз</w:t>
      </w:r>
      <w:r>
        <w:t>ы</w:t>
      </w:r>
      <w:r>
        <w:t>вается с минимальным сроком работы. Правительство заявило, что страна сталкивается со множеством экономических и социальных проблем и что эта мера необходима для сдерживания быстрого роста населения в стране. Прав</w:t>
      </w:r>
      <w:r>
        <w:t>и</w:t>
      </w:r>
      <w:r>
        <w:t>тельство также сочло, что установление безоговорочного права на отпуск по беременности и родам неизбежно повлечет за собой негативные последствия для служебной карьеры женщин. Комитет, зная о нынешнем социально-экономическом положении в стране, все же обратил внимание правительства на то, что поставленная им цель ограничения рождаемости может быть достигн</w:t>
      </w:r>
      <w:r>
        <w:t>у</w:t>
      </w:r>
      <w:r>
        <w:t>та при помощи других средств, таких, как просвещение и планирование семьи. Кроме того, Комитет подчеркнул, что положения Конвенции (статья 4, пункты 4 и 8) о том, что предприниматель ни в коем случае не несет лично ответстве</w:t>
      </w:r>
      <w:r>
        <w:t>н</w:t>
      </w:r>
      <w:r>
        <w:t>ности за расходы по выдаче пособий, предоставляемых занятым у него женщ</w:t>
      </w:r>
      <w:r>
        <w:t>и</w:t>
      </w:r>
      <w:r>
        <w:t>нам, и что, таким образом, пособия матерям предоставляются либо за счет средств системы обязательного социального страхования, либо за счет госуда</w:t>
      </w:r>
      <w:r>
        <w:t>р</w:t>
      </w:r>
      <w:r>
        <w:t>ственных фондов, направлены как раз на то, чтобы работодатели не отказывали в приеме на работу женщинам детородного возраста. Правительство указало, что оно изучит возможность пересмотра упомянутого пол</w:t>
      </w:r>
      <w:r>
        <w:t>о</w:t>
      </w:r>
      <w:r>
        <w:t>жения.</w:t>
      </w:r>
    </w:p>
    <w:p w:rsidR="00000000" w:rsidRDefault="00000000">
      <w:pPr>
        <w:pStyle w:val="SingleTxt"/>
      </w:pPr>
      <w:r>
        <w:t>42.</w:t>
      </w:r>
      <w:r>
        <w:tab/>
        <w:t>Комитет сослался на пункты 2 и 3 статьи 3 Конвенции и выразил надежду на то, что правительство примет положение о минимальном сроке обязательн</w:t>
      </w:r>
      <w:r>
        <w:t>о</w:t>
      </w:r>
      <w:r>
        <w:t>го послеродового отпуска в шесть недель. В этой связи Комитет напомнил о том, что, если роды происходят после предполагаемой даты, дородовая часть отпуска должна быть продлена до фактической даты родов, причем продолж</w:t>
      </w:r>
      <w:r>
        <w:t>и</w:t>
      </w:r>
      <w:r>
        <w:t>тельность обязательного послеродового отпуска вследствие этого не сокращ</w:t>
      </w:r>
      <w:r>
        <w:t>а</w:t>
      </w:r>
      <w:r>
        <w:t>ется, согласно пункту 4 статьи 3 Конвенции.</w:t>
      </w:r>
    </w:p>
    <w:p w:rsidR="00000000" w:rsidRDefault="00000000">
      <w:pPr>
        <w:pStyle w:val="SingleTxt"/>
      </w:pPr>
      <w:r>
        <w:t>43.</w:t>
      </w:r>
      <w:r>
        <w:tab/>
        <w:t>Комитет также напомнил о том, что, согласно положениям статьи 4 Ко</w:t>
      </w:r>
      <w:r>
        <w:t>н</w:t>
      </w:r>
      <w:r>
        <w:t>венции, денежные пособия предоставляются за счет средств системы обяз</w:t>
      </w:r>
      <w:r>
        <w:t>а</w:t>
      </w:r>
      <w:r>
        <w:t>тельного страхования либо за счет государственных фондов и что предприн</w:t>
      </w:r>
      <w:r>
        <w:t>и</w:t>
      </w:r>
      <w:r>
        <w:t>матели ни в коем случае не несут лично ответственности за расходы по выдаче таких пособий. Правительство заявило, что до тех пор, пока не будет создана всеобщая система социального страхования, предприниматели будут продо</w:t>
      </w:r>
      <w:r>
        <w:t>л</w:t>
      </w:r>
      <w:r>
        <w:t>жать выплачивать денежные пособия работающим женщинам в период отпуска по беременности и родам, если правительство не в состоянии сделать этого. Обращаясь к вопросу о перерывах в работе для кормления грудью, Комитет выражает надежду на то, что правительство сможет принять необходимые м</w:t>
      </w:r>
      <w:r>
        <w:t>е</w:t>
      </w:r>
      <w:r>
        <w:t>ры с целью дополнить свое национальное законодательство положением, п</w:t>
      </w:r>
      <w:r>
        <w:t>о</w:t>
      </w:r>
      <w:r>
        <w:t>зволяющим кормящим матерям отвлекаться от работы на определенные пери</w:t>
      </w:r>
      <w:r>
        <w:t>о</w:t>
      </w:r>
      <w:r>
        <w:t>ды времени, которые будут зачитываться как рабочие часы и соответствующим образом оплачиваться, согласно статье 5 Конвенции.</w:t>
      </w:r>
    </w:p>
    <w:p w:rsidR="00000000" w:rsidRDefault="00000000">
      <w:pPr>
        <w:pStyle w:val="SingleTxt"/>
      </w:pPr>
      <w:r>
        <w:t>44.</w:t>
      </w:r>
      <w:r>
        <w:tab/>
        <w:t>Что касается раздела 15B(1) Закона о занятости, то правительство указ</w:t>
      </w:r>
      <w:r>
        <w:t>а</w:t>
      </w:r>
      <w:r>
        <w:t>ло, что положения этого раздела запрещают увольнение женщин по причинам, связанным с беременностью. Напомнив о том, что, согласно статье 6 Конве</w:t>
      </w:r>
      <w:r>
        <w:t>н</w:t>
      </w:r>
      <w:r>
        <w:t>ции, увольнение женщины, находящейся в отпуске по беременности и родам, или приказ о ее увольнении, отданный во время отпуска по беременности и р</w:t>
      </w:r>
      <w:r>
        <w:t>о</w:t>
      </w:r>
      <w:r>
        <w:t>дам или срок исполнения которого совпадает с ее отсутствием, являются нез</w:t>
      </w:r>
      <w:r>
        <w:t>а</w:t>
      </w:r>
      <w:r>
        <w:t>конными, Комитет выразил надежду на то, что правительство примет необх</w:t>
      </w:r>
      <w:r>
        <w:t>о</w:t>
      </w:r>
      <w:r>
        <w:t>димые меры для приведения раздела 15B(1) Закона о занятости в соответствие с Ко</w:t>
      </w:r>
      <w:r>
        <w:t>н</w:t>
      </w:r>
      <w:r>
        <w:t>венцией.</w:t>
      </w:r>
    </w:p>
    <w:p w:rsidR="00000000" w:rsidRDefault="00000000">
      <w:pPr>
        <w:pStyle w:val="SingleTxt"/>
        <w:rPr>
          <w:i/>
        </w:rPr>
      </w:pPr>
      <w:r>
        <w:t>45.</w:t>
      </w:r>
      <w:r>
        <w:tab/>
      </w:r>
      <w:r>
        <w:rPr>
          <w:i/>
        </w:rPr>
        <w:t>Доклад правительства об осуществлении Конвенции был получен и ра</w:t>
      </w:r>
      <w:r>
        <w:rPr>
          <w:i/>
        </w:rPr>
        <w:t>с</w:t>
      </w:r>
      <w:r>
        <w:rPr>
          <w:i/>
        </w:rPr>
        <w:t>смо</w:t>
      </w:r>
      <w:r>
        <w:rPr>
          <w:i/>
        </w:rPr>
        <w:t>т</w:t>
      </w:r>
      <w:r>
        <w:rPr>
          <w:i/>
        </w:rPr>
        <w:t>рен Комитетом экспертов на его сессии в ноябре/декабре 2001 года.</w:t>
      </w:r>
    </w:p>
    <w:p w:rsidR="00000000" w:rsidRDefault="00000000">
      <w:pPr>
        <w:pStyle w:val="SingleTxt"/>
        <w:spacing w:after="0" w:line="120" w:lineRule="exact"/>
        <w:rPr>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Конвенция № 111</w:t>
      </w:r>
    </w:p>
    <w:p w:rsidR="00000000" w:rsidRDefault="00000000">
      <w:pPr>
        <w:pStyle w:val="SingleTxt"/>
        <w:spacing w:after="0" w:line="120" w:lineRule="exact"/>
        <w:rPr>
          <w:sz w:val="10"/>
        </w:rPr>
      </w:pPr>
    </w:p>
    <w:p w:rsidR="00000000" w:rsidRDefault="00000000">
      <w:pPr>
        <w:pStyle w:val="SingleTxt"/>
      </w:pPr>
      <w:r>
        <w:t>46.</w:t>
      </w:r>
      <w:r>
        <w:tab/>
        <w:t>В своем прямом запросе 1999 года Комитет отметил поправки, внесенные в Конституцию 1991 года на основании Закона № 18/1996, и в частности д</w:t>
      </w:r>
      <w:r>
        <w:t>о</w:t>
      </w:r>
      <w:r>
        <w:t>бавление в нее части IX, в том числе статьи 112(j), утверждающей право ка</w:t>
      </w:r>
      <w:r>
        <w:t>ж</w:t>
      </w:r>
      <w:r>
        <w:t>дого человека на справедливое отношение со стороны работодателя, и ча</w:t>
      </w:r>
      <w:r>
        <w:t>с</w:t>
      </w:r>
      <w:r>
        <w:t>ти XII, предусматривающей создание Комиссии по правам человека. Прав</w:t>
      </w:r>
      <w:r>
        <w:t>и</w:t>
      </w:r>
      <w:r>
        <w:t>тельство указало, что в круг обязанностей Комиссии по правам человека вх</w:t>
      </w:r>
      <w:r>
        <w:t>о</w:t>
      </w:r>
      <w:r>
        <w:t>дит предоставление информации о национальной политике в области поощр</w:t>
      </w:r>
      <w:r>
        <w:t>е</w:t>
      </w:r>
      <w:r>
        <w:t>ния равных возможностей и справедливого отношения. Комитет, однако, выр</w:t>
      </w:r>
      <w:r>
        <w:t>а</w:t>
      </w:r>
      <w:r>
        <w:t>зил сожаление по поводу того, что правительство не воспользовалось этой во</w:t>
      </w:r>
      <w:r>
        <w:t>з</w:t>
      </w:r>
      <w:r>
        <w:t>можностью для того, чтобы внести поправку в пункт 4(c) и (d) статьи 23 Ко</w:t>
      </w:r>
      <w:r>
        <w:t>н</w:t>
      </w:r>
      <w:r>
        <w:t>ституции, в соответствии с которым предусмотренная в статье 23 Конституции защита от дискриминации по признаку расы, племенной принадлежности, п</w:t>
      </w:r>
      <w:r>
        <w:t>о</w:t>
      </w:r>
      <w:r>
        <w:t>ла, происхождения, семейного положения, политических взглядов, цвета кожи и вероисповедания, не распространяется на законы, регулирующие вопросы усыновления, брака, развода, погребения, наследования и т.д., и на обычное право той или иной конкретной расовой или племенной группы. Комитет эк</w:t>
      </w:r>
      <w:r>
        <w:t>с</w:t>
      </w:r>
      <w:r>
        <w:t>пертов отметил, что Комитет по правам человека Организации Объединенных Наций в своих заключительных замечаниях 1996 года (CCPR/C/79/Add.62, пункты 3 и 9) сделал вывод о том, что пережитки некоторых традиций и об</w:t>
      </w:r>
      <w:r>
        <w:t>ы</w:t>
      </w:r>
      <w:r>
        <w:t>чаев представляют собой препятствие для эффективного осуществления Ме</w:t>
      </w:r>
      <w:r>
        <w:t>ж</w:t>
      </w:r>
      <w:r>
        <w:t>дународного пакта о гражданских и политических правах, особенно в том, что касается равенства мужчин и женщин, и выразил беспокойство в связи с пол</w:t>
      </w:r>
      <w:r>
        <w:t>о</w:t>
      </w:r>
      <w:r>
        <w:t>жением женщин, которые, несмотря на определенные успехи, по</w:t>
      </w:r>
      <w:r>
        <w:noBreakHyphen/>
        <w:t>прежнему юридически и фактически остаются объектом дискриминации, особенно в пл</w:t>
      </w:r>
      <w:r>
        <w:t>а</w:t>
      </w:r>
      <w:r>
        <w:t>не образования и доступа к р</w:t>
      </w:r>
      <w:r>
        <w:t>а</w:t>
      </w:r>
      <w:r>
        <w:t>боте.</w:t>
      </w:r>
    </w:p>
    <w:p w:rsidR="00000000" w:rsidRDefault="00000000">
      <w:pPr>
        <w:pStyle w:val="SingleTxt"/>
      </w:pPr>
      <w:r>
        <w:t>47.</w:t>
      </w:r>
      <w:r>
        <w:tab/>
        <w:t>Комитет должным образом принял к сведению заявление правительства о том, что профессиональная подготовка исключает дискриминацию в любых формах, запрещенную Конвенцией. Вместе с тем Комитет напомнил о том, что, как показывает опыт, дискриминационная практика в сфере профессиональной подготовки редко бывает следствием принятия законодательных положений или постановлений, имеющих явно выраженный дискриминационный хара</w:t>
      </w:r>
      <w:r>
        <w:t>к</w:t>
      </w:r>
      <w:r>
        <w:t>тер: чаще всего в ее основе лежат стереотипы, касающиеся в основном женщин или некоторых обездоленных групп общества или меньшинств. Комитет также отметил, что, как явствует из содержащейся в докладе информации, процессы экономической либерализации и приватизации, происходившие в рамках пр</w:t>
      </w:r>
      <w:r>
        <w:t>о</w:t>
      </w:r>
      <w:r>
        <w:t>граммы структурной перестройки, значительно сократили возможности для трудоустройства. Правительство указало, что это явление привело к усилению конкуренции между мужчинами и женщинами на рынке труда и что на работу могут устраиваться только наиболее подготовленные кандидаты. В этой связи Комитет просил правительство сообщить о принятых или запланированных им мерах для: a) создания системы информации о разнообразных специальностях, доступных для девушек; и b) обеспечения того, чтобы на занятиях по профор</w:t>
      </w:r>
      <w:r>
        <w:t>и</w:t>
      </w:r>
      <w:r>
        <w:t>ентации для выбора ремесла или специальности не делалось акцента на соц</w:t>
      </w:r>
      <w:r>
        <w:t>и</w:t>
      </w:r>
      <w:r>
        <w:t>альных и культурных факторах, не имеющих отношения к квалификации, тр</w:t>
      </w:r>
      <w:r>
        <w:t>е</w:t>
      </w:r>
      <w:r>
        <w:t>буемой для выполнения конкретной работы, и тем самым не закреплялись с</w:t>
      </w:r>
      <w:r>
        <w:t>у</w:t>
      </w:r>
      <w:r>
        <w:t>ществующие стереотипы.</w:t>
      </w:r>
    </w:p>
    <w:p w:rsidR="00000000" w:rsidRDefault="00000000">
      <w:pPr>
        <w:pStyle w:val="SingleTxt"/>
        <w:rPr>
          <w:i/>
        </w:rPr>
      </w:pPr>
      <w:r>
        <w:t>48.</w:t>
      </w:r>
      <w:r>
        <w:tab/>
      </w:r>
      <w:r>
        <w:rPr>
          <w:i/>
        </w:rPr>
        <w:t>Доклад правительства об осуществлении Конвенции был получен и будет рассмотрен Комитетом на его следующей сессии в ноябре/декабре 2002 года.</w:t>
      </w:r>
    </w:p>
    <w:p w:rsidR="00000000" w:rsidRDefault="00000000">
      <w:pPr>
        <w:pStyle w:val="SingleTxt"/>
        <w:spacing w:after="0" w:line="120" w:lineRule="exact"/>
        <w:rPr>
          <w:sz w:val="10"/>
        </w:rPr>
      </w:pPr>
    </w:p>
    <w:p w:rsidR="00000000" w:rsidRDefault="0000000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Конвенция № 138.</w:t>
      </w:r>
    </w:p>
    <w:p w:rsidR="00000000" w:rsidRDefault="00000000">
      <w:pPr>
        <w:pStyle w:val="SingleTxt"/>
        <w:spacing w:after="0" w:line="120" w:lineRule="exact"/>
        <w:rPr>
          <w:sz w:val="10"/>
        </w:rPr>
      </w:pPr>
    </w:p>
    <w:p w:rsidR="00000000" w:rsidRDefault="00000000">
      <w:pPr>
        <w:pStyle w:val="SingleTxt"/>
      </w:pPr>
      <w:r>
        <w:t>49.</w:t>
      </w:r>
      <w:r>
        <w:tab/>
        <w:t>В своем прямом запросе 2000 года Комитет отметил, что в рамках сфо</w:t>
      </w:r>
      <w:r>
        <w:t>р</w:t>
      </w:r>
      <w:r>
        <w:t>мулированной правительством политики в отношении детей была разработана национальная программа действий в интересах детей, включающая меры пр</w:t>
      </w:r>
      <w:r>
        <w:t>о</w:t>
      </w:r>
      <w:r>
        <w:t>филактики и защиты. В частности, он отметил, что правительство подписало с МОТ меморандум о взаимопонимании, касающийся искоренения наихудших форм детского труда, и разработало ряд мероприятий для ликвидации таких форм труда. В этой связи Комитет отметил создание Национального руковод</w:t>
      </w:r>
      <w:r>
        <w:t>я</w:t>
      </w:r>
      <w:r>
        <w:t>щего комитета по проблеме детского труда и подразделения по проблемам д</w:t>
      </w:r>
      <w:r>
        <w:t>е</w:t>
      </w:r>
      <w:r>
        <w:t>тей в министерстве труда. Комитет также отметил создание таких механизмов, как межведомственный комитет по проблеме детского труда, с целью обесп</w:t>
      </w:r>
      <w:r>
        <w:t>е</w:t>
      </w:r>
      <w:r>
        <w:t>чить эффективное осуществление программ по искоренению экономической эксплу</w:t>
      </w:r>
      <w:r>
        <w:t>а</w:t>
      </w:r>
      <w:r>
        <w:t>тации и детского труда.</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III.</w:t>
      </w:r>
      <w:r>
        <w:tab/>
        <w:t>Дополнительная информация</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Тунис</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50.</w:t>
      </w:r>
      <w:r>
        <w:tab/>
        <w:t>Программа Международной организации труда “InFocus”, призванная способствовать росту занятости за счет развития мелкого предпринимательс</w:t>
      </w:r>
      <w:r>
        <w:t>т</w:t>
      </w:r>
      <w:r>
        <w:t>ва, недавно провела исследование на тему «Рабочие места, гендерная пробл</w:t>
      </w:r>
      <w:r>
        <w:t>е</w:t>
      </w:r>
      <w:r>
        <w:t>матика и мелкие предприятия в Африке и Азии: уроки Бангладеш, Зимбабве, Туниса и Филиппин». Это исследование опубликовано в качестве рабочего д</w:t>
      </w:r>
      <w:r>
        <w:t>о</w:t>
      </w:r>
      <w:r>
        <w:t>куме</w:t>
      </w:r>
      <w:r>
        <w:t>н</w:t>
      </w:r>
      <w:r>
        <w:t>та № 18, «Развитие мелкого предпринимательства».</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Замбия</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SingleTxt"/>
      </w:pPr>
      <w:r>
        <w:t>51.</w:t>
      </w:r>
      <w:r>
        <w:tab/>
        <w:t>Закон о занятости в настоящее время пересматривается при содействии МОТ (см. часть II, касающуюся Замбии, конве</w:t>
      </w:r>
      <w:r>
        <w:t>н</w:t>
      </w:r>
      <w:r>
        <w:t>ция № 103).</w:t>
      </w:r>
    </w:p>
    <w:p w:rsidR="00000000" w:rsidRDefault="00000000">
      <w:pPr>
        <w:pStyle w:val="SingleTxt"/>
      </w:pPr>
      <w:r>
        <w:t>52.</w:t>
      </w:r>
      <w:r>
        <w:tab/>
        <w:t>Правительство подписало с МОТ меморандум о взаимопонимании, к</w:t>
      </w:r>
      <w:r>
        <w:t>а</w:t>
      </w:r>
      <w:r>
        <w:t>сающийся искоренения наихудших форм де</w:t>
      </w:r>
      <w:r>
        <w:t>т</w:t>
      </w:r>
      <w:r>
        <w:t>ского труда.</w:t>
      </w:r>
    </w:p>
    <w:p w:rsidR="00000000" w:rsidRDefault="00000000">
      <w:pPr>
        <w:pStyle w:val="SingleTxt"/>
        <w:spacing w:after="0" w:line="240" w:lineRule="auto"/>
      </w:pPr>
      <w:r>
        <w:rPr>
          <w:w w:val="100"/>
        </w:rPr>
        <w:pict>
          <v:line id="_x0000_s2050" style="position:absolute;left:0;text-align:left;z-index:1;mso-position-horizontal:absolute;mso-position-horizontal-relative:text;mso-position-vertical:absolute;mso-position-vertical-relative:text" from="210.25pt,30pt" to="282.25pt,30pt" o:allowincell="f" strokeweight=".25pt"/>
        </w:pict>
      </w:r>
    </w:p>
    <w:sectPr w:rsidR="00000000">
      <w:endnotePr>
        <w:numFmt w:val="decimal"/>
      </w:endnotePr>
      <w:type w:val="continuous"/>
      <w:pgSz w:w="12240" w:h="15840" w:code="1"/>
      <w:pgMar w:top="1742" w:right="1195" w:bottom="1898" w:left="1195" w:header="576" w:footer="1030" w:gutter="0"/>
      <w:cols w:space="720"/>
      <w:noEndnot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initials="Start">
    <w:p w:rsidR="00000000" w:rsidRDefault="00000000">
      <w:pPr>
        <w:pStyle w:val="CommentText"/>
      </w:pPr>
      <w:r>
        <w:fldChar w:fldCharType="begin"/>
      </w:r>
      <w:r>
        <w:instrText>PAGE \# "'Page: '#'</w:instrText>
      </w:r>
      <w:r>
        <w:br/>
        <w:instrText>'"</w:instrText>
      </w:r>
      <w:r>
        <w:rPr>
          <w:rStyle w:val="CommentReference"/>
        </w:rPr>
        <w:instrText xml:space="preserve">  </w:instrText>
      </w:r>
      <w:r>
        <w:fldChar w:fldCharType="end"/>
      </w:r>
      <w:r>
        <w:rPr>
          <w:rStyle w:val="CommentReference"/>
        </w:rPr>
        <w:annotationRef/>
      </w:r>
      <w:r>
        <w:t>&lt;&lt;ODS JOB NO&gt;&gt;N0238027R&lt;&lt;ODS JOB NO&gt;&gt;</w:t>
      </w:r>
    </w:p>
    <w:p w:rsidR="00000000" w:rsidRDefault="00000000">
      <w:pPr>
        <w:pStyle w:val="CommentText"/>
      </w:pPr>
      <w:r>
        <w:t>&lt;&lt;ODS DOC SYMBOL1&gt;&gt;CEDAW/C/2002/II/3/Add.4&lt;&lt;ODS DOC SYMBOL1&gt;&gt;</w:t>
      </w:r>
    </w:p>
    <w:p w:rsidR="00000000" w:rsidRDefault="00000000">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line="240" w:lineRule="auto"/>
      </w:pPr>
      <w:r>
        <w:separator/>
      </w:r>
    </w:p>
  </w:endnote>
  <w:endnote w:type="continuationSeparator" w:id="0">
    <w:p w:rsidR="00000000" w:rsidRDefault="000000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de 3of9 4.6">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6" w:type="dxa"/>
      <w:tblBorders>
        <w:insideH w:val="single" w:sz="4" w:space="0" w:color="auto"/>
      </w:tblBorders>
      <w:tblLayout w:type="fixed"/>
      <w:tblLook w:val="0000" w:firstRow="0" w:lastRow="0" w:firstColumn="0" w:lastColumn="0" w:noHBand="0" w:noVBand="0"/>
    </w:tblPr>
    <w:tblGrid>
      <w:gridCol w:w="5033"/>
      <w:gridCol w:w="5033"/>
    </w:tblGrid>
    <w:tr w:rsidR="00000000">
      <w:tblPrEx>
        <w:tblCellMar>
          <w:top w:w="0" w:type="dxa"/>
          <w:bottom w:w="0" w:type="dxa"/>
        </w:tblCellMar>
      </w:tblPrEx>
      <w:tc>
        <w:tcPr>
          <w:tcW w:w="5033" w:type="dxa"/>
          <w:vAlign w:val="bottom"/>
        </w:tcPr>
        <w:p w:rsidR="00000000" w:rsidRDefault="00000000">
          <w:pPr>
            <w:pStyle w:val="Footer"/>
          </w:pPr>
          <w:r>
            <w:fldChar w:fldCharType="begin"/>
          </w:r>
          <w:r>
            <w:instrText xml:space="preserve"> PAGE  \* MERGEFORMAT </w:instrText>
          </w:r>
          <w:r>
            <w:fldChar w:fldCharType="separate"/>
          </w:r>
          <w:r>
            <w:t>14</w:t>
          </w:r>
          <w:r>
            <w:fldChar w:fldCharType="end"/>
          </w:r>
        </w:p>
      </w:tc>
      <w:tc>
        <w:tcPr>
          <w:tcW w:w="5033" w:type="dxa"/>
          <w:vAlign w:val="bottom"/>
        </w:tcPr>
        <w:p w:rsidR="00000000" w:rsidRDefault="00000000">
          <w:pPr>
            <w:pStyle w:val="Footer"/>
            <w:jc w:val="right"/>
          </w:pPr>
        </w:p>
      </w:tc>
    </w:tr>
  </w:tbl>
  <w:p w:rsidR="00000000" w:rsidRDefault="000000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6" w:type="dxa"/>
      <w:tblBorders>
        <w:insideH w:val="single" w:sz="4" w:space="0" w:color="auto"/>
      </w:tblBorders>
      <w:tblLayout w:type="fixed"/>
      <w:tblLook w:val="0000" w:firstRow="0" w:lastRow="0" w:firstColumn="0" w:lastColumn="0" w:noHBand="0" w:noVBand="0"/>
    </w:tblPr>
    <w:tblGrid>
      <w:gridCol w:w="5033"/>
      <w:gridCol w:w="5033"/>
    </w:tblGrid>
    <w:tr w:rsidR="00000000">
      <w:tblPrEx>
        <w:tblCellMar>
          <w:top w:w="0" w:type="dxa"/>
          <w:bottom w:w="0" w:type="dxa"/>
        </w:tblCellMar>
      </w:tblPrEx>
      <w:tc>
        <w:tcPr>
          <w:tcW w:w="5033" w:type="dxa"/>
          <w:vAlign w:val="bottom"/>
        </w:tcPr>
        <w:p w:rsidR="00000000" w:rsidRDefault="00000000">
          <w:pPr>
            <w:pStyle w:val="Footer"/>
          </w:pPr>
        </w:p>
      </w:tc>
      <w:tc>
        <w:tcPr>
          <w:tcW w:w="5033" w:type="dxa"/>
          <w:vAlign w:val="bottom"/>
        </w:tcPr>
        <w:p w:rsidR="00000000" w:rsidRDefault="00000000">
          <w:pPr>
            <w:pStyle w:val="Footer"/>
            <w:jc w:val="right"/>
          </w:pPr>
          <w:r>
            <w:fldChar w:fldCharType="begin"/>
          </w:r>
          <w:r>
            <w:instrText xml:space="preserve"> PAGE  \* MERGEFORMAT </w:instrText>
          </w:r>
          <w:r>
            <w:fldChar w:fldCharType="separate"/>
          </w:r>
          <w:r>
            <w:t>14</w:t>
          </w:r>
          <w:r>
            <w:fldChar w:fldCharType="end"/>
          </w:r>
        </w:p>
      </w:tc>
    </w:tr>
  </w:tbl>
  <w:p w:rsidR="00000000" w:rsidRDefault="0000000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p>
  <w:p w:rsidR="00000000" w:rsidRDefault="00000000">
    <w:pPr>
      <w:pStyle w:val="Footer"/>
      <w:rPr>
        <w:b w:val="0"/>
        <w:sz w:val="20"/>
      </w:rPr>
    </w:pPr>
    <w:r>
      <w:rPr>
        <w:b w:val="0"/>
        <w:sz w:val="20"/>
      </w:rPr>
      <w:t>02-38027 (R)    220502    2</w:t>
    </w:r>
    <w:r>
      <w:rPr>
        <w:b w:val="0"/>
        <w:noProof w:val="0"/>
        <w:sz w:val="20"/>
        <w:lang w:val="ru-RU"/>
      </w:rPr>
      <w:t>4</w:t>
    </w:r>
    <w:r>
      <w:rPr>
        <w:b w:val="0"/>
        <w:sz w:val="20"/>
      </w:rPr>
      <w:t>0502</w:t>
    </w:r>
  </w:p>
  <w:p w:rsidR="00000000" w:rsidRDefault="00000000">
    <w:pPr>
      <w:pStyle w:val="Footer"/>
      <w:spacing w:before="60" w:line="200" w:lineRule="exact"/>
      <w:rPr>
        <w:rFonts w:ascii="Code 3of9 4.6" w:hAnsi="Code 3of9 4.6"/>
        <w:b w:val="0"/>
        <w:sz w:val="20"/>
      </w:rPr>
    </w:pPr>
    <w:r>
      <w:rPr>
        <w:rFonts w:ascii="Code 3of9 4.6" w:hAnsi="Code 3of9 4.6"/>
        <w:b w:val="0"/>
        <w:sz w:val="20"/>
      </w:rPr>
      <w:t>*0238027*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pStyle w:val="Footer"/>
        <w:spacing w:after="80"/>
        <w:ind w:left="792"/>
        <w:rPr>
          <w:sz w:val="16"/>
        </w:rPr>
      </w:pPr>
      <w:r>
        <w:rPr>
          <w:sz w:val="16"/>
        </w:rPr>
        <w:t>__________________</w:t>
      </w:r>
    </w:p>
  </w:footnote>
  <w:footnote w:type="continuationSeparator" w:id="0">
    <w:p w:rsidR="00000000" w:rsidRDefault="00000000">
      <w:pPr>
        <w:pStyle w:val="Footer"/>
        <w:spacing w:after="80"/>
        <w:ind w:left="792"/>
        <w:rPr>
          <w:sz w:val="16"/>
        </w:rPr>
      </w:pPr>
      <w:r>
        <w:rPr>
          <w:sz w:val="16"/>
        </w:rPr>
        <w:t>__________________</w:t>
      </w:r>
    </w:p>
  </w:footnote>
  <w:footnote w:id="1">
    <w:p w:rsidR="00000000" w:rsidRDefault="00000000">
      <w:pPr>
        <w:pStyle w:val="FootnoteText"/>
        <w:tabs>
          <w:tab w:val="clear" w:pos="418"/>
          <w:tab w:val="right" w:pos="1195"/>
          <w:tab w:val="left" w:pos="1267"/>
          <w:tab w:val="left" w:pos="1742"/>
          <w:tab w:val="left" w:pos="2218"/>
          <w:tab w:val="left" w:pos="2693"/>
        </w:tabs>
        <w:ind w:left="1267" w:right="1260" w:hanging="432"/>
      </w:pPr>
      <w:r>
        <w:rPr>
          <w:lang w:val="en-US"/>
        </w:rPr>
        <w:tab/>
      </w:r>
      <w:r>
        <w:t>*</w:t>
      </w:r>
      <w:r>
        <w:rPr>
          <w:lang w:val="en-US"/>
        </w:rPr>
        <w:tab/>
        <w:t>CEDAW/C/200</w:t>
      </w:r>
      <w:r>
        <w:t>2</w:t>
      </w:r>
      <w:r>
        <w:rPr>
          <w:lang w:val="en-US"/>
        </w:rPr>
        <w:t>/II/1.</w:t>
      </w:r>
    </w:p>
  </w:footnote>
  <w:footnote w:id="2">
    <w:p w:rsidR="00000000" w:rsidRDefault="00000000">
      <w:pPr>
        <w:pStyle w:val="FootnoteText"/>
        <w:tabs>
          <w:tab w:val="clear" w:pos="418"/>
          <w:tab w:val="right" w:pos="1195"/>
          <w:tab w:val="left" w:pos="1267"/>
          <w:tab w:val="left" w:pos="1742"/>
          <w:tab w:val="left" w:pos="2218"/>
          <w:tab w:val="left" w:pos="2693"/>
        </w:tabs>
        <w:ind w:left="1267" w:right="1260" w:hanging="432"/>
      </w:pPr>
      <w:r>
        <w:rPr>
          <w:lang w:val="en-US"/>
        </w:rPr>
        <w:tab/>
      </w:r>
      <w:r>
        <w:t>**</w:t>
      </w:r>
      <w:r>
        <w:rPr>
          <w:lang w:val="en-US"/>
        </w:rPr>
        <w:tab/>
      </w:r>
      <w:r>
        <w:t>Настоящий документ был несвоевременно представлен конференционным службам без объяснения, требуемого в соответствии с пунктом 8 резолюции 53/208 </w:t>
      </w:r>
      <w:r>
        <w:rPr>
          <w:lang w:val="en-US"/>
        </w:rPr>
        <w:t>B</w:t>
      </w:r>
      <w:r>
        <w:t xml:space="preserve"> Генеральной Ассамблеи, в котором Ассамблея постановила, что в случае несвоевременного представления доклада конференционным службам в примечании к документ</w:t>
      </w:r>
      <w:r>
        <w:rPr>
          <w:lang w:val="en-US"/>
        </w:rPr>
        <w:t>у</w:t>
      </w:r>
      <w:r>
        <w:t xml:space="preserve"> следует указывать причины этого.</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pict>
        <v:shapetype id="_x0000_t202" coordsize="21600,21600" o:spt="202" path="m,l,21600r21600,l21600,xe">
          <v:stroke joinstyle="miter"/>
          <v:path gradientshapeok="t" o:connecttype="rect"/>
        </v:shapetype>
        <v:shape id="_x0000_s1026" type="#_x0000_t202" style="position:absolute;margin-left:-5.75pt;margin-top:0;width:7in;height:50.4pt;z-index:2;mso-wrap-edited:f;mso-position-horizontal:absolute;mso-position-horizontal-relative:text;mso-position-vertical:absolute;mso-position-vertical-relative:text" wrapcoords="-32 0 -32 21278 21600 21278 21600 0 -32 0" o:allowincell="f" stroked="f">
          <v:textbox style="mso-rotate-with-shape:t" inset="0,0,0,0">
            <w:txbxContent>
              <w:tbl>
                <w:tblPr>
                  <w:tblW w:w="0" w:type="auto"/>
                  <w:tblInd w:w="110"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47"/>
                </w:tblGrid>
                <w:tr w:rsidR="00000000">
                  <w:tblPrEx>
                    <w:tblCellMar>
                      <w:top w:w="0" w:type="dxa"/>
                      <w:left w:w="0" w:type="dxa"/>
                      <w:bottom w:w="0" w:type="dxa"/>
                      <w:right w:w="0" w:type="dxa"/>
                    </w:tblCellMar>
                  </w:tblPrEx>
                  <w:trPr>
                    <w:trHeight w:hRule="exact" w:val="864"/>
                  </w:trPr>
                  <w:tc>
                    <w:tcPr>
                      <w:tcW w:w="4838" w:type="dxa"/>
                      <w:vAlign w:val="bottom"/>
                    </w:tcPr>
                    <w:p w:rsidR="00000000" w:rsidRDefault="00000000">
                      <w:pPr>
                        <w:pStyle w:val="Header"/>
                        <w:spacing w:after="80"/>
                        <w:rPr>
                          <w:b/>
                        </w:rPr>
                      </w:pPr>
                      <w:r>
                        <w:rPr>
                          <w:b/>
                        </w:rPr>
                        <w:t>CEDAW/C/2002/II/3/Add.4</w:t>
                      </w:r>
                    </w:p>
                  </w:tc>
                  <w:tc>
                    <w:tcPr>
                      <w:tcW w:w="5047" w:type="dxa"/>
                      <w:vAlign w:val="bottom"/>
                    </w:tcPr>
                    <w:p w:rsidR="00000000" w:rsidRDefault="00000000">
                      <w:pPr>
                        <w:pStyle w:val="Header"/>
                      </w:pPr>
                    </w:p>
                  </w:tc>
                </w:tr>
              </w:tbl>
              <w:p w:rsidR="00000000" w:rsidRDefault="00000000"/>
            </w:txbxContent>
          </v:textbox>
          <w10:wrap type="tight" side="right"/>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pict>
        <v:shapetype id="_x0000_t202" coordsize="21600,21600" o:spt="202" path="m,l,21600r21600,l21600,xe">
          <v:stroke joinstyle="miter"/>
          <v:path gradientshapeok="t" o:connecttype="rect"/>
        </v:shapetype>
        <v:shape id="_x0000_s1025" type="#_x0000_t202" style="position:absolute;margin-left:-5.75pt;margin-top:0;width:7in;height:50.4pt;z-index:1;mso-wrap-edited:f;mso-position-horizontal:absolute;mso-position-horizontal-relative:text;mso-position-vertical:absolute;mso-position-vertical-relative:text" wrapcoords="-32 0 -32 21278 21600 21278 21600 0 -32 0" o:allowincell="f" stroked="f">
          <v:textbox style="mso-rotate-with-shape:t" inset="0,0,0,0">
            <w:txbxContent>
              <w:tbl>
                <w:tblPr>
                  <w:tblW w:w="0" w:type="auto"/>
                  <w:tblInd w:w="110"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47"/>
                </w:tblGrid>
                <w:tr w:rsidR="00000000">
                  <w:tblPrEx>
                    <w:tblCellMar>
                      <w:top w:w="0" w:type="dxa"/>
                      <w:left w:w="0" w:type="dxa"/>
                      <w:bottom w:w="0" w:type="dxa"/>
                      <w:right w:w="0" w:type="dxa"/>
                    </w:tblCellMar>
                  </w:tblPrEx>
                  <w:trPr>
                    <w:trHeight w:hRule="exact" w:val="864"/>
                  </w:trPr>
                  <w:tc>
                    <w:tcPr>
                      <w:tcW w:w="4838" w:type="dxa"/>
                      <w:vAlign w:val="bottom"/>
                    </w:tcPr>
                    <w:p w:rsidR="00000000" w:rsidRDefault="00000000">
                      <w:pPr>
                        <w:pStyle w:val="Header"/>
                      </w:pPr>
                    </w:p>
                  </w:tc>
                  <w:tc>
                    <w:tcPr>
                      <w:tcW w:w="5047" w:type="dxa"/>
                      <w:vAlign w:val="bottom"/>
                    </w:tcPr>
                    <w:p w:rsidR="00000000" w:rsidRDefault="00000000">
                      <w:pPr>
                        <w:pStyle w:val="Header"/>
                        <w:spacing w:after="80"/>
                        <w:jc w:val="right"/>
                        <w:rPr>
                          <w:b/>
                        </w:rPr>
                      </w:pPr>
                      <w:r>
                        <w:rPr>
                          <w:b/>
                        </w:rPr>
                        <w:t>CEDAW/C/2002/II/3/Add.4</w:t>
                      </w:r>
                    </w:p>
                  </w:tc>
                </w:tr>
              </w:tbl>
              <w:p w:rsidR="00000000" w:rsidRDefault="00000000"/>
            </w:txbxContent>
          </v:textbox>
          <w10:wrap type="tight" side="right"/>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7"/>
      <w:gridCol w:w="3154"/>
      <w:gridCol w:w="245"/>
      <w:gridCol w:w="1828"/>
      <w:gridCol w:w="245"/>
      <w:gridCol w:w="3140"/>
    </w:tblGrid>
    <w:tr w:rsidR="00000000">
      <w:tblPrEx>
        <w:tblCellMar>
          <w:top w:w="0" w:type="dxa"/>
          <w:left w:w="0" w:type="dxa"/>
          <w:bottom w:w="0" w:type="dxa"/>
          <w:right w:w="0" w:type="dxa"/>
        </w:tblCellMar>
      </w:tblPrEx>
      <w:trPr>
        <w:cantSplit/>
        <w:trHeight w:hRule="exact" w:val="864"/>
      </w:trPr>
      <w:tc>
        <w:tcPr>
          <w:tcW w:w="4421" w:type="dxa"/>
          <w:gridSpan w:val="2"/>
          <w:tcBorders>
            <w:top w:val="nil"/>
            <w:left w:val="nil"/>
            <w:bottom w:val="nil"/>
            <w:right w:val="nil"/>
          </w:tcBorders>
          <w:vAlign w:val="bottom"/>
        </w:tcPr>
        <w:p w:rsidR="00000000" w:rsidRDefault="00000000">
          <w:pPr>
            <w:pStyle w:val="HCh"/>
            <w:spacing w:after="80"/>
            <w:rPr>
              <w:b w:val="0"/>
              <w:spacing w:val="2"/>
              <w:w w:val="96"/>
            </w:rPr>
          </w:pPr>
          <w:r>
            <w:rPr>
              <w:b w:val="0"/>
              <w:spacing w:val="2"/>
              <w:w w:val="96"/>
            </w:rPr>
            <w:t>Организация Объединенных Наций</w:t>
          </w:r>
        </w:p>
      </w:tc>
      <w:tc>
        <w:tcPr>
          <w:tcW w:w="245" w:type="dxa"/>
          <w:tcBorders>
            <w:top w:val="nil"/>
            <w:left w:val="nil"/>
            <w:bottom w:val="nil"/>
            <w:right w:val="nil"/>
          </w:tcBorders>
          <w:vAlign w:val="bottom"/>
        </w:tcPr>
        <w:p w:rsidR="00000000" w:rsidRDefault="00000000">
          <w:pPr>
            <w:pStyle w:val="Header"/>
            <w:spacing w:after="120"/>
          </w:pPr>
        </w:p>
      </w:tc>
      <w:tc>
        <w:tcPr>
          <w:tcW w:w="5213" w:type="dxa"/>
          <w:gridSpan w:val="3"/>
          <w:tcBorders>
            <w:top w:val="nil"/>
            <w:left w:val="nil"/>
            <w:bottom w:val="nil"/>
            <w:right w:val="nil"/>
          </w:tcBorders>
          <w:vAlign w:val="bottom"/>
        </w:tcPr>
        <w:p w:rsidR="00000000" w:rsidRDefault="00000000">
          <w:pPr>
            <w:pStyle w:val="Header"/>
            <w:spacing w:after="20"/>
            <w:jc w:val="right"/>
            <w:rPr>
              <w:sz w:val="20"/>
            </w:rPr>
          </w:pPr>
          <w:r>
            <w:rPr>
              <w:sz w:val="40"/>
            </w:rPr>
            <w:t>CEDAW</w:t>
          </w:r>
          <w:r>
            <w:rPr>
              <w:sz w:val="20"/>
            </w:rPr>
            <w:t>/C/2002/II/3/Add.4</w:t>
          </w:r>
        </w:p>
      </w:tc>
    </w:tr>
    <w:tr w:rsidR="00000000">
      <w:tblPrEx>
        <w:tblCellMar>
          <w:top w:w="0" w:type="dxa"/>
          <w:left w:w="0" w:type="dxa"/>
          <w:bottom w:w="0" w:type="dxa"/>
          <w:right w:w="0" w:type="dxa"/>
        </w:tblCellMar>
      </w:tblPrEx>
      <w:trPr>
        <w:trHeight w:hRule="exact" w:val="2880"/>
      </w:trPr>
      <w:tc>
        <w:tcPr>
          <w:tcW w:w="1267" w:type="dxa"/>
          <w:tcBorders>
            <w:left w:val="nil"/>
            <w:bottom w:val="single" w:sz="12" w:space="0" w:color="auto"/>
            <w:right w:val="nil"/>
          </w:tcBorders>
        </w:tcPr>
        <w:p w:rsidR="00000000" w:rsidRDefault="00000000">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fillcolor="window">
                <v:imagedata r:id="rId1" o:title="_unlogo"/>
              </v:shape>
            </w:pict>
          </w:r>
        </w:p>
        <w:p w:rsidR="00000000" w:rsidRDefault="00000000">
          <w:pPr>
            <w:pStyle w:val="Header"/>
            <w:spacing w:before="109"/>
          </w:pPr>
        </w:p>
      </w:tc>
      <w:tc>
        <w:tcPr>
          <w:tcW w:w="5227" w:type="dxa"/>
          <w:gridSpan w:val="3"/>
          <w:tcBorders>
            <w:left w:val="nil"/>
            <w:bottom w:val="single" w:sz="12" w:space="0" w:color="auto"/>
            <w:right w:val="nil"/>
          </w:tcBorders>
        </w:tcPr>
        <w:p w:rsidR="00000000" w:rsidRDefault="00000000">
          <w:pPr>
            <w:pStyle w:val="XLarge"/>
            <w:spacing w:before="109" w:line="330" w:lineRule="exact"/>
            <w:rPr>
              <w:sz w:val="34"/>
            </w:rPr>
          </w:pPr>
          <w:r>
            <w:rPr>
              <w:sz w:val="34"/>
            </w:rPr>
            <w:t>Конвенция о ликвидации всех форм дискриминации в отношении женщин</w:t>
          </w:r>
        </w:p>
      </w:tc>
      <w:tc>
        <w:tcPr>
          <w:tcW w:w="245" w:type="dxa"/>
          <w:tcBorders>
            <w:left w:val="nil"/>
            <w:bottom w:val="single" w:sz="12" w:space="0" w:color="auto"/>
            <w:right w:val="nil"/>
          </w:tcBorders>
        </w:tcPr>
        <w:p w:rsidR="00000000" w:rsidRDefault="00000000">
          <w:pPr>
            <w:pStyle w:val="Header"/>
            <w:spacing w:before="109"/>
          </w:pPr>
        </w:p>
      </w:tc>
      <w:tc>
        <w:tcPr>
          <w:tcW w:w="3140" w:type="dxa"/>
          <w:tcBorders>
            <w:left w:val="nil"/>
            <w:bottom w:val="single" w:sz="12" w:space="0" w:color="auto"/>
            <w:right w:val="nil"/>
          </w:tcBorders>
        </w:tcPr>
        <w:p w:rsidR="00000000" w:rsidRDefault="00000000">
          <w:pPr>
            <w:spacing w:before="240"/>
          </w:pPr>
          <w:r>
            <w:t>Distr.: General</w:t>
          </w:r>
        </w:p>
        <w:p w:rsidR="00000000" w:rsidRDefault="00000000">
          <w:r>
            <w:rPr>
              <w:lang w:val="en-US"/>
            </w:rPr>
            <w:t>8</w:t>
          </w:r>
          <w:r>
            <w:t xml:space="preserve"> May 2002</w:t>
          </w:r>
        </w:p>
        <w:p w:rsidR="00000000" w:rsidRDefault="00000000">
          <w:r>
            <w:t>Russian</w:t>
          </w:r>
        </w:p>
        <w:p w:rsidR="00000000" w:rsidRDefault="00000000">
          <w:r>
            <w:t>Original: English</w:t>
          </w:r>
        </w:p>
      </w:tc>
    </w:tr>
  </w:tbl>
  <w:p w:rsidR="00000000" w:rsidRDefault="00000000">
    <w:pPr>
      <w:pStyle w:val="Header"/>
      <w:spacing w:line="20" w:lineRule="exact"/>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59CADF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372B83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3CEA354"/>
    <w:lvl w:ilvl="0">
      <w:start w:val="1"/>
      <w:numFmt w:val="decimal"/>
      <w:pStyle w:val="ListNumber3"/>
      <w:lvlText w:val="%1."/>
      <w:lvlJc w:val="left"/>
      <w:pPr>
        <w:tabs>
          <w:tab w:val="num" w:pos="926"/>
        </w:tabs>
        <w:ind w:left="926" w:hanging="360"/>
      </w:pPr>
    </w:lvl>
  </w:abstractNum>
  <w:abstractNum w:abstractNumId="3">
    <w:nsid w:val="FFFFFF7F"/>
    <w:multiLevelType w:val="singleLevel"/>
    <w:tmpl w:val="93C2E390"/>
    <w:lvl w:ilvl="0">
      <w:start w:val="1"/>
      <w:numFmt w:val="decimal"/>
      <w:pStyle w:val="ListNumber2"/>
      <w:lvlText w:val="%1."/>
      <w:lvlJc w:val="left"/>
      <w:pPr>
        <w:tabs>
          <w:tab w:val="num" w:pos="643"/>
        </w:tabs>
        <w:ind w:left="643" w:hanging="360"/>
      </w:pPr>
    </w:lvl>
  </w:abstractNum>
  <w:abstractNum w:abstractNumId="4">
    <w:nsid w:val="FFFFFF88"/>
    <w:multiLevelType w:val="singleLevel"/>
    <w:tmpl w:val="A450318C"/>
    <w:lvl w:ilvl="0">
      <w:start w:val="1"/>
      <w:numFmt w:val="decimal"/>
      <w:pStyle w:val="ListNumber"/>
      <w:lvlText w:val="%1."/>
      <w:lvlJc w:val="left"/>
      <w:pPr>
        <w:tabs>
          <w:tab w:val="num" w:pos="360"/>
        </w:tabs>
        <w:ind w:left="360" w:hanging="360"/>
      </w:pPr>
    </w:lvl>
  </w:abstractNum>
  <w:abstractNum w:abstractNumId="5">
    <w:nsid w:val="34DC129E"/>
    <w:multiLevelType w:val="singleLevel"/>
    <w:tmpl w:val="03EE3166"/>
    <w:lvl w:ilvl="0">
      <w:start w:val="1"/>
      <w:numFmt w:val="decimal"/>
      <w:pStyle w:val="ListContinue2"/>
      <w:lvlText w:val="%1."/>
      <w:lvlJc w:val="right"/>
      <w:pPr>
        <w:tabs>
          <w:tab w:val="num" w:pos="792"/>
        </w:tabs>
        <w:ind w:left="792" w:hanging="317"/>
      </w:pPr>
      <w:rPr>
        <w:rFonts w:hint="default"/>
      </w:rPr>
    </w:lvl>
  </w:abstractNum>
  <w:abstractNum w:abstractNumId="6">
    <w:nsid w:val="7F1D40EF"/>
    <w:multiLevelType w:val="multilevel"/>
    <w:tmpl w:val="5B02F7C2"/>
    <w:name w:val="TOC2222"/>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lowerLetter"/>
      <w:lvlText w:val="%6."/>
      <w:lvlJc w:val="left"/>
      <w:pPr>
        <w:tabs>
          <w:tab w:val="num" w:pos="3456"/>
        </w:tabs>
        <w:ind w:left="3456" w:hanging="432"/>
      </w:pPr>
    </w:lvl>
    <w:lvl w:ilvl="6">
      <w:start w:val="1"/>
      <w:numFmt w:val="lowerRoman"/>
      <w:lvlText w:val="%7."/>
      <w:lvlJc w:val="left"/>
      <w:pPr>
        <w:tabs>
          <w:tab w:val="num" w:pos="3888"/>
        </w:tabs>
        <w:ind w:left="3888" w:hanging="432"/>
      </w:pPr>
    </w:lvl>
    <w:lvl w:ilvl="7">
      <w:start w:val="1"/>
      <w:numFmt w:val="none"/>
      <w:suff w:val="nothing"/>
      <w:lvlText w:val="%8"/>
      <w:lvlJc w:val="left"/>
      <w:pPr>
        <w:ind w:left="3888" w:firstLine="0"/>
      </w:pPr>
    </w:lvl>
    <w:lvl w:ilvl="8">
      <w:start w:val="1"/>
      <w:numFmt w:val="none"/>
      <w:suff w:val="nothing"/>
      <w:lvlText w:val="%9"/>
      <w:lvlJc w:val="left"/>
      <w:pPr>
        <w:ind w:left="3888" w:firstLine="0"/>
      </w:pPr>
    </w:lvl>
  </w:abstractNum>
  <w:num w:numId="1">
    <w:abstractNumId w:val="5"/>
  </w:num>
  <w:num w:numId="2">
    <w:abstractNumId w:val="4"/>
  </w:num>
  <w:num w:numId="3">
    <w:abstractNumId w:val="4"/>
  </w:num>
  <w:num w:numId="4">
    <w:abstractNumId w:val="3"/>
  </w:num>
  <w:num w:numId="5">
    <w:abstractNumId w:val="3"/>
  </w:num>
  <w:num w:numId="6">
    <w:abstractNumId w:val="2"/>
  </w:num>
  <w:num w:numId="7">
    <w:abstractNumId w:val="2"/>
  </w:num>
  <w:num w:numId="8">
    <w:abstractNumId w:val="1"/>
  </w:num>
  <w:num w:numId="9">
    <w:abstractNumId w:val="1"/>
  </w:num>
  <w:num w:numId="10">
    <w:abstractNumId w:val="0"/>
  </w:num>
  <w:num w:numId="11">
    <w:abstractNumId w:val="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GrammaticalErrors/>
  <w:activeWritingStyle w:appName="MSWord" w:lang="ru-RU" w:vendorID="1" w:dllVersion="512" w:checkStyle="1"/>
  <w:doNotTrackMoves/>
  <w:defaultTabStop w:val="475"/>
  <w:autoHyphenation/>
  <w:hyphenationZone w:val="220"/>
  <w:doNotHyphenateCaps/>
  <w:evenAndOddHeaders/>
  <w:displayHorizontalDrawingGridEvery w:val="0"/>
  <w:displayVerticalDrawingGridEvery w:val="0"/>
  <w:doNotUseMarginsForDrawingGridOrigin/>
  <w:noPunctuationKerning/>
  <w:characterSpacingControl w:val="doNotCompress"/>
  <w:hdrShapeDefaults>
    <o:shapedefaults v:ext="edit" spidmax="3074"/>
    <o:shapelayout v:ext="edit">
      <o:idmap v:ext="edit" data="1"/>
    </o:shapelayout>
  </w:hdrShapeDefaults>
  <w:footnotePr>
    <w:footnote w:id="-1"/>
    <w:footnote w:id="0"/>
  </w:footnotePr>
  <w:endnotePr>
    <w:numFmt w:val="decimal"/>
    <w:endnote w:id="-1"/>
    <w:endnote w:id="0"/>
  </w:endnotePr>
  <w:compat>
    <w:noColumnBalance/>
    <w:printColBlack/>
    <w:showBreaksInFrames/>
    <w:suppressBottomSpacing/>
    <w:suppressTopSpacing/>
    <w:suppressTopSpacingWP/>
    <w:suppressSpBfAfterPgBrk/>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reationDt" w:val="22/05/2002 3:11: PM"/>
    <w:docVar w:name="DocCategory" w:val="Doc"/>
    <w:docVar w:name="DocType" w:val="Final"/>
    <w:docVar w:name="JobNo" w:val="0238027R"/>
    <w:docVar w:name="OandT" w:val=" "/>
    <w:docVar w:name="Symbol1" w:val="CEDAW/C/2002/II/3/Add.4"/>
    <w:docVar w:name="Symbol2" w:val="-"/>
  </w:docVar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40" w:lineRule="exact"/>
    </w:pPr>
    <w:rPr>
      <w:spacing w:val="4"/>
      <w:w w:val="103"/>
      <w:kern w:val="14"/>
      <w:lang w:val="ru-RU"/>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HM">
    <w:name w:val="_ H __M"/>
    <w:basedOn w:val="Normal"/>
    <w:next w:val="Normal"/>
    <w:pPr>
      <w:keepNext/>
      <w:keepLines/>
      <w:suppressAutoHyphens/>
      <w:spacing w:line="360" w:lineRule="exact"/>
      <w:outlineLvl w:val="0"/>
    </w:pPr>
    <w:rPr>
      <w:b/>
      <w:spacing w:val="-3"/>
      <w:w w:val="99"/>
      <w:sz w:val="34"/>
    </w:rPr>
  </w:style>
  <w:style w:type="paragraph" w:customStyle="1" w:styleId="H1">
    <w:name w:val="_ H_1"/>
    <w:basedOn w:val="Normal"/>
    <w:next w:val="SingleTxt"/>
    <w:pPr>
      <w:suppressAutoHyphens/>
      <w:spacing w:line="270" w:lineRule="exact"/>
      <w:outlineLvl w:val="0"/>
    </w:pPr>
    <w:rPr>
      <w:b/>
      <w:sz w:val="24"/>
    </w:rPr>
  </w:style>
  <w:style w:type="paragraph" w:customStyle="1" w:styleId="HCh">
    <w:name w:val="_ H _Ch"/>
    <w:basedOn w:val="H1"/>
    <w:next w:val="Normal"/>
    <w:pPr>
      <w:keepNext/>
      <w:keepLines/>
      <w:spacing w:line="300" w:lineRule="exact"/>
    </w:pPr>
    <w:rPr>
      <w:spacing w:val="-2"/>
      <w:sz w:val="28"/>
    </w:rPr>
  </w:style>
  <w:style w:type="paragraph" w:customStyle="1" w:styleId="H23">
    <w:name w:val="_ H_2/3"/>
    <w:basedOn w:val="H1"/>
    <w:next w:val="Normal"/>
    <w:pPr>
      <w:keepNext/>
      <w:keepLines/>
      <w:spacing w:line="240" w:lineRule="exact"/>
      <w:outlineLvl w:val="1"/>
    </w:pPr>
    <w:rPr>
      <w:spacing w:val="2"/>
      <w:sz w:val="20"/>
    </w:rPr>
  </w:style>
  <w:style w:type="paragraph" w:customStyle="1" w:styleId="H4">
    <w:name w:val="_ H_4"/>
    <w:basedOn w:val="Normal"/>
    <w:next w:val="SingleTxt"/>
    <w:pPr>
      <w:keepNext/>
      <w:keepLines/>
      <w:tabs>
        <w:tab w:val="right" w:pos="360"/>
      </w:tabs>
      <w:suppressAutoHyphens/>
      <w:outlineLvl w:val="3"/>
    </w:pPr>
    <w:rPr>
      <w:i/>
      <w:spacing w:val="3"/>
    </w:rPr>
  </w:style>
  <w:style w:type="paragraph" w:customStyle="1" w:styleId="H56">
    <w:name w:val="_ H_5/6"/>
    <w:basedOn w:val="Normal"/>
    <w:next w:val="Normal"/>
    <w:pPr>
      <w:keepNext/>
      <w:keepLines/>
      <w:tabs>
        <w:tab w:val="right" w:pos="360"/>
      </w:tabs>
      <w:suppressAutoHyphens/>
      <w:outlineLvl w:val="4"/>
    </w:pPr>
  </w:style>
  <w:style w:type="paragraph" w:customStyle="1" w:styleId="DualTxt">
    <w:name w:val="__Dual Txt"/>
    <w:basedOn w:val="Normal"/>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pPr>
      <w:keepNext/>
      <w:keepLines/>
      <w:tabs>
        <w:tab w:val="right" w:leader="dot" w:pos="360"/>
      </w:tabs>
      <w:suppressAutoHyphens/>
      <w:spacing w:line="390" w:lineRule="exact"/>
      <w:ind w:left="1267" w:right="1267"/>
      <w:outlineLvl w:val="0"/>
    </w:pPr>
    <w:rPr>
      <w:b/>
      <w:spacing w:val="-4"/>
      <w:w w:val="98"/>
      <w:sz w:val="40"/>
    </w:rPr>
  </w:style>
  <w:style w:type="paragraph" w:customStyle="1" w:styleId="SL">
    <w:name w:val="__S_L"/>
    <w:basedOn w:val="SM"/>
    <w:next w:val="Normal"/>
    <w:pPr>
      <w:spacing w:line="540" w:lineRule="exact"/>
    </w:pPr>
    <w:rPr>
      <w:spacing w:val="-8"/>
      <w:w w:val="96"/>
      <w:sz w:val="57"/>
    </w:rPr>
  </w:style>
  <w:style w:type="paragraph" w:customStyle="1" w:styleId="SS">
    <w:name w:val="__S_S"/>
    <w:basedOn w:val="HCh"/>
    <w:next w:val="Normal"/>
    <w:pPr>
      <w:ind w:left="1267" w:right="1267"/>
    </w:pPr>
  </w:style>
  <w:style w:type="paragraph" w:customStyle="1" w:styleId="SingleTxt">
    <w:name w:val="__Single Txt"/>
    <w:basedOn w:val="Normal"/>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style>
  <w:style w:type="character" w:styleId="CommentReference">
    <w:name w:val="annotation reference"/>
    <w:semiHidden/>
    <w:rPr>
      <w:sz w:val="6"/>
    </w:rPr>
  </w:style>
  <w:style w:type="character" w:styleId="FootnoteReference">
    <w:name w:val="footnote reference"/>
    <w:semiHidden/>
    <w:rPr>
      <w:spacing w:val="-5"/>
      <w:w w:val="130"/>
      <w:position w:val="-4"/>
      <w:vertAlign w:val="superscript"/>
    </w:rPr>
  </w:style>
  <w:style w:type="character" w:styleId="EndnoteReference">
    <w:name w:val="endnote reference"/>
    <w:basedOn w:val="FootnoteReference"/>
    <w:semiHidden/>
    <w:rPr>
      <w:spacing w:val="-5"/>
      <w:w w:val="130"/>
      <w:position w:val="-4"/>
      <w:vertAlign w:val="superscript"/>
    </w:rPr>
  </w:style>
  <w:style w:type="paragraph" w:styleId="FootnoteText">
    <w:name w:val="footnote text"/>
    <w:basedOn w:val="Normal"/>
    <w:semiHidden/>
    <w:pPr>
      <w:widowControl w:val="0"/>
      <w:tabs>
        <w:tab w:val="right" w:pos="418"/>
      </w:tabs>
      <w:suppressAutoHyphens/>
      <w:spacing w:line="210" w:lineRule="exact"/>
      <w:ind w:left="475" w:hanging="475"/>
    </w:pPr>
    <w:rPr>
      <w:spacing w:val="5"/>
      <w:w w:val="104"/>
      <w:sz w:val="17"/>
    </w:rPr>
  </w:style>
  <w:style w:type="paragraph" w:styleId="EndnoteText">
    <w:name w:val="endnote text"/>
    <w:basedOn w:val="FootnoteText"/>
    <w:semiHidden/>
  </w:style>
  <w:style w:type="paragraph" w:styleId="Footer">
    <w:name w:val="footer"/>
    <w:semiHidden/>
    <w:pPr>
      <w:tabs>
        <w:tab w:val="center" w:pos="4320"/>
        <w:tab w:val="right" w:pos="8640"/>
      </w:tabs>
    </w:pPr>
    <w:rPr>
      <w:b/>
      <w:noProof/>
      <w:sz w:val="17"/>
    </w:rPr>
  </w:style>
  <w:style w:type="paragraph" w:styleId="Header">
    <w:name w:val="header"/>
    <w:semiHidden/>
    <w:pPr>
      <w:tabs>
        <w:tab w:val="center" w:pos="4320"/>
        <w:tab w:val="right" w:pos="8640"/>
      </w:tabs>
    </w:pPr>
    <w:rPr>
      <w:noProof/>
      <w:sz w:val="17"/>
    </w:rPr>
  </w:style>
  <w:style w:type="character" w:styleId="LineNumber">
    <w:name w:val="line number"/>
    <w:semiHidden/>
    <w:rPr>
      <w:sz w:val="14"/>
    </w:rPr>
  </w:style>
  <w:style w:type="paragraph" w:styleId="ListContinue2">
    <w:name w:val="List Continue 2"/>
    <w:basedOn w:val="Normal"/>
    <w:next w:val="Normal"/>
    <w:semiHidden/>
    <w:pPr>
      <w:numPr>
        <w:numId w:val="1"/>
      </w:numPr>
      <w:spacing w:after="120"/>
    </w:pPr>
  </w:style>
  <w:style w:type="paragraph" w:styleId="ListNumber">
    <w:name w:val="List Number"/>
    <w:basedOn w:val="H1"/>
    <w:next w:val="Normal"/>
    <w:semiHidden/>
    <w:pPr>
      <w:numPr>
        <w:numId w:val="3"/>
      </w:numPr>
      <w:tabs>
        <w:tab w:val="clear" w:pos="360"/>
        <w:tab w:val="num" w:pos="792"/>
      </w:tabs>
      <w:ind w:left="792" w:hanging="317"/>
    </w:pPr>
  </w:style>
  <w:style w:type="paragraph" w:styleId="ListNumber2">
    <w:name w:val="List Number 2"/>
    <w:basedOn w:val="H23"/>
    <w:next w:val="Normal"/>
    <w:semiHidden/>
    <w:pPr>
      <w:numPr>
        <w:numId w:val="5"/>
      </w:numPr>
      <w:tabs>
        <w:tab w:val="clear" w:pos="643"/>
        <w:tab w:val="num" w:pos="792"/>
      </w:tabs>
      <w:ind w:left="792" w:hanging="317"/>
    </w:pPr>
  </w:style>
  <w:style w:type="paragraph" w:styleId="ListNumber3">
    <w:name w:val="List Number 3"/>
    <w:basedOn w:val="H23"/>
    <w:next w:val="Normal"/>
    <w:semiHidden/>
    <w:pPr>
      <w:numPr>
        <w:numId w:val="7"/>
      </w:numPr>
      <w:tabs>
        <w:tab w:val="clear" w:pos="926"/>
        <w:tab w:val="num" w:pos="792"/>
      </w:tabs>
      <w:ind w:left="792" w:hanging="317"/>
    </w:pPr>
  </w:style>
  <w:style w:type="paragraph" w:styleId="ListNumber4">
    <w:name w:val="List Number 4"/>
    <w:basedOn w:val="H4"/>
    <w:next w:val="Normal"/>
    <w:semiHidden/>
    <w:pPr>
      <w:numPr>
        <w:numId w:val="9"/>
      </w:numPr>
      <w:tabs>
        <w:tab w:val="clear" w:pos="1209"/>
        <w:tab w:val="num" w:pos="792"/>
      </w:tabs>
      <w:ind w:left="792" w:hanging="317"/>
    </w:pPr>
  </w:style>
  <w:style w:type="paragraph" w:styleId="ListNumber5">
    <w:name w:val="List Number 5"/>
    <w:basedOn w:val="Normal"/>
    <w:next w:val="Normal"/>
    <w:semiHidden/>
    <w:pPr>
      <w:numPr>
        <w:numId w:val="11"/>
      </w:numPr>
      <w:tabs>
        <w:tab w:val="clear" w:pos="1492"/>
        <w:tab w:val="num" w:pos="792"/>
      </w:tabs>
      <w:ind w:left="792" w:hanging="317"/>
    </w:pPr>
  </w:style>
  <w:style w:type="paragraph" w:customStyle="1" w:styleId="Small">
    <w:name w:val="Small"/>
    <w:basedOn w:val="Normal"/>
    <w:next w:val="Normal"/>
    <w:pPr>
      <w:tabs>
        <w:tab w:val="right" w:pos="9965"/>
      </w:tabs>
      <w:spacing w:line="210" w:lineRule="exact"/>
    </w:pPr>
    <w:rPr>
      <w:spacing w:val="5"/>
      <w:w w:val="104"/>
      <w:sz w:val="17"/>
    </w:rPr>
  </w:style>
  <w:style w:type="paragraph" w:customStyle="1" w:styleId="SmallX">
    <w:name w:val="SmallX"/>
    <w:basedOn w:val="Small"/>
    <w:next w:val="Normal"/>
    <w:pPr>
      <w:spacing w:line="180" w:lineRule="exact"/>
      <w:jc w:val="right"/>
    </w:pPr>
    <w:rPr>
      <w:spacing w:val="6"/>
      <w:w w:val="106"/>
      <w:sz w:val="14"/>
    </w:rPr>
  </w:style>
  <w:style w:type="paragraph" w:customStyle="1" w:styleId="XLarge">
    <w:name w:val="XLarge"/>
    <w:basedOn w:val="HM"/>
    <w:pPr>
      <w:tabs>
        <w:tab w:val="right" w:leader="dot" w:pos="360"/>
      </w:tabs>
      <w:spacing w:line="390" w:lineRule="exact"/>
    </w:pPr>
    <w:rPr>
      <w:spacing w:val="-4"/>
      <w:w w:val="98"/>
      <w:sz w:val="40"/>
    </w:rPr>
  </w:style>
  <w:style w:type="paragraph" w:styleId="CommentText">
    <w:name w:val="annotation text"/>
    <w:basedOn w:val="Normal"/>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11</TotalTime>
  <Pages>1</Pages>
  <Words>4431</Words>
  <Characters>27918</Characters>
  <Application>Microsoft Office Word</Application>
  <DocSecurity>4</DocSecurity>
  <Lines>649</Lines>
  <Paragraphs>150</Paragraphs>
  <ScaleCrop>false</ScaleCrop>
  <HeadingPairs>
    <vt:vector size="2" baseType="variant">
      <vt:variant>
        <vt:lpstr>Title</vt:lpstr>
      </vt:variant>
      <vt:variant>
        <vt:i4>1</vt:i4>
      </vt:variant>
    </vt:vector>
  </HeadingPairs>
  <TitlesOfParts>
    <vt:vector size="1" baseType="lpstr">
      <vt:lpstr> </vt:lpstr>
    </vt:vector>
  </TitlesOfParts>
  <Company>United Nations</Company>
  <LinksUpToDate>false</LinksUpToDate>
  <CharactersWithSpaces>33678</CharactersWithSpaces>
  <SharedDoc>false</SharedDoc>
  <HLinks>
    <vt:vector size="6" baseType="variant">
      <vt:variant>
        <vt:i4>4522087</vt:i4>
      </vt:variant>
      <vt:variant>
        <vt:i4>68460</vt:i4>
      </vt:variant>
      <vt:variant>
        <vt:i4>1025</vt:i4>
      </vt:variant>
      <vt:variant>
        <vt:i4>1</vt:i4>
      </vt:variant>
      <vt:variant>
        <vt:lpwstr>C:\Program Files\Microsoft Office\WordMacros\_unlogo.wpg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DGAACS User</dc:creator>
  <cp:keywords/>
  <dc:description/>
  <cp:lastModifiedBy>DGAACS User</cp:lastModifiedBy>
  <cp:revision>9</cp:revision>
  <cp:lastPrinted>2002-05-24T13:13:00Z</cp:lastPrinted>
  <dcterms:created xsi:type="dcterms:W3CDTF">2002-05-24T12:38:00Z</dcterms:created>
  <dcterms:modified xsi:type="dcterms:W3CDTF">2002-05-24T13:21:00Z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0238027</vt:lpwstr>
  </property>
  <property fmtid="{D5CDD505-2E9C-101B-9397-08002B2CF9AE}" pid="3" name="Symbol1">
    <vt:lpwstr>CEDAW/C/2002/II/3/Add.4</vt:lpwstr>
  </property>
  <property fmtid="{D5CDD505-2E9C-101B-9397-08002B2CF9AE}" pid="4" name="Symbol2">
    <vt:lpwstr/>
  </property>
  <property fmtid="{D5CDD505-2E9C-101B-9397-08002B2CF9AE}" pid="5" name="Translator">
    <vt:lpwstr/>
  </property>
  <property fmtid="{D5CDD505-2E9C-101B-9397-08002B2CF9AE}" pid="6" name="Comment">
    <vt:lpwstr/>
  </property>
  <property fmtid="{D5CDD505-2E9C-101B-9397-08002B2CF9AE}" pid="7" name="DraftPages">
    <vt:lpwstr> 14</vt:lpwstr>
  </property>
  <property fmtid="{D5CDD505-2E9C-101B-9397-08002B2CF9AE}" pid="8" name="Operator">
    <vt:lpwstr>Галицкая</vt:lpwstr>
  </property>
</Properties>
</file>