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1E" w:rsidRDefault="002D6C1E" w:rsidP="002D6C1E">
      <w:pPr>
        <w:spacing w:line="240" w:lineRule="auto"/>
        <w:rPr>
          <w:sz w:val="6"/>
        </w:rPr>
        <w:sectPr w:rsidR="002D6C1E" w:rsidSect="000A44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0A4432" w:rsidRDefault="000A4432" w:rsidP="00EC1FA5">
      <w:pPr>
        <w:pStyle w:val="H1"/>
        <w:tabs>
          <w:tab w:val="clear" w:pos="1742"/>
        </w:tabs>
        <w:ind w:left="0" w:right="0" w:firstLine="0"/>
      </w:pPr>
      <w:r>
        <w:tab/>
        <w:t xml:space="preserve">Committee on the Elimination of Discrimination </w:t>
      </w:r>
      <w:r>
        <w:br/>
        <w:t>against Women</w:t>
      </w:r>
    </w:p>
    <w:p w:rsidR="000A4432" w:rsidRPr="000A4432" w:rsidRDefault="000A4432" w:rsidP="000A44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0A4432">
        <w:rPr>
          <w:b/>
        </w:rPr>
        <w:t>Thirty-eighth session</w:t>
      </w:r>
    </w:p>
    <w:p w:rsidR="000A4432" w:rsidRDefault="000A4432" w:rsidP="000A44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14 May-1 June 2007</w:t>
      </w:r>
    </w:p>
    <w:p w:rsidR="000A4432" w:rsidRPr="000A4432" w:rsidRDefault="000A4432" w:rsidP="000A4432">
      <w:pPr>
        <w:framePr w:w="9792" w:h="432" w:hSpace="180" w:wrap="around" w:hAnchor="page" w:x="1210" w:yAlign="bottom"/>
        <w:spacing w:line="240" w:lineRule="auto"/>
        <w:rPr>
          <w:sz w:val="10"/>
        </w:rPr>
      </w:pPr>
    </w:p>
    <w:p w:rsidR="000A4432" w:rsidRPr="000A4432" w:rsidRDefault="000A4432" w:rsidP="000A4432">
      <w:pPr>
        <w:framePr w:w="9792" w:h="432" w:hSpace="180" w:wrap="around" w:hAnchor="page" w:x="1210" w:yAlign="bottom"/>
        <w:spacing w:line="240" w:lineRule="auto"/>
        <w:rPr>
          <w:sz w:val="6"/>
        </w:rPr>
      </w:pPr>
      <w:r w:rsidRPr="000A4432">
        <w:rPr>
          <w:noProof/>
          <w:w w:val="100"/>
          <w:sz w:val="6"/>
          <w:lang w:val="en-US"/>
        </w:rPr>
        <w:pict>
          <v:line id="_x0000_s1026" style="position:absolute;z-index:1;mso-position-horizontal-relative:page" from="108pt,-1pt" to="180pt,-1pt" strokeweight=".25pt">
            <w10:wrap anchorx="page"/>
          </v:line>
        </w:pict>
      </w:r>
    </w:p>
    <w:p w:rsidR="000A4432" w:rsidRPr="000A4432" w:rsidRDefault="000A4432" w:rsidP="000A443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A4432">
        <w:rPr>
          <w:sz w:val="17"/>
        </w:rPr>
        <w:t>CEDAW/C/2007/II/1</w:t>
      </w:r>
      <w:r>
        <w:rPr>
          <w:sz w:val="17"/>
        </w:rPr>
        <w:t>.</w:t>
      </w:r>
    </w:p>
    <w:p w:rsidR="000A4432" w:rsidRDefault="000A4432" w:rsidP="000A44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5 of the provisional agenda*</w:t>
      </w:r>
    </w:p>
    <w:p w:rsidR="000A4432" w:rsidRPr="000A4432" w:rsidRDefault="000A4432" w:rsidP="000A44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0A4432">
        <w:rPr>
          <w:b/>
        </w:rPr>
        <w:t xml:space="preserve">Implementation of article 21 of the Convention on the </w:t>
      </w:r>
      <w:r>
        <w:rPr>
          <w:b/>
        </w:rPr>
        <w:br/>
      </w:r>
      <w:r w:rsidRPr="000A4432">
        <w:rPr>
          <w:b/>
        </w:rPr>
        <w:t>Elimination of All Forms of Discrimination against Women</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HCh"/>
        <w:ind w:left="1267" w:right="1260" w:hanging="1267"/>
      </w:pPr>
      <w:r>
        <w:tab/>
      </w:r>
      <w:r>
        <w:tab/>
        <w:t xml:space="preserve">Reports provided by specialized agencies of the </w:t>
      </w:r>
      <w:r>
        <w:br/>
        <w:t xml:space="preserve">United Nations system on the implementation of </w:t>
      </w:r>
      <w:r>
        <w:br/>
        <w:t xml:space="preserve">the Convention in areas falling within the scope </w:t>
      </w:r>
      <w:r>
        <w:br/>
        <w:t>of their activities</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H1"/>
        <w:ind w:right="1260"/>
      </w:pPr>
      <w:r>
        <w:tab/>
      </w:r>
      <w:r>
        <w:tab/>
        <w:t>Note by the Secretary-General</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H23"/>
        <w:ind w:right="1260"/>
      </w:pPr>
      <w:r>
        <w:tab/>
      </w:r>
      <w:r>
        <w:tab/>
        <w:t>Addendum</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United Nations Educational, Scientific and </w:t>
      </w:r>
      <w:r>
        <w:br/>
        <w:t xml:space="preserve">Cultural Organization </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smartTag w:uri="urn:schemas-microsoft-com:office:smarttags" w:element="place">
        <w:r>
          <w:t>I.</w:t>
        </w:r>
      </w:smartTag>
      <w:r>
        <w:tab/>
        <w:t>Activities to implement the Convention within UNESCO</w:t>
      </w:r>
    </w:p>
    <w:p w:rsidR="000A4432" w:rsidRPr="000A4432" w:rsidRDefault="000A4432" w:rsidP="000A4432">
      <w:pPr>
        <w:pStyle w:val="SingleTxt"/>
        <w:spacing w:after="0" w:line="120" w:lineRule="exact"/>
        <w:rPr>
          <w:sz w:val="10"/>
        </w:rPr>
      </w:pPr>
    </w:p>
    <w:p w:rsidR="000A4432" w:rsidRPr="000A4432" w:rsidRDefault="000A4432" w:rsidP="000A4432">
      <w:pPr>
        <w:pStyle w:val="SingleTxt"/>
        <w:spacing w:after="0" w:line="120" w:lineRule="exact"/>
        <w:rPr>
          <w:sz w:val="10"/>
        </w:rPr>
      </w:pPr>
    </w:p>
    <w:p w:rsidR="000A4432" w:rsidRDefault="000A4432" w:rsidP="000A4432">
      <w:pPr>
        <w:pStyle w:val="SingleTxt"/>
      </w:pPr>
      <w:r>
        <w:tab/>
        <w:t>Pursuant to the Medium-Term Strategy for 2002-2007 of the United Nations Educational, Scientific and Cultural Organization (UNESCO), a gender equality perspective has been integrated in policy planning, programming, implementation and evaluation activities in all areas of UNESCO competence with a view to promoting women</w:t>
      </w:r>
      <w:r w:rsidR="00EF2D4D">
        <w:t>’</w:t>
      </w:r>
      <w:r>
        <w:t>s empowerment and achieving gender equality. Women</w:t>
      </w:r>
      <w:r w:rsidR="00EF2D4D">
        <w:t>’</w:t>
      </w:r>
      <w:r>
        <w:t>s priorities and vision of development goals and approaches are addressed and promoted through greater participation of women at all levels and in all areas of UNESCO action. The Organization</w:t>
      </w:r>
      <w:r w:rsidR="00EF2D4D">
        <w:t>’</w:t>
      </w:r>
      <w:r>
        <w:t>s overall human resources policy has been adapted accordingly, bearing in mind the impact of critical parameters such as, inter alia, gender balance. A new policy framework has been implemented concerning work/family agenda issues aimed at equipping staff members to better manage their work and family responsibilities.</w:t>
      </w:r>
    </w:p>
    <w:p w:rsidR="000A4432" w:rsidRDefault="000A4432" w:rsidP="000A4432">
      <w:pPr>
        <w:pStyle w:val="SingleTxt"/>
      </w:pPr>
      <w:r>
        <w:tab/>
        <w:t>UNESCO continues to be an active partner in the United Nations Girls</w:t>
      </w:r>
      <w:r w:rsidR="00EF2D4D">
        <w:t>’</w:t>
      </w:r>
      <w:r>
        <w:t xml:space="preserve"> Education Initiative. The need to ensure gender equality is also prominent throughout the entire UNESCO education programme. Faced with an increasing gap between literates and illiterates in terms of social, civic and economic opportunities, UNESCO renewed its efforts towards achieving literacy for all, targeting principally girls and women.</w:t>
      </w:r>
    </w:p>
    <w:p w:rsidR="000A4432" w:rsidRDefault="000A4432" w:rsidP="000A4432">
      <w:pPr>
        <w:pStyle w:val="SingleTxt"/>
      </w:pPr>
      <w:r>
        <w:tab/>
        <w:t>In the area of social and human sciences, UNESCO established two research/advocacy/policy networks (one on research on women</w:t>
      </w:r>
      <w:r w:rsidR="00EF2D4D">
        <w:t>’</w:t>
      </w:r>
      <w:r>
        <w:t>s socio-economic rights and the other on cultural change for women</w:t>
      </w:r>
      <w:r w:rsidR="00EF2D4D">
        <w:t>’</w:t>
      </w:r>
      <w:r>
        <w:t>s advancement) and commissioned eight papers on women</w:t>
      </w:r>
      <w:r w:rsidR="00EF2D4D">
        <w:t>’</w:t>
      </w:r>
      <w:r>
        <w:t>s socio-economic rights and trade union leadership, which will be made available to ministers of women</w:t>
      </w:r>
      <w:r w:rsidR="00EF2D4D">
        <w:t>’</w:t>
      </w:r>
      <w:r>
        <w:t>s affairs. UNESCO furthered efforts to develop a quantitative database representing all regions by requesting all commissioned authors to complete the Gender Indicators of Women</w:t>
      </w:r>
      <w:r w:rsidR="00EF2D4D">
        <w:t>’</w:t>
      </w:r>
      <w:r>
        <w:t>s Empowerment framework and prepared and submitted a project proposal on gender and democracy to the United Nations Democracy Fund.</w:t>
      </w:r>
    </w:p>
    <w:p w:rsidR="000A4432" w:rsidRDefault="000A4432" w:rsidP="000A4432">
      <w:pPr>
        <w:pStyle w:val="SingleTxt"/>
      </w:pPr>
      <w:r>
        <w:tab/>
        <w:t>Region-specific programmes and activities that benefit girls and women of various ages, including the young and the elderly, focused on networking, exchange of information, sharing of knowledge and building alliances across borders and cultures in the framework of the United Nations Declaration and Programme of Action on a Culture of Peace.</w:t>
      </w:r>
    </w:p>
    <w:p w:rsidR="000A4432" w:rsidRDefault="00CF3148" w:rsidP="000A4432">
      <w:pPr>
        <w:pStyle w:val="SingleTxt"/>
      </w:pPr>
      <w:r>
        <w:tab/>
      </w:r>
      <w:r w:rsidR="000A4432">
        <w:t>The following region-specific actions have been carried out:</w:t>
      </w:r>
    </w:p>
    <w:p w:rsidR="000A4432" w:rsidRDefault="00CF3148" w:rsidP="002C4541">
      <w:pPr>
        <w:pStyle w:val="SingleTxt"/>
        <w:tabs>
          <w:tab w:val="right" w:pos="1685"/>
        </w:tabs>
        <w:ind w:left="1742" w:hanging="475"/>
      </w:pPr>
      <w:r>
        <w:tab/>
      </w:r>
      <w:r w:rsidR="000A4432">
        <w:t>•</w:t>
      </w:r>
      <w:r w:rsidR="000A4432">
        <w:tab/>
        <w:t xml:space="preserve">Organization of regional training workshops in the Asian, Arab and African </w:t>
      </w:r>
      <w:r>
        <w:t xml:space="preserve">field offices </w:t>
      </w:r>
      <w:r w:rsidR="000A4432">
        <w:t>in gender mainstreaming, early childhood and inclusive education for field staff to increase their awareness and technical capacity.</w:t>
      </w:r>
    </w:p>
    <w:p w:rsidR="000A4432" w:rsidRDefault="00CF3148" w:rsidP="002C4541">
      <w:pPr>
        <w:pStyle w:val="SingleTxt"/>
        <w:tabs>
          <w:tab w:val="right" w:pos="1685"/>
        </w:tabs>
        <w:ind w:left="1742" w:hanging="475"/>
      </w:pPr>
      <w:r>
        <w:tab/>
      </w:r>
      <w:r w:rsidR="000A4432">
        <w:t>•</w:t>
      </w:r>
      <w:r w:rsidR="000A4432">
        <w:tab/>
        <w:t xml:space="preserve">Strengthening of the capacities of the Gender and Education Network in </w:t>
      </w:r>
      <w:smartTag w:uri="urn:schemas-microsoft-com:office:smarttags" w:element="place">
        <w:r w:rsidR="000A4432">
          <w:t>Asia</w:t>
        </w:r>
      </w:smartTag>
      <w:r w:rsidR="000A4432">
        <w:t xml:space="preserve"> through updating and dissemination of a gender toolkit.</w:t>
      </w:r>
    </w:p>
    <w:p w:rsidR="000A4432" w:rsidRDefault="00CF3148" w:rsidP="002C4541">
      <w:pPr>
        <w:pStyle w:val="SingleTxt"/>
        <w:tabs>
          <w:tab w:val="right" w:pos="1685"/>
        </w:tabs>
        <w:ind w:left="1742" w:hanging="475"/>
      </w:pPr>
      <w:r>
        <w:tab/>
      </w:r>
      <w:r w:rsidR="000A4432">
        <w:t>•</w:t>
      </w:r>
      <w:r w:rsidR="000A4432">
        <w:tab/>
        <w:t xml:space="preserve">Preparatory work completed for the elaboration of the strategy on </w:t>
      </w:r>
      <w:r>
        <w:t>a</w:t>
      </w:r>
      <w:r w:rsidR="000A4432">
        <w:t>ccelerating girls</w:t>
      </w:r>
      <w:r w:rsidR="00EF2D4D">
        <w:t>’</w:t>
      </w:r>
      <w:r w:rsidR="000A4432">
        <w:t xml:space="preserve"> education in West and </w:t>
      </w:r>
      <w:smartTag w:uri="urn:schemas-microsoft-com:office:smarttags" w:element="place">
        <w:r w:rsidR="000A4432">
          <w:t>Central Africa</w:t>
        </w:r>
      </w:smartTag>
      <w:r w:rsidR="000A4432">
        <w:t xml:space="preserve"> within the framework of the </w:t>
      </w:r>
      <w:r>
        <w:t xml:space="preserve">United Nations </w:t>
      </w:r>
      <w:r w:rsidR="00EF2D4D">
        <w:t>Girls’</w:t>
      </w:r>
      <w:r>
        <w:t xml:space="preserve"> Education Initiative</w:t>
      </w:r>
      <w:r w:rsidR="000A4432">
        <w:t>.</w:t>
      </w:r>
    </w:p>
    <w:p w:rsidR="000A4432" w:rsidRDefault="00CF3148" w:rsidP="002C4541">
      <w:pPr>
        <w:pStyle w:val="SingleTxt"/>
        <w:tabs>
          <w:tab w:val="right" w:pos="1685"/>
        </w:tabs>
        <w:ind w:left="1742" w:hanging="475"/>
      </w:pPr>
      <w:r>
        <w:tab/>
      </w:r>
      <w:r w:rsidR="000A4432">
        <w:t>•</w:t>
      </w:r>
      <w:r w:rsidR="000A4432">
        <w:tab/>
        <w:t xml:space="preserve">Development and strengthening of networks with regional media, </w:t>
      </w:r>
      <w:r>
        <w:t>the United Nations Children</w:t>
      </w:r>
      <w:r w:rsidR="00EF2D4D">
        <w:t>’</w:t>
      </w:r>
      <w:r>
        <w:t>s Fund (</w:t>
      </w:r>
      <w:r w:rsidR="000A4432">
        <w:t>UNICEF</w:t>
      </w:r>
      <w:r>
        <w:t>)</w:t>
      </w:r>
      <w:r w:rsidR="000A4432">
        <w:t xml:space="preserve"> and </w:t>
      </w:r>
      <w:r>
        <w:t>the World Food Programme (</w:t>
      </w:r>
      <w:r w:rsidR="000A4432">
        <w:t>WFP</w:t>
      </w:r>
      <w:r>
        <w:t>)</w:t>
      </w:r>
      <w:r w:rsidR="000A4432">
        <w:t xml:space="preserve"> on the importance of girls</w:t>
      </w:r>
      <w:r w:rsidR="00EF2D4D">
        <w:t>’</w:t>
      </w:r>
      <w:r w:rsidR="000A4432">
        <w:t xml:space="preserve"> education, especially in rural and remote areas in the Arab region.</w:t>
      </w:r>
    </w:p>
    <w:p w:rsidR="000A4432" w:rsidRDefault="00CF3148" w:rsidP="002C4541">
      <w:pPr>
        <w:pStyle w:val="SingleTxt"/>
        <w:tabs>
          <w:tab w:val="right" w:pos="1685"/>
        </w:tabs>
        <w:ind w:left="1742" w:hanging="475"/>
      </w:pPr>
      <w:r>
        <w:tab/>
      </w:r>
      <w:r w:rsidR="000A4432">
        <w:t>•</w:t>
      </w:r>
      <w:r w:rsidR="000A4432">
        <w:tab/>
        <w:t xml:space="preserve">Organization by </w:t>
      </w:r>
      <w:r>
        <w:t xml:space="preserve">the </w:t>
      </w:r>
      <w:r w:rsidR="000A4432">
        <w:t xml:space="preserve">Jakarta </w:t>
      </w:r>
      <w:r>
        <w:t>UNESCO o</w:t>
      </w:r>
      <w:r w:rsidR="000A4432">
        <w:t xml:space="preserve">ffice of the </w:t>
      </w:r>
      <w:r>
        <w:t>first forum for South-East Asia on gender mainstreaming in energy policy and technology</w:t>
      </w:r>
      <w:r w:rsidR="000A4432">
        <w:t xml:space="preserve"> in close collaboration with the University of Indonesia and the International Society for Expertise, Education </w:t>
      </w:r>
      <w:r>
        <w:t xml:space="preserve">and </w:t>
      </w:r>
      <w:r w:rsidR="000A4432">
        <w:t xml:space="preserve">Development. The </w:t>
      </w:r>
      <w:r>
        <w:t>f</w:t>
      </w:r>
      <w:r w:rsidR="000A4432">
        <w:t>orum brought together universities from five South-East Asian island nations (sponsored by the Japanese Funds-in-Trust).</w:t>
      </w:r>
    </w:p>
    <w:p w:rsidR="000A4432" w:rsidRDefault="00CF3148" w:rsidP="002C4541">
      <w:pPr>
        <w:pStyle w:val="SingleTxt"/>
        <w:tabs>
          <w:tab w:val="right" w:pos="1685"/>
        </w:tabs>
        <w:ind w:left="1742" w:hanging="475"/>
      </w:pPr>
      <w:r>
        <w:tab/>
      </w:r>
      <w:r w:rsidR="000A4432">
        <w:t>•</w:t>
      </w:r>
      <w:r w:rsidR="000A4432">
        <w:tab/>
        <w:t>Gender equality and development was promoted through activities relating to women</w:t>
      </w:r>
      <w:r w:rsidR="00EF2D4D">
        <w:t>’</w:t>
      </w:r>
      <w:r w:rsidR="000A4432">
        <w:t>s role in the judiciary in the Arab region, and the launching of the Palestinian Women</w:t>
      </w:r>
      <w:r w:rsidR="00EF2D4D">
        <w:t>’</w:t>
      </w:r>
      <w:r>
        <w:t xml:space="preserve">s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rsidR="000A4432">
        <w:t>, which will provide documentation facilities and act as an observatory on national, regional and international women</w:t>
      </w:r>
      <w:r w:rsidR="00EF2D4D">
        <w:t>’</w:t>
      </w:r>
      <w:r w:rsidR="000A4432">
        <w:t>s issues. Efforts were also pursued to launch a similar women</w:t>
      </w:r>
      <w:r w:rsidR="00EF2D4D">
        <w:t>’</w:t>
      </w:r>
      <w:r w:rsidR="000A4432">
        <w:t xml:space="preserve">s resource centre in the </w:t>
      </w:r>
      <w:smartTag w:uri="urn:schemas-microsoft-com:office:smarttags" w:element="place">
        <w:r w:rsidR="000A4432">
          <w:t>Great Lakes</w:t>
        </w:r>
      </w:smartTag>
      <w:r w:rsidR="000A4432">
        <w:t xml:space="preserve"> region.</w:t>
      </w:r>
    </w:p>
    <w:p w:rsidR="000A4432" w:rsidRDefault="002C4541" w:rsidP="000A4432">
      <w:pPr>
        <w:pStyle w:val="SingleTxt"/>
      </w:pPr>
      <w:r>
        <w:tab/>
      </w:r>
      <w:r w:rsidR="000A4432">
        <w:t>In November 2006, UNESCO and the Sony Ericsson WTA Tour, the world</w:t>
      </w:r>
      <w:r w:rsidR="00EF2D4D">
        <w:t>’</w:t>
      </w:r>
      <w:r w:rsidR="000A4432">
        <w:t>s leading global sport for women, announced a landmark global partnership to further gender equality and promote women</w:t>
      </w:r>
      <w:r w:rsidR="00EF2D4D">
        <w:t>’</w:t>
      </w:r>
      <w:r w:rsidR="000A4432">
        <w:t>s leadership in all spheres of society. This partnership represents an ambitious global effort in the Tour</w:t>
      </w:r>
      <w:r w:rsidR="00EF2D4D">
        <w:t>’</w:t>
      </w:r>
      <w:r w:rsidR="000A4432">
        <w:t>s history to promote women</w:t>
      </w:r>
      <w:r w:rsidR="00EF2D4D">
        <w:t>’</w:t>
      </w:r>
      <w:r w:rsidR="000A4432">
        <w:t xml:space="preserve">s leadership and gender equality in all spheres of society and is </w:t>
      </w:r>
      <w:r>
        <w:t xml:space="preserve">the </w:t>
      </w:r>
      <w:r w:rsidR="000A4432">
        <w:t xml:space="preserve">first partnership </w:t>
      </w:r>
      <w:r>
        <w:t xml:space="preserve">of UNESCO </w:t>
      </w:r>
      <w:r w:rsidR="000A4432">
        <w:t>with a professional sports league for the gender equality objective embraced by all world leaders in the 2005 World Summit Outcome document.</w:t>
      </w:r>
    </w:p>
    <w:p w:rsidR="000A4432" w:rsidRDefault="002C4541" w:rsidP="000A4432">
      <w:pPr>
        <w:pStyle w:val="SingleTxt"/>
      </w:pPr>
      <w:r>
        <w:tab/>
      </w:r>
      <w:r w:rsidR="000A4432">
        <w:t xml:space="preserve">In November 2006, UNESCO organized an </w:t>
      </w:r>
      <w:r>
        <w:t xml:space="preserve">international round table on the theme </w:t>
      </w:r>
      <w:r w:rsidR="00EF2D4D">
        <w:t>“</w:t>
      </w:r>
      <w:r>
        <w:t>School-</w:t>
      </w:r>
      <w:r w:rsidR="000A4432">
        <w:t xml:space="preserve">related gender-based violence in the context of education for all: </w:t>
      </w:r>
      <w:r>
        <w:t>role and respo</w:t>
      </w:r>
      <w:r w:rsidR="000A4432">
        <w:t>nsibility of stakeholders</w:t>
      </w:r>
      <w:r w:rsidR="00EF2D4D">
        <w:t>”</w:t>
      </w:r>
      <w:r w:rsidR="000A4432">
        <w:t xml:space="preserve"> on the occasion of the International Day for the Elimination of Violence against Women, with the presence of Paulo Sérgio Pinheiro, independent expert for the Secretary-General</w:t>
      </w:r>
      <w:r w:rsidR="00EF2D4D">
        <w:t>’</w:t>
      </w:r>
      <w:r w:rsidR="000A4432">
        <w:t xml:space="preserve">s </w:t>
      </w:r>
      <w:r>
        <w:t>study on violence against children</w:t>
      </w:r>
      <w:r w:rsidR="000A4432">
        <w:t>. The objectives of the round</w:t>
      </w:r>
      <w:r w:rsidR="003131D7">
        <w:t xml:space="preserve"> </w:t>
      </w:r>
      <w:r w:rsidR="000A4432">
        <w:t>table were to raise awareness among the stakeholders of international coo</w:t>
      </w:r>
      <w:r w:rsidR="003131D7">
        <w:t>peration on the theme of school-</w:t>
      </w:r>
      <w:r w:rsidR="000A4432">
        <w:t xml:space="preserve">related gender-based violence and on gender equality in the education sector in general; to identify the role and the responsibility of the three main categories of stakeholders facing gender-based violence in schools, considering their expertise and testimony </w:t>
      </w:r>
      <w:r w:rsidR="003131D7">
        <w:t>(</w:t>
      </w:r>
      <w:r w:rsidR="000A4432">
        <w:t>national and local public authorities</w:t>
      </w:r>
      <w:r w:rsidR="003131D7">
        <w:t>,</w:t>
      </w:r>
      <w:r w:rsidR="000A4432">
        <w:t xml:space="preserve"> civil society and NGOs</w:t>
      </w:r>
      <w:r w:rsidR="003131D7">
        <w:t xml:space="preserve">, and </w:t>
      </w:r>
      <w:r w:rsidR="000A4432">
        <w:t>teachers, educational personnel and teachers</w:t>
      </w:r>
      <w:r w:rsidR="00EF2D4D">
        <w:t>’</w:t>
      </w:r>
      <w:r w:rsidR="000A4432">
        <w:t xml:space="preserve"> organizations</w:t>
      </w:r>
      <w:r w:rsidR="003131D7">
        <w:t>)</w:t>
      </w:r>
      <w:r w:rsidR="000A4432">
        <w:t>; to identify good practices and conditions for sharing and scaling up good practices; and to identify the way forward for addressing school</w:t>
      </w:r>
      <w:r w:rsidR="00EC1FA5">
        <w:t>-</w:t>
      </w:r>
      <w:r w:rsidR="000A4432">
        <w:t>related gender-based violence.</w:t>
      </w:r>
    </w:p>
    <w:p w:rsidR="000A4432" w:rsidRDefault="003131D7" w:rsidP="000A4432">
      <w:pPr>
        <w:pStyle w:val="SingleTxt"/>
      </w:pPr>
      <w:r>
        <w:tab/>
      </w:r>
      <w:r w:rsidR="000A4432">
        <w:t xml:space="preserve">In December 2006, within the framework of the Second International Colloquium on Research and Higher Education Policy, UNESCO organized an </w:t>
      </w:r>
      <w:r>
        <w:t>international round table on the theme</w:t>
      </w:r>
      <w:r w:rsidR="000A4432">
        <w:t xml:space="preserve"> </w:t>
      </w:r>
      <w:r w:rsidR="00EF2D4D">
        <w:t>“</w:t>
      </w:r>
      <w:r w:rsidR="000A4432">
        <w:t xml:space="preserve">Women and </w:t>
      </w:r>
      <w:r>
        <w:t>research: tangible progress</w:t>
      </w:r>
      <w:r w:rsidR="00EF2D4D">
        <w:t>”</w:t>
      </w:r>
      <w:r w:rsidR="000A4432">
        <w:t xml:space="preserve"> with the presence of Baroness Susan Greenfield, Professor of Pharmacology at Oxford University. The round table addressed the issue of women</w:t>
      </w:r>
      <w:r w:rsidR="00EF2D4D">
        <w:t>’</w:t>
      </w:r>
      <w:r w:rsidR="000A4432">
        <w:t>s involvement in higher education, particularly in research, and the advancement in this sphere. It emphasized the progress made by women in the area of research and its impact on women</w:t>
      </w:r>
      <w:r w:rsidR="00EF2D4D">
        <w:t>’</w:t>
      </w:r>
      <w:r w:rsidR="000A4432">
        <w:t>s empowerment, the challenges faced by women in their resear</w:t>
      </w:r>
      <w:r>
        <w:t>ch career and the lessons learned</w:t>
      </w:r>
      <w:r w:rsidR="000A4432">
        <w:t xml:space="preserve"> regarding factors that foster an enabling environment for women</w:t>
      </w:r>
      <w:r w:rsidR="00EF2D4D">
        <w:t>’</w:t>
      </w:r>
      <w:r w:rsidR="000A4432">
        <w:t>s participation in research.</w:t>
      </w:r>
    </w:p>
    <w:p w:rsidR="000A4432" w:rsidRDefault="003131D7" w:rsidP="000A4432">
      <w:pPr>
        <w:pStyle w:val="SingleTxt"/>
      </w:pPr>
      <w:r>
        <w:tab/>
      </w:r>
      <w:r w:rsidR="000A4432">
        <w:t>In the framework of the programme launched by UNESCO and L</w:t>
      </w:r>
      <w:r w:rsidR="00EF2D4D">
        <w:rPr>
          <w:lang w:val="en-US"/>
        </w:rPr>
        <w:t>’</w:t>
      </w:r>
      <w:r>
        <w:t xml:space="preserve">Oréal </w:t>
      </w:r>
      <w:r w:rsidR="000A4432">
        <w:t>in 1998, five women scientists, one from each continent and all physicists or chemists, received the 9th L</w:t>
      </w:r>
      <w:r w:rsidR="00EF2D4D">
        <w:t>’</w:t>
      </w:r>
      <w:r w:rsidR="000A4432">
        <w:t>O</w:t>
      </w:r>
      <w:r>
        <w:t>réal</w:t>
      </w:r>
      <w:r w:rsidR="000A4432">
        <w:t>-UNESCO Award for Women in Science (</w:t>
      </w:r>
      <w:r>
        <w:t>$</w:t>
      </w:r>
      <w:r w:rsidR="000A4432">
        <w:t xml:space="preserve">100,000 each). Fifteen young researchers in the life sciences, originating from all five continents, received at UNESCO </w:t>
      </w:r>
      <w:r>
        <w:t>h</w:t>
      </w:r>
      <w:r w:rsidR="00EF2D4D">
        <w:t>eadquarters the UNESCO-</w:t>
      </w:r>
      <w:r w:rsidR="000A4432">
        <w:t>L</w:t>
      </w:r>
      <w:r w:rsidR="00EF2D4D">
        <w:t>’</w:t>
      </w:r>
      <w:r w:rsidR="000A4432">
        <w:t>O</w:t>
      </w:r>
      <w:r>
        <w:t>réal</w:t>
      </w:r>
      <w:r w:rsidR="000A4432">
        <w:t xml:space="preserve"> International Fellowships for Women in Science (</w:t>
      </w:r>
      <w:r>
        <w:t>$</w:t>
      </w:r>
      <w:r w:rsidR="000A4432">
        <w:t>20,000 each), awarded annually since 2000, which allow post-doctoral students to pursue their research in a host laboratory located outside their country.</w:t>
      </w:r>
    </w:p>
    <w:p w:rsidR="000A4432" w:rsidRDefault="003131D7" w:rsidP="000A4432">
      <w:pPr>
        <w:pStyle w:val="SingleTxt"/>
      </w:pPr>
      <w:r>
        <w:tab/>
      </w:r>
      <w:r w:rsidR="000A4432">
        <w:t>In March 2007</w:t>
      </w:r>
      <w:r>
        <w:t>,</w:t>
      </w:r>
      <w:r w:rsidR="000A4432">
        <w:t xml:space="preserve"> UNESCO celebrated International Women</w:t>
      </w:r>
      <w:r w:rsidR="00EF2D4D">
        <w:t>’</w:t>
      </w:r>
      <w:r w:rsidR="000A4432">
        <w:t xml:space="preserve">s Day by paying tribute to women around the world who are courageously, and often anonymously, working for peace. Its </w:t>
      </w:r>
      <w:r w:rsidR="00100915">
        <w:t xml:space="preserve">international round table </w:t>
      </w:r>
      <w:r w:rsidR="000A4432">
        <w:t xml:space="preserve">on </w:t>
      </w:r>
      <w:r w:rsidR="00EF2D4D">
        <w:t>“</w:t>
      </w:r>
      <w:r w:rsidR="000A4432">
        <w:t xml:space="preserve">Women </w:t>
      </w:r>
      <w:r w:rsidR="00100915">
        <w:t>p</w:t>
      </w:r>
      <w:r w:rsidR="000A4432">
        <w:t>eacemakers</w:t>
      </w:r>
      <w:r w:rsidR="00EF2D4D">
        <w:t>”</w:t>
      </w:r>
      <w:r w:rsidR="000A4432">
        <w:t xml:space="preserve"> brought together five distinguished women who contribute to the promotion of peace. </w:t>
      </w:r>
      <w:r w:rsidR="00100915">
        <w:t xml:space="preserve">On </w:t>
      </w:r>
      <w:r w:rsidR="000A4432">
        <w:t>8</w:t>
      </w:r>
      <w:r w:rsidR="00100915">
        <w:t> </w:t>
      </w:r>
      <w:r w:rsidR="000A4432">
        <w:t>March</w:t>
      </w:r>
      <w:r w:rsidR="00100915">
        <w:t xml:space="preserve">, the </w:t>
      </w:r>
      <w:r w:rsidR="000A4432">
        <w:t>programme also featured events to celebrate artistic contributions by women through art exhibitions and film screenings. Furthermore, two networks were launched: (</w:t>
      </w:r>
      <w:r w:rsidR="00100915">
        <w:t xml:space="preserve">a) the </w:t>
      </w:r>
      <w:r w:rsidR="000A4432">
        <w:t xml:space="preserve">Group of Women Ambassadors to UNESCO for Gender Equality, whose objectives include the sharing of relevant and useful information and experiences, assisting UNESCO </w:t>
      </w:r>
      <w:r w:rsidR="00100915">
        <w:t>in enhancing</w:t>
      </w:r>
      <w:r w:rsidR="000A4432">
        <w:t xml:space="preserve"> its </w:t>
      </w:r>
      <w:r w:rsidR="00100915">
        <w:t>actions in, and actively promoting</w:t>
      </w:r>
      <w:r w:rsidR="000A4432">
        <w:t xml:space="preserve"> issues pertaining to gender </w:t>
      </w:r>
      <w:r w:rsidR="00EC1FA5">
        <w:t>e</w:t>
      </w:r>
      <w:r w:rsidR="000A4432">
        <w:t>quality and women</w:t>
      </w:r>
      <w:r w:rsidR="00EF2D4D">
        <w:t>’</w:t>
      </w:r>
      <w:r w:rsidR="000A4432">
        <w:t xml:space="preserve">s empowerment/rights and in all areas of the </w:t>
      </w:r>
      <w:r w:rsidR="00100915">
        <w:t>o</w:t>
      </w:r>
      <w:r w:rsidR="000A4432">
        <w:t>rganization</w:t>
      </w:r>
      <w:r w:rsidR="00EF2D4D">
        <w:t>’</w:t>
      </w:r>
      <w:r w:rsidR="000A4432">
        <w:t xml:space="preserve">s work as well as in the </w:t>
      </w:r>
      <w:r w:rsidR="00100915">
        <w:t>s</w:t>
      </w:r>
      <w:r w:rsidR="000A4432">
        <w:t>ecretariat;</w:t>
      </w:r>
      <w:r w:rsidR="00100915">
        <w:t xml:space="preserve"> and</w:t>
      </w:r>
      <w:r w:rsidR="000A4432">
        <w:t xml:space="preserve"> (</w:t>
      </w:r>
      <w:r w:rsidR="00100915">
        <w:t>b</w:t>
      </w:r>
      <w:r w:rsidR="000A4432">
        <w:t xml:space="preserve">) the UNESCO International Network of Women Philosophers, which seeks to enhance the participation of women in international debate and exchange on key issues identified in the UNESCO </w:t>
      </w:r>
      <w:r w:rsidR="00100915">
        <w:t>strategy for philosophy</w:t>
      </w:r>
      <w:r w:rsidR="000A4432">
        <w:t>, through the acknowledgement and the strengthening of the contribution of women philosophers to the quest of international cooperation and understanding.</w:t>
      </w:r>
    </w:p>
    <w:p w:rsidR="00100915" w:rsidRPr="00100915" w:rsidRDefault="00100915" w:rsidP="00100915">
      <w:pPr>
        <w:pStyle w:val="SingleTxt"/>
        <w:spacing w:after="0" w:line="120" w:lineRule="exact"/>
        <w:rPr>
          <w:sz w:val="10"/>
        </w:rPr>
      </w:pPr>
    </w:p>
    <w:p w:rsidR="00100915" w:rsidRPr="00100915" w:rsidRDefault="00100915" w:rsidP="00100915">
      <w:pPr>
        <w:pStyle w:val="SingleTxt"/>
        <w:spacing w:after="0" w:line="120" w:lineRule="exact"/>
        <w:rPr>
          <w:sz w:val="10"/>
        </w:rPr>
      </w:pPr>
    </w:p>
    <w:p w:rsidR="000A4432" w:rsidRDefault="00100915" w:rsidP="001009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A4432">
        <w:t>II.</w:t>
      </w:r>
      <w:r w:rsidR="000A4432">
        <w:tab/>
        <w:t>M</w:t>
      </w:r>
      <w:r>
        <w:t xml:space="preserve">easures taken by UNESCO to implement the provisions </w:t>
      </w:r>
      <w:r>
        <w:br/>
        <w:t>of the Convention in the countries to be considered at the thirty-eighth session of the Committee</w:t>
      </w:r>
    </w:p>
    <w:p w:rsidR="00100915" w:rsidRPr="00100915" w:rsidRDefault="00100915" w:rsidP="00100915">
      <w:pPr>
        <w:pStyle w:val="SingleTxt"/>
        <w:spacing w:after="0" w:line="120" w:lineRule="exact"/>
        <w:rPr>
          <w:sz w:val="10"/>
        </w:rPr>
      </w:pPr>
    </w:p>
    <w:p w:rsidR="00100915" w:rsidRPr="00100915" w:rsidRDefault="00100915" w:rsidP="00100915">
      <w:pPr>
        <w:pStyle w:val="SingleTxt"/>
        <w:spacing w:after="0" w:line="120" w:lineRule="exact"/>
        <w:rPr>
          <w:sz w:val="10"/>
        </w:rPr>
      </w:pPr>
    </w:p>
    <w:p w:rsidR="00100915" w:rsidRDefault="00100915" w:rsidP="000A4432">
      <w:pPr>
        <w:pStyle w:val="SingleTxt"/>
        <w:sectPr w:rsidR="00100915" w:rsidSect="000A4432">
          <w:type w:val="continuous"/>
          <w:pgSz w:w="12240" w:h="15840" w:code="1"/>
          <w:pgMar w:top="1742" w:right="1195" w:bottom="1901" w:left="1195" w:header="576" w:footer="1037" w:gutter="0"/>
          <w:cols w:space="708"/>
          <w:noEndnote/>
          <w:docGrid w:linePitch="360"/>
        </w:sectPr>
      </w:pPr>
    </w:p>
    <w:p w:rsidR="00100915" w:rsidRPr="001D778C" w:rsidRDefault="00100915" w:rsidP="00100915">
      <w:pPr>
        <w:pStyle w:val="H1"/>
        <w:ind w:right="1260"/>
      </w:pPr>
      <w:r>
        <w:tab/>
        <w:t>A.</w:t>
      </w:r>
      <w:r>
        <w:tab/>
      </w:r>
      <w:r w:rsidRPr="001D778C">
        <w:t>Longitudinal and comparative gender-parity educational statistics for all countries</w:t>
      </w:r>
      <w:r w:rsidR="00EF2D4D">
        <w:t xml:space="preserve"> </w:t>
      </w:r>
      <w:r w:rsidRPr="001D778C">
        <w:t xml:space="preserve">reporting </w:t>
      </w:r>
      <w:r>
        <w:t>to the Committee at its thirty-eighth s</w:t>
      </w:r>
      <w:r w:rsidRPr="001D778C">
        <w:t>ession</w:t>
      </w:r>
    </w:p>
    <w:p w:rsidR="00100915" w:rsidRPr="00100915" w:rsidRDefault="00100915" w:rsidP="00100915">
      <w:pPr>
        <w:spacing w:line="120" w:lineRule="exact"/>
        <w:ind w:left="360"/>
        <w:rPr>
          <w:sz w:val="10"/>
          <w:szCs w:val="24"/>
          <w:u w:val="single"/>
        </w:rPr>
      </w:pPr>
    </w:p>
    <w:p w:rsidR="00100915" w:rsidRPr="00100915" w:rsidRDefault="00100915" w:rsidP="00100915">
      <w:pPr>
        <w:spacing w:line="120" w:lineRule="exact"/>
        <w:ind w:left="360"/>
        <w:rPr>
          <w:sz w:val="10"/>
          <w:szCs w:val="24"/>
          <w:u w:val="single"/>
        </w:rPr>
      </w:pPr>
    </w:p>
    <w:p w:rsidR="00100915" w:rsidRPr="001D778C" w:rsidRDefault="00100915" w:rsidP="00EF2D4D">
      <w:pPr>
        <w:pStyle w:val="H1"/>
        <w:ind w:right="1260"/>
      </w:pPr>
      <w:r>
        <w:tab/>
        <w:t>1.</w:t>
      </w:r>
      <w:r>
        <w:tab/>
      </w:r>
      <w:r w:rsidRPr="001D778C">
        <w:t>Primary Education</w:t>
      </w:r>
    </w:p>
    <w:p w:rsidR="00100915" w:rsidRPr="00100915" w:rsidRDefault="00100915" w:rsidP="00100915">
      <w:pPr>
        <w:spacing w:line="120" w:lineRule="exact"/>
        <w:rPr>
          <w:bCs/>
          <w:iCs/>
          <w:sz w:val="10"/>
          <w:szCs w:val="24"/>
          <w:u w:val="single"/>
        </w:rPr>
      </w:pPr>
    </w:p>
    <w:p w:rsidR="00100915" w:rsidRPr="001D778C" w:rsidRDefault="00100915" w:rsidP="00100915">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Pr="001D778C">
        <w:t xml:space="preserve">Country </w:t>
      </w:r>
      <w:r>
        <w:t>d</w:t>
      </w:r>
      <w:r w:rsidRPr="001D778C">
        <w:t>ata</w:t>
      </w:r>
    </w:p>
    <w:p w:rsidR="00100915" w:rsidRPr="00100915" w:rsidRDefault="00100915" w:rsidP="00100915">
      <w:pPr>
        <w:spacing w:line="120" w:lineRule="exact"/>
        <w:rPr>
          <w:b/>
          <w:sz w:val="10"/>
          <w:szCs w:val="24"/>
          <w:lang w:val="es-ES_tradnl"/>
        </w:rPr>
      </w:pPr>
    </w:p>
    <w:p w:rsidR="00100915" w:rsidRPr="00100915" w:rsidRDefault="00100915" w:rsidP="00100915">
      <w:pPr>
        <w:spacing w:line="120" w:lineRule="exact"/>
        <w:rPr>
          <w:b/>
          <w:sz w:val="10"/>
          <w:szCs w:val="24"/>
          <w:lang w:val="es-ES_tradnl"/>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100915"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100915" w:rsidRPr="001D778C" w:rsidRDefault="00100915" w:rsidP="00100915">
            <w:pPr>
              <w:pStyle w:val="Heading3"/>
              <w:rPr>
                <w:szCs w:val="24"/>
              </w:rPr>
            </w:pPr>
            <w:r w:rsidRPr="001D778C">
              <w:rPr>
                <w:szCs w:val="24"/>
              </w:rPr>
              <w:t>DATA</w:t>
            </w:r>
          </w:p>
          <w:p w:rsidR="00100915" w:rsidRPr="001D778C" w:rsidRDefault="00100915" w:rsidP="00100915">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Net enrolment</w:t>
            </w:r>
            <w:r w:rsidRPr="00EF2D4D">
              <w:rPr>
                <w:bCs/>
                <w:sz w:val="24"/>
                <w:szCs w:val="24"/>
              </w:rPr>
              <w:t xml:space="preserve"> rate</w:t>
            </w:r>
            <w:r w:rsidRPr="001D778C">
              <w:rPr>
                <w:bCs/>
                <w:sz w:val="24"/>
                <w:szCs w:val="24"/>
                <w:lang w:val="es-ES_tradnl"/>
              </w:rPr>
              <w:t>.</w:t>
            </w:r>
            <w:r w:rsidRPr="00EF2D4D">
              <w:rPr>
                <w:bCs/>
                <w:sz w:val="24"/>
                <w:szCs w:val="24"/>
              </w:rPr>
              <w:t xml:space="preserve"> Primary</w:t>
            </w:r>
            <w:r w:rsidRPr="001D778C">
              <w:rPr>
                <w:bCs/>
                <w:sz w:val="24"/>
                <w:szCs w:val="24"/>
                <w:lang w:val="es-ES_tradnl"/>
              </w:rPr>
              <w:t xml:space="preserve">. Total. </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Net enrolment rate. Primary.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0915" w:rsidRPr="001D778C" w:rsidRDefault="00100915" w:rsidP="00100915">
            <w:pPr>
              <w:spacing w:line="26" w:lineRule="atLeast"/>
              <w:rPr>
                <w:b/>
                <w:sz w:val="24"/>
                <w:szCs w:val="24"/>
                <w:lang w:val="es-ES_tradnl"/>
              </w:rPr>
            </w:pPr>
            <w:r w:rsidRPr="001D778C">
              <w:rPr>
                <w:bCs/>
                <w:sz w:val="24"/>
                <w:szCs w:val="24"/>
                <w:lang w:val="es-ES_tradnl"/>
              </w:rPr>
              <w:t>Net enrolment rate. Primary. Female.</w:t>
            </w:r>
          </w:p>
        </w:tc>
        <w:tc>
          <w:tcPr>
            <w:tcW w:w="2604" w:type="dxa"/>
            <w:gridSpan w:val="4"/>
            <w:tcBorders>
              <w:top w:val="thinThickSmallGap" w:sz="24" w:space="0" w:color="auto"/>
              <w:left w:val="thinThickSmallGap" w:sz="24" w:space="0" w:color="auto"/>
              <w:bottom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Gender parity index for net enrolment rate. Primary.</w:t>
            </w:r>
          </w:p>
        </w:tc>
      </w:tr>
      <w:tr w:rsidR="00100915"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100915" w:rsidRPr="001D778C" w:rsidRDefault="00100915" w:rsidP="00100915">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2004</w:t>
            </w:r>
          </w:p>
        </w:tc>
      </w:tr>
      <w:tr w:rsidR="00100915"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100915" w:rsidRPr="001D778C" w:rsidRDefault="00100915" w:rsidP="00100915">
            <w:pPr>
              <w:pStyle w:val="Heading3"/>
              <w:rPr>
                <w:szCs w:val="24"/>
              </w:rPr>
            </w:pPr>
            <w:r w:rsidRPr="001D778C">
              <w:rPr>
                <w:szCs w:val="24"/>
              </w:rPr>
              <w:t>COUNTRY</w:t>
            </w:r>
          </w:p>
        </w:tc>
        <w:tc>
          <w:tcPr>
            <w:tcW w:w="651" w:type="dxa"/>
            <w:vMerge/>
            <w:tcBorders>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bottom w:val="single" w:sz="6" w:space="0" w:color="auto"/>
            </w:tcBorders>
          </w:tcPr>
          <w:p w:rsidR="00100915" w:rsidRPr="001D778C" w:rsidRDefault="00100915" w:rsidP="00100915">
            <w:pPr>
              <w:spacing w:line="26" w:lineRule="atLeast"/>
              <w:jc w:val="center"/>
              <w:rPr>
                <w:b/>
                <w:sz w:val="24"/>
                <w:szCs w:val="24"/>
                <w:lang w:val="es-ES_tradnl"/>
              </w:rPr>
            </w:pPr>
          </w:p>
        </w:tc>
        <w:tc>
          <w:tcPr>
            <w:tcW w:w="651" w:type="dxa"/>
            <w:vMerge/>
            <w:tcBorders>
              <w:left w:val="thinThickSmallGap" w:sz="24" w:space="0" w:color="auto"/>
            </w:tcBorders>
          </w:tcPr>
          <w:p w:rsidR="00100915" w:rsidRPr="001D778C" w:rsidRDefault="00100915" w:rsidP="00100915">
            <w:pPr>
              <w:spacing w:line="26" w:lineRule="atLeast"/>
              <w:jc w:val="center"/>
              <w:rPr>
                <w:b/>
                <w:sz w:val="24"/>
                <w:szCs w:val="24"/>
                <w:lang w:val="es-ES_tradnl"/>
              </w:rPr>
            </w:pPr>
          </w:p>
        </w:tc>
        <w:tc>
          <w:tcPr>
            <w:tcW w:w="651" w:type="dxa"/>
            <w:vMerge/>
          </w:tcPr>
          <w:p w:rsidR="00100915" w:rsidRPr="001D778C" w:rsidRDefault="00100915" w:rsidP="00100915">
            <w:pPr>
              <w:spacing w:line="26" w:lineRule="atLeast"/>
              <w:jc w:val="center"/>
              <w:rPr>
                <w:b/>
                <w:sz w:val="24"/>
                <w:szCs w:val="24"/>
                <w:lang w:val="es-ES_tradnl"/>
              </w:rPr>
            </w:pPr>
          </w:p>
        </w:tc>
        <w:tc>
          <w:tcPr>
            <w:tcW w:w="651" w:type="dxa"/>
            <w:vMerge/>
          </w:tcPr>
          <w:p w:rsidR="00100915" w:rsidRPr="001D778C" w:rsidRDefault="00100915" w:rsidP="00100915">
            <w:pPr>
              <w:spacing w:line="26" w:lineRule="atLeast"/>
              <w:jc w:val="center"/>
              <w:rPr>
                <w:b/>
                <w:sz w:val="24"/>
                <w:szCs w:val="24"/>
                <w:lang w:val="es-ES_tradnl"/>
              </w:rPr>
            </w:pPr>
          </w:p>
        </w:tc>
        <w:tc>
          <w:tcPr>
            <w:tcW w:w="651" w:type="dxa"/>
            <w:vMerge/>
          </w:tcPr>
          <w:p w:rsidR="00100915" w:rsidRPr="001D778C" w:rsidRDefault="00100915" w:rsidP="00100915">
            <w:pPr>
              <w:spacing w:line="26" w:lineRule="atLeast"/>
              <w:jc w:val="center"/>
              <w:rPr>
                <w:b/>
                <w:sz w:val="24"/>
                <w:szCs w:val="24"/>
                <w:lang w:val="es-ES_tradnl"/>
              </w:rPr>
            </w:pPr>
          </w:p>
        </w:tc>
      </w:tr>
      <w:tr w:rsidR="00100915" w:rsidRPr="001D778C">
        <w:tblPrEx>
          <w:tblCellMar>
            <w:top w:w="0" w:type="dxa"/>
            <w:bottom w:w="0" w:type="dxa"/>
          </w:tblCellMar>
        </w:tblPrEx>
        <w:tc>
          <w:tcPr>
            <w:tcW w:w="1523" w:type="dxa"/>
            <w:tcBorders>
              <w:top w:val="thinThickSmallGap" w:sz="24" w:space="0" w:color="auto"/>
              <w:right w:val="thinThickSmallGap" w:sz="24" w:space="0" w:color="auto"/>
            </w:tcBorders>
          </w:tcPr>
          <w:p w:rsidR="00100915" w:rsidRPr="001D778C" w:rsidRDefault="00100915" w:rsidP="00100915">
            <w:pPr>
              <w:pStyle w:val="Heading3"/>
              <w:rPr>
                <w:szCs w:val="24"/>
              </w:rPr>
            </w:pPr>
            <w:smartTag w:uri="urn:schemas-microsoft-com:office:smarttags" w:element="place">
              <w:smartTag w:uri="urn:schemas-microsoft-com:office:smarttags" w:element="country-region">
                <w:r w:rsidRPr="001D778C">
                  <w:rPr>
                    <w:szCs w:val="24"/>
                  </w:rPr>
                  <w:t>Mauritania</w:t>
                </w:r>
              </w:smartTag>
            </w:smartTag>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67</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74</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75</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64</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65</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67</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74</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0.93</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0.96</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0.97</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0.99</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Mozambique</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60</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71</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60</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75</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55</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53</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67</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0.83</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0.87</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0.90</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Niger</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29</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32</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39</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34</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42</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46</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23</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29</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32</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0.69</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0.69</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0.71</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0.71</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Pakistan</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58</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66</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69</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76</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47</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56</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0.68</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0.73</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Serbia and Montenegro</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1.00</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Sierra Leone</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Syrian Arab Republic</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95</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97</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97</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0.95</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0.95</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w:t>
            </w:r>
          </w:p>
        </w:tc>
      </w:tr>
      <w:tr w:rsidR="00100915" w:rsidRPr="001D778C">
        <w:tblPrEx>
          <w:tblCellMar>
            <w:top w:w="0" w:type="dxa"/>
            <w:bottom w:w="0" w:type="dxa"/>
          </w:tblCellMar>
        </w:tblPrEx>
        <w:tc>
          <w:tcPr>
            <w:tcW w:w="1523" w:type="dxa"/>
            <w:tcBorders>
              <w:right w:val="thinThickSmallGap" w:sz="24" w:space="0" w:color="auto"/>
            </w:tcBorders>
          </w:tcPr>
          <w:p w:rsidR="00100915" w:rsidRPr="001D778C" w:rsidRDefault="00100915" w:rsidP="00100915">
            <w:pPr>
              <w:spacing w:line="26" w:lineRule="atLeast"/>
              <w:rPr>
                <w:bCs/>
                <w:sz w:val="24"/>
                <w:szCs w:val="24"/>
                <w:lang w:val="es-ES_tradnl"/>
              </w:rPr>
            </w:pPr>
            <w:r w:rsidRPr="001D778C">
              <w:rPr>
                <w:bCs/>
                <w:sz w:val="24"/>
                <w:szCs w:val="24"/>
                <w:lang w:val="es-ES_tradnl"/>
              </w:rPr>
              <w:t>Vanuatu</w:t>
            </w:r>
          </w:p>
        </w:tc>
        <w:tc>
          <w:tcPr>
            <w:tcW w:w="651" w:type="dxa"/>
            <w:tcBorders>
              <w:top w:val="single" w:sz="6" w:space="0" w:color="auto"/>
              <w:left w:val="thinThickSmallGap" w:sz="24"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93</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97</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left w:val="thinThickSmallGap" w:sz="24"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93</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95</w:t>
            </w:r>
          </w:p>
        </w:tc>
        <w:tc>
          <w:tcPr>
            <w:tcW w:w="651" w:type="dxa"/>
            <w:tcBorders>
              <w:top w:val="single" w:sz="6" w:space="0" w:color="auto"/>
              <w:left w:val="thinThickSmallGap" w:sz="24"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97</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thickThin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93</w:t>
            </w:r>
          </w:p>
        </w:tc>
        <w:tc>
          <w:tcPr>
            <w:tcW w:w="651" w:type="dxa"/>
            <w:tcBorders>
              <w:left w:val="thinThickSmallGap" w:sz="24" w:space="0" w:color="auto"/>
            </w:tcBorders>
          </w:tcPr>
          <w:p w:rsidR="00100915" w:rsidRPr="001D778C" w:rsidRDefault="00100915" w:rsidP="00100915">
            <w:pPr>
              <w:spacing w:line="26" w:lineRule="atLeast"/>
              <w:jc w:val="center"/>
              <w:rPr>
                <w:b/>
                <w:sz w:val="24"/>
                <w:szCs w:val="24"/>
                <w:lang w:val="es-ES_tradnl"/>
              </w:rPr>
            </w:pPr>
            <w:r w:rsidRPr="001D778C">
              <w:rPr>
                <w:b/>
                <w:sz w:val="24"/>
                <w:szCs w:val="24"/>
                <w:lang w:val="es-ES_tradnl"/>
              </w:rPr>
              <w:t>1.01</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1.01</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1.00</w:t>
            </w:r>
          </w:p>
        </w:tc>
        <w:tc>
          <w:tcPr>
            <w:tcW w:w="651" w:type="dxa"/>
          </w:tcPr>
          <w:p w:rsidR="00100915" w:rsidRPr="001D778C" w:rsidRDefault="00100915" w:rsidP="00100915">
            <w:pPr>
              <w:spacing w:line="26" w:lineRule="atLeast"/>
              <w:jc w:val="center"/>
              <w:rPr>
                <w:b/>
                <w:sz w:val="24"/>
                <w:szCs w:val="24"/>
                <w:lang w:val="es-ES_tradnl"/>
              </w:rPr>
            </w:pPr>
            <w:r w:rsidRPr="001D778C">
              <w:rPr>
                <w:b/>
                <w:sz w:val="24"/>
                <w:szCs w:val="24"/>
                <w:lang w:val="es-ES_tradnl"/>
              </w:rPr>
              <w:t>0.98</w:t>
            </w:r>
          </w:p>
        </w:tc>
      </w:tr>
    </w:tbl>
    <w:p w:rsidR="00100915" w:rsidRPr="001D778C" w:rsidRDefault="00100915" w:rsidP="00100915">
      <w:pPr>
        <w:spacing w:line="26" w:lineRule="atLeast"/>
        <w:rPr>
          <w:b/>
          <w:sz w:val="24"/>
          <w:szCs w:val="24"/>
          <w:lang w:val="es-ES_tradnl"/>
        </w:rPr>
      </w:pPr>
    </w:p>
    <w:p w:rsidR="00100915" w:rsidRDefault="00100915" w:rsidP="000A4432">
      <w:pPr>
        <w:pStyle w:val="SingleTxt"/>
      </w:pPr>
    </w:p>
    <w:p w:rsidR="00100915" w:rsidRDefault="00100915" w:rsidP="000A4432">
      <w:pPr>
        <w:pStyle w:val="SingleTxt"/>
      </w:pPr>
    </w:p>
    <w:p w:rsidR="00100915" w:rsidRDefault="00100915" w:rsidP="000A4432">
      <w:pPr>
        <w:pStyle w:val="SingleTxt"/>
      </w:pPr>
    </w:p>
    <w:p w:rsidR="00A3070E" w:rsidRPr="001D778C" w:rsidRDefault="00100915" w:rsidP="00A3070E">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br w:type="page"/>
      </w:r>
      <w:r w:rsidR="00A3070E">
        <w:tab/>
      </w:r>
      <w:r w:rsidR="00A3070E">
        <w:tab/>
      </w:r>
      <w:r w:rsidR="00A3070E" w:rsidRPr="001D778C">
        <w:t xml:space="preserve">Data aggregated by </w:t>
      </w:r>
      <w:r w:rsidR="00A3070E">
        <w:t>r</w:t>
      </w:r>
      <w:r w:rsidR="00A3070E" w:rsidRPr="001D778C">
        <w:t xml:space="preserve">egion </w:t>
      </w:r>
    </w:p>
    <w:p w:rsidR="00A3070E" w:rsidRPr="00A3070E" w:rsidRDefault="00A3070E" w:rsidP="00A3070E">
      <w:pPr>
        <w:spacing w:line="120" w:lineRule="exact"/>
        <w:rPr>
          <w:rFonts w:eastAsia="Arial Unicode MS"/>
          <w:b/>
          <w:sz w:val="10"/>
          <w:szCs w:val="24"/>
          <w:lang w:eastAsia="fr-FR"/>
        </w:rPr>
      </w:pPr>
    </w:p>
    <w:p w:rsidR="00A3070E" w:rsidRPr="00A3070E" w:rsidRDefault="00A3070E" w:rsidP="00A3070E">
      <w:pPr>
        <w:spacing w:line="120" w:lineRule="exact"/>
        <w:rPr>
          <w:rFonts w:eastAsia="Arial Unicode MS"/>
          <w:b/>
          <w:sz w:val="10"/>
          <w:szCs w:val="24"/>
          <w:lang w:eastAsia="fr-FR"/>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A3070E"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DATA</w:t>
            </w:r>
          </w:p>
          <w:p w:rsidR="00A3070E" w:rsidRPr="001D778C" w:rsidRDefault="00A3070E" w:rsidP="00A3070E">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Primary. Total.</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Primary.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
                <w:sz w:val="24"/>
                <w:szCs w:val="24"/>
                <w:lang w:val="es-ES_tradnl"/>
              </w:rPr>
            </w:pPr>
            <w:r w:rsidRPr="001D778C">
              <w:rPr>
                <w:bCs/>
                <w:sz w:val="24"/>
                <w:szCs w:val="24"/>
                <w:lang w:val="es-ES_tradnl"/>
              </w:rPr>
              <w:t>Net enrolment rate. Primary. Female.</w:t>
            </w:r>
          </w:p>
        </w:tc>
        <w:tc>
          <w:tcPr>
            <w:tcW w:w="2604" w:type="dxa"/>
            <w:gridSpan w:val="4"/>
            <w:tcBorders>
              <w:top w:val="thinThickSmallGap" w:sz="24" w:space="0" w:color="auto"/>
              <w:left w:val="thinThickSmallGap" w:sz="24" w:space="0" w:color="auto"/>
              <w:bottom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Gender parity index for net enrolment rate. Primary.</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COUNTRY</w:t>
            </w: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tcBorders>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r>
      <w:tr w:rsidR="00A3070E" w:rsidRPr="001D778C">
        <w:tblPrEx>
          <w:tblCellMar>
            <w:top w:w="0" w:type="dxa"/>
            <w:bottom w:w="0" w:type="dxa"/>
          </w:tblCellMar>
        </w:tblPrEx>
        <w:tc>
          <w:tcPr>
            <w:tcW w:w="1523" w:type="dxa"/>
            <w:tcBorders>
              <w:top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Arab States</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85</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79</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Central and Eastern Europe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90</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0.97</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East Asia and the Pacific</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1.00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1.00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0.99</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0.99</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South and West Asia</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86</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89</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82</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0.84</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0.85</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Sub-Saharan Africa</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59</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61</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66</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62</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67</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69</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58</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60</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r>
    </w:tbl>
    <w:p w:rsidR="00A3070E" w:rsidRPr="00A3070E" w:rsidRDefault="00A3070E" w:rsidP="00A3070E">
      <w:pPr>
        <w:pStyle w:val="Footer"/>
        <w:tabs>
          <w:tab w:val="clear" w:pos="4320"/>
          <w:tab w:val="clear" w:pos="8640"/>
        </w:tabs>
        <w:spacing w:line="120" w:lineRule="exact"/>
        <w:rPr>
          <w:rFonts w:eastAsia="Arial Unicode MS"/>
          <w:sz w:val="10"/>
          <w:szCs w:val="24"/>
          <w:lang w:val="en-GB" w:eastAsia="fr-FR"/>
        </w:rPr>
      </w:pPr>
    </w:p>
    <w:p w:rsidR="00A3070E" w:rsidRPr="00A3070E" w:rsidRDefault="00A3070E" w:rsidP="00A3070E">
      <w:pPr>
        <w:spacing w:line="26" w:lineRule="atLeast"/>
      </w:pPr>
      <w:r w:rsidRPr="00A3070E">
        <w:rPr>
          <w:i/>
        </w:rPr>
        <w:t>Source</w:t>
      </w:r>
      <w:r w:rsidRPr="00A3070E">
        <w:t>:</w:t>
      </w:r>
      <w:r w:rsidRPr="00A3070E">
        <w:rPr>
          <w:i/>
        </w:rPr>
        <w:t xml:space="preserve"> </w:t>
      </w:r>
      <w:r w:rsidRPr="00A3070E">
        <w:t>http://stats.uis.</w:t>
      </w:r>
      <w:r w:rsidRPr="00A3070E">
        <w:t>u</w:t>
      </w:r>
      <w:r w:rsidRPr="00A3070E">
        <w:t>nesco.org/TableViewer/tableView.aspx (UNESCO Institute for Statistics, Education), last accessed on 22/03/07.</w:t>
      </w:r>
    </w:p>
    <w:p w:rsidR="00A3070E" w:rsidRPr="001D778C" w:rsidRDefault="00A3070E" w:rsidP="00A3070E">
      <w:pPr>
        <w:pStyle w:val="H1"/>
        <w:ind w:right="1260"/>
      </w:pPr>
      <w:r w:rsidRPr="00A3070E">
        <w:br w:type="page"/>
      </w:r>
      <w:r w:rsidRPr="00A3070E">
        <w:tab/>
        <w:t>2.</w:t>
      </w:r>
      <w:r w:rsidRPr="00A3070E">
        <w:tab/>
      </w:r>
      <w:r w:rsidRPr="001D778C">
        <w:t xml:space="preserve">Secondary </w:t>
      </w:r>
      <w:r>
        <w:t>e</w:t>
      </w:r>
      <w:r w:rsidRPr="001D778C">
        <w:t>ducation</w:t>
      </w:r>
    </w:p>
    <w:p w:rsidR="00A3070E" w:rsidRPr="00A3070E" w:rsidRDefault="00A3070E" w:rsidP="00A3070E">
      <w:pPr>
        <w:spacing w:line="120" w:lineRule="exact"/>
        <w:rPr>
          <w:bCs/>
          <w:iCs/>
          <w:sz w:val="10"/>
          <w:szCs w:val="24"/>
          <w:u w:val="single"/>
          <w:lang w:val="es-ES_tradnl"/>
        </w:rPr>
      </w:pPr>
    </w:p>
    <w:p w:rsidR="00A3070E" w:rsidRPr="00A3070E" w:rsidRDefault="00A3070E" w:rsidP="00A3070E">
      <w:pPr>
        <w:spacing w:line="120" w:lineRule="exact"/>
        <w:rPr>
          <w:bCs/>
          <w:iCs/>
          <w:sz w:val="10"/>
          <w:szCs w:val="24"/>
          <w:u w:val="single"/>
          <w:lang w:val="es-ES_tradnl"/>
        </w:rPr>
      </w:pPr>
    </w:p>
    <w:p w:rsidR="00A3070E" w:rsidRPr="001D778C" w:rsidRDefault="00A3070E" w:rsidP="00A3070E">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lang w:val="es-ES_tradnl"/>
        </w:rPr>
      </w:pPr>
      <w:r>
        <w:rPr>
          <w:lang w:val="es-ES_tradnl"/>
        </w:rPr>
        <w:tab/>
      </w:r>
      <w:r>
        <w:rPr>
          <w:lang w:val="es-ES_tradnl"/>
        </w:rPr>
        <w:tab/>
      </w:r>
      <w:r w:rsidRPr="001D778C">
        <w:rPr>
          <w:lang w:val="es-ES_tradnl"/>
        </w:rPr>
        <w:t xml:space="preserve">Country </w:t>
      </w:r>
      <w:r>
        <w:rPr>
          <w:lang w:val="es-ES_tradnl"/>
        </w:rPr>
        <w:t>d</w:t>
      </w:r>
      <w:r w:rsidRPr="001D778C">
        <w:rPr>
          <w:lang w:val="es-ES_tradnl"/>
        </w:rPr>
        <w:t>ata</w:t>
      </w:r>
    </w:p>
    <w:p w:rsidR="00A3070E" w:rsidRPr="00A3070E" w:rsidRDefault="00A3070E" w:rsidP="00A3070E">
      <w:pPr>
        <w:spacing w:line="120" w:lineRule="exact"/>
        <w:rPr>
          <w:b/>
          <w:sz w:val="10"/>
          <w:szCs w:val="24"/>
          <w:lang w:val="es-ES_tradnl"/>
        </w:rPr>
      </w:pPr>
    </w:p>
    <w:p w:rsidR="00A3070E" w:rsidRPr="00A3070E" w:rsidRDefault="00A3070E" w:rsidP="00A3070E">
      <w:pPr>
        <w:spacing w:line="120" w:lineRule="exact"/>
        <w:rPr>
          <w:b/>
          <w:sz w:val="10"/>
          <w:szCs w:val="24"/>
          <w:lang w:val="es-ES_tradnl"/>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A3070E"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DATA</w:t>
            </w:r>
          </w:p>
          <w:p w:rsidR="00A3070E" w:rsidRPr="001D778C" w:rsidRDefault="00A3070E" w:rsidP="00A3070E">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Secondary. Total.</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Secondary.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
                <w:sz w:val="24"/>
                <w:szCs w:val="24"/>
                <w:lang w:val="es-ES_tradnl"/>
              </w:rPr>
            </w:pPr>
            <w:r w:rsidRPr="001D778C">
              <w:rPr>
                <w:bCs/>
                <w:sz w:val="24"/>
                <w:szCs w:val="24"/>
                <w:lang w:val="es-ES_tradnl"/>
              </w:rPr>
              <w:t>Net enrolment rate. Secondary. Female.</w:t>
            </w:r>
          </w:p>
        </w:tc>
        <w:tc>
          <w:tcPr>
            <w:tcW w:w="2604" w:type="dxa"/>
            <w:gridSpan w:val="4"/>
            <w:tcBorders>
              <w:top w:val="thinThickSmallGap" w:sz="24" w:space="0" w:color="auto"/>
              <w:left w:val="thinThickSmallGap" w:sz="24" w:space="0" w:color="auto"/>
              <w:bottom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Gender parity index for net enrolment rate. Secondary.</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COUNTRY</w:t>
            </w: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tcBorders>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r>
      <w:tr w:rsidR="00A3070E" w:rsidRPr="001D778C">
        <w:tblPrEx>
          <w:tblCellMar>
            <w:top w:w="0" w:type="dxa"/>
            <w:bottom w:w="0" w:type="dxa"/>
          </w:tblCellMar>
        </w:tblPrEx>
        <w:tc>
          <w:tcPr>
            <w:tcW w:w="1523" w:type="dxa"/>
            <w:tcBorders>
              <w:top w:val="thinThickSmallGap" w:sz="24" w:space="0" w:color="auto"/>
              <w:right w:val="thinThickSmallGap" w:sz="24" w:space="0" w:color="auto"/>
            </w:tcBorders>
          </w:tcPr>
          <w:p w:rsidR="00A3070E" w:rsidRPr="001D778C" w:rsidRDefault="00A3070E" w:rsidP="00A3070E">
            <w:pPr>
              <w:pStyle w:val="Heading3"/>
              <w:rPr>
                <w:szCs w:val="24"/>
              </w:rPr>
            </w:pPr>
            <w:smartTag w:uri="urn:schemas-microsoft-com:office:smarttags" w:element="place">
              <w:smartTag w:uri="urn:schemas-microsoft-com:office:smarttags" w:element="country-region">
                <w:r w:rsidRPr="001D778C">
                  <w:rPr>
                    <w:szCs w:val="24"/>
                  </w:rPr>
                  <w:t>Mauritania</w:t>
                </w:r>
              </w:smartTag>
            </w:smartTag>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16</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13</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0.79</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0.76</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0.82</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Mozambique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0.74</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0.78</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Niger</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0.69</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0.69</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0.68</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Pakistan</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25</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18</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0.73</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Serbia and Montenegro</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Sierra Leone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Syrian Arab Republic</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38</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60</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0.93</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0.93</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Vanuatu</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33</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37</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37</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39</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35</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38</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40</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42</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32</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36</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34</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36</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0.95</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0.84</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0.86</w:t>
            </w:r>
          </w:p>
        </w:tc>
      </w:tr>
    </w:tbl>
    <w:p w:rsidR="00A3070E" w:rsidRPr="001D778C" w:rsidRDefault="00A3070E" w:rsidP="00A3070E">
      <w:pPr>
        <w:spacing w:line="26" w:lineRule="atLeast"/>
        <w:rPr>
          <w:b/>
          <w:sz w:val="24"/>
          <w:szCs w:val="24"/>
          <w:lang w:val="es-ES_tradnl"/>
        </w:rPr>
      </w:pPr>
    </w:p>
    <w:p w:rsidR="00A3070E" w:rsidRPr="001D778C" w:rsidRDefault="00A3070E" w:rsidP="00A3070E">
      <w:pPr>
        <w:spacing w:line="26" w:lineRule="atLeast"/>
        <w:rPr>
          <w:b/>
          <w:sz w:val="24"/>
          <w:szCs w:val="24"/>
          <w:lang w:val="es-ES_tradnl"/>
        </w:rPr>
      </w:pPr>
    </w:p>
    <w:p w:rsidR="00A3070E" w:rsidRPr="001D778C" w:rsidRDefault="00A3070E" w:rsidP="00A3070E">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rsidRPr="001D778C">
        <w:rPr>
          <w:lang w:val="es-ES_tradnl"/>
        </w:rPr>
        <w:br w:type="page"/>
      </w:r>
      <w:r>
        <w:rPr>
          <w:lang w:val="es-ES_tradnl"/>
        </w:rPr>
        <w:tab/>
      </w:r>
      <w:r>
        <w:rPr>
          <w:lang w:val="es-ES_tradnl"/>
        </w:rPr>
        <w:tab/>
      </w:r>
      <w:r w:rsidRPr="001D778C">
        <w:t xml:space="preserve">Data aggregated by </w:t>
      </w:r>
      <w:r>
        <w:t>r</w:t>
      </w:r>
      <w:r w:rsidRPr="001D778C">
        <w:t>egion</w:t>
      </w:r>
    </w:p>
    <w:p w:rsidR="00A3070E" w:rsidRPr="00A3070E" w:rsidRDefault="00A3070E" w:rsidP="00A3070E">
      <w:pPr>
        <w:spacing w:line="120" w:lineRule="exact"/>
        <w:rPr>
          <w:b/>
          <w:i/>
          <w:sz w:val="10"/>
          <w:szCs w:val="24"/>
        </w:rPr>
      </w:pPr>
    </w:p>
    <w:p w:rsidR="00A3070E" w:rsidRPr="00A3070E" w:rsidRDefault="00A3070E" w:rsidP="00A3070E">
      <w:pPr>
        <w:spacing w:line="120" w:lineRule="exact"/>
        <w:rPr>
          <w:b/>
          <w:i/>
          <w:sz w:val="10"/>
          <w:szCs w:val="24"/>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A3070E"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DATA</w:t>
            </w:r>
          </w:p>
          <w:p w:rsidR="00A3070E" w:rsidRPr="001D778C" w:rsidRDefault="00A3070E" w:rsidP="00A3070E">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Secondary. Total.</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Net enrolment rate. Secondary.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
                <w:sz w:val="24"/>
                <w:szCs w:val="24"/>
                <w:lang w:val="es-ES_tradnl"/>
              </w:rPr>
            </w:pPr>
            <w:r w:rsidRPr="001D778C">
              <w:rPr>
                <w:bCs/>
                <w:sz w:val="24"/>
                <w:szCs w:val="24"/>
                <w:lang w:val="es-ES_tradnl"/>
              </w:rPr>
              <w:t>Net enrolment rate. Secondary. Female.</w:t>
            </w:r>
          </w:p>
        </w:tc>
        <w:tc>
          <w:tcPr>
            <w:tcW w:w="2604" w:type="dxa"/>
            <w:gridSpan w:val="4"/>
            <w:tcBorders>
              <w:top w:val="thinThickSmallGap" w:sz="24" w:space="0" w:color="auto"/>
              <w:left w:val="thinThickSmallGap" w:sz="24" w:space="0" w:color="auto"/>
              <w:bottom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Gender parity index for net enrolment rate. Secondary.</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COUNTRY</w:t>
            </w: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tcBorders>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r>
      <w:tr w:rsidR="00A3070E" w:rsidRPr="001D778C">
        <w:tblPrEx>
          <w:tblCellMar>
            <w:top w:w="0" w:type="dxa"/>
            <w:bottom w:w="0" w:type="dxa"/>
          </w:tblCellMar>
        </w:tblPrEx>
        <w:tc>
          <w:tcPr>
            <w:tcW w:w="1523" w:type="dxa"/>
            <w:tcBorders>
              <w:top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Arab States</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58</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0.93</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0.93</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Central and Eastern Europe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83</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81</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0.98</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East Asia and the Pacific</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69</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South and West Asia</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Sub-Saharan Africa</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23</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24</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23</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25</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26</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27</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22</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0.81</w:t>
            </w:r>
          </w:p>
        </w:tc>
      </w:tr>
    </w:tbl>
    <w:p w:rsidR="00A3070E" w:rsidRPr="00A3070E" w:rsidRDefault="00A3070E" w:rsidP="00A3070E">
      <w:pPr>
        <w:spacing w:line="120" w:lineRule="exact"/>
        <w:rPr>
          <w:b/>
          <w:i/>
          <w:sz w:val="10"/>
          <w:szCs w:val="24"/>
        </w:rPr>
      </w:pPr>
    </w:p>
    <w:p w:rsidR="00A3070E" w:rsidRPr="00A3070E" w:rsidRDefault="00A3070E" w:rsidP="00A3070E">
      <w:pPr>
        <w:spacing w:line="120" w:lineRule="exact"/>
        <w:rPr>
          <w:b/>
          <w:i/>
          <w:sz w:val="10"/>
          <w:szCs w:val="24"/>
        </w:rPr>
      </w:pPr>
    </w:p>
    <w:p w:rsidR="00A3070E" w:rsidRPr="00A3070E" w:rsidRDefault="00A3070E" w:rsidP="00A3070E">
      <w:pPr>
        <w:spacing w:line="26" w:lineRule="atLeast"/>
      </w:pPr>
      <w:r w:rsidRPr="00A3070E">
        <w:rPr>
          <w:i/>
        </w:rPr>
        <w:t>Source</w:t>
      </w:r>
      <w:r w:rsidRPr="00A3070E">
        <w:t>: http://stats.uis.unesco.org/TableViewer/tableView.aspx (UNESCO Institute for Statistics, Education), last accessed on 22/03/07.</w:t>
      </w:r>
    </w:p>
    <w:p w:rsidR="00A3070E" w:rsidRPr="001D778C" w:rsidRDefault="00A3070E" w:rsidP="00A3070E">
      <w:pPr>
        <w:pStyle w:val="H1"/>
        <w:ind w:right="1260"/>
      </w:pPr>
      <w:r w:rsidRPr="001D778C">
        <w:br w:type="page"/>
      </w:r>
      <w:r>
        <w:tab/>
        <w:t>3.</w:t>
      </w:r>
      <w:r>
        <w:tab/>
      </w:r>
      <w:r w:rsidRPr="001D778C">
        <w:t xml:space="preserve">Tertiary </w:t>
      </w:r>
      <w:r>
        <w:t>e</w:t>
      </w:r>
      <w:r w:rsidRPr="001D778C">
        <w:t>ducation (ISCED 5 and 6)</w:t>
      </w:r>
    </w:p>
    <w:p w:rsidR="00A3070E" w:rsidRPr="00A3070E" w:rsidRDefault="00A3070E" w:rsidP="00A3070E">
      <w:pPr>
        <w:tabs>
          <w:tab w:val="left" w:pos="0"/>
        </w:tabs>
        <w:spacing w:line="120" w:lineRule="exact"/>
        <w:rPr>
          <w:bCs/>
          <w:iCs/>
          <w:sz w:val="10"/>
          <w:szCs w:val="24"/>
          <w:lang w:val="es-ES_tradnl"/>
        </w:rPr>
      </w:pPr>
    </w:p>
    <w:p w:rsidR="00A3070E" w:rsidRPr="00A3070E" w:rsidRDefault="00A3070E" w:rsidP="00A3070E">
      <w:pPr>
        <w:tabs>
          <w:tab w:val="left" w:pos="0"/>
        </w:tabs>
        <w:spacing w:line="120" w:lineRule="exact"/>
        <w:rPr>
          <w:bCs/>
          <w:iCs/>
          <w:sz w:val="10"/>
          <w:szCs w:val="24"/>
          <w:lang w:val="es-ES_tradnl"/>
        </w:rPr>
      </w:pPr>
    </w:p>
    <w:p w:rsidR="00A3070E" w:rsidRPr="001D778C" w:rsidRDefault="00A3070E" w:rsidP="00A3070E">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rPr>
          <w:lang w:val="es-ES_tradnl"/>
        </w:rPr>
      </w:pPr>
      <w:r>
        <w:rPr>
          <w:lang w:val="es-ES_tradnl"/>
        </w:rPr>
        <w:tab/>
      </w:r>
      <w:r>
        <w:rPr>
          <w:lang w:val="es-ES_tradnl"/>
        </w:rPr>
        <w:tab/>
      </w:r>
      <w:r w:rsidRPr="001D778C">
        <w:rPr>
          <w:lang w:val="es-ES_tradnl"/>
        </w:rPr>
        <w:t xml:space="preserve">Country </w:t>
      </w:r>
      <w:r>
        <w:rPr>
          <w:lang w:val="es-ES_tradnl"/>
        </w:rPr>
        <w:t>d</w:t>
      </w:r>
      <w:r w:rsidRPr="001D778C">
        <w:rPr>
          <w:lang w:val="es-ES_tradnl"/>
        </w:rPr>
        <w:t>ata</w:t>
      </w:r>
    </w:p>
    <w:p w:rsidR="00A3070E" w:rsidRPr="00A3070E" w:rsidRDefault="00A3070E" w:rsidP="00A3070E">
      <w:pPr>
        <w:tabs>
          <w:tab w:val="left" w:pos="0"/>
        </w:tabs>
        <w:spacing w:line="120" w:lineRule="exact"/>
        <w:rPr>
          <w:b/>
          <w:i/>
          <w:sz w:val="10"/>
          <w:szCs w:val="24"/>
          <w:lang w:val="es-ES_tradnl"/>
        </w:rPr>
      </w:pPr>
    </w:p>
    <w:p w:rsidR="00A3070E" w:rsidRPr="00A3070E" w:rsidRDefault="00A3070E" w:rsidP="00A3070E">
      <w:pPr>
        <w:tabs>
          <w:tab w:val="left" w:pos="0"/>
        </w:tabs>
        <w:spacing w:line="120" w:lineRule="exact"/>
        <w:rPr>
          <w:b/>
          <w:i/>
          <w:sz w:val="10"/>
          <w:szCs w:val="24"/>
          <w:lang w:val="es-ES_tradnl"/>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A3070E"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DATA</w:t>
            </w:r>
          </w:p>
          <w:p w:rsidR="00A3070E" w:rsidRPr="001D778C" w:rsidRDefault="00A3070E" w:rsidP="00A3070E">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Gross enrolment ratio. ISCED 5 and 6. Total.</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Gross enrolment ratio. ISCED 5 and 6.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
                <w:sz w:val="24"/>
                <w:szCs w:val="24"/>
                <w:lang w:val="es-ES_tradnl"/>
              </w:rPr>
            </w:pPr>
            <w:r w:rsidRPr="001D778C">
              <w:rPr>
                <w:bCs/>
                <w:sz w:val="24"/>
                <w:szCs w:val="24"/>
                <w:lang w:val="es-ES_tradnl"/>
              </w:rPr>
              <w:t>Gross enrolment ratio. ISCED 5 and 6. Female.</w:t>
            </w:r>
          </w:p>
        </w:tc>
        <w:tc>
          <w:tcPr>
            <w:tcW w:w="2604" w:type="dxa"/>
            <w:gridSpan w:val="4"/>
            <w:tcBorders>
              <w:top w:val="thinThickSmallGap" w:sz="24" w:space="0" w:color="auto"/>
              <w:left w:val="thinThickSmallGap" w:sz="24" w:space="0" w:color="auto"/>
              <w:bottom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Gender parity index for gross enrolment ratio. ISCED 5 and 6.</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COUNTRY</w:t>
            </w: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tcBorders>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r>
      <w:tr w:rsidR="00A3070E" w:rsidRPr="001D778C">
        <w:tblPrEx>
          <w:tblCellMar>
            <w:top w:w="0" w:type="dxa"/>
            <w:bottom w:w="0" w:type="dxa"/>
          </w:tblCellMar>
        </w:tblPrEx>
        <w:tc>
          <w:tcPr>
            <w:tcW w:w="1523" w:type="dxa"/>
            <w:tcBorders>
              <w:top w:val="thinThickSmallGap" w:sz="24" w:space="0" w:color="auto"/>
              <w:right w:val="thinThickSmallGap" w:sz="24" w:space="0" w:color="auto"/>
            </w:tcBorders>
          </w:tcPr>
          <w:p w:rsidR="00A3070E" w:rsidRPr="001D778C" w:rsidRDefault="00A3070E" w:rsidP="00A3070E">
            <w:pPr>
              <w:pStyle w:val="Heading3"/>
              <w:rPr>
                <w:szCs w:val="24"/>
              </w:rPr>
            </w:pPr>
            <w:smartTag w:uri="urn:schemas-microsoft-com:office:smarttags" w:element="place">
              <w:smartTag w:uri="urn:schemas-microsoft-com:office:smarttags" w:element="country-region">
                <w:r w:rsidRPr="001D778C">
                  <w:rPr>
                    <w:szCs w:val="24"/>
                  </w:rPr>
                  <w:t>Mauritania</w:t>
                </w:r>
              </w:smartTag>
            </w:smartTag>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0.20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0.27</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0.27</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0.31</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Mozambique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0.47</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0.46</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Niger</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nil</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nil</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0.40</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Pakistan</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0.80</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Serbia and Montenegro</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Sierra Leone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0.40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Syrian Arab Republic</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Vanuatu</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left w:val="thinThickSmallGap" w:sz="24"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ckThin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0.56</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0.58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0.58</w:t>
            </w:r>
          </w:p>
        </w:tc>
      </w:tr>
    </w:tbl>
    <w:p w:rsidR="00A3070E" w:rsidRPr="001D778C" w:rsidRDefault="00A3070E" w:rsidP="00A3070E">
      <w:pPr>
        <w:tabs>
          <w:tab w:val="left" w:pos="0"/>
        </w:tabs>
        <w:spacing w:line="26" w:lineRule="atLeast"/>
        <w:rPr>
          <w:b/>
          <w:i/>
          <w:sz w:val="24"/>
          <w:szCs w:val="24"/>
          <w:lang w:val="es-ES_tradnl"/>
        </w:rPr>
      </w:pPr>
    </w:p>
    <w:p w:rsidR="00A3070E" w:rsidRPr="001D778C" w:rsidRDefault="00A3070E" w:rsidP="00A3070E">
      <w:pPr>
        <w:pStyle w:val="H23"/>
        <w:ind w:right="1260"/>
      </w:pPr>
      <w:r w:rsidRPr="001D778C">
        <w:rPr>
          <w:lang w:val="es-ES_tradnl"/>
        </w:rPr>
        <w:br w:type="page"/>
      </w:r>
      <w:r w:rsidRPr="001D778C">
        <w:t xml:space="preserve">Data aggregated by </w:t>
      </w:r>
      <w:r>
        <w:t>r</w:t>
      </w:r>
      <w:r w:rsidRPr="001D778C">
        <w:t>egion</w:t>
      </w:r>
    </w:p>
    <w:p w:rsidR="00A3070E" w:rsidRPr="00A3070E" w:rsidRDefault="00A3070E" w:rsidP="00A3070E">
      <w:pPr>
        <w:tabs>
          <w:tab w:val="left" w:pos="0"/>
        </w:tabs>
        <w:spacing w:line="120" w:lineRule="exact"/>
        <w:rPr>
          <w:b/>
          <w:i/>
          <w:sz w:val="10"/>
          <w:szCs w:val="24"/>
        </w:rPr>
      </w:pPr>
    </w:p>
    <w:p w:rsidR="00A3070E" w:rsidRPr="00A3070E" w:rsidRDefault="00A3070E" w:rsidP="00A3070E">
      <w:pPr>
        <w:tabs>
          <w:tab w:val="left" w:pos="0"/>
        </w:tabs>
        <w:spacing w:line="120" w:lineRule="exact"/>
        <w:rPr>
          <w:b/>
          <w:i/>
          <w:sz w:val="10"/>
          <w:szCs w:val="24"/>
        </w:rPr>
      </w:pPr>
    </w:p>
    <w:tbl>
      <w:tblPr>
        <w:tblW w:w="11939" w:type="dxa"/>
        <w:tblInd w:w="7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23"/>
        <w:gridCol w:w="651"/>
        <w:gridCol w:w="651"/>
        <w:gridCol w:w="651"/>
        <w:gridCol w:w="651"/>
        <w:gridCol w:w="651"/>
        <w:gridCol w:w="651"/>
        <w:gridCol w:w="651"/>
        <w:gridCol w:w="651"/>
        <w:gridCol w:w="651"/>
        <w:gridCol w:w="651"/>
        <w:gridCol w:w="651"/>
        <w:gridCol w:w="651"/>
        <w:gridCol w:w="651"/>
        <w:gridCol w:w="651"/>
        <w:gridCol w:w="651"/>
        <w:gridCol w:w="651"/>
      </w:tblGrid>
      <w:tr w:rsidR="00A3070E" w:rsidRPr="001D778C">
        <w:tblPrEx>
          <w:tblCellMar>
            <w:top w:w="0" w:type="dxa"/>
            <w:bottom w:w="0" w:type="dxa"/>
          </w:tblCellMar>
        </w:tblPrEx>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DATA</w:t>
            </w:r>
          </w:p>
          <w:p w:rsidR="00A3070E" w:rsidRPr="001D778C" w:rsidRDefault="00A3070E" w:rsidP="00A3070E">
            <w:pPr>
              <w:rPr>
                <w:sz w:val="24"/>
                <w:szCs w:val="24"/>
                <w:lang w:val="es-ES_tradnl"/>
              </w:rPr>
            </w:pPr>
            <w:r w:rsidRPr="001D778C">
              <w:rPr>
                <w:sz w:val="24"/>
                <w:szCs w:val="24"/>
                <w:lang w:val="es-ES_tradnl"/>
              </w:rPr>
              <w:t>(%)</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Gross enrolment ratio. ISCED 5 and 6. Total.</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Gross enrolment ratio. ISCED 5 and 6. Male.</w:t>
            </w:r>
          </w:p>
        </w:tc>
        <w:tc>
          <w:tcPr>
            <w:tcW w:w="2604"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070E" w:rsidRPr="001D778C" w:rsidRDefault="00A3070E" w:rsidP="00A3070E">
            <w:pPr>
              <w:spacing w:line="26" w:lineRule="atLeast"/>
              <w:rPr>
                <w:b/>
                <w:sz w:val="24"/>
                <w:szCs w:val="24"/>
                <w:lang w:val="es-ES_tradnl"/>
              </w:rPr>
            </w:pPr>
            <w:r w:rsidRPr="001D778C">
              <w:rPr>
                <w:bCs/>
                <w:sz w:val="24"/>
                <w:szCs w:val="24"/>
                <w:lang w:val="es-ES_tradnl"/>
              </w:rPr>
              <w:t>Gross enrolment ratio. ISCED 5 and 6. Female.</w:t>
            </w:r>
          </w:p>
        </w:tc>
        <w:tc>
          <w:tcPr>
            <w:tcW w:w="2604" w:type="dxa"/>
            <w:gridSpan w:val="4"/>
            <w:tcBorders>
              <w:top w:val="thinThickSmallGap" w:sz="24" w:space="0" w:color="auto"/>
              <w:left w:val="thinThickSmallGap" w:sz="24" w:space="0" w:color="auto"/>
              <w:bottom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Gender parity index for gross enrolment ratio. ISCED 5 and 6.</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YEAR</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c>
          <w:tcPr>
            <w:tcW w:w="651" w:type="dxa"/>
            <w:vMerge w:val="restart"/>
            <w:tcBorders>
              <w:top w:val="thinThickSmallGap" w:sz="24" w:space="0" w:color="auto"/>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2001</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2002</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2003</w:t>
            </w:r>
          </w:p>
        </w:tc>
        <w:tc>
          <w:tcPr>
            <w:tcW w:w="651" w:type="dxa"/>
            <w:vMerge w:val="restart"/>
            <w:tcBorders>
              <w:top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2004</w:t>
            </w:r>
          </w:p>
        </w:tc>
      </w:tr>
      <w:tr w:rsidR="00A3070E" w:rsidRPr="001D778C">
        <w:tblPrEx>
          <w:tblCellMar>
            <w:top w:w="0" w:type="dxa"/>
            <w:bottom w:w="0" w:type="dxa"/>
          </w:tblCellMar>
        </w:tblPrEx>
        <w:trPr>
          <w:cantSplit/>
        </w:trPr>
        <w:tc>
          <w:tcPr>
            <w:tcW w:w="1523" w:type="dxa"/>
            <w:tcBorders>
              <w:top w:val="thinThickSmallGap" w:sz="24" w:space="0" w:color="auto"/>
              <w:bottom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COUNTRY</w:t>
            </w: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p>
        </w:tc>
        <w:tc>
          <w:tcPr>
            <w:tcW w:w="651" w:type="dxa"/>
            <w:vMerge/>
            <w:tcBorders>
              <w:left w:val="thinThickSmallGap" w:sz="24" w:space="0" w:color="auto"/>
            </w:tcBorders>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c>
          <w:tcPr>
            <w:tcW w:w="651" w:type="dxa"/>
            <w:vMerge/>
          </w:tcPr>
          <w:p w:rsidR="00A3070E" w:rsidRPr="001D778C" w:rsidRDefault="00A3070E" w:rsidP="00A3070E">
            <w:pPr>
              <w:spacing w:line="26" w:lineRule="atLeast"/>
              <w:jc w:val="center"/>
              <w:rPr>
                <w:b/>
                <w:sz w:val="24"/>
                <w:szCs w:val="24"/>
                <w:lang w:val="es-ES_tradnl"/>
              </w:rPr>
            </w:pPr>
          </w:p>
        </w:tc>
      </w:tr>
      <w:tr w:rsidR="00A3070E" w:rsidRPr="001D778C">
        <w:tblPrEx>
          <w:tblCellMar>
            <w:top w:w="0" w:type="dxa"/>
            <w:bottom w:w="0" w:type="dxa"/>
          </w:tblCellMar>
        </w:tblPrEx>
        <w:tc>
          <w:tcPr>
            <w:tcW w:w="1523" w:type="dxa"/>
            <w:tcBorders>
              <w:top w:val="thinThickSmallGap" w:sz="24" w:space="0" w:color="auto"/>
              <w:right w:val="thinThickSmallGap" w:sz="24" w:space="0" w:color="auto"/>
            </w:tcBorders>
          </w:tcPr>
          <w:p w:rsidR="00A3070E" w:rsidRPr="001D778C" w:rsidRDefault="00A3070E" w:rsidP="00A3070E">
            <w:pPr>
              <w:pStyle w:val="Heading3"/>
              <w:rPr>
                <w:szCs w:val="24"/>
              </w:rPr>
            </w:pPr>
            <w:r w:rsidRPr="001D778C">
              <w:rPr>
                <w:szCs w:val="24"/>
              </w:rPr>
              <w:t>Arab States</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20</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0.83</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0.85</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0.88</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0.95</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Central and Eastern Europe</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48</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53</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60</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1.24</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1.24</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1.25</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East Asia and the Pacific</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17</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23</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24</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14</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16</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21</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0.75</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0.75</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0.89</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0.89</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South and West Asia</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10</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11</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11</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12</w:t>
            </w:r>
          </w:p>
        </w:tc>
        <w:tc>
          <w:tcPr>
            <w:tcW w:w="651" w:type="dxa"/>
            <w:tcBorders>
              <w:top w:val="single" w:sz="6" w:space="0" w:color="auto"/>
              <w:left w:val="thinThickSmallGap" w:sz="24"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8</w:t>
            </w:r>
          </w:p>
        </w:tc>
        <w:tc>
          <w:tcPr>
            <w:tcW w:w="651" w:type="dxa"/>
            <w:tcBorders>
              <w:top w:val="single" w:sz="6" w:space="0" w:color="auto"/>
              <w:bottom w:val="single" w:sz="6"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9</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0.70</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0.70</w:t>
            </w:r>
          </w:p>
        </w:tc>
      </w:tr>
      <w:tr w:rsidR="00A3070E" w:rsidRPr="001D778C">
        <w:tblPrEx>
          <w:tblCellMar>
            <w:top w:w="0" w:type="dxa"/>
            <w:bottom w:w="0" w:type="dxa"/>
          </w:tblCellMar>
        </w:tblPrEx>
        <w:tc>
          <w:tcPr>
            <w:tcW w:w="1523" w:type="dxa"/>
            <w:tcBorders>
              <w:right w:val="thinThickSmallGap" w:sz="24" w:space="0" w:color="auto"/>
            </w:tcBorders>
          </w:tcPr>
          <w:p w:rsidR="00A3070E" w:rsidRPr="001D778C" w:rsidRDefault="00A3070E" w:rsidP="00A3070E">
            <w:pPr>
              <w:spacing w:line="26" w:lineRule="atLeast"/>
              <w:rPr>
                <w:bCs/>
                <w:sz w:val="24"/>
                <w:szCs w:val="24"/>
                <w:lang w:val="es-ES_tradnl"/>
              </w:rPr>
            </w:pPr>
            <w:r w:rsidRPr="001D778C">
              <w:rPr>
                <w:bCs/>
                <w:sz w:val="24"/>
                <w:szCs w:val="24"/>
                <w:lang w:val="es-ES_tradnl"/>
              </w:rPr>
              <w:t>Sub-Saharan Africa</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5</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6</w:t>
            </w:r>
          </w:p>
        </w:tc>
        <w:tc>
          <w:tcPr>
            <w:tcW w:w="651" w:type="dxa"/>
            <w:tcBorders>
              <w:top w:val="single" w:sz="6" w:space="0" w:color="auto"/>
              <w:left w:val="thinThickSmallGap" w:sz="24"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3</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top w:val="single" w:sz="6" w:space="0" w:color="auto"/>
              <w:bottom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4</w:t>
            </w:r>
          </w:p>
        </w:tc>
        <w:tc>
          <w:tcPr>
            <w:tcW w:w="651" w:type="dxa"/>
            <w:tcBorders>
              <w:left w:val="thinThickSmallGap" w:sz="24" w:space="0" w:color="auto"/>
            </w:tcBorders>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0.62</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0.61</w:t>
            </w:r>
          </w:p>
        </w:tc>
        <w:tc>
          <w:tcPr>
            <w:tcW w:w="651" w:type="dxa"/>
          </w:tcPr>
          <w:p w:rsidR="00A3070E" w:rsidRPr="001D778C" w:rsidRDefault="00A3070E" w:rsidP="00A3070E">
            <w:pPr>
              <w:spacing w:line="26" w:lineRule="atLeast"/>
              <w:jc w:val="center"/>
              <w:rPr>
                <w:b/>
                <w:sz w:val="24"/>
                <w:szCs w:val="24"/>
                <w:lang w:val="es-ES_tradnl"/>
              </w:rPr>
            </w:pPr>
            <w:r w:rsidRPr="001D778C">
              <w:rPr>
                <w:b/>
                <w:sz w:val="24"/>
                <w:szCs w:val="24"/>
                <w:lang w:val="es-ES_tradnl"/>
              </w:rPr>
              <w:t>0.61</w:t>
            </w:r>
          </w:p>
        </w:tc>
      </w:tr>
    </w:tbl>
    <w:p w:rsidR="00A3070E" w:rsidRPr="00A3070E" w:rsidRDefault="00A3070E" w:rsidP="00A3070E">
      <w:pPr>
        <w:tabs>
          <w:tab w:val="left" w:pos="0"/>
        </w:tabs>
        <w:spacing w:line="120" w:lineRule="exact"/>
        <w:rPr>
          <w:b/>
          <w:i/>
          <w:sz w:val="10"/>
          <w:szCs w:val="24"/>
        </w:rPr>
      </w:pPr>
    </w:p>
    <w:p w:rsidR="00A3070E" w:rsidRPr="00A3070E" w:rsidRDefault="00A3070E" w:rsidP="00A3070E">
      <w:pPr>
        <w:tabs>
          <w:tab w:val="left" w:pos="0"/>
        </w:tabs>
        <w:spacing w:line="120" w:lineRule="exact"/>
        <w:rPr>
          <w:b/>
          <w:i/>
          <w:sz w:val="10"/>
          <w:szCs w:val="24"/>
        </w:rPr>
      </w:pPr>
    </w:p>
    <w:p w:rsidR="00A3070E" w:rsidRPr="00A3070E" w:rsidRDefault="00A3070E" w:rsidP="00A3070E">
      <w:pPr>
        <w:spacing w:line="26" w:lineRule="atLeast"/>
      </w:pPr>
      <w:r w:rsidRPr="00A3070E">
        <w:rPr>
          <w:i/>
        </w:rPr>
        <w:t>Source</w:t>
      </w:r>
      <w:r w:rsidRPr="00A3070E">
        <w:t>: http://stats.uis.unesco.org/TableViewer/tableView.aspx (UNESCO Institute for Statistics, Education), last accessed on 22/03/07.</w:t>
      </w:r>
    </w:p>
    <w:p w:rsidR="00100915" w:rsidRDefault="00100915" w:rsidP="000A4432">
      <w:pPr>
        <w:pStyle w:val="SingleTxt"/>
      </w:pPr>
    </w:p>
    <w:p w:rsidR="00100915" w:rsidRDefault="00100915" w:rsidP="000A4432">
      <w:pPr>
        <w:pStyle w:val="SingleTxt"/>
      </w:pPr>
    </w:p>
    <w:p w:rsidR="00100915" w:rsidRDefault="00100915" w:rsidP="000A4432">
      <w:pPr>
        <w:pStyle w:val="SingleTxt"/>
        <w:sectPr w:rsidR="00100915" w:rsidSect="00100915">
          <w:headerReference w:type="even" r:id="rId14"/>
          <w:headerReference w:type="default" r:id="rId15"/>
          <w:footerReference w:type="even" r:id="rId16"/>
          <w:footerReference w:type="default" r:id="rId17"/>
          <w:pgSz w:w="15840" w:h="12240" w:orient="landscape" w:code="1"/>
          <w:pgMar w:top="1195" w:right="1742" w:bottom="1195" w:left="1901" w:header="576" w:footer="1037" w:gutter="0"/>
          <w:cols w:space="708"/>
          <w:noEndnote/>
          <w:bidi/>
          <w:rtlGutter/>
          <w:docGrid w:linePitch="360"/>
        </w:sectPr>
      </w:pPr>
    </w:p>
    <w:p w:rsidR="006455B6" w:rsidRDefault="006455B6" w:rsidP="006455B6">
      <w:pPr>
        <w:pStyle w:val="H1"/>
        <w:ind w:right="1260"/>
      </w:pPr>
      <w:r>
        <w:tab/>
        <w:t>B.</w:t>
      </w:r>
      <w:r>
        <w:tab/>
        <w:t>Country-specific reports</w:t>
      </w:r>
    </w:p>
    <w:p w:rsidR="006455B6" w:rsidRPr="006455B6" w:rsidRDefault="006455B6" w:rsidP="006455B6">
      <w:pPr>
        <w:pStyle w:val="SingleTxt"/>
        <w:spacing w:after="0" w:line="120" w:lineRule="exact"/>
        <w:rPr>
          <w:sz w:val="10"/>
        </w:rPr>
      </w:pPr>
    </w:p>
    <w:p w:rsidR="006455B6" w:rsidRPr="006455B6" w:rsidRDefault="006455B6" w:rsidP="006455B6">
      <w:pPr>
        <w:pStyle w:val="SingleTxt"/>
        <w:spacing w:after="0" w:line="120" w:lineRule="exact"/>
        <w:rPr>
          <w:sz w:val="10"/>
        </w:rPr>
      </w:pPr>
    </w:p>
    <w:p w:rsidR="006455B6" w:rsidRDefault="006455B6" w:rsidP="006455B6">
      <w:pPr>
        <w:pStyle w:val="H23"/>
        <w:ind w:right="1260"/>
      </w:pPr>
      <w:r>
        <w:tab/>
      </w:r>
      <w:r>
        <w:tab/>
      </w:r>
      <w:smartTag w:uri="urn:schemas-microsoft-com:office:smarttags" w:element="place">
        <w:smartTag w:uri="urn:schemas-microsoft-com:office:smarttags" w:element="country-region">
          <w:r>
            <w:t>Mauritania</w:t>
          </w:r>
        </w:smartTag>
      </w:smartTag>
    </w:p>
    <w:p w:rsidR="006455B6" w:rsidRPr="006455B6" w:rsidRDefault="006455B6" w:rsidP="006455B6">
      <w:pPr>
        <w:pStyle w:val="SingleTxt"/>
        <w:spacing w:after="0" w:line="120" w:lineRule="exact"/>
        <w:rPr>
          <w:sz w:val="10"/>
        </w:rPr>
      </w:pPr>
    </w:p>
    <w:p w:rsidR="006455B6" w:rsidRDefault="006455B6" w:rsidP="006455B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6455B6" w:rsidRPr="006455B6" w:rsidRDefault="006455B6" w:rsidP="006455B6">
      <w:pPr>
        <w:pStyle w:val="SingleTxt"/>
        <w:spacing w:after="0" w:line="120" w:lineRule="exact"/>
        <w:rPr>
          <w:sz w:val="10"/>
        </w:rPr>
      </w:pPr>
    </w:p>
    <w:p w:rsidR="006455B6" w:rsidRDefault="006455B6" w:rsidP="006455B6">
      <w:pPr>
        <w:pStyle w:val="SingleTxt"/>
      </w:pPr>
      <w:r>
        <w:tab/>
      </w:r>
      <w:smartTag w:uri="urn:schemas-microsoft-com:office:smarttags" w:element="place">
        <w:smartTag w:uri="urn:schemas-microsoft-com:office:smarttags" w:element="country-region">
          <w:r>
            <w:t>Mauritania</w:t>
          </w:r>
        </w:smartTag>
      </w:smartTag>
      <w:r>
        <w:t xml:space="preserve"> is not a party to the UNESCO Convention against Discrimination in Education (1960) and did not report to UNESCO for the 6th consultation on the implementation of the Recommendation against Discrimination in Education (1960). UNESCO is now expecting to receive a comprehensive quality report for the 7th consultation.</w:t>
      </w:r>
    </w:p>
    <w:p w:rsidR="006455B6" w:rsidRDefault="006455B6" w:rsidP="006455B6">
      <w:pPr>
        <w:pStyle w:val="SingleTxt"/>
      </w:pPr>
      <w:r>
        <w:tab/>
        <w:t xml:space="preserve">UNESCO encourages </w:t>
      </w:r>
      <w:smartTag w:uri="urn:schemas-microsoft-com:office:smarttags" w:element="place">
        <w:smartTag w:uri="urn:schemas-microsoft-com:office:smarttags" w:element="country-region">
          <w:r>
            <w:t>Mauritania</w:t>
          </w:r>
        </w:smartTag>
      </w:smartTag>
      <w:r>
        <w:t xml:space="preserve"> to ratify the Convention on Technical and Vocational Education (1989). </w:t>
      </w:r>
    </w:p>
    <w:p w:rsidR="006455B6" w:rsidRDefault="006455B6" w:rsidP="006455B6">
      <w:pPr>
        <w:pStyle w:val="SingleTxt"/>
      </w:pPr>
      <w:r>
        <w:tab/>
        <w:t xml:space="preserve">According to its Constitution, adopted in 1991, </w:t>
      </w:r>
      <w:smartTag w:uri="urn:schemas-microsoft-com:office:smarttags" w:element="place">
        <w:smartTag w:uri="urn:schemas-microsoft-com:office:smarttags" w:element="country-region">
          <w:r>
            <w:t>Mauritania</w:t>
          </w:r>
        </w:smartTag>
      </w:smartTag>
      <w:r>
        <w:t xml:space="preserve"> guarantees equality before the law to all of its citizens without distinction as to origin, race, sex, or social condition (Art. 1 §2). The inalienable guarantee of the right to equality, the fundamental freedoms and rights of human beings, and economic and social rights, are also proclaimed.</w:t>
      </w:r>
    </w:p>
    <w:p w:rsidR="0003116E" w:rsidRPr="0003116E" w:rsidRDefault="0003116E" w:rsidP="0003116E">
      <w:pPr>
        <w:pStyle w:val="SingleTxt"/>
        <w:spacing w:after="0" w:line="120" w:lineRule="exact"/>
        <w:rPr>
          <w:sz w:val="10"/>
        </w:rPr>
      </w:pPr>
    </w:p>
    <w:p w:rsidR="006455B6" w:rsidRDefault="0003116E" w:rsidP="0003116E">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03116E" w:rsidRPr="0003116E" w:rsidRDefault="0003116E" w:rsidP="0003116E">
      <w:pPr>
        <w:pStyle w:val="SingleTxt"/>
        <w:spacing w:after="0" w:line="120" w:lineRule="exact"/>
        <w:rPr>
          <w:sz w:val="10"/>
        </w:rPr>
      </w:pPr>
    </w:p>
    <w:p w:rsidR="006455B6" w:rsidRDefault="0003116E" w:rsidP="006455B6">
      <w:pPr>
        <w:pStyle w:val="SingleTxt"/>
      </w:pPr>
      <w:r>
        <w:tab/>
      </w:r>
      <w:r w:rsidR="00EF2D4D">
        <w:t xml:space="preserve">One Co-Sponsored Fellowship (UNESCO/L’Oréal) in the field of life sciences/molecular analysis of disease resistance in arabidopsis thaliana for </w:t>
      </w:r>
      <w:r w:rsidR="00F331A7">
        <w:br/>
        <w:t xml:space="preserve">12 </w:t>
      </w:r>
      <w:r w:rsidR="00EF2D4D">
        <w:t>months at the University of Cape Town, Rondebosch, South Africa (</w:t>
      </w:r>
      <w:r w:rsidR="00F331A7">
        <w:t>value</w:t>
      </w:r>
      <w:r w:rsidR="004627F5">
        <w:t>:</w:t>
      </w:r>
      <w:r w:rsidR="00F331A7">
        <w:t xml:space="preserve"> </w:t>
      </w:r>
      <w:r w:rsidR="00EF2D4D">
        <w:t>$21,816) was awarded to a woman scientist.</w:t>
      </w:r>
    </w:p>
    <w:p w:rsidR="0003116E" w:rsidRPr="0003116E" w:rsidRDefault="0003116E" w:rsidP="0003116E">
      <w:pPr>
        <w:pStyle w:val="SingleTxt"/>
        <w:spacing w:after="0" w:line="120" w:lineRule="exact"/>
        <w:rPr>
          <w:sz w:val="10"/>
        </w:rPr>
      </w:pPr>
    </w:p>
    <w:p w:rsidR="006455B6" w:rsidRDefault="0003116E" w:rsidP="000311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rsidR="006455B6">
            <w:t>M</w:t>
          </w:r>
          <w:r>
            <w:t>ozambique</w:t>
          </w:r>
        </w:smartTag>
      </w:smartTag>
    </w:p>
    <w:p w:rsidR="0003116E" w:rsidRPr="0003116E" w:rsidRDefault="0003116E" w:rsidP="0003116E">
      <w:pPr>
        <w:pStyle w:val="SingleTxt"/>
        <w:spacing w:after="0" w:line="120" w:lineRule="exact"/>
        <w:rPr>
          <w:sz w:val="10"/>
        </w:rPr>
      </w:pPr>
    </w:p>
    <w:p w:rsidR="006455B6" w:rsidRDefault="0003116E" w:rsidP="0003116E">
      <w:pPr>
        <w:pStyle w:val="H4"/>
        <w:ind w:right="1260"/>
      </w:pPr>
      <w:r>
        <w:tab/>
      </w:r>
      <w:r>
        <w:tab/>
      </w:r>
      <w:r w:rsidR="006455B6">
        <w:t>E</w:t>
      </w:r>
      <w:r>
        <w:t>ducation</w:t>
      </w:r>
    </w:p>
    <w:p w:rsidR="0003116E" w:rsidRPr="0003116E" w:rsidRDefault="0003116E" w:rsidP="0003116E">
      <w:pPr>
        <w:pStyle w:val="SingleTxt"/>
        <w:spacing w:after="0" w:line="120" w:lineRule="exact"/>
        <w:rPr>
          <w:sz w:val="10"/>
        </w:rPr>
      </w:pPr>
    </w:p>
    <w:p w:rsidR="006455B6" w:rsidRDefault="0003116E" w:rsidP="006455B6">
      <w:pPr>
        <w:pStyle w:val="SingleTxt"/>
      </w:pPr>
      <w:r>
        <w:tab/>
      </w:r>
      <w:smartTag w:uri="urn:schemas-microsoft-com:office:smarttags" w:element="place">
        <w:smartTag w:uri="urn:schemas-microsoft-com:office:smarttags" w:element="country-region">
          <w:r w:rsidR="006455B6">
            <w:t>Mozambique</w:t>
          </w:r>
        </w:smartTag>
      </w:smartTag>
      <w:r w:rsidR="006455B6">
        <w:t xml:space="preserve"> is not </w:t>
      </w:r>
      <w:r>
        <w:t xml:space="preserve">a </w:t>
      </w:r>
      <w:r w:rsidR="006455B6">
        <w:t xml:space="preserve">party to </w:t>
      </w:r>
      <w:r>
        <w:t>the UNESCO</w:t>
      </w:r>
      <w:r w:rsidR="006455B6">
        <w:t xml:space="preserve"> Convention against Discrimination in Education and did not report to UNESCO for the 6th </w:t>
      </w:r>
      <w:r>
        <w:t>c</w:t>
      </w:r>
      <w:r w:rsidR="006455B6">
        <w:t xml:space="preserve">onsultation on the implementation of the Recommendation against Discrimination in Education. UNESCO is now expecting to receive a comprehensive quality report for the 7th </w:t>
      </w:r>
      <w:r w:rsidR="00AA3A5C">
        <w:t>c</w:t>
      </w:r>
      <w:r w:rsidR="006455B6">
        <w:t>onsultation.</w:t>
      </w:r>
    </w:p>
    <w:p w:rsidR="006455B6" w:rsidRDefault="00AA3A5C" w:rsidP="006455B6">
      <w:pPr>
        <w:pStyle w:val="SingleTxt"/>
      </w:pPr>
      <w:r>
        <w:tab/>
      </w:r>
      <w:r w:rsidR="006455B6">
        <w:t xml:space="preserve">UNESCO encourages </w:t>
      </w:r>
      <w:smartTag w:uri="urn:schemas-microsoft-com:office:smarttags" w:element="place">
        <w:smartTag w:uri="urn:schemas-microsoft-com:office:smarttags" w:element="country-region">
          <w:r w:rsidR="006455B6">
            <w:t>Mozambique</w:t>
          </w:r>
        </w:smartTag>
      </w:smartTag>
      <w:r w:rsidR="006455B6">
        <w:t xml:space="preserve"> to ratify the Convention on Technical and Vocational Education.</w:t>
      </w:r>
    </w:p>
    <w:p w:rsidR="006455B6" w:rsidRDefault="00AA3A5C" w:rsidP="006455B6">
      <w:pPr>
        <w:pStyle w:val="SingleTxt"/>
      </w:pPr>
      <w:r>
        <w:tab/>
      </w:r>
      <w:r w:rsidR="006455B6">
        <w:t>According to its Constitution of 1990, education is a right and a duty of all citizens and the State promotes the extension of education to professional and continuing vocational training</w:t>
      </w:r>
      <w:r>
        <w:t xml:space="preserve"> and </w:t>
      </w:r>
      <w:r w:rsidR="006455B6">
        <w:t xml:space="preserve">equal access to the enjoyment of this right by all citizens (Art. 88). </w:t>
      </w:r>
      <w:smartTag w:uri="urn:schemas-microsoft-com:office:smarttags" w:element="place">
        <w:smartTag w:uri="urn:schemas-microsoft-com:office:smarttags" w:element="country-region">
          <w:r w:rsidR="006455B6">
            <w:t>Mozambique</w:t>
          </w:r>
        </w:smartTag>
      </w:smartTag>
      <w:r w:rsidR="006455B6">
        <w:t xml:space="preserve"> promotes an educational strategy that aims towards national unity, wiping out illiteracy, mastering science and technology and providing citizens with moral and civic values (Art. 113).</w:t>
      </w:r>
    </w:p>
    <w:p w:rsidR="006455B6" w:rsidRDefault="00AA3A5C" w:rsidP="006455B6">
      <w:pPr>
        <w:pStyle w:val="SingleTxt"/>
      </w:pPr>
      <w:r>
        <w:tab/>
      </w:r>
      <w:r w:rsidR="006455B6">
        <w:t>UNESCO participated in the Second Meeti</w:t>
      </w:r>
      <w:r>
        <w:t>ng of African and Spanish Women</w:t>
      </w:r>
      <w:r w:rsidR="006455B6">
        <w:t xml:space="preserve"> organized by the Governments of Spain and </w:t>
      </w:r>
      <w:smartTag w:uri="urn:schemas-microsoft-com:office:smarttags" w:element="country-region">
        <w:r w:rsidR="006455B6">
          <w:t>Mozambique</w:t>
        </w:r>
      </w:smartTag>
      <w:r w:rsidR="006455B6">
        <w:t xml:space="preserve"> on the occasion of the celebrations of International Women</w:t>
      </w:r>
      <w:r w:rsidR="00EF2D4D">
        <w:t>’</w:t>
      </w:r>
      <w:r w:rsidR="006455B6">
        <w:t xml:space="preserve">s Day on 7 and 8 March 2007 in </w:t>
      </w:r>
      <w:smartTag w:uri="urn:schemas-microsoft-com:office:smarttags" w:element="place">
        <w:smartTag w:uri="urn:schemas-microsoft-com:office:smarttags" w:element="State">
          <w:r w:rsidR="006455B6">
            <w:t>Madrid</w:t>
          </w:r>
        </w:smartTag>
      </w:smartTag>
      <w:r w:rsidR="006455B6">
        <w:t>. The aim of the meeting was to create opportunities for collaboration in areas such as education, health and intercultural dialogue.</w:t>
      </w:r>
    </w:p>
    <w:p w:rsidR="006455B6" w:rsidRDefault="00AA3A5C" w:rsidP="006455B6">
      <w:pPr>
        <w:pStyle w:val="SingleTxt"/>
      </w:pPr>
      <w:r>
        <w:tab/>
        <w:t>The UNESCO</w:t>
      </w:r>
      <w:r w:rsidR="006455B6">
        <w:t xml:space="preserve"> Africa Department carried out several activities in Mozambique to promote women</w:t>
      </w:r>
      <w:r w:rsidR="00EF2D4D">
        <w:t>’</w:t>
      </w:r>
      <w:r w:rsidR="006455B6">
        <w:t>s empowerment and gender equality, such as the strengthening of the capacities of women in rural areas through literacy and non-formal education; promotion of technical and vocational education among girls; training in craftwork and development of activities related to HIV/AIDS preventive education.</w:t>
      </w:r>
    </w:p>
    <w:p w:rsidR="001B34E5" w:rsidRPr="001B34E5" w:rsidRDefault="001B34E5" w:rsidP="001B34E5">
      <w:pPr>
        <w:pStyle w:val="SingleTxt"/>
        <w:spacing w:after="0" w:line="120" w:lineRule="exact"/>
        <w:rPr>
          <w:sz w:val="10"/>
        </w:rPr>
      </w:pPr>
    </w:p>
    <w:p w:rsidR="006455B6" w:rsidRPr="001B34E5" w:rsidRDefault="001B34E5" w:rsidP="001B34E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hanging="1267"/>
        <w:rPr>
          <w:i/>
          <w:spacing w:val="3"/>
        </w:rPr>
      </w:pPr>
      <w:r>
        <w:tab/>
      </w:r>
      <w:r>
        <w:tab/>
      </w:r>
      <w:r w:rsidR="006455B6" w:rsidRPr="00656246">
        <w:rPr>
          <w:i/>
        </w:rPr>
        <w:t>P</w:t>
      </w:r>
      <w:r w:rsidRPr="001B34E5">
        <w:rPr>
          <w:i/>
          <w:spacing w:val="3"/>
        </w:rPr>
        <w:t xml:space="preserve">articipation </w:t>
      </w:r>
      <w:r>
        <w:rPr>
          <w:i/>
          <w:spacing w:val="3"/>
        </w:rPr>
        <w:t>P</w:t>
      </w:r>
      <w:r w:rsidRPr="001B34E5">
        <w:rPr>
          <w:i/>
          <w:spacing w:val="3"/>
        </w:rPr>
        <w:t>rogramme</w:t>
      </w:r>
    </w:p>
    <w:p w:rsidR="001B34E5" w:rsidRPr="001B34E5" w:rsidRDefault="001B34E5" w:rsidP="001B34E5">
      <w:pPr>
        <w:pStyle w:val="SingleTxt"/>
        <w:spacing w:after="0" w:line="120" w:lineRule="exact"/>
        <w:rPr>
          <w:sz w:val="10"/>
        </w:rPr>
      </w:pPr>
    </w:p>
    <w:p w:rsidR="006455B6" w:rsidRDefault="001B34E5" w:rsidP="006455B6">
      <w:pPr>
        <w:pStyle w:val="SingleTxt"/>
      </w:pPr>
      <w:r>
        <w:tab/>
      </w:r>
      <w:r w:rsidR="006455B6">
        <w:t>Within the framework of the Participation Programme, UNESCO allocated $20</w:t>
      </w:r>
      <w:r>
        <w:t>,</w:t>
      </w:r>
      <w:r w:rsidR="006455B6">
        <w:t xml:space="preserve">000 to a project on </w:t>
      </w:r>
      <w:r w:rsidR="00EF2D4D">
        <w:t>“</w:t>
      </w:r>
      <w:r w:rsidR="006455B6">
        <w:t xml:space="preserve">Empowering women in rural areas in </w:t>
      </w:r>
      <w:smartTag w:uri="urn:schemas-microsoft-com:office:smarttags" w:element="place">
        <w:smartTag w:uri="urn:schemas-microsoft-com:office:smarttags" w:element="country-region">
          <w:r w:rsidR="006455B6">
            <w:t>Mozambique</w:t>
          </w:r>
        </w:smartTag>
      </w:smartTag>
      <w:r w:rsidR="00EF2D4D">
        <w:t>”</w:t>
      </w:r>
      <w:r w:rsidR="006455B6">
        <w:t xml:space="preserve"> through the promotion of activities on literacy and non-formal education. In addition, a project on </w:t>
      </w:r>
      <w:r w:rsidR="00EF2D4D">
        <w:t>“</w:t>
      </w:r>
      <w:r>
        <w:t>Vocational training and self-</w:t>
      </w:r>
      <w:r w:rsidR="006455B6">
        <w:t>employment opportunities for women and out-of</w:t>
      </w:r>
      <w:r w:rsidR="00656246">
        <w:t>-</w:t>
      </w:r>
      <w:r w:rsidR="006455B6">
        <w:t xml:space="preserve">school youth in </w:t>
      </w:r>
      <w:smartTag w:uri="urn:schemas-microsoft-com:office:smarttags" w:element="country-region">
        <w:r w:rsidR="006455B6">
          <w:t>Mozambique</w:t>
        </w:r>
      </w:smartTag>
      <w:r w:rsidR="00EF2D4D">
        <w:t>”</w:t>
      </w:r>
      <w:r>
        <w:t xml:space="preserve"> </w:t>
      </w:r>
      <w:r w:rsidR="006455B6">
        <w:t xml:space="preserve">was funded under </w:t>
      </w:r>
      <w:smartTag w:uri="urn:schemas-microsoft-com:office:smarttags" w:element="place">
        <w:smartTag w:uri="urn:schemas-microsoft-com:office:smarttags" w:element="country-region">
          <w:r w:rsidR="006455B6">
            <w:t>Portugal</w:t>
          </w:r>
        </w:smartTag>
      </w:smartTag>
      <w:r w:rsidR="006455B6">
        <w:t xml:space="preserve"> funds-i</w:t>
      </w:r>
      <w:r>
        <w:t>n-trust for a total amount of $</w:t>
      </w:r>
      <w:r w:rsidR="006455B6">
        <w:t>175</w:t>
      </w:r>
      <w:r>
        <w:t>,</w:t>
      </w:r>
      <w:r w:rsidR="006455B6">
        <w:t xml:space="preserve">150. </w:t>
      </w:r>
    </w:p>
    <w:p w:rsidR="006455B6" w:rsidRDefault="001B34E5" w:rsidP="006455B6">
      <w:pPr>
        <w:pStyle w:val="SingleTxt"/>
      </w:pPr>
      <w:r>
        <w:tab/>
      </w:r>
      <w:r w:rsidR="006455B6">
        <w:t>Upon the request of the Ministry of Ed</w:t>
      </w:r>
      <w:r>
        <w:t xml:space="preserve">ucation of </w:t>
      </w:r>
      <w:smartTag w:uri="urn:schemas-microsoft-com:office:smarttags" w:element="country-region">
        <w:r>
          <w:t>Mozambique</w:t>
        </w:r>
      </w:smartTag>
      <w:r>
        <w:t>, an inter</w:t>
      </w:r>
      <w:r w:rsidR="006455B6">
        <w:t xml:space="preserve">regional technical mission was sent to </w:t>
      </w:r>
      <w:smartTag w:uri="urn:schemas-microsoft-com:office:smarttags" w:element="place">
        <w:smartTag w:uri="urn:schemas-microsoft-com:office:smarttags" w:element="country-region">
          <w:r w:rsidR="006455B6">
            <w:t>Mozambique</w:t>
          </w:r>
        </w:smartTag>
      </w:smartTag>
      <w:r w:rsidR="006455B6">
        <w:t xml:space="preserve"> to assist the Ministry with the operationalization and acceleration of the implementation of the national Strategy for Gender Equity in the Education Sector, and to advise the UNESCO Maputo </w:t>
      </w:r>
      <w:r>
        <w:t xml:space="preserve">field office </w:t>
      </w:r>
      <w:r w:rsidR="006455B6">
        <w:t>on how to support the Ministry in this process.</w:t>
      </w:r>
    </w:p>
    <w:p w:rsidR="001B34E5" w:rsidRPr="001B34E5" w:rsidRDefault="001B34E5" w:rsidP="001B34E5">
      <w:pPr>
        <w:pStyle w:val="SingleTxt"/>
        <w:spacing w:after="0" w:line="120" w:lineRule="exact"/>
        <w:rPr>
          <w:sz w:val="10"/>
        </w:rPr>
      </w:pPr>
    </w:p>
    <w:p w:rsidR="006455B6" w:rsidRDefault="001B34E5" w:rsidP="001B34E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1B34E5" w:rsidRPr="001B34E5" w:rsidRDefault="001B34E5" w:rsidP="001B34E5">
      <w:pPr>
        <w:pStyle w:val="SingleTxt"/>
        <w:spacing w:after="0" w:line="120" w:lineRule="exact"/>
        <w:rPr>
          <w:sz w:val="10"/>
        </w:rPr>
      </w:pPr>
    </w:p>
    <w:p w:rsidR="006455B6" w:rsidRDefault="001B34E5" w:rsidP="006455B6">
      <w:pPr>
        <w:pStyle w:val="SingleTxt"/>
      </w:pPr>
      <w:r>
        <w:tab/>
      </w:r>
      <w:r w:rsidR="006455B6">
        <w:t xml:space="preserve">One RP-UNESCO Fellowship in support of priority programme areas in the field of </w:t>
      </w:r>
      <w:r>
        <w:t xml:space="preserve">development studies </w:t>
      </w:r>
      <w:r w:rsidR="006455B6">
        <w:t xml:space="preserve">for six months at the </w:t>
      </w:r>
      <w:smartTag w:uri="urn:schemas-microsoft-com:office:smarttags" w:element="PlaceType">
        <w:r w:rsidR="006455B6">
          <w:t>Institute</w:t>
        </w:r>
      </w:smartTag>
      <w:r w:rsidR="006455B6">
        <w:t xml:space="preserve"> of </w:t>
      </w:r>
      <w:smartTag w:uri="urn:schemas-microsoft-com:office:smarttags" w:element="PlaceName">
        <w:r w:rsidR="006455B6">
          <w:t>Social Development</w:t>
        </w:r>
      </w:smartTag>
      <w:r w:rsidR="006455B6">
        <w:t xml:space="preserve"> of the </w:t>
      </w:r>
      <w:smartTag w:uri="urn:schemas-microsoft-com:office:smarttags" w:element="PlaceType">
        <w:r w:rsidR="006455B6">
          <w:t>University</w:t>
        </w:r>
      </w:smartTag>
      <w:r w:rsidR="006455B6">
        <w:t xml:space="preserve"> of </w:t>
      </w:r>
      <w:smartTag w:uri="urn:schemas-microsoft-com:office:smarttags" w:element="PlaceName">
        <w:r w:rsidR="006455B6">
          <w:t>Western Cape</w:t>
        </w:r>
      </w:smartTag>
      <w:r w:rsidR="006455B6">
        <w:t xml:space="preserve">, </w:t>
      </w:r>
      <w:smartTag w:uri="urn:schemas-microsoft-com:office:smarttags" w:element="place">
        <w:smartTag w:uri="urn:schemas-microsoft-com:office:smarttags" w:element="City">
          <w:r w:rsidR="006455B6">
            <w:t>Cape Town</w:t>
          </w:r>
        </w:smartTag>
        <w:r>
          <w:t xml:space="preserve">, </w:t>
        </w:r>
        <w:smartTag w:uri="urn:schemas-microsoft-com:office:smarttags" w:element="country-region">
          <w:r w:rsidR="006455B6">
            <w:t>South Africa</w:t>
          </w:r>
        </w:smartTag>
      </w:smartTag>
      <w:r w:rsidR="006455B6">
        <w:t xml:space="preserve"> (</w:t>
      </w:r>
      <w:r>
        <w:t>$</w:t>
      </w:r>
      <w:r w:rsidR="006455B6">
        <w:t>10,100) was awarded to a woman scientist.</w:t>
      </w:r>
    </w:p>
    <w:p w:rsidR="001B34E5" w:rsidRPr="001B34E5" w:rsidRDefault="001B34E5" w:rsidP="001B34E5">
      <w:pPr>
        <w:pStyle w:val="SingleTxt"/>
        <w:spacing w:after="0" w:line="120" w:lineRule="exact"/>
        <w:rPr>
          <w:sz w:val="10"/>
        </w:rPr>
      </w:pPr>
    </w:p>
    <w:p w:rsidR="006455B6" w:rsidRDefault="001B34E5" w:rsidP="001B3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rsidR="006455B6">
            <w:t>N</w:t>
          </w:r>
          <w:r>
            <w:t>iger</w:t>
          </w:r>
        </w:smartTag>
      </w:smartTag>
    </w:p>
    <w:p w:rsidR="001B34E5" w:rsidRPr="001B34E5" w:rsidRDefault="001B34E5" w:rsidP="001B34E5">
      <w:pPr>
        <w:pStyle w:val="SingleTxt"/>
        <w:spacing w:after="0" w:line="120" w:lineRule="exact"/>
        <w:rPr>
          <w:sz w:val="10"/>
        </w:rPr>
      </w:pPr>
    </w:p>
    <w:p w:rsidR="006455B6" w:rsidRPr="001B34E5" w:rsidRDefault="001B34E5" w:rsidP="001B34E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0"/>
        </w:rPr>
      </w:pPr>
      <w:r>
        <w:tab/>
      </w:r>
      <w:r>
        <w:tab/>
        <w:t>Education</w:t>
      </w:r>
    </w:p>
    <w:p w:rsidR="001B34E5" w:rsidRPr="001B34E5" w:rsidRDefault="001B34E5" w:rsidP="001B34E5">
      <w:pPr>
        <w:pStyle w:val="SingleTxt"/>
        <w:spacing w:after="0" w:line="120" w:lineRule="exact"/>
        <w:rPr>
          <w:sz w:val="10"/>
        </w:rPr>
      </w:pPr>
    </w:p>
    <w:p w:rsidR="006455B6" w:rsidRDefault="001B34E5" w:rsidP="006455B6">
      <w:pPr>
        <w:pStyle w:val="SingleTxt"/>
      </w:pPr>
      <w:r>
        <w:tab/>
        <w:t xml:space="preserve">The </w:t>
      </w:r>
      <w:smartTag w:uri="urn:schemas-microsoft-com:office:smarttags" w:element="place">
        <w:smartTag w:uri="urn:schemas-microsoft-com:office:smarttags" w:element="country-region">
          <w:r w:rsidR="006455B6">
            <w:t>Niger</w:t>
          </w:r>
        </w:smartTag>
      </w:smartTag>
      <w:r w:rsidR="006455B6">
        <w:t xml:space="preserve"> </w:t>
      </w:r>
      <w:r>
        <w:t xml:space="preserve">has been a </w:t>
      </w:r>
      <w:r w:rsidR="006455B6">
        <w:t xml:space="preserve">party to </w:t>
      </w:r>
      <w:r>
        <w:t>the UNESCO</w:t>
      </w:r>
      <w:r w:rsidR="006455B6">
        <w:t xml:space="preserve"> Convention against Discrimination in Education since 1968 but did not report to UNESCO within the 6th </w:t>
      </w:r>
      <w:r>
        <w:t>c</w:t>
      </w:r>
      <w:r w:rsidR="006455B6">
        <w:t xml:space="preserve">onsultation on the implementation of the Convention and Recommendation against Discrimination in Education. UNESCO has received the State report for the 7th </w:t>
      </w:r>
      <w:r>
        <w:t>c</w:t>
      </w:r>
      <w:r w:rsidR="006455B6">
        <w:t>onsultation.</w:t>
      </w:r>
    </w:p>
    <w:p w:rsidR="006455B6" w:rsidRDefault="001B34E5" w:rsidP="006455B6">
      <w:pPr>
        <w:pStyle w:val="SingleTxt"/>
      </w:pPr>
      <w:r>
        <w:tab/>
        <w:t xml:space="preserve">The </w:t>
      </w:r>
      <w:smartTag w:uri="urn:schemas-microsoft-com:office:smarttags" w:element="place">
        <w:smartTag w:uri="urn:schemas-microsoft-com:office:smarttags" w:element="country-region">
          <w:r w:rsidR="006455B6">
            <w:t>Niger</w:t>
          </w:r>
        </w:smartTag>
      </w:smartTag>
      <w:r w:rsidR="006455B6">
        <w:t xml:space="preserve"> ratified the Convention on Technical and Vocational Education in 1992.</w:t>
      </w:r>
    </w:p>
    <w:p w:rsidR="006455B6" w:rsidRDefault="001B34E5" w:rsidP="006455B6">
      <w:pPr>
        <w:pStyle w:val="SingleTxt"/>
      </w:pPr>
      <w:r>
        <w:tab/>
      </w:r>
      <w:r w:rsidR="006455B6">
        <w:t>According to its Constitution of 1999, each person has the right to life, health, security, physical well-being, education and instruction according to conditions established by law (Art</w:t>
      </w:r>
      <w:r>
        <w:t>.</w:t>
      </w:r>
      <w:r w:rsidR="006455B6">
        <w:t xml:space="preserve"> 11). Parents have the right and the duty to raise and educate their children. The </w:t>
      </w:r>
      <w:r>
        <w:t>S</w:t>
      </w:r>
      <w:r w:rsidR="006455B6">
        <w:t xml:space="preserve">tate safeguards the equal opportunity of handicapped persons as far as their advancement and/or social reintegration is concerned (Art. 19). </w:t>
      </w:r>
    </w:p>
    <w:p w:rsidR="006455B6" w:rsidRDefault="001B34E5" w:rsidP="006455B6">
      <w:pPr>
        <w:pStyle w:val="SingleTxt"/>
      </w:pPr>
      <w:r>
        <w:tab/>
      </w:r>
      <w:r w:rsidR="006455B6">
        <w:t xml:space="preserve">UNESCO is working closely with the Ministry of Basic and Non Formal Education in </w:t>
      </w:r>
      <w:r>
        <w:t xml:space="preserve">the </w:t>
      </w:r>
      <w:smartTag w:uri="urn:schemas-microsoft-com:office:smarttags" w:element="place">
        <w:smartTag w:uri="urn:schemas-microsoft-com:office:smarttags" w:element="country-region">
          <w:r w:rsidR="006455B6">
            <w:t>Niger</w:t>
          </w:r>
        </w:smartTag>
      </w:smartTag>
      <w:r w:rsidR="006455B6">
        <w:t xml:space="preserve"> in the framework of a project </w:t>
      </w:r>
      <w:r>
        <w:t xml:space="preserve">on </w:t>
      </w:r>
      <w:r w:rsidR="00EF2D4D">
        <w:t>“</w:t>
      </w:r>
      <w:r>
        <w:t>Fight against poverty: capacity-</w:t>
      </w:r>
      <w:r w:rsidR="006455B6">
        <w:t>building of girls and women in rural areas</w:t>
      </w:r>
      <w:r w:rsidR="00EF2D4D">
        <w:t>”</w:t>
      </w:r>
      <w:r w:rsidR="006455B6">
        <w:t xml:space="preserve"> financed by external donors. The general objective of this project, under the coordination of the Ministry of Basic and Non Formal Education, is to target poverty, through education and the promotion of </w:t>
      </w:r>
      <w:r>
        <w:t>human rights</w:t>
      </w:r>
      <w:r w:rsidR="006455B6">
        <w:t>. It aims to reinforce the capacities of girls and women, notably through better schooling for girls, women</w:t>
      </w:r>
      <w:r w:rsidR="00EF2D4D">
        <w:t>’</w:t>
      </w:r>
      <w:r w:rsidR="006455B6">
        <w:t>s li</w:t>
      </w:r>
      <w:r>
        <w:t>teracy, training of young girls</w:t>
      </w:r>
      <w:r w:rsidR="006455B6">
        <w:t xml:space="preserve"> and the empowerment of women throu</w:t>
      </w:r>
      <w:r>
        <w:t>gh the implementation of income-</w:t>
      </w:r>
      <w:r w:rsidR="006455B6">
        <w:t xml:space="preserve">generating activities and the sensitization on </w:t>
      </w:r>
      <w:r>
        <w:t>human rights</w:t>
      </w:r>
      <w:r w:rsidR="006455B6">
        <w:t>. More than 2</w:t>
      </w:r>
      <w:r>
        <w:t>,</w:t>
      </w:r>
      <w:r w:rsidR="006455B6">
        <w:t>500 persons, mostly girls and women, will profit from this project</w:t>
      </w:r>
      <w:r>
        <w:t>,</w:t>
      </w:r>
      <w:r w:rsidR="006455B6">
        <w:t xml:space="preserve"> which is being launched in six villages in the </w:t>
      </w:r>
      <w:r>
        <w:t>s</w:t>
      </w:r>
      <w:r w:rsidR="006455B6">
        <w:t>outh of the capital</w:t>
      </w:r>
      <w:r>
        <w:t>,</w:t>
      </w:r>
      <w:r w:rsidR="006455B6">
        <w:t xml:space="preserve"> </w:t>
      </w:r>
      <w:smartTag w:uri="urn:schemas-microsoft-com:office:smarttags" w:element="place">
        <w:smartTag w:uri="urn:schemas-microsoft-com:office:smarttags" w:element="City">
          <w:r w:rsidR="006455B6">
            <w:t>Niamey</w:t>
          </w:r>
        </w:smartTag>
      </w:smartTag>
      <w:r w:rsidR="006455B6">
        <w:t>. This rural region lacks school infrastructure, qualified teachers an</w:t>
      </w:r>
      <w:r>
        <w:t>d support mechanisms for income-</w:t>
      </w:r>
      <w:r w:rsidR="006455B6">
        <w:t>generating activities, mechanisms that could assist families in their fight against poverty.</w:t>
      </w:r>
    </w:p>
    <w:p w:rsidR="006455B6" w:rsidRDefault="001B34E5" w:rsidP="006455B6">
      <w:pPr>
        <w:pStyle w:val="SingleTxt"/>
      </w:pPr>
      <w:r>
        <w:tab/>
      </w:r>
      <w:r w:rsidR="006455B6">
        <w:t>Specific activities include the following:</w:t>
      </w:r>
    </w:p>
    <w:p w:rsidR="006455B6" w:rsidRDefault="001B34E5" w:rsidP="001B34E5">
      <w:pPr>
        <w:pStyle w:val="SingleTxt"/>
        <w:tabs>
          <w:tab w:val="right" w:pos="1685"/>
        </w:tabs>
        <w:ind w:left="1742" w:hanging="475"/>
      </w:pPr>
      <w:r>
        <w:tab/>
      </w:r>
      <w:r w:rsidR="006455B6">
        <w:t>•</w:t>
      </w:r>
      <w:r w:rsidR="006455B6">
        <w:tab/>
        <w:t xml:space="preserve">Increase access to primary schools: </w:t>
      </w:r>
      <w:r>
        <w:t>t</w:t>
      </w:r>
      <w:r w:rsidR="006455B6">
        <w:t xml:space="preserve">he aim is to significantly increase the number of girls and boys enrolled in school, provide these children with an appropriate learning environment and thus substantially and very concretely contribute to the Education for All initiative. Around 400 children will have an increased opportunity to benefit from primary education. </w:t>
      </w:r>
    </w:p>
    <w:p w:rsidR="006455B6" w:rsidRDefault="001B34E5" w:rsidP="001B34E5">
      <w:pPr>
        <w:pStyle w:val="SingleTxt"/>
        <w:tabs>
          <w:tab w:val="right" w:pos="1685"/>
        </w:tabs>
        <w:ind w:left="1742" w:hanging="475"/>
      </w:pPr>
      <w:r>
        <w:tab/>
      </w:r>
      <w:r w:rsidR="006455B6">
        <w:t>•</w:t>
      </w:r>
      <w:r w:rsidR="006455B6">
        <w:tab/>
        <w:t xml:space="preserve">Ensure that all adults, particularly women, have access to quality functional literacy classes: </w:t>
      </w:r>
      <w:r>
        <w:t>a</w:t>
      </w:r>
      <w:r w:rsidR="006455B6">
        <w:t>round 1</w:t>
      </w:r>
      <w:r>
        <w:t>,</w:t>
      </w:r>
      <w:r w:rsidR="006455B6">
        <w:t>000 women from the six villages will benefit from the literacy classes, which will start in mid-2007. The literacy programmes will be implemented in parallel with other partners</w:t>
      </w:r>
      <w:r w:rsidR="00EF2D4D">
        <w:t>’</w:t>
      </w:r>
      <w:r w:rsidR="006455B6">
        <w:t xml:space="preserve"> activities such as post-literacy activities, microfinance, human rights sensitization, health care, etc.</w:t>
      </w:r>
    </w:p>
    <w:p w:rsidR="006455B6" w:rsidRDefault="001B34E5" w:rsidP="001B34E5">
      <w:pPr>
        <w:pStyle w:val="SingleTxt"/>
        <w:tabs>
          <w:tab w:val="right" w:pos="1685"/>
        </w:tabs>
        <w:ind w:left="1742" w:hanging="475"/>
      </w:pPr>
      <w:r>
        <w:tab/>
      </w:r>
      <w:r w:rsidR="006455B6">
        <w:t>•</w:t>
      </w:r>
      <w:r w:rsidR="006455B6">
        <w:tab/>
        <w:t xml:space="preserve">Guarantee quality education and human rights sensitization: quality education must be ensured through a better learning environment, making learning relevant and sensitive to the life situation of the learners, capitalizing on modern methods of inclusiveness and helping those in need. This must be achieved through a sustained and sustainable effort involving both implementing partners and the Ministry of Basic Education and Literacy to train teachers to be proficient in both </w:t>
      </w:r>
      <w:r w:rsidR="00EF2D4D">
        <w:t>“</w:t>
      </w:r>
      <w:r w:rsidR="006455B6">
        <w:t>standard</w:t>
      </w:r>
      <w:r w:rsidR="00EF2D4D">
        <w:t>”</w:t>
      </w:r>
      <w:r w:rsidR="006455B6">
        <w:t xml:space="preserve"> school subjects and in various issues such as human rights, gender, life-skills, health</w:t>
      </w:r>
      <w:r>
        <w:t xml:space="preserve"> and HIV/</w:t>
      </w:r>
      <w:r w:rsidR="006455B6">
        <w:t>AIDS prevention.</w:t>
      </w:r>
    </w:p>
    <w:p w:rsidR="006455B6" w:rsidRDefault="001B34E5" w:rsidP="001B34E5">
      <w:pPr>
        <w:pStyle w:val="SingleTxt"/>
        <w:tabs>
          <w:tab w:val="right" w:pos="1685"/>
        </w:tabs>
        <w:ind w:left="1742" w:hanging="475"/>
      </w:pPr>
      <w:r>
        <w:tab/>
      </w:r>
      <w:r w:rsidR="006455B6">
        <w:t>•</w:t>
      </w:r>
      <w:r w:rsidR="006455B6">
        <w:tab/>
        <w:t xml:space="preserve">Human </w:t>
      </w:r>
      <w:r>
        <w:t>r</w:t>
      </w:r>
      <w:r w:rsidR="006455B6">
        <w:t>ights education to fight against poverty among women.</w:t>
      </w:r>
    </w:p>
    <w:p w:rsidR="006455B6" w:rsidRDefault="001B34E5" w:rsidP="001B34E5">
      <w:pPr>
        <w:pStyle w:val="SingleTxt"/>
        <w:tabs>
          <w:tab w:val="right" w:pos="1685"/>
        </w:tabs>
        <w:ind w:left="1742" w:hanging="475"/>
      </w:pPr>
      <w:r>
        <w:tab/>
      </w:r>
      <w:r w:rsidR="006455B6">
        <w:t>•</w:t>
      </w:r>
      <w:r w:rsidR="006455B6">
        <w:tab/>
        <w:t xml:space="preserve">Bilingual teaching in </w:t>
      </w:r>
      <w:r>
        <w:t xml:space="preserve">the </w:t>
      </w:r>
      <w:smartTag w:uri="urn:schemas-microsoft-com:office:smarttags" w:element="country-region">
        <w:r w:rsidR="006455B6">
          <w:t>Niger</w:t>
        </w:r>
      </w:smartTag>
      <w:r w:rsidR="006455B6">
        <w:t xml:space="preserve">: </w:t>
      </w:r>
      <w:r>
        <w:t>s</w:t>
      </w:r>
      <w:r w:rsidR="006455B6">
        <w:t>upporting girls</w:t>
      </w:r>
      <w:r w:rsidR="00EF2D4D">
        <w:t>’</w:t>
      </w:r>
      <w:r w:rsidR="006455B6">
        <w:t xml:space="preserve"> education in </w:t>
      </w:r>
      <w:r>
        <w:t xml:space="preserve">the </w:t>
      </w:r>
      <w:smartTag w:uri="urn:schemas-microsoft-com:office:smarttags" w:element="place">
        <w:smartTag w:uri="urn:schemas-microsoft-com:office:smarttags" w:element="country-region">
          <w:r w:rsidR="006455B6">
            <w:t>Niger</w:t>
          </w:r>
        </w:smartTag>
      </w:smartTag>
      <w:r w:rsidR="006455B6">
        <w:t>.</w:t>
      </w:r>
    </w:p>
    <w:p w:rsidR="001B34E5" w:rsidRPr="001B34E5" w:rsidRDefault="001B34E5" w:rsidP="001B34E5">
      <w:pPr>
        <w:pStyle w:val="SingleTxt"/>
        <w:spacing w:after="0" w:line="120" w:lineRule="exact"/>
        <w:rPr>
          <w:sz w:val="10"/>
        </w:rPr>
      </w:pPr>
    </w:p>
    <w:p w:rsidR="006455B6" w:rsidRDefault="001B34E5" w:rsidP="00E7196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E7196B" w:rsidRPr="00E7196B" w:rsidRDefault="00E7196B" w:rsidP="00E7196B">
      <w:pPr>
        <w:pStyle w:val="SingleTxt"/>
        <w:spacing w:after="0" w:line="120" w:lineRule="exact"/>
        <w:rPr>
          <w:sz w:val="10"/>
        </w:rPr>
      </w:pPr>
    </w:p>
    <w:p w:rsidR="006455B6" w:rsidRDefault="00E7196B" w:rsidP="006455B6">
      <w:pPr>
        <w:pStyle w:val="SingleTxt"/>
      </w:pPr>
      <w:r>
        <w:tab/>
      </w:r>
      <w:r w:rsidR="006455B6">
        <w:t>One RP-UNESCO Fellowship in support of priority prog</w:t>
      </w:r>
      <w:r>
        <w:t xml:space="preserve">ramme area in the field of non-formal education </w:t>
      </w:r>
      <w:r w:rsidR="006455B6">
        <w:t xml:space="preserve">for six months </w:t>
      </w:r>
      <w:r>
        <w:t xml:space="preserve">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Lomé</w:t>
          </w:r>
        </w:smartTag>
      </w:smartTag>
      <w:r>
        <w:t>, Lomé ($</w:t>
      </w:r>
      <w:r w:rsidR="006455B6">
        <w:t>11,300) was awarded to a woman scientist.</w:t>
      </w:r>
    </w:p>
    <w:p w:rsidR="00E7196B" w:rsidRPr="00E7196B" w:rsidRDefault="00E7196B" w:rsidP="00E7196B">
      <w:pPr>
        <w:pStyle w:val="SingleTxt"/>
        <w:spacing w:after="0" w:line="120" w:lineRule="exact"/>
        <w:rPr>
          <w:sz w:val="10"/>
        </w:rPr>
      </w:pPr>
    </w:p>
    <w:p w:rsidR="006455B6" w:rsidRDefault="00E7196B" w:rsidP="00E7196B">
      <w:pPr>
        <w:pStyle w:val="H23"/>
        <w:ind w:right="1260"/>
      </w:pPr>
      <w:r>
        <w:tab/>
      </w:r>
      <w:r>
        <w:tab/>
      </w:r>
      <w:smartTag w:uri="urn:schemas-microsoft-com:office:smarttags" w:element="place">
        <w:smartTag w:uri="urn:schemas-microsoft-com:office:smarttags" w:element="country-region">
          <w:r w:rsidR="006455B6">
            <w:t>P</w:t>
          </w:r>
          <w:r>
            <w:t>akistan</w:t>
          </w:r>
        </w:smartTag>
      </w:smartTag>
    </w:p>
    <w:p w:rsidR="00E7196B" w:rsidRPr="00E7196B" w:rsidRDefault="00E7196B" w:rsidP="00E7196B">
      <w:pPr>
        <w:pStyle w:val="SingleTxt"/>
        <w:spacing w:after="0" w:line="120" w:lineRule="exact"/>
        <w:rPr>
          <w:sz w:val="10"/>
        </w:rPr>
      </w:pPr>
    </w:p>
    <w:p w:rsidR="006455B6" w:rsidRDefault="00E7196B" w:rsidP="00E7196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E</w:t>
      </w:r>
      <w:r>
        <w:t>ducation</w:t>
      </w:r>
    </w:p>
    <w:p w:rsidR="00E7196B" w:rsidRPr="00E7196B" w:rsidRDefault="00E7196B" w:rsidP="00E7196B">
      <w:pPr>
        <w:pStyle w:val="SingleTxt"/>
        <w:spacing w:after="0" w:line="120" w:lineRule="exact"/>
        <w:rPr>
          <w:sz w:val="10"/>
        </w:rPr>
      </w:pPr>
    </w:p>
    <w:p w:rsidR="006455B6" w:rsidRDefault="00E7196B" w:rsidP="006455B6">
      <w:pPr>
        <w:pStyle w:val="SingleTxt"/>
      </w:pPr>
      <w:r>
        <w:tab/>
      </w:r>
      <w:smartTag w:uri="urn:schemas-microsoft-com:office:smarttags" w:element="place">
        <w:smartTag w:uri="urn:schemas-microsoft-com:office:smarttags" w:element="country-region">
          <w:r w:rsidR="006455B6">
            <w:t>Pakistan</w:t>
          </w:r>
        </w:smartTag>
      </w:smartTag>
      <w:r w:rsidR="006455B6">
        <w:t xml:space="preserve"> is not </w:t>
      </w:r>
      <w:r>
        <w:t xml:space="preserve">a </w:t>
      </w:r>
      <w:r w:rsidR="006455B6">
        <w:t xml:space="preserve">party to </w:t>
      </w:r>
      <w:r>
        <w:t>the UNESCO</w:t>
      </w:r>
      <w:r w:rsidR="006455B6">
        <w:t xml:space="preserve"> Convention against Discrimination in Education but did report to UNESCO for the 6th </w:t>
      </w:r>
      <w:r>
        <w:t>c</w:t>
      </w:r>
      <w:r w:rsidR="006455B6">
        <w:t xml:space="preserve">onsultation on the implementation of the Recommendation against Discrimination in Education in 1998. UNESCO is now hoping to receive a comprehensive quality report for the 7th </w:t>
      </w:r>
      <w:r>
        <w:t>c</w:t>
      </w:r>
      <w:r w:rsidR="006455B6">
        <w:t>onsultation.</w:t>
      </w:r>
    </w:p>
    <w:p w:rsidR="006455B6" w:rsidRDefault="00E7196B" w:rsidP="006455B6">
      <w:pPr>
        <w:pStyle w:val="SingleTxt"/>
      </w:pPr>
      <w:r>
        <w:tab/>
      </w:r>
      <w:r w:rsidR="006455B6">
        <w:t xml:space="preserve">UNESCO also encourages </w:t>
      </w:r>
      <w:smartTag w:uri="urn:schemas-microsoft-com:office:smarttags" w:element="place">
        <w:smartTag w:uri="urn:schemas-microsoft-com:office:smarttags" w:element="country-region">
          <w:r w:rsidR="006455B6">
            <w:t>Pakistan</w:t>
          </w:r>
        </w:smartTag>
      </w:smartTag>
      <w:r w:rsidR="006455B6">
        <w:t xml:space="preserve"> to ratify the Convention on Technical and Vocational Education.</w:t>
      </w:r>
    </w:p>
    <w:p w:rsidR="006455B6" w:rsidRDefault="00E7196B" w:rsidP="006455B6">
      <w:pPr>
        <w:pStyle w:val="SingleTxt"/>
      </w:pPr>
      <w:r>
        <w:tab/>
      </w:r>
      <w:r w:rsidR="006455B6">
        <w:t xml:space="preserve">The Constitution (1973) ensures equality and well-being of all citizens, and no discrimination on the basis of sex, caste, creed or </w:t>
      </w:r>
      <w:r>
        <w:t>race. Article 37 indicates that</w:t>
      </w:r>
      <w:r w:rsidR="006455B6">
        <w:t xml:space="preserve"> </w:t>
      </w:r>
      <w:r w:rsidR="00EF2D4D">
        <w:t>“</w:t>
      </w:r>
      <w:r w:rsidR="006455B6">
        <w:t>The State shall: (a) promote with special care the educational and economic interests of backward classes or areas; (b) remove illiteracy and provide free and compulsory education within the minimum possible period; and (c) make technical and professional education generally available and higher education equally accessible to all on the basis of merit.</w:t>
      </w:r>
      <w:r w:rsidR="00EF2D4D">
        <w:t>”</w:t>
      </w:r>
    </w:p>
    <w:p w:rsidR="006455B6" w:rsidRDefault="00C97D34" w:rsidP="006455B6">
      <w:pPr>
        <w:pStyle w:val="SingleTxt"/>
      </w:pPr>
      <w:r>
        <w:tab/>
      </w:r>
      <w:r w:rsidR="006455B6">
        <w:t xml:space="preserve">The national education policy review process in </w:t>
      </w:r>
      <w:smartTag w:uri="urn:schemas-microsoft-com:office:smarttags" w:element="place">
        <w:smartTag w:uri="urn:schemas-microsoft-com:office:smarttags" w:element="country-region">
          <w:r w:rsidR="006455B6">
            <w:t>Pakistan</w:t>
          </w:r>
        </w:smartTag>
      </w:smartTag>
      <w:r w:rsidR="006455B6">
        <w:t xml:space="preserve"> was supported through an expert round table on policy issues in gender. Furthermore</w:t>
      </w:r>
      <w:r>
        <w:t>,</w:t>
      </w:r>
      <w:r w:rsidR="006455B6">
        <w:t xml:space="preserve"> UNESCO promoted advocacy activities on the status and role of female teachers in </w:t>
      </w:r>
      <w:smartTag w:uri="urn:schemas-microsoft-com:office:smarttags" w:element="place">
        <w:smartTag w:uri="urn:schemas-microsoft-com:office:smarttags" w:element="country-region">
          <w:r w:rsidR="006455B6">
            <w:t>Pakistan</w:t>
          </w:r>
        </w:smartTag>
      </w:smartTag>
      <w:r w:rsidR="006455B6">
        <w:t xml:space="preserve"> during the </w:t>
      </w:r>
      <w:r>
        <w:t xml:space="preserve">Education for All </w:t>
      </w:r>
      <w:r w:rsidR="006455B6">
        <w:t>Week.</w:t>
      </w:r>
    </w:p>
    <w:p w:rsidR="00C97D34" w:rsidRPr="00C97D34" w:rsidRDefault="00C97D34" w:rsidP="00C97D34">
      <w:pPr>
        <w:pStyle w:val="SingleTxt"/>
        <w:spacing w:after="0" w:line="120" w:lineRule="exact"/>
        <w:rPr>
          <w:sz w:val="10"/>
        </w:rPr>
      </w:pPr>
    </w:p>
    <w:p w:rsidR="006455B6" w:rsidRDefault="00C97D34" w:rsidP="00C97D34">
      <w:pPr>
        <w:pStyle w:val="H4"/>
        <w:ind w:right="1260"/>
      </w:pPr>
      <w:r>
        <w:tab/>
      </w:r>
      <w:r>
        <w:tab/>
      </w:r>
      <w:r w:rsidR="006455B6">
        <w:t>S</w:t>
      </w:r>
      <w:r>
        <w:t>cience</w:t>
      </w:r>
    </w:p>
    <w:p w:rsidR="00C97D34" w:rsidRPr="00C97D34" w:rsidRDefault="00C97D34" w:rsidP="00C97D34">
      <w:pPr>
        <w:pStyle w:val="SingleTxt"/>
        <w:spacing w:after="0" w:line="120" w:lineRule="exact"/>
        <w:rPr>
          <w:sz w:val="10"/>
        </w:rPr>
      </w:pPr>
    </w:p>
    <w:p w:rsidR="006455B6" w:rsidRDefault="00C97D34" w:rsidP="006455B6">
      <w:pPr>
        <w:pStyle w:val="SingleTxt"/>
      </w:pPr>
      <w:r>
        <w:tab/>
      </w:r>
      <w:r w:rsidR="006455B6">
        <w:t xml:space="preserve">Within the framework of the project </w:t>
      </w:r>
      <w:r w:rsidR="00EF2D4D">
        <w:t>“</w:t>
      </w:r>
      <w:r w:rsidR="006455B6">
        <w:t xml:space="preserve">For </w:t>
      </w:r>
      <w:r>
        <w:t>breaking the poverty cycle of women</w:t>
      </w:r>
      <w:r w:rsidR="00EF2D4D">
        <w:t>”</w:t>
      </w:r>
      <w:r>
        <w:t>,</w:t>
      </w:r>
      <w:r w:rsidR="006455B6">
        <w:t xml:space="preserve"> UNESCO organized three meetings in </w:t>
      </w:r>
      <w:smartTag w:uri="urn:schemas-microsoft-com:office:smarttags" w:element="place">
        <w:smartTag w:uri="urn:schemas-microsoft-com:office:smarttags" w:element="City">
          <w:r w:rsidR="006455B6">
            <w:t>Islamabad</w:t>
          </w:r>
        </w:smartTag>
      </w:smartTag>
      <w:r>
        <w:t xml:space="preserve"> on the theme </w:t>
      </w:r>
      <w:r w:rsidR="00EF2D4D">
        <w:t>“</w:t>
      </w:r>
      <w:r w:rsidR="006455B6">
        <w:t xml:space="preserve">Sensitizing </w:t>
      </w:r>
      <w:r>
        <w:t>science</w:t>
      </w:r>
      <w:r w:rsidR="00EF2D4D">
        <w:t>”</w:t>
      </w:r>
      <w:r w:rsidR="006455B6">
        <w:t xml:space="preserve">. The objective of the meetings was to raise awareness among scientists and </w:t>
      </w:r>
      <w:r>
        <w:t>G</w:t>
      </w:r>
      <w:r w:rsidR="006455B6">
        <w:t>overnments on how to use science and technology to fight against poverty and exclusion and to respect human rights. As a result of the meeting, several scientific literacy programmes were created for disadvantaged girls and their communities.</w:t>
      </w:r>
    </w:p>
    <w:p w:rsidR="00C97D34" w:rsidRPr="00C97D34" w:rsidRDefault="00C97D34" w:rsidP="00C97D34">
      <w:pPr>
        <w:pStyle w:val="SingleTxt"/>
        <w:spacing w:after="0" w:line="120" w:lineRule="exact"/>
        <w:rPr>
          <w:sz w:val="10"/>
        </w:rPr>
      </w:pPr>
    </w:p>
    <w:p w:rsidR="006455B6" w:rsidRDefault="00C97D34" w:rsidP="00C97D3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C97D34" w:rsidRPr="00C97D34" w:rsidRDefault="00C97D34" w:rsidP="00C97D34">
      <w:pPr>
        <w:pStyle w:val="SingleTxt"/>
        <w:spacing w:after="0" w:line="120" w:lineRule="exact"/>
        <w:rPr>
          <w:sz w:val="10"/>
        </w:rPr>
      </w:pPr>
    </w:p>
    <w:p w:rsidR="006455B6" w:rsidRDefault="00C97D34" w:rsidP="00EF2D4D">
      <w:pPr>
        <w:pStyle w:val="SingleTxt"/>
        <w:tabs>
          <w:tab w:val="right" w:pos="1685"/>
        </w:tabs>
        <w:ind w:left="1742" w:hanging="475"/>
      </w:pPr>
      <w:r>
        <w:tab/>
      </w:r>
      <w:r w:rsidR="006455B6">
        <w:t>•</w:t>
      </w:r>
      <w:r w:rsidR="006455B6">
        <w:tab/>
        <w:t>One Co-Sponsored Fellowship (UNESCO/L</w:t>
      </w:r>
      <w:r w:rsidR="00EF2D4D">
        <w:t>’</w:t>
      </w:r>
      <w:r w:rsidR="006455B6">
        <w:t xml:space="preserve">Oréal) in the field of </w:t>
      </w:r>
      <w:r>
        <w:t>life scien</w:t>
      </w:r>
      <w:r w:rsidR="006455B6">
        <w:t>ces for six months at the University of Southampton, Southampton</w:t>
      </w:r>
      <w:r>
        <w:t xml:space="preserve">, United Kingdom of Great Britain and Northern Ireland </w:t>
      </w:r>
      <w:r w:rsidR="006455B6">
        <w:t>(</w:t>
      </w:r>
      <w:r>
        <w:t>$</w:t>
      </w:r>
      <w:r w:rsidR="006455B6">
        <w:t>20,548) was awarded to a woman scientist.</w:t>
      </w:r>
    </w:p>
    <w:p w:rsidR="006455B6" w:rsidRDefault="00C97D34" w:rsidP="00EF2D4D">
      <w:pPr>
        <w:pStyle w:val="SingleTxt"/>
        <w:tabs>
          <w:tab w:val="right" w:pos="1685"/>
        </w:tabs>
        <w:ind w:left="1742" w:hanging="475"/>
      </w:pPr>
      <w:r>
        <w:tab/>
      </w:r>
      <w:r w:rsidR="006455B6">
        <w:t>•</w:t>
      </w:r>
      <w:r w:rsidR="006455B6">
        <w:tab/>
        <w:t>One UNESCO/Keizo Obuchi (</w:t>
      </w:r>
      <w:smartTag w:uri="urn:schemas-microsoft-com:office:smarttags" w:element="place">
        <w:smartTag w:uri="urn:schemas-microsoft-com:office:smarttags" w:element="country-region">
          <w:r w:rsidR="006455B6">
            <w:t>Japan</w:t>
          </w:r>
        </w:smartTag>
      </w:smartTag>
      <w:r w:rsidR="006455B6">
        <w:t xml:space="preserve">) Co-Sponsored Research Fellowship in the field of </w:t>
      </w:r>
      <w:r>
        <w:t xml:space="preserve">peaceful conflict resolution </w:t>
      </w:r>
      <w:r w:rsidR="006455B6">
        <w:t>for three months in the Herry L.</w:t>
      </w:r>
      <w:r w:rsidR="00EF2D4D">
        <w:t> </w:t>
      </w:r>
      <w:r w:rsidR="006455B6">
        <w:t>Stimson Center, Washington</w:t>
      </w:r>
      <w:r>
        <w:t xml:space="preserve">, D.C. </w:t>
      </w:r>
      <w:r w:rsidR="006455B6">
        <w:t>(</w:t>
      </w:r>
      <w:r>
        <w:t>$</w:t>
      </w:r>
      <w:r w:rsidR="006455B6">
        <w:t>7,500) was awarded to a woman researcher.</w:t>
      </w:r>
    </w:p>
    <w:p w:rsidR="006455B6" w:rsidRDefault="00C97D34" w:rsidP="00EF2D4D">
      <w:pPr>
        <w:pStyle w:val="SingleTxt"/>
        <w:tabs>
          <w:tab w:val="right" w:pos="1685"/>
        </w:tabs>
        <w:ind w:left="1742" w:hanging="475"/>
      </w:pPr>
      <w:r>
        <w:tab/>
      </w:r>
      <w:r w:rsidR="006455B6">
        <w:t>•</w:t>
      </w:r>
      <w:r w:rsidR="006455B6">
        <w:tab/>
        <w:t xml:space="preserve">One UNESCO/Suzanne Mubarak/Japan-Egypt Friendship Research Fellowship for the empowerment of women in the field of </w:t>
      </w:r>
      <w:r>
        <w:t>women and culture of peace and d</w:t>
      </w:r>
      <w:r w:rsidR="006455B6">
        <w:t>evelopment for four months in the Bib</w:t>
      </w:r>
      <w:r>
        <w:t xml:space="preserve">liotheca Alexandria, Alexandria, </w:t>
      </w:r>
      <w:r w:rsidR="006455B6">
        <w:t>Egypt (</w:t>
      </w:r>
      <w:r w:rsidR="00504014">
        <w:t>$</w:t>
      </w:r>
      <w:r w:rsidR="006455B6">
        <w:t>7,500) was awarded to a woman researcher.</w:t>
      </w:r>
    </w:p>
    <w:p w:rsidR="006455B6" w:rsidRDefault="00C97D34" w:rsidP="00EF2D4D">
      <w:pPr>
        <w:pStyle w:val="SingleTxt"/>
        <w:tabs>
          <w:tab w:val="right" w:pos="1685"/>
        </w:tabs>
        <w:ind w:left="1742" w:hanging="475"/>
      </w:pPr>
      <w:r>
        <w:tab/>
      </w:r>
      <w:r w:rsidR="006455B6">
        <w:t>•</w:t>
      </w:r>
      <w:r w:rsidR="006455B6">
        <w:tab/>
        <w:t xml:space="preserve">One RP-UNESCO Fellowship in support of priority programme area in the field of Science Technology Policy Studies for three months at the </w:t>
      </w:r>
      <w:smartTag w:uri="urn:schemas-microsoft-com:office:smarttags" w:element="PlaceType">
        <w:r w:rsidR="006455B6">
          <w:t>University</w:t>
        </w:r>
      </w:smartTag>
      <w:r w:rsidR="006455B6">
        <w:t xml:space="preserve"> of </w:t>
      </w:r>
      <w:smartTag w:uri="urn:schemas-microsoft-com:office:smarttags" w:element="PlaceName">
        <w:r w:rsidR="006455B6">
          <w:t>Sussex</w:t>
        </w:r>
      </w:smartTag>
      <w:r w:rsidR="006455B6">
        <w:t xml:space="preserve">, </w:t>
      </w:r>
      <w:smartTag w:uri="urn:schemas-microsoft-com:office:smarttags" w:element="City">
        <w:r w:rsidR="006455B6">
          <w:t>Brighton</w:t>
        </w:r>
      </w:smartTag>
      <w:r>
        <w:t xml:space="preserve">, </w:t>
      </w:r>
      <w:smartTag w:uri="urn:schemas-microsoft-com:office:smarttags" w:element="country-region">
        <w:r>
          <w:t>United Kingdom</w:t>
        </w:r>
      </w:smartTag>
      <w:r>
        <w:t xml:space="preserve"> of </w:t>
      </w:r>
      <w:smartTag w:uri="urn:schemas-microsoft-com:office:smarttags" w:element="country-region">
        <w:r>
          <w:t>Great Britain</w:t>
        </w:r>
      </w:smartTag>
      <w:r>
        <w:t xml:space="preserve"> and </w:t>
      </w:r>
      <w:smartTag w:uri="urn:schemas-microsoft-com:office:smarttags" w:element="place">
        <w:smartTag w:uri="urn:schemas-microsoft-com:office:smarttags" w:element="country-region">
          <w:r>
            <w:t>Northern Ireland</w:t>
          </w:r>
        </w:smartTag>
      </w:smartTag>
      <w:r>
        <w:t xml:space="preserve"> </w:t>
      </w:r>
      <w:r w:rsidR="006455B6">
        <w:t>(</w:t>
      </w:r>
      <w:r>
        <w:t>$</w:t>
      </w:r>
      <w:r w:rsidR="006455B6">
        <w:t>15,000) was awarded to a woman scientist.</w:t>
      </w:r>
    </w:p>
    <w:p w:rsidR="00C97D34" w:rsidRPr="00C97D34" w:rsidRDefault="00C97D34" w:rsidP="00C97D34">
      <w:pPr>
        <w:pStyle w:val="SingleTxt"/>
        <w:spacing w:after="0" w:line="120" w:lineRule="exact"/>
        <w:rPr>
          <w:sz w:val="10"/>
        </w:rPr>
      </w:pPr>
    </w:p>
    <w:p w:rsidR="006455B6" w:rsidRDefault="00C97D34" w:rsidP="00C97D34">
      <w:pPr>
        <w:pStyle w:val="H23"/>
        <w:ind w:right="1260"/>
      </w:pPr>
      <w:r>
        <w:tab/>
      </w:r>
      <w:r>
        <w:tab/>
      </w:r>
      <w:smartTag w:uri="urn:schemas-microsoft-com:office:smarttags" w:element="place">
        <w:smartTag w:uri="urn:schemas-microsoft-com:office:smarttags" w:element="country-region">
          <w:r w:rsidR="006455B6">
            <w:t>S</w:t>
          </w:r>
          <w:r>
            <w:t>erbia</w:t>
          </w:r>
        </w:smartTag>
      </w:smartTag>
    </w:p>
    <w:p w:rsidR="00C97D34" w:rsidRPr="00C97D34" w:rsidRDefault="00C97D34" w:rsidP="00C97D34">
      <w:pPr>
        <w:pStyle w:val="SingleTxt"/>
        <w:spacing w:after="0" w:line="120" w:lineRule="exact"/>
        <w:rPr>
          <w:sz w:val="10"/>
        </w:rPr>
      </w:pPr>
    </w:p>
    <w:p w:rsidR="006455B6" w:rsidRDefault="00C97D34" w:rsidP="00C97D34">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E</w:t>
      </w:r>
      <w:r>
        <w:t>ducation</w:t>
      </w:r>
    </w:p>
    <w:p w:rsidR="00C97D34" w:rsidRPr="00C97D34" w:rsidRDefault="00C97D34" w:rsidP="00C97D34">
      <w:pPr>
        <w:pStyle w:val="SingleTxt"/>
        <w:spacing w:after="0" w:line="120" w:lineRule="exact"/>
        <w:rPr>
          <w:sz w:val="10"/>
        </w:rPr>
      </w:pPr>
    </w:p>
    <w:p w:rsidR="006455B6" w:rsidRDefault="00C97D34" w:rsidP="006455B6">
      <w:pPr>
        <w:pStyle w:val="SingleTxt"/>
      </w:pPr>
      <w:r>
        <w:tab/>
      </w:r>
      <w:smartTag w:uri="urn:schemas-microsoft-com:office:smarttags" w:element="place">
        <w:smartTag w:uri="urn:schemas-microsoft-com:office:smarttags" w:element="country-region">
          <w:r w:rsidR="006455B6">
            <w:t>Serbia</w:t>
          </w:r>
        </w:smartTag>
      </w:smartTag>
      <w:r w:rsidR="006455B6">
        <w:t xml:space="preserve"> </w:t>
      </w:r>
      <w:r>
        <w:t xml:space="preserve">has been a </w:t>
      </w:r>
      <w:r w:rsidR="006455B6">
        <w:t xml:space="preserve">party to </w:t>
      </w:r>
      <w:r>
        <w:t xml:space="preserve">the </w:t>
      </w:r>
      <w:r w:rsidR="006455B6">
        <w:t xml:space="preserve">UNESCO Convention against Discrimination in Education since September 2001. UNESCO is expecting to receive a comprehensive quality report for the 7th </w:t>
      </w:r>
      <w:r>
        <w:t>c</w:t>
      </w:r>
      <w:r w:rsidR="006455B6">
        <w:t>onsultation.</w:t>
      </w:r>
    </w:p>
    <w:p w:rsidR="006455B6" w:rsidRDefault="00C97D34" w:rsidP="006455B6">
      <w:pPr>
        <w:pStyle w:val="SingleTxt"/>
      </w:pPr>
      <w:r>
        <w:tab/>
      </w:r>
      <w:r w:rsidR="006455B6">
        <w:t xml:space="preserve">UNESCO encourages </w:t>
      </w:r>
      <w:smartTag w:uri="urn:schemas-microsoft-com:office:smarttags" w:element="place">
        <w:smartTag w:uri="urn:schemas-microsoft-com:office:smarttags" w:element="country-region">
          <w:r w:rsidR="006455B6">
            <w:t>Serbia</w:t>
          </w:r>
        </w:smartTag>
      </w:smartTag>
      <w:r w:rsidR="006455B6">
        <w:t xml:space="preserve"> to ratify the Convention on Technical and Vocational Education.</w:t>
      </w:r>
    </w:p>
    <w:p w:rsidR="006455B6" w:rsidRDefault="00C97D34" w:rsidP="006455B6">
      <w:pPr>
        <w:pStyle w:val="SingleTxt"/>
      </w:pPr>
      <w:r>
        <w:tab/>
      </w:r>
      <w:r w:rsidR="006455B6">
        <w:t xml:space="preserve">Article 71 of the Constitution of 2003 is devoted to the right to education and expresses the principle that everyone shall have the right to education. The provisions of the Article stipulate that primary education is mandatory and free, and secondary education is free. All citizens have access to higher education under equal conditions. </w:t>
      </w:r>
      <w:smartTag w:uri="urn:schemas-microsoft-com:office:smarttags" w:element="place">
        <w:smartTag w:uri="urn:schemas-microsoft-com:office:smarttags" w:element="country-region">
          <w:r w:rsidR="006455B6">
            <w:t>Serbia</w:t>
          </w:r>
        </w:smartTag>
      </w:smartTag>
      <w:r w:rsidR="006455B6">
        <w:t xml:space="preserve"> provides for free tertiary education to successful and talented students of lower property status in accordance with the law. Establishment of schools and universities is regulated by the law.</w:t>
      </w:r>
    </w:p>
    <w:p w:rsidR="006F2DBC" w:rsidRPr="006F2DBC" w:rsidRDefault="006F2DBC" w:rsidP="006F2DBC">
      <w:pPr>
        <w:pStyle w:val="SingleTxt"/>
        <w:spacing w:after="0" w:line="120" w:lineRule="exact"/>
        <w:rPr>
          <w:sz w:val="10"/>
        </w:rPr>
      </w:pPr>
    </w:p>
    <w:p w:rsidR="006455B6" w:rsidRDefault="006F2DBC" w:rsidP="006F2DB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C</w:t>
      </w:r>
      <w:r>
        <w:t>ommunication and information</w:t>
      </w:r>
    </w:p>
    <w:p w:rsidR="006F2DBC" w:rsidRPr="006F2DBC" w:rsidRDefault="006F2DBC" w:rsidP="006F2DBC">
      <w:pPr>
        <w:pStyle w:val="SingleTxt"/>
        <w:spacing w:after="0" w:line="120" w:lineRule="exact"/>
        <w:rPr>
          <w:sz w:val="10"/>
        </w:rPr>
      </w:pPr>
    </w:p>
    <w:p w:rsidR="006455B6" w:rsidRDefault="006F2DBC" w:rsidP="006455B6">
      <w:pPr>
        <w:pStyle w:val="SingleTxt"/>
      </w:pPr>
      <w:r>
        <w:tab/>
      </w:r>
      <w:r w:rsidR="006455B6">
        <w:t>The Eur</w:t>
      </w:r>
      <w:r>
        <w:t xml:space="preserve">ovision Regional News Exchange </w:t>
      </w:r>
      <w:r w:rsidR="006455B6">
        <w:t>is a news exchange network of 12 public broadcasters from the Balkans and other South-Eastern European countries that was launched in December 2003 in order to strengthen cooperation, reconciliation and peace in the region. The countries have been exchanging daily news through European Broadcasting Union</w:t>
      </w:r>
      <w:r w:rsidR="00EF2D4D">
        <w:t>’</w:t>
      </w:r>
      <w:r w:rsidR="006455B6">
        <w:t xml:space="preserve">s Eurovision Satellite since November 2001. </w:t>
      </w:r>
    </w:p>
    <w:p w:rsidR="006455B6" w:rsidRDefault="00D01976" w:rsidP="006455B6">
      <w:pPr>
        <w:pStyle w:val="SingleTxt"/>
      </w:pPr>
      <w:r>
        <w:tab/>
      </w:r>
      <w:r w:rsidR="006455B6">
        <w:t xml:space="preserve">UNESCO has supported separate activities within the framework of </w:t>
      </w:r>
      <w:r>
        <w:t xml:space="preserve">the Eurovision Regional News </w:t>
      </w:r>
      <w:r w:rsidR="00EF2D4D">
        <w:t>Exchange</w:t>
      </w:r>
      <w:r w:rsidR="006455B6">
        <w:t>, including the production of a documentary film on illegal trafficking of girls and wom</w:t>
      </w:r>
      <w:r>
        <w:t xml:space="preserve">en. This 25-minute documentary </w:t>
      </w:r>
      <w:r w:rsidR="006455B6" w:rsidRPr="00D01976">
        <w:rPr>
          <w:i/>
        </w:rPr>
        <w:t xml:space="preserve">Women </w:t>
      </w:r>
      <w:r>
        <w:rPr>
          <w:i/>
        </w:rPr>
        <w:t>t</w:t>
      </w:r>
      <w:r w:rsidR="006455B6" w:rsidRPr="00D01976">
        <w:rPr>
          <w:i/>
        </w:rPr>
        <w:t>rafficking</w:t>
      </w:r>
      <w:r w:rsidR="006455B6">
        <w:t xml:space="preserve">, recently screened in UNESCO </w:t>
      </w:r>
      <w:r>
        <w:t>h</w:t>
      </w:r>
      <w:r w:rsidR="006455B6">
        <w:t>eadquarters in Paris on the occasion of the International Women</w:t>
      </w:r>
      <w:r w:rsidR="00EF2D4D">
        <w:t>’</w:t>
      </w:r>
      <w:r w:rsidR="006455B6">
        <w:t xml:space="preserve">s Day 2007, investigates the social and cultural contexts of women trafficking in </w:t>
      </w:r>
      <w:r>
        <w:t>South-Eastern Europe</w:t>
      </w:r>
      <w:r w:rsidR="006455B6">
        <w:t xml:space="preserve">, drawing attention to the factors that contribute to trafficking </w:t>
      </w:r>
      <w:r w:rsidR="00B548E5">
        <w:t>—</w:t>
      </w:r>
      <w:r w:rsidR="006455B6">
        <w:t xml:space="preserve"> specifically lack of education of young girls, violence against women, poverty and pervasive gender inequality. This film aims at collecting information about the cases of women trafficking, victims profiles, trafficking routes; identifying the results of international and regional counter-trafficking initiatives, the results of government involvemen</w:t>
      </w:r>
      <w:r w:rsidR="00B548E5">
        <w:t xml:space="preserve">t and national plans of action and </w:t>
      </w:r>
      <w:r w:rsidR="006455B6">
        <w:t xml:space="preserve">good practices and gaps in the work of specialized </w:t>
      </w:r>
      <w:r w:rsidR="00B548E5">
        <w:t xml:space="preserve">non-governmental organizations </w:t>
      </w:r>
      <w:r w:rsidR="006455B6">
        <w:t xml:space="preserve">and international organizations; and presenting repatriation and reintegration approaches. </w:t>
      </w:r>
    </w:p>
    <w:p w:rsidR="00B548E5" w:rsidRPr="00B548E5" w:rsidRDefault="00B548E5" w:rsidP="00B548E5">
      <w:pPr>
        <w:pStyle w:val="SingleTxt"/>
        <w:spacing w:after="0" w:line="120" w:lineRule="exact"/>
        <w:rPr>
          <w:sz w:val="10"/>
        </w:rPr>
      </w:pPr>
    </w:p>
    <w:p w:rsidR="006455B6" w:rsidRDefault="00B548E5" w:rsidP="00B548E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B548E5" w:rsidRPr="00B548E5" w:rsidRDefault="00B548E5" w:rsidP="00B548E5">
      <w:pPr>
        <w:pStyle w:val="SingleTxt"/>
        <w:spacing w:after="0" w:line="120" w:lineRule="exact"/>
        <w:rPr>
          <w:sz w:val="10"/>
        </w:rPr>
      </w:pPr>
    </w:p>
    <w:p w:rsidR="006455B6" w:rsidRDefault="00B548E5" w:rsidP="00B548E5">
      <w:pPr>
        <w:pStyle w:val="SingleTxt"/>
        <w:tabs>
          <w:tab w:val="right" w:pos="1685"/>
        </w:tabs>
        <w:ind w:left="1742" w:hanging="475"/>
      </w:pPr>
      <w:r>
        <w:tab/>
      </w:r>
      <w:r w:rsidR="006455B6">
        <w:t>•</w:t>
      </w:r>
      <w:r w:rsidR="006455B6">
        <w:tab/>
        <w:t xml:space="preserve">One RP-UNESCO Fellowship in support of priority programme areas in the field of </w:t>
      </w:r>
      <w:r>
        <w:t xml:space="preserve">history of byzantine arts </w:t>
      </w:r>
      <w:r w:rsidR="006455B6">
        <w:t xml:space="preserve">for six months at the </w:t>
      </w:r>
      <w:smartTag w:uri="urn:schemas-microsoft-com:office:smarttags" w:element="PlaceType">
        <w:r w:rsidR="006455B6">
          <w:t>University</w:t>
        </w:r>
      </w:smartTag>
      <w:r w:rsidR="006455B6">
        <w:t xml:space="preserve"> </w:t>
      </w:r>
      <w:r w:rsidR="00656246">
        <w:t xml:space="preserve">of </w:t>
      </w:r>
      <w:smartTag w:uri="urn:schemas-microsoft-com:office:smarttags" w:element="PlaceName">
        <w:r w:rsidR="006455B6">
          <w:t>Paris</w:t>
        </w:r>
      </w:smartTag>
      <w:r w:rsidR="006455B6">
        <w:t xml:space="preserve"> I </w:t>
      </w:r>
      <w:r>
        <w:t>—</w:t>
      </w:r>
      <w:r w:rsidR="006455B6">
        <w:t xml:space="preserve"> Panthéon-Assas, </w:t>
      </w:r>
      <w:smartTag w:uri="urn:schemas-microsoft-com:office:smarttags" w:element="place">
        <w:smartTag w:uri="urn:schemas-microsoft-com:office:smarttags" w:element="City">
          <w:r w:rsidR="006455B6">
            <w:t>Paris</w:t>
          </w:r>
        </w:smartTag>
      </w:smartTag>
      <w:r w:rsidR="006455B6">
        <w:t xml:space="preserve"> (</w:t>
      </w:r>
      <w:r>
        <w:t>$</w:t>
      </w:r>
      <w:r w:rsidR="006455B6">
        <w:t xml:space="preserve">10,500) was awarded to a woman researcher. </w:t>
      </w:r>
    </w:p>
    <w:p w:rsidR="006455B6" w:rsidRDefault="00B548E5" w:rsidP="00B548E5">
      <w:pPr>
        <w:pStyle w:val="SingleTxt"/>
        <w:tabs>
          <w:tab w:val="right" w:pos="1685"/>
        </w:tabs>
        <w:ind w:left="1742" w:hanging="475"/>
      </w:pPr>
      <w:r>
        <w:tab/>
      </w:r>
      <w:r w:rsidR="006455B6">
        <w:t>•</w:t>
      </w:r>
      <w:r w:rsidR="006455B6">
        <w:tab/>
        <w:t xml:space="preserve">One Co-Sponsored Fellowship (UNESCO/Japan: Obuchi) in the field of </w:t>
      </w:r>
      <w:r>
        <w:t xml:space="preserve">intercultural dialogue </w:t>
      </w:r>
      <w:r w:rsidR="006455B6">
        <w:t xml:space="preserve">for nine months in the Foundation Fernando Ortiz, </w:t>
      </w:r>
      <w:smartTag w:uri="urn:schemas-microsoft-com:office:smarttags" w:element="place">
        <w:smartTag w:uri="urn:schemas-microsoft-com:office:smarttags" w:element="City">
          <w:r w:rsidR="006455B6">
            <w:t>Ha</w:t>
          </w:r>
          <w:r>
            <w:t>v</w:t>
          </w:r>
          <w:r w:rsidR="006455B6">
            <w:t>ana</w:t>
          </w:r>
        </w:smartTag>
      </w:smartTag>
      <w:r>
        <w:t xml:space="preserve"> </w:t>
      </w:r>
      <w:r w:rsidR="006455B6">
        <w:t>(</w:t>
      </w:r>
      <w:r>
        <w:t>$</w:t>
      </w:r>
      <w:r w:rsidR="006455B6">
        <w:t>10,000) was awarded to a woman scientist.</w:t>
      </w:r>
    </w:p>
    <w:p w:rsidR="006455B6" w:rsidRDefault="00B548E5" w:rsidP="00B548E5">
      <w:pPr>
        <w:pStyle w:val="SingleTxt"/>
        <w:tabs>
          <w:tab w:val="right" w:pos="1685"/>
        </w:tabs>
        <w:ind w:left="1742" w:hanging="475"/>
      </w:pPr>
      <w:r>
        <w:tab/>
      </w:r>
      <w:r w:rsidR="006455B6">
        <w:t>•</w:t>
      </w:r>
      <w:r w:rsidR="006455B6">
        <w:tab/>
        <w:t xml:space="preserve">One RP-UNESCO Fellowship in support of priority programme areas in the field of </w:t>
      </w:r>
      <w:r>
        <w:t>c</w:t>
      </w:r>
      <w:r w:rsidR="006455B6">
        <w:t xml:space="preserve">ulture </w:t>
      </w:r>
      <w:r>
        <w:t>plastic arts</w:t>
      </w:r>
      <w:r w:rsidR="006455B6">
        <w:t xml:space="preserve"> for six months at the </w:t>
      </w:r>
      <w:smartTag w:uri="urn:schemas-microsoft-com:office:smarttags" w:element="PlaceType">
        <w:r w:rsidR="006455B6">
          <w:t>University</w:t>
        </w:r>
      </w:smartTag>
      <w:r w:rsidR="006455B6">
        <w:t xml:space="preserve"> of </w:t>
      </w:r>
      <w:smartTag w:uri="urn:schemas-microsoft-com:office:smarttags" w:element="PlaceName">
        <w:r w:rsidR="006455B6">
          <w:t>Paris VIII</w:t>
        </w:r>
      </w:smartTag>
      <w:r w:rsidR="006455B6">
        <w:t xml:space="preserve">, </w:t>
      </w:r>
      <w:smartTag w:uri="urn:schemas-microsoft-com:office:smarttags" w:element="place">
        <w:smartTag w:uri="urn:schemas-microsoft-com:office:smarttags" w:element="City">
          <w:r w:rsidR="006455B6">
            <w:t>St.</w:t>
          </w:r>
          <w:r w:rsidR="00EF2D4D">
            <w:t> </w:t>
          </w:r>
          <w:r w:rsidR="006455B6">
            <w:t>Denis</w:t>
          </w:r>
        </w:smartTag>
        <w:r>
          <w:t xml:space="preserve">, </w:t>
        </w:r>
        <w:smartTag w:uri="urn:schemas-microsoft-com:office:smarttags" w:element="country-region">
          <w:r w:rsidR="006455B6">
            <w:t>France</w:t>
          </w:r>
        </w:smartTag>
      </w:smartTag>
      <w:r w:rsidR="006455B6">
        <w:t xml:space="preserve"> (</w:t>
      </w:r>
      <w:r>
        <w:t>$</w:t>
      </w:r>
      <w:r w:rsidR="006455B6">
        <w:t xml:space="preserve">14,800) was awarded to a woman researcher. </w:t>
      </w:r>
    </w:p>
    <w:p w:rsidR="00B548E5" w:rsidRPr="00B548E5" w:rsidRDefault="00B548E5" w:rsidP="00B548E5">
      <w:pPr>
        <w:pStyle w:val="SingleTxt"/>
        <w:spacing w:after="0" w:line="120" w:lineRule="exact"/>
        <w:rPr>
          <w:sz w:val="10"/>
        </w:rPr>
      </w:pPr>
    </w:p>
    <w:p w:rsidR="006455B6" w:rsidRDefault="00B548E5" w:rsidP="00B548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rsidR="006455B6">
            <w:t>Sierra Leone</w:t>
          </w:r>
        </w:smartTag>
      </w:smartTag>
    </w:p>
    <w:p w:rsidR="00B548E5" w:rsidRPr="00B548E5" w:rsidRDefault="00B548E5" w:rsidP="00B548E5">
      <w:pPr>
        <w:pStyle w:val="SingleTxt"/>
        <w:spacing w:after="0" w:line="120" w:lineRule="exact"/>
        <w:rPr>
          <w:sz w:val="10"/>
        </w:rPr>
      </w:pPr>
    </w:p>
    <w:p w:rsidR="006455B6" w:rsidRDefault="00B548E5" w:rsidP="00B548E5">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E</w:t>
      </w:r>
      <w:r>
        <w:t>ducation</w:t>
      </w:r>
    </w:p>
    <w:p w:rsidR="00B548E5" w:rsidRPr="00B548E5" w:rsidRDefault="00B548E5" w:rsidP="00B548E5">
      <w:pPr>
        <w:pStyle w:val="SingleTxt"/>
        <w:spacing w:after="0" w:line="120" w:lineRule="exact"/>
        <w:rPr>
          <w:sz w:val="10"/>
        </w:rPr>
      </w:pPr>
    </w:p>
    <w:p w:rsidR="006455B6" w:rsidRDefault="00B950DF" w:rsidP="006455B6">
      <w:pPr>
        <w:pStyle w:val="SingleTxt"/>
      </w:pPr>
      <w:r>
        <w:tab/>
      </w:r>
      <w:smartTag w:uri="urn:schemas-microsoft-com:office:smarttags" w:element="place">
        <w:smartTag w:uri="urn:schemas-microsoft-com:office:smarttags" w:element="country-region">
          <w:r w:rsidR="006455B6">
            <w:t>Sierra Leone</w:t>
          </w:r>
        </w:smartTag>
      </w:smartTag>
      <w:r w:rsidR="006455B6">
        <w:t xml:space="preserve"> </w:t>
      </w:r>
      <w:r>
        <w:t xml:space="preserve">has been a </w:t>
      </w:r>
      <w:r w:rsidR="006455B6">
        <w:t xml:space="preserve">party to </w:t>
      </w:r>
      <w:r>
        <w:t xml:space="preserve">the </w:t>
      </w:r>
      <w:r w:rsidR="006455B6">
        <w:t xml:space="preserve">UNESCO Convention against Discrimination in Education since 1967 but did not report to UNESCO within the 6th </w:t>
      </w:r>
      <w:r>
        <w:t>c</w:t>
      </w:r>
      <w:r w:rsidR="006455B6">
        <w:t xml:space="preserve">onsultation on the implementation of the Convention and Recommendation against Discrimination in Education. UNESCO is now encouraging </w:t>
      </w:r>
      <w:smartTag w:uri="urn:schemas-microsoft-com:office:smarttags" w:element="place">
        <w:smartTag w:uri="urn:schemas-microsoft-com:office:smarttags" w:element="country-region">
          <w:r w:rsidR="006455B6">
            <w:t>Sierra Leone</w:t>
          </w:r>
        </w:smartTag>
      </w:smartTag>
      <w:r w:rsidR="006455B6">
        <w:t xml:space="preserve"> to submit a comprehensive quality report for the 7th </w:t>
      </w:r>
      <w:r>
        <w:t>c</w:t>
      </w:r>
      <w:r w:rsidR="006455B6">
        <w:t>onsultation.</w:t>
      </w:r>
    </w:p>
    <w:p w:rsidR="006455B6" w:rsidRDefault="00B950DF" w:rsidP="006455B6">
      <w:pPr>
        <w:pStyle w:val="SingleTxt"/>
      </w:pPr>
      <w:r>
        <w:tab/>
      </w:r>
      <w:r w:rsidR="006455B6">
        <w:t xml:space="preserve">UNESCO also encourages </w:t>
      </w:r>
      <w:smartTag w:uri="urn:schemas-microsoft-com:office:smarttags" w:element="place">
        <w:smartTag w:uri="urn:schemas-microsoft-com:office:smarttags" w:element="country-region">
          <w:r w:rsidR="006455B6">
            <w:t>Sierra Leone</w:t>
          </w:r>
        </w:smartTag>
      </w:smartTag>
      <w:r w:rsidR="006455B6">
        <w:t xml:space="preserve"> to ratify the Convention on Technical and Vocational Education.</w:t>
      </w:r>
    </w:p>
    <w:p w:rsidR="006455B6" w:rsidRDefault="00B950DF" w:rsidP="006455B6">
      <w:pPr>
        <w:pStyle w:val="SingleTxt"/>
      </w:pPr>
      <w:r>
        <w:tab/>
      </w:r>
      <w:r w:rsidR="006455B6">
        <w:t>Article 9 (1) of the Constitution of 1991 states that the Government directs its policy towards ensuring that there are equal rights and adequate educational opportunities for all citizens at all levels by:</w:t>
      </w:r>
      <w:r w:rsidR="00EF2D4D">
        <w:t xml:space="preserve"> </w:t>
      </w:r>
      <w:r w:rsidR="006455B6">
        <w:t>(a) ensuring that every citizen is given the opportunity to be educated to the best of his ability, aptitude and inclination by providing educational facilities at all levels and aspects of education such as primary, secondary, vocational, technical, college and university; (b) safeguarding the rights of vulnerable groups, such as children, women and the disabled in security educational facilities; and (c) providing the necessary structures, finance and supportive facilities for education as and when practicable. According to Article 9</w:t>
      </w:r>
      <w:r w:rsidR="00EF2D4D">
        <w:t> </w:t>
      </w:r>
      <w:r w:rsidR="006455B6">
        <w:t>(2)</w:t>
      </w:r>
      <w:r>
        <w:t>,</w:t>
      </w:r>
      <w:r w:rsidR="006455B6">
        <w:t xml:space="preserve"> the Government strives to eradicate illiteracy and</w:t>
      </w:r>
      <w:r>
        <w:t>,</w:t>
      </w:r>
      <w:r w:rsidR="006455B6">
        <w:t xml:space="preserve"> to this end, directs its educational policy towards achieving: (a) free adult literacy programmes; (b) free compulsory basic education at primary and junior secondary school levels; and (c)</w:t>
      </w:r>
      <w:r w:rsidR="00EF2D4D">
        <w:t> </w:t>
      </w:r>
      <w:r w:rsidR="006455B6">
        <w:t>free senior secondary education as and when practicable. The third paragraph of Article 9 stipulates that the Government promotes the learning of indigenous languages and the study and application of modern science, foreign languages, technology, commerce and business.</w:t>
      </w:r>
    </w:p>
    <w:p w:rsidR="00EF2D4D" w:rsidRPr="00EF2D4D" w:rsidRDefault="00EF2D4D" w:rsidP="00EF2D4D">
      <w:pPr>
        <w:pStyle w:val="SingleTxt"/>
        <w:spacing w:after="0" w:line="120" w:lineRule="exact"/>
        <w:rPr>
          <w:sz w:val="10"/>
        </w:rPr>
      </w:pPr>
    </w:p>
    <w:p w:rsidR="006455B6" w:rsidRDefault="00EF2D4D" w:rsidP="00EF2D4D">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P</w:t>
      </w:r>
      <w:r>
        <w:t>articipation Programme</w:t>
      </w:r>
    </w:p>
    <w:p w:rsidR="00EF2D4D" w:rsidRPr="00EF2D4D" w:rsidRDefault="00EF2D4D" w:rsidP="00EF2D4D">
      <w:pPr>
        <w:pStyle w:val="SingleTxt"/>
        <w:spacing w:after="0" w:line="120" w:lineRule="exact"/>
        <w:rPr>
          <w:sz w:val="10"/>
        </w:rPr>
      </w:pPr>
    </w:p>
    <w:p w:rsidR="006455B6" w:rsidRDefault="00EF2D4D" w:rsidP="006455B6">
      <w:pPr>
        <w:pStyle w:val="SingleTxt"/>
      </w:pPr>
      <w:r>
        <w:tab/>
      </w:r>
      <w:r w:rsidR="006455B6">
        <w:t>Within the framework of the UNESCO Participation Programme, the Sierra Leone National Commission demonstrated a strong commitment to mainstreaming gender in UNESCO fields of competence in a situation of post-conflict through a number of projects. The aim of the following p</w:t>
      </w:r>
      <w:r>
        <w:t>rojects is to promote social re</w:t>
      </w:r>
      <w:r w:rsidR="006455B6">
        <w:t xml:space="preserve">integration of girls and women: </w:t>
      </w:r>
      <w:r>
        <w:t>t</w:t>
      </w:r>
      <w:r w:rsidR="006455B6">
        <w:t xml:space="preserve">he establishment of a centre for lifelong skills for war-affected widows and girl mothers received </w:t>
      </w:r>
      <w:r>
        <w:t>$</w:t>
      </w:r>
      <w:r w:rsidR="006455B6">
        <w:t>18,000</w:t>
      </w:r>
      <w:r>
        <w:t>, and the funding of income-</w:t>
      </w:r>
      <w:r w:rsidR="006455B6">
        <w:t xml:space="preserve">generating activities for rural isolated women and young girls received </w:t>
      </w:r>
      <w:r>
        <w:t>$13,000</w:t>
      </w:r>
      <w:r w:rsidR="006455B6">
        <w:t xml:space="preserve">. In addition, within the framework of the emergency assistance programme 2006-2007, UNESCO granted an amount of </w:t>
      </w:r>
      <w:r>
        <w:t>$</w:t>
      </w:r>
      <w:r w:rsidR="006455B6">
        <w:t>50</w:t>
      </w:r>
      <w:r>
        <w:t>,</w:t>
      </w:r>
      <w:r w:rsidR="006455B6">
        <w:t xml:space="preserve">000 to the development </w:t>
      </w:r>
      <w:r>
        <w:t>of educational program</w:t>
      </w:r>
      <w:r w:rsidR="00656246">
        <w:t>me</w:t>
      </w:r>
      <w:r>
        <w:t>s in post-</w:t>
      </w:r>
      <w:r w:rsidR="006455B6">
        <w:t>conflict situations with a particular focus on girls.</w:t>
      </w:r>
    </w:p>
    <w:p w:rsidR="00EF2D4D" w:rsidRPr="00EF2D4D" w:rsidRDefault="00EF2D4D" w:rsidP="00EF2D4D">
      <w:pPr>
        <w:pStyle w:val="SingleTxt"/>
        <w:spacing w:after="0" w:line="120" w:lineRule="exact"/>
        <w:rPr>
          <w:sz w:val="10"/>
        </w:rPr>
      </w:pPr>
    </w:p>
    <w:p w:rsidR="006455B6" w:rsidRDefault="00EF2D4D" w:rsidP="00EF2D4D">
      <w:pPr>
        <w:pStyle w:val="H23"/>
        <w:ind w:right="1260"/>
      </w:pPr>
      <w:r>
        <w:tab/>
      </w:r>
      <w:r>
        <w:tab/>
      </w:r>
      <w:smartTag w:uri="urn:schemas-microsoft-com:office:smarttags" w:element="place">
        <w:smartTag w:uri="urn:schemas-microsoft-com:office:smarttags" w:element="PlaceName">
          <w:r w:rsidR="006455B6">
            <w:t>Syrian</w:t>
          </w:r>
        </w:smartTag>
        <w:r w:rsidR="006455B6">
          <w:t xml:space="preserve"> </w:t>
        </w:r>
        <w:smartTag w:uri="urn:schemas-microsoft-com:office:smarttags" w:element="PlaceName">
          <w:r w:rsidR="006455B6">
            <w:t>Arab</w:t>
          </w:r>
        </w:smartTag>
        <w:r w:rsidR="006455B6">
          <w:t xml:space="preserve"> </w:t>
        </w:r>
        <w:smartTag w:uri="urn:schemas-microsoft-com:office:smarttags" w:element="PlaceType">
          <w:r w:rsidR="006455B6">
            <w:t>Republic</w:t>
          </w:r>
        </w:smartTag>
      </w:smartTag>
      <w:r w:rsidR="006455B6">
        <w:t xml:space="preserve"> </w:t>
      </w:r>
    </w:p>
    <w:p w:rsidR="00EF2D4D" w:rsidRPr="00EF2D4D" w:rsidRDefault="00EF2D4D" w:rsidP="00EF2D4D">
      <w:pPr>
        <w:pStyle w:val="SingleTxt"/>
        <w:spacing w:after="0" w:line="120" w:lineRule="exact"/>
        <w:rPr>
          <w:sz w:val="10"/>
        </w:rPr>
      </w:pPr>
    </w:p>
    <w:p w:rsidR="006455B6" w:rsidRDefault="00EF2D4D" w:rsidP="00EF2D4D">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E</w:t>
      </w:r>
      <w:r>
        <w:t>ducation</w:t>
      </w:r>
    </w:p>
    <w:p w:rsidR="00EF2D4D" w:rsidRPr="00EF2D4D" w:rsidRDefault="00EF2D4D" w:rsidP="00EF2D4D">
      <w:pPr>
        <w:pStyle w:val="SingleTxt"/>
        <w:spacing w:after="0" w:line="120" w:lineRule="exact"/>
        <w:rPr>
          <w:sz w:val="10"/>
        </w:rPr>
      </w:pPr>
    </w:p>
    <w:p w:rsidR="006455B6" w:rsidRDefault="00EF2D4D" w:rsidP="006455B6">
      <w:pPr>
        <w:pStyle w:val="SingleTxt"/>
      </w:pPr>
      <w:r>
        <w:tab/>
      </w:r>
      <w:r w:rsidR="006455B6">
        <w:t xml:space="preserve">The </w:t>
      </w:r>
      <w:smartTag w:uri="urn:schemas-microsoft-com:office:smarttags" w:element="place">
        <w:smartTag w:uri="urn:schemas-microsoft-com:office:smarttags" w:element="PlaceName">
          <w:r w:rsidR="006455B6">
            <w:t>Syrian</w:t>
          </w:r>
        </w:smartTag>
        <w:r w:rsidR="006455B6">
          <w:t xml:space="preserve"> </w:t>
        </w:r>
        <w:smartTag w:uri="urn:schemas-microsoft-com:office:smarttags" w:element="PlaceName">
          <w:r w:rsidR="006455B6">
            <w:t>Arab</w:t>
          </w:r>
        </w:smartTag>
        <w:r w:rsidR="006455B6">
          <w:t xml:space="preserve"> </w:t>
        </w:r>
        <w:smartTag w:uri="urn:schemas-microsoft-com:office:smarttags" w:element="PlaceType">
          <w:r w:rsidR="006455B6">
            <w:t>Republic</w:t>
          </w:r>
        </w:smartTag>
      </w:smartTag>
      <w:r w:rsidR="006455B6">
        <w:t xml:space="preserve"> is not </w:t>
      </w:r>
      <w:r>
        <w:t xml:space="preserve">a </w:t>
      </w:r>
      <w:r w:rsidR="006455B6">
        <w:t xml:space="preserve">party to </w:t>
      </w:r>
      <w:r>
        <w:t xml:space="preserve">the </w:t>
      </w:r>
      <w:r w:rsidR="006455B6">
        <w:t xml:space="preserve">UNESCO Convention against Discrimination in Education but reported to UNESCO for the 6th </w:t>
      </w:r>
      <w:r>
        <w:t>c</w:t>
      </w:r>
      <w:r w:rsidR="006455B6">
        <w:t xml:space="preserve">onsultation on the implementation of the Recommendation against Discrimination in Education in 1997. UNESCO is now hoping to receive a comprehensive quality report for the 7th </w:t>
      </w:r>
      <w:r>
        <w:t>c</w:t>
      </w:r>
      <w:r w:rsidR="006455B6">
        <w:t>onsultation.</w:t>
      </w:r>
    </w:p>
    <w:p w:rsidR="006455B6" w:rsidRDefault="00EF2D4D" w:rsidP="006455B6">
      <w:pPr>
        <w:pStyle w:val="SingleTxt"/>
      </w:pPr>
      <w:r>
        <w:tab/>
      </w:r>
      <w:r w:rsidR="006455B6">
        <w:t xml:space="preserve">UNESCO encourages the </w:t>
      </w:r>
      <w:smartTag w:uri="urn:schemas-microsoft-com:office:smarttags" w:element="place">
        <w:smartTag w:uri="urn:schemas-microsoft-com:office:smarttags" w:element="PlaceName">
          <w:r w:rsidR="006455B6">
            <w:t>Syrian</w:t>
          </w:r>
        </w:smartTag>
        <w:r w:rsidR="006455B6">
          <w:t xml:space="preserve"> </w:t>
        </w:r>
        <w:smartTag w:uri="urn:schemas-microsoft-com:office:smarttags" w:element="PlaceName">
          <w:r w:rsidR="006455B6">
            <w:t>Arab</w:t>
          </w:r>
        </w:smartTag>
        <w:r w:rsidR="006455B6">
          <w:t xml:space="preserve"> </w:t>
        </w:r>
        <w:smartTag w:uri="urn:schemas-microsoft-com:office:smarttags" w:element="PlaceType">
          <w:r w:rsidR="006455B6">
            <w:t>Republic</w:t>
          </w:r>
        </w:smartTag>
      </w:smartTag>
      <w:r w:rsidR="006455B6">
        <w:t xml:space="preserve"> to ratify the Convention on Technical and Vocational Education.</w:t>
      </w:r>
    </w:p>
    <w:p w:rsidR="006455B6" w:rsidRDefault="00EF2D4D" w:rsidP="006455B6">
      <w:pPr>
        <w:pStyle w:val="SingleTxt"/>
      </w:pPr>
      <w:r>
        <w:tab/>
      </w:r>
      <w:r w:rsidR="006455B6">
        <w:t xml:space="preserve">According to the Constitution of the </w:t>
      </w:r>
      <w:smartTag w:uri="urn:schemas-microsoft-com:office:smarttags" w:element="place">
        <w:smartTag w:uri="urn:schemas-microsoft-com:office:smarttags" w:element="PlaceName">
          <w:r w:rsidR="006455B6">
            <w:t>Syrian</w:t>
          </w:r>
        </w:smartTag>
        <w:r w:rsidR="006455B6">
          <w:t xml:space="preserve"> </w:t>
        </w:r>
        <w:smartTag w:uri="urn:schemas-microsoft-com:office:smarttags" w:element="PlaceName">
          <w:r w:rsidR="006455B6">
            <w:t>Arab</w:t>
          </w:r>
        </w:smartTag>
        <w:r w:rsidR="006455B6">
          <w:t xml:space="preserve"> </w:t>
        </w:r>
        <w:smartTag w:uri="urn:schemas-microsoft-com:office:smarttags" w:element="PlaceType">
          <w:r w:rsidR="006455B6">
            <w:t>Republic</w:t>
          </w:r>
        </w:smartTag>
      </w:smartTag>
      <w:r>
        <w:t>,</w:t>
      </w:r>
      <w:r w:rsidR="006455B6">
        <w:t xml:space="preserve"> adopted in 1980, education shall be a right guaranteed by the State. It shall be free in all stages and compulsory in the elementary stage. The State shall endeavo</w:t>
      </w:r>
      <w:r>
        <w:t>u</w:t>
      </w:r>
      <w:r w:rsidR="006455B6">
        <w:t xml:space="preserve">r to make other stages compulsory and shall supervise education and direct it in a manner ensuring adapting it to the needs of society and production (Art. 37). </w:t>
      </w:r>
    </w:p>
    <w:p w:rsidR="00EF2D4D" w:rsidRPr="00EF2D4D" w:rsidRDefault="00EF2D4D" w:rsidP="00EF2D4D">
      <w:pPr>
        <w:pStyle w:val="SingleTxt"/>
        <w:spacing w:after="0" w:line="120" w:lineRule="exact"/>
        <w:rPr>
          <w:sz w:val="10"/>
        </w:rPr>
      </w:pPr>
    </w:p>
    <w:p w:rsidR="006455B6" w:rsidRDefault="00EF2D4D" w:rsidP="00EF2D4D">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455B6">
        <w:t>F</w:t>
      </w:r>
      <w:r>
        <w:t>ellowships</w:t>
      </w:r>
    </w:p>
    <w:p w:rsidR="00EF2D4D" w:rsidRPr="00EF2D4D" w:rsidRDefault="00EF2D4D" w:rsidP="00EF2D4D">
      <w:pPr>
        <w:pStyle w:val="SingleTxt"/>
        <w:spacing w:after="0" w:line="120" w:lineRule="exact"/>
        <w:rPr>
          <w:sz w:val="10"/>
        </w:rPr>
      </w:pPr>
    </w:p>
    <w:p w:rsidR="006455B6" w:rsidRDefault="00EF2D4D" w:rsidP="00EF2D4D">
      <w:pPr>
        <w:pStyle w:val="SingleTxt"/>
        <w:tabs>
          <w:tab w:val="right" w:pos="1685"/>
        </w:tabs>
        <w:ind w:left="1742" w:hanging="475"/>
      </w:pPr>
      <w:r>
        <w:tab/>
      </w:r>
      <w:r w:rsidR="006455B6">
        <w:t>•</w:t>
      </w:r>
      <w:r w:rsidR="006455B6">
        <w:tab/>
        <w:t>One Co-Sponsored Fellowship (UNESCO/L</w:t>
      </w:r>
      <w:r>
        <w:t>’</w:t>
      </w:r>
      <w:r w:rsidR="006455B6">
        <w:t xml:space="preserve">Oréal) in the field of </w:t>
      </w:r>
      <w:r>
        <w:t xml:space="preserve">life sciences/biotechnology </w:t>
      </w:r>
      <w:r w:rsidR="006455B6">
        <w:t>for six months at the Molecular Genetics Department of Hannover University, Hannover</w:t>
      </w:r>
      <w:r>
        <w:t xml:space="preserve">, </w:t>
      </w:r>
      <w:r w:rsidR="006455B6">
        <w:t>Germany (</w:t>
      </w:r>
      <w:r>
        <w:t>$</w:t>
      </w:r>
      <w:r w:rsidR="006455B6">
        <w:t>21,015) was awarded to a woman scientist.</w:t>
      </w:r>
    </w:p>
    <w:p w:rsidR="006455B6" w:rsidRDefault="00EF2D4D" w:rsidP="00EF2D4D">
      <w:pPr>
        <w:pStyle w:val="SingleTxt"/>
        <w:tabs>
          <w:tab w:val="right" w:pos="1685"/>
        </w:tabs>
        <w:ind w:left="1742" w:hanging="475"/>
      </w:pPr>
      <w:r>
        <w:tab/>
      </w:r>
      <w:r w:rsidR="006455B6">
        <w:t>•</w:t>
      </w:r>
      <w:r w:rsidR="006455B6">
        <w:tab/>
        <w:t xml:space="preserve">One UNESCO/Suzanne Mubarak/Japan-Egypt Friendship Research Fellowship for the empowerment of women in the field of </w:t>
      </w:r>
      <w:r>
        <w:t xml:space="preserve">women and culture of peace and development </w:t>
      </w:r>
      <w:r w:rsidR="006455B6">
        <w:t xml:space="preserve">for three months in the Bibliotheca Alexandria, </w:t>
      </w:r>
      <w:smartTag w:uri="urn:schemas-microsoft-com:office:smarttags" w:element="place">
        <w:smartTag w:uri="urn:schemas-microsoft-com:office:smarttags" w:element="City">
          <w:r w:rsidR="006455B6">
            <w:t>Alexandria</w:t>
          </w:r>
        </w:smartTag>
        <w:r>
          <w:t xml:space="preserve">, </w:t>
        </w:r>
        <w:smartTag w:uri="urn:schemas-microsoft-com:office:smarttags" w:element="country-region">
          <w:r w:rsidR="006455B6">
            <w:t>Egypt</w:t>
          </w:r>
        </w:smartTag>
      </w:smartTag>
      <w:r w:rsidR="006455B6">
        <w:t xml:space="preserve"> (</w:t>
      </w:r>
      <w:r>
        <w:t>$</w:t>
      </w:r>
      <w:r w:rsidR="006455B6">
        <w:t>7,500) was awarded to a woman researcher.</w:t>
      </w:r>
    </w:p>
    <w:p w:rsidR="00EF2D4D" w:rsidRPr="00EF2D4D" w:rsidRDefault="00EF2D4D" w:rsidP="00EF2D4D">
      <w:pPr>
        <w:pStyle w:val="SingleTxt"/>
        <w:spacing w:after="0" w:line="120" w:lineRule="exact"/>
        <w:rPr>
          <w:sz w:val="10"/>
        </w:rPr>
      </w:pPr>
    </w:p>
    <w:p w:rsidR="006455B6" w:rsidRDefault="00EF2D4D" w:rsidP="00EF2D4D">
      <w:pPr>
        <w:pStyle w:val="H23"/>
        <w:ind w:right="1260"/>
      </w:pPr>
      <w:r>
        <w:tab/>
      </w:r>
      <w:r>
        <w:tab/>
      </w:r>
      <w:smartTag w:uri="urn:schemas-microsoft-com:office:smarttags" w:element="place">
        <w:smartTag w:uri="urn:schemas-microsoft-com:office:smarttags" w:element="country-region">
          <w:r w:rsidR="006455B6">
            <w:t>V</w:t>
          </w:r>
          <w:r>
            <w:t>anuatu</w:t>
          </w:r>
        </w:smartTag>
      </w:smartTag>
    </w:p>
    <w:p w:rsidR="00EF2D4D" w:rsidRPr="00EF2D4D" w:rsidRDefault="00EF2D4D" w:rsidP="00EF2D4D">
      <w:pPr>
        <w:pStyle w:val="SingleTxt"/>
        <w:spacing w:after="0" w:line="120" w:lineRule="exact"/>
        <w:rPr>
          <w:sz w:val="10"/>
        </w:rPr>
      </w:pPr>
    </w:p>
    <w:p w:rsidR="006455B6" w:rsidRDefault="00EF2D4D" w:rsidP="00EF2D4D">
      <w:pPr>
        <w:pStyle w:val="H4"/>
        <w:ind w:right="1260"/>
      </w:pPr>
      <w:r>
        <w:tab/>
      </w:r>
      <w:r>
        <w:tab/>
      </w:r>
      <w:r w:rsidR="006455B6">
        <w:t>E</w:t>
      </w:r>
      <w:r>
        <w:t>ducation</w:t>
      </w:r>
    </w:p>
    <w:p w:rsidR="00EF2D4D" w:rsidRPr="00EF2D4D" w:rsidRDefault="00EF2D4D" w:rsidP="00EF2D4D">
      <w:pPr>
        <w:pStyle w:val="SingleTxt"/>
        <w:spacing w:after="0" w:line="120" w:lineRule="exact"/>
        <w:rPr>
          <w:sz w:val="10"/>
        </w:rPr>
      </w:pPr>
    </w:p>
    <w:p w:rsidR="006455B6" w:rsidRDefault="00EF2D4D" w:rsidP="006455B6">
      <w:pPr>
        <w:pStyle w:val="SingleTxt"/>
      </w:pPr>
      <w:r>
        <w:tab/>
      </w:r>
      <w:smartTag w:uri="urn:schemas-microsoft-com:office:smarttags" w:element="country-region">
        <w:smartTag w:uri="urn:schemas-microsoft-com:office:smarttags" w:element="place">
          <w:r w:rsidR="006455B6">
            <w:t>Vanuatu</w:t>
          </w:r>
        </w:smartTag>
      </w:smartTag>
      <w:r w:rsidR="006455B6">
        <w:t xml:space="preserve"> is not </w:t>
      </w:r>
      <w:r>
        <w:t xml:space="preserve">a </w:t>
      </w:r>
      <w:r w:rsidR="006455B6">
        <w:t xml:space="preserve">party to </w:t>
      </w:r>
      <w:r>
        <w:t xml:space="preserve">the </w:t>
      </w:r>
      <w:r w:rsidR="006455B6">
        <w:t xml:space="preserve">UNESCO Convention against Discrimination in Education and did not report to UNESCO for </w:t>
      </w:r>
      <w:r w:rsidR="00656246">
        <w:t xml:space="preserve">the </w:t>
      </w:r>
      <w:r w:rsidR="006455B6">
        <w:t xml:space="preserve">6th </w:t>
      </w:r>
      <w:r>
        <w:t>c</w:t>
      </w:r>
      <w:r w:rsidR="006455B6">
        <w:t xml:space="preserve">onsultation on the implementation of the Recommendation against Discrimination in Education. UNESCO encourages </w:t>
      </w:r>
      <w:smartTag w:uri="urn:schemas-microsoft-com:office:smarttags" w:element="place">
        <w:smartTag w:uri="urn:schemas-microsoft-com:office:smarttags" w:element="country-region">
          <w:r w:rsidR="006455B6">
            <w:t>Vanuatu</w:t>
          </w:r>
        </w:smartTag>
      </w:smartTag>
      <w:r w:rsidR="006455B6">
        <w:t xml:space="preserve"> to submit a comprehensive quality report for the 7th </w:t>
      </w:r>
      <w:r>
        <w:t>c</w:t>
      </w:r>
      <w:r w:rsidR="006455B6">
        <w:t>onsultation.</w:t>
      </w:r>
    </w:p>
    <w:p w:rsidR="006455B6" w:rsidRDefault="00EF2D4D" w:rsidP="006455B6">
      <w:pPr>
        <w:pStyle w:val="SingleTxt"/>
      </w:pPr>
      <w:r>
        <w:tab/>
      </w:r>
      <w:r w:rsidR="006455B6">
        <w:t xml:space="preserve">UNESCO encourages </w:t>
      </w:r>
      <w:smartTag w:uri="urn:schemas-microsoft-com:office:smarttags" w:element="place">
        <w:smartTag w:uri="urn:schemas-microsoft-com:office:smarttags" w:element="country-region">
          <w:r w:rsidR="006455B6">
            <w:t>Vanuatu</w:t>
          </w:r>
        </w:smartTag>
      </w:smartTag>
      <w:r w:rsidR="006455B6">
        <w:t xml:space="preserve"> to ratify the Convention on Technical and Vocational Education.</w:t>
      </w:r>
    </w:p>
    <w:p w:rsidR="00100915" w:rsidRDefault="00EF2D4D" w:rsidP="006455B6">
      <w:pPr>
        <w:pStyle w:val="SingleTxt"/>
      </w:pPr>
      <w:r>
        <w:tab/>
      </w:r>
      <w:r w:rsidR="006455B6">
        <w:t>Article 7 of the Constitution of July 1980 stipulates that every person has the following fundamental duties to himself and his descendants and to others: in the case of a parent, to support, assist and educate all his children, legitimate and illegitimate, and in particular to give them a true understanding of their fundamental rights and duties and of the national objectives and of the culture and customs of the people of Vanuatu.</w:t>
      </w:r>
    </w:p>
    <w:p w:rsidR="00546F5D" w:rsidRPr="000A4432" w:rsidRDefault="00EF2D4D" w:rsidP="000A4432">
      <w:pPr>
        <w:pStyle w:val="SingleTxt"/>
      </w:pPr>
      <w:r>
        <w:rPr>
          <w:noProof/>
          <w:w w:val="100"/>
          <w:lang w:val="en-US"/>
        </w:rPr>
        <w:pict>
          <v:line id="_x0000_s1027" style="position:absolute;left:0;text-align:left;z-index:2" from="210.2pt,24pt" to="282.2pt,24pt" strokeweight=".25pt"/>
        </w:pict>
      </w:r>
    </w:p>
    <w:sectPr w:rsidR="00546F5D" w:rsidRPr="000A4432" w:rsidSect="00100915">
      <w:headerReference w:type="even" r:id="rId18"/>
      <w:headerReference w:type="default" r:id="rId19"/>
      <w:footerReference w:type="even" r:id="rId20"/>
      <w:footerReference w:type="default" r:id="rId21"/>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3T18:10:00Z" w:initials="Start">
    <w:p w:rsidR="00F506AE" w:rsidRDefault="00F506A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NO&gt;&gt;N0728698E&lt;&lt;ODS JOB NO&gt;&gt;</w:t>
      </w:r>
    </w:p>
    <w:p w:rsidR="00F506AE" w:rsidRDefault="00F506AE">
      <w:pPr>
        <w:pStyle w:val="CommentText"/>
      </w:pPr>
      <w:r>
        <w:t>&lt;&lt;ODS DOC SYMBOL1&gt;&gt;CEDAW/C/2007/II/3/Add.3&lt;&lt;ODS DOC SYMBOL1&gt;&gt;</w:t>
      </w:r>
    </w:p>
    <w:p w:rsidR="00F506AE" w:rsidRDefault="00F506A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43" w:rsidRDefault="00627C43" w:rsidP="002D6C1E">
      <w:r>
        <w:separator/>
      </w:r>
    </w:p>
  </w:endnote>
  <w:endnote w:type="continuationSeparator" w:id="0">
    <w:p w:rsidR="00627C43" w:rsidRDefault="00627C43" w:rsidP="002D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6AE">
      <w:tblPrEx>
        <w:tblCellMar>
          <w:top w:w="0" w:type="dxa"/>
          <w:bottom w:w="0" w:type="dxa"/>
        </w:tblCellMar>
      </w:tblPrEx>
      <w:tc>
        <w:tcPr>
          <w:tcW w:w="5033" w:type="dxa"/>
          <w:shd w:val="clear" w:color="auto" w:fill="auto"/>
        </w:tcPr>
        <w:p w:rsidR="00F506AE" w:rsidRPr="00EC1FA5" w:rsidRDefault="00F506AE" w:rsidP="002D6C1E">
          <w:pPr>
            <w:pStyle w:val="Footer"/>
            <w:jc w:val="right"/>
            <w:rPr>
              <w:b w:val="0"/>
              <w:w w:val="103"/>
              <w:sz w:val="14"/>
            </w:rPr>
          </w:pPr>
          <w:r w:rsidRPr="00EC1FA5">
            <w:rPr>
              <w:b w:val="0"/>
              <w:w w:val="103"/>
              <w:sz w:val="14"/>
            </w:rPr>
            <w:fldChar w:fldCharType="begin"/>
          </w:r>
          <w:r w:rsidRPr="00EC1FA5">
            <w:rPr>
              <w:b w:val="0"/>
              <w:w w:val="103"/>
              <w:sz w:val="14"/>
            </w:rPr>
            <w:instrText xml:space="preserve"> DOCVARIABLE "FooterJN" \* MERGEFORMAT </w:instrText>
          </w:r>
          <w:r w:rsidRPr="00EC1FA5">
            <w:rPr>
              <w:b w:val="0"/>
              <w:w w:val="103"/>
              <w:sz w:val="14"/>
            </w:rPr>
            <w:fldChar w:fldCharType="separate"/>
          </w:r>
          <w:r>
            <w:rPr>
              <w:b w:val="0"/>
              <w:w w:val="103"/>
              <w:sz w:val="14"/>
            </w:rPr>
            <w:t>07-28698</w:t>
          </w:r>
          <w:r w:rsidRPr="00EC1FA5">
            <w:rPr>
              <w:b w:val="0"/>
              <w:w w:val="103"/>
              <w:sz w:val="14"/>
            </w:rPr>
            <w:fldChar w:fldCharType="end"/>
          </w:r>
        </w:p>
      </w:tc>
      <w:tc>
        <w:tcPr>
          <w:tcW w:w="5033" w:type="dxa"/>
          <w:shd w:val="clear" w:color="auto" w:fill="auto"/>
        </w:tcPr>
        <w:p w:rsidR="00F506AE" w:rsidRPr="002D6C1E" w:rsidRDefault="00F506AE" w:rsidP="002D6C1E">
          <w:pPr>
            <w:pStyle w:val="Footer"/>
            <w:rPr>
              <w:w w:val="103"/>
            </w:rPr>
          </w:pPr>
          <w:r>
            <w:rPr>
              <w:w w:val="103"/>
            </w:rPr>
            <w:fldChar w:fldCharType="begin"/>
          </w:r>
          <w:r>
            <w:rPr>
              <w:w w:val="103"/>
            </w:rPr>
            <w:instrText xml:space="preserve"> PAGE  \* MERGEFORMAT </w:instrText>
          </w:r>
          <w:r>
            <w:rPr>
              <w:w w:val="103"/>
            </w:rPr>
            <w:fldChar w:fldCharType="separate"/>
          </w:r>
          <w:r w:rsidR="00442D35">
            <w:rPr>
              <w:w w:val="103"/>
            </w:rPr>
            <w:t>2</w:t>
          </w:r>
          <w:r>
            <w:rPr>
              <w:w w:val="103"/>
            </w:rPr>
            <w:fldChar w:fldCharType="end"/>
          </w:r>
        </w:p>
      </w:tc>
    </w:tr>
  </w:tbl>
  <w:p w:rsidR="00F506AE" w:rsidRPr="002D6C1E" w:rsidRDefault="00F506AE" w:rsidP="002D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6AE">
      <w:tblPrEx>
        <w:tblCellMar>
          <w:top w:w="0" w:type="dxa"/>
          <w:bottom w:w="0" w:type="dxa"/>
        </w:tblCellMar>
      </w:tblPrEx>
      <w:tc>
        <w:tcPr>
          <w:tcW w:w="5033" w:type="dxa"/>
          <w:shd w:val="clear" w:color="auto" w:fill="auto"/>
        </w:tcPr>
        <w:p w:rsidR="00F506AE" w:rsidRPr="002D6C1E" w:rsidRDefault="00F506AE" w:rsidP="002D6C1E">
          <w:pPr>
            <w:pStyle w:val="Footer"/>
            <w:jc w:val="right"/>
            <w:rPr>
              <w:w w:val="103"/>
            </w:rPr>
          </w:pPr>
          <w:r>
            <w:rPr>
              <w:w w:val="103"/>
            </w:rPr>
            <w:fldChar w:fldCharType="begin"/>
          </w:r>
          <w:r>
            <w:rPr>
              <w:w w:val="103"/>
            </w:rPr>
            <w:instrText xml:space="preserve"> PAGE  \* MERGEFORMAT </w:instrText>
          </w:r>
          <w:r>
            <w:rPr>
              <w:w w:val="103"/>
            </w:rPr>
            <w:fldChar w:fldCharType="separate"/>
          </w:r>
          <w:r w:rsidR="00B674A6">
            <w:rPr>
              <w:w w:val="103"/>
            </w:rPr>
            <w:t>3</w:t>
          </w:r>
          <w:r>
            <w:rPr>
              <w:w w:val="103"/>
            </w:rPr>
            <w:fldChar w:fldCharType="end"/>
          </w:r>
        </w:p>
      </w:tc>
      <w:tc>
        <w:tcPr>
          <w:tcW w:w="5033" w:type="dxa"/>
          <w:shd w:val="clear" w:color="auto" w:fill="auto"/>
        </w:tcPr>
        <w:p w:rsidR="00F506AE" w:rsidRPr="00EC1FA5" w:rsidRDefault="00F506AE" w:rsidP="002D6C1E">
          <w:pPr>
            <w:pStyle w:val="Footer"/>
            <w:rPr>
              <w:b w:val="0"/>
              <w:w w:val="103"/>
              <w:sz w:val="14"/>
            </w:rPr>
          </w:pPr>
          <w:r w:rsidRPr="00EC1FA5">
            <w:rPr>
              <w:b w:val="0"/>
              <w:w w:val="103"/>
              <w:sz w:val="14"/>
            </w:rPr>
            <w:fldChar w:fldCharType="begin"/>
          </w:r>
          <w:r w:rsidRPr="00EC1FA5">
            <w:rPr>
              <w:b w:val="0"/>
              <w:w w:val="103"/>
              <w:sz w:val="14"/>
            </w:rPr>
            <w:instrText xml:space="preserve"> DOCVARIABLE "FooterJN" \* MERGEFORMAT </w:instrText>
          </w:r>
          <w:r w:rsidRPr="00EC1FA5">
            <w:rPr>
              <w:b w:val="0"/>
              <w:w w:val="103"/>
              <w:sz w:val="14"/>
            </w:rPr>
            <w:fldChar w:fldCharType="separate"/>
          </w:r>
          <w:r>
            <w:rPr>
              <w:b w:val="0"/>
              <w:w w:val="103"/>
              <w:sz w:val="14"/>
            </w:rPr>
            <w:t>07-28698</w:t>
          </w:r>
          <w:r w:rsidRPr="00EC1FA5">
            <w:rPr>
              <w:b w:val="0"/>
              <w:w w:val="103"/>
              <w:sz w:val="14"/>
            </w:rPr>
            <w:fldChar w:fldCharType="end"/>
          </w:r>
        </w:p>
      </w:tc>
    </w:tr>
  </w:tbl>
  <w:p w:rsidR="00F506AE" w:rsidRPr="002D6C1E" w:rsidRDefault="00F506AE" w:rsidP="002D6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AE" w:rsidRDefault="00F506AE">
    <w:pPr>
      <w:pStyle w:val="Footer"/>
    </w:pPr>
  </w:p>
  <w:p w:rsidR="00F506AE" w:rsidRDefault="00F506AE" w:rsidP="002D6C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07-28698 (E)</w:t>
    </w:r>
    <w:r>
      <w:rPr>
        <w:b w:val="0"/>
        <w:sz w:val="20"/>
      </w:rPr>
      <w:fldChar w:fldCharType="end"/>
    </w:r>
    <w:r>
      <w:rPr>
        <w:b w:val="0"/>
        <w:sz w:val="20"/>
      </w:rPr>
      <w:t xml:space="preserve">    180407    </w:t>
    </w:r>
  </w:p>
  <w:p w:rsidR="00F506AE" w:rsidRPr="002D6C1E" w:rsidRDefault="00F506AE" w:rsidP="002D6C1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*0728698*</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506AE" w:rsidRPr="00100915">
      <w:trPr>
        <w:cantSplit/>
        <w:trHeight w:val="4925"/>
      </w:trPr>
      <w:tc>
        <w:tcPr>
          <w:tcW w:w="12413" w:type="dxa"/>
          <w:shd w:val="clear" w:color="auto" w:fill="auto"/>
          <w:textDirection w:val="tbRl"/>
        </w:tcPr>
        <w:p w:rsidR="00F506AE" w:rsidRPr="00100915" w:rsidRDefault="00F506AE" w:rsidP="00100915">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B674A6">
            <w:rPr>
              <w:w w:val="103"/>
            </w:rPr>
            <w:t>10</w:t>
          </w:r>
          <w:r>
            <w:rPr>
              <w:w w:val="103"/>
            </w:rPr>
            <w:fldChar w:fldCharType="end"/>
          </w:r>
        </w:p>
      </w:tc>
    </w:tr>
    <w:tr w:rsidR="00F506AE" w:rsidRPr="00100915">
      <w:trPr>
        <w:cantSplit/>
        <w:trHeight w:val="4925"/>
      </w:trPr>
      <w:tc>
        <w:tcPr>
          <w:tcW w:w="12413" w:type="dxa"/>
          <w:shd w:val="clear" w:color="auto" w:fill="auto"/>
          <w:textDirection w:val="tbRl"/>
        </w:tcPr>
        <w:p w:rsidR="00F506AE" w:rsidRPr="00100915" w:rsidRDefault="00F506AE" w:rsidP="0010091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07-28698</w:t>
          </w:r>
          <w:r>
            <w:rPr>
              <w:b w:val="0"/>
              <w:w w:val="103"/>
              <w:sz w:val="14"/>
            </w:rPr>
            <w:fldChar w:fldCharType="end"/>
          </w:r>
        </w:p>
      </w:tc>
    </w:tr>
  </w:tbl>
  <w:p w:rsidR="00F506AE" w:rsidRPr="00100915" w:rsidRDefault="00F506AE" w:rsidP="001009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506AE" w:rsidRPr="00100915">
      <w:trPr>
        <w:cantSplit/>
        <w:trHeight w:val="4925"/>
      </w:trPr>
      <w:tc>
        <w:tcPr>
          <w:tcW w:w="12413" w:type="dxa"/>
          <w:shd w:val="clear" w:color="auto" w:fill="auto"/>
          <w:textDirection w:val="tbRl"/>
        </w:tcPr>
        <w:p w:rsidR="00F506AE" w:rsidRPr="00100915" w:rsidRDefault="00F506AE" w:rsidP="0010091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07-28698</w:t>
          </w:r>
          <w:r>
            <w:rPr>
              <w:b w:val="0"/>
              <w:w w:val="103"/>
              <w:sz w:val="14"/>
            </w:rPr>
            <w:fldChar w:fldCharType="end"/>
          </w:r>
        </w:p>
      </w:tc>
    </w:tr>
    <w:tr w:rsidR="00F506AE" w:rsidRPr="00100915">
      <w:trPr>
        <w:cantSplit/>
        <w:trHeight w:val="4925"/>
      </w:trPr>
      <w:tc>
        <w:tcPr>
          <w:tcW w:w="12413" w:type="dxa"/>
          <w:shd w:val="clear" w:color="auto" w:fill="auto"/>
          <w:textDirection w:val="tbRl"/>
        </w:tcPr>
        <w:p w:rsidR="00F506AE" w:rsidRPr="00100915" w:rsidRDefault="00F506AE" w:rsidP="00100915">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B674A6">
            <w:rPr>
              <w:w w:val="103"/>
            </w:rPr>
            <w:t>9</w:t>
          </w:r>
          <w:r>
            <w:rPr>
              <w:w w:val="103"/>
            </w:rPr>
            <w:fldChar w:fldCharType="end"/>
          </w:r>
        </w:p>
      </w:tc>
    </w:tr>
  </w:tbl>
  <w:p w:rsidR="00F506AE" w:rsidRPr="00100915" w:rsidRDefault="00F506AE" w:rsidP="001009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6AE">
      <w:tblPrEx>
        <w:tblCellMar>
          <w:top w:w="0" w:type="dxa"/>
          <w:bottom w:w="0" w:type="dxa"/>
        </w:tblCellMar>
      </w:tblPrEx>
      <w:tc>
        <w:tcPr>
          <w:tcW w:w="5033" w:type="dxa"/>
          <w:shd w:val="clear" w:color="auto" w:fill="auto"/>
        </w:tcPr>
        <w:p w:rsidR="00F506AE" w:rsidRPr="0014103C" w:rsidRDefault="00F506AE" w:rsidP="002D6C1E">
          <w:pPr>
            <w:pStyle w:val="Footer"/>
            <w:jc w:val="right"/>
            <w:rPr>
              <w:b w:val="0"/>
              <w:w w:val="103"/>
              <w:sz w:val="14"/>
            </w:rPr>
          </w:pPr>
          <w:r w:rsidRPr="0014103C">
            <w:rPr>
              <w:b w:val="0"/>
              <w:w w:val="103"/>
              <w:sz w:val="14"/>
            </w:rPr>
            <w:fldChar w:fldCharType="begin"/>
          </w:r>
          <w:r w:rsidRPr="0014103C">
            <w:rPr>
              <w:b w:val="0"/>
              <w:w w:val="103"/>
              <w:sz w:val="14"/>
            </w:rPr>
            <w:instrText xml:space="preserve"> DOCVARIABLE "FooterJN" \* MERGEFORMAT </w:instrText>
          </w:r>
          <w:r w:rsidRPr="0014103C">
            <w:rPr>
              <w:b w:val="0"/>
              <w:w w:val="103"/>
              <w:sz w:val="14"/>
            </w:rPr>
            <w:fldChar w:fldCharType="separate"/>
          </w:r>
          <w:r>
            <w:rPr>
              <w:b w:val="0"/>
              <w:w w:val="103"/>
              <w:sz w:val="14"/>
            </w:rPr>
            <w:t>07-28698</w:t>
          </w:r>
          <w:r w:rsidRPr="0014103C">
            <w:rPr>
              <w:b w:val="0"/>
              <w:w w:val="103"/>
              <w:sz w:val="14"/>
            </w:rPr>
            <w:fldChar w:fldCharType="end"/>
          </w:r>
        </w:p>
      </w:tc>
      <w:tc>
        <w:tcPr>
          <w:tcW w:w="5033" w:type="dxa"/>
          <w:shd w:val="clear" w:color="auto" w:fill="auto"/>
        </w:tcPr>
        <w:p w:rsidR="00F506AE" w:rsidRPr="002D6C1E" w:rsidRDefault="00F506AE" w:rsidP="002D6C1E">
          <w:pPr>
            <w:pStyle w:val="Footer"/>
            <w:rPr>
              <w:w w:val="103"/>
            </w:rPr>
          </w:pPr>
          <w:r>
            <w:rPr>
              <w:w w:val="103"/>
            </w:rPr>
            <w:fldChar w:fldCharType="begin"/>
          </w:r>
          <w:r>
            <w:rPr>
              <w:w w:val="103"/>
            </w:rPr>
            <w:instrText xml:space="preserve"> PAGE  \* MERGEFORMAT </w:instrText>
          </w:r>
          <w:r>
            <w:rPr>
              <w:w w:val="103"/>
            </w:rPr>
            <w:fldChar w:fldCharType="separate"/>
          </w:r>
          <w:r w:rsidR="00B674A6">
            <w:rPr>
              <w:w w:val="103"/>
            </w:rPr>
            <w:t>12</w:t>
          </w:r>
          <w:r>
            <w:rPr>
              <w:w w:val="103"/>
            </w:rPr>
            <w:fldChar w:fldCharType="end"/>
          </w:r>
        </w:p>
      </w:tc>
    </w:tr>
  </w:tbl>
  <w:p w:rsidR="00F506AE" w:rsidRPr="002D6C1E" w:rsidRDefault="00F506AE" w:rsidP="002D6C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06AE">
      <w:tblPrEx>
        <w:tblCellMar>
          <w:top w:w="0" w:type="dxa"/>
          <w:bottom w:w="0" w:type="dxa"/>
        </w:tblCellMar>
      </w:tblPrEx>
      <w:tc>
        <w:tcPr>
          <w:tcW w:w="5033" w:type="dxa"/>
          <w:shd w:val="clear" w:color="auto" w:fill="auto"/>
        </w:tcPr>
        <w:p w:rsidR="00F506AE" w:rsidRPr="002D6C1E" w:rsidRDefault="00F506AE" w:rsidP="002D6C1E">
          <w:pPr>
            <w:pStyle w:val="Footer"/>
            <w:jc w:val="right"/>
            <w:rPr>
              <w:w w:val="103"/>
            </w:rPr>
          </w:pPr>
          <w:r>
            <w:rPr>
              <w:w w:val="103"/>
            </w:rPr>
            <w:fldChar w:fldCharType="begin"/>
          </w:r>
          <w:r>
            <w:rPr>
              <w:w w:val="103"/>
            </w:rPr>
            <w:instrText xml:space="preserve"> PAGE  \* MERGEFORMAT </w:instrText>
          </w:r>
          <w:r>
            <w:rPr>
              <w:w w:val="103"/>
            </w:rPr>
            <w:fldChar w:fldCharType="separate"/>
          </w:r>
          <w:r w:rsidR="00B674A6">
            <w:rPr>
              <w:w w:val="103"/>
            </w:rPr>
            <w:t>11</w:t>
          </w:r>
          <w:r>
            <w:rPr>
              <w:w w:val="103"/>
            </w:rPr>
            <w:fldChar w:fldCharType="end"/>
          </w:r>
        </w:p>
      </w:tc>
      <w:tc>
        <w:tcPr>
          <w:tcW w:w="5033" w:type="dxa"/>
          <w:shd w:val="clear" w:color="auto" w:fill="auto"/>
        </w:tcPr>
        <w:p w:rsidR="00F506AE" w:rsidRPr="0014103C" w:rsidRDefault="00F506AE" w:rsidP="002D6C1E">
          <w:pPr>
            <w:pStyle w:val="Footer"/>
            <w:rPr>
              <w:b w:val="0"/>
              <w:w w:val="103"/>
              <w:sz w:val="14"/>
            </w:rPr>
          </w:pPr>
          <w:r w:rsidRPr="0014103C">
            <w:rPr>
              <w:b w:val="0"/>
              <w:w w:val="103"/>
              <w:sz w:val="14"/>
            </w:rPr>
            <w:fldChar w:fldCharType="begin"/>
          </w:r>
          <w:r w:rsidRPr="0014103C">
            <w:rPr>
              <w:b w:val="0"/>
              <w:w w:val="103"/>
              <w:sz w:val="14"/>
            </w:rPr>
            <w:instrText xml:space="preserve"> DOCVARIABLE "FooterJN" \* MERGEFORMAT </w:instrText>
          </w:r>
          <w:r w:rsidRPr="0014103C">
            <w:rPr>
              <w:b w:val="0"/>
              <w:w w:val="103"/>
              <w:sz w:val="14"/>
            </w:rPr>
            <w:fldChar w:fldCharType="separate"/>
          </w:r>
          <w:r>
            <w:rPr>
              <w:b w:val="0"/>
              <w:w w:val="103"/>
              <w:sz w:val="14"/>
            </w:rPr>
            <w:t>07-28698</w:t>
          </w:r>
          <w:r w:rsidRPr="0014103C">
            <w:rPr>
              <w:b w:val="0"/>
              <w:w w:val="103"/>
              <w:sz w:val="14"/>
            </w:rPr>
            <w:fldChar w:fldCharType="end"/>
          </w:r>
        </w:p>
      </w:tc>
    </w:tr>
  </w:tbl>
  <w:p w:rsidR="00F506AE" w:rsidRPr="002D6C1E" w:rsidRDefault="00F506AE" w:rsidP="002D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43" w:rsidRDefault="00627C43" w:rsidP="002D6C1E">
      <w:r>
        <w:separator/>
      </w:r>
    </w:p>
  </w:footnote>
  <w:footnote w:type="continuationSeparator" w:id="0">
    <w:p w:rsidR="00627C43" w:rsidRDefault="00627C43" w:rsidP="002D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06AE">
      <w:tblPrEx>
        <w:tblCellMar>
          <w:top w:w="0" w:type="dxa"/>
          <w:bottom w:w="0" w:type="dxa"/>
        </w:tblCellMar>
      </w:tblPrEx>
      <w:trPr>
        <w:trHeight w:hRule="exact" w:val="864"/>
      </w:trPr>
      <w:tc>
        <w:tcPr>
          <w:tcW w:w="4838" w:type="dxa"/>
          <w:shd w:val="clear" w:color="auto" w:fill="auto"/>
          <w:vAlign w:val="bottom"/>
        </w:tcPr>
        <w:p w:rsidR="00F506AE" w:rsidRPr="002D6C1E" w:rsidRDefault="00F506AE" w:rsidP="002D6C1E">
          <w:pPr>
            <w:pStyle w:val="Header"/>
            <w:spacing w:after="80"/>
            <w:rPr>
              <w:b/>
            </w:rPr>
          </w:pPr>
          <w:r>
            <w:rPr>
              <w:b/>
            </w:rPr>
            <w:fldChar w:fldCharType="begin"/>
          </w:r>
          <w:r>
            <w:rPr>
              <w:b/>
            </w:rPr>
            <w:instrText xml:space="preserve"> DOCVARIABLE "sss1" \* MERGEFORMAT </w:instrText>
          </w:r>
          <w:r>
            <w:rPr>
              <w:b/>
            </w:rPr>
            <w:fldChar w:fldCharType="separate"/>
          </w:r>
          <w:r>
            <w:rPr>
              <w:b/>
            </w:rPr>
            <w:t>CEDAW/C/2007/II/3/Add.3</w:t>
          </w:r>
          <w:r>
            <w:rPr>
              <w:b/>
            </w:rPr>
            <w:fldChar w:fldCharType="end"/>
          </w:r>
        </w:p>
      </w:tc>
      <w:tc>
        <w:tcPr>
          <w:tcW w:w="5033" w:type="dxa"/>
          <w:shd w:val="clear" w:color="auto" w:fill="auto"/>
          <w:vAlign w:val="bottom"/>
        </w:tcPr>
        <w:p w:rsidR="00F506AE" w:rsidRDefault="00F506AE" w:rsidP="002D6C1E">
          <w:pPr>
            <w:pStyle w:val="Header"/>
          </w:pPr>
        </w:p>
      </w:tc>
    </w:tr>
  </w:tbl>
  <w:p w:rsidR="00F506AE" w:rsidRPr="002D6C1E" w:rsidRDefault="00F506AE" w:rsidP="002D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06AE">
      <w:tblPrEx>
        <w:tblCellMar>
          <w:top w:w="0" w:type="dxa"/>
          <w:bottom w:w="0" w:type="dxa"/>
        </w:tblCellMar>
      </w:tblPrEx>
      <w:trPr>
        <w:trHeight w:hRule="exact" w:val="864"/>
      </w:trPr>
      <w:tc>
        <w:tcPr>
          <w:tcW w:w="4838" w:type="dxa"/>
          <w:shd w:val="clear" w:color="auto" w:fill="auto"/>
          <w:vAlign w:val="bottom"/>
        </w:tcPr>
        <w:p w:rsidR="00F506AE" w:rsidRPr="002D6C1E" w:rsidRDefault="00F506AE" w:rsidP="002D6C1E">
          <w:pPr>
            <w:pStyle w:val="Header"/>
            <w:spacing w:after="80"/>
          </w:pPr>
        </w:p>
      </w:tc>
      <w:tc>
        <w:tcPr>
          <w:tcW w:w="5033" w:type="dxa"/>
          <w:shd w:val="clear" w:color="auto" w:fill="auto"/>
          <w:vAlign w:val="bottom"/>
        </w:tcPr>
        <w:p w:rsidR="00F506AE" w:rsidRPr="00EC1FA5" w:rsidRDefault="00F506AE" w:rsidP="00EC1FA5">
          <w:pPr>
            <w:pStyle w:val="Header"/>
            <w:spacing w:after="80"/>
            <w:jc w:val="right"/>
            <w:rPr>
              <w:b/>
            </w:rPr>
          </w:pPr>
          <w:r w:rsidRPr="00EC1FA5">
            <w:rPr>
              <w:b/>
            </w:rPr>
            <w:fldChar w:fldCharType="begin"/>
          </w:r>
          <w:r w:rsidRPr="00EC1FA5">
            <w:rPr>
              <w:b/>
            </w:rPr>
            <w:instrText xml:space="preserve"> DOCVARIABLE "sss1" \* MERGEFORMAT </w:instrText>
          </w:r>
          <w:r w:rsidRPr="00EC1FA5">
            <w:rPr>
              <w:b/>
            </w:rPr>
            <w:fldChar w:fldCharType="separate"/>
          </w:r>
          <w:r>
            <w:rPr>
              <w:b/>
            </w:rPr>
            <w:t>CEDAW/C/2007/II/3/Add.3</w:t>
          </w:r>
          <w:r w:rsidRPr="00EC1FA5">
            <w:rPr>
              <w:b/>
            </w:rPr>
            <w:fldChar w:fldCharType="end"/>
          </w:r>
        </w:p>
      </w:tc>
    </w:tr>
  </w:tbl>
  <w:p w:rsidR="00F506AE" w:rsidRPr="002D6C1E" w:rsidRDefault="00F506AE" w:rsidP="002D6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506A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506AE" w:rsidRDefault="00F506AE" w:rsidP="002D6C1E">
          <w:pPr>
            <w:pStyle w:val="Header"/>
            <w:spacing w:after="120"/>
          </w:pPr>
        </w:p>
      </w:tc>
      <w:tc>
        <w:tcPr>
          <w:tcW w:w="1872" w:type="dxa"/>
          <w:tcBorders>
            <w:bottom w:val="single" w:sz="4" w:space="0" w:color="auto"/>
          </w:tcBorders>
          <w:shd w:val="clear" w:color="auto" w:fill="auto"/>
          <w:vAlign w:val="bottom"/>
        </w:tcPr>
        <w:p w:rsidR="00F506AE" w:rsidRPr="002D6C1E" w:rsidRDefault="00F506AE" w:rsidP="002D6C1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506AE" w:rsidRDefault="00F506AE" w:rsidP="002D6C1E">
          <w:pPr>
            <w:pStyle w:val="Header"/>
            <w:spacing w:after="120"/>
          </w:pPr>
        </w:p>
      </w:tc>
      <w:tc>
        <w:tcPr>
          <w:tcW w:w="6523" w:type="dxa"/>
          <w:gridSpan w:val="4"/>
          <w:tcBorders>
            <w:bottom w:val="single" w:sz="4" w:space="0" w:color="auto"/>
          </w:tcBorders>
          <w:shd w:val="clear" w:color="auto" w:fill="auto"/>
          <w:vAlign w:val="bottom"/>
        </w:tcPr>
        <w:p w:rsidR="00F506AE" w:rsidRPr="002D6C1E" w:rsidRDefault="00F506AE" w:rsidP="002D6C1E">
          <w:pPr>
            <w:spacing w:after="80" w:line="240" w:lineRule="auto"/>
            <w:jc w:val="right"/>
            <w:rPr>
              <w:position w:val="-4"/>
            </w:rPr>
          </w:pPr>
          <w:r>
            <w:rPr>
              <w:position w:val="-4"/>
              <w:sz w:val="40"/>
            </w:rPr>
            <w:t>CEDAW</w:t>
          </w:r>
          <w:r>
            <w:rPr>
              <w:position w:val="-4"/>
            </w:rPr>
            <w:t>/C/2007/II/3/Add.3</w:t>
          </w:r>
        </w:p>
      </w:tc>
    </w:tr>
    <w:tr w:rsidR="00F506AE" w:rsidRPr="002D6C1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506AE" w:rsidRDefault="00F506AE" w:rsidP="002D6C1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506AE" w:rsidRPr="002D6C1E" w:rsidRDefault="00F506AE" w:rsidP="002D6C1E">
          <w:pPr>
            <w:pStyle w:val="Header"/>
            <w:spacing w:before="109"/>
          </w:pPr>
        </w:p>
      </w:tc>
      <w:tc>
        <w:tcPr>
          <w:tcW w:w="5227" w:type="dxa"/>
          <w:gridSpan w:val="3"/>
          <w:tcBorders>
            <w:top w:val="single" w:sz="4" w:space="0" w:color="auto"/>
            <w:bottom w:val="single" w:sz="12" w:space="0" w:color="auto"/>
          </w:tcBorders>
          <w:shd w:val="clear" w:color="auto" w:fill="auto"/>
        </w:tcPr>
        <w:p w:rsidR="00F506AE" w:rsidRPr="002D6C1E" w:rsidRDefault="00F506AE" w:rsidP="002D6C1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506AE" w:rsidRPr="002D6C1E" w:rsidRDefault="00F506AE" w:rsidP="002D6C1E">
          <w:pPr>
            <w:pStyle w:val="Header"/>
            <w:spacing w:before="109"/>
          </w:pPr>
        </w:p>
      </w:tc>
      <w:tc>
        <w:tcPr>
          <w:tcW w:w="3140" w:type="dxa"/>
          <w:tcBorders>
            <w:top w:val="single" w:sz="4" w:space="0" w:color="auto"/>
            <w:bottom w:val="single" w:sz="12" w:space="0" w:color="auto"/>
          </w:tcBorders>
          <w:shd w:val="clear" w:color="auto" w:fill="auto"/>
        </w:tcPr>
        <w:p w:rsidR="00F506AE" w:rsidRDefault="00F506AE" w:rsidP="002D6C1E">
          <w:pPr>
            <w:spacing w:before="240"/>
          </w:pPr>
          <w:r>
            <w:t>Distr.: General</w:t>
          </w:r>
        </w:p>
        <w:p w:rsidR="00F506AE" w:rsidRDefault="00F506AE" w:rsidP="002D6C1E">
          <w:r>
            <w:t>28 March 2007</w:t>
          </w:r>
        </w:p>
        <w:p w:rsidR="00F506AE" w:rsidRDefault="00F506AE" w:rsidP="002D6C1E"/>
        <w:p w:rsidR="00F506AE" w:rsidRPr="002D6C1E" w:rsidRDefault="00F506AE" w:rsidP="002D6C1E">
          <w:r>
            <w:t>Original: English</w:t>
          </w:r>
        </w:p>
      </w:tc>
    </w:tr>
  </w:tbl>
  <w:p w:rsidR="00F506AE" w:rsidRPr="002D6C1E" w:rsidRDefault="00F506AE" w:rsidP="002D6C1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506AE" w:rsidRPr="00100915">
      <w:trPr>
        <w:cantSplit/>
        <w:trHeight w:val="4925"/>
      </w:trPr>
      <w:tc>
        <w:tcPr>
          <w:tcW w:w="12413" w:type="dxa"/>
          <w:shd w:val="clear" w:color="auto" w:fill="auto"/>
          <w:textDirection w:val="tbRl"/>
          <w:vAlign w:val="bottom"/>
        </w:tcPr>
        <w:p w:rsidR="00F506AE" w:rsidRPr="00100915" w:rsidRDefault="00F506AE" w:rsidP="00100915">
          <w:pPr>
            <w:pStyle w:val="Header"/>
            <w:spacing w:line="240" w:lineRule="auto"/>
            <w:ind w:left="14" w:right="14"/>
            <w:rPr>
              <w:b/>
              <w:w w:val="103"/>
            </w:rPr>
          </w:pPr>
          <w:r w:rsidRPr="00100915">
            <w:rPr>
              <w:b/>
              <w:w w:val="103"/>
            </w:rPr>
            <w:fldChar w:fldCharType="begin"/>
          </w:r>
          <w:r w:rsidRPr="00100915">
            <w:rPr>
              <w:b/>
              <w:w w:val="103"/>
            </w:rPr>
            <w:instrText xml:space="preserve"> DOCVARIABLE "sss1" \* MERGEFORMAT </w:instrText>
          </w:r>
          <w:r w:rsidRPr="00100915">
            <w:rPr>
              <w:b/>
              <w:w w:val="103"/>
            </w:rPr>
            <w:fldChar w:fldCharType="separate"/>
          </w:r>
          <w:r>
            <w:rPr>
              <w:b/>
              <w:w w:val="103"/>
            </w:rPr>
            <w:t>CEDAW/C/2007/II/3/Add.3</w:t>
          </w:r>
          <w:r w:rsidRPr="00100915">
            <w:rPr>
              <w:b/>
              <w:w w:val="103"/>
            </w:rPr>
            <w:fldChar w:fldCharType="end"/>
          </w:r>
        </w:p>
      </w:tc>
    </w:tr>
    <w:tr w:rsidR="00F506AE" w:rsidRPr="00100915">
      <w:trPr>
        <w:cantSplit/>
        <w:trHeight w:val="4925"/>
      </w:trPr>
      <w:tc>
        <w:tcPr>
          <w:tcW w:w="12413" w:type="dxa"/>
          <w:shd w:val="clear" w:color="auto" w:fill="auto"/>
          <w:textDirection w:val="tbRl"/>
          <w:vAlign w:val="bottom"/>
        </w:tcPr>
        <w:p w:rsidR="00F506AE" w:rsidRPr="00100915" w:rsidRDefault="00F506AE" w:rsidP="00100915">
          <w:pPr>
            <w:pStyle w:val="Header"/>
            <w:spacing w:line="240" w:lineRule="auto"/>
            <w:ind w:left="14" w:right="14"/>
            <w:rPr>
              <w:b/>
              <w:w w:val="103"/>
            </w:rPr>
          </w:pPr>
        </w:p>
      </w:tc>
    </w:tr>
  </w:tbl>
  <w:p w:rsidR="00F506AE" w:rsidRPr="00100915" w:rsidRDefault="00F506AE" w:rsidP="001009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506AE" w:rsidRPr="00100915">
      <w:trPr>
        <w:trHeight w:val="4925"/>
      </w:trPr>
      <w:tc>
        <w:tcPr>
          <w:tcW w:w="12413" w:type="dxa"/>
          <w:shd w:val="clear" w:color="auto" w:fill="auto"/>
          <w:vAlign w:val="bottom"/>
        </w:tcPr>
        <w:p w:rsidR="00F506AE" w:rsidRPr="00100915" w:rsidRDefault="00F506AE" w:rsidP="00100915">
          <w:pPr>
            <w:pStyle w:val="Header"/>
            <w:spacing w:line="240" w:lineRule="auto"/>
            <w:ind w:left="14" w:right="14"/>
            <w:jc w:val="right"/>
            <w:rPr>
              <w:b/>
              <w:bCs/>
              <w:w w:val="103"/>
              <w:szCs w:val="26"/>
            </w:rPr>
          </w:pPr>
        </w:p>
      </w:tc>
    </w:tr>
    <w:tr w:rsidR="00F506AE" w:rsidRPr="00100915">
      <w:trPr>
        <w:cantSplit/>
        <w:trHeight w:val="4925"/>
      </w:trPr>
      <w:tc>
        <w:tcPr>
          <w:tcW w:w="12413" w:type="dxa"/>
          <w:shd w:val="clear" w:color="auto" w:fill="auto"/>
          <w:textDirection w:val="tbRl"/>
          <w:vAlign w:val="bottom"/>
        </w:tcPr>
        <w:p w:rsidR="00F506AE" w:rsidRPr="00100915" w:rsidRDefault="00F506AE" w:rsidP="00100915">
          <w:pPr>
            <w:pStyle w:val="Header"/>
            <w:spacing w:line="240" w:lineRule="auto"/>
            <w:ind w:left="14" w:right="14"/>
            <w:jc w:val="right"/>
            <w:rPr>
              <w:b/>
              <w:bCs/>
              <w:w w:val="103"/>
              <w:szCs w:val="26"/>
            </w:rPr>
          </w:pPr>
          <w:r w:rsidRPr="00100915">
            <w:rPr>
              <w:b/>
              <w:bCs/>
              <w:w w:val="103"/>
              <w:szCs w:val="26"/>
            </w:rPr>
            <w:fldChar w:fldCharType="begin"/>
          </w:r>
          <w:r w:rsidRPr="00100915">
            <w:rPr>
              <w:b/>
              <w:bCs/>
              <w:w w:val="103"/>
              <w:szCs w:val="26"/>
            </w:rPr>
            <w:instrText xml:space="preserve"> DOCVARIABLE "sss1" \* MERGEFORMAT </w:instrText>
          </w:r>
          <w:r w:rsidRPr="00100915">
            <w:rPr>
              <w:b/>
              <w:bCs/>
              <w:w w:val="103"/>
              <w:szCs w:val="26"/>
            </w:rPr>
            <w:fldChar w:fldCharType="separate"/>
          </w:r>
          <w:r>
            <w:rPr>
              <w:b/>
              <w:bCs/>
              <w:w w:val="103"/>
              <w:szCs w:val="26"/>
            </w:rPr>
            <w:t>CEDAW/C/2007/II/3/Add.3</w:t>
          </w:r>
          <w:r w:rsidRPr="00100915">
            <w:rPr>
              <w:b/>
              <w:bCs/>
              <w:w w:val="103"/>
              <w:szCs w:val="26"/>
            </w:rPr>
            <w:fldChar w:fldCharType="end"/>
          </w:r>
        </w:p>
      </w:tc>
    </w:tr>
  </w:tbl>
  <w:p w:rsidR="00F506AE" w:rsidRPr="00100915" w:rsidRDefault="00F506AE" w:rsidP="001009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06AE">
      <w:tblPrEx>
        <w:tblCellMar>
          <w:top w:w="0" w:type="dxa"/>
          <w:bottom w:w="0" w:type="dxa"/>
        </w:tblCellMar>
      </w:tblPrEx>
      <w:trPr>
        <w:trHeight w:hRule="exact" w:val="864"/>
      </w:trPr>
      <w:tc>
        <w:tcPr>
          <w:tcW w:w="4838" w:type="dxa"/>
          <w:shd w:val="clear" w:color="auto" w:fill="auto"/>
          <w:vAlign w:val="bottom"/>
        </w:tcPr>
        <w:p w:rsidR="00F506AE" w:rsidRPr="002D6C1E" w:rsidRDefault="00F506AE" w:rsidP="002D6C1E">
          <w:pPr>
            <w:pStyle w:val="Header"/>
            <w:spacing w:after="80"/>
            <w:rPr>
              <w:b/>
            </w:rPr>
          </w:pPr>
          <w:r>
            <w:rPr>
              <w:b/>
            </w:rPr>
            <w:fldChar w:fldCharType="begin"/>
          </w:r>
          <w:r>
            <w:rPr>
              <w:b/>
            </w:rPr>
            <w:instrText xml:space="preserve"> DOCVARIABLE "sss1" \* MERGEFORMAT </w:instrText>
          </w:r>
          <w:r>
            <w:rPr>
              <w:b/>
            </w:rPr>
            <w:fldChar w:fldCharType="separate"/>
          </w:r>
          <w:r>
            <w:rPr>
              <w:b/>
            </w:rPr>
            <w:t>CEDAW/C/2007/II/3/Add.3</w:t>
          </w:r>
          <w:r>
            <w:rPr>
              <w:b/>
            </w:rPr>
            <w:fldChar w:fldCharType="end"/>
          </w:r>
        </w:p>
      </w:tc>
      <w:tc>
        <w:tcPr>
          <w:tcW w:w="5033" w:type="dxa"/>
          <w:shd w:val="clear" w:color="auto" w:fill="auto"/>
          <w:vAlign w:val="bottom"/>
        </w:tcPr>
        <w:p w:rsidR="00F506AE" w:rsidRDefault="00F506AE" w:rsidP="002D6C1E">
          <w:pPr>
            <w:pStyle w:val="Header"/>
          </w:pPr>
        </w:p>
      </w:tc>
    </w:tr>
  </w:tbl>
  <w:p w:rsidR="00F506AE" w:rsidRPr="002D6C1E" w:rsidRDefault="00F506AE" w:rsidP="002D6C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06AE">
      <w:tblPrEx>
        <w:tblCellMar>
          <w:top w:w="0" w:type="dxa"/>
          <w:bottom w:w="0" w:type="dxa"/>
        </w:tblCellMar>
      </w:tblPrEx>
      <w:trPr>
        <w:trHeight w:hRule="exact" w:val="864"/>
      </w:trPr>
      <w:tc>
        <w:tcPr>
          <w:tcW w:w="4838" w:type="dxa"/>
          <w:shd w:val="clear" w:color="auto" w:fill="auto"/>
          <w:vAlign w:val="bottom"/>
        </w:tcPr>
        <w:p w:rsidR="00F506AE" w:rsidRPr="002D6C1E" w:rsidRDefault="00F506AE" w:rsidP="002D6C1E">
          <w:pPr>
            <w:pStyle w:val="Header"/>
            <w:spacing w:after="80"/>
          </w:pPr>
        </w:p>
      </w:tc>
      <w:tc>
        <w:tcPr>
          <w:tcW w:w="5033" w:type="dxa"/>
          <w:shd w:val="clear" w:color="auto" w:fill="auto"/>
          <w:vAlign w:val="bottom"/>
        </w:tcPr>
        <w:p w:rsidR="00F506AE" w:rsidRPr="000325CC" w:rsidRDefault="00F506AE" w:rsidP="000325CC">
          <w:pPr>
            <w:pStyle w:val="Header"/>
            <w:spacing w:after="80"/>
            <w:jc w:val="right"/>
            <w:rPr>
              <w:b/>
            </w:rPr>
          </w:pPr>
          <w:r w:rsidRPr="000325CC">
            <w:rPr>
              <w:b/>
            </w:rPr>
            <w:fldChar w:fldCharType="begin"/>
          </w:r>
          <w:r w:rsidRPr="000325CC">
            <w:rPr>
              <w:b/>
            </w:rPr>
            <w:instrText xml:space="preserve"> DOCVARIABLE "sss1" \* MERGEFORMAT </w:instrText>
          </w:r>
          <w:r w:rsidRPr="000325CC">
            <w:rPr>
              <w:b/>
            </w:rPr>
            <w:fldChar w:fldCharType="separate"/>
          </w:r>
          <w:r>
            <w:rPr>
              <w:b/>
            </w:rPr>
            <w:t>CEDAW/C/2007/II/3/Add.3</w:t>
          </w:r>
          <w:r w:rsidRPr="000325CC">
            <w:rPr>
              <w:b/>
            </w:rPr>
            <w:fldChar w:fldCharType="end"/>
          </w:r>
        </w:p>
      </w:tc>
    </w:tr>
  </w:tbl>
  <w:p w:rsidR="00F506AE" w:rsidRPr="002D6C1E" w:rsidRDefault="00F506AE" w:rsidP="002D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861"/>
    <w:multiLevelType w:val="hybridMultilevel"/>
    <w:tmpl w:val="6F569DA0"/>
    <w:lvl w:ilvl="0" w:tplc="AC98C83E">
      <w:start w:val="1"/>
      <w:numFmt w:val="upperLetter"/>
      <w:lvlText w:val="%1."/>
      <w:lvlJc w:val="left"/>
      <w:pPr>
        <w:tabs>
          <w:tab w:val="num" w:pos="1800"/>
        </w:tabs>
        <w:ind w:left="1800" w:hanging="144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4606C69"/>
    <w:multiLevelType w:val="hybridMultilevel"/>
    <w:tmpl w:val="38D808A4"/>
    <w:lvl w:ilvl="0" w:tplc="082255CA">
      <w:start w:val="1"/>
      <w:numFmt w:val="decimal"/>
      <w:lvlText w:val="%1."/>
      <w:lvlJc w:val="left"/>
      <w:pPr>
        <w:tabs>
          <w:tab w:val="num" w:pos="2160"/>
        </w:tabs>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B356CB"/>
    <w:multiLevelType w:val="hybridMultilevel"/>
    <w:tmpl w:val="258E230A"/>
    <w:lvl w:ilvl="0" w:tplc="082255CA">
      <w:start w:val="1"/>
      <w:numFmt w:val="decimal"/>
      <w:lvlText w:val="%1."/>
      <w:lvlJc w:val="left"/>
      <w:pPr>
        <w:tabs>
          <w:tab w:val="num" w:pos="2160"/>
        </w:tabs>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81CE5A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698*"/>
    <w:docVar w:name="CreationDt" w:val="13/04/2007 18:10:47"/>
    <w:docVar w:name="DocCategory" w:val="Doc"/>
    <w:docVar w:name="DocType" w:val="Final"/>
    <w:docVar w:name="FooterJN" w:val="07-28698"/>
    <w:docVar w:name="jobn" w:val="07-28698 (E)"/>
    <w:docVar w:name="jobnDT" w:val="07-28698 (E)   130407"/>
    <w:docVar w:name="jobnDTDT" w:val="07-28698 (E)   130407   130407"/>
    <w:docVar w:name="JobNo" w:val="0728698E"/>
    <w:docVar w:name="OandT" w:val="kt"/>
    <w:docVar w:name="sss1" w:val="CEDAW/C/2007/II/3/Add.3"/>
    <w:docVar w:name="sss2" w:val="-"/>
    <w:docVar w:name="Symbol1" w:val="CEDAW/C/2007/II/3/Add.3"/>
    <w:docVar w:name="Symbol2" w:val="-"/>
  </w:docVars>
  <w:rsids>
    <w:rsidRoot w:val="00B2360D"/>
    <w:rsid w:val="0003116E"/>
    <w:rsid w:val="000325CC"/>
    <w:rsid w:val="000579B8"/>
    <w:rsid w:val="000A4432"/>
    <w:rsid w:val="00100915"/>
    <w:rsid w:val="0013482D"/>
    <w:rsid w:val="0014103C"/>
    <w:rsid w:val="001B34E5"/>
    <w:rsid w:val="002A5309"/>
    <w:rsid w:val="002C1486"/>
    <w:rsid w:val="002C4541"/>
    <w:rsid w:val="002D6C1E"/>
    <w:rsid w:val="003131D7"/>
    <w:rsid w:val="003B20BD"/>
    <w:rsid w:val="00442D35"/>
    <w:rsid w:val="004627F5"/>
    <w:rsid w:val="00504014"/>
    <w:rsid w:val="00546F5D"/>
    <w:rsid w:val="005F5537"/>
    <w:rsid w:val="00600043"/>
    <w:rsid w:val="00600132"/>
    <w:rsid w:val="00627C43"/>
    <w:rsid w:val="006455B6"/>
    <w:rsid w:val="00656246"/>
    <w:rsid w:val="006F2DBC"/>
    <w:rsid w:val="007331FA"/>
    <w:rsid w:val="007C2444"/>
    <w:rsid w:val="007F3C8D"/>
    <w:rsid w:val="00801645"/>
    <w:rsid w:val="008E7FCB"/>
    <w:rsid w:val="00956D53"/>
    <w:rsid w:val="00961E03"/>
    <w:rsid w:val="009710C4"/>
    <w:rsid w:val="009D1CC2"/>
    <w:rsid w:val="00A3070E"/>
    <w:rsid w:val="00A4179D"/>
    <w:rsid w:val="00AA3A5C"/>
    <w:rsid w:val="00B177E0"/>
    <w:rsid w:val="00B2360D"/>
    <w:rsid w:val="00B548E5"/>
    <w:rsid w:val="00B674A6"/>
    <w:rsid w:val="00B950DF"/>
    <w:rsid w:val="00C06A42"/>
    <w:rsid w:val="00C97D34"/>
    <w:rsid w:val="00CF3148"/>
    <w:rsid w:val="00D01976"/>
    <w:rsid w:val="00D976FA"/>
    <w:rsid w:val="00E278B5"/>
    <w:rsid w:val="00E7196B"/>
    <w:rsid w:val="00E76523"/>
    <w:rsid w:val="00EA0396"/>
    <w:rsid w:val="00EC1FA5"/>
    <w:rsid w:val="00EF2D4D"/>
    <w:rsid w:val="00F331A7"/>
    <w:rsid w:val="00F506AE"/>
    <w:rsid w:val="00F90544"/>
    <w:rsid w:val="00F942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ja-JP"/>
    </w:rPr>
  </w:style>
  <w:style w:type="paragraph" w:styleId="Heading3">
    <w:name w:val="heading 3"/>
    <w:basedOn w:val="Normal"/>
    <w:next w:val="Normal"/>
    <w:qFormat/>
    <w:rsid w:val="00100915"/>
    <w:pPr>
      <w:keepNext/>
      <w:suppressAutoHyphens w:val="0"/>
      <w:spacing w:line="240" w:lineRule="auto"/>
      <w:jc w:val="right"/>
      <w:outlineLvl w:val="2"/>
    </w:pPr>
    <w:rPr>
      <w:rFonts w:eastAsia="Times New Roman"/>
      <w:spacing w:val="0"/>
      <w:w w:val="100"/>
      <w:kern w:val="0"/>
      <w:sz w:val="24"/>
      <w:lang w:val="en-US"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D6C1E"/>
  </w:style>
  <w:style w:type="paragraph" w:styleId="CommentSubject">
    <w:name w:val="annotation subject"/>
    <w:basedOn w:val="CommentText"/>
    <w:next w:val="CommentText"/>
    <w:semiHidden/>
    <w:rsid w:val="002D6C1E"/>
    <w:rPr>
      <w:b/>
      <w:bCs/>
    </w:rPr>
  </w:style>
  <w:style w:type="table" w:styleId="TableGrid">
    <w:name w:val="Table Grid"/>
    <w:basedOn w:val="TableNormal"/>
    <w:rsid w:val="00100915"/>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070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4783</Words>
  <Characters>27266</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Kristy.Thomas</dc:creator>
  <cp:keywords/>
  <dc:description/>
  <cp:lastModifiedBy>English_Text_Processing</cp:lastModifiedBy>
  <cp:revision>27</cp:revision>
  <cp:lastPrinted>2007-04-18T18:23:00Z</cp:lastPrinted>
  <dcterms:created xsi:type="dcterms:W3CDTF">2007-04-18T18:04:00Z</dcterms:created>
  <dcterms:modified xsi:type="dcterms:W3CDTF">2007-04-18T19:23:00Z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0728698</vt:lpwstr>
  </property>
  <property fmtid="{D5CDD505-2E9C-101B-9397-08002B2CF9AE}" pid="3" name="Symbol1">
    <vt:lpwstr>CEDAW/C/2007/II/3/Add.3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17</vt:lpwstr>
  </property>
  <property fmtid="{D5CDD505-2E9C-101B-9397-08002B2CF9AE}" pid="8" name="Operator">
    <vt:lpwstr>MD (Final)</vt:lpwstr>
  </property>
</Properties>
</file>