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1E" w:rsidRDefault="00193D1E" w:rsidP="00193D1E">
      <w:pPr>
        <w:spacing w:line="60" w:lineRule="exact"/>
        <w:rPr>
          <w:sz w:val="6"/>
          <w:lang w:val="en-US"/>
        </w:rPr>
        <w:sectPr w:rsidR="00193D1E" w:rsidSect="00193D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EF650F" w:rsidRPr="00925E9C" w:rsidRDefault="00EF650F" w:rsidP="00EF650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EF650F" w:rsidRDefault="00EF650F" w:rsidP="00EF650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 xml:space="preserve">Тридцать восьмая сессия </w:t>
      </w:r>
    </w:p>
    <w:p w:rsidR="00CA57C2" w:rsidRDefault="00CA57C2" w:rsidP="00CA57C2">
      <w:r>
        <w:t>14 мая — 1 июня 2007 года</w:t>
      </w:r>
    </w:p>
    <w:p w:rsidR="00EF650F" w:rsidRPr="00FB1A34" w:rsidRDefault="00EF650F" w:rsidP="00EF650F">
      <w:r>
        <w:t>Пункт 5 предварительн</w:t>
      </w:r>
      <w:r w:rsidR="00CA57C2">
        <w:t>ой</w:t>
      </w:r>
      <w:r>
        <w:t xml:space="preserve"> повестк</w:t>
      </w:r>
      <w:r w:rsidR="00CA57C2">
        <w:t>и</w:t>
      </w:r>
      <w:r>
        <w:t xml:space="preserve"> дня</w:t>
      </w:r>
      <w:r w:rsidRPr="00CA57C2">
        <w:rPr>
          <w:rStyle w:val="FootnoteReference"/>
        </w:rPr>
        <w:footnoteReference w:customMarkFollows="1" w:id="1"/>
        <w:t>*</w:t>
      </w:r>
    </w:p>
    <w:p w:rsidR="00EF650F" w:rsidRDefault="00EF650F" w:rsidP="00EF650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Осуществление статьи 21 Конвенции о ликвидации</w:t>
      </w:r>
      <w:r>
        <w:br/>
        <w:t>всех форм дискриминации в отношении женщин</w:t>
      </w:r>
    </w:p>
    <w:p w:rsidR="00EF650F" w:rsidRPr="00AA057B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Default="00EF650F" w:rsidP="00EF650F">
      <w:pPr>
        <w:pStyle w:val="SingleTxt"/>
        <w:spacing w:after="0" w:line="120" w:lineRule="exact"/>
        <w:rPr>
          <w:sz w:val="10"/>
        </w:rPr>
      </w:pPr>
    </w:p>
    <w:p w:rsidR="00454615" w:rsidRPr="00AA057B" w:rsidRDefault="00454615" w:rsidP="00EF650F">
      <w:pPr>
        <w:pStyle w:val="SingleTxt"/>
        <w:spacing w:after="0" w:line="120" w:lineRule="exact"/>
        <w:rPr>
          <w:sz w:val="10"/>
        </w:rPr>
      </w:pPr>
    </w:p>
    <w:p w:rsidR="00EF650F" w:rsidRPr="00AA057B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Default="00EF650F" w:rsidP="00EF65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Доклады специализированных учреждений </w:t>
      </w:r>
      <w:r w:rsidR="00CA57C2">
        <w:t xml:space="preserve">системы </w:t>
      </w:r>
      <w:r>
        <w:t>Организации Объединенных Наций об осуществлении Конвенции в областях, относящихся к сфере их деятельности</w:t>
      </w:r>
    </w:p>
    <w:p w:rsidR="00EF650F" w:rsidRPr="00AA057B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Default="00EF650F" w:rsidP="00EF650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EF650F" w:rsidRPr="00AA057B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Default="00EF650F" w:rsidP="00EF6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EF650F" w:rsidRPr="00AA057B" w:rsidRDefault="00EF650F" w:rsidP="00EF650F">
      <w:pPr>
        <w:pStyle w:val="SingleTxt"/>
        <w:spacing w:after="0" w:line="120" w:lineRule="exact"/>
        <w:rPr>
          <w:sz w:val="10"/>
        </w:rPr>
      </w:pPr>
    </w:p>
    <w:p w:rsidR="00890B18" w:rsidRPr="00890B18" w:rsidRDefault="00890B18" w:rsidP="00890B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F650F" w:rsidRDefault="00EF650F" w:rsidP="00890B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Организация Объединенных Наций по вопросам образования, науки и культуры</w:t>
      </w:r>
    </w:p>
    <w:p w:rsidR="00EF650F" w:rsidRPr="00AA057B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Default="00EF650F" w:rsidP="00674F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I.</w:t>
      </w:r>
      <w:r>
        <w:tab/>
        <w:t xml:space="preserve">Деятельность по осуществлению </w:t>
      </w:r>
      <w:r w:rsidR="003A2FF8">
        <w:t xml:space="preserve">Конвенции </w:t>
      </w:r>
      <w:r>
        <w:t xml:space="preserve">в рамках </w:t>
      </w:r>
      <w:r w:rsidR="003A2FF8">
        <w:t>ЮНЕСКО</w:t>
      </w:r>
    </w:p>
    <w:p w:rsidR="00EF650F" w:rsidRPr="00925E9C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Pr="00925E9C" w:rsidRDefault="00EF650F" w:rsidP="00EF650F">
      <w:pPr>
        <w:pStyle w:val="SingleTxt"/>
        <w:spacing w:after="0" w:line="120" w:lineRule="exact"/>
        <w:rPr>
          <w:sz w:val="10"/>
        </w:rPr>
      </w:pPr>
    </w:p>
    <w:p w:rsidR="00EF650F" w:rsidRDefault="00EF650F" w:rsidP="00EF650F">
      <w:pPr>
        <w:pStyle w:val="SingleTxt"/>
      </w:pPr>
      <w:r>
        <w:tab/>
        <w:t xml:space="preserve">В соответствии со </w:t>
      </w:r>
      <w:r w:rsidR="003A2FF8">
        <w:t>с</w:t>
      </w:r>
      <w:r>
        <w:t xml:space="preserve">реднесрочной стратегией </w:t>
      </w:r>
      <w:r w:rsidR="003A2FF8">
        <w:t xml:space="preserve">Организации Объединенных Наций по вопросам образования, науки и культуры </w:t>
      </w:r>
      <w:r w:rsidR="00315C71">
        <w:t xml:space="preserve">(ЮНЕСКО) </w:t>
      </w:r>
      <w:r>
        <w:t xml:space="preserve">на 2002–2007 годы и в целях содействия расширению прав и возможностей женщин и достижению равенства между мужчинами и женщинами в </w:t>
      </w:r>
      <w:r w:rsidR="003A2FF8">
        <w:t xml:space="preserve">процессе </w:t>
      </w:r>
      <w:r>
        <w:t>стратег</w:t>
      </w:r>
      <w:r>
        <w:t>и</w:t>
      </w:r>
      <w:r>
        <w:t>ческо</w:t>
      </w:r>
      <w:r w:rsidR="003A2FF8">
        <w:t>го</w:t>
      </w:r>
      <w:r>
        <w:t xml:space="preserve"> план</w:t>
      </w:r>
      <w:r>
        <w:t>и</w:t>
      </w:r>
      <w:r>
        <w:t>ровани</w:t>
      </w:r>
      <w:r w:rsidR="003A2FF8">
        <w:t>я</w:t>
      </w:r>
      <w:r>
        <w:t>, составлени</w:t>
      </w:r>
      <w:r w:rsidR="003A2FF8">
        <w:t>я</w:t>
      </w:r>
      <w:r>
        <w:t xml:space="preserve"> программ, осуществлени</w:t>
      </w:r>
      <w:r w:rsidR="003A2FF8">
        <w:t>я</w:t>
      </w:r>
      <w:r>
        <w:t xml:space="preserve"> и оценк</w:t>
      </w:r>
      <w:r w:rsidR="003A2FF8">
        <w:t>и</w:t>
      </w:r>
      <w:r>
        <w:t xml:space="preserve"> работы во всех о</w:t>
      </w:r>
      <w:r>
        <w:t>б</w:t>
      </w:r>
      <w:r>
        <w:t xml:space="preserve">ластях, входящих в круг ведения ЮНЕСКО, был внедрен подход, учитывающий вопросы гендерного равенства. </w:t>
      </w:r>
      <w:r w:rsidR="003A2FF8">
        <w:t>П</w:t>
      </w:r>
      <w:r>
        <w:t>оддержка приоритетных для женщин направлений деятельности</w:t>
      </w:r>
      <w:r w:rsidR="003A2FF8">
        <w:t xml:space="preserve"> в интересах женщин с учетом их видения </w:t>
      </w:r>
      <w:r>
        <w:t xml:space="preserve">целей </w:t>
      </w:r>
      <w:r w:rsidR="003A2FF8">
        <w:t xml:space="preserve">в области </w:t>
      </w:r>
      <w:r>
        <w:t xml:space="preserve">развития и подходов к </w:t>
      </w:r>
      <w:r w:rsidR="003A2FF8">
        <w:t xml:space="preserve">их </w:t>
      </w:r>
      <w:r>
        <w:t xml:space="preserve">достижению обеспечивается путем </w:t>
      </w:r>
      <w:r w:rsidR="003A2FF8">
        <w:t xml:space="preserve">более активного вовлечения женщин в работу ЮНЕСКО </w:t>
      </w:r>
      <w:r>
        <w:t xml:space="preserve">на всех уровнях и во всех областях. </w:t>
      </w:r>
      <w:r w:rsidR="00D9765C">
        <w:t xml:space="preserve">Комплексная </w:t>
      </w:r>
      <w:r>
        <w:t>политика Организации в области людских ресу</w:t>
      </w:r>
      <w:r>
        <w:t>р</w:t>
      </w:r>
      <w:r>
        <w:t xml:space="preserve">сов была соответствующим образом </w:t>
      </w:r>
      <w:r w:rsidR="00D9765C">
        <w:t xml:space="preserve">адаптирована </w:t>
      </w:r>
      <w:r>
        <w:t>с учетом воздействия таких важнейших параметров, как, в частности, обеспечение гендерного баланса. Были вн</w:t>
      </w:r>
      <w:r>
        <w:t>е</w:t>
      </w:r>
      <w:r>
        <w:t>дрены новые рамки политики в отношении вопросов, касающихся производственной деятельности/семьи, в целях расширения возможностей с</w:t>
      </w:r>
      <w:r>
        <w:t>о</w:t>
      </w:r>
      <w:r>
        <w:t xml:space="preserve">трудников </w:t>
      </w:r>
      <w:r w:rsidR="00D9765C">
        <w:t xml:space="preserve">выполнять свои </w:t>
      </w:r>
      <w:r>
        <w:t>производственны</w:t>
      </w:r>
      <w:r w:rsidR="00D9765C">
        <w:t>е</w:t>
      </w:r>
      <w:r>
        <w:t xml:space="preserve"> и с</w:t>
      </w:r>
      <w:r>
        <w:t>е</w:t>
      </w:r>
      <w:r>
        <w:t>мейны</w:t>
      </w:r>
      <w:r w:rsidR="00D9765C">
        <w:t>е</w:t>
      </w:r>
      <w:r>
        <w:t xml:space="preserve"> обязанност</w:t>
      </w:r>
      <w:r w:rsidR="00D9765C">
        <w:t>и</w:t>
      </w:r>
      <w:r>
        <w:t>.</w:t>
      </w:r>
    </w:p>
    <w:p w:rsidR="00EF650F" w:rsidRDefault="00EF650F" w:rsidP="00EF650F">
      <w:pPr>
        <w:pStyle w:val="SingleTxt"/>
      </w:pPr>
      <w:r>
        <w:tab/>
        <w:t>ЮНЕСКО продолжает выступать в качестве активного партнера по ос</w:t>
      </w:r>
      <w:r>
        <w:t>у</w:t>
      </w:r>
      <w:r>
        <w:t>ществлению Инициативы Организации Объединенных Наций по вопросам о</w:t>
      </w:r>
      <w:r>
        <w:t>б</w:t>
      </w:r>
      <w:r>
        <w:t>разования девочек (ИООНОД). Необходимости обеспечения гендерного раве</w:t>
      </w:r>
      <w:r>
        <w:t>н</w:t>
      </w:r>
      <w:r>
        <w:t xml:space="preserve">ства также </w:t>
      </w:r>
      <w:r w:rsidR="00D9765C">
        <w:t xml:space="preserve">придается </w:t>
      </w:r>
      <w:r>
        <w:t xml:space="preserve">важное значение в рамках всей программы ЮНЕСКО в области образования. Перед лицом </w:t>
      </w:r>
      <w:r w:rsidR="00D9765C">
        <w:t xml:space="preserve">увеличивающегося </w:t>
      </w:r>
      <w:r>
        <w:t>разрыва в положении грамотного и неграмотного населения в плане социальных, гражданских и эк</w:t>
      </w:r>
      <w:r>
        <w:t>о</w:t>
      </w:r>
      <w:r>
        <w:t>номических возможностей ЮНЕСКО активизировала свои усилия по обесп</w:t>
      </w:r>
      <w:r>
        <w:t>е</w:t>
      </w:r>
      <w:r>
        <w:t>чению всеобщей грамотности, уделяя особое внимание в первую очередь д</w:t>
      </w:r>
      <w:r>
        <w:t>е</w:t>
      </w:r>
      <w:r>
        <w:t xml:space="preserve">вочкам и женщинам. </w:t>
      </w:r>
    </w:p>
    <w:p w:rsidR="00EF650F" w:rsidRDefault="00EF650F" w:rsidP="00EF650F">
      <w:pPr>
        <w:pStyle w:val="SingleTxt"/>
      </w:pPr>
      <w:r>
        <w:tab/>
        <w:t xml:space="preserve">В области социальных и гуманитарных наук ЮНЕСКО создала две сети </w:t>
      </w:r>
      <w:r w:rsidR="00D9765C">
        <w:t xml:space="preserve">по вопросам </w:t>
      </w:r>
      <w:r>
        <w:t>научных исследований/информационно-пропагандистской де</w:t>
      </w:r>
      <w:r>
        <w:t>я</w:t>
      </w:r>
      <w:r>
        <w:t xml:space="preserve">тельности/политики: одна из </w:t>
      </w:r>
      <w:r w:rsidR="00D9765C">
        <w:t xml:space="preserve">них </w:t>
      </w:r>
      <w:r>
        <w:t>посвящена изучению социально-экономи</w:t>
      </w:r>
      <w:r w:rsidR="00315C71">
        <w:softHyphen/>
      </w:r>
      <w:r>
        <w:t xml:space="preserve">ческих прав женщин, а другая — </w:t>
      </w:r>
      <w:r w:rsidR="00D9765C">
        <w:t xml:space="preserve">преобразованиям в области культуры </w:t>
      </w:r>
      <w:r>
        <w:t>в инт</w:t>
      </w:r>
      <w:r>
        <w:t>е</w:t>
      </w:r>
      <w:r>
        <w:t xml:space="preserve">ресах улучшения положения женщин, и </w:t>
      </w:r>
      <w:r w:rsidR="00D9765C">
        <w:t xml:space="preserve">поручила подготовить восемь </w:t>
      </w:r>
      <w:r>
        <w:t>док</w:t>
      </w:r>
      <w:r>
        <w:t>у</w:t>
      </w:r>
      <w:r>
        <w:t xml:space="preserve">ментов </w:t>
      </w:r>
      <w:r w:rsidR="00D9765C">
        <w:t xml:space="preserve">по вопросам, касающимся </w:t>
      </w:r>
      <w:r>
        <w:t>социально-экономически</w:t>
      </w:r>
      <w:r w:rsidR="00D9765C">
        <w:t>х</w:t>
      </w:r>
      <w:r>
        <w:t xml:space="preserve"> прав женщин и </w:t>
      </w:r>
      <w:r w:rsidR="00D9765C">
        <w:t xml:space="preserve">повышения их руководящей роли </w:t>
      </w:r>
      <w:r w:rsidR="005B7504">
        <w:t>в профсоюзах, которые будут</w:t>
      </w:r>
      <w:r>
        <w:t xml:space="preserve"> представлены минист</w:t>
      </w:r>
      <w:r w:rsidR="005B7504">
        <w:t xml:space="preserve">рам, занимающимся вопросами </w:t>
      </w:r>
      <w:r>
        <w:t xml:space="preserve">женщин. ЮНЕСКО содействовала </w:t>
      </w:r>
      <w:r w:rsidR="00E53D89">
        <w:t>р</w:t>
      </w:r>
      <w:r w:rsidR="00E53D89">
        <w:t>а</w:t>
      </w:r>
      <w:r w:rsidR="00E53D89">
        <w:t xml:space="preserve">боте </w:t>
      </w:r>
      <w:r>
        <w:t>по созданию базы количественных данных обо всех регионах, обрати</w:t>
      </w:r>
      <w:r>
        <w:t>в</w:t>
      </w:r>
      <w:r>
        <w:t>шись ко всем авторам упомянутых исследований с просьбой завершить разр</w:t>
      </w:r>
      <w:r>
        <w:t>а</w:t>
      </w:r>
      <w:r>
        <w:t xml:space="preserve">ботку </w:t>
      </w:r>
      <w:r w:rsidR="00E53D89">
        <w:t xml:space="preserve">показателей </w:t>
      </w:r>
      <w:r w:rsidR="006E380B">
        <w:t>положения</w:t>
      </w:r>
      <w:r w:rsidR="00E53D89">
        <w:t xml:space="preserve"> женщин с точки зрения </w:t>
      </w:r>
      <w:r>
        <w:t xml:space="preserve">расширения </w:t>
      </w:r>
      <w:r w:rsidR="00E53D89">
        <w:t xml:space="preserve">их </w:t>
      </w:r>
      <w:r>
        <w:t>прав и возможностей, а также подготовила и представила Фонду демократии Орган</w:t>
      </w:r>
      <w:r>
        <w:t>и</w:t>
      </w:r>
      <w:r>
        <w:t>зации Объединенных Наций предложени</w:t>
      </w:r>
      <w:r w:rsidR="00E53D89">
        <w:t>е</w:t>
      </w:r>
      <w:r>
        <w:t xml:space="preserve"> по проекту в области гендерных о</w:t>
      </w:r>
      <w:r>
        <w:t>т</w:t>
      </w:r>
      <w:r>
        <w:t>ношений и демократии. В рамках конкретных региональных программ и мер</w:t>
      </w:r>
      <w:r>
        <w:t>о</w:t>
      </w:r>
      <w:r>
        <w:t xml:space="preserve">приятий, осуществлявшихся в интересах </w:t>
      </w:r>
      <w:r w:rsidR="00E53D89">
        <w:t xml:space="preserve">девушек </w:t>
      </w:r>
      <w:r>
        <w:t>и женщин различных возра</w:t>
      </w:r>
      <w:r>
        <w:t>с</w:t>
      </w:r>
      <w:r>
        <w:t xml:space="preserve">тных групп, включая молодежь и </w:t>
      </w:r>
      <w:r w:rsidR="00E53D89">
        <w:t xml:space="preserve">пожилых людей, </w:t>
      </w:r>
      <w:r>
        <w:t xml:space="preserve">особое внимание уделялось </w:t>
      </w:r>
      <w:r w:rsidR="00E53D89">
        <w:t xml:space="preserve">налаживанию взаимодействия, </w:t>
      </w:r>
      <w:r>
        <w:t xml:space="preserve">обмену информацией и знаниями, а также </w:t>
      </w:r>
      <w:r w:rsidR="00E53D89">
        <w:t>со</w:t>
      </w:r>
      <w:r w:rsidR="00E53D89">
        <w:t>з</w:t>
      </w:r>
      <w:r w:rsidR="00E53D89">
        <w:t>дани</w:t>
      </w:r>
      <w:r w:rsidR="00512F28">
        <w:t>ю</w:t>
      </w:r>
      <w:r w:rsidR="00E53D89">
        <w:t xml:space="preserve"> </w:t>
      </w:r>
      <w:r w:rsidR="006E380B">
        <w:t>коалиции</w:t>
      </w:r>
      <w:r w:rsidR="00E53D89">
        <w:t xml:space="preserve"> представителей различных стран и культур в рамках деятел</w:t>
      </w:r>
      <w:r w:rsidR="00E53D89">
        <w:t>ь</w:t>
      </w:r>
      <w:r w:rsidR="00E53D89">
        <w:t xml:space="preserve">ности по осуществлению </w:t>
      </w:r>
      <w:r>
        <w:t>Декларации Организации Объединенных Наций и Программы действий в области культуры м</w:t>
      </w:r>
      <w:r>
        <w:t>и</w:t>
      </w:r>
      <w:r>
        <w:t xml:space="preserve">ра. </w:t>
      </w:r>
    </w:p>
    <w:p w:rsidR="00EF650F" w:rsidRDefault="00EF650F" w:rsidP="00315C71">
      <w:pPr>
        <w:pStyle w:val="SingleTxt"/>
        <w:pageBreakBefore/>
      </w:pPr>
      <w:r>
        <w:tab/>
        <w:t>Были осуществлены следующие конкретные региональные мероприятия:</w:t>
      </w:r>
    </w:p>
    <w:p w:rsidR="00EF650F" w:rsidRDefault="00EF650F" w:rsidP="00EF650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 xml:space="preserve">организация в полевых отделениях азиатских, арабских и африканских стран региональных учебных семинаров по вопросам учета гендерной проблематики, </w:t>
      </w:r>
      <w:r w:rsidR="005B02FA">
        <w:t xml:space="preserve">развития детей в раннем возрасте </w:t>
      </w:r>
      <w:r>
        <w:t>и всеобщего образов</w:t>
      </w:r>
      <w:r>
        <w:t>а</w:t>
      </w:r>
      <w:r>
        <w:t xml:space="preserve">ния для сотрудников </w:t>
      </w:r>
      <w:r w:rsidR="005B02FA">
        <w:t xml:space="preserve">отделений на местах </w:t>
      </w:r>
      <w:r>
        <w:t xml:space="preserve">в целях повышения их уровня информированности и </w:t>
      </w:r>
      <w:r w:rsidR="005B02FA">
        <w:t>наращивания технического потенциала;</w:t>
      </w:r>
    </w:p>
    <w:p w:rsidR="00EF650F" w:rsidRDefault="00EF650F" w:rsidP="00EF650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5B02FA">
        <w:t xml:space="preserve">наращивание </w:t>
      </w:r>
      <w:r>
        <w:t>потенциала Азиатской сети по гендерным в</w:t>
      </w:r>
      <w:r>
        <w:t>о</w:t>
      </w:r>
      <w:r>
        <w:t xml:space="preserve">просам в сфере образования путем обновления и распространения </w:t>
      </w:r>
      <w:r w:rsidR="005B02FA">
        <w:t xml:space="preserve">руководства </w:t>
      </w:r>
      <w:r>
        <w:t>по ге</w:t>
      </w:r>
      <w:r>
        <w:t>н</w:t>
      </w:r>
      <w:r>
        <w:t>дерным вопросам;</w:t>
      </w:r>
    </w:p>
    <w:p w:rsidR="00EF650F" w:rsidRPr="00925E9C" w:rsidRDefault="00EF650F" w:rsidP="00EF650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завершение подготовительной работы по разработке стратегии «Ускоре</w:t>
      </w:r>
      <w:r>
        <w:t>н</w:t>
      </w:r>
      <w:r w:rsidR="005B02FA">
        <w:t xml:space="preserve">ного </w:t>
      </w:r>
      <w:r>
        <w:t xml:space="preserve">образования девочек в Западной и Центральной Африке» в рамках </w:t>
      </w:r>
      <w:r w:rsidR="005B02FA">
        <w:t>Инициативы Организации Объединенных Наций по вопросам образов</w:t>
      </w:r>
      <w:r w:rsidR="005B02FA">
        <w:t>а</w:t>
      </w:r>
      <w:r w:rsidR="00A170C5">
        <w:t>ния девочек;</w:t>
      </w:r>
    </w:p>
    <w:p w:rsidR="00A170C5" w:rsidRPr="00A170C5" w:rsidRDefault="00A170C5" w:rsidP="00A170C5">
      <w:pPr>
        <w:pStyle w:val="SingleTxt"/>
        <w:tabs>
          <w:tab w:val="right" w:pos="1685"/>
        </w:tabs>
        <w:ind w:left="1742" w:hanging="475"/>
      </w:pPr>
      <w:r w:rsidRPr="00A170C5">
        <w:tab/>
        <w:t>•</w:t>
      </w:r>
      <w:r w:rsidRPr="00A170C5">
        <w:tab/>
      </w:r>
      <w:r w:rsidR="006E380B">
        <w:t>налаживание</w:t>
      </w:r>
      <w:r>
        <w:t xml:space="preserve"> и укрепление сетевого взаимодействия </w:t>
      </w:r>
      <w:r w:rsidRPr="00A170C5">
        <w:t>с региональн</w:t>
      </w:r>
      <w:r w:rsidRPr="00A170C5">
        <w:t>ы</w:t>
      </w:r>
      <w:r w:rsidRPr="00A170C5">
        <w:t xml:space="preserve">ми средствами массовой информации, </w:t>
      </w:r>
      <w:r>
        <w:t>Организацией Объединенных Наций по вопросам образования, науки и культуры</w:t>
      </w:r>
      <w:r w:rsidRPr="00A170C5">
        <w:t xml:space="preserve"> </w:t>
      </w:r>
      <w:r w:rsidR="00315C71">
        <w:t xml:space="preserve">(ЮНЕСКО) </w:t>
      </w:r>
      <w:r w:rsidRPr="00A170C5">
        <w:t xml:space="preserve">и </w:t>
      </w:r>
      <w:r>
        <w:t xml:space="preserve">Всемирной продовольственной </w:t>
      </w:r>
      <w:r w:rsidR="00315C71">
        <w:t xml:space="preserve">программой </w:t>
      </w:r>
      <w:r>
        <w:t xml:space="preserve">(ВПП) с учетом </w:t>
      </w:r>
      <w:r w:rsidRPr="00A170C5">
        <w:t>важной роли образов</w:t>
      </w:r>
      <w:r w:rsidRPr="00A170C5">
        <w:t>а</w:t>
      </w:r>
      <w:r w:rsidRPr="00A170C5">
        <w:t>ния девочек, в особенности в сельских и отдаленных районах региона ара</w:t>
      </w:r>
      <w:r w:rsidRPr="00A170C5">
        <w:t>б</w:t>
      </w:r>
      <w:r w:rsidRPr="00A170C5">
        <w:t>ских гос</w:t>
      </w:r>
      <w:r w:rsidRPr="00A170C5">
        <w:t>у</w:t>
      </w:r>
      <w:r>
        <w:t>дарств;</w:t>
      </w:r>
    </w:p>
    <w:p w:rsidR="00A170C5" w:rsidRPr="00A170C5" w:rsidRDefault="00A170C5" w:rsidP="00A170C5">
      <w:pPr>
        <w:pStyle w:val="SingleTxt"/>
        <w:tabs>
          <w:tab w:val="right" w:pos="1685"/>
        </w:tabs>
        <w:ind w:left="1742" w:hanging="475"/>
      </w:pPr>
      <w:r w:rsidRPr="00A170C5">
        <w:tab/>
        <w:t>•</w:t>
      </w:r>
      <w:r w:rsidRPr="00A170C5">
        <w:tab/>
      </w:r>
      <w:r>
        <w:t>о</w:t>
      </w:r>
      <w:r w:rsidRPr="00A170C5">
        <w:t>рганизация Отделени</w:t>
      </w:r>
      <w:r>
        <w:t>ем</w:t>
      </w:r>
      <w:r w:rsidRPr="00A170C5">
        <w:t xml:space="preserve"> ЮНЕСКО в Джакарте </w:t>
      </w:r>
      <w:r>
        <w:t xml:space="preserve">первого </w:t>
      </w:r>
      <w:r w:rsidRPr="005B5EA6">
        <w:t>Форума стран Юго-Восточной Азии по теме «Учет гендерной проблематики в рамках политики и технологии в области энергетики»</w:t>
      </w:r>
      <w:r w:rsidRPr="00A170C5">
        <w:t xml:space="preserve"> в тесном сотрудничестве с Индонезийским университетом и Международным обществом по пробл</w:t>
      </w:r>
      <w:r w:rsidRPr="00A170C5">
        <w:t>е</w:t>
      </w:r>
      <w:r w:rsidRPr="00A170C5">
        <w:t xml:space="preserve">мам экспертных знаний, образования и развития. </w:t>
      </w:r>
      <w:r>
        <w:t xml:space="preserve">В работе этого форума приняли участие </w:t>
      </w:r>
      <w:r w:rsidRPr="00A170C5">
        <w:t>представители университетов пяти островных стран Юго-Восточной Азии</w:t>
      </w:r>
      <w:r w:rsidR="000B4F86">
        <w:t xml:space="preserve">, а в качестве </w:t>
      </w:r>
      <w:r w:rsidR="006E380B">
        <w:t>спонсора</w:t>
      </w:r>
      <w:r w:rsidR="000B4F86">
        <w:t xml:space="preserve"> </w:t>
      </w:r>
      <w:r w:rsidRPr="00A170C5">
        <w:t>выступили целевые фонды Японии</w:t>
      </w:r>
      <w:r w:rsidR="000B4F86">
        <w:t>;</w:t>
      </w:r>
    </w:p>
    <w:p w:rsidR="00A170C5" w:rsidRPr="00A170C5" w:rsidRDefault="00A170C5" w:rsidP="00A170C5">
      <w:pPr>
        <w:pStyle w:val="SingleTxt"/>
        <w:tabs>
          <w:tab w:val="right" w:pos="1685"/>
        </w:tabs>
        <w:ind w:left="1742" w:hanging="475"/>
      </w:pPr>
      <w:r w:rsidRPr="00A170C5">
        <w:tab/>
        <w:t>•</w:t>
      </w:r>
      <w:r w:rsidRPr="00A170C5">
        <w:tab/>
      </w:r>
      <w:r w:rsidR="000B4F86">
        <w:t>п</w:t>
      </w:r>
      <w:r w:rsidRPr="00A170C5">
        <w:t xml:space="preserve">оощрение гендерного равенства и развития обеспечивалось </w:t>
      </w:r>
      <w:r w:rsidR="000B4F86">
        <w:t xml:space="preserve">на основе организации </w:t>
      </w:r>
      <w:r w:rsidRPr="00A170C5">
        <w:t xml:space="preserve">мероприятий, связанных с </w:t>
      </w:r>
      <w:r w:rsidR="000B4F86">
        <w:t xml:space="preserve">повышением </w:t>
      </w:r>
      <w:r w:rsidRPr="00A170C5">
        <w:t>роли женщин в с</w:t>
      </w:r>
      <w:r w:rsidRPr="00A170C5">
        <w:t>у</w:t>
      </w:r>
      <w:r w:rsidRPr="00A170C5">
        <w:t xml:space="preserve">дебной </w:t>
      </w:r>
      <w:r w:rsidR="000B4F86">
        <w:t xml:space="preserve">системе </w:t>
      </w:r>
      <w:r w:rsidRPr="00A170C5">
        <w:t>в регионе арабских государств и путем создания Инфо</w:t>
      </w:r>
      <w:r w:rsidRPr="00A170C5">
        <w:t>р</w:t>
      </w:r>
      <w:r w:rsidRPr="00A170C5">
        <w:t xml:space="preserve">мационного центра палестинских женщин, который обеспечит </w:t>
      </w:r>
      <w:r w:rsidR="000B4F86">
        <w:t xml:space="preserve">наличие соответствующей </w:t>
      </w:r>
      <w:r w:rsidRPr="00A170C5">
        <w:t xml:space="preserve">документации </w:t>
      </w:r>
      <w:r w:rsidR="000B4F86">
        <w:t xml:space="preserve">и необходимых ресурсов </w:t>
      </w:r>
      <w:r w:rsidRPr="00A170C5">
        <w:t>и будет фун</w:t>
      </w:r>
      <w:r w:rsidRPr="00A170C5">
        <w:t>к</w:t>
      </w:r>
      <w:r w:rsidRPr="00A170C5">
        <w:t>ционировать в качестве наблюд</w:t>
      </w:r>
      <w:r w:rsidR="000B4F86">
        <w:t xml:space="preserve">ательного совета по гендерным проблемам </w:t>
      </w:r>
      <w:r w:rsidRPr="00A170C5">
        <w:t xml:space="preserve">на национальном, региональном и международном уровнях. Были также предприняты усилия по созданию аналогичного </w:t>
      </w:r>
      <w:r w:rsidR="000B4F86">
        <w:t xml:space="preserve">наблюдательного совета по гендерным </w:t>
      </w:r>
      <w:r w:rsidRPr="00A170C5">
        <w:t>проблемам в регионе Вел</w:t>
      </w:r>
      <w:r w:rsidRPr="00A170C5">
        <w:t>и</w:t>
      </w:r>
      <w:r w:rsidRPr="00A170C5">
        <w:t>ких озер.</w:t>
      </w:r>
    </w:p>
    <w:p w:rsidR="005B02FA" w:rsidRDefault="00A170C5" w:rsidP="00193D1E">
      <w:pPr>
        <w:pStyle w:val="SingleTxt"/>
        <w:rPr>
          <w:lang w:val="en-US"/>
        </w:rPr>
      </w:pPr>
      <w:r w:rsidRPr="00A170C5">
        <w:tab/>
        <w:t xml:space="preserve">В ноябре 2006 года ЮНЕСКО и ведущая </w:t>
      </w:r>
      <w:r w:rsidR="000B4F86">
        <w:t xml:space="preserve">международная </w:t>
      </w:r>
      <w:r w:rsidRPr="00A170C5">
        <w:t>спортивная о</w:t>
      </w:r>
      <w:r w:rsidRPr="00A170C5">
        <w:t>р</w:t>
      </w:r>
      <w:r w:rsidRPr="00A170C5">
        <w:t>ганизация женщин «Сони</w:t>
      </w:r>
      <w:r w:rsidR="000B4F86">
        <w:t>-</w:t>
      </w:r>
      <w:r w:rsidRPr="00A170C5">
        <w:t>Эрикссон Тур ВТА» объявили о налаживании гл</w:t>
      </w:r>
      <w:r w:rsidRPr="00A170C5">
        <w:t>о</w:t>
      </w:r>
      <w:r w:rsidRPr="00A170C5">
        <w:t xml:space="preserve">бальных партнерских связей в целях обеспечения гендерного равенства и </w:t>
      </w:r>
      <w:r w:rsidR="000B4F86">
        <w:t>п</w:t>
      </w:r>
      <w:r w:rsidR="000B4F86">
        <w:t>о</w:t>
      </w:r>
      <w:r w:rsidR="000B4F86">
        <w:t xml:space="preserve">вышения </w:t>
      </w:r>
      <w:r w:rsidRPr="00A170C5">
        <w:t>роли женщин во всех сферах общества. Это партнерство</w:t>
      </w:r>
      <w:r w:rsidR="000B4F86">
        <w:t xml:space="preserve"> является </w:t>
      </w:r>
      <w:r w:rsidRPr="00A170C5">
        <w:t>крупнейш</w:t>
      </w:r>
      <w:r w:rsidR="000B4F86">
        <w:t>им</w:t>
      </w:r>
      <w:r w:rsidRPr="00A170C5">
        <w:t xml:space="preserve"> общ</w:t>
      </w:r>
      <w:r w:rsidR="000B4F86">
        <w:t>им</w:t>
      </w:r>
      <w:r w:rsidRPr="00A170C5">
        <w:t xml:space="preserve"> мероприятие</w:t>
      </w:r>
      <w:r w:rsidR="000B4F86">
        <w:t>м</w:t>
      </w:r>
      <w:r w:rsidRPr="00A170C5">
        <w:t xml:space="preserve"> в истории Тура, нацеленн</w:t>
      </w:r>
      <w:r w:rsidR="000B4F86">
        <w:t>ым</w:t>
      </w:r>
      <w:r w:rsidRPr="00A170C5">
        <w:t xml:space="preserve"> на укрепл</w:t>
      </w:r>
      <w:r w:rsidRPr="00A170C5">
        <w:t>е</w:t>
      </w:r>
      <w:r w:rsidRPr="00A170C5">
        <w:t xml:space="preserve">ние ведущей роли женщин и обеспечение гендерного равенства во всех сферах </w:t>
      </w:r>
      <w:r w:rsidR="000B4F86">
        <w:t xml:space="preserve">жизни </w:t>
      </w:r>
      <w:r w:rsidRPr="00A170C5">
        <w:t>общества, и представляет собой первое партнерство ЮНЕСКО с пр</w:t>
      </w:r>
      <w:r w:rsidRPr="00A170C5">
        <w:t>о</w:t>
      </w:r>
      <w:r w:rsidRPr="00A170C5">
        <w:t>фессиональной спортивной лигой</w:t>
      </w:r>
      <w:r w:rsidR="000B4F86">
        <w:t xml:space="preserve">, созданное </w:t>
      </w:r>
      <w:r w:rsidRPr="00A170C5">
        <w:t>в интересах обеспечения генде</w:t>
      </w:r>
      <w:r w:rsidRPr="00A170C5">
        <w:t>р</w:t>
      </w:r>
      <w:r w:rsidRPr="00A170C5">
        <w:t>ного равенства, провозглашенного всеми мировыми лидерами в Итоговом д</w:t>
      </w:r>
      <w:r w:rsidRPr="00A170C5">
        <w:t>о</w:t>
      </w:r>
      <w:r w:rsidRPr="00A170C5">
        <w:t xml:space="preserve">кументе </w:t>
      </w:r>
      <w:r w:rsidR="000B4F86">
        <w:t>Всемирного саммита 2005 года.</w:t>
      </w:r>
    </w:p>
    <w:p w:rsidR="00FC440F" w:rsidRDefault="00FC440F" w:rsidP="00FC440F">
      <w:pPr>
        <w:pStyle w:val="SingleTxt"/>
      </w:pPr>
      <w:r>
        <w:tab/>
        <w:t>В ноябре 2006 года по случаю Международного дня борьбы за ликвид</w:t>
      </w:r>
      <w:r>
        <w:t>а</w:t>
      </w:r>
      <w:r>
        <w:t>цию насилия в отношении женщин ЮНЕСКО организовала международное с</w:t>
      </w:r>
      <w:r>
        <w:t>о</w:t>
      </w:r>
      <w:r>
        <w:t>вещание за круглым столом по теме «Насилие по признаку пола в школах в контексте образования для всех: роль и ответственность заинтересованных учас</w:t>
      </w:r>
      <w:r>
        <w:t>т</w:t>
      </w:r>
      <w:r>
        <w:t>ников», на котором присутствовал Паулу Серджиу Пинейру, независимый эксперт по проведению исследования Генерального секретаря по вопросу о н</w:t>
      </w:r>
      <w:r>
        <w:t>а</w:t>
      </w:r>
      <w:r>
        <w:t>силии в отношении детей. Цели совещания за круглым столом состояли в п</w:t>
      </w:r>
      <w:r>
        <w:t>о</w:t>
      </w:r>
      <w:r>
        <w:t>вышении степени информированности участников о международном сотру</w:t>
      </w:r>
      <w:r>
        <w:t>д</w:t>
      </w:r>
      <w:r>
        <w:t>ничестве по проблемам насилия по признаку пола в школах и гендерного р</w:t>
      </w:r>
      <w:r>
        <w:t>а</w:t>
      </w:r>
      <w:r>
        <w:t>венства в секторе образования в целом; в определении роли и ответственности трех основных категорий участников, которые сталкиваются с проявлениями насилия по признаку пола в школах, с учетом и</w:t>
      </w:r>
      <w:r w:rsidR="00315C71">
        <w:t>х</w:t>
      </w:r>
      <w:r>
        <w:t xml:space="preserve"> экспертных знаний и пре</w:t>
      </w:r>
      <w:r>
        <w:t>д</w:t>
      </w:r>
      <w:r>
        <w:t>ставленной ими информации (национальные и местные государственные орг</w:t>
      </w:r>
      <w:r>
        <w:t>а</w:t>
      </w:r>
      <w:r>
        <w:t>ны власти; гражданское общество и НПО; преподаватели, сотрудники органов системы образования и организации преподавателей) с целью перенять пер</w:t>
      </w:r>
      <w:r>
        <w:t>е</w:t>
      </w:r>
      <w:r>
        <w:t>довые методы работы и выявить возможности для обмена такими методами р</w:t>
      </w:r>
      <w:r>
        <w:t>а</w:t>
      </w:r>
      <w:r>
        <w:t>боты и их применения в более широких масштабах; и определить пути пр</w:t>
      </w:r>
      <w:r>
        <w:t>о</w:t>
      </w:r>
      <w:r>
        <w:t xml:space="preserve">движения вперед на пути к решению проблемы насилия по признаку пола в школах. </w:t>
      </w:r>
    </w:p>
    <w:p w:rsidR="00FC440F" w:rsidRDefault="00FC440F" w:rsidP="00FC440F">
      <w:pPr>
        <w:pStyle w:val="SingleTxt"/>
      </w:pPr>
      <w:r>
        <w:tab/>
        <w:t>В декабре 2006 года в рамках второго Международного коллоквиума по вопросам политики в области научных исследований и высшего образования ЮНЕСКО организовала международное совещание за круглым столом по теме «Женщины и научные исследования: ощутимый прогресс», на котором прису</w:t>
      </w:r>
      <w:r>
        <w:t>т</w:t>
      </w:r>
      <w:r>
        <w:t>ствовала баронесса Сюзан Гринфилд — профессор фармакологии Оксфордск</w:t>
      </w:r>
      <w:r>
        <w:t>о</w:t>
      </w:r>
      <w:r>
        <w:t>го университета. На этом совещании за круглым столом был рассмотрен в</w:t>
      </w:r>
      <w:r>
        <w:t>о</w:t>
      </w:r>
      <w:r>
        <w:t>прос об участии женщин в высшем образовании, в частности в научных иссл</w:t>
      </w:r>
      <w:r>
        <w:t>е</w:t>
      </w:r>
      <w:r>
        <w:t>дованиях, и достигнутые успехи в этой области. Его участники подчеркнули успехи, достигнутые женщинами в области научных исследований, и их вли</w:t>
      </w:r>
      <w:r>
        <w:t>я</w:t>
      </w:r>
      <w:r>
        <w:t>ние на расширение прав и возможностей женщин, проблемы, с которыми ста</w:t>
      </w:r>
      <w:r>
        <w:t>л</w:t>
      </w:r>
      <w:r>
        <w:t>киваются женщины в своей исследовательской работе, и накопленный опыт учета факторов, способствующих созданию благоприятных условий для уч</w:t>
      </w:r>
      <w:r>
        <w:t>а</w:t>
      </w:r>
      <w:r>
        <w:t>стия женщин в научных исследованиях.</w:t>
      </w:r>
    </w:p>
    <w:p w:rsidR="00FC440F" w:rsidRDefault="00FC440F" w:rsidP="00FC440F">
      <w:pPr>
        <w:pStyle w:val="SingleTxt"/>
      </w:pPr>
      <w:r>
        <w:tab/>
        <w:t>В рамках программы, осуществление которой было начато ЮНЕСКО и компанией «Л’Ореаль» в 1998 году, пятерым исследовательницам — по одной от каждого континента (все из которых  — физики или химики)</w:t>
      </w:r>
      <w:r w:rsidR="00315C71">
        <w:t xml:space="preserve"> — </w:t>
      </w:r>
      <w:r>
        <w:t>была вруч</w:t>
      </w:r>
      <w:r>
        <w:t>е</w:t>
      </w:r>
      <w:r>
        <w:t>на девятая награда «Л’Ореаль»-ЮНЕСКО, присуждаемая женщинам за дост</w:t>
      </w:r>
      <w:r>
        <w:t>и</w:t>
      </w:r>
      <w:r>
        <w:t>жения в области науки (размер каждой премии составлял 100 000 долл. США). Пятнадцать молодых исследователей в области биологии со всех пяти конт</w:t>
      </w:r>
      <w:r>
        <w:t>и</w:t>
      </w:r>
      <w:r>
        <w:t>нентов получили в штаб-квартире ЮНЕСКО международную стипендию ЮНЕСКО-«Л’Ореаль», которая предназначается для женщин, занимающихся научными исследованиями (размер каждой стипендии — 20 000 долл. США) и которая присуждается ежегодно с 2000 года, благодаря чему выпускники до</w:t>
      </w:r>
      <w:r>
        <w:t>к</w:t>
      </w:r>
      <w:r>
        <w:t>торантуры имеют возможность продолжать научные исследования в распол</w:t>
      </w:r>
      <w:r>
        <w:t>о</w:t>
      </w:r>
      <w:r>
        <w:t>женной за пределами их страны лаборатории принимающего государства.</w:t>
      </w:r>
    </w:p>
    <w:p w:rsidR="00FC440F" w:rsidRDefault="00FC440F" w:rsidP="00FC440F">
      <w:pPr>
        <w:pStyle w:val="SingleTxt"/>
      </w:pPr>
      <w:r>
        <w:tab/>
        <w:t>В марте 2007 года ЮНЕСКО отметила Международный женский день, воздав должное женщинам всего мира, которые ведут мужественную борьбу за мир, зачастую не афишируя себя. В работе организованного ею международн</w:t>
      </w:r>
      <w:r>
        <w:t>о</w:t>
      </w:r>
      <w:r>
        <w:t>го совещания за круглым столом по теме «Женщины-борцы за мир» приняли участие пять выдающихся женщин, внесших вклад в укрепление мира. В ра</w:t>
      </w:r>
      <w:r>
        <w:t>м</w:t>
      </w:r>
      <w:r>
        <w:t>ках программы празднования 8 </w:t>
      </w:r>
      <w:r w:rsidR="00315C71">
        <w:t xml:space="preserve">Марта </w:t>
      </w:r>
      <w:r>
        <w:t>также были проведены мероприятия, п</w:t>
      </w:r>
      <w:r>
        <w:t>о</w:t>
      </w:r>
      <w:r>
        <w:t>священные вкладу женщин в развитие искусств, путем организации художес</w:t>
      </w:r>
      <w:r>
        <w:t>т</w:t>
      </w:r>
      <w:r>
        <w:t xml:space="preserve">венных выставок и демонстрации художественных фильмов. Кроме того, были созданы две сети: </w:t>
      </w:r>
      <w:r>
        <w:rPr>
          <w:lang w:val="en-US"/>
        </w:rPr>
        <w:t>a</w:t>
      </w:r>
      <w:r w:rsidR="00315C71">
        <w:t>) </w:t>
      </w:r>
      <w:r>
        <w:t>Группа женщин-послов при ЮНЕСКО, выступающих за равенство мужчин и женщин, цели которой включают обмен актуальной и п</w:t>
      </w:r>
      <w:r>
        <w:t>о</w:t>
      </w:r>
      <w:r>
        <w:t>лезной информацией и опытом, оказание ЮНЕСКО помощи в расширении масштабов ее деятельности и активное содействие решению вопросов, связа</w:t>
      </w:r>
      <w:r>
        <w:t>н</w:t>
      </w:r>
      <w:r>
        <w:t>ных с обеспечением равенства мужчин и женщин и расширением прав и во</w:t>
      </w:r>
      <w:r>
        <w:t>з</w:t>
      </w:r>
      <w:r>
        <w:t xml:space="preserve">можностей женщин во всех областях деятельности Организации, а также в Секретариате; </w:t>
      </w:r>
      <w:r>
        <w:rPr>
          <w:lang w:val="en-US"/>
        </w:rPr>
        <w:t>b</w:t>
      </w:r>
      <w:r w:rsidR="00315C71">
        <w:t>) </w:t>
      </w:r>
      <w:r>
        <w:t>Международная сеть женщин-философов ЮНЕСКО, деятел</w:t>
      </w:r>
      <w:r>
        <w:t>ь</w:t>
      </w:r>
      <w:r>
        <w:t>ность которой нацелена на расширение масштабов участия женщин в провод</w:t>
      </w:r>
      <w:r>
        <w:t>и</w:t>
      </w:r>
      <w:r>
        <w:t>мых на международном уровне обсуждениях и обмене опытом по ключевым вопросам, определенным в Стратегии ЮНЕСКО в области философии, путем признания и содействия внесению женщинами-философами более весомого вклада в обеспечение международного сотрудничества и взаимопоним</w:t>
      </w:r>
      <w:r>
        <w:t>а</w:t>
      </w:r>
      <w:r>
        <w:t>ния.</w:t>
      </w:r>
    </w:p>
    <w:p w:rsidR="00FC440F" w:rsidRDefault="00FC440F" w:rsidP="00193D1E">
      <w:pPr>
        <w:pStyle w:val="SingleTxt"/>
        <w:rPr>
          <w:lang w:val="en-US"/>
        </w:rPr>
      </w:pPr>
    </w:p>
    <w:p w:rsidR="00FC440F" w:rsidRDefault="00FC440F" w:rsidP="00193D1E">
      <w:pPr>
        <w:pStyle w:val="SingleTxt"/>
        <w:rPr>
          <w:lang w:val="en-US"/>
        </w:rPr>
      </w:pPr>
    </w:p>
    <w:p w:rsidR="00FC440F" w:rsidRDefault="00FC440F" w:rsidP="00193D1E">
      <w:pPr>
        <w:pStyle w:val="SingleTxt"/>
        <w:rPr>
          <w:lang w:val="en-US"/>
        </w:rPr>
        <w:sectPr w:rsidR="00FC440F" w:rsidSect="00193D1E"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docGrid w:linePitch="360"/>
        </w:sectPr>
      </w:pPr>
    </w:p>
    <w:p w:rsidR="00E54326" w:rsidRPr="004C395C" w:rsidRDefault="00E54326" w:rsidP="004C395C">
      <w:pPr>
        <w:pStyle w:val="HCh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 w:rsidRPr="004C395C">
        <w:t>II.</w:t>
      </w:r>
      <w:r w:rsidRPr="004C395C">
        <w:tab/>
        <w:t>Меры, принятые ЮНЕСКО в целях осуществления положений Конвенции в странах, доклады которых будут рассмотрены на тридцать восьмой сессии Комитета</w:t>
      </w:r>
    </w:p>
    <w:p w:rsidR="004C395C" w:rsidRPr="004C395C" w:rsidRDefault="004C395C" w:rsidP="004C395C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ind w:left="475" w:hanging="475"/>
        <w:rPr>
          <w:sz w:val="10"/>
          <w:szCs w:val="28"/>
        </w:rPr>
      </w:pPr>
    </w:p>
    <w:p w:rsidR="00E54326" w:rsidRPr="00E54326" w:rsidRDefault="00E54326" w:rsidP="00E54326">
      <w:pPr>
        <w:spacing w:line="120" w:lineRule="exact"/>
        <w:rPr>
          <w:sz w:val="10"/>
        </w:rPr>
      </w:pPr>
    </w:p>
    <w:p w:rsidR="00FC440F" w:rsidRDefault="00FC440F" w:rsidP="00FC440F">
      <w:pPr>
        <w:pStyle w:val="H1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E54326">
        <w:tab/>
      </w:r>
      <w:r>
        <w:rPr>
          <w:lang w:val="en-US"/>
        </w:rPr>
        <w:t>A</w:t>
      </w:r>
      <w:r>
        <w:t>.</w:t>
      </w:r>
      <w:r>
        <w:tab/>
        <w:t xml:space="preserve">Сравнительные статистические данные за несколько лет, отражающие степень достижения гендерного равенства в области образования, по всем странам, представившим доклады Комитету для рассмотрения на его тридцать восьмой сессии </w:t>
      </w:r>
    </w:p>
    <w:p w:rsidR="00FC440F" w:rsidRPr="00727218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Pr="00727218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1.</w:t>
      </w:r>
      <w:r>
        <w:tab/>
        <w:t>Начальное образование</w:t>
      </w:r>
    </w:p>
    <w:p w:rsidR="00FC440F" w:rsidRPr="00727218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Pr="00A02754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b w:val="0"/>
        </w:rPr>
      </w:pPr>
      <w:r>
        <w:tab/>
      </w:r>
      <w:r>
        <w:tab/>
        <w:t>Данные по странам</w:t>
      </w:r>
      <w:r w:rsidR="00A02754">
        <w:br/>
      </w:r>
      <w:r w:rsidR="00A02754" w:rsidRPr="00A02754">
        <w:rPr>
          <w:b w:val="0"/>
        </w:rPr>
        <w:t>(</w:t>
      </w:r>
      <w:r w:rsidR="00A02754" w:rsidRPr="00A02754">
        <w:rPr>
          <w:b w:val="0"/>
          <w:i/>
        </w:rPr>
        <w:t>В процентах</w:t>
      </w:r>
      <w:r w:rsidR="00A02754">
        <w:rPr>
          <w:b w:val="0"/>
        </w:rPr>
        <w:t>)</w:t>
      </w: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Pr="00727218" w:rsidRDefault="00FC440F" w:rsidP="00FC440F">
      <w:pPr>
        <w:pStyle w:val="DualTxt"/>
        <w:spacing w:after="0" w:line="120" w:lineRule="exact"/>
        <w:rPr>
          <w:sz w:val="10"/>
        </w:rPr>
      </w:pPr>
    </w:p>
    <w:tbl>
      <w:tblPr>
        <w:tblW w:w="12377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47"/>
        <w:gridCol w:w="609"/>
        <w:gridCol w:w="657"/>
        <w:gridCol w:w="666"/>
        <w:gridCol w:w="668"/>
        <w:gridCol w:w="64"/>
        <w:gridCol w:w="602"/>
        <w:gridCol w:w="666"/>
        <w:gridCol w:w="666"/>
        <w:gridCol w:w="666"/>
        <w:gridCol w:w="46"/>
        <w:gridCol w:w="611"/>
        <w:gridCol w:w="657"/>
        <w:gridCol w:w="648"/>
        <w:gridCol w:w="666"/>
        <w:gridCol w:w="55"/>
        <w:gridCol w:w="602"/>
        <w:gridCol w:w="666"/>
        <w:gridCol w:w="657"/>
        <w:gridCol w:w="651"/>
      </w:tblGrid>
      <w:tr w:rsidR="00E943DA" w:rsidRPr="00031DD7" w:rsidTr="00F9431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tabs>
                <w:tab w:val="left" w:pos="1053"/>
              </w:tabs>
              <w:spacing w:before="40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FC440F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910C88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 xml:space="preserve">Начальное образование </w:t>
            </w:r>
            <w:r>
              <w:rPr>
                <w:i/>
                <w:sz w:val="14"/>
              </w:rPr>
              <w:br/>
              <w:t>Совокупный показатель</w:t>
            </w: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Начальное образование</w:t>
            </w:r>
            <w:r>
              <w:rPr>
                <w:i/>
                <w:sz w:val="14"/>
              </w:rPr>
              <w:br/>
              <w:t>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Начальное образование</w:t>
            </w:r>
            <w:r>
              <w:rPr>
                <w:i/>
                <w:sz w:val="14"/>
              </w:rPr>
              <w:br/>
              <w:t>Женщ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3DA" w:rsidRPr="00031DD7" w:rsidRDefault="00E943DA" w:rsidP="00B11425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 xml:space="preserve">по чистому показателю охвата </w:t>
            </w:r>
            <w:r>
              <w:rPr>
                <w:i/>
                <w:sz w:val="14"/>
              </w:rPr>
              <w:br/>
              <w:t>Начальное образов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ние</w:t>
            </w:r>
          </w:p>
        </w:tc>
      </w:tr>
      <w:tr w:rsidR="00E943DA" w:rsidRPr="00031DD7" w:rsidTr="00F9431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43DA" w:rsidRPr="00031DD7" w:rsidRDefault="00E943DA" w:rsidP="0007599F">
            <w:pPr>
              <w:tabs>
                <w:tab w:val="left" w:pos="1278"/>
              </w:tabs>
              <w:spacing w:before="40" w:after="80" w:line="160" w:lineRule="exact"/>
              <w:jc w:val="right"/>
              <w:rPr>
                <w:i/>
                <w:sz w:val="14"/>
              </w:rPr>
            </w:pP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910C88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</w:tcPr>
          <w:p w:rsidR="00E943DA" w:rsidRPr="00031DD7" w:rsidRDefault="00E943DA" w:rsidP="00B11425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FC440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Мавритания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66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68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74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75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74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97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99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Мозамбик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60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56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71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75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55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53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67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83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87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90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Нигер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29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32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36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39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34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38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42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46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23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26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29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32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69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69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71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71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Пакистан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58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66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69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76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47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56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68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73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Сербия и Черног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рия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96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96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96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00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Сьерра-Леоне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shd w:val="clear" w:color="auto" w:fill="auto"/>
            <w:vAlign w:val="bottom"/>
          </w:tcPr>
          <w:p w:rsidR="00FC440F" w:rsidRPr="00031DD7" w:rsidRDefault="00FC440F" w:rsidP="00F9431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Сирийская Арабская Республика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94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A92259">
              <w:rPr>
                <w:sz w:val="17"/>
              </w:rPr>
              <w:t>95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A92259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97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97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92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92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3F7728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3F7728">
              <w:rPr>
                <w:sz w:val="17"/>
              </w:rPr>
              <w:t>95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3F7728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FC440F" w:rsidRPr="00031DD7" w:rsidTr="00F94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7"/>
              </w:rPr>
            </w:pPr>
            <w:r>
              <w:rPr>
                <w:sz w:val="17"/>
              </w:rPr>
              <w:t>Вануату</w:t>
            </w: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1,01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114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</w:p>
        </w:tc>
      </w:tr>
    </w:tbl>
    <w:p w:rsidR="00FC440F" w:rsidRDefault="00FC440F" w:rsidP="00FC440F">
      <w:pPr>
        <w:pStyle w:val="DualTxt"/>
      </w:pPr>
    </w:p>
    <w:p w:rsidR="00FC440F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</w:r>
      <w:r>
        <w:tab/>
        <w:t>Данные, агрегированные по регионам</w:t>
      </w:r>
      <w:r w:rsidR="000405E9">
        <w:br/>
      </w:r>
      <w:r w:rsidR="000405E9" w:rsidRPr="00A02754">
        <w:rPr>
          <w:b w:val="0"/>
        </w:rPr>
        <w:t>(</w:t>
      </w:r>
      <w:r w:rsidR="000405E9" w:rsidRPr="00A02754">
        <w:rPr>
          <w:b w:val="0"/>
          <w:i/>
        </w:rPr>
        <w:t>В процентах</w:t>
      </w:r>
      <w:r w:rsidR="000405E9">
        <w:rPr>
          <w:b w:val="0"/>
        </w:rPr>
        <w:t>)</w:t>
      </w: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tbl>
      <w:tblPr>
        <w:tblW w:w="12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811"/>
        <w:gridCol w:w="41"/>
        <w:gridCol w:w="591"/>
        <w:gridCol w:w="17"/>
        <w:gridCol w:w="657"/>
        <w:gridCol w:w="656"/>
        <w:gridCol w:w="9"/>
        <w:gridCol w:w="674"/>
        <w:gridCol w:w="55"/>
        <w:gridCol w:w="610"/>
        <w:gridCol w:w="9"/>
        <w:gridCol w:w="656"/>
        <w:gridCol w:w="647"/>
        <w:gridCol w:w="18"/>
        <w:gridCol w:w="647"/>
        <w:gridCol w:w="18"/>
        <w:gridCol w:w="46"/>
        <w:gridCol w:w="610"/>
        <w:gridCol w:w="656"/>
        <w:gridCol w:w="638"/>
        <w:gridCol w:w="9"/>
        <w:gridCol w:w="665"/>
        <w:gridCol w:w="55"/>
        <w:gridCol w:w="610"/>
        <w:gridCol w:w="665"/>
        <w:gridCol w:w="18"/>
        <w:gridCol w:w="638"/>
        <w:gridCol w:w="650"/>
        <w:gridCol w:w="19"/>
      </w:tblGrid>
      <w:tr w:rsidR="002F106A" w:rsidRPr="00031DD7" w:rsidTr="00932D8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" w:type="dxa"/>
          <w:wAfter w:w="19" w:type="dxa"/>
          <w:cantSplit/>
          <w:tblHeader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tabs>
                <w:tab w:val="left" w:pos="1053"/>
              </w:tabs>
              <w:spacing w:before="40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 xml:space="preserve">Начальное образование </w:t>
            </w:r>
            <w:r>
              <w:rPr>
                <w:i/>
                <w:sz w:val="14"/>
              </w:rPr>
              <w:br/>
              <w:t>Совокупный показатель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Начальное образование</w:t>
            </w:r>
            <w:r>
              <w:rPr>
                <w:i/>
                <w:sz w:val="14"/>
              </w:rPr>
              <w:br/>
              <w:t>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Начальное образование</w:t>
            </w:r>
            <w:r>
              <w:rPr>
                <w:i/>
                <w:sz w:val="14"/>
              </w:rPr>
              <w:br/>
              <w:t>Женщ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 xml:space="preserve">по чистому показателю охвата </w:t>
            </w:r>
            <w:r>
              <w:rPr>
                <w:i/>
                <w:sz w:val="14"/>
              </w:rPr>
              <w:br/>
              <w:t>Начальное образов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ние</w:t>
            </w:r>
          </w:p>
        </w:tc>
      </w:tr>
      <w:tr w:rsidR="002F106A" w:rsidRPr="00031DD7" w:rsidTr="00932D8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" w:type="dxa"/>
          <w:wAfter w:w="19" w:type="dxa"/>
          <w:cantSplit/>
          <w:tblHeader/>
        </w:trPr>
        <w:tc>
          <w:tcPr>
            <w:tcW w:w="181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tabs>
                <w:tab w:val="left" w:pos="1278"/>
              </w:tabs>
              <w:spacing w:before="40" w:after="80" w:line="160" w:lineRule="exact"/>
              <w:jc w:val="right"/>
              <w:rPr>
                <w:i/>
                <w:sz w:val="14"/>
              </w:rPr>
            </w:pPr>
          </w:p>
        </w:tc>
        <w:tc>
          <w:tcPr>
            <w:tcW w:w="64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auto"/>
          </w:tcPr>
          <w:p w:rsidR="002F106A" w:rsidRPr="00031DD7" w:rsidRDefault="002F106A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</w:tr>
      <w:tr w:rsidR="002F106A" w:rsidRPr="00031DD7" w:rsidTr="00932D8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" w:type="dxa"/>
          <w:wAfter w:w="19" w:type="dxa"/>
          <w:cantSplit/>
          <w:trHeight w:hRule="exact" w:val="115"/>
          <w:tblHeader/>
        </w:trPr>
        <w:tc>
          <w:tcPr>
            <w:tcW w:w="18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106A" w:rsidRPr="00031DD7" w:rsidRDefault="002F106A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Арабские государс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ва</w:t>
            </w:r>
          </w:p>
        </w:tc>
        <w:tc>
          <w:tcPr>
            <w:tcW w:w="632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81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82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84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84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85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75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76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77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79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90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92</w:t>
            </w:r>
          </w:p>
        </w:tc>
        <w:tc>
          <w:tcPr>
            <w:tcW w:w="669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92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 xml:space="preserve">Центральная и </w:t>
            </w:r>
            <w:r w:rsidR="008204BD">
              <w:rPr>
                <w:sz w:val="17"/>
              </w:rPr>
              <w:br/>
            </w:r>
            <w:r>
              <w:rPr>
                <w:sz w:val="17"/>
              </w:rPr>
              <w:t>Во</w:t>
            </w:r>
            <w:r>
              <w:rPr>
                <w:sz w:val="17"/>
              </w:rPr>
              <w:t>с</w:t>
            </w:r>
            <w:r>
              <w:rPr>
                <w:sz w:val="17"/>
              </w:rPr>
              <w:t>точная Европа</w:t>
            </w:r>
          </w:p>
        </w:tc>
        <w:tc>
          <w:tcPr>
            <w:tcW w:w="632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91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90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91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92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91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92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90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97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98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98</w:t>
            </w:r>
          </w:p>
        </w:tc>
        <w:tc>
          <w:tcPr>
            <w:tcW w:w="669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98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 xml:space="preserve">Восточная Азия и </w:t>
            </w:r>
            <w:r w:rsidR="008204BD">
              <w:rPr>
                <w:sz w:val="17"/>
              </w:rPr>
              <w:br/>
            </w:r>
            <w:r>
              <w:rPr>
                <w:sz w:val="17"/>
              </w:rPr>
              <w:t>Тихоокеанский р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гион</w:t>
            </w:r>
          </w:p>
        </w:tc>
        <w:tc>
          <w:tcPr>
            <w:tcW w:w="632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96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93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94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96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94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93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94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96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94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92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94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00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00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99</w:t>
            </w:r>
          </w:p>
        </w:tc>
        <w:tc>
          <w:tcPr>
            <w:tcW w:w="669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99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Южная и Западная Азия</w:t>
            </w:r>
          </w:p>
        </w:tc>
        <w:tc>
          <w:tcPr>
            <w:tcW w:w="632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78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79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83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86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85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85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86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89</w:t>
            </w: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79</w:t>
            </w:r>
          </w:p>
        </w:tc>
        <w:tc>
          <w:tcPr>
            <w:tcW w:w="674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82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84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85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92</w:t>
            </w:r>
          </w:p>
        </w:tc>
        <w:tc>
          <w:tcPr>
            <w:tcW w:w="669" w:type="dxa"/>
            <w:gridSpan w:val="2"/>
            <w:shd w:val="clear" w:color="auto" w:fill="auto"/>
            <w:vAlign w:val="bottom"/>
          </w:tcPr>
          <w:p w:rsidR="00FC440F" w:rsidRPr="00D61FCE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92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7"/>
              </w:rPr>
            </w:pPr>
            <w:r>
              <w:rPr>
                <w:sz w:val="17"/>
              </w:rPr>
              <w:t>Страны Африки к югу от Сахары</w:t>
            </w:r>
          </w:p>
        </w:tc>
        <w:tc>
          <w:tcPr>
            <w:tcW w:w="63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59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61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64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66</w:t>
            </w:r>
          </w:p>
        </w:tc>
        <w:tc>
          <w:tcPr>
            <w:tcW w:w="67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62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64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67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69</w:t>
            </w:r>
          </w:p>
        </w:tc>
        <w:tc>
          <w:tcPr>
            <w:tcW w:w="67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56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58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60</w:t>
            </w:r>
          </w:p>
        </w:tc>
        <w:tc>
          <w:tcPr>
            <w:tcW w:w="67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64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91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90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90</w:t>
            </w:r>
          </w:p>
        </w:tc>
        <w:tc>
          <w:tcPr>
            <w:tcW w:w="66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D61FCE" w:rsidRDefault="00FC440F" w:rsidP="0031462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D61FCE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D61FCE">
              <w:rPr>
                <w:sz w:val="17"/>
              </w:rPr>
              <w:t>92</w:t>
            </w:r>
          </w:p>
        </w:tc>
      </w:tr>
    </w:tbl>
    <w:p w:rsidR="00FC440F" w:rsidRPr="00546D1A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Pr="00546D1A" w:rsidRDefault="00FC440F" w:rsidP="00FC440F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i/>
        </w:rPr>
        <w:t>Источник</w:t>
      </w:r>
      <w:r>
        <w:t xml:space="preserve">: </w:t>
      </w:r>
      <w:r>
        <w:rPr>
          <w:lang w:val="en-US"/>
        </w:rPr>
        <w:t>http</w:t>
      </w:r>
      <w:r w:rsidRPr="00546D1A">
        <w:t>://</w:t>
      </w:r>
      <w:r>
        <w:rPr>
          <w:lang w:val="en-US"/>
        </w:rPr>
        <w:t>stats</w:t>
      </w:r>
      <w:r w:rsidRPr="00546D1A">
        <w:t>.</w:t>
      </w:r>
      <w:r>
        <w:rPr>
          <w:lang w:val="en-US"/>
        </w:rPr>
        <w:t>uis</w:t>
      </w:r>
      <w:r w:rsidRPr="00546D1A">
        <w:t>.</w:t>
      </w:r>
      <w:r>
        <w:rPr>
          <w:lang w:val="en-US"/>
        </w:rPr>
        <w:t>unesco</w:t>
      </w:r>
      <w:r w:rsidRPr="00546D1A">
        <w:t>.</w:t>
      </w:r>
      <w:r>
        <w:rPr>
          <w:lang w:val="en-US"/>
        </w:rPr>
        <w:t>org</w:t>
      </w:r>
      <w:r w:rsidRPr="00546D1A">
        <w:t>/</w:t>
      </w:r>
      <w:r>
        <w:rPr>
          <w:lang w:val="en-US"/>
        </w:rPr>
        <w:t>TableViewer</w:t>
      </w:r>
      <w:r w:rsidRPr="00546D1A">
        <w:t>/</w:t>
      </w:r>
      <w:r>
        <w:rPr>
          <w:lang w:val="en-US"/>
        </w:rPr>
        <w:t>tableView</w:t>
      </w:r>
      <w:r w:rsidRPr="00546D1A">
        <w:t>.</w:t>
      </w:r>
      <w:r>
        <w:rPr>
          <w:lang w:val="en-US"/>
        </w:rPr>
        <w:t>aspx</w:t>
      </w:r>
      <w:r w:rsidRPr="00546D1A">
        <w:t xml:space="preserve"> </w:t>
      </w:r>
      <w:r>
        <w:t>(Институт статистики ЮНЕСКО, сектор образования), последняя сверка производилась 22 марта 2007 года.</w:t>
      </w:r>
    </w:p>
    <w:p w:rsidR="00FC440F" w:rsidRDefault="00FC440F" w:rsidP="00FC440F">
      <w:pPr>
        <w:pStyle w:val="DualTxt"/>
      </w:pPr>
    </w:p>
    <w:p w:rsidR="00FC440F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  <w:t>2.</w:t>
      </w:r>
      <w:r>
        <w:tab/>
        <w:t>Среднее образование</w:t>
      </w:r>
    </w:p>
    <w:p w:rsidR="00FC440F" w:rsidRPr="00727218" w:rsidRDefault="00FC440F" w:rsidP="00FC440F">
      <w:pPr>
        <w:pStyle w:val="DualTxt"/>
        <w:spacing w:after="0" w:line="120" w:lineRule="exact"/>
        <w:rPr>
          <w:sz w:val="10"/>
        </w:rPr>
      </w:pPr>
    </w:p>
    <w:p w:rsidR="00932D84" w:rsidRPr="00A02754" w:rsidRDefault="00932D84" w:rsidP="00932D84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b w:val="0"/>
        </w:rPr>
      </w:pPr>
      <w:r>
        <w:tab/>
      </w:r>
      <w:r>
        <w:tab/>
        <w:t>Данные по странам</w:t>
      </w:r>
      <w:r>
        <w:br/>
      </w:r>
      <w:r w:rsidRPr="00A02754">
        <w:rPr>
          <w:b w:val="0"/>
        </w:rPr>
        <w:t>(</w:t>
      </w:r>
      <w:r w:rsidRPr="00A02754">
        <w:rPr>
          <w:b w:val="0"/>
          <w:i/>
        </w:rPr>
        <w:t>В процентах</w:t>
      </w:r>
      <w:r>
        <w:rPr>
          <w:b w:val="0"/>
        </w:rPr>
        <w:t>)</w:t>
      </w: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p w:rsidR="00932D84" w:rsidRDefault="00932D84" w:rsidP="00FC440F">
      <w:pPr>
        <w:pStyle w:val="DualTxt"/>
        <w:spacing w:after="0" w:line="120" w:lineRule="exact"/>
        <w:rPr>
          <w:sz w:val="10"/>
        </w:rPr>
      </w:pPr>
    </w:p>
    <w:p w:rsidR="00932D84" w:rsidRDefault="00932D84" w:rsidP="00FC440F">
      <w:pPr>
        <w:pStyle w:val="DualTxt"/>
        <w:spacing w:after="0" w:line="120" w:lineRule="exact"/>
        <w:rPr>
          <w:sz w:val="10"/>
        </w:rPr>
      </w:pPr>
    </w:p>
    <w:tbl>
      <w:tblPr>
        <w:tblW w:w="12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807"/>
        <w:gridCol w:w="47"/>
        <w:gridCol w:w="609"/>
        <w:gridCol w:w="657"/>
        <w:gridCol w:w="666"/>
        <w:gridCol w:w="668"/>
        <w:gridCol w:w="64"/>
        <w:gridCol w:w="602"/>
        <w:gridCol w:w="666"/>
        <w:gridCol w:w="666"/>
        <w:gridCol w:w="666"/>
        <w:gridCol w:w="46"/>
        <w:gridCol w:w="611"/>
        <w:gridCol w:w="657"/>
        <w:gridCol w:w="648"/>
        <w:gridCol w:w="666"/>
        <w:gridCol w:w="55"/>
        <w:gridCol w:w="602"/>
        <w:gridCol w:w="666"/>
        <w:gridCol w:w="657"/>
        <w:gridCol w:w="651"/>
      </w:tblGrid>
      <w:tr w:rsidR="00932D84" w:rsidRPr="00031DD7" w:rsidTr="00932D84">
        <w:tblPrEx>
          <w:tblCellMar>
            <w:top w:w="0" w:type="dxa"/>
            <w:bottom w:w="0" w:type="dxa"/>
          </w:tblCellMar>
        </w:tblPrEx>
        <w:trPr>
          <w:gridBefore w:val="1"/>
          <w:wBefore w:w="24" w:type="dxa"/>
          <w:cantSplit/>
          <w:tblHeader/>
        </w:trPr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tabs>
                <w:tab w:val="left" w:pos="1053"/>
              </w:tabs>
              <w:spacing w:before="40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 xml:space="preserve">Среднее образование </w:t>
            </w:r>
            <w:r>
              <w:rPr>
                <w:i/>
                <w:sz w:val="14"/>
              </w:rPr>
              <w:br/>
              <w:t>Совокупный показатель</w:t>
            </w: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Среднее образование</w:t>
            </w:r>
            <w:r>
              <w:rPr>
                <w:i/>
                <w:sz w:val="14"/>
              </w:rPr>
              <w:br/>
              <w:t>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Среднее образование</w:t>
            </w:r>
            <w:r>
              <w:rPr>
                <w:i/>
                <w:sz w:val="14"/>
              </w:rPr>
              <w:br/>
              <w:t>Женщ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 xml:space="preserve">по чистому показателю охвата </w:t>
            </w:r>
            <w:r>
              <w:rPr>
                <w:i/>
                <w:sz w:val="14"/>
              </w:rPr>
              <w:br/>
            </w:r>
            <w:r w:rsidR="00CD1B2F">
              <w:rPr>
                <w:i/>
                <w:sz w:val="14"/>
              </w:rPr>
              <w:t xml:space="preserve">Среднее </w:t>
            </w:r>
            <w:r>
              <w:rPr>
                <w:i/>
                <w:sz w:val="14"/>
              </w:rPr>
              <w:t>образов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ние</w:t>
            </w:r>
          </w:p>
        </w:tc>
      </w:tr>
      <w:tr w:rsidR="00932D84" w:rsidRPr="00031DD7" w:rsidTr="00932D84">
        <w:tblPrEx>
          <w:tblCellMar>
            <w:top w:w="0" w:type="dxa"/>
            <w:bottom w:w="0" w:type="dxa"/>
          </w:tblCellMar>
        </w:tblPrEx>
        <w:trPr>
          <w:gridBefore w:val="1"/>
          <w:wBefore w:w="24" w:type="dxa"/>
          <w:cantSplit/>
          <w:tblHeader/>
        </w:trPr>
        <w:tc>
          <w:tcPr>
            <w:tcW w:w="180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tabs>
                <w:tab w:val="left" w:pos="1278"/>
              </w:tabs>
              <w:spacing w:before="40" w:after="80" w:line="160" w:lineRule="exact"/>
              <w:jc w:val="right"/>
              <w:rPr>
                <w:i/>
                <w:sz w:val="14"/>
              </w:rPr>
            </w:pP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</w:tcPr>
          <w:p w:rsidR="00932D84" w:rsidRPr="00031DD7" w:rsidRDefault="00932D84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</w:tr>
      <w:tr w:rsidR="00932D84" w:rsidRPr="00031DD7" w:rsidTr="00932D84">
        <w:tblPrEx>
          <w:tblCellMar>
            <w:top w:w="0" w:type="dxa"/>
            <w:bottom w:w="0" w:type="dxa"/>
          </w:tblCellMar>
        </w:tblPrEx>
        <w:trPr>
          <w:gridBefore w:val="1"/>
          <w:wBefore w:w="24" w:type="dxa"/>
          <w:cantSplit/>
          <w:trHeight w:hRule="exact" w:val="115"/>
          <w:tblHeader/>
        </w:trPr>
        <w:tc>
          <w:tcPr>
            <w:tcW w:w="18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2D84" w:rsidRPr="00031DD7" w:rsidRDefault="00932D84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Мавритания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16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14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16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13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13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78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82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Мозамбик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78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Нигер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6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7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8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69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68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69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68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Пакистан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22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25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18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73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Сербия и Черног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рия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Сьерра-Леоне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Сирийская Арабская Республика</w:t>
            </w: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54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38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60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36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56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91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91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93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C440F" w:rsidRPr="004C5CB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93</w:t>
            </w:r>
          </w:p>
        </w:tc>
      </w:tr>
      <w:tr w:rsidR="00FC440F" w:rsidRPr="00031DD7" w:rsidTr="0093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7"/>
              </w:rPr>
            </w:pPr>
            <w:r>
              <w:rPr>
                <w:sz w:val="17"/>
              </w:rPr>
              <w:t>Вануату</w:t>
            </w: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33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37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37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39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38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40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42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32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36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36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92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95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84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4C5CBF" w:rsidRDefault="00FC440F" w:rsidP="00CD1B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4C5CB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4C5CBF">
              <w:rPr>
                <w:sz w:val="17"/>
              </w:rPr>
              <w:t>86</w:t>
            </w:r>
          </w:p>
        </w:tc>
      </w:tr>
    </w:tbl>
    <w:p w:rsidR="00FC440F" w:rsidRDefault="00FC440F" w:rsidP="00FC440F">
      <w:pPr>
        <w:pStyle w:val="DualTxt"/>
      </w:pPr>
    </w:p>
    <w:p w:rsidR="00FC440F" w:rsidRDefault="00FC440F" w:rsidP="00FC440F">
      <w:pPr>
        <w:pStyle w:val="DualTxt"/>
      </w:pPr>
    </w:p>
    <w:p w:rsidR="00FC440F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</w:r>
      <w:r>
        <w:tab/>
        <w:t>Данные, агрегированные по регионам</w:t>
      </w:r>
      <w:r w:rsidR="000405E9">
        <w:br/>
      </w:r>
      <w:r w:rsidR="000405E9" w:rsidRPr="00A02754">
        <w:rPr>
          <w:b w:val="0"/>
        </w:rPr>
        <w:t>(</w:t>
      </w:r>
      <w:r w:rsidR="000405E9" w:rsidRPr="00A02754">
        <w:rPr>
          <w:b w:val="0"/>
          <w:i/>
        </w:rPr>
        <w:t>В процентах</w:t>
      </w:r>
      <w:r w:rsidR="000405E9">
        <w:rPr>
          <w:b w:val="0"/>
        </w:rPr>
        <w:t>)</w:t>
      </w: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tbl>
      <w:tblPr>
        <w:tblW w:w="12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7"/>
        <w:gridCol w:w="42"/>
        <w:gridCol w:w="614"/>
        <w:gridCol w:w="647"/>
        <w:gridCol w:w="11"/>
        <w:gridCol w:w="666"/>
        <w:gridCol w:w="675"/>
        <w:gridCol w:w="57"/>
        <w:gridCol w:w="602"/>
        <w:gridCol w:w="6"/>
        <w:gridCol w:w="665"/>
        <w:gridCol w:w="666"/>
        <w:gridCol w:w="666"/>
        <w:gridCol w:w="46"/>
        <w:gridCol w:w="611"/>
        <w:gridCol w:w="657"/>
        <w:gridCol w:w="648"/>
        <w:gridCol w:w="666"/>
        <w:gridCol w:w="55"/>
        <w:gridCol w:w="602"/>
        <w:gridCol w:w="666"/>
        <w:gridCol w:w="665"/>
        <w:gridCol w:w="651"/>
      </w:tblGrid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tabs>
                <w:tab w:val="left" w:pos="1053"/>
              </w:tabs>
              <w:spacing w:before="40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 xml:space="preserve">Среднее образование </w:t>
            </w:r>
            <w:r>
              <w:rPr>
                <w:i/>
                <w:sz w:val="14"/>
              </w:rPr>
              <w:br/>
              <w:t>Совокупный показатель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Среднее образование</w:t>
            </w:r>
            <w:r>
              <w:rPr>
                <w:i/>
                <w:sz w:val="14"/>
              </w:rPr>
              <w:br/>
              <w:t>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Чистый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Среднее образование</w:t>
            </w:r>
            <w:r>
              <w:rPr>
                <w:i/>
                <w:sz w:val="14"/>
              </w:rPr>
              <w:br/>
              <w:t>Женщ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 xml:space="preserve">по чистому показателю охвата </w:t>
            </w:r>
            <w:r>
              <w:rPr>
                <w:i/>
                <w:sz w:val="14"/>
              </w:rPr>
              <w:br/>
              <w:t>Среднее образов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ние</w:t>
            </w: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tabs>
                <w:tab w:val="left" w:pos="1278"/>
              </w:tabs>
              <w:spacing w:before="40" w:after="80" w:line="160" w:lineRule="exact"/>
              <w:jc w:val="right"/>
              <w:rPr>
                <w:i/>
                <w:sz w:val="14"/>
              </w:rPr>
            </w:pPr>
          </w:p>
        </w:tc>
        <w:tc>
          <w:tcPr>
            <w:tcW w:w="65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</w:tcPr>
          <w:p w:rsidR="00CD1B2F" w:rsidRPr="00031DD7" w:rsidRDefault="00CD1B2F" w:rsidP="00CD1B2F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659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D1B2F" w:rsidRPr="00031DD7" w:rsidRDefault="00CD1B2F" w:rsidP="00CD1B2F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Арабские государс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ва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54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56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56</w:t>
            </w: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58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51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54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93</w:t>
            </w: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 xml:space="preserve">Центральная и </w:t>
            </w:r>
            <w:r w:rsidR="00AA7D67">
              <w:rPr>
                <w:sz w:val="17"/>
              </w:rPr>
              <w:br/>
            </w:r>
            <w:r>
              <w:rPr>
                <w:sz w:val="17"/>
              </w:rPr>
              <w:t>Во</w:t>
            </w:r>
            <w:r>
              <w:rPr>
                <w:sz w:val="17"/>
              </w:rPr>
              <w:t>с</w:t>
            </w:r>
            <w:r>
              <w:rPr>
                <w:sz w:val="17"/>
              </w:rPr>
              <w:t>точная Европа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83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84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82</w:t>
            </w: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83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81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98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98</w:t>
            </w: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 xml:space="preserve">Восточная Азия и </w:t>
            </w:r>
            <w:r w:rsidR="00AA7D67">
              <w:rPr>
                <w:sz w:val="17"/>
              </w:rPr>
              <w:br/>
            </w:r>
            <w:r>
              <w:rPr>
                <w:sz w:val="17"/>
              </w:rPr>
              <w:t>Тихоокеанский рег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он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65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69</w:t>
            </w: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Южная и Западная Азия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CD1B2F" w:rsidRPr="00031DD7" w:rsidTr="00CD1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7"/>
              </w:rPr>
            </w:pPr>
            <w:r>
              <w:rPr>
                <w:sz w:val="17"/>
              </w:rPr>
              <w:t>Страны Африки к югу от Сахары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21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23</w:t>
            </w: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24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24</w:t>
            </w:r>
          </w:p>
        </w:tc>
        <w:tc>
          <w:tcPr>
            <w:tcW w:w="66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23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26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27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19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20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21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22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82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82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80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BA0C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81</w:t>
            </w:r>
          </w:p>
        </w:tc>
      </w:tr>
    </w:tbl>
    <w:p w:rsidR="00FC440F" w:rsidRPr="00546D1A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Pr="00546D1A" w:rsidRDefault="00FC440F" w:rsidP="00FC440F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i/>
        </w:rPr>
        <w:t>Источник</w:t>
      </w:r>
      <w:r>
        <w:t xml:space="preserve">: </w:t>
      </w:r>
      <w:r>
        <w:rPr>
          <w:lang w:val="en-US"/>
        </w:rPr>
        <w:t>http</w:t>
      </w:r>
      <w:r w:rsidRPr="00546D1A">
        <w:t>://</w:t>
      </w:r>
      <w:r>
        <w:rPr>
          <w:lang w:val="en-US"/>
        </w:rPr>
        <w:t>stats</w:t>
      </w:r>
      <w:r w:rsidRPr="00546D1A">
        <w:t>.</w:t>
      </w:r>
      <w:r>
        <w:rPr>
          <w:lang w:val="en-US"/>
        </w:rPr>
        <w:t>uis</w:t>
      </w:r>
      <w:r w:rsidRPr="00546D1A">
        <w:t>.</w:t>
      </w:r>
      <w:r>
        <w:rPr>
          <w:lang w:val="en-US"/>
        </w:rPr>
        <w:t>unesco</w:t>
      </w:r>
      <w:r w:rsidRPr="00546D1A">
        <w:t>.</w:t>
      </w:r>
      <w:r>
        <w:rPr>
          <w:lang w:val="en-US"/>
        </w:rPr>
        <w:t>org</w:t>
      </w:r>
      <w:r w:rsidRPr="00546D1A">
        <w:t>/</w:t>
      </w:r>
      <w:r>
        <w:rPr>
          <w:lang w:val="en-US"/>
        </w:rPr>
        <w:t>TableViewer</w:t>
      </w:r>
      <w:r w:rsidRPr="00546D1A">
        <w:t>/</w:t>
      </w:r>
      <w:r>
        <w:rPr>
          <w:lang w:val="en-US"/>
        </w:rPr>
        <w:t>tableView</w:t>
      </w:r>
      <w:r w:rsidRPr="00546D1A">
        <w:t>.</w:t>
      </w:r>
      <w:r>
        <w:rPr>
          <w:lang w:val="en-US"/>
        </w:rPr>
        <w:t>aspx</w:t>
      </w:r>
      <w:r w:rsidRPr="00546D1A">
        <w:t xml:space="preserve"> </w:t>
      </w:r>
      <w:r>
        <w:t>(Институт статистики ЮНЕСКО, сектор образования), последняя сверка производилась 22 марта 2007 года.</w:t>
      </w:r>
    </w:p>
    <w:p w:rsidR="00FC440F" w:rsidRDefault="00FC440F" w:rsidP="00FC440F">
      <w:pPr>
        <w:pStyle w:val="DualTxt"/>
      </w:pPr>
    </w:p>
    <w:p w:rsidR="00FC440F" w:rsidRPr="00425367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  <w:t>3.</w:t>
      </w:r>
      <w:r>
        <w:tab/>
        <w:t>Высшее образование (пятая и шестая ступен</w:t>
      </w:r>
      <w:r w:rsidR="00BA0CFA">
        <w:t>и</w:t>
      </w:r>
      <w:r>
        <w:t xml:space="preserve"> Международной стандартной квалификации образования (МСКО 5 и 6)</w:t>
      </w:r>
      <w:r w:rsidR="00BA0CFA">
        <w:t>)</w:t>
      </w:r>
    </w:p>
    <w:p w:rsidR="00FC440F" w:rsidRPr="00727218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Данные по странам</w:t>
      </w:r>
      <w:r w:rsidR="000405E9">
        <w:br/>
      </w:r>
      <w:r w:rsidR="000405E9" w:rsidRPr="00A02754">
        <w:rPr>
          <w:b w:val="0"/>
        </w:rPr>
        <w:t>(</w:t>
      </w:r>
      <w:r w:rsidR="000405E9" w:rsidRPr="00A02754">
        <w:rPr>
          <w:b w:val="0"/>
          <w:i/>
        </w:rPr>
        <w:t>В процентах</w:t>
      </w:r>
      <w:r w:rsidR="000405E9">
        <w:rPr>
          <w:b w:val="0"/>
        </w:rPr>
        <w:t>)</w:t>
      </w: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tbl>
      <w:tblPr>
        <w:tblW w:w="12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50"/>
        <w:gridCol w:w="616"/>
        <w:gridCol w:w="657"/>
        <w:gridCol w:w="9"/>
        <w:gridCol w:w="657"/>
        <w:gridCol w:w="673"/>
        <w:gridCol w:w="57"/>
        <w:gridCol w:w="607"/>
        <w:gridCol w:w="669"/>
        <w:gridCol w:w="664"/>
        <w:gridCol w:w="664"/>
        <w:gridCol w:w="8"/>
        <w:gridCol w:w="38"/>
        <w:gridCol w:w="611"/>
        <w:gridCol w:w="658"/>
        <w:gridCol w:w="646"/>
        <w:gridCol w:w="665"/>
        <w:gridCol w:w="55"/>
        <w:gridCol w:w="610"/>
        <w:gridCol w:w="664"/>
        <w:gridCol w:w="666"/>
        <w:gridCol w:w="649"/>
      </w:tblGrid>
      <w:tr w:rsidR="00BA0CFA" w:rsidRPr="00031DD7" w:rsidTr="00D06E7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tabs>
                <w:tab w:val="left" w:pos="1053"/>
              </w:tabs>
              <w:spacing w:before="40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 xml:space="preserve">МСКО 5 и 6 </w:t>
            </w:r>
            <w:r>
              <w:rPr>
                <w:i/>
                <w:sz w:val="14"/>
              </w:rPr>
              <w:br/>
              <w:t>Общие да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ные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0CFA" w:rsidRPr="00031DD7" w:rsidRDefault="00D06E7A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МСКО 5 и 6</w:t>
            </w:r>
            <w:r>
              <w:rPr>
                <w:i/>
                <w:sz w:val="14"/>
              </w:rPr>
              <w:br/>
              <w:t>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0CFA" w:rsidRPr="00031DD7" w:rsidRDefault="00D06E7A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МСКО 5 и 6</w:t>
            </w:r>
            <w:r>
              <w:rPr>
                <w:i/>
                <w:sz w:val="14"/>
              </w:rPr>
              <w:br/>
            </w:r>
            <w:r w:rsidR="00BA0CFA">
              <w:rPr>
                <w:i/>
                <w:sz w:val="14"/>
              </w:rPr>
              <w:t>Женщ</w:t>
            </w:r>
            <w:r w:rsidR="00BA0CFA">
              <w:rPr>
                <w:i/>
                <w:sz w:val="14"/>
              </w:rPr>
              <w:t>и</w:t>
            </w:r>
            <w:r w:rsidR="00BA0CFA">
              <w:rPr>
                <w:i/>
                <w:sz w:val="14"/>
              </w:rPr>
              <w:t>ны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0CFA" w:rsidRPr="00031DD7" w:rsidRDefault="00D06E7A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по </w:t>
            </w:r>
            <w:r>
              <w:rPr>
                <w:i/>
                <w:sz w:val="14"/>
              </w:rPr>
              <w:br/>
              <w:t>валовому показат</w:t>
            </w:r>
            <w:r>
              <w:rPr>
                <w:i/>
                <w:sz w:val="14"/>
              </w:rPr>
              <w:t>е</w:t>
            </w:r>
            <w:r>
              <w:rPr>
                <w:i/>
                <w:sz w:val="14"/>
              </w:rPr>
              <w:t>лю охвата</w:t>
            </w:r>
            <w:r>
              <w:rPr>
                <w:i/>
                <w:sz w:val="14"/>
              </w:rPr>
              <w:br/>
              <w:t>МСКО 5 и 6</w:t>
            </w:r>
          </w:p>
        </w:tc>
      </w:tr>
      <w:tr w:rsidR="00BA0CFA" w:rsidRPr="00031DD7" w:rsidTr="00D06E7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1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tabs>
                <w:tab w:val="left" w:pos="1278"/>
              </w:tabs>
              <w:spacing w:before="40" w:after="80" w:line="160" w:lineRule="exact"/>
              <w:jc w:val="right"/>
              <w:rPr>
                <w:i/>
                <w:sz w:val="14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auto"/>
          </w:tcPr>
          <w:p w:rsidR="00BA0CFA" w:rsidRPr="00031DD7" w:rsidRDefault="00BA0CFA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</w:tr>
      <w:tr w:rsidR="00BA0CFA" w:rsidRPr="00031DD7" w:rsidTr="00D06E7A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0CFA" w:rsidRPr="00031DD7" w:rsidRDefault="00BA0CFA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Мавритания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20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27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27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31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Мозамбик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47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46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Нигер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0405E9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0405E9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40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40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Пакистан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81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80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Сербия и Черног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рия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36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40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20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Сьерра-Леоне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2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3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1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40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40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Сирийская Арабская Республика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3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39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FC440F" w:rsidRPr="0022222F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  <w:tr w:rsidR="00D06E7A" w:rsidRPr="00031DD7" w:rsidTr="00D06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7"/>
              </w:rPr>
            </w:pPr>
            <w:r>
              <w:rPr>
                <w:sz w:val="17"/>
              </w:rPr>
              <w:t>Вануату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</w:t>
            </w: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5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6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6</w:t>
            </w: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6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4</w:t>
            </w: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56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58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22222F" w:rsidRDefault="00FC440F" w:rsidP="000405E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22222F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22222F">
              <w:rPr>
                <w:sz w:val="17"/>
              </w:rPr>
              <w:t>58</w:t>
            </w:r>
          </w:p>
        </w:tc>
      </w:tr>
    </w:tbl>
    <w:p w:rsidR="00FC440F" w:rsidRDefault="00FC440F" w:rsidP="00FC440F">
      <w:pPr>
        <w:pStyle w:val="DualTxt"/>
      </w:pPr>
    </w:p>
    <w:p w:rsidR="00FC440F" w:rsidRDefault="00FC440F" w:rsidP="00FC440F">
      <w:pPr>
        <w:pStyle w:val="DualTxt"/>
      </w:pPr>
    </w:p>
    <w:p w:rsidR="00FC440F" w:rsidRDefault="00FC440F" w:rsidP="00FC440F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br w:type="page"/>
      </w:r>
      <w:r>
        <w:tab/>
      </w:r>
      <w:r>
        <w:tab/>
        <w:t>Данные, агрегированные по регионам</w:t>
      </w:r>
      <w:r w:rsidR="000405E9">
        <w:br/>
      </w:r>
      <w:r w:rsidR="000405E9" w:rsidRPr="00A02754">
        <w:rPr>
          <w:b w:val="0"/>
        </w:rPr>
        <w:t>(</w:t>
      </w:r>
      <w:r w:rsidR="000405E9" w:rsidRPr="00A02754">
        <w:rPr>
          <w:b w:val="0"/>
          <w:i/>
        </w:rPr>
        <w:t>В процентах</w:t>
      </w:r>
      <w:r w:rsidR="000405E9">
        <w:rPr>
          <w:b w:val="0"/>
        </w:rPr>
        <w:t>)</w:t>
      </w:r>
    </w:p>
    <w:p w:rsidR="00FC440F" w:rsidRDefault="00FC440F" w:rsidP="00FC440F">
      <w:pPr>
        <w:pStyle w:val="DualTxt"/>
        <w:spacing w:after="0" w:line="120" w:lineRule="exact"/>
        <w:rPr>
          <w:sz w:val="10"/>
        </w:rPr>
      </w:pPr>
    </w:p>
    <w:p w:rsidR="001238E4" w:rsidRDefault="001238E4" w:rsidP="00FC440F">
      <w:pPr>
        <w:pStyle w:val="DualTxt"/>
        <w:spacing w:after="0" w:line="120" w:lineRule="exact"/>
        <w:rPr>
          <w:sz w:val="10"/>
        </w:rPr>
      </w:pPr>
    </w:p>
    <w:tbl>
      <w:tblPr>
        <w:tblW w:w="12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47"/>
        <w:gridCol w:w="613"/>
        <w:gridCol w:w="7"/>
        <w:gridCol w:w="647"/>
        <w:gridCol w:w="665"/>
        <w:gridCol w:w="674"/>
        <w:gridCol w:w="57"/>
        <w:gridCol w:w="606"/>
        <w:gridCol w:w="670"/>
        <w:gridCol w:w="676"/>
        <w:gridCol w:w="663"/>
        <w:gridCol w:w="46"/>
        <w:gridCol w:w="619"/>
        <w:gridCol w:w="657"/>
        <w:gridCol w:w="645"/>
        <w:gridCol w:w="665"/>
        <w:gridCol w:w="55"/>
        <w:gridCol w:w="610"/>
        <w:gridCol w:w="665"/>
        <w:gridCol w:w="665"/>
        <w:gridCol w:w="648"/>
      </w:tblGrid>
      <w:tr w:rsidR="001238E4" w:rsidRPr="00031DD7" w:rsidTr="0049015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tabs>
                <w:tab w:val="left" w:pos="1053"/>
              </w:tabs>
              <w:spacing w:before="40" w:after="81"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 xml:space="preserve">МСКО 5 и 6 </w:t>
            </w:r>
            <w:r>
              <w:rPr>
                <w:i/>
                <w:sz w:val="14"/>
              </w:rPr>
              <w:br/>
              <w:t>Общие да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ные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МСКО 5 и 6</w:t>
            </w:r>
            <w:r>
              <w:rPr>
                <w:i/>
                <w:sz w:val="14"/>
              </w:rPr>
              <w:br/>
              <w:t>Мужч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</w:t>
            </w:r>
            <w:r>
              <w:rPr>
                <w:i/>
                <w:sz w:val="14"/>
              </w:rPr>
              <w:t>х</w:t>
            </w:r>
            <w:r>
              <w:rPr>
                <w:i/>
                <w:sz w:val="14"/>
              </w:rPr>
              <w:t>вата</w:t>
            </w:r>
            <w:r>
              <w:rPr>
                <w:i/>
                <w:sz w:val="14"/>
              </w:rPr>
              <w:br/>
              <w:t>МСКО 5 и 6</w:t>
            </w:r>
            <w:r>
              <w:rPr>
                <w:i/>
                <w:sz w:val="14"/>
              </w:rPr>
              <w:br/>
              <w:t>Женщ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ны</w:t>
            </w:r>
          </w:p>
        </w:tc>
        <w:tc>
          <w:tcPr>
            <w:tcW w:w="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по </w:t>
            </w:r>
            <w:r>
              <w:rPr>
                <w:i/>
                <w:sz w:val="14"/>
              </w:rPr>
              <w:br/>
              <w:t>валовому показат</w:t>
            </w:r>
            <w:r>
              <w:rPr>
                <w:i/>
                <w:sz w:val="14"/>
              </w:rPr>
              <w:t>е</w:t>
            </w:r>
            <w:r>
              <w:rPr>
                <w:i/>
                <w:sz w:val="14"/>
              </w:rPr>
              <w:t>лю охвата</w:t>
            </w:r>
            <w:r>
              <w:rPr>
                <w:i/>
                <w:sz w:val="14"/>
              </w:rPr>
              <w:br/>
              <w:t>МСКО 5 и 6</w:t>
            </w:r>
          </w:p>
        </w:tc>
      </w:tr>
      <w:tr w:rsidR="001238E4" w:rsidRPr="00031DD7" w:rsidTr="0049015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tabs>
                <w:tab w:val="left" w:pos="1278"/>
              </w:tabs>
              <w:spacing w:before="40" w:after="80" w:line="160" w:lineRule="exact"/>
              <w:jc w:val="right"/>
              <w:rPr>
                <w:i/>
                <w:sz w:val="14"/>
              </w:rPr>
            </w:pPr>
          </w:p>
        </w:tc>
        <w:tc>
          <w:tcPr>
            <w:tcW w:w="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2001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2002 год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2003 год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1238E4" w:rsidRPr="00031DD7" w:rsidRDefault="001238E4" w:rsidP="00ED79AD">
            <w:pPr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</w:tr>
      <w:tr w:rsidR="001238E4" w:rsidRPr="00031DD7" w:rsidTr="0049015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rPr>
                <w:sz w:val="17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238E4" w:rsidRPr="00031DD7" w:rsidRDefault="001238E4" w:rsidP="00ED79AD">
            <w:pPr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ED79AD" w:rsidRPr="00031DD7" w:rsidTr="00490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Арабские государс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ва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19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20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21</w:t>
            </w:r>
          </w:p>
        </w:tc>
        <w:tc>
          <w:tcPr>
            <w:tcW w:w="663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21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18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18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20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83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85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88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95</w:t>
            </w:r>
          </w:p>
        </w:tc>
      </w:tr>
      <w:tr w:rsidR="00ED79AD" w:rsidRPr="00031DD7" w:rsidTr="00490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 xml:space="preserve">Центральная и </w:t>
            </w:r>
            <w:r w:rsidR="00490157">
              <w:rPr>
                <w:sz w:val="17"/>
              </w:rPr>
              <w:br/>
            </w:r>
            <w:r>
              <w:rPr>
                <w:sz w:val="17"/>
              </w:rPr>
              <w:t>Во</w:t>
            </w:r>
            <w:r>
              <w:rPr>
                <w:sz w:val="17"/>
              </w:rPr>
              <w:t>с</w:t>
            </w:r>
            <w:r>
              <w:rPr>
                <w:sz w:val="17"/>
              </w:rPr>
              <w:t>точная Европа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44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48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54</w:t>
            </w:r>
          </w:p>
        </w:tc>
        <w:tc>
          <w:tcPr>
            <w:tcW w:w="663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40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43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46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48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49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53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57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60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21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24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24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25</w:t>
            </w:r>
          </w:p>
        </w:tc>
      </w:tr>
      <w:tr w:rsidR="00ED79AD" w:rsidRPr="00031DD7" w:rsidTr="00490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 xml:space="preserve">Восточная Азия и </w:t>
            </w:r>
            <w:r w:rsidR="00490157">
              <w:rPr>
                <w:sz w:val="17"/>
              </w:rPr>
              <w:br/>
            </w:r>
            <w:r>
              <w:rPr>
                <w:sz w:val="17"/>
              </w:rPr>
              <w:t>Тихоокеанский рег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он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17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19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19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24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14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16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19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21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75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75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89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89</w:t>
            </w:r>
          </w:p>
        </w:tc>
      </w:tr>
      <w:tr w:rsidR="00ED79AD" w:rsidRPr="00031DD7" w:rsidTr="00490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  <w:shd w:val="clear" w:color="auto" w:fill="auto"/>
            <w:vAlign w:val="bottom"/>
          </w:tcPr>
          <w:p w:rsidR="00FC440F" w:rsidRPr="00031DD7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Южная и Западная Азия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9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10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11</w:t>
            </w:r>
          </w:p>
        </w:tc>
        <w:tc>
          <w:tcPr>
            <w:tcW w:w="663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12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8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8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9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70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71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70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C440F" w:rsidRPr="005358B2" w:rsidRDefault="00FC440F" w:rsidP="00FC440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70</w:t>
            </w:r>
          </w:p>
        </w:tc>
      </w:tr>
      <w:tr w:rsidR="00ED79AD" w:rsidRPr="00031DD7" w:rsidTr="00490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031DD7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7"/>
              </w:rPr>
            </w:pPr>
            <w:r>
              <w:rPr>
                <w:sz w:val="17"/>
              </w:rPr>
              <w:t>Страны Африки к югу от Сахары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</w:t>
            </w:r>
          </w:p>
        </w:tc>
        <w:tc>
          <w:tcPr>
            <w:tcW w:w="6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5</w:t>
            </w:r>
          </w:p>
        </w:tc>
        <w:tc>
          <w:tcPr>
            <w:tcW w:w="6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6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6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3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3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4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61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62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61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440F" w:rsidRPr="005358B2" w:rsidRDefault="00FC440F" w:rsidP="00490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7"/>
              </w:rPr>
            </w:pPr>
            <w:r w:rsidRPr="005358B2">
              <w:rPr>
                <w:sz w:val="17"/>
              </w:rPr>
              <w:t>0</w:t>
            </w:r>
            <w:r>
              <w:rPr>
                <w:sz w:val="17"/>
              </w:rPr>
              <w:t>,</w:t>
            </w:r>
            <w:r w:rsidRPr="005358B2">
              <w:rPr>
                <w:sz w:val="17"/>
              </w:rPr>
              <w:t>61</w:t>
            </w:r>
          </w:p>
        </w:tc>
      </w:tr>
    </w:tbl>
    <w:p w:rsidR="00FC440F" w:rsidRPr="00546D1A" w:rsidRDefault="00FC440F" w:rsidP="00FC440F">
      <w:pPr>
        <w:pStyle w:val="DualTxt"/>
        <w:spacing w:after="0" w:line="120" w:lineRule="exact"/>
        <w:rPr>
          <w:sz w:val="10"/>
        </w:rPr>
      </w:pPr>
    </w:p>
    <w:p w:rsidR="00FC440F" w:rsidRPr="00EA4C9E" w:rsidRDefault="00FC440F" w:rsidP="00FC440F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i/>
        </w:rPr>
        <w:t>Источник</w:t>
      </w:r>
      <w:r>
        <w:t xml:space="preserve">: </w:t>
      </w:r>
      <w:r>
        <w:rPr>
          <w:lang w:val="en-US"/>
        </w:rPr>
        <w:t>http</w:t>
      </w:r>
      <w:r w:rsidRPr="00546D1A">
        <w:t>://</w:t>
      </w:r>
      <w:r>
        <w:rPr>
          <w:lang w:val="en-US"/>
        </w:rPr>
        <w:t>stats</w:t>
      </w:r>
      <w:r w:rsidRPr="00546D1A">
        <w:t>.</w:t>
      </w:r>
      <w:r>
        <w:rPr>
          <w:lang w:val="en-US"/>
        </w:rPr>
        <w:t>uis</w:t>
      </w:r>
      <w:r w:rsidRPr="00546D1A">
        <w:t>.</w:t>
      </w:r>
      <w:r>
        <w:rPr>
          <w:lang w:val="en-US"/>
        </w:rPr>
        <w:t>unesco</w:t>
      </w:r>
      <w:r w:rsidRPr="00546D1A">
        <w:t>.</w:t>
      </w:r>
      <w:r>
        <w:rPr>
          <w:lang w:val="en-US"/>
        </w:rPr>
        <w:t>org</w:t>
      </w:r>
      <w:r w:rsidRPr="00546D1A">
        <w:t>/</w:t>
      </w:r>
      <w:r>
        <w:rPr>
          <w:lang w:val="en-US"/>
        </w:rPr>
        <w:t>TableViewer</w:t>
      </w:r>
      <w:r w:rsidRPr="00546D1A">
        <w:t>/</w:t>
      </w:r>
      <w:r>
        <w:rPr>
          <w:lang w:val="en-US"/>
        </w:rPr>
        <w:t>tableView</w:t>
      </w:r>
      <w:r w:rsidRPr="00546D1A">
        <w:t>.</w:t>
      </w:r>
      <w:r>
        <w:rPr>
          <w:lang w:val="en-US"/>
        </w:rPr>
        <w:t>aspx</w:t>
      </w:r>
      <w:r w:rsidRPr="00546D1A">
        <w:t xml:space="preserve"> </w:t>
      </w:r>
      <w:r>
        <w:t>(Институт статистики ЮНЕСКО, сектор образования), последняя сверка производилась 22 марта 2007 года.</w:t>
      </w:r>
    </w:p>
    <w:p w:rsidR="00FC440F" w:rsidRPr="00EA4C9E" w:rsidRDefault="00FC440F" w:rsidP="00FC440F">
      <w:pPr>
        <w:pStyle w:val="SingleTxt"/>
      </w:pPr>
    </w:p>
    <w:p w:rsidR="00FC440F" w:rsidRPr="00FC440F" w:rsidRDefault="00FC440F" w:rsidP="00193D1E">
      <w:pPr>
        <w:pStyle w:val="SingleTxt"/>
      </w:pPr>
    </w:p>
    <w:p w:rsidR="00FC440F" w:rsidRPr="00FC440F" w:rsidRDefault="00FC440F" w:rsidP="00193D1E">
      <w:pPr>
        <w:pStyle w:val="SingleTxt"/>
      </w:pPr>
    </w:p>
    <w:p w:rsidR="00FC440F" w:rsidRPr="00FC440F" w:rsidRDefault="00FC440F" w:rsidP="00193D1E">
      <w:pPr>
        <w:pStyle w:val="SingleTxt"/>
        <w:sectPr w:rsidR="00FC440F" w:rsidRPr="00FC440F" w:rsidSect="00FC440F">
          <w:headerReference w:type="even" r:id="rId14"/>
          <w:headerReference w:type="default" r:id="rId15"/>
          <w:footerReference w:type="even" r:id="rId16"/>
          <w:footerReference w:type="default" r:id="rId17"/>
          <w:pgSz w:w="15840" w:h="12240" w:orient="landscape" w:code="1"/>
          <w:pgMar w:top="1195" w:right="1742" w:bottom="1195" w:left="1901" w:header="576" w:footer="1037" w:gutter="0"/>
          <w:cols w:space="708"/>
          <w:noEndnote/>
          <w:bidi/>
          <w:rtlGutter/>
          <w:docGrid w:linePitch="360"/>
        </w:sectPr>
      </w:pPr>
    </w:p>
    <w:p w:rsidR="00D05C4E" w:rsidRDefault="00D05C4E" w:rsidP="00D05C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  <w:t>Страновые доклады</w:t>
      </w:r>
    </w:p>
    <w:p w:rsidR="00490157" w:rsidRPr="00490157" w:rsidRDefault="00490157" w:rsidP="00490157">
      <w:pPr>
        <w:pStyle w:val="SingleTxt"/>
        <w:spacing w:after="0" w:line="120" w:lineRule="exact"/>
        <w:rPr>
          <w:sz w:val="10"/>
        </w:rPr>
      </w:pPr>
    </w:p>
    <w:p w:rsidR="00490157" w:rsidRPr="00490157" w:rsidRDefault="00490157" w:rsidP="00490157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Мавритания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A1483E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Мавритания не является участником Конвенции ЮНЕСКО о борьбе с дискриминацией в области образования (1960 год) и не представила ЮНЕСКО доклад для  6</w:t>
      </w:r>
      <w:r>
        <w:noBreakHyphen/>
        <w:t>й консультативной встречи по осуществлению рекомендации о борьбе с дискриминацией в области образования (1960 год). ЮНЕСКО надее</w:t>
      </w:r>
      <w:r>
        <w:t>т</w:t>
      </w:r>
      <w:r>
        <w:t xml:space="preserve">ся получить всеобъемлющий и содержательный доклад для </w:t>
      </w:r>
      <w:r w:rsidR="00490157">
        <w:t xml:space="preserve">7-ой </w:t>
      </w:r>
      <w:r>
        <w:t>консультати</w:t>
      </w:r>
      <w:r>
        <w:t>в</w:t>
      </w:r>
      <w:r>
        <w:t>ной встречи.</w:t>
      </w:r>
    </w:p>
    <w:p w:rsidR="00D05C4E" w:rsidRDefault="00D05C4E" w:rsidP="00D05C4E">
      <w:pPr>
        <w:pStyle w:val="SingleTxt"/>
      </w:pPr>
      <w:r>
        <w:tab/>
        <w:t>ЮНЕСКО призывает Мавританию ратифицировать Конвенцию о техн</w:t>
      </w:r>
      <w:r>
        <w:t>и</w:t>
      </w:r>
      <w:r>
        <w:t>ческом и профессиональном образовании (1989 год).</w:t>
      </w:r>
    </w:p>
    <w:p w:rsidR="00D05C4E" w:rsidRDefault="00D05C4E" w:rsidP="00D05C4E">
      <w:pPr>
        <w:pStyle w:val="SingleTxt"/>
      </w:pPr>
      <w:r>
        <w:tab/>
        <w:t>В соответствии со своей Конституцией, принятой в 1991 году, Маврит</w:t>
      </w:r>
      <w:r>
        <w:t>а</w:t>
      </w:r>
      <w:r>
        <w:t>ния гарантирует равенство перед законом всех своих граждан независимо от происхождения, расовой принадлежности, пола или социального положения (статья 1, пункт 2). Провозглашаются также неотъемлемые гарантии  права на равенство, основные свободы и права человека, а также экономические и соц</w:t>
      </w:r>
      <w:r>
        <w:t>и</w:t>
      </w:r>
      <w:r>
        <w:t>альные права.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Одной исследовательнице была предоставлена совместно финансируемая стипендия (ЮНЕСКО/«Л</w:t>
      </w:r>
      <w:r w:rsidRPr="00EF63A2">
        <w:t>’</w:t>
      </w:r>
      <w:r>
        <w:t>Ореаль») для ведения научной работы в области би</w:t>
      </w:r>
      <w:r>
        <w:t>о</w:t>
      </w:r>
      <w:r>
        <w:t>логии/молекулярного анализа сопротивляемости к заболеваниям  арабидо</w:t>
      </w:r>
      <w:r>
        <w:t>п</w:t>
      </w:r>
      <w:r>
        <w:t>сис талиана в течение 12 месяцев в Университете Кейптауна, Рондебош/Южная Африка (размер стипендии —</w:t>
      </w:r>
      <w:r w:rsidR="00490157">
        <w:t xml:space="preserve"> </w:t>
      </w:r>
      <w:r w:rsidRPr="00EF63A2">
        <w:t>21</w:t>
      </w:r>
      <w:r>
        <w:rPr>
          <w:lang w:val="en-US"/>
        </w:rPr>
        <w:t> </w:t>
      </w:r>
      <w:r w:rsidRPr="00EF63A2">
        <w:t>816</w:t>
      </w:r>
      <w:r>
        <w:rPr>
          <w:lang w:val="en-US"/>
        </w:rPr>
        <w:t> </w:t>
      </w:r>
      <w:r>
        <w:t>долл. США).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Мозамбик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Мозамбик не является участником Конвенции ЮНЕСКО о борьбе с ди</w:t>
      </w:r>
      <w:r>
        <w:t>с</w:t>
      </w:r>
      <w:r>
        <w:t>криминацией в области образования и не представил ЮНЕСКО доклад для 6</w:t>
      </w:r>
      <w:r>
        <w:noBreakHyphen/>
        <w:t>го консультативного совещания по осуществлению рекомендации о борьбе с дискриминацией в области образования. ЮНЕСКО надеется получить всеоб</w:t>
      </w:r>
      <w:r>
        <w:t>ъ</w:t>
      </w:r>
      <w:r>
        <w:t>емлющий и содержательный доклад для 7</w:t>
      </w:r>
      <w:r>
        <w:noBreakHyphen/>
        <w:t>го консультативного с</w:t>
      </w:r>
      <w:r>
        <w:t>о</w:t>
      </w:r>
      <w:r>
        <w:t>вещания.</w:t>
      </w:r>
    </w:p>
    <w:p w:rsidR="00D05C4E" w:rsidRDefault="00D05C4E" w:rsidP="00D05C4E">
      <w:pPr>
        <w:pStyle w:val="SingleTxt"/>
      </w:pPr>
      <w:r>
        <w:tab/>
        <w:t>ЮНЕСКО призывает Мозамбик ратифицировать Конвенцию о технич</w:t>
      </w:r>
      <w:r>
        <w:t>е</w:t>
      </w:r>
      <w:r>
        <w:t>ском и профессиональном образовании.</w:t>
      </w:r>
    </w:p>
    <w:p w:rsidR="00D05C4E" w:rsidRDefault="00D05C4E" w:rsidP="00D05C4E">
      <w:pPr>
        <w:pStyle w:val="SingleTxt"/>
      </w:pPr>
      <w:r>
        <w:tab/>
        <w:t>Согласно действующей в стране Конституции 1990 года образование я</w:t>
      </w:r>
      <w:r>
        <w:t>в</w:t>
      </w:r>
      <w:r>
        <w:t>ляется правом и обязанностью всех граждан, а государство поощряет расшир</w:t>
      </w:r>
      <w:r>
        <w:t>е</w:t>
      </w:r>
      <w:r>
        <w:t>ние сферы образования, с тем чтобы она охватывала профессиональную и н</w:t>
      </w:r>
      <w:r>
        <w:t>е</w:t>
      </w:r>
      <w:r>
        <w:t>прерывную профессионально-техническую подготовку</w:t>
      </w:r>
      <w:r w:rsidR="00490157">
        <w:t>,</w:t>
      </w:r>
      <w:r>
        <w:t xml:space="preserve"> и обеспечивает для всех граждан </w:t>
      </w:r>
      <w:r w:rsidR="00490157">
        <w:t xml:space="preserve">равные </w:t>
      </w:r>
      <w:r>
        <w:t>возможности для осуществления этого пр</w:t>
      </w:r>
      <w:r>
        <w:t>а</w:t>
      </w:r>
      <w:r>
        <w:t>ва (статья 88). Мозамбик поощряет стратегию в области образования, нацеленную на обесп</w:t>
      </w:r>
      <w:r>
        <w:t>е</w:t>
      </w:r>
      <w:r>
        <w:t>чение национального единства, ликвидацию неграмотности, овладения зн</w:t>
      </w:r>
      <w:r>
        <w:t>а</w:t>
      </w:r>
      <w:r>
        <w:t>ниями в области науки и техники и привитие граждан</w:t>
      </w:r>
      <w:r w:rsidR="00AF1E5F">
        <w:t>ам</w:t>
      </w:r>
      <w:r>
        <w:t xml:space="preserve"> моральных и гражда</w:t>
      </w:r>
      <w:r>
        <w:t>н</w:t>
      </w:r>
      <w:r>
        <w:t>ских ценностей (ст</w:t>
      </w:r>
      <w:r>
        <w:t>а</w:t>
      </w:r>
      <w:r>
        <w:t>тья 113).</w:t>
      </w:r>
    </w:p>
    <w:p w:rsidR="00D05C4E" w:rsidRDefault="00D05C4E" w:rsidP="00D05C4E">
      <w:pPr>
        <w:pStyle w:val="SingleTxt"/>
      </w:pPr>
      <w:r>
        <w:tab/>
        <w:t>ЮНЕСКО приняла участие во «втором совещании африканских и испа</w:t>
      </w:r>
      <w:r>
        <w:t>н</w:t>
      </w:r>
      <w:r>
        <w:t>ских женщин», организованном правительствами Испании и Мозамбика по случаю празднования Международного женского дня 7 и 8 марта 2007 года в Мадриде. Цель этого совещания состояла в создании возможностей для с</w:t>
      </w:r>
      <w:r>
        <w:t>о</w:t>
      </w:r>
      <w:r>
        <w:t>трудничества в таких областях, как образование, здравоохранение и межкул</w:t>
      </w:r>
      <w:r>
        <w:t>ь</w:t>
      </w:r>
      <w:r>
        <w:t>турный диалог.</w:t>
      </w:r>
    </w:p>
    <w:p w:rsidR="00D05C4E" w:rsidRDefault="00D05C4E" w:rsidP="00D05C4E">
      <w:pPr>
        <w:pStyle w:val="SingleTxt"/>
      </w:pPr>
      <w:r>
        <w:tab/>
        <w:t>Африканский департамент ЮНЕСКО осуществил ряд мероприятий в ц</w:t>
      </w:r>
      <w:r>
        <w:t>е</w:t>
      </w:r>
      <w:r>
        <w:t>лях содействия расширению прав и возможностей женщин и обеспечения ге</w:t>
      </w:r>
      <w:r>
        <w:t>н</w:t>
      </w:r>
      <w:r>
        <w:t>дерного равенства, например путем расширения возможностей женщин в сел</w:t>
      </w:r>
      <w:r>
        <w:t>ь</w:t>
      </w:r>
      <w:r>
        <w:t>ских районах на основе обеспечения грамотности и неформального образов</w:t>
      </w:r>
      <w:r>
        <w:t>а</w:t>
      </w:r>
      <w:r>
        <w:t>ния; поощрения технического и профессионального образования среди дев</w:t>
      </w:r>
      <w:r>
        <w:t>у</w:t>
      </w:r>
      <w:r>
        <w:t>шек; обучения ремеслам и организации мероприятий, связанных с просвещ</w:t>
      </w:r>
      <w:r>
        <w:t>е</w:t>
      </w:r>
      <w:r>
        <w:t>нием в области профилактики ВИЧ/СПИДа.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Программа участия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В рамках Программы участия ЮНЕСКО выделила 20 000 долл. США на цели осуществления проекта «Расширение прав и возможностей женщин в сельских районах Мозамбика» путем поощрения меропри</w:t>
      </w:r>
      <w:r>
        <w:t>я</w:t>
      </w:r>
      <w:r>
        <w:t>тий по обеспечению грамотности и неформального образования. Кроме того, по линии целевых фондов Португалии было обеспечено финансирование проекта «Професси</w:t>
      </w:r>
      <w:r>
        <w:t>о</w:t>
      </w:r>
      <w:r>
        <w:t>нально-техническая подготовка и возможности самозанятости женщин и нео</w:t>
      </w:r>
      <w:r>
        <w:t>х</w:t>
      </w:r>
      <w:r>
        <w:t>ваченной школьным образованием молодежи в Мозамбике» на общую сумму 175 150 долл. США.</w:t>
      </w:r>
    </w:p>
    <w:p w:rsidR="00D05C4E" w:rsidRDefault="00D05C4E" w:rsidP="00D05C4E">
      <w:pPr>
        <w:pStyle w:val="SingleTxt"/>
      </w:pPr>
      <w:r>
        <w:tab/>
        <w:t>По просьбе министерства образования Мозамбика в Мозамбик была н</w:t>
      </w:r>
      <w:r>
        <w:t>а</w:t>
      </w:r>
      <w:r>
        <w:t>правлена межрегиональная техническая миссия для оказания министерству помощи в деле операционализации и ускорения хода осуществления наци</w:t>
      </w:r>
      <w:r>
        <w:t>о</w:t>
      </w:r>
      <w:r>
        <w:t>нальной стратегии по обеспечению гендерного равенства в секторе образов</w:t>
      </w:r>
      <w:r>
        <w:t>а</w:t>
      </w:r>
      <w:r>
        <w:t>ния и для оказания Полевому отделению ЮНЕСКО в Мапуту консультати</w:t>
      </w:r>
      <w:r>
        <w:t>в</w:t>
      </w:r>
      <w:r>
        <w:t>ной помощи по вопросам, касающимся методов оказания поддержки министерс</w:t>
      </w:r>
      <w:r>
        <w:t>т</w:t>
      </w:r>
      <w:r>
        <w:t>ву в этом процессе.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Одной исследовательнице была присуждена стипендия РП-ЮНЕСКО в поддержку исследований в приоритетных программных областях развития, проводимых в течение шести месяцев в Институте социального развития Ун</w:t>
      </w:r>
      <w:r>
        <w:t>и</w:t>
      </w:r>
      <w:r>
        <w:t>верситета Западной Капской провинции, Кейптаун/Южная</w:t>
      </w:r>
      <w:r w:rsidR="00AF1E5F">
        <w:t xml:space="preserve"> Африка (размер стипендии — 10 1</w:t>
      </w:r>
      <w:r>
        <w:t>00 долл. США).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Нигер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1617FA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Нигер является участником Конвенции ЮНЕСКО о борьбе с дискримин</w:t>
      </w:r>
      <w:r>
        <w:t>а</w:t>
      </w:r>
      <w:r>
        <w:t>цией в области образования с 1968 года, но при этом Нигер не представил ЮНЕСКО доклад для 6</w:t>
      </w:r>
      <w:r>
        <w:noBreakHyphen/>
        <w:t>го консультативного совещания по вопросу об осущ</w:t>
      </w:r>
      <w:r>
        <w:t>е</w:t>
      </w:r>
      <w:r>
        <w:t>ствлении Конвенции и рекомендации о борьбе с дискриминацией в области о</w:t>
      </w:r>
      <w:r>
        <w:t>б</w:t>
      </w:r>
      <w:r>
        <w:t>разования. ЮНЕСКО получила доклад Нигера на 7</w:t>
      </w:r>
      <w:r>
        <w:noBreakHyphen/>
        <w:t>м консультативном сов</w:t>
      </w:r>
      <w:r>
        <w:t>е</w:t>
      </w:r>
      <w:r>
        <w:t>щании. Нигер ратифицировал Конвенцию о техническом и профессиональном образовании в 1992 году. В соответствии с Конституцией, принятой в 1999 году, каждый человек имеет право на жизнь, охрану здоровья, безопа</w:t>
      </w:r>
      <w:r>
        <w:t>с</w:t>
      </w:r>
      <w:r>
        <w:t>ность, физическое благополучие, образование и обучение в соответствии с у</w:t>
      </w:r>
      <w:r>
        <w:t>с</w:t>
      </w:r>
      <w:r>
        <w:t>ловиями, предусмотренными законодательством (статья 11). Родители имеют право и обязаны воспитывать своих детей и давать им образование. Государс</w:t>
      </w:r>
      <w:r>
        <w:t>т</w:t>
      </w:r>
      <w:r>
        <w:t>во гарантирует равные возможности для инвалидов в том, что касается улу</w:t>
      </w:r>
      <w:r>
        <w:t>ч</w:t>
      </w:r>
      <w:r>
        <w:t>шения их положения и/или социальной реинтеграции (статья 19). ЮНЕСКО тесно взаимодействует с министерством базового и неформального образов</w:t>
      </w:r>
      <w:r>
        <w:t>а</w:t>
      </w:r>
      <w:r>
        <w:t>ния Нигера в рамках проекта «Борьба с нищетой: расширение возможностей девушек и женщин в сельских районах», который финансируется внешними донорами. Общая цель этого проекта, координацию которого обеспечивает м</w:t>
      </w:r>
      <w:r>
        <w:t>и</w:t>
      </w:r>
      <w:r>
        <w:t>нистерство базового и неформального образования, состоит в борьбе с нищ</w:t>
      </w:r>
      <w:r>
        <w:t>е</w:t>
      </w:r>
      <w:r>
        <w:t>той через посредство образования и поощрения прав человека. Он нацелен на расширение возможностей девушек и женщин, главным образом путем пов</w:t>
      </w:r>
      <w:r>
        <w:t>ы</w:t>
      </w:r>
      <w:r>
        <w:t>шения эффективности школьного образования девочек, обеспечения грамотн</w:t>
      </w:r>
      <w:r>
        <w:t>о</w:t>
      </w:r>
      <w:r>
        <w:t>сти женщин, профессионально-технической подготовки девушек и расширения прав и возможностей женщин на основе осуществления приносящих доход в</w:t>
      </w:r>
      <w:r>
        <w:t>и</w:t>
      </w:r>
      <w:r>
        <w:t>дов деятельности и пропаганды прав человека. Более 2500 лиц, в основном д</w:t>
      </w:r>
      <w:r>
        <w:t>е</w:t>
      </w:r>
      <w:r>
        <w:t>вочки и женщины, воспользуются выгодами этого проекта, который в насто</w:t>
      </w:r>
      <w:r>
        <w:t>я</w:t>
      </w:r>
      <w:r>
        <w:t>щее время осу</w:t>
      </w:r>
      <w:r w:rsidR="00AF1E5F">
        <w:t>ществляется в шести</w:t>
      </w:r>
      <w:r>
        <w:t> деревнях на юге страны и в столице Ни</w:t>
      </w:r>
      <w:r>
        <w:t>а</w:t>
      </w:r>
      <w:r>
        <w:t>мей. В указанном сельском регионе отсутствуют объекты школьной инфр</w:t>
      </w:r>
      <w:r>
        <w:t>а</w:t>
      </w:r>
      <w:r>
        <w:t>структуры, квалифицированные преподаватели и вспомогательные механизмы по осуществлению приносящей доход деятельности, т.е. механизмы, которые могут ок</w:t>
      </w:r>
      <w:r>
        <w:t>а</w:t>
      </w:r>
      <w:r>
        <w:t xml:space="preserve">зать семьям помощь в борьбе с нищетой. </w:t>
      </w:r>
    </w:p>
    <w:p w:rsidR="00D05C4E" w:rsidRDefault="00D05C4E" w:rsidP="00D05C4E">
      <w:pPr>
        <w:pStyle w:val="SingleTxt"/>
      </w:pPr>
      <w:r>
        <w:tab/>
        <w:t>К числу конкретных видов деятельности относятся следующие: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Расширение доступа к начальным школам: цель состоит в значительном увеличении числа девочек и мальчиков, обучающихся в школах, создании для этих детей надлежащих условий обучения и тем самым внесении в</w:t>
      </w:r>
      <w:r>
        <w:t>е</w:t>
      </w:r>
      <w:r>
        <w:t>сомого и весьма конкретного вклада в реализацию инициативы «Образ</w:t>
      </w:r>
      <w:r>
        <w:t>о</w:t>
      </w:r>
      <w:r>
        <w:t>вание для всех». Около 400 детей получат более широкие возможности воспользоваться услугами в области начального образов</w:t>
      </w:r>
      <w:r>
        <w:t>а</w:t>
      </w:r>
      <w:r>
        <w:t xml:space="preserve">ния. </w:t>
      </w:r>
    </w:p>
    <w:p w:rsidR="00D05C4E" w:rsidRDefault="00AF1E5F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Обеспечение доступа к</w:t>
      </w:r>
      <w:r w:rsidR="00D05C4E">
        <w:t xml:space="preserve"> программам распространения качественной фун</w:t>
      </w:r>
      <w:r w:rsidR="00D05C4E">
        <w:t>к</w:t>
      </w:r>
      <w:r w:rsidR="00D05C4E">
        <w:t>циональной грамотности среди всех взрослых, особенно среди же</w:t>
      </w:r>
      <w:r w:rsidR="00D05C4E">
        <w:t>н</w:t>
      </w:r>
      <w:r w:rsidR="00D05C4E">
        <w:t>щин: в занятиях по обучению грамоте, проведение которых начнется в с</w:t>
      </w:r>
      <w:r w:rsidR="00D05C4E">
        <w:t>е</w:t>
      </w:r>
      <w:r w:rsidR="00D05C4E">
        <w:t>редине 2007 года, примут участие около 1000 женщин из шести деревень. Пр</w:t>
      </w:r>
      <w:r w:rsidR="00D05C4E">
        <w:t>о</w:t>
      </w:r>
      <w:r w:rsidR="00D05C4E">
        <w:t>граммы обучения грамоте будут осуществляться параллельно с другими мероприятиями партнеров, такими, как работа по повышению уро</w:t>
      </w:r>
      <w:r w:rsidR="00D05C4E">
        <w:t>в</w:t>
      </w:r>
      <w:r w:rsidR="00D05C4E">
        <w:t>ня знаний людей, уже овладевших основами грамоты, микрофинансиров</w:t>
      </w:r>
      <w:r w:rsidR="00D05C4E">
        <w:t>а</w:t>
      </w:r>
      <w:r w:rsidR="00D05C4E">
        <w:t>ние, информир</w:t>
      </w:r>
      <w:r w:rsidR="00D05C4E">
        <w:t>о</w:t>
      </w:r>
      <w:r w:rsidR="00D05C4E">
        <w:t>вание о правах человека, охрана здоровья и т.п.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Гарантирование качественного образования и просвещения в области прав человека: качественного образования необходимо добиваться путем создания более благоприятных условий для обучения, обеспечения пра</w:t>
      </w:r>
      <w:r>
        <w:t>к</w:t>
      </w:r>
      <w:r>
        <w:t>тической актуальности учебного процесса и учета условий жизни об</w:t>
      </w:r>
      <w:r>
        <w:t>у</w:t>
      </w:r>
      <w:r>
        <w:t xml:space="preserve">чающихся, использования современных методов обеспечения всеобщего охвата и оказания помощи нуждающимся. Достижения этих целей </w:t>
      </w:r>
      <w:r w:rsidR="00AF1E5F">
        <w:t>нео</w:t>
      </w:r>
      <w:r w:rsidR="00AF1E5F">
        <w:t>б</w:t>
      </w:r>
      <w:r w:rsidR="00AF1E5F">
        <w:t xml:space="preserve">ходимо </w:t>
      </w:r>
      <w:r>
        <w:t>доб</w:t>
      </w:r>
      <w:r>
        <w:t>и</w:t>
      </w:r>
      <w:r>
        <w:t>ваться путем осуществления постоянной и последовательной деятельности с участием как партнеров-исполнителей, так и министерс</w:t>
      </w:r>
      <w:r>
        <w:t>т</w:t>
      </w:r>
      <w:r>
        <w:t>ва начального образования и по ликвидации неграмотности в деле пр</w:t>
      </w:r>
      <w:r>
        <w:t>о</w:t>
      </w:r>
      <w:r>
        <w:t>фессиональной подготовки учителей, которые должны обладать надл</w:t>
      </w:r>
      <w:r>
        <w:t>е</w:t>
      </w:r>
      <w:r>
        <w:t>жащими зн</w:t>
      </w:r>
      <w:r>
        <w:t>а</w:t>
      </w:r>
      <w:r>
        <w:t>ниями как в отношении «стандартных» школьных предметов, так и других различных вопросов, таких, как права человека, гендерная проблем</w:t>
      </w:r>
      <w:r>
        <w:t>а</w:t>
      </w:r>
      <w:r>
        <w:t>тика, жизненные навыки, охрана здоровья и профилактика ВИЧ/СПИДа.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Просвещение в области прав человека в целях борьбы с нищетой среди женщин.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Обучение на двух  языках в Нигере: поддержка в области образования д</w:t>
      </w:r>
      <w:r>
        <w:t>е</w:t>
      </w:r>
      <w:r>
        <w:t>вочек в Нигере.</w:t>
      </w:r>
    </w:p>
    <w:p w:rsidR="00D05C4E" w:rsidRPr="007C1C9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D05C4E" w:rsidRPr="009C534C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05C4E" w:rsidRDefault="00D05C4E" w:rsidP="00D05C4E">
      <w:pPr>
        <w:pStyle w:val="SingleTxt"/>
      </w:pPr>
      <w:r>
        <w:tab/>
        <w:t>Одной исследовательнице была предоставлена стипе</w:t>
      </w:r>
      <w:r>
        <w:t>н</w:t>
      </w:r>
      <w:r>
        <w:t>дия РП-ЮНЕСКО в целях поддержки приоритетных программных исследований в области нефо</w:t>
      </w:r>
      <w:r>
        <w:t>р</w:t>
      </w:r>
      <w:r>
        <w:t>мального образования в течение шестимесячного периода в Ломейском ун</w:t>
      </w:r>
      <w:r>
        <w:t>и</w:t>
      </w:r>
      <w:r>
        <w:t>верситете, Ломе (размер стипендии — 11 300 долл. США)</w:t>
      </w:r>
    </w:p>
    <w:p w:rsidR="00D05C4E" w:rsidRPr="00FA66F0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Пакистан</w:t>
      </w:r>
    </w:p>
    <w:p w:rsidR="00D05C4E" w:rsidRPr="00DD4034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FA66F0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05C4E" w:rsidRDefault="00D05C4E" w:rsidP="00D05C4E">
      <w:pPr>
        <w:pStyle w:val="SingleTxt"/>
      </w:pPr>
      <w:r>
        <w:tab/>
        <w:t>Пакистан не является участником Конвенции ЮНЕСКО о борьбе с ди</w:t>
      </w:r>
      <w:r>
        <w:t>с</w:t>
      </w:r>
      <w:r>
        <w:t>криминацией в области образования, но при этом Пакистан представил ЮНЕСКО свой доклад для 6</w:t>
      </w:r>
      <w:r>
        <w:noBreakHyphen/>
        <w:t>го консультативного совещания по вопросу об осуществлении рекомендации о борьбе с дискриминацией в области образов</w:t>
      </w:r>
      <w:r>
        <w:t>а</w:t>
      </w:r>
      <w:r>
        <w:t>ния в 1998 году. Теперь ЮНЕСКО надеется получить всеобъемлющий и с</w:t>
      </w:r>
      <w:r>
        <w:t>о</w:t>
      </w:r>
      <w:r>
        <w:t>держательный доклад для 7</w:t>
      </w:r>
      <w:r>
        <w:noBreakHyphen/>
        <w:t>го консультативного совещания. ЮНЕСКО также призывает Пакистан ратифицировать Конвенцию о техническом и професси</w:t>
      </w:r>
      <w:r>
        <w:t>о</w:t>
      </w:r>
      <w:r>
        <w:t xml:space="preserve">нальном образовании. </w:t>
      </w:r>
    </w:p>
    <w:p w:rsidR="00D05C4E" w:rsidRDefault="00D05C4E" w:rsidP="00D05C4E">
      <w:pPr>
        <w:pStyle w:val="SingleTxt"/>
      </w:pPr>
      <w:r>
        <w:tab/>
        <w:t>Конституция (1973 года) гарантирует равенство и благосостояние всех граждан без какой-либо дискриминации по признаку пола, кастовой прина</w:t>
      </w:r>
      <w:r>
        <w:t>д</w:t>
      </w:r>
      <w:r>
        <w:t>лежности, вероисповедания или расы. Статья 37 предусматривает, что: «гос</w:t>
      </w:r>
      <w:r>
        <w:t>у</w:t>
      </w:r>
      <w:r>
        <w:t>дарство: a) особо отстаивает образовательные и экономические интересы о</w:t>
      </w:r>
      <w:r>
        <w:t>т</w:t>
      </w:r>
      <w:r>
        <w:t xml:space="preserve">сталых и обездоленных групп населения или уязвимых районов; </w:t>
      </w:r>
      <w:r>
        <w:rPr>
          <w:lang w:val="en-US"/>
        </w:rPr>
        <w:t>b</w:t>
      </w:r>
      <w:r w:rsidR="00AF1E5F">
        <w:t xml:space="preserve">) </w:t>
      </w:r>
      <w:r>
        <w:t>ликвидир</w:t>
      </w:r>
      <w:r>
        <w:t>у</w:t>
      </w:r>
      <w:r>
        <w:t>ет неграмотность и обеспечивает бесплатное и обязательное обучение в теч</w:t>
      </w:r>
      <w:r>
        <w:t>е</w:t>
      </w:r>
      <w:r>
        <w:t>ние минимального допустимого периода; и с) обеспечивает общедоступность технического и профессионального образования и доступность высшего обр</w:t>
      </w:r>
      <w:r>
        <w:t>а</w:t>
      </w:r>
      <w:r>
        <w:t>зования для всех лиц, кто этого заслуживает</w:t>
      </w:r>
      <w:r w:rsidR="00AF1E5F">
        <w:t>»</w:t>
      </w:r>
      <w:r>
        <w:t>.</w:t>
      </w:r>
    </w:p>
    <w:p w:rsidR="00D05C4E" w:rsidRDefault="00D05C4E" w:rsidP="00D05C4E">
      <w:pPr>
        <w:pStyle w:val="SingleTxt"/>
      </w:pPr>
      <w:r>
        <w:tab/>
        <w:t>В процессе проведения в Пакистане обзора национальной политики в о</w:t>
      </w:r>
      <w:r>
        <w:t>б</w:t>
      </w:r>
      <w:r>
        <w:t>ласти образования оказывалась поддержка по линии организации совещаний экспертов за круглым столом по вопросам политики в области гендерных о</w:t>
      </w:r>
      <w:r>
        <w:t>т</w:t>
      </w:r>
      <w:r>
        <w:t>ношений. Кроме того, в ходе проведения Недели «Образование для всех» ЮНЕСКО обеспечила поддержку информационно-пропагандистской деятел</w:t>
      </w:r>
      <w:r>
        <w:t>ь</w:t>
      </w:r>
      <w:r>
        <w:t>ности, посвященной положению и роли женщин-учителей в Пакистане.</w:t>
      </w:r>
    </w:p>
    <w:p w:rsidR="00D05C4E" w:rsidRPr="00FA66F0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Наука</w:t>
      </w:r>
    </w:p>
    <w:p w:rsidR="00D05C4E" w:rsidRPr="00FA66F0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05C4E" w:rsidRDefault="00D05C4E" w:rsidP="00D05C4E">
      <w:pPr>
        <w:pStyle w:val="SingleTxt"/>
      </w:pPr>
      <w:r>
        <w:tab/>
        <w:t>В рамках проекта «Разорвать порочный круг нищеты среди женщин» ЮНЕСКО организовала в Исламабаде три совещания по теме «Углубление п</w:t>
      </w:r>
      <w:r>
        <w:t>о</w:t>
      </w:r>
      <w:r>
        <w:t>нимания роли науки». Цель этих совещаний состояла в повышении уровня и</w:t>
      </w:r>
      <w:r>
        <w:t>н</w:t>
      </w:r>
      <w:r>
        <w:t>формированности ученых и правительств о методах использования научных и технических достижений для борьбы с нищетой и социальной изоляцией и с</w:t>
      </w:r>
      <w:r>
        <w:t>о</w:t>
      </w:r>
      <w:r>
        <w:t>действия уважению прав человека. В результате проведения этих совещаний был разработан ряд научных программ ликвидации неграмотности, ориентир</w:t>
      </w:r>
      <w:r>
        <w:t>о</w:t>
      </w:r>
      <w:r>
        <w:t>ванных на находящихся в неблагоприятном полож</w:t>
      </w:r>
      <w:r>
        <w:t>е</w:t>
      </w:r>
      <w:r>
        <w:t>нии девочек и их общины.</w:t>
      </w:r>
    </w:p>
    <w:p w:rsidR="00D05C4E" w:rsidRPr="00FA66F0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D05C4E" w:rsidRPr="00FA66F0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Pr="00383672">
        <w:t>•</w:t>
      </w:r>
      <w:r w:rsidRPr="00383672">
        <w:tab/>
      </w:r>
      <w:r>
        <w:t>Одна исследовательница получила стипендию по линии совместной пр</w:t>
      </w:r>
      <w:r>
        <w:t>о</w:t>
      </w:r>
      <w:r>
        <w:t>граммы стипендий (ЮНЕСКО/компании «Л</w:t>
      </w:r>
      <w:r w:rsidRPr="00383672">
        <w:t>’</w:t>
      </w:r>
      <w:r>
        <w:t>Ореаль») для ведения нау</w:t>
      </w:r>
      <w:r>
        <w:t>ч</w:t>
      </w:r>
      <w:r>
        <w:t>ной работы в области биологических наук в течение шести месяцев в С</w:t>
      </w:r>
      <w:r>
        <w:t>а</w:t>
      </w:r>
      <w:r>
        <w:t>утгемптонском университете, Саутгемптон/Соединенное Королевство В</w:t>
      </w:r>
      <w:r>
        <w:t>е</w:t>
      </w:r>
      <w:r>
        <w:t>ликобритании и Северной Ирландии</w:t>
      </w:r>
      <w:r w:rsidR="00AF1E5F">
        <w:t xml:space="preserve"> </w:t>
      </w:r>
      <w:r>
        <w:t>(размер стипендии — 20 548 долл. США).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Одна исследовательница получила стипендию по линии совместной пр</w:t>
      </w:r>
      <w:r>
        <w:t>о</w:t>
      </w:r>
      <w:r>
        <w:t>граммы стипендий ЮНЕСКО/Кейзо Обучи (Япония) на проведение нау</w:t>
      </w:r>
      <w:r>
        <w:t>ч</w:t>
      </w:r>
      <w:r>
        <w:t>ных исследований в области мирного урегулирования конфликтов в теч</w:t>
      </w:r>
      <w:r>
        <w:t>е</w:t>
      </w:r>
      <w:r>
        <w:t>ние трех месяцев в Центре Херри Л. Стимсона, Вашингтон, О.К./США (размер стипендии — 7500 долл. США).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по линии с</w:t>
      </w:r>
      <w:r>
        <w:t>о</w:t>
      </w:r>
      <w:r>
        <w:t>вместной программы исследований ЮНЕСКО/Сюзанны Муб</w:t>
      </w:r>
      <w:r>
        <w:t>а</w:t>
      </w:r>
      <w:r>
        <w:t>рак/Общес</w:t>
      </w:r>
      <w:r>
        <w:softHyphen/>
        <w:t>тва японо-египетской дружбы для проведения в течение чет</w:t>
      </w:r>
      <w:r>
        <w:t>ы</w:t>
      </w:r>
      <w:r>
        <w:t>рех месяцев в Александрийской библиотеке, Александрия/Египет (размер стипе</w:t>
      </w:r>
      <w:r>
        <w:t>н</w:t>
      </w:r>
      <w:r>
        <w:t>дии — 7500 долл. США) исследований, посвященных расширению прав и возможностей женщин и кул</w:t>
      </w:r>
      <w:r>
        <w:t>ь</w:t>
      </w:r>
      <w:r>
        <w:t>туре мира и развития.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РП-ЮНЕСКО в поддержку проведения в течение трех месяцев в Сассекском университ</w:t>
      </w:r>
      <w:r>
        <w:t>е</w:t>
      </w:r>
      <w:r>
        <w:t>те, Брайтон/Соединенное Королевство (размер стипендии — 15 000 долл. США) приоритетных программных исследований политики в области науки и техники.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Сербия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Сербия является участницей Конвенции ЮНЕСКО о борьбе с дискрим</w:t>
      </w:r>
      <w:r>
        <w:t>и</w:t>
      </w:r>
      <w:r>
        <w:t>нацией в области образования с сентября 2001 года. ЮНЕСКО надеется пол</w:t>
      </w:r>
      <w:r>
        <w:t>у</w:t>
      </w:r>
      <w:r>
        <w:t>чить всеобъемлющий и содержательный доклад для седьмого консульт</w:t>
      </w:r>
      <w:r>
        <w:t>а</w:t>
      </w:r>
      <w:r>
        <w:t>тивного совещания.</w:t>
      </w:r>
    </w:p>
    <w:p w:rsidR="00D05C4E" w:rsidRDefault="00D05C4E" w:rsidP="00D05C4E">
      <w:pPr>
        <w:pStyle w:val="SingleTxt"/>
      </w:pPr>
      <w:r>
        <w:tab/>
        <w:t>ЮНЕСКО призывает Сербию ратифицировать Конвенцию о техническом и профессиональном образовании.</w:t>
      </w:r>
    </w:p>
    <w:p w:rsidR="00D05C4E" w:rsidRDefault="00D05C4E" w:rsidP="00D05C4E">
      <w:pPr>
        <w:pStyle w:val="SingleTxt"/>
      </w:pPr>
      <w:r>
        <w:tab/>
        <w:t xml:space="preserve">Статья 71 Конституции 2003 года посвящена праву на образование, и в ней сформулирован принцип, согласно которому каждый человек имеет право на образование. В соответствии с положениями этой </w:t>
      </w:r>
      <w:r w:rsidR="00AF1E5F">
        <w:t xml:space="preserve">статьи </w:t>
      </w:r>
      <w:r>
        <w:t>начальное образ</w:t>
      </w:r>
      <w:r>
        <w:t>о</w:t>
      </w:r>
      <w:r>
        <w:t>вание является обязательным и бесплатным, а среднее образование — беспла</w:t>
      </w:r>
      <w:r>
        <w:t>т</w:t>
      </w:r>
      <w:r>
        <w:t>ным. Все граждане имеют доступ к высшему образованию на равных условиях. В соответствии с законодательством в Сербии предусматривается бесплатное высшее образование для добившихся успехов и талантливых учащихся, кот</w:t>
      </w:r>
      <w:r>
        <w:t>о</w:t>
      </w:r>
      <w:r>
        <w:t>рые находятся в неблагоприятном материальном положении. Создание школ и университетов регулируется з</w:t>
      </w:r>
      <w:r>
        <w:t>а</w:t>
      </w:r>
      <w:r>
        <w:t>коном.</w:t>
      </w: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Коммуникация и информация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Региональная телевещательная компания по обмену новостями Евровид</w:t>
      </w:r>
      <w:r>
        <w:t>е</w:t>
      </w:r>
      <w:r>
        <w:t>ния является сетью по обмену новостями, в которую входят 12 государстве</w:t>
      </w:r>
      <w:r>
        <w:t>н</w:t>
      </w:r>
      <w:r>
        <w:t>ных телевещательных компаний Балкан и других стран Юго-Восточной Евр</w:t>
      </w:r>
      <w:r>
        <w:t>о</w:t>
      </w:r>
      <w:r>
        <w:t>пы, созданной в декабре 2003 года в целях укрепления сотрудничества, обесп</w:t>
      </w:r>
      <w:r>
        <w:t>е</w:t>
      </w:r>
      <w:r>
        <w:t>чения примирения и мира в регионе. Эти страны с ноября 2001 года обеспеч</w:t>
      </w:r>
      <w:r>
        <w:t>и</w:t>
      </w:r>
      <w:r>
        <w:t>вают ежедневный обмен новостями через систему спутниковой связи Евров</w:t>
      </w:r>
      <w:r>
        <w:t>и</w:t>
      </w:r>
      <w:r>
        <w:t>дения Европейского союза радио- и телевещ</w:t>
      </w:r>
      <w:r>
        <w:t>а</w:t>
      </w:r>
      <w:r>
        <w:t>ния.</w:t>
      </w:r>
    </w:p>
    <w:p w:rsidR="00D05C4E" w:rsidRPr="00960883" w:rsidRDefault="00D05C4E" w:rsidP="00D05C4E">
      <w:pPr>
        <w:pStyle w:val="SingleTxt"/>
      </w:pPr>
      <w:r w:rsidRPr="00960883">
        <w:tab/>
        <w:t xml:space="preserve">ЮНЕСКО обеспечила поддержку отдельных мероприятий в рамках </w:t>
      </w:r>
      <w:r>
        <w:t>Р</w:t>
      </w:r>
      <w:r>
        <w:t>е</w:t>
      </w:r>
      <w:r>
        <w:t xml:space="preserve">гиональной телевещательной компании по обмену </w:t>
      </w:r>
      <w:r w:rsidRPr="00960883">
        <w:t>новостями, включая прои</w:t>
      </w:r>
      <w:r w:rsidRPr="00960883">
        <w:t>з</w:t>
      </w:r>
      <w:r w:rsidRPr="00960883">
        <w:t>водство документального фильма о незаконной торговле девочками и женщ</w:t>
      </w:r>
      <w:r w:rsidRPr="00960883">
        <w:t>и</w:t>
      </w:r>
      <w:r w:rsidRPr="00960883">
        <w:t>нами. В этом 25</w:t>
      </w:r>
      <w:r w:rsidRPr="00960883">
        <w:noBreakHyphen/>
        <w:t>минутном документальном фильме «Торговля женщинами», демонстрация которого недавно состоялась в штаб-квартире ЮНЕСКО в П</w:t>
      </w:r>
      <w:r w:rsidRPr="00960883">
        <w:t>а</w:t>
      </w:r>
      <w:r w:rsidRPr="00960883">
        <w:t xml:space="preserve">риже по случаю празднования в 2007 году Международного женского дня, </w:t>
      </w:r>
      <w:r>
        <w:t>ан</w:t>
      </w:r>
      <w:r>
        <w:t>а</w:t>
      </w:r>
      <w:r>
        <w:t xml:space="preserve">лизируются </w:t>
      </w:r>
      <w:r w:rsidRPr="00960883">
        <w:t>социальные и кул</w:t>
      </w:r>
      <w:r w:rsidRPr="00960883">
        <w:t>ь</w:t>
      </w:r>
      <w:r w:rsidRPr="00960883">
        <w:t xml:space="preserve">турные </w:t>
      </w:r>
      <w:r>
        <w:t xml:space="preserve">аспекты </w:t>
      </w:r>
      <w:r w:rsidRPr="00960883">
        <w:t>торговли женщинами в Юго-Восточной Европе и обращается внимание на факторы, которые способствуют незаконной торговле, а име</w:t>
      </w:r>
      <w:r w:rsidRPr="00960883">
        <w:t>н</w:t>
      </w:r>
      <w:r w:rsidRPr="00960883">
        <w:t>но — отсутствие образования у девочек, насилие в отношении женщин, нищ</w:t>
      </w:r>
      <w:r w:rsidRPr="00960883">
        <w:t>е</w:t>
      </w:r>
      <w:r w:rsidRPr="00960883">
        <w:t xml:space="preserve">та и </w:t>
      </w:r>
      <w:r>
        <w:t xml:space="preserve">широко распространенное </w:t>
      </w:r>
      <w:r w:rsidRPr="00960883">
        <w:t>неравенство женщин. Цель этого фильма — сбор информации о случаях торговли женщинами,</w:t>
      </w:r>
      <w:r>
        <w:t xml:space="preserve"> сбор данных о жертвах, выявление маршрутов</w:t>
      </w:r>
      <w:r w:rsidRPr="00960883">
        <w:t xml:space="preserve"> незаконной торговли; определение результатов осуществления международных и регионал</w:t>
      </w:r>
      <w:r w:rsidRPr="00960883">
        <w:t>ь</w:t>
      </w:r>
      <w:r w:rsidRPr="00960883">
        <w:t>ных инициатив по борьбе с незаконной торговлей, результаты деятельности правительств и ос</w:t>
      </w:r>
      <w:r w:rsidRPr="00960883">
        <w:t>у</w:t>
      </w:r>
      <w:r>
        <w:t>ществления</w:t>
      </w:r>
      <w:r w:rsidRPr="00960883">
        <w:t xml:space="preserve"> национальных планов действий, а также </w:t>
      </w:r>
      <w:r>
        <w:t xml:space="preserve">выявления </w:t>
      </w:r>
      <w:r w:rsidRPr="00960883">
        <w:t>передов</w:t>
      </w:r>
      <w:r>
        <w:t>ых м</w:t>
      </w:r>
      <w:r>
        <w:t>е</w:t>
      </w:r>
      <w:r>
        <w:t xml:space="preserve">тодов работы и </w:t>
      </w:r>
      <w:r w:rsidRPr="00960883">
        <w:t>пробе</w:t>
      </w:r>
      <w:r>
        <w:t>лов</w:t>
      </w:r>
      <w:r w:rsidRPr="00960883">
        <w:t xml:space="preserve"> в деятельности специализированных НПО и межд</w:t>
      </w:r>
      <w:r w:rsidRPr="00960883">
        <w:t>у</w:t>
      </w:r>
      <w:r w:rsidRPr="00960883">
        <w:t>народных организаций; и формулирование подходов к обеспечению репатри</w:t>
      </w:r>
      <w:r w:rsidRPr="00960883">
        <w:t>а</w:t>
      </w:r>
      <w:r w:rsidRPr="00960883">
        <w:t>ции и реи</w:t>
      </w:r>
      <w:r w:rsidRPr="00960883">
        <w:t>н</w:t>
      </w:r>
      <w:r w:rsidRPr="00960883">
        <w:t>теграции.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по линии РП-ЮНЕСКО в поддержку приоритетных программных исследований в о</w:t>
      </w:r>
      <w:r>
        <w:t>б</w:t>
      </w:r>
      <w:r>
        <w:t>ласти истории византийского искусства в течение шести месяцев в П</w:t>
      </w:r>
      <w:r>
        <w:t>а</w:t>
      </w:r>
      <w:r>
        <w:t>рижском университете </w:t>
      </w:r>
      <w:r>
        <w:rPr>
          <w:lang w:val="en-US"/>
        </w:rPr>
        <w:t>I</w:t>
      </w:r>
      <w:r>
        <w:t> — Пантеон-Ассас, Париж (размер стипендии — 10 500 долл. США).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по линии с</w:t>
      </w:r>
      <w:r>
        <w:t>о</w:t>
      </w:r>
      <w:r>
        <w:t>вместной программы стипендий (ЮНЕСКО/Япония: Обучи) в области межкультурного диалога в течение девяти месяцев в Фонде Фердинанда Ортиса, Гавана (размер стипендии — 10 000 долл. США).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по линии с</w:t>
      </w:r>
      <w:r>
        <w:t>о</w:t>
      </w:r>
      <w:r>
        <w:t>вместной программы стипендий РП-ЮНЕСКО в поддержку приорите</w:t>
      </w:r>
      <w:r>
        <w:t>т</w:t>
      </w:r>
      <w:r>
        <w:t>ных программных исследований в области культуры «Пластическое и</w:t>
      </w:r>
      <w:r>
        <w:t>с</w:t>
      </w:r>
      <w:r>
        <w:t>кусство» в течение шести месяцев в Парижском университете </w:t>
      </w:r>
      <w:r>
        <w:rPr>
          <w:lang w:val="en-US"/>
        </w:rPr>
        <w:t>VIII</w:t>
      </w:r>
      <w:r>
        <w:t>,  Сен-Дени/Франция (размер стипендии — 14 800 долл. США).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Сьерра-Леоне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Сьерра-Леоне является участницей Конвенции ЮНЕСКО о борьбе с ди</w:t>
      </w:r>
      <w:r>
        <w:t>с</w:t>
      </w:r>
      <w:r>
        <w:t>криминацией в области образования с 1967 года, однако Сьерра-Леоне не пре</w:t>
      </w:r>
      <w:r>
        <w:t>д</w:t>
      </w:r>
      <w:r>
        <w:t>ставила ЮНЕСКО доклад в рамках шестого консультативного совещания по вопросу об осуществлении Конвенции и рекомендации о борьбе с дискримин</w:t>
      </w:r>
      <w:r>
        <w:t>а</w:t>
      </w:r>
      <w:r>
        <w:t>цией в области образования. В настоящее время ЮНЕСКО призывает Сье</w:t>
      </w:r>
      <w:r>
        <w:t>р</w:t>
      </w:r>
      <w:r>
        <w:t>ра-Леоне представить всеобъемлющий и содержательный доклад для седьмого консультативного совещания.</w:t>
      </w:r>
    </w:p>
    <w:p w:rsidR="00D05C4E" w:rsidRDefault="00D05C4E" w:rsidP="00D05C4E">
      <w:pPr>
        <w:pStyle w:val="SingleTxt"/>
      </w:pPr>
      <w:r>
        <w:tab/>
        <w:t>ЮНЕСКО также призывает Сьерра-Леоне ратифицировать Конвенцию о техническом и профессиональном образовании.</w:t>
      </w:r>
    </w:p>
    <w:p w:rsidR="00D05C4E" w:rsidRDefault="00D05C4E" w:rsidP="00D05C4E">
      <w:pPr>
        <w:pStyle w:val="SingleTxt"/>
      </w:pPr>
      <w:r w:rsidRPr="00D05C4E">
        <w:tab/>
      </w:r>
      <w:r>
        <w:t>В статье 9(1) Конституции 1991 года отмечается, что правительство ос</w:t>
      </w:r>
      <w:r>
        <w:t>у</w:t>
      </w:r>
      <w:r>
        <w:t>ществляет свою политику в интересах обеспечения равных прав и надлежащих возможностей всех граждан в области образования на всех уровнях путем: a) обеспечения возможностей получения образования всеми гражданами в м</w:t>
      </w:r>
      <w:r>
        <w:t>е</w:t>
      </w:r>
      <w:r>
        <w:t>ру их способностей, одаренности и склонностей путем задействования образ</w:t>
      </w:r>
      <w:r>
        <w:t>о</w:t>
      </w:r>
      <w:r>
        <w:t>вательной инфраструктуры на всех уровнях и в таких областях, как начальное, среднее, профессиональное, техническое, образование в объеме колледжа и университетское о</w:t>
      </w:r>
      <w:r>
        <w:t>б</w:t>
      </w:r>
      <w:r>
        <w:t>разование; b) защиты прав таких уязвимых групп, как дети, женщины и инвалиды, на получение гарантированного образования; и c) обеспечения, когда это практически осуществимо, необходимых структур, финансов и вспомогательных средств в области образования. Согласно ст</w:t>
      </w:r>
      <w:r>
        <w:t>а</w:t>
      </w:r>
      <w:r>
        <w:t>тье 9(2) правительство принимает меры по ликвидации н</w:t>
      </w:r>
      <w:r>
        <w:t>е</w:t>
      </w:r>
      <w:r w:rsidR="00AF1E5F">
        <w:t>грамотности</w:t>
      </w:r>
      <w:r>
        <w:t xml:space="preserve"> и с этой целью осуществляет политику в области образования в направлении обеспеч</w:t>
      </w:r>
      <w:r>
        <w:t>е</w:t>
      </w:r>
      <w:r>
        <w:t>ния: a) бесплатных программ обучения грамоте взрослых; b) бесплатного об</w:t>
      </w:r>
      <w:r>
        <w:t>я</w:t>
      </w:r>
      <w:r>
        <w:t>зательного базового образования на уровне начальной школы и младших кла</w:t>
      </w:r>
      <w:r>
        <w:t>с</w:t>
      </w:r>
      <w:r>
        <w:t>сов средней школы; и c) бесплатного, если это практически осуществимо, об</w:t>
      </w:r>
      <w:r>
        <w:t>у</w:t>
      </w:r>
      <w:r>
        <w:t>чения в старших классах средней школы. В третьем пункте статьи 9 пред</w:t>
      </w:r>
      <w:r>
        <w:t>у</w:t>
      </w:r>
      <w:r>
        <w:t>сматривается, что правительство поощряет изучение языков коренных народов, а также изучение и применение современных наук, иностранных языков, те</w:t>
      </w:r>
      <w:r>
        <w:t>х</w:t>
      </w:r>
      <w:r>
        <w:t>нических дисциплин и дисциплин, связанных с торговлей и бизнесом.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Программа участия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В рамках программы участия ЮНЕСКО Национальная комиссия Сьерра-Леоне продемонстрировала решительную приверженность учету гендерной проблематики в областях деятельности ЮНЕСКО в постконфликтных ситуац</w:t>
      </w:r>
      <w:r>
        <w:t>и</w:t>
      </w:r>
      <w:r>
        <w:t>ях путем реализации ряда проектов. Цель следующих проектов состоит в п</w:t>
      </w:r>
      <w:r>
        <w:t>о</w:t>
      </w:r>
      <w:r>
        <w:t>ощрении социальной реинтеграции девочек и женщин. На создание центра профессиональной подготовки пострадавших в результате войны вдов и дев</w:t>
      </w:r>
      <w:r>
        <w:t>о</w:t>
      </w:r>
      <w:r>
        <w:t>чек-матерей было выделено 18 000 долл. США, а на финансирование доход</w:t>
      </w:r>
      <w:r>
        <w:t>о</w:t>
      </w:r>
      <w:r>
        <w:t>принос</w:t>
      </w:r>
      <w:r>
        <w:t>я</w:t>
      </w:r>
      <w:r>
        <w:t>щих видов деятельности проживающих в изоляции сельских женщин и девочек было выделено 13 000 долл. США. Кроме того, в рамках программы оказания чрезвычайной помощи в период 2006–2007 годов ЮНЕСКО предо</w:t>
      </w:r>
      <w:r>
        <w:t>с</w:t>
      </w:r>
      <w:r>
        <w:t>тавила 50 000 долл. США на разработку учебных программ в условиях п</w:t>
      </w:r>
      <w:r>
        <w:t>о</w:t>
      </w:r>
      <w:r>
        <w:t>стконфликтных ситуаций, в к</w:t>
      </w:r>
      <w:r>
        <w:t>о</w:t>
      </w:r>
      <w:r>
        <w:t>торых особое внимание уделяется девочкам.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Сирийская Арабская Республика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Сирийская Арабская Республика не является участницей Конвенции ЮНЕСКО о борьбе с дискриминацией в области образования, но при этом она представила ЮНЕСКО в 1997 году доклад для шестого консультативного с</w:t>
      </w:r>
      <w:r>
        <w:t>о</w:t>
      </w:r>
      <w:r>
        <w:t>вещания по вопросу об осуществлении рекомендации о борьбе с дискримин</w:t>
      </w:r>
      <w:r>
        <w:t>а</w:t>
      </w:r>
      <w:r>
        <w:t>цией в области образования. ЮНЕСКО надеется получить всеобъемлющий и содержател</w:t>
      </w:r>
      <w:r>
        <w:t>ь</w:t>
      </w:r>
      <w:r>
        <w:t>ный доклад для седьмого консультативного совещания.</w:t>
      </w:r>
    </w:p>
    <w:p w:rsidR="00D05C4E" w:rsidRDefault="00D05C4E" w:rsidP="00D05C4E">
      <w:pPr>
        <w:pStyle w:val="SingleTxt"/>
      </w:pPr>
      <w:r>
        <w:tab/>
        <w:t>ЮНЕСКО призывает Сирийскую Арабскую Республику ратифицировать Конвенцию о техническом и профессиональном образовании.</w:t>
      </w:r>
    </w:p>
    <w:p w:rsidR="00D05C4E" w:rsidRDefault="00D05C4E" w:rsidP="00D05C4E">
      <w:pPr>
        <w:pStyle w:val="SingleTxt"/>
      </w:pPr>
      <w:r>
        <w:tab/>
        <w:t>Согласно Конституции Сирийской Арабской Республики, принятой в 1980 году, государство гарантирует право на образование. Образование являе</w:t>
      </w:r>
      <w:r>
        <w:t>т</w:t>
      </w:r>
      <w:r>
        <w:t>ся бесплатным на всех уровнях и обязательным на уровне начального образ</w:t>
      </w:r>
      <w:r>
        <w:t>о</w:t>
      </w:r>
      <w:r>
        <w:t>вания. Государство принимает меры по обеспечению обязательного образов</w:t>
      </w:r>
      <w:r>
        <w:t>а</w:t>
      </w:r>
      <w:r>
        <w:t>ния на других уровнях и осуществляет надзор и руководство в области образ</w:t>
      </w:r>
      <w:r>
        <w:t>о</w:t>
      </w:r>
      <w:r>
        <w:t>вания таким образом, чтобы это отвечало потребностям общества и произво</w:t>
      </w:r>
      <w:r>
        <w:t>д</w:t>
      </w:r>
      <w:r>
        <w:t>ства (статья 37).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по линии с</w:t>
      </w:r>
      <w:r>
        <w:t>о</w:t>
      </w:r>
      <w:r>
        <w:t>вместного финансирования (ЮНЕСКО/«Л</w:t>
      </w:r>
      <w:r w:rsidRPr="003862F9">
        <w:t>’</w:t>
      </w:r>
      <w:r>
        <w:t>Ореаль») в области биологич</w:t>
      </w:r>
      <w:r>
        <w:t>е</w:t>
      </w:r>
      <w:r>
        <w:t>ских наук/биотехнологии на шестимесячный период на факультете мол</w:t>
      </w:r>
      <w:r>
        <w:t>е</w:t>
      </w:r>
      <w:r>
        <w:t>кулярной генетики Ганноверского университета, Ганновер/Германия (ра</w:t>
      </w:r>
      <w:r>
        <w:t>з</w:t>
      </w:r>
      <w:r>
        <w:t>мер стипендии — 21 015 долл. США).</w:t>
      </w:r>
    </w:p>
    <w:p w:rsidR="00D05C4E" w:rsidRDefault="00D05C4E" w:rsidP="00D05C4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Одной исследовательнице была предоставлена стипендия по линии ЮНЕСКО/Сюзанны Мубарак/Общества японо-египетской дружбы для проведения в течение трех месяцев в Александрийской библиотеке иссл</w:t>
      </w:r>
      <w:r>
        <w:t>е</w:t>
      </w:r>
      <w:r>
        <w:t>дований по вопросам расширения прав и возможностей женщин и форм</w:t>
      </w:r>
      <w:r>
        <w:t>и</w:t>
      </w:r>
      <w:r>
        <w:t>рования и культуры мира и развития, Александрия/Египет (размер ст</w:t>
      </w:r>
      <w:r>
        <w:t>и</w:t>
      </w:r>
      <w:r>
        <w:t>пендии — 7500 долл. США).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Вануату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05C4E" w:rsidRPr="002C05D6" w:rsidRDefault="00D05C4E" w:rsidP="00D05C4E">
      <w:pPr>
        <w:pStyle w:val="SingleTxt"/>
        <w:spacing w:after="0" w:line="120" w:lineRule="exact"/>
        <w:rPr>
          <w:sz w:val="10"/>
        </w:rPr>
      </w:pPr>
    </w:p>
    <w:p w:rsidR="00D05C4E" w:rsidRDefault="00D05C4E" w:rsidP="00D05C4E">
      <w:pPr>
        <w:pStyle w:val="SingleTxt"/>
      </w:pPr>
      <w:r>
        <w:tab/>
        <w:t>Вануату не является участником Конвенции ЮНЕСКО о борьбе с дискр</w:t>
      </w:r>
      <w:r>
        <w:t>и</w:t>
      </w:r>
      <w:r>
        <w:t>минацией в области образования и не представило ЮНЕСКО доклад для ше</w:t>
      </w:r>
      <w:r>
        <w:t>с</w:t>
      </w:r>
      <w:r>
        <w:t>того консультативного совещания по вопросу об осуществлении рекоменд</w:t>
      </w:r>
      <w:r>
        <w:t>а</w:t>
      </w:r>
      <w:r>
        <w:t>ции о борьбе с дискриминацией в области образования. ЮНЕСКО призывает В</w:t>
      </w:r>
      <w:r>
        <w:t>а</w:t>
      </w:r>
      <w:r>
        <w:t>нуату представить всеобъемлющий и содержательный доклад для седьмого консультативного совещания.</w:t>
      </w:r>
    </w:p>
    <w:p w:rsidR="00D05C4E" w:rsidRDefault="00D05C4E" w:rsidP="00D05C4E">
      <w:pPr>
        <w:pStyle w:val="SingleTxt"/>
      </w:pPr>
      <w:r>
        <w:tab/>
        <w:t>ЮНЕСКО призывает Вануату ратифицировать Конвенцию о техническом и профессиональном образовании.</w:t>
      </w:r>
    </w:p>
    <w:p w:rsidR="00D05C4E" w:rsidRDefault="00D05C4E" w:rsidP="00D05C4E">
      <w:pPr>
        <w:pStyle w:val="SingleTxt"/>
      </w:pPr>
      <w:r>
        <w:tab/>
        <w:t>В статье 7 Конституции, принятой в июле 1980 года, предусматривается, что у каждого человека имеются следующие основные обязанности перед с</w:t>
      </w:r>
      <w:r>
        <w:t>а</w:t>
      </w:r>
      <w:r>
        <w:t>мим собой, своими потомками и другими людьми: как родитель он обязан ок</w:t>
      </w:r>
      <w:r>
        <w:t>а</w:t>
      </w:r>
      <w:r>
        <w:t>зывать поддержку, помощь и дать образование всем своим детям, рожде</w:t>
      </w:r>
      <w:r>
        <w:t>н</w:t>
      </w:r>
      <w:r>
        <w:t>ным в браке и незаконнорожденным, и, в частности, привить им правильное поним</w:t>
      </w:r>
      <w:r>
        <w:t>а</w:t>
      </w:r>
      <w:r>
        <w:t>ние ими своих основных прав и обязанностей, а также национальных целей, культуры и обычаев народа Вану</w:t>
      </w:r>
      <w:r>
        <w:t>а</w:t>
      </w:r>
      <w:r>
        <w:t>ту.</w:t>
      </w:r>
    </w:p>
    <w:p w:rsidR="00FC440F" w:rsidRPr="00AF1E5F" w:rsidRDefault="00AF1E5F" w:rsidP="00AF1E5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FC440F" w:rsidRPr="00AF1E5F" w:rsidSect="00FC440F">
      <w:headerReference w:type="even" r:id="rId18"/>
      <w:headerReference w:type="default" r:id="rId19"/>
      <w:footerReference w:type="even" r:id="rId20"/>
      <w:footerReference w:type="default" r:id="rId21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4-19T09:37:00Z" w:initials="Start">
    <w:p w:rsidR="00D63031" w:rsidRPr="00CA57C2" w:rsidRDefault="00D63031">
      <w:pPr>
        <w:pStyle w:val="CommentText"/>
        <w:rPr>
          <w:lang w:val="en-US"/>
        </w:rPr>
      </w:pPr>
      <w:r>
        <w:fldChar w:fldCharType="begin"/>
      </w:r>
      <w:r w:rsidRPr="00CA57C2">
        <w:rPr>
          <w:rStyle w:val="CommentReference"/>
          <w:lang w:val="en-US"/>
        </w:rPr>
        <w:instrText xml:space="preserve"> </w:instrText>
      </w:r>
      <w:r w:rsidRPr="00CA57C2">
        <w:rPr>
          <w:lang w:val="en-US"/>
        </w:rPr>
        <w:instrText>PAGE \# "'Page: '#'</w:instrText>
      </w:r>
      <w:r w:rsidRPr="00CA57C2">
        <w:rPr>
          <w:lang w:val="en-US"/>
        </w:rPr>
        <w:br/>
        <w:instrText>'"</w:instrText>
      </w:r>
      <w:r w:rsidRPr="00CA57C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A57C2">
        <w:rPr>
          <w:lang w:val="en-US"/>
        </w:rPr>
        <w:t>&lt;&lt;ODS JOB NO&gt;&gt;N0728700R&lt;&lt;ODS JOB NO&gt;&gt;</w:t>
      </w:r>
    </w:p>
    <w:p w:rsidR="00D63031" w:rsidRPr="00CA57C2" w:rsidRDefault="00D63031">
      <w:pPr>
        <w:pStyle w:val="CommentText"/>
        <w:rPr>
          <w:lang w:val="en-US"/>
        </w:rPr>
      </w:pPr>
      <w:r w:rsidRPr="00CA57C2">
        <w:rPr>
          <w:lang w:val="en-US"/>
        </w:rPr>
        <w:t>&lt;&lt;ODS DOC SYMBOL1&gt;&gt;CEDAW/C/2007/II/3/Add.3&lt;&lt;ODS DOC SYMBOL1&gt;&gt;</w:t>
      </w:r>
    </w:p>
    <w:p w:rsidR="00D63031" w:rsidRPr="00CA57C2" w:rsidRDefault="00D63031">
      <w:pPr>
        <w:pStyle w:val="CommentText"/>
        <w:rPr>
          <w:lang w:val="en-US"/>
        </w:rPr>
      </w:pPr>
      <w:r w:rsidRPr="00CA57C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EB" w:rsidRDefault="00597DEB" w:rsidP="00193D1E">
      <w:pPr>
        <w:pStyle w:val="Header"/>
      </w:pPr>
      <w:r>
        <w:separator/>
      </w:r>
    </w:p>
  </w:endnote>
  <w:endnote w:type="continuationSeparator" w:id="0">
    <w:p w:rsidR="00597DEB" w:rsidRDefault="00597DEB" w:rsidP="00193D1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63031" w:rsidTr="00193D1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230A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07-28700</w:t>
          </w:r>
          <w:r>
            <w:rPr>
              <w:b w:val="0"/>
              <w:sz w:val="14"/>
            </w:rPr>
            <w:fldChar w:fldCharType="end"/>
          </w:r>
        </w:p>
      </w:tc>
    </w:tr>
  </w:tbl>
  <w:p w:rsidR="00D63031" w:rsidRPr="00193D1E" w:rsidRDefault="00D63031" w:rsidP="00193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63031" w:rsidTr="00193D1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07-28700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D63031" w:rsidRPr="00193D1E" w:rsidRDefault="00D63031" w:rsidP="00193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1" w:rsidRDefault="00D63031">
    <w:pPr>
      <w:pStyle w:val="Footer"/>
    </w:pPr>
  </w:p>
  <w:p w:rsidR="00D63031" w:rsidRDefault="00D63031" w:rsidP="00193D1E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07-28700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160407    190407</w:t>
    </w:r>
  </w:p>
  <w:p w:rsidR="00D63031" w:rsidRPr="00193D1E" w:rsidRDefault="00D63031" w:rsidP="00193D1E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*0728700*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D63031" w:rsidRPr="00FC440F" w:rsidRDefault="00D63031" w:rsidP="00FC440F">
          <w:pPr>
            <w:pStyle w:val="Footer"/>
            <w:spacing w:line="240" w:lineRule="auto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10</w:t>
          </w:r>
          <w:r>
            <w:rPr>
              <w:w w:val="103"/>
            </w:rPr>
            <w:fldChar w:fldCharType="end"/>
          </w:r>
        </w:p>
      </w:tc>
    </w:tr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D63031" w:rsidRPr="00FC440F" w:rsidRDefault="00D63031" w:rsidP="00FC440F">
          <w:pPr>
            <w:pStyle w:val="Footer"/>
            <w:spacing w:line="240" w:lineRule="auto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07-28700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63031" w:rsidRPr="00FC440F" w:rsidRDefault="00D63031" w:rsidP="00FC440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D63031" w:rsidRPr="00FC440F" w:rsidRDefault="00D63031" w:rsidP="00FC440F">
          <w:pPr>
            <w:pStyle w:val="Footer"/>
            <w:spacing w:line="240" w:lineRule="auto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07-28700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D63031" w:rsidRPr="00FC440F" w:rsidRDefault="00D63031" w:rsidP="00FC440F">
          <w:pPr>
            <w:pStyle w:val="Footer"/>
            <w:spacing w:line="240" w:lineRule="auto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D63031" w:rsidRPr="00FC440F" w:rsidRDefault="00D63031" w:rsidP="00FC440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63031" w:rsidTr="00193D1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07-28700</w:t>
          </w:r>
          <w:r>
            <w:rPr>
              <w:b w:val="0"/>
              <w:sz w:val="14"/>
            </w:rPr>
            <w:fldChar w:fldCharType="end"/>
          </w:r>
        </w:p>
      </w:tc>
    </w:tr>
  </w:tbl>
  <w:p w:rsidR="00D63031" w:rsidRPr="00193D1E" w:rsidRDefault="00D63031" w:rsidP="00193D1E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63031" w:rsidTr="00193D1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07-28700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230A">
            <w:t>19</w:t>
          </w:r>
          <w:r>
            <w:fldChar w:fldCharType="end"/>
          </w:r>
        </w:p>
      </w:tc>
    </w:tr>
  </w:tbl>
  <w:p w:rsidR="00D63031" w:rsidRPr="00193D1E" w:rsidRDefault="00D63031" w:rsidP="0019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EB" w:rsidRPr="00CA57C2" w:rsidRDefault="00597DEB" w:rsidP="00CA57C2">
      <w:pPr>
        <w:pStyle w:val="Footer"/>
        <w:spacing w:after="80"/>
        <w:ind w:left="792"/>
        <w:rPr>
          <w:sz w:val="16"/>
        </w:rPr>
      </w:pPr>
      <w:r w:rsidRPr="00CA57C2">
        <w:rPr>
          <w:sz w:val="16"/>
        </w:rPr>
        <w:t>__________________</w:t>
      </w:r>
    </w:p>
  </w:footnote>
  <w:footnote w:type="continuationSeparator" w:id="0">
    <w:p w:rsidR="00597DEB" w:rsidRPr="00CA57C2" w:rsidRDefault="00597DEB" w:rsidP="00CA57C2">
      <w:pPr>
        <w:pStyle w:val="Footer"/>
        <w:spacing w:after="80"/>
        <w:ind w:left="792"/>
        <w:rPr>
          <w:sz w:val="16"/>
        </w:rPr>
      </w:pPr>
      <w:r w:rsidRPr="00CA57C2">
        <w:rPr>
          <w:sz w:val="16"/>
        </w:rPr>
        <w:t>__________________</w:t>
      </w:r>
    </w:p>
  </w:footnote>
  <w:footnote w:id="1">
    <w:p w:rsidR="00D63031" w:rsidRPr="00AA057B" w:rsidRDefault="00D63031" w:rsidP="00CA57C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CEDAW/C/2007/II/1.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63031" w:rsidTr="00193D1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CEDAW/C/2007/II/3/Add.3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63031" w:rsidRDefault="00D63031" w:rsidP="00193D1E">
          <w:pPr>
            <w:pStyle w:val="Header"/>
          </w:pPr>
        </w:p>
      </w:tc>
    </w:tr>
  </w:tbl>
  <w:p w:rsidR="00D63031" w:rsidRPr="00193D1E" w:rsidRDefault="00D63031" w:rsidP="00193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63031" w:rsidTr="00193D1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63031" w:rsidRDefault="00D63031" w:rsidP="00193D1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CEDAW/C/2007/II/3/Add.3</w:t>
          </w:r>
          <w:r>
            <w:rPr>
              <w:b/>
            </w:rPr>
            <w:fldChar w:fldCharType="end"/>
          </w:r>
        </w:p>
      </w:tc>
    </w:tr>
  </w:tbl>
  <w:p w:rsidR="00D63031" w:rsidRPr="00193D1E" w:rsidRDefault="00D63031" w:rsidP="00193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63031" w:rsidTr="00193D1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63031" w:rsidRPr="00193D1E" w:rsidRDefault="00D63031" w:rsidP="00193D1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63031" w:rsidRDefault="00D63031" w:rsidP="00193D1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63031" w:rsidRPr="00193D1E" w:rsidRDefault="00D63031" w:rsidP="00193D1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/C/2007/II/3/Add.3</w:t>
          </w:r>
        </w:p>
      </w:tc>
    </w:tr>
    <w:tr w:rsidR="00D63031" w:rsidRPr="00CA57C2" w:rsidTr="00193D1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3031" w:rsidRDefault="00D63031" w:rsidP="00193D1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D63031" w:rsidRPr="00193D1E" w:rsidRDefault="00D63031" w:rsidP="00193D1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3031" w:rsidRPr="00193D1E" w:rsidRDefault="00D63031" w:rsidP="00193D1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3031" w:rsidRPr="00CA57C2" w:rsidRDefault="00D63031" w:rsidP="00193D1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3031" w:rsidRPr="00CA57C2" w:rsidRDefault="00D63031" w:rsidP="00193D1E">
          <w:pPr>
            <w:spacing w:before="240"/>
            <w:rPr>
              <w:lang w:val="en-US"/>
            </w:rPr>
          </w:pPr>
          <w:r w:rsidRPr="00CA57C2">
            <w:rPr>
              <w:lang w:val="en-US"/>
            </w:rPr>
            <w:t>Distr.: General</w:t>
          </w:r>
        </w:p>
        <w:p w:rsidR="00D63031" w:rsidRPr="00CA57C2" w:rsidRDefault="00D63031" w:rsidP="00193D1E">
          <w:pPr>
            <w:rPr>
              <w:lang w:val="en-US"/>
            </w:rPr>
          </w:pPr>
          <w:r w:rsidRPr="00CA57C2">
            <w:rPr>
              <w:lang w:val="en-US"/>
            </w:rPr>
            <w:t>28 March 2007</w:t>
          </w:r>
        </w:p>
        <w:p w:rsidR="00D63031" w:rsidRPr="00CA57C2" w:rsidRDefault="00D63031" w:rsidP="00193D1E">
          <w:pPr>
            <w:rPr>
              <w:lang w:val="en-US"/>
            </w:rPr>
          </w:pPr>
          <w:r w:rsidRPr="00CA57C2">
            <w:rPr>
              <w:lang w:val="en-US"/>
            </w:rPr>
            <w:t>Russian</w:t>
          </w:r>
        </w:p>
        <w:p w:rsidR="00D63031" w:rsidRPr="00CA57C2" w:rsidRDefault="00D63031" w:rsidP="00193D1E">
          <w:pPr>
            <w:rPr>
              <w:lang w:val="en-US"/>
            </w:rPr>
          </w:pPr>
          <w:r w:rsidRPr="00CA57C2">
            <w:rPr>
              <w:lang w:val="en-US"/>
            </w:rPr>
            <w:t>Original: English</w:t>
          </w:r>
        </w:p>
      </w:tc>
    </w:tr>
  </w:tbl>
  <w:p w:rsidR="00D63031" w:rsidRPr="00193D1E" w:rsidRDefault="00D63031" w:rsidP="00193D1E">
    <w:pPr>
      <w:pStyle w:val="Header"/>
      <w:spacing w:line="20" w:lineRule="exac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457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1E0" w:firstRow="1" w:lastRow="1" w:firstColumn="1" w:lastColumn="1" w:noHBand="0" w:noVBand="0"/>
    </w:tblPr>
    <w:tblGrid>
      <w:gridCol w:w="864"/>
    </w:tblGrid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D63031" w:rsidRPr="00FC440F" w:rsidRDefault="00D63031" w:rsidP="00FC440F">
          <w:pPr>
            <w:pStyle w:val="Header"/>
            <w:spacing w:line="240" w:lineRule="auto"/>
            <w:ind w:left="14" w:right="14"/>
            <w:rPr>
              <w:b/>
              <w:w w:val="103"/>
            </w:rPr>
          </w:pPr>
          <w:r w:rsidRPr="00FC440F">
            <w:rPr>
              <w:b/>
              <w:w w:val="103"/>
            </w:rPr>
            <w:fldChar w:fldCharType="begin"/>
          </w:r>
          <w:r w:rsidRPr="00FC440F">
            <w:rPr>
              <w:b/>
              <w:w w:val="103"/>
            </w:rPr>
            <w:instrText xml:space="preserve"> DOCVARIABLE "sss1" \* MERGEFORMAT </w:instrText>
          </w:r>
          <w:r w:rsidRPr="00FC440F">
            <w:rPr>
              <w:b/>
              <w:w w:val="103"/>
            </w:rPr>
            <w:fldChar w:fldCharType="separate"/>
          </w:r>
          <w:r>
            <w:rPr>
              <w:b/>
              <w:w w:val="103"/>
            </w:rPr>
            <w:t>CEDAW/C/2007/II/3/Add.3</w:t>
          </w:r>
          <w:r w:rsidRPr="00FC440F">
            <w:rPr>
              <w:b/>
              <w:w w:val="103"/>
            </w:rPr>
            <w:fldChar w:fldCharType="end"/>
          </w:r>
        </w:p>
      </w:tc>
    </w:tr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D63031" w:rsidRPr="00FC440F" w:rsidRDefault="00D63031" w:rsidP="00FC440F">
          <w:pPr>
            <w:pStyle w:val="Header"/>
            <w:spacing w:line="240" w:lineRule="auto"/>
            <w:ind w:left="14" w:right="14"/>
            <w:rPr>
              <w:b/>
              <w:w w:val="103"/>
            </w:rPr>
          </w:pPr>
        </w:p>
      </w:tc>
    </w:tr>
  </w:tbl>
  <w:p w:rsidR="00D63031" w:rsidRPr="00FC440F" w:rsidRDefault="00D63031" w:rsidP="00FC44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457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1E0" w:firstRow="1" w:lastRow="1" w:firstColumn="1" w:lastColumn="1" w:noHBand="0" w:noVBand="0"/>
    </w:tblPr>
    <w:tblGrid>
      <w:gridCol w:w="864"/>
    </w:tblGrid>
    <w:tr w:rsidR="00D63031" w:rsidRPr="00FC440F" w:rsidTr="00FC440F">
      <w:trPr>
        <w:trHeight w:val="4925"/>
      </w:trPr>
      <w:tc>
        <w:tcPr>
          <w:tcW w:w="12413" w:type="dxa"/>
          <w:shd w:val="clear" w:color="auto" w:fill="auto"/>
          <w:vAlign w:val="bottom"/>
        </w:tcPr>
        <w:p w:rsidR="00D63031" w:rsidRPr="00FC440F" w:rsidRDefault="00D63031" w:rsidP="00FC440F">
          <w:pPr>
            <w:pStyle w:val="Header"/>
            <w:spacing w:line="240" w:lineRule="auto"/>
            <w:ind w:left="14" w:right="14"/>
            <w:jc w:val="right"/>
            <w:rPr>
              <w:b/>
              <w:bCs/>
              <w:w w:val="103"/>
              <w:szCs w:val="26"/>
            </w:rPr>
          </w:pPr>
        </w:p>
      </w:tc>
    </w:tr>
    <w:tr w:rsidR="00D63031" w:rsidRPr="00FC440F" w:rsidTr="00FC440F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D63031" w:rsidRPr="00FC440F" w:rsidRDefault="00D63031" w:rsidP="00FC440F">
          <w:pPr>
            <w:pStyle w:val="Header"/>
            <w:spacing w:line="240" w:lineRule="auto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FC440F">
            <w:rPr>
              <w:b/>
              <w:bCs/>
              <w:w w:val="103"/>
              <w:szCs w:val="26"/>
            </w:rPr>
            <w:fldChar w:fldCharType="begin"/>
          </w:r>
          <w:r w:rsidRPr="00FC440F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FC440F">
            <w:rPr>
              <w:b/>
              <w:bCs/>
              <w:w w:val="103"/>
              <w:szCs w:val="26"/>
            </w:rPr>
            <w:fldChar w:fldCharType="separate"/>
          </w:r>
          <w:r>
            <w:rPr>
              <w:b/>
              <w:bCs/>
              <w:w w:val="103"/>
              <w:szCs w:val="26"/>
            </w:rPr>
            <w:t>CEDAW/C/2007/II/3/Add.3</w:t>
          </w:r>
          <w:r w:rsidRPr="00FC440F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D63031" w:rsidRPr="00FC440F" w:rsidRDefault="00D63031" w:rsidP="00FC440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63031" w:rsidTr="00193D1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CEDAW/C/2007/II/3/Add.3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63031" w:rsidRDefault="00D63031" w:rsidP="00193D1E">
          <w:pPr>
            <w:pStyle w:val="Header"/>
          </w:pPr>
        </w:p>
      </w:tc>
    </w:tr>
  </w:tbl>
  <w:p w:rsidR="00D63031" w:rsidRPr="00193D1E" w:rsidRDefault="00D63031" w:rsidP="00193D1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63031" w:rsidTr="00193D1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63031" w:rsidRDefault="00D63031" w:rsidP="00193D1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63031" w:rsidRPr="00193D1E" w:rsidRDefault="00D63031" w:rsidP="00193D1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CEDAW/C/2007/II/3/Add.3</w:t>
          </w:r>
          <w:r>
            <w:rPr>
              <w:b/>
            </w:rPr>
            <w:fldChar w:fldCharType="end"/>
          </w:r>
        </w:p>
      </w:tc>
    </w:tr>
  </w:tbl>
  <w:p w:rsidR="00D63031" w:rsidRPr="00193D1E" w:rsidRDefault="00D63031" w:rsidP="00193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8700*"/>
    <w:docVar w:name="CreationDt" w:val="19/04/2007 9:37::42"/>
    <w:docVar w:name="DocCategory" w:val="Doc"/>
    <w:docVar w:name="DocType" w:val="Final"/>
    <w:docVar w:name="FooterJN" w:val="07-28700"/>
    <w:docVar w:name="jobn" w:val="07-28700 (R)"/>
    <w:docVar w:name="jobnDT" w:val="07-28700 (R)   190407"/>
    <w:docVar w:name="jobnDTDT" w:val="07-28700 (R)   190407   190407"/>
    <w:docVar w:name="JobNo" w:val="0728700R"/>
    <w:docVar w:name="OandT" w:val=" "/>
    <w:docVar w:name="sss1" w:val="CEDAW/C/2007/II/3/Add.3"/>
    <w:docVar w:name="sss2" w:val="-"/>
    <w:docVar w:name="Symbol1" w:val="CEDAW/C/2007/II/3/Add.3"/>
    <w:docVar w:name="Symbol2" w:val="-"/>
  </w:docVars>
  <w:rsids>
    <w:rsidRoot w:val="000A38E8"/>
    <w:rsid w:val="000405E9"/>
    <w:rsid w:val="0005230A"/>
    <w:rsid w:val="000545CE"/>
    <w:rsid w:val="0007599F"/>
    <w:rsid w:val="00086C68"/>
    <w:rsid w:val="000A38E8"/>
    <w:rsid w:val="000B4F86"/>
    <w:rsid w:val="000C5229"/>
    <w:rsid w:val="000C7BE7"/>
    <w:rsid w:val="000D65D5"/>
    <w:rsid w:val="000E5AE4"/>
    <w:rsid w:val="00101C22"/>
    <w:rsid w:val="001238E4"/>
    <w:rsid w:val="00193D1E"/>
    <w:rsid w:val="001C1B08"/>
    <w:rsid w:val="00210E71"/>
    <w:rsid w:val="00273D16"/>
    <w:rsid w:val="002A529E"/>
    <w:rsid w:val="002F106A"/>
    <w:rsid w:val="002F5041"/>
    <w:rsid w:val="00314629"/>
    <w:rsid w:val="00315C71"/>
    <w:rsid w:val="00372F9F"/>
    <w:rsid w:val="003A2FF8"/>
    <w:rsid w:val="00412514"/>
    <w:rsid w:val="00454615"/>
    <w:rsid w:val="0045465A"/>
    <w:rsid w:val="00465704"/>
    <w:rsid w:val="00473CE3"/>
    <w:rsid w:val="00480A82"/>
    <w:rsid w:val="00490157"/>
    <w:rsid w:val="004C395C"/>
    <w:rsid w:val="00512F28"/>
    <w:rsid w:val="00573FBD"/>
    <w:rsid w:val="00597DEB"/>
    <w:rsid w:val="005B02FA"/>
    <w:rsid w:val="005B5EA6"/>
    <w:rsid w:val="005B7504"/>
    <w:rsid w:val="005E3A25"/>
    <w:rsid w:val="00630830"/>
    <w:rsid w:val="00646CD0"/>
    <w:rsid w:val="00663E67"/>
    <w:rsid w:val="00674F84"/>
    <w:rsid w:val="006E380B"/>
    <w:rsid w:val="007807F7"/>
    <w:rsid w:val="007A4552"/>
    <w:rsid w:val="007D7973"/>
    <w:rsid w:val="007F6E68"/>
    <w:rsid w:val="00805160"/>
    <w:rsid w:val="00807207"/>
    <w:rsid w:val="00814840"/>
    <w:rsid w:val="008166B6"/>
    <w:rsid w:val="008204BD"/>
    <w:rsid w:val="00890B18"/>
    <w:rsid w:val="008D20C2"/>
    <w:rsid w:val="008F21B6"/>
    <w:rsid w:val="00910C88"/>
    <w:rsid w:val="00932D84"/>
    <w:rsid w:val="009834B8"/>
    <w:rsid w:val="009A0245"/>
    <w:rsid w:val="00A02754"/>
    <w:rsid w:val="00A170C5"/>
    <w:rsid w:val="00AA7D67"/>
    <w:rsid w:val="00AB20FA"/>
    <w:rsid w:val="00AC4CCE"/>
    <w:rsid w:val="00AF1E5F"/>
    <w:rsid w:val="00B11425"/>
    <w:rsid w:val="00B46D7A"/>
    <w:rsid w:val="00B93D7B"/>
    <w:rsid w:val="00BA0CFA"/>
    <w:rsid w:val="00BD2395"/>
    <w:rsid w:val="00BE735B"/>
    <w:rsid w:val="00C4049B"/>
    <w:rsid w:val="00C62474"/>
    <w:rsid w:val="00CA57C2"/>
    <w:rsid w:val="00CC7AA8"/>
    <w:rsid w:val="00CD1B2F"/>
    <w:rsid w:val="00CE23C8"/>
    <w:rsid w:val="00CE57D7"/>
    <w:rsid w:val="00D05C4E"/>
    <w:rsid w:val="00D06E7A"/>
    <w:rsid w:val="00D47558"/>
    <w:rsid w:val="00D63031"/>
    <w:rsid w:val="00D9765C"/>
    <w:rsid w:val="00DE5E5D"/>
    <w:rsid w:val="00E5306F"/>
    <w:rsid w:val="00E53D89"/>
    <w:rsid w:val="00E54326"/>
    <w:rsid w:val="00E943DA"/>
    <w:rsid w:val="00ED79AD"/>
    <w:rsid w:val="00EF650F"/>
    <w:rsid w:val="00F1582B"/>
    <w:rsid w:val="00F94314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Dual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93D1E"/>
  </w:style>
  <w:style w:type="paragraph" w:styleId="CommentSubject">
    <w:name w:val="annotation subject"/>
    <w:basedOn w:val="CommentText"/>
    <w:next w:val="CommentText"/>
    <w:semiHidden/>
    <w:rsid w:val="00193D1E"/>
    <w:rPr>
      <w:b/>
      <w:bCs/>
    </w:rPr>
  </w:style>
  <w:style w:type="table" w:styleId="TableGrid">
    <w:name w:val="Table Grid"/>
    <w:basedOn w:val="TableNormal"/>
    <w:rsid w:val="00FC440F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5118</Words>
  <Characters>33475</Characters>
  <Application>Microsoft Office Word</Application>
  <DocSecurity>4</DocSecurity>
  <Lines>1673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Mouslikova</dc:creator>
  <cp:keywords/>
  <dc:description/>
  <cp:lastModifiedBy>Nina Kostyuchenko</cp:lastModifiedBy>
  <cp:revision>43</cp:revision>
  <cp:lastPrinted>2007-04-19T14:48:00Z</cp:lastPrinted>
  <dcterms:created xsi:type="dcterms:W3CDTF">2007-04-19T12:56:00Z</dcterms:created>
  <dcterms:modified xsi:type="dcterms:W3CDTF">2007-04-19T15:00:00Z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0728700</vt:lpwstr>
  </property>
  <property fmtid="{D5CDD505-2E9C-101B-9397-08002B2CF9AE}" pid="3" name="Symbol1">
    <vt:lpwstr>CEDAW/C/2007/II/3/Add.3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19</vt:lpwstr>
  </property>
  <property fmtid="{D5CDD505-2E9C-101B-9397-08002B2CF9AE}" pid="8" name="Operator">
    <vt:lpwstr>Kostyuchenko</vt:lpwstr>
  </property>
</Properties>
</file>