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99" w:rsidRDefault="00493B99" w:rsidP="00493B99">
      <w:pPr>
        <w:spacing w:line="240" w:lineRule="auto"/>
        <w:jc w:val="left"/>
        <w:rPr>
          <w:szCs w:val="6"/>
        </w:rPr>
        <w:sectPr w:rsidR="00493B99" w:rsidSect="00493B9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F859B3" w:rsidRDefault="002245A4" w:rsidP="007C4342">
      <w:pPr>
        <w:pStyle w:val="H1"/>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rPr>
          <w:rFonts w:hint="cs"/>
          <w:rtl/>
        </w:rPr>
      </w:pPr>
      <w:r>
        <w:rPr>
          <w:rFonts w:hint="cs"/>
          <w:rtl/>
        </w:rPr>
        <w:t>ال</w:t>
      </w:r>
      <w:r w:rsidR="00F859B3">
        <w:rPr>
          <w:rFonts w:hint="cs"/>
          <w:rtl/>
        </w:rPr>
        <w:t xml:space="preserve">لجنة </w:t>
      </w:r>
      <w:r>
        <w:rPr>
          <w:rFonts w:hint="cs"/>
          <w:rtl/>
        </w:rPr>
        <w:t>المعنية ب</w:t>
      </w:r>
      <w:bookmarkStart w:id="1" w:name="TmpSave"/>
      <w:bookmarkEnd w:id="1"/>
      <w:r w:rsidR="00F859B3">
        <w:rPr>
          <w:rFonts w:hint="cs"/>
          <w:rtl/>
        </w:rPr>
        <w:t>القضاء على التمييز ضد المرأة</w:t>
      </w:r>
    </w:p>
    <w:p w:rsidR="00F859B3" w:rsidRDefault="00F859B3" w:rsidP="007C4342">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440" w:lineRule="exact"/>
        <w:ind w:left="662" w:hanging="662"/>
        <w:jc w:val="lowKashida"/>
        <w:rPr>
          <w:rFonts w:hint="cs"/>
          <w:rtl/>
        </w:rPr>
      </w:pPr>
      <w:r>
        <w:rPr>
          <w:rFonts w:hint="cs"/>
          <w:rtl/>
        </w:rPr>
        <w:t>الدورة الثامنة والثلاثون</w:t>
      </w:r>
    </w:p>
    <w:p w:rsidR="00F859B3" w:rsidRDefault="00F859B3" w:rsidP="007C4342">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440" w:lineRule="exact"/>
        <w:ind w:left="662" w:hanging="662"/>
        <w:jc w:val="lowKashida"/>
        <w:rPr>
          <w:rFonts w:hint="cs"/>
          <w:rtl/>
        </w:rPr>
      </w:pPr>
      <w:r>
        <w:rPr>
          <w:rFonts w:hint="cs"/>
          <w:rtl/>
        </w:rPr>
        <w:t>14 أيار/مايو - 1 حزيران/يونيه 2007</w:t>
      </w:r>
    </w:p>
    <w:p w:rsidR="00F859B3" w:rsidRPr="00685B66" w:rsidRDefault="00F859B3" w:rsidP="00F859B3">
      <w:pPr>
        <w:framePr w:w="9792" w:h="432" w:hSpace="187" w:wrap="around" w:hAnchor="page" w:x="1196" w:yAlign="bottom"/>
        <w:spacing w:line="240" w:lineRule="auto"/>
        <w:rPr>
          <w:szCs w:val="10"/>
          <w:rtl/>
        </w:rPr>
      </w:pPr>
    </w:p>
    <w:p w:rsidR="00F859B3" w:rsidRPr="00685B66" w:rsidRDefault="00F859B3" w:rsidP="00F859B3">
      <w:pPr>
        <w:framePr w:w="9792" w:h="432" w:hSpace="187" w:wrap="around" w:hAnchor="page" w:x="1196" w:yAlign="bottom"/>
        <w:spacing w:line="240" w:lineRule="auto"/>
        <w:rPr>
          <w:szCs w:val="6"/>
          <w:rtl/>
        </w:rPr>
      </w:pPr>
    </w:p>
    <w:p w:rsidR="00F859B3" w:rsidRPr="00685B66" w:rsidRDefault="00F859B3" w:rsidP="00F859B3">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w w:val="100"/>
        </w:rPr>
        <w:pict>
          <v:line id="_x0000_s1028" style="position:absolute;left:0;text-align:left;z-index:1" from="396pt,-1pt" to="468pt,-1pt">
            <w10:wrap anchorx="page"/>
          </v:line>
        </w:pict>
      </w:r>
      <w:r>
        <w:rPr>
          <w:rFonts w:hint="cs"/>
          <w:sz w:val="17"/>
          <w:szCs w:val="26"/>
          <w:rtl/>
        </w:rPr>
        <w:tab/>
        <w:t>*</w:t>
      </w:r>
      <w:r>
        <w:rPr>
          <w:rFonts w:hint="cs"/>
          <w:sz w:val="17"/>
          <w:szCs w:val="26"/>
          <w:rtl/>
        </w:rPr>
        <w:tab/>
      </w:r>
      <w:r>
        <w:rPr>
          <w:sz w:val="17"/>
          <w:szCs w:val="26"/>
        </w:rPr>
        <w:t>CEDAW/C/2007/II/1</w:t>
      </w:r>
      <w:r>
        <w:rPr>
          <w:rFonts w:hint="cs"/>
          <w:sz w:val="17"/>
          <w:szCs w:val="26"/>
          <w:rtl/>
        </w:rPr>
        <w:t xml:space="preserve">. </w:t>
      </w:r>
    </w:p>
    <w:p w:rsidR="00F859B3" w:rsidRDefault="00F859B3" w:rsidP="007C4342">
      <w:pPr>
        <w:tabs>
          <w:tab w:val="left" w:pos="662"/>
          <w:tab w:val="left" w:pos="1267"/>
          <w:tab w:val="left" w:pos="1987"/>
          <w:tab w:val="left" w:pos="2650"/>
        </w:tabs>
        <w:spacing w:line="440" w:lineRule="exact"/>
        <w:rPr>
          <w:rFonts w:hint="cs"/>
          <w:rtl/>
        </w:rPr>
      </w:pPr>
      <w:r>
        <w:rPr>
          <w:rFonts w:hint="cs"/>
          <w:rtl/>
        </w:rPr>
        <w:t xml:space="preserve">البند 5 من جدول الأعمال المؤقت* </w:t>
      </w:r>
    </w:p>
    <w:p w:rsidR="00F859B3" w:rsidRDefault="00F859B3" w:rsidP="00F859B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تنفيذ المادة 21 من اتفاقية القضاء على جميع أشكال التمييز ضد المرأة</w:t>
      </w:r>
    </w:p>
    <w:p w:rsidR="00F859B3" w:rsidRPr="00CC2A20" w:rsidRDefault="00F859B3" w:rsidP="00F859B3">
      <w:pPr>
        <w:pStyle w:val="SingleTxt"/>
        <w:spacing w:after="0" w:line="120" w:lineRule="exact"/>
        <w:rPr>
          <w:rFonts w:hint="cs"/>
          <w:sz w:val="10"/>
          <w:rtl/>
        </w:rPr>
      </w:pPr>
    </w:p>
    <w:p w:rsidR="00F859B3" w:rsidRPr="00CC2A20" w:rsidRDefault="00F859B3" w:rsidP="00F859B3">
      <w:pPr>
        <w:pStyle w:val="SingleTxt"/>
        <w:spacing w:after="0" w:line="120" w:lineRule="exact"/>
        <w:rPr>
          <w:rFonts w:hint="cs"/>
          <w:sz w:val="10"/>
          <w:rtl/>
        </w:rPr>
      </w:pPr>
    </w:p>
    <w:p w:rsidR="00F859B3" w:rsidRDefault="00F859B3" w:rsidP="00F859B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التقارير المقدمة من الوكالات المتخصصة في منظومة الأمم المتحدة عن تنفيذ الاتفاقية في المجالات الواقعة في نطاق أنشطتها</w:t>
      </w:r>
    </w:p>
    <w:p w:rsidR="00F859B3" w:rsidRPr="00CC2A20" w:rsidRDefault="00F859B3" w:rsidP="00F859B3">
      <w:pPr>
        <w:pStyle w:val="SingleTxt"/>
        <w:spacing w:after="0" w:line="120" w:lineRule="exact"/>
        <w:rPr>
          <w:rFonts w:hint="cs"/>
          <w:sz w:val="10"/>
          <w:rtl/>
        </w:rPr>
      </w:pPr>
    </w:p>
    <w:p w:rsidR="00F859B3" w:rsidRDefault="00F859B3" w:rsidP="00F859B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مذكرة من الأمين العام</w:t>
      </w:r>
    </w:p>
    <w:p w:rsidR="00F859B3" w:rsidRDefault="00F859B3" w:rsidP="00F859B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إضافة</w:t>
      </w:r>
    </w:p>
    <w:p w:rsidR="007C4342" w:rsidRPr="007C4342" w:rsidRDefault="007C4342" w:rsidP="007C434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F859B3" w:rsidRDefault="00F859B3" w:rsidP="003E4A6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منظمة الأمم المتحدة للتربية والعلم والثقافة (اليونسكو) </w:t>
      </w:r>
    </w:p>
    <w:p w:rsidR="007C4342" w:rsidRPr="007C4342" w:rsidRDefault="007C4342" w:rsidP="007C4342">
      <w:pPr>
        <w:pStyle w:val="SingleTxt"/>
        <w:spacing w:after="0" w:line="120" w:lineRule="exact"/>
        <w:rPr>
          <w:rFonts w:hint="cs"/>
          <w:sz w:val="10"/>
          <w:rtl/>
        </w:rPr>
      </w:pPr>
    </w:p>
    <w:p w:rsidR="00F859B3" w:rsidRPr="00CC2A20" w:rsidRDefault="00F859B3" w:rsidP="00F859B3">
      <w:pPr>
        <w:pStyle w:val="SingleTxt"/>
        <w:spacing w:after="0" w:line="120" w:lineRule="exact"/>
        <w:rPr>
          <w:rFonts w:hint="cs"/>
          <w:sz w:val="10"/>
          <w:rtl/>
        </w:rPr>
      </w:pPr>
    </w:p>
    <w:p w:rsidR="00F859B3" w:rsidRDefault="00F859B3" w:rsidP="00F859B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أولا -</w:t>
      </w:r>
      <w:r>
        <w:rPr>
          <w:rFonts w:hint="cs"/>
          <w:rtl/>
        </w:rPr>
        <w:tab/>
        <w:t>أنشطة اليونسكو لتطبيق الاتفاقية داخل المنظمة</w:t>
      </w:r>
    </w:p>
    <w:p w:rsidR="00F859B3" w:rsidRDefault="00F859B3" w:rsidP="00F859B3">
      <w:pPr>
        <w:pStyle w:val="SingleTxt"/>
        <w:rPr>
          <w:rFonts w:hint="cs"/>
          <w:rtl/>
        </w:rPr>
      </w:pPr>
      <w:r>
        <w:rPr>
          <w:rFonts w:hint="cs"/>
          <w:rtl/>
        </w:rPr>
        <w:tab/>
        <w:t>عملا باستراتيجية اليونسكو المتوسطة الأجل للفترة 2002-2007، أُدمج منظور المساواة بين الجنسين في أنشطة تخطيط السياسات العامة والبرمجة والتنفيذ والتقييم في جميع مجالات اختصاص اليونسكو لزيادة تمكين المرأة وتحقيق المساواة بين الجنسين. ويجري تناول وتعزيز أولويات المرأة وتصوراتها لأهداف ونهج التنمية من خلال زيادة مشاركة المرأة في جميع مستويات وميادين عمل اليونسكو. وقد جرى تكييف سياسة المنظمة الشاملة بشأن الموارد البشرية على هذا الأساس مع مراعاة أثر بعض المعالم الحاسمة، منها مثلا التوازن بين الجنسين. وتم تنفيذ إطار جديد للسياسة العامة فيما يتعلق بقضايا العمل/الأسرة بهدف تحسين قدرة الموظفين على تنظيم مسؤولياتهم تجاه أعمالهم وأسرهم.</w:t>
      </w:r>
    </w:p>
    <w:p w:rsidR="00F859B3" w:rsidRDefault="00F859B3" w:rsidP="007C4342">
      <w:pPr>
        <w:pStyle w:val="SingleTxt"/>
        <w:rPr>
          <w:rFonts w:hint="cs"/>
          <w:rtl/>
        </w:rPr>
      </w:pPr>
      <w:r>
        <w:rPr>
          <w:rFonts w:hint="cs"/>
          <w:rtl/>
        </w:rPr>
        <w:tab/>
        <w:t xml:space="preserve">وتواصل اليونسكو مشاركتها النشطة في مبادرة الأمم المتحدة لتعليم الفتيات. كما أن ضرورة كفالة المساواة بين الجنسين تظهر بوضوح في كل جوانب برنامج اليونسكو في مجال التربية. وفي مواجهة تزايد الفجوة بين المتعلمين والأميين في الفرص الاجتماعية والاقتصادية وفرص الخدمة الوطنية قامت اليونسكو بتجديد جهودها في سبيل محو الأمية للجميع مع استهداف الفتيات والنساء بصفة خاصة. </w:t>
      </w:r>
    </w:p>
    <w:p w:rsidR="00F859B3" w:rsidRDefault="00F859B3" w:rsidP="007C54F7">
      <w:pPr>
        <w:pStyle w:val="SingleTxt"/>
        <w:rPr>
          <w:rFonts w:hint="cs"/>
          <w:rtl/>
        </w:rPr>
      </w:pPr>
      <w:r>
        <w:rPr>
          <w:rFonts w:hint="cs"/>
          <w:rtl/>
        </w:rPr>
        <w:tab/>
        <w:t>وفي مجال العلوم الاجتماعية والإنسانية أنشأت اليونسكو شبكتين للأبحاث/</w:t>
      </w:r>
      <w:r w:rsidR="007C54F7">
        <w:rPr>
          <w:rFonts w:hint="cs"/>
          <w:rtl/>
        </w:rPr>
        <w:t>الدعوة</w:t>
      </w:r>
      <w:r>
        <w:rPr>
          <w:rFonts w:hint="cs"/>
          <w:rtl/>
        </w:rPr>
        <w:t xml:space="preserve">/ السياسة العامة إحداهما للأبحاث الخاصة بالحقوق الاجتماعية والاقتصادية للمرأة والأخرى للتغيرات الثقافية </w:t>
      </w:r>
      <w:r w:rsidR="007C54F7">
        <w:rPr>
          <w:rFonts w:hint="cs"/>
          <w:rtl/>
        </w:rPr>
        <w:t>من أجل ا</w:t>
      </w:r>
      <w:r>
        <w:rPr>
          <w:rFonts w:hint="cs"/>
          <w:rtl/>
        </w:rPr>
        <w:t>لنهوض بالمرأة، وبتكليف من اليونسكو وضعت ثماني ورقات عن الحقوق الاجتماعية الاقتصادية للمرأة والقيادات النقابية النسائية وستوزع هذه الورقات على وزراء شؤون المرأة. وقامت اليونسكو بدعم جهود إقامة قاعدة بيانات كمية تمثل جميع المناطق</w:t>
      </w:r>
      <w:r w:rsidR="007C54F7">
        <w:rPr>
          <w:rFonts w:hint="cs"/>
          <w:rtl/>
        </w:rPr>
        <w:t>،</w:t>
      </w:r>
      <w:r>
        <w:rPr>
          <w:rFonts w:hint="cs"/>
          <w:rtl/>
        </w:rPr>
        <w:t xml:space="preserve"> حيث طلبت من جميع المؤلفين المشاركين استكمال إطار المؤشرات الجنسانية للتمكين. وأعدت اليونسكو مشروع اقتراح عن المسائل الجنسانية والديمقراطية وقدمته إلى صندوق الأمم المتحدة </w:t>
      </w:r>
      <w:r w:rsidR="007C54F7">
        <w:rPr>
          <w:rFonts w:hint="cs"/>
          <w:rtl/>
        </w:rPr>
        <w:t>ل</w:t>
      </w:r>
      <w:r>
        <w:rPr>
          <w:rFonts w:hint="cs"/>
          <w:rtl/>
        </w:rPr>
        <w:t>لديمقراطي</w:t>
      </w:r>
      <w:r w:rsidR="007C54F7">
        <w:rPr>
          <w:rFonts w:hint="cs"/>
          <w:rtl/>
        </w:rPr>
        <w:t>ة</w:t>
      </w:r>
      <w:r>
        <w:rPr>
          <w:rFonts w:hint="cs"/>
          <w:rtl/>
        </w:rPr>
        <w:t xml:space="preserve">. </w:t>
      </w:r>
      <w:r w:rsidR="007C54F7">
        <w:rPr>
          <w:rFonts w:hint="cs"/>
          <w:rtl/>
        </w:rPr>
        <w:t xml:space="preserve">كما أن </w:t>
      </w:r>
      <w:r>
        <w:rPr>
          <w:rFonts w:hint="cs"/>
          <w:rtl/>
        </w:rPr>
        <w:t xml:space="preserve">البرامج والأنشطة الخاصة بكل منطقة على حدة </w:t>
      </w:r>
      <w:r w:rsidR="007C54F7">
        <w:rPr>
          <w:rFonts w:hint="cs"/>
          <w:rtl/>
        </w:rPr>
        <w:t>لصالح ا</w:t>
      </w:r>
      <w:r>
        <w:rPr>
          <w:rFonts w:hint="cs"/>
          <w:rtl/>
        </w:rPr>
        <w:t>لفتيات والنساء من مختلف الأعمار، بما في ذلك الشابات والمسنات، تركز على الربط الشبكي وتبادل المعلومات وتقاسم المعارف وبناء التحالفات عبر الحدود والثقافات في إطار</w:t>
      </w:r>
      <w:r w:rsidR="007C54F7">
        <w:rPr>
          <w:rFonts w:hint="cs"/>
          <w:rtl/>
        </w:rPr>
        <w:t xml:space="preserve"> إعلان وبرنامج عمل الأمم المتحدة المتعلقين بثقافة</w:t>
      </w:r>
      <w:r>
        <w:rPr>
          <w:rFonts w:hint="cs"/>
          <w:rtl/>
        </w:rPr>
        <w:t xml:space="preserve"> السلام. </w:t>
      </w:r>
    </w:p>
    <w:p w:rsidR="00F859B3" w:rsidRDefault="00F859B3" w:rsidP="007C54F7">
      <w:pPr>
        <w:pStyle w:val="SingleTxt"/>
        <w:rPr>
          <w:rFonts w:hint="cs"/>
          <w:rtl/>
        </w:rPr>
      </w:pPr>
      <w:r>
        <w:rPr>
          <w:rFonts w:hint="cs"/>
          <w:rtl/>
        </w:rPr>
        <w:tab/>
        <w:t>و</w:t>
      </w:r>
      <w:r w:rsidR="007C54F7">
        <w:rPr>
          <w:rFonts w:hint="cs"/>
          <w:rtl/>
        </w:rPr>
        <w:t>نفذت</w:t>
      </w:r>
      <w:r>
        <w:rPr>
          <w:rFonts w:hint="cs"/>
          <w:rtl/>
        </w:rPr>
        <w:t xml:space="preserve"> الأعمال التالية الخاصة بكل منطقة: </w:t>
      </w:r>
    </w:p>
    <w:p w:rsidR="00F859B3" w:rsidRDefault="00F859B3" w:rsidP="007C54F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تنظيم ورش تدريبية إقليمية في المكاتب الميدانية الآسيوية والعربية والأفريقية </w:t>
      </w:r>
      <w:r w:rsidR="007C54F7">
        <w:rPr>
          <w:rFonts w:hint="cs"/>
          <w:rtl/>
        </w:rPr>
        <w:t>بشأن</w:t>
      </w:r>
      <w:r>
        <w:rPr>
          <w:rFonts w:hint="cs"/>
          <w:rtl/>
        </w:rPr>
        <w:t xml:space="preserve"> تعميم المنظور الجنساني والطفولة المبكرة والتعليم الجنساني ل</w:t>
      </w:r>
      <w:r w:rsidR="007C54F7">
        <w:rPr>
          <w:rFonts w:hint="cs"/>
          <w:rtl/>
        </w:rPr>
        <w:t>تدريب ا</w:t>
      </w:r>
      <w:r>
        <w:rPr>
          <w:rFonts w:hint="cs"/>
          <w:rtl/>
        </w:rPr>
        <w:t>لموظفين الميدانيين من أجل زيادة وعيهم وقدر</w:t>
      </w:r>
      <w:r w:rsidR="007C54F7">
        <w:rPr>
          <w:rFonts w:hint="cs"/>
          <w:rtl/>
        </w:rPr>
        <w:t>ا</w:t>
      </w:r>
      <w:r>
        <w:rPr>
          <w:rFonts w:hint="cs"/>
          <w:rtl/>
        </w:rPr>
        <w:t xml:space="preserve">تهم التقنية. </w:t>
      </w:r>
    </w:p>
    <w:p w:rsidR="00F859B3" w:rsidRDefault="00F859B3" w:rsidP="00F859B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تعزيز قدرات شبكة الموضوعات الجنسانية والتربية في آسيا من خلال تحديث وتوزيع مجموعة أدوات تدريبية على مسائل الجنسين. </w:t>
      </w:r>
    </w:p>
    <w:p w:rsidR="00F859B3" w:rsidRDefault="007C4342" w:rsidP="007C434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F859B3">
        <w:rPr>
          <w:rFonts w:hint="cs"/>
          <w:rtl/>
        </w:rPr>
        <w:t>استكم</w:t>
      </w:r>
      <w:r w:rsidR="007C54F7">
        <w:rPr>
          <w:rFonts w:hint="cs"/>
          <w:rtl/>
        </w:rPr>
        <w:t>ا</w:t>
      </w:r>
      <w:r w:rsidR="00F859B3">
        <w:rPr>
          <w:rFonts w:hint="cs"/>
          <w:rtl/>
        </w:rPr>
        <w:t xml:space="preserve">ل الأعمال التحضيرية لصياغة استراتيجية عن </w:t>
      </w:r>
      <w:r w:rsidR="00F859B3">
        <w:rPr>
          <w:rFonts w:hint="eastAsia"/>
          <w:rtl/>
        </w:rPr>
        <w:t xml:space="preserve">”زيادة </w:t>
      </w:r>
      <w:r w:rsidR="007C54F7">
        <w:rPr>
          <w:rFonts w:hint="cs"/>
          <w:rtl/>
        </w:rPr>
        <w:t>سرعة</w:t>
      </w:r>
      <w:r w:rsidR="00F859B3">
        <w:rPr>
          <w:rFonts w:hint="eastAsia"/>
          <w:rtl/>
        </w:rPr>
        <w:t xml:space="preserve"> تعليم البنات في أفريقيا الغربية والوسطى</w:t>
      </w:r>
      <w:r w:rsidR="00F859B3">
        <w:rPr>
          <w:rFonts w:hint="cs"/>
          <w:rtl/>
        </w:rPr>
        <w:t xml:space="preserve">“ في إطار مبادرة الأمم المتحدة لتعليم الفتيات. </w:t>
      </w:r>
    </w:p>
    <w:p w:rsidR="00F859B3" w:rsidRDefault="00F859B3" w:rsidP="00F859B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وتعزيز شبكات مع الوسائط الإقليمية واليونيس</w:t>
      </w:r>
      <w:r w:rsidR="007C4342">
        <w:rPr>
          <w:rFonts w:hint="cs"/>
          <w:rtl/>
        </w:rPr>
        <w:t>ي</w:t>
      </w:r>
      <w:r>
        <w:rPr>
          <w:rFonts w:hint="cs"/>
          <w:rtl/>
        </w:rPr>
        <w:t xml:space="preserve">ف وبرنامج الأغذية العالمي عن أهمية تعليم البنات وخاصة في المناطق الريفية والنائية في المنطقة العربية. </w:t>
      </w:r>
    </w:p>
    <w:p w:rsidR="00F859B3" w:rsidRDefault="00F859B3" w:rsidP="007C54F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قيام مكتب اليونسكو في جاكرتا بتنظيم منتدى جنوب شرق آسيا الأول - مؤتمر الموضوعات الجنسانية والطاقة عن </w:t>
      </w:r>
      <w:r>
        <w:rPr>
          <w:rFonts w:hint="eastAsia"/>
          <w:rtl/>
        </w:rPr>
        <w:t>”تعميم المنظور الجنساني في سياسة وتكنولوجيا الطاقة</w:t>
      </w:r>
      <w:r>
        <w:rPr>
          <w:rFonts w:hint="cs"/>
          <w:rtl/>
        </w:rPr>
        <w:t xml:space="preserve">“ بالتعاون مع جامعة إندونيسيا والجمعية الدولية للخبرة الفنية والتعليم والتنمية. </w:t>
      </w:r>
      <w:r w:rsidR="007C54F7">
        <w:rPr>
          <w:rFonts w:hint="cs"/>
          <w:rtl/>
        </w:rPr>
        <w:t>وحضر</w:t>
      </w:r>
      <w:r>
        <w:rPr>
          <w:rFonts w:hint="cs"/>
          <w:rtl/>
        </w:rPr>
        <w:t xml:space="preserve"> هذا المنتدى جامعات من خمس دول جزرية في جنوب شرق آسيا (برعاية الصناديق الاستئمانية اليابانية). </w:t>
      </w:r>
    </w:p>
    <w:p w:rsidR="00F859B3" w:rsidRDefault="00F859B3" w:rsidP="00F859B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تعزيز المساواة بين الجنسين والتنمية من خلال أنشطة تتصل بدور المرأة في الهيئة القضائية في المنطقة العربية وافتتاح مركز موارد المرأة الفلسطينية الذي سيوفر تسهيلات وثائقية ويعمل كمرصد معني بالقضايا الوطنية والإقليمية والدولية الخاصة بالمرأة. واستمرت الجهود أيضا لافتتاح مركز مشابه لموارد المرأة في منطقة البحيرات العظمى. </w:t>
      </w:r>
    </w:p>
    <w:p w:rsidR="00CD3849" w:rsidRDefault="00F859B3" w:rsidP="007C54F7">
      <w:pPr>
        <w:pStyle w:val="SingleTxt"/>
        <w:rPr>
          <w:rFonts w:hint="cs"/>
          <w:rtl/>
        </w:rPr>
      </w:pPr>
      <w:r>
        <w:rPr>
          <w:rFonts w:hint="cs"/>
          <w:rtl/>
        </w:rPr>
        <w:tab/>
        <w:t>وفي تشرين</w:t>
      </w:r>
      <w:r w:rsidR="003E4A64">
        <w:rPr>
          <w:rFonts w:hint="cs"/>
          <w:rtl/>
        </w:rPr>
        <w:t xml:space="preserve"> الثاني/نوفمبر 2006 أعلنت اليون</w:t>
      </w:r>
      <w:r>
        <w:rPr>
          <w:rFonts w:hint="cs"/>
          <w:rtl/>
        </w:rPr>
        <w:t>سكو ودورة ا</w:t>
      </w:r>
      <w:r w:rsidR="007C54F7">
        <w:rPr>
          <w:rFonts w:hint="cs"/>
          <w:rtl/>
        </w:rPr>
        <w:t>تحاد التنس النسائي لشركة سوني إ</w:t>
      </w:r>
      <w:r>
        <w:rPr>
          <w:rFonts w:hint="cs"/>
          <w:rtl/>
        </w:rPr>
        <w:t>ر</w:t>
      </w:r>
      <w:r w:rsidR="007C54F7">
        <w:rPr>
          <w:rFonts w:hint="cs"/>
          <w:rtl/>
        </w:rPr>
        <w:t>ي</w:t>
      </w:r>
      <w:r>
        <w:rPr>
          <w:rFonts w:hint="cs"/>
          <w:rtl/>
        </w:rPr>
        <w:t xml:space="preserve">كسون، وهي الرياضة النسائية </w:t>
      </w:r>
      <w:r w:rsidR="007C54F7">
        <w:rPr>
          <w:rFonts w:hint="cs"/>
          <w:rtl/>
        </w:rPr>
        <w:t>الأولى</w:t>
      </w:r>
      <w:r>
        <w:rPr>
          <w:rFonts w:hint="cs"/>
          <w:rtl/>
        </w:rPr>
        <w:t xml:space="preserve"> في العالم، عن شراكة عالمية بارزة لتعزيز المساواة بين الجنسين وتشجيع القيادات النسائية في جميع مجالات المجتمع. وتمثل هذه الشراكة جهدا عالميا طموحا في تاريخ الدورة لتعزيز </w:t>
      </w:r>
      <w:r w:rsidR="007C54F7">
        <w:rPr>
          <w:rFonts w:hint="cs"/>
          <w:rtl/>
        </w:rPr>
        <w:t>القيادات</w:t>
      </w:r>
      <w:r>
        <w:rPr>
          <w:rFonts w:hint="cs"/>
          <w:rtl/>
        </w:rPr>
        <w:t xml:space="preserve"> النسائية والمساواة بين الجنسين في جميع مجا</w:t>
      </w:r>
      <w:r w:rsidR="007C54F7">
        <w:rPr>
          <w:rFonts w:hint="cs"/>
          <w:rtl/>
        </w:rPr>
        <w:t>لات المجتمع وهي أول شراكة لليون</w:t>
      </w:r>
      <w:r>
        <w:rPr>
          <w:rFonts w:hint="cs"/>
          <w:rtl/>
        </w:rPr>
        <w:t>سكو مع رابطة رياضية للمحترفين لتحقيق هدف المساواة بين الجنسين</w:t>
      </w:r>
      <w:r w:rsidR="007C54F7">
        <w:rPr>
          <w:rFonts w:hint="cs"/>
          <w:rtl/>
        </w:rPr>
        <w:t>، وهو الهدف</w:t>
      </w:r>
      <w:r>
        <w:rPr>
          <w:rFonts w:hint="cs"/>
          <w:rtl/>
        </w:rPr>
        <w:t xml:space="preserve"> الذي اعتنقه جميع زعماء العالم في الوثيقة الختامية لمؤتمر القمة العالمي لعام 2005.</w:t>
      </w:r>
    </w:p>
    <w:p w:rsidR="007C54F7" w:rsidRDefault="007C54F7" w:rsidP="007C4342">
      <w:pPr>
        <w:pStyle w:val="SingleTxt"/>
        <w:rPr>
          <w:rFonts w:hint="cs"/>
          <w:rtl/>
        </w:rPr>
      </w:pPr>
      <w:r>
        <w:rPr>
          <w:rFonts w:hint="cs"/>
          <w:rtl/>
        </w:rPr>
        <w:tab/>
        <w:t xml:space="preserve">وفي تشرين الثاني/نوفمبر 2006 نظمت اليونسكو مائدة مستديرة دولية عن موضوع: </w:t>
      </w:r>
      <w:r>
        <w:rPr>
          <w:rFonts w:hint="eastAsia"/>
          <w:rtl/>
        </w:rPr>
        <w:t xml:space="preserve">”العنف </w:t>
      </w:r>
      <w:r>
        <w:rPr>
          <w:rFonts w:hint="cs"/>
          <w:rtl/>
        </w:rPr>
        <w:t>المدرسي</w:t>
      </w:r>
      <w:r>
        <w:rPr>
          <w:rFonts w:hint="eastAsia"/>
          <w:rtl/>
        </w:rPr>
        <w:t xml:space="preserve"> على أساس جنساني في سياق التعليم </w:t>
      </w:r>
      <w:r w:rsidR="007C4342">
        <w:rPr>
          <w:rFonts w:hint="cs"/>
          <w:rtl/>
        </w:rPr>
        <w:t>ل</w:t>
      </w:r>
      <w:r>
        <w:rPr>
          <w:rFonts w:hint="eastAsia"/>
          <w:rtl/>
        </w:rPr>
        <w:t>لجميع: دور ومسؤولية أصحاب المصلحة</w:t>
      </w:r>
      <w:r>
        <w:rPr>
          <w:rFonts w:hint="cs"/>
          <w:rtl/>
        </w:rPr>
        <w:t xml:space="preserve">“، وذلك بمناسبة اليوم الدولي للقضاء على العنف ضد المرأة، بحضور باولو سيرجيو بنهيرو، الخبير المستقل لإجراء دراسة الأمين العام للأمم المتحدة عن العنف ضد الأطفال. وكانت أهداف المائدة المستديرة هي زيادة الوعي بين أصحاب المصلحة المشاركين في التعاون الدولي بشأن موضوع العنف المتصل بالمدرسة على أساس إنساني وبشأن المساواة بين الجنسين في قطاع التعليم عموما؛ وتعين دور ومسؤولية الفئات الرئيسية الثلاث من أصحاب المصلحة الذين يواجهون العنف في المدارس على أساس جنساني مع مراعاة تجربتهم وشهادتهم، وهذه الفئات هي: </w:t>
      </w:r>
      <w:r w:rsidR="007C4342">
        <w:rPr>
          <w:rFonts w:hint="cs"/>
          <w:rtl/>
        </w:rPr>
        <w:t>(</w:t>
      </w:r>
      <w:r>
        <w:rPr>
          <w:rFonts w:hint="cs"/>
          <w:rtl/>
        </w:rPr>
        <w:t xml:space="preserve">السلطات العامة الوطنية والمحلية؛ المجتمع </w:t>
      </w:r>
      <w:r w:rsidR="007C4342">
        <w:rPr>
          <w:rFonts w:hint="cs"/>
          <w:rtl/>
        </w:rPr>
        <w:t xml:space="preserve">المدني والمنظمات غير الحكومية؛ </w:t>
      </w:r>
      <w:r>
        <w:rPr>
          <w:rFonts w:hint="cs"/>
          <w:rtl/>
        </w:rPr>
        <w:t>المدرسون والعاملون التربويون وتنظيمات المدرسين</w:t>
      </w:r>
      <w:r w:rsidR="007C4342">
        <w:rPr>
          <w:rFonts w:hint="cs"/>
          <w:rtl/>
        </w:rPr>
        <w:t>)</w:t>
      </w:r>
      <w:r>
        <w:rPr>
          <w:rFonts w:hint="cs"/>
          <w:rtl/>
        </w:rPr>
        <w:t>؛ وذلك لتعين الممارسات الجيدة والشروط اللازمة لتقاسم هذه الممارسات ورفع مستواها؛ وتعين خطوات المستقبل لمعالجة العنف المدرسي على أساس جنساني.</w:t>
      </w:r>
    </w:p>
    <w:p w:rsidR="007C54F7" w:rsidRDefault="007C54F7" w:rsidP="007C54F7">
      <w:pPr>
        <w:pStyle w:val="SingleTxt"/>
        <w:rPr>
          <w:rFonts w:hint="cs"/>
          <w:rtl/>
        </w:rPr>
      </w:pPr>
      <w:r>
        <w:rPr>
          <w:rFonts w:hint="cs"/>
          <w:rtl/>
        </w:rPr>
        <w:tab/>
        <w:t xml:space="preserve">وفي كانون الأول/ديسمبر 2006، وفي إطار الندوة الدولية الثانية عن سياسة البحث والتعليم العالي، نظمت اليونسكو مائدة مستديرة دولية بعنوان: </w:t>
      </w:r>
      <w:r>
        <w:rPr>
          <w:rFonts w:hint="eastAsia"/>
          <w:rtl/>
        </w:rPr>
        <w:t>”المرأة وا</w:t>
      </w:r>
      <w:r>
        <w:rPr>
          <w:rFonts w:hint="cs"/>
          <w:rtl/>
        </w:rPr>
        <w:t>لأ</w:t>
      </w:r>
      <w:r>
        <w:rPr>
          <w:rFonts w:hint="eastAsia"/>
          <w:rtl/>
        </w:rPr>
        <w:t>بحاث: تقدم ملموس</w:t>
      </w:r>
      <w:r>
        <w:rPr>
          <w:rFonts w:hint="cs"/>
          <w:rtl/>
        </w:rPr>
        <w:t>“ بحضور البارونة سوزان غرينفيلد أستاذة الصيدلة في جامعة أكسفورد. وتطرقت المائدة المستديرة إلى قضية مشاركة المرأة في التعليم العالي، وخاصة في الأبحاث، والتقدم الحاصل في هذا المجال. وشددت الندوة على التقدم الذي أحرزته المرأة في مجال الأبحاث وأثر هذا التقدم على تمكين المرأة والتحديات التي تواجهها المرأة في حياتها المهنية في مجال الأبحاث والدروس المستفادة بشأن العوامل التي تشجع على وجود بيئة تمكينية لمشاركة المرأة في الأبحاث.</w:t>
      </w:r>
    </w:p>
    <w:p w:rsidR="007C54F7" w:rsidRDefault="007C54F7" w:rsidP="00905084">
      <w:pPr>
        <w:pStyle w:val="SingleTxt"/>
        <w:rPr>
          <w:rFonts w:hint="cs"/>
          <w:rtl/>
        </w:rPr>
      </w:pPr>
      <w:r>
        <w:rPr>
          <w:rFonts w:hint="cs"/>
          <w:rtl/>
        </w:rPr>
        <w:tab/>
        <w:t xml:space="preserve">وفي إطار البرنامج الذي بدأته اليونسكو ومؤسسة </w:t>
      </w:r>
      <w:r w:rsidR="00905084">
        <w:rPr>
          <w:rFonts w:hint="cs"/>
          <w:rtl/>
        </w:rPr>
        <w:t>ل</w:t>
      </w:r>
      <w:r>
        <w:rPr>
          <w:rFonts w:hint="cs"/>
          <w:rtl/>
        </w:rPr>
        <w:t>وريال في 1998 حصلت خمس عالمات، بواقع واحدة من كل قارة وجميعهن متخصصات في الفيزياء أو الكيمياء، على جائزة لوريال/اليونسكو التاسعة للمرأة في مجال العلوم (100 ألف دولار لكل واحدة). وفي مقر اليونسكو تلقت 15 باحثة شابة في ميدان علوم الحياة من القارات الخمس على زمالات دولية</w:t>
      </w:r>
      <w:r w:rsidR="003E4A64">
        <w:rPr>
          <w:rFonts w:hint="cs"/>
          <w:rtl/>
        </w:rPr>
        <w:t xml:space="preserve"> مقدمة من</w:t>
      </w:r>
      <w:r>
        <w:rPr>
          <w:rFonts w:hint="cs"/>
          <w:rtl/>
        </w:rPr>
        <w:t xml:space="preserve"> </w:t>
      </w:r>
      <w:r w:rsidR="003E4A64">
        <w:rPr>
          <w:rFonts w:hint="cs"/>
          <w:rtl/>
        </w:rPr>
        <w:t>ا</w:t>
      </w:r>
      <w:r>
        <w:rPr>
          <w:rFonts w:hint="cs"/>
          <w:rtl/>
        </w:rPr>
        <w:t>ليونسكو و</w:t>
      </w:r>
      <w:r w:rsidR="003E4A64">
        <w:rPr>
          <w:rFonts w:hint="cs"/>
          <w:rtl/>
        </w:rPr>
        <w:t>مؤسسة ل</w:t>
      </w:r>
      <w:r>
        <w:rPr>
          <w:rFonts w:hint="cs"/>
          <w:rtl/>
        </w:rPr>
        <w:t>وريال للمرأة في مجال العلوم (20 ألف دولار لكل واحدة)، وتمنح هذه الزمالة سنويا منذ عام 2000، وتسمح للطالبات الحاصلات على درجة الدكتورا</w:t>
      </w:r>
      <w:r w:rsidR="00905084">
        <w:rPr>
          <w:rFonts w:hint="cs"/>
          <w:rtl/>
        </w:rPr>
        <w:t>ة</w:t>
      </w:r>
      <w:r>
        <w:rPr>
          <w:rFonts w:hint="cs"/>
          <w:rtl/>
        </w:rPr>
        <w:t xml:space="preserve"> بمتابعة الأبحاث في معامل تستضيفهن خارج بلدانهن.</w:t>
      </w:r>
    </w:p>
    <w:p w:rsidR="007C54F7" w:rsidRDefault="007C54F7" w:rsidP="003E4A64">
      <w:pPr>
        <w:pStyle w:val="SingleTxt"/>
        <w:rPr>
          <w:rFonts w:hint="cs"/>
          <w:rtl/>
        </w:rPr>
      </w:pPr>
      <w:r>
        <w:rPr>
          <w:rFonts w:hint="cs"/>
          <w:rtl/>
        </w:rPr>
        <w:tab/>
        <w:t>وفي آذار/مارس 2007 احتفلت اليونسكو</w:t>
      </w:r>
      <w:r w:rsidR="003E4A64">
        <w:rPr>
          <w:rFonts w:hint="cs"/>
          <w:rtl/>
        </w:rPr>
        <w:t xml:space="preserve"> </w:t>
      </w:r>
      <w:r>
        <w:rPr>
          <w:rFonts w:hint="cs"/>
          <w:rtl/>
        </w:rPr>
        <w:t xml:space="preserve">بيوم المرأة الدولي حيث أشادت بنساء من أنحاء العالم يعملن من أجل السلام بشجاعة </w:t>
      </w:r>
      <w:r w:rsidR="003E4A64">
        <w:rPr>
          <w:rFonts w:hint="cs"/>
          <w:rtl/>
        </w:rPr>
        <w:t>و</w:t>
      </w:r>
      <w:r>
        <w:rPr>
          <w:rFonts w:hint="cs"/>
          <w:rtl/>
        </w:rPr>
        <w:t>دون إعلان أسماءهن في كثير من الحالات. وحضر المائدة المستديرة الدولية التي نظمتها اليونسكو</w:t>
      </w:r>
      <w:r w:rsidR="003E4A64">
        <w:rPr>
          <w:rFonts w:hint="cs"/>
          <w:rtl/>
        </w:rPr>
        <w:t xml:space="preserve"> </w:t>
      </w:r>
      <w:r>
        <w:rPr>
          <w:rFonts w:hint="cs"/>
          <w:rtl/>
        </w:rPr>
        <w:t xml:space="preserve">تحت عنوان: </w:t>
      </w:r>
      <w:r>
        <w:rPr>
          <w:rFonts w:hint="eastAsia"/>
          <w:rtl/>
        </w:rPr>
        <w:t>”المرأة صانعة السلام</w:t>
      </w:r>
      <w:r>
        <w:rPr>
          <w:rFonts w:hint="cs"/>
          <w:rtl/>
        </w:rPr>
        <w:t xml:space="preserve">“ خمس نساء بارزات يساهمن في تعزيز السلام. </w:t>
      </w:r>
      <w:r w:rsidR="003E4A64">
        <w:rPr>
          <w:rFonts w:hint="cs"/>
          <w:rtl/>
        </w:rPr>
        <w:t>وفي</w:t>
      </w:r>
      <w:r>
        <w:rPr>
          <w:rFonts w:hint="cs"/>
          <w:rtl/>
        </w:rPr>
        <w:t xml:space="preserve"> 8 آذار/مارس </w:t>
      </w:r>
      <w:r w:rsidR="003E4A64">
        <w:rPr>
          <w:rFonts w:hint="cs"/>
          <w:rtl/>
        </w:rPr>
        <w:t>تضمن البرنامج أيضا</w:t>
      </w:r>
      <w:r>
        <w:rPr>
          <w:rFonts w:hint="cs"/>
          <w:rtl/>
        </w:rPr>
        <w:t xml:space="preserve"> تحتفي بالمساهمات الفنية للمرأة من خلال معارض فنية وعروض سينمائية. وبالإضافة إلى ذلك تم إطلاق شبكتين: </w:t>
      </w:r>
      <w:r w:rsidR="00905084">
        <w:rPr>
          <w:rFonts w:hint="cs"/>
          <w:rtl/>
        </w:rPr>
        <w:t>(</w:t>
      </w:r>
      <w:r w:rsidR="003E4A64">
        <w:rPr>
          <w:rFonts w:hint="cs"/>
          <w:rtl/>
        </w:rPr>
        <w:t>أ</w:t>
      </w:r>
      <w:r w:rsidR="00905084">
        <w:rPr>
          <w:rFonts w:hint="cs"/>
          <w:rtl/>
        </w:rPr>
        <w:t>)</w:t>
      </w:r>
      <w:r>
        <w:rPr>
          <w:rFonts w:hint="cs"/>
          <w:rtl/>
        </w:rPr>
        <w:t xml:space="preserve"> </w:t>
      </w:r>
      <w:r>
        <w:rPr>
          <w:rFonts w:hint="eastAsia"/>
          <w:rtl/>
        </w:rPr>
        <w:t>”</w:t>
      </w:r>
      <w:r>
        <w:rPr>
          <w:rFonts w:hint="cs"/>
          <w:rtl/>
        </w:rPr>
        <w:t>مجموعة السفيرات لدى اليونسكو</w:t>
      </w:r>
      <w:r w:rsidR="003E4A64">
        <w:rPr>
          <w:rFonts w:hint="cs"/>
          <w:rtl/>
        </w:rPr>
        <w:t xml:space="preserve"> </w:t>
      </w:r>
      <w:r>
        <w:rPr>
          <w:rFonts w:hint="cs"/>
          <w:rtl/>
        </w:rPr>
        <w:t>للعمل من أجل المساواة بين الجنسين</w:t>
      </w:r>
      <w:r>
        <w:rPr>
          <w:rFonts w:hint="eastAsia"/>
          <w:rtl/>
        </w:rPr>
        <w:t>“</w:t>
      </w:r>
      <w:r>
        <w:rPr>
          <w:rFonts w:hint="cs"/>
          <w:rtl/>
        </w:rPr>
        <w:t xml:space="preserve"> وتشمل أهدافها تقاسم المعلومات والخبرات الهامة والمفيدة ومساعدة اليونسكو</w:t>
      </w:r>
      <w:r w:rsidR="003E4A64">
        <w:rPr>
          <w:rFonts w:hint="cs"/>
          <w:rtl/>
        </w:rPr>
        <w:t xml:space="preserve"> </w:t>
      </w:r>
      <w:r>
        <w:rPr>
          <w:rFonts w:hint="cs"/>
          <w:rtl/>
        </w:rPr>
        <w:t xml:space="preserve">في إجراءاتها في مجال المساواة بين الجنسين وتمكين/حقوق المرأة وفي جميع مجالات عمل المنظمة وكذلك في الأمانة العامة للمنظمة، والعمل بنشاط لدعم القضايا المتصلة بهذه الموضوعات؛ </w:t>
      </w:r>
      <w:r w:rsidR="00905084">
        <w:rPr>
          <w:rFonts w:hint="cs"/>
          <w:rtl/>
        </w:rPr>
        <w:t>(</w:t>
      </w:r>
      <w:r w:rsidR="003E4A64">
        <w:rPr>
          <w:rFonts w:hint="cs"/>
          <w:rtl/>
        </w:rPr>
        <w:t>ب</w:t>
      </w:r>
      <w:r w:rsidR="00905084">
        <w:rPr>
          <w:rFonts w:hint="cs"/>
          <w:rtl/>
        </w:rPr>
        <w:t>)</w:t>
      </w:r>
      <w:r>
        <w:rPr>
          <w:rFonts w:hint="cs"/>
          <w:rtl/>
        </w:rPr>
        <w:t xml:space="preserve"> شبكة اليونسكو</w:t>
      </w:r>
      <w:r w:rsidR="003E4A64">
        <w:rPr>
          <w:rFonts w:hint="cs"/>
          <w:rtl/>
        </w:rPr>
        <w:t xml:space="preserve"> </w:t>
      </w:r>
      <w:r>
        <w:rPr>
          <w:rFonts w:hint="cs"/>
          <w:rtl/>
        </w:rPr>
        <w:t>الدو</w:t>
      </w:r>
      <w:r w:rsidR="00905084">
        <w:rPr>
          <w:rFonts w:hint="cs"/>
          <w:rtl/>
        </w:rPr>
        <w:t>لية للنساء المتخصصات في الفلسفة</w:t>
      </w:r>
      <w:r>
        <w:rPr>
          <w:rFonts w:hint="eastAsia"/>
          <w:rtl/>
        </w:rPr>
        <w:t xml:space="preserve">“ </w:t>
      </w:r>
      <w:r w:rsidR="00905084">
        <w:rPr>
          <w:rFonts w:hint="cs"/>
          <w:rtl/>
        </w:rPr>
        <w:t>التي تسعى إلى دعم</w:t>
      </w:r>
      <w:r>
        <w:rPr>
          <w:rFonts w:hint="cs"/>
          <w:rtl/>
        </w:rPr>
        <w:t xml:space="preserve"> مشاركة المرأة في المناقشات الدولية عن القضايا الرئيسية المعينة في </w:t>
      </w:r>
      <w:r w:rsidR="00905084">
        <w:rPr>
          <w:rFonts w:hint="cs"/>
          <w:rtl/>
        </w:rPr>
        <w:t>ا</w:t>
      </w:r>
      <w:r>
        <w:rPr>
          <w:rFonts w:hint="cs"/>
          <w:rtl/>
        </w:rPr>
        <w:t>ستراتيجية اليونسكو</w:t>
      </w:r>
      <w:r w:rsidR="003E4A64">
        <w:rPr>
          <w:rFonts w:hint="cs"/>
          <w:rtl/>
        </w:rPr>
        <w:t xml:space="preserve"> </w:t>
      </w:r>
      <w:r>
        <w:rPr>
          <w:rFonts w:hint="cs"/>
          <w:rtl/>
        </w:rPr>
        <w:t xml:space="preserve">للفلسفة من خلال الاعتراف </w:t>
      </w:r>
      <w:r w:rsidR="003E4A64">
        <w:rPr>
          <w:rFonts w:hint="cs"/>
          <w:rtl/>
        </w:rPr>
        <w:t>ب</w:t>
      </w:r>
      <w:r>
        <w:rPr>
          <w:rFonts w:hint="cs"/>
          <w:rtl/>
        </w:rPr>
        <w:t>مساهمة المتخصص</w:t>
      </w:r>
      <w:r w:rsidR="003E4A64">
        <w:rPr>
          <w:rFonts w:hint="cs"/>
          <w:rtl/>
        </w:rPr>
        <w:t>ات</w:t>
      </w:r>
      <w:r>
        <w:rPr>
          <w:rFonts w:hint="cs"/>
          <w:rtl/>
        </w:rPr>
        <w:t xml:space="preserve"> في الفلسفة في السعي لتحقيق التعاون والفهم الدوليين وتعزيز هذه المساهمة.</w:t>
      </w:r>
    </w:p>
    <w:p w:rsidR="003E4A64" w:rsidRDefault="003E4A64" w:rsidP="003E4A6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ثانيا -</w:t>
      </w:r>
      <w:r>
        <w:rPr>
          <w:rFonts w:hint="cs"/>
          <w:rtl/>
        </w:rPr>
        <w:tab/>
        <w:t>التدابير التي اتخذتها اليونسكو لتنفيذ أحكام الاتفاقية في البلدان التي سينظر فيها أثناء الدورة الثامنة والثلاثين</w:t>
      </w:r>
    </w:p>
    <w:p w:rsidR="002C4A99" w:rsidRPr="002C4A99" w:rsidRDefault="002C4A99" w:rsidP="002C4A99">
      <w:pPr>
        <w:pStyle w:val="SingleTxt"/>
        <w:spacing w:after="0" w:line="120" w:lineRule="exact"/>
        <w:rPr>
          <w:rFonts w:hint="cs"/>
          <w:sz w:val="10"/>
          <w:rtl/>
        </w:rPr>
      </w:pPr>
    </w:p>
    <w:p w:rsidR="00B340F6" w:rsidRDefault="00B340F6" w:rsidP="00B340F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ألف -</w:t>
      </w:r>
      <w:r>
        <w:rPr>
          <w:rFonts w:hint="cs"/>
          <w:rtl/>
        </w:rPr>
        <w:tab/>
        <w:t>إحصاءات زمنية ومقارنة عن التكافؤ بين الجنسين في التعليم في جميع البلدان التي تقدم تقاريرها إلى اللجنة، في دورتها الثامنة والثلاثين</w:t>
      </w:r>
    </w:p>
    <w:p w:rsidR="00B340F6" w:rsidRPr="005D0D21" w:rsidRDefault="00B340F6" w:rsidP="00B340F6">
      <w:pPr>
        <w:pStyle w:val="SingleTxt"/>
        <w:spacing w:after="0" w:line="120" w:lineRule="exact"/>
        <w:rPr>
          <w:rFonts w:hint="cs"/>
          <w:sz w:val="10"/>
          <w:rtl/>
        </w:rPr>
      </w:pPr>
    </w:p>
    <w:p w:rsidR="00B340F6" w:rsidRDefault="00B340F6" w:rsidP="00B340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1 -</w:t>
      </w:r>
      <w:r>
        <w:rPr>
          <w:rFonts w:hint="cs"/>
          <w:rtl/>
        </w:rPr>
        <w:tab/>
        <w:t>التعليم الابتدائي</w:t>
      </w:r>
    </w:p>
    <w:p w:rsidR="00B340F6" w:rsidRPr="005D0D21" w:rsidRDefault="00B340F6" w:rsidP="00B340F6">
      <w:pPr>
        <w:pStyle w:val="SingleTxt"/>
        <w:spacing w:after="0" w:line="120" w:lineRule="exact"/>
        <w:rPr>
          <w:rFonts w:hint="cs"/>
          <w:sz w:val="10"/>
          <w:rtl/>
        </w:rPr>
      </w:pPr>
    </w:p>
    <w:p w:rsidR="00B340F6" w:rsidRPr="005D0D21" w:rsidRDefault="00B340F6" w:rsidP="00B340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بيانات قطرية</w:t>
      </w:r>
    </w:p>
    <w:p w:rsidR="00B340F6" w:rsidRPr="005D0D21" w:rsidRDefault="00B340F6" w:rsidP="00B340F6">
      <w:pPr>
        <w:pStyle w:val="SingleTxt"/>
        <w:spacing w:after="0" w:line="120" w:lineRule="exact"/>
        <w:rPr>
          <w:rFonts w:hint="cs"/>
          <w:sz w:val="10"/>
          <w:rtl/>
        </w:rPr>
      </w:pPr>
    </w:p>
    <w:tbl>
      <w:tblPr>
        <w:bidiVisual/>
        <w:tblW w:w="9843" w:type="dxa"/>
        <w:jc w:val="center"/>
        <w:tblLayout w:type="fixed"/>
        <w:tblCellMar>
          <w:left w:w="0" w:type="dxa"/>
          <w:right w:w="0" w:type="dxa"/>
        </w:tblCellMar>
        <w:tblLook w:val="0000" w:firstRow="0" w:lastRow="0" w:firstColumn="0" w:lastColumn="0" w:noHBand="0" w:noVBand="0"/>
      </w:tblPr>
      <w:tblGrid>
        <w:gridCol w:w="1252"/>
        <w:gridCol w:w="536"/>
        <w:gridCol w:w="537"/>
        <w:gridCol w:w="537"/>
        <w:gridCol w:w="537"/>
        <w:gridCol w:w="537"/>
        <w:gridCol w:w="537"/>
        <w:gridCol w:w="537"/>
        <w:gridCol w:w="537"/>
        <w:gridCol w:w="537"/>
        <w:gridCol w:w="537"/>
        <w:gridCol w:w="537"/>
        <w:gridCol w:w="537"/>
        <w:gridCol w:w="537"/>
        <w:gridCol w:w="537"/>
        <w:gridCol w:w="537"/>
        <w:gridCol w:w="537"/>
      </w:tblGrid>
      <w:tr w:rsidR="00B340F6" w:rsidRPr="00F12EB5">
        <w:tblPrEx>
          <w:tblCellMar>
            <w:top w:w="0" w:type="dxa"/>
            <w:bottom w:w="0" w:type="dxa"/>
          </w:tblCellMar>
        </w:tblPrEx>
        <w:trPr>
          <w:cantSplit/>
          <w:tblHeader/>
          <w:jc w:val="center"/>
        </w:trPr>
        <w:tc>
          <w:tcPr>
            <w:tcW w:w="1252" w:type="dxa"/>
            <w:tcBorders>
              <w:top w:val="single" w:sz="12" w:space="0" w:color="auto"/>
            </w:tcBorders>
            <w:shd w:val="clear" w:color="auto" w:fill="auto"/>
            <w:tcMar>
              <w:left w:w="0" w:type="dxa"/>
              <w:right w:w="0" w:type="dxa"/>
            </w:tcMar>
            <w:vAlign w:val="bottom"/>
          </w:tcPr>
          <w:p w:rsidR="00B340F6"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13"/>
              <w:jc w:val="right"/>
              <w:rPr>
                <w:rFonts w:hint="cs"/>
                <w:i/>
                <w:iCs/>
                <w:sz w:val="16"/>
                <w:szCs w:val="24"/>
                <w:rtl/>
              </w:rPr>
            </w:pPr>
            <w:r>
              <w:rPr>
                <w:rFonts w:hint="cs"/>
                <w:i/>
                <w:iCs/>
                <w:sz w:val="16"/>
                <w:szCs w:val="24"/>
                <w:rtl/>
              </w:rPr>
              <w:t>البيانات</w:t>
            </w:r>
          </w:p>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13"/>
              <w:rPr>
                <w:rFonts w:hint="cs"/>
                <w:i/>
                <w:iCs/>
                <w:sz w:val="16"/>
                <w:szCs w:val="24"/>
                <w:rtl/>
              </w:rPr>
            </w:pPr>
            <w:r>
              <w:rPr>
                <w:rFonts w:hint="cs"/>
                <w:i/>
                <w:iCs/>
                <w:sz w:val="16"/>
                <w:szCs w:val="24"/>
                <w:rtl/>
              </w:rPr>
              <w:t>(في المائة)</w:t>
            </w:r>
          </w:p>
        </w:tc>
        <w:tc>
          <w:tcPr>
            <w:tcW w:w="2147"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نسبة الالتحاق الصافية -</w:t>
            </w:r>
            <w:r>
              <w:rPr>
                <w:rFonts w:hint="cs"/>
                <w:i/>
                <w:iCs/>
                <w:sz w:val="16"/>
                <w:szCs w:val="24"/>
                <w:rtl/>
              </w:rPr>
              <w:br/>
              <w:t>التعليم الابتدائي - المجموع</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نسبة الالتحاق الصافية -</w:t>
            </w:r>
            <w:r>
              <w:rPr>
                <w:rFonts w:hint="cs"/>
                <w:i/>
                <w:iCs/>
                <w:sz w:val="16"/>
                <w:szCs w:val="24"/>
                <w:rtl/>
              </w:rPr>
              <w:br/>
              <w:t>التعليم الابتدائي - الذكور</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نسبة الالتحاق الصافية -</w:t>
            </w:r>
            <w:r>
              <w:rPr>
                <w:i/>
                <w:iCs/>
                <w:sz w:val="16"/>
                <w:szCs w:val="24"/>
                <w:rtl/>
              </w:rPr>
              <w:br/>
            </w:r>
            <w:r>
              <w:rPr>
                <w:rFonts w:hint="cs"/>
                <w:i/>
                <w:iCs/>
                <w:sz w:val="16"/>
                <w:szCs w:val="24"/>
                <w:rtl/>
              </w:rPr>
              <w:t>التعليم الابتدائي - الإناث</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مؤشر تكافؤ الجنسين من</w:t>
            </w:r>
            <w:r>
              <w:rPr>
                <w:i/>
                <w:iCs/>
                <w:sz w:val="16"/>
                <w:szCs w:val="24"/>
                <w:rtl/>
              </w:rPr>
              <w:br/>
            </w:r>
            <w:r>
              <w:rPr>
                <w:rFonts w:hint="cs"/>
                <w:i/>
                <w:iCs/>
                <w:sz w:val="16"/>
                <w:szCs w:val="24"/>
                <w:rtl/>
              </w:rPr>
              <w:t>حيث نسبة الالتحاق الصافية - التعليم الابتدائي</w:t>
            </w:r>
          </w:p>
        </w:tc>
      </w:tr>
      <w:tr w:rsidR="00B340F6" w:rsidRPr="00F12EB5">
        <w:tblPrEx>
          <w:tblCellMar>
            <w:top w:w="0" w:type="dxa"/>
            <w:bottom w:w="0" w:type="dxa"/>
          </w:tblCellMar>
        </w:tblPrEx>
        <w:trPr>
          <w:cantSplit/>
          <w:trHeight w:hRule="exact" w:val="115"/>
          <w:tblHeader/>
          <w:jc w:val="center"/>
        </w:trPr>
        <w:tc>
          <w:tcPr>
            <w:tcW w:w="1252"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16"/>
                <w:szCs w:val="24"/>
                <w:rtl/>
              </w:rPr>
            </w:pPr>
          </w:p>
        </w:tc>
        <w:tc>
          <w:tcPr>
            <w:tcW w:w="536"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B340F6" w:rsidRPr="00F12EB5">
        <w:tblPrEx>
          <w:tblCellMar>
            <w:top w:w="0" w:type="dxa"/>
            <w:bottom w:w="0" w:type="dxa"/>
          </w:tblCellMar>
        </w:tblPrEx>
        <w:trPr>
          <w:cantSplit/>
          <w:jc w:val="center"/>
        </w:trPr>
        <w:tc>
          <w:tcPr>
            <w:tcW w:w="1252" w:type="dxa"/>
            <w:tcBorders>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السنة</w:t>
            </w:r>
          </w:p>
        </w:tc>
        <w:tc>
          <w:tcPr>
            <w:tcW w:w="536"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r>
      <w:tr w:rsidR="00B340F6" w:rsidRPr="00F12EB5">
        <w:tblPrEx>
          <w:tblCellMar>
            <w:top w:w="0" w:type="dxa"/>
            <w:bottom w:w="0" w:type="dxa"/>
          </w:tblCellMar>
        </w:tblPrEx>
        <w:trPr>
          <w:cantSplit/>
          <w:jc w:val="center"/>
        </w:trPr>
        <w:tc>
          <w:tcPr>
            <w:tcW w:w="1252"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b/>
                <w:bCs/>
                <w:sz w:val="22"/>
                <w:szCs w:val="22"/>
                <w:rtl/>
              </w:rPr>
            </w:pPr>
            <w:r w:rsidRPr="00F12EB5">
              <w:rPr>
                <w:rFonts w:hint="cs"/>
                <w:b/>
                <w:bCs/>
                <w:sz w:val="22"/>
                <w:szCs w:val="22"/>
                <w:rtl/>
              </w:rPr>
              <w:t>البلد</w:t>
            </w:r>
          </w:p>
        </w:tc>
        <w:tc>
          <w:tcPr>
            <w:tcW w:w="536"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موريتانيا</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0.99</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موزامبيق</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0.90</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النيجر</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0.69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0.69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0.71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0.71</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باكستان</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0.68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0.73</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صربيا والجبل الأسود</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1.00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سيراليون</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الجمهورية العربية السورية</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r>
      <w:tr w:rsidR="00B340F6" w:rsidRPr="00F12EB5">
        <w:tblPrEx>
          <w:tblCellMar>
            <w:top w:w="0" w:type="dxa"/>
            <w:bottom w:w="0" w:type="dxa"/>
          </w:tblCellMar>
        </w:tblPrEx>
        <w:trPr>
          <w:cantSplit/>
          <w:jc w:val="center"/>
        </w:trPr>
        <w:tc>
          <w:tcPr>
            <w:tcW w:w="1252" w:type="dxa"/>
            <w:tcBorders>
              <w:bottom w:val="single" w:sz="12" w:space="0" w:color="auto"/>
            </w:tcBorders>
            <w:shd w:val="clear" w:color="auto" w:fill="auto"/>
            <w:vAlign w:val="bottom"/>
          </w:tcPr>
          <w:p w:rsidR="00B340F6"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فانواتو</w:t>
            </w:r>
          </w:p>
        </w:tc>
        <w:tc>
          <w:tcPr>
            <w:tcW w:w="536"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93</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97</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96</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93</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96</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96</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95</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97</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96</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93</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1.01</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1.01</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1.00</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0.98</w:t>
            </w:r>
          </w:p>
        </w:tc>
      </w:tr>
    </w:tbl>
    <w:p w:rsidR="00B340F6" w:rsidRDefault="00B340F6" w:rsidP="00B340F6">
      <w:pPr>
        <w:pStyle w:val="SingleTxt"/>
        <w:rPr>
          <w:rFonts w:hint="cs"/>
          <w:rtl/>
        </w:rPr>
      </w:pPr>
    </w:p>
    <w:p w:rsidR="00B340F6" w:rsidRDefault="00B340F6" w:rsidP="00B340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br w:type="page"/>
      </w:r>
      <w:r>
        <w:rPr>
          <w:rFonts w:hint="cs"/>
          <w:rtl/>
        </w:rPr>
        <w:tab/>
      </w:r>
      <w:r>
        <w:rPr>
          <w:rFonts w:hint="cs"/>
          <w:rtl/>
        </w:rPr>
        <w:tab/>
        <w:t>بيانات مجمعة حسب المناطق</w:t>
      </w:r>
    </w:p>
    <w:p w:rsidR="00B340F6" w:rsidRPr="00E73D2B" w:rsidRDefault="00B340F6" w:rsidP="00B340F6">
      <w:pPr>
        <w:pStyle w:val="SingleTxt"/>
        <w:spacing w:after="0" w:line="120" w:lineRule="exact"/>
        <w:rPr>
          <w:rFonts w:hint="cs"/>
          <w:sz w:val="10"/>
          <w:rtl/>
        </w:rPr>
      </w:pPr>
    </w:p>
    <w:tbl>
      <w:tblPr>
        <w:bidiVisual/>
        <w:tblW w:w="9843" w:type="dxa"/>
        <w:jc w:val="center"/>
        <w:tblLayout w:type="fixed"/>
        <w:tblCellMar>
          <w:left w:w="0" w:type="dxa"/>
          <w:right w:w="0" w:type="dxa"/>
        </w:tblCellMar>
        <w:tblLook w:val="0000" w:firstRow="0" w:lastRow="0" w:firstColumn="0" w:lastColumn="0" w:noHBand="0" w:noVBand="0"/>
      </w:tblPr>
      <w:tblGrid>
        <w:gridCol w:w="1252"/>
        <w:gridCol w:w="536"/>
        <w:gridCol w:w="537"/>
        <w:gridCol w:w="537"/>
        <w:gridCol w:w="537"/>
        <w:gridCol w:w="537"/>
        <w:gridCol w:w="537"/>
        <w:gridCol w:w="537"/>
        <w:gridCol w:w="537"/>
        <w:gridCol w:w="537"/>
        <w:gridCol w:w="537"/>
        <w:gridCol w:w="537"/>
        <w:gridCol w:w="537"/>
        <w:gridCol w:w="537"/>
        <w:gridCol w:w="537"/>
        <w:gridCol w:w="537"/>
        <w:gridCol w:w="537"/>
      </w:tblGrid>
      <w:tr w:rsidR="00B340F6" w:rsidRPr="00F12EB5">
        <w:tblPrEx>
          <w:tblCellMar>
            <w:top w:w="0" w:type="dxa"/>
            <w:bottom w:w="0" w:type="dxa"/>
          </w:tblCellMar>
        </w:tblPrEx>
        <w:trPr>
          <w:cantSplit/>
          <w:tblHeader/>
          <w:jc w:val="center"/>
        </w:trPr>
        <w:tc>
          <w:tcPr>
            <w:tcW w:w="1252" w:type="dxa"/>
            <w:tcBorders>
              <w:top w:val="single" w:sz="12" w:space="0" w:color="auto"/>
            </w:tcBorders>
            <w:shd w:val="clear" w:color="auto" w:fill="auto"/>
            <w:tcMar>
              <w:left w:w="0" w:type="dxa"/>
              <w:right w:w="0" w:type="dxa"/>
            </w:tcMar>
            <w:vAlign w:val="bottom"/>
          </w:tcPr>
          <w:p w:rsidR="00B340F6"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13"/>
              <w:jc w:val="right"/>
              <w:rPr>
                <w:rFonts w:hint="cs"/>
                <w:i/>
                <w:iCs/>
                <w:sz w:val="16"/>
                <w:szCs w:val="24"/>
                <w:rtl/>
              </w:rPr>
            </w:pPr>
            <w:r>
              <w:rPr>
                <w:rFonts w:hint="cs"/>
                <w:i/>
                <w:iCs/>
                <w:sz w:val="16"/>
                <w:szCs w:val="24"/>
                <w:rtl/>
              </w:rPr>
              <w:t>البيانات</w:t>
            </w:r>
          </w:p>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13"/>
              <w:rPr>
                <w:rFonts w:hint="cs"/>
                <w:i/>
                <w:iCs/>
                <w:sz w:val="16"/>
                <w:szCs w:val="24"/>
                <w:rtl/>
              </w:rPr>
            </w:pPr>
            <w:r>
              <w:rPr>
                <w:rFonts w:hint="cs"/>
                <w:i/>
                <w:iCs/>
                <w:sz w:val="16"/>
                <w:szCs w:val="24"/>
                <w:rtl/>
              </w:rPr>
              <w:t>(في المائة)</w:t>
            </w:r>
          </w:p>
        </w:tc>
        <w:tc>
          <w:tcPr>
            <w:tcW w:w="2147"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نسبة الالتحاق الصافية -</w:t>
            </w:r>
            <w:r>
              <w:rPr>
                <w:rFonts w:hint="cs"/>
                <w:i/>
                <w:iCs/>
                <w:sz w:val="16"/>
                <w:szCs w:val="24"/>
                <w:rtl/>
              </w:rPr>
              <w:br/>
              <w:t>التعليم الابتدائي - المجموع</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نسبة الالتحاق الصافية -</w:t>
            </w:r>
            <w:r>
              <w:rPr>
                <w:rFonts w:hint="cs"/>
                <w:i/>
                <w:iCs/>
                <w:sz w:val="16"/>
                <w:szCs w:val="24"/>
                <w:rtl/>
              </w:rPr>
              <w:br/>
              <w:t>التعليم الابتدائي - الذكور</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نسبة الالتحاق الصافية -</w:t>
            </w:r>
            <w:r>
              <w:rPr>
                <w:i/>
                <w:iCs/>
                <w:sz w:val="16"/>
                <w:szCs w:val="24"/>
                <w:rtl/>
              </w:rPr>
              <w:br/>
            </w:r>
            <w:r>
              <w:rPr>
                <w:rFonts w:hint="cs"/>
                <w:i/>
                <w:iCs/>
                <w:sz w:val="16"/>
                <w:szCs w:val="24"/>
                <w:rtl/>
              </w:rPr>
              <w:t>التعليم الابتدائي - الإناث</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مؤشر تكافؤ الجنسين من</w:t>
            </w:r>
            <w:r>
              <w:rPr>
                <w:i/>
                <w:iCs/>
                <w:sz w:val="16"/>
                <w:szCs w:val="24"/>
                <w:rtl/>
              </w:rPr>
              <w:br/>
            </w:r>
            <w:r>
              <w:rPr>
                <w:rFonts w:hint="cs"/>
                <w:i/>
                <w:iCs/>
                <w:sz w:val="16"/>
                <w:szCs w:val="24"/>
                <w:rtl/>
              </w:rPr>
              <w:t>حيث نسبة الالتحاق الصافية - التعليم الابتدائي</w:t>
            </w:r>
          </w:p>
        </w:tc>
      </w:tr>
      <w:tr w:rsidR="00B340F6" w:rsidRPr="00F12EB5">
        <w:tblPrEx>
          <w:tblCellMar>
            <w:top w:w="0" w:type="dxa"/>
            <w:bottom w:w="0" w:type="dxa"/>
          </w:tblCellMar>
        </w:tblPrEx>
        <w:trPr>
          <w:cantSplit/>
          <w:trHeight w:hRule="exact" w:val="115"/>
          <w:tblHeader/>
          <w:jc w:val="center"/>
        </w:trPr>
        <w:tc>
          <w:tcPr>
            <w:tcW w:w="1252"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16"/>
                <w:szCs w:val="24"/>
                <w:rtl/>
              </w:rPr>
            </w:pPr>
          </w:p>
        </w:tc>
        <w:tc>
          <w:tcPr>
            <w:tcW w:w="536"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B340F6" w:rsidRPr="00F12EB5">
        <w:tblPrEx>
          <w:tblCellMar>
            <w:top w:w="0" w:type="dxa"/>
            <w:bottom w:w="0" w:type="dxa"/>
          </w:tblCellMar>
        </w:tblPrEx>
        <w:trPr>
          <w:cantSplit/>
          <w:jc w:val="center"/>
        </w:trPr>
        <w:tc>
          <w:tcPr>
            <w:tcW w:w="1252" w:type="dxa"/>
            <w:tcBorders>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السنة</w:t>
            </w:r>
          </w:p>
        </w:tc>
        <w:tc>
          <w:tcPr>
            <w:tcW w:w="536"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r>
      <w:tr w:rsidR="00B340F6" w:rsidRPr="00F12EB5">
        <w:tblPrEx>
          <w:tblCellMar>
            <w:top w:w="0" w:type="dxa"/>
            <w:bottom w:w="0" w:type="dxa"/>
          </w:tblCellMar>
        </w:tblPrEx>
        <w:trPr>
          <w:cantSplit/>
          <w:jc w:val="center"/>
        </w:trPr>
        <w:tc>
          <w:tcPr>
            <w:tcW w:w="1252"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b/>
                <w:bCs/>
                <w:sz w:val="22"/>
                <w:szCs w:val="22"/>
                <w:rtl/>
              </w:rPr>
            </w:pPr>
            <w:r w:rsidRPr="00F12EB5">
              <w:rPr>
                <w:rFonts w:hint="cs"/>
                <w:b/>
                <w:bCs/>
                <w:sz w:val="22"/>
                <w:szCs w:val="22"/>
                <w:rtl/>
              </w:rPr>
              <w:t>البلد</w:t>
            </w:r>
          </w:p>
        </w:tc>
        <w:tc>
          <w:tcPr>
            <w:tcW w:w="536"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الدول العربية</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0.92</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أوروبا الوسطى وأوروبا الشرقية</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0.98</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شرق آسيا والمحيط الهادئ</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1.00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1.00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0.99</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جنوب وغرب آسيا</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0.92</w:t>
            </w:r>
          </w:p>
        </w:tc>
      </w:tr>
      <w:tr w:rsidR="00B340F6" w:rsidRPr="00F12EB5">
        <w:tblPrEx>
          <w:tblCellMar>
            <w:top w:w="0" w:type="dxa"/>
            <w:bottom w:w="0" w:type="dxa"/>
          </w:tblCellMar>
        </w:tblPrEx>
        <w:trPr>
          <w:cantSplit/>
          <w:jc w:val="center"/>
        </w:trPr>
        <w:tc>
          <w:tcPr>
            <w:tcW w:w="1252" w:type="dxa"/>
            <w:tcBorders>
              <w:bottom w:val="single" w:sz="12" w:space="0" w:color="auto"/>
            </w:tcBorders>
            <w:shd w:val="clear" w:color="auto" w:fill="auto"/>
            <w:vAlign w:val="bottom"/>
          </w:tcPr>
          <w:p w:rsidR="00B340F6"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أفريقيا جنوب الصحراء</w:t>
            </w:r>
          </w:p>
        </w:tc>
        <w:tc>
          <w:tcPr>
            <w:tcW w:w="536"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59</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61</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66</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62</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67</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69</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56</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58</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60</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0.91</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0.90</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0.90</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0.92</w:t>
            </w:r>
          </w:p>
        </w:tc>
      </w:tr>
    </w:tbl>
    <w:p w:rsidR="00B340F6" w:rsidRPr="00E73D2B" w:rsidRDefault="00B340F6" w:rsidP="00B340F6">
      <w:pPr>
        <w:pStyle w:val="SingleTxt"/>
        <w:spacing w:after="0" w:line="120" w:lineRule="exact"/>
        <w:rPr>
          <w:rFonts w:hint="cs"/>
          <w:sz w:val="10"/>
          <w:rtl/>
        </w:rPr>
      </w:pPr>
    </w:p>
    <w:p w:rsidR="00B340F6" w:rsidRPr="00E73D2B" w:rsidRDefault="00B340F6" w:rsidP="00B340F6">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sidRPr="00E73D2B">
        <w:rPr>
          <w:rFonts w:hint="cs"/>
          <w:i/>
          <w:iCs/>
          <w:rtl/>
        </w:rPr>
        <w:t>المصدر</w:t>
      </w:r>
      <w:r w:rsidRPr="00E73D2B">
        <w:rPr>
          <w:rFonts w:hint="cs"/>
          <w:rtl/>
        </w:rPr>
        <w:t>:</w:t>
      </w:r>
      <w:r>
        <w:rPr>
          <w:rtl/>
        </w:rPr>
        <w:tab/>
      </w:r>
      <w:r w:rsidRPr="00E73D2B">
        <w:t>http:</w:t>
      </w:r>
      <w:r>
        <w:t>//stats.uis.unesco.org/T</w:t>
      </w:r>
      <w:r w:rsidRPr="00E73D2B">
        <w:t>able</w:t>
      </w:r>
      <w:r>
        <w:t>V</w:t>
      </w:r>
      <w:r w:rsidRPr="00E73D2B">
        <w:t>iewer/tabl</w:t>
      </w:r>
      <w:r>
        <w:t>eV</w:t>
      </w:r>
      <w:r w:rsidRPr="00E73D2B">
        <w:t xml:space="preserve">iew.aspx </w:t>
      </w:r>
      <w:r w:rsidRPr="00E73D2B">
        <w:rPr>
          <w:rFonts w:hint="cs"/>
          <w:rtl/>
        </w:rPr>
        <w:t xml:space="preserve"> (</w:t>
      </w:r>
      <w:r>
        <w:rPr>
          <w:rFonts w:hint="cs"/>
          <w:rtl/>
        </w:rPr>
        <w:t>معهد اليونسكو للإحصاء</w:t>
      </w:r>
      <w:r w:rsidRPr="00E73D2B">
        <w:rPr>
          <w:rFonts w:hint="cs"/>
          <w:rtl/>
        </w:rPr>
        <w:t>، التربية) آخر دخول إلى الموقع في 22/3/2007.</w:t>
      </w:r>
    </w:p>
    <w:p w:rsidR="00B340F6" w:rsidRDefault="00B340F6" w:rsidP="00B340F6">
      <w:pPr>
        <w:pStyle w:val="SingleTxt"/>
        <w:rPr>
          <w:rFonts w:hint="cs"/>
          <w:rtl/>
        </w:rPr>
      </w:pPr>
    </w:p>
    <w:p w:rsidR="00B340F6" w:rsidRDefault="00B340F6" w:rsidP="00B340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br w:type="page"/>
      </w:r>
      <w:r>
        <w:rPr>
          <w:rFonts w:hint="cs"/>
          <w:rtl/>
        </w:rPr>
        <w:tab/>
        <w:t>2 -</w:t>
      </w:r>
      <w:r>
        <w:rPr>
          <w:rFonts w:hint="cs"/>
          <w:rtl/>
        </w:rPr>
        <w:tab/>
        <w:t>التعليم الثانوي</w:t>
      </w:r>
    </w:p>
    <w:p w:rsidR="00B340F6" w:rsidRPr="00D351AD" w:rsidRDefault="00B340F6" w:rsidP="00B340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tab/>
      </w:r>
      <w:r>
        <w:rPr>
          <w:rFonts w:hint="cs"/>
          <w:rtl/>
        </w:rPr>
        <w:tab/>
        <w:t>بيانات قطرية</w:t>
      </w:r>
    </w:p>
    <w:p w:rsidR="00B340F6" w:rsidRPr="003F6F9D" w:rsidRDefault="00B340F6" w:rsidP="00B340F6">
      <w:pPr>
        <w:pStyle w:val="SingleTxt"/>
        <w:spacing w:after="0" w:line="120" w:lineRule="exact"/>
        <w:rPr>
          <w:rFonts w:hint="cs"/>
          <w:sz w:val="10"/>
          <w:rtl/>
        </w:rPr>
      </w:pPr>
    </w:p>
    <w:tbl>
      <w:tblPr>
        <w:bidiVisual/>
        <w:tblW w:w="9843" w:type="dxa"/>
        <w:jc w:val="center"/>
        <w:tblLayout w:type="fixed"/>
        <w:tblCellMar>
          <w:left w:w="0" w:type="dxa"/>
          <w:right w:w="0" w:type="dxa"/>
        </w:tblCellMar>
        <w:tblLook w:val="0000" w:firstRow="0" w:lastRow="0" w:firstColumn="0" w:lastColumn="0" w:noHBand="0" w:noVBand="0"/>
      </w:tblPr>
      <w:tblGrid>
        <w:gridCol w:w="1252"/>
        <w:gridCol w:w="536"/>
        <w:gridCol w:w="537"/>
        <w:gridCol w:w="537"/>
        <w:gridCol w:w="537"/>
        <w:gridCol w:w="537"/>
        <w:gridCol w:w="537"/>
        <w:gridCol w:w="537"/>
        <w:gridCol w:w="537"/>
        <w:gridCol w:w="537"/>
        <w:gridCol w:w="537"/>
        <w:gridCol w:w="537"/>
        <w:gridCol w:w="537"/>
        <w:gridCol w:w="537"/>
        <w:gridCol w:w="537"/>
        <w:gridCol w:w="537"/>
        <w:gridCol w:w="537"/>
      </w:tblGrid>
      <w:tr w:rsidR="00B340F6" w:rsidRPr="00F12EB5">
        <w:tblPrEx>
          <w:tblCellMar>
            <w:top w:w="0" w:type="dxa"/>
            <w:bottom w:w="0" w:type="dxa"/>
          </w:tblCellMar>
        </w:tblPrEx>
        <w:trPr>
          <w:cantSplit/>
          <w:tblHeader/>
          <w:jc w:val="center"/>
        </w:trPr>
        <w:tc>
          <w:tcPr>
            <w:tcW w:w="1252" w:type="dxa"/>
            <w:tcBorders>
              <w:top w:val="single" w:sz="12" w:space="0" w:color="auto"/>
            </w:tcBorders>
            <w:shd w:val="clear" w:color="auto" w:fill="auto"/>
            <w:tcMar>
              <w:left w:w="0" w:type="dxa"/>
              <w:right w:w="0" w:type="dxa"/>
            </w:tcMar>
            <w:vAlign w:val="bottom"/>
          </w:tcPr>
          <w:p w:rsidR="00B340F6"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13"/>
              <w:jc w:val="right"/>
              <w:rPr>
                <w:rFonts w:hint="cs"/>
                <w:i/>
                <w:iCs/>
                <w:sz w:val="16"/>
                <w:szCs w:val="24"/>
                <w:rtl/>
              </w:rPr>
            </w:pPr>
            <w:r>
              <w:rPr>
                <w:rFonts w:hint="cs"/>
                <w:i/>
                <w:iCs/>
                <w:sz w:val="16"/>
                <w:szCs w:val="24"/>
                <w:rtl/>
              </w:rPr>
              <w:t>البيانات</w:t>
            </w:r>
          </w:p>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13"/>
              <w:rPr>
                <w:rFonts w:hint="cs"/>
                <w:i/>
                <w:iCs/>
                <w:sz w:val="16"/>
                <w:szCs w:val="24"/>
                <w:rtl/>
              </w:rPr>
            </w:pPr>
            <w:r>
              <w:rPr>
                <w:rFonts w:hint="cs"/>
                <w:i/>
                <w:iCs/>
                <w:sz w:val="16"/>
                <w:szCs w:val="24"/>
                <w:rtl/>
              </w:rPr>
              <w:t>(في المائة)</w:t>
            </w:r>
          </w:p>
        </w:tc>
        <w:tc>
          <w:tcPr>
            <w:tcW w:w="2147"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نسبة الالتحاق الصافية -</w:t>
            </w:r>
            <w:r>
              <w:rPr>
                <w:rFonts w:hint="cs"/>
                <w:i/>
                <w:iCs/>
                <w:sz w:val="16"/>
                <w:szCs w:val="24"/>
                <w:rtl/>
              </w:rPr>
              <w:br/>
              <w:t>التعليم الثانوي - المجموع</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نسبة الالتحاق الصافية -</w:t>
            </w:r>
            <w:r>
              <w:rPr>
                <w:rFonts w:hint="cs"/>
                <w:i/>
                <w:iCs/>
                <w:sz w:val="16"/>
                <w:szCs w:val="24"/>
                <w:rtl/>
              </w:rPr>
              <w:br/>
              <w:t>التعليم الثانوي - الذكور</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نسبة الالتحاق الصافية -</w:t>
            </w:r>
            <w:r>
              <w:rPr>
                <w:i/>
                <w:iCs/>
                <w:sz w:val="16"/>
                <w:szCs w:val="24"/>
                <w:rtl/>
              </w:rPr>
              <w:br/>
            </w:r>
            <w:r>
              <w:rPr>
                <w:rFonts w:hint="cs"/>
                <w:i/>
                <w:iCs/>
                <w:sz w:val="16"/>
                <w:szCs w:val="24"/>
                <w:rtl/>
              </w:rPr>
              <w:t>التعليم الثانوي - الإناث</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مؤشر تكافؤ الجنسين من</w:t>
            </w:r>
            <w:r>
              <w:rPr>
                <w:i/>
                <w:iCs/>
                <w:sz w:val="16"/>
                <w:szCs w:val="24"/>
                <w:rtl/>
              </w:rPr>
              <w:br/>
            </w:r>
            <w:r>
              <w:rPr>
                <w:rFonts w:hint="cs"/>
                <w:i/>
                <w:iCs/>
                <w:sz w:val="16"/>
                <w:szCs w:val="24"/>
                <w:rtl/>
              </w:rPr>
              <w:t>حيث نسبة الالتحاق الصافية - التعليم الثانوي</w:t>
            </w:r>
          </w:p>
        </w:tc>
      </w:tr>
      <w:tr w:rsidR="00B340F6" w:rsidRPr="00F12EB5">
        <w:tblPrEx>
          <w:tblCellMar>
            <w:top w:w="0" w:type="dxa"/>
            <w:bottom w:w="0" w:type="dxa"/>
          </w:tblCellMar>
        </w:tblPrEx>
        <w:trPr>
          <w:cantSplit/>
          <w:trHeight w:hRule="exact" w:val="115"/>
          <w:tblHeader/>
          <w:jc w:val="center"/>
        </w:trPr>
        <w:tc>
          <w:tcPr>
            <w:tcW w:w="1252"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16"/>
                <w:szCs w:val="24"/>
                <w:rtl/>
              </w:rPr>
            </w:pPr>
          </w:p>
        </w:tc>
        <w:tc>
          <w:tcPr>
            <w:tcW w:w="536"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B340F6" w:rsidRPr="00F12EB5">
        <w:tblPrEx>
          <w:tblCellMar>
            <w:top w:w="0" w:type="dxa"/>
            <w:bottom w:w="0" w:type="dxa"/>
          </w:tblCellMar>
        </w:tblPrEx>
        <w:trPr>
          <w:cantSplit/>
          <w:jc w:val="center"/>
        </w:trPr>
        <w:tc>
          <w:tcPr>
            <w:tcW w:w="1252" w:type="dxa"/>
            <w:tcBorders>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السنة</w:t>
            </w:r>
          </w:p>
        </w:tc>
        <w:tc>
          <w:tcPr>
            <w:tcW w:w="536"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r>
      <w:tr w:rsidR="00B340F6" w:rsidRPr="00F12EB5">
        <w:tblPrEx>
          <w:tblCellMar>
            <w:top w:w="0" w:type="dxa"/>
            <w:bottom w:w="0" w:type="dxa"/>
          </w:tblCellMar>
        </w:tblPrEx>
        <w:trPr>
          <w:cantSplit/>
          <w:jc w:val="center"/>
        </w:trPr>
        <w:tc>
          <w:tcPr>
            <w:tcW w:w="1252"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b/>
                <w:bCs/>
                <w:sz w:val="22"/>
                <w:szCs w:val="22"/>
                <w:rtl/>
              </w:rPr>
            </w:pPr>
            <w:r w:rsidRPr="00F12EB5">
              <w:rPr>
                <w:rFonts w:hint="cs"/>
                <w:b/>
                <w:bCs/>
                <w:sz w:val="22"/>
                <w:szCs w:val="22"/>
                <w:rtl/>
              </w:rPr>
              <w:t>البلد</w:t>
            </w:r>
          </w:p>
        </w:tc>
        <w:tc>
          <w:tcPr>
            <w:tcW w:w="536"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موريتانيا</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0.79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0.76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0.78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0.82</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موزامبيق</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0.71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0.74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0.78</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النيجر</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0.69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0.68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0.69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0.68</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باكستان</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0.73</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صربيا والجبل الأسود</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سيراليون</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الجمهورية العربية السورية</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0.93</w:t>
            </w:r>
          </w:p>
        </w:tc>
      </w:tr>
      <w:tr w:rsidR="00B340F6" w:rsidRPr="00F12EB5">
        <w:tblPrEx>
          <w:tblCellMar>
            <w:top w:w="0" w:type="dxa"/>
            <w:bottom w:w="0" w:type="dxa"/>
          </w:tblCellMar>
        </w:tblPrEx>
        <w:trPr>
          <w:cantSplit/>
          <w:jc w:val="center"/>
        </w:trPr>
        <w:tc>
          <w:tcPr>
            <w:tcW w:w="1252" w:type="dxa"/>
            <w:tcBorders>
              <w:bottom w:val="single" w:sz="12" w:space="0" w:color="auto"/>
            </w:tcBorders>
            <w:shd w:val="clear" w:color="auto" w:fill="auto"/>
            <w:vAlign w:val="bottom"/>
          </w:tcPr>
          <w:p w:rsidR="00B340F6"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فانواتو</w:t>
            </w:r>
          </w:p>
        </w:tc>
        <w:tc>
          <w:tcPr>
            <w:tcW w:w="536"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33</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37</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37</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39</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35</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38</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40</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42</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32</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36</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36</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0.92</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0.95</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0.86</w:t>
            </w:r>
          </w:p>
        </w:tc>
      </w:tr>
    </w:tbl>
    <w:p w:rsidR="00B340F6" w:rsidRPr="00994EB9" w:rsidRDefault="00B340F6" w:rsidP="00B340F6">
      <w:pPr>
        <w:pStyle w:val="SingleTxt"/>
        <w:spacing w:after="0" w:line="120" w:lineRule="exact"/>
        <w:rPr>
          <w:rFonts w:hint="cs"/>
          <w:sz w:val="10"/>
          <w:rtl/>
        </w:rPr>
      </w:pPr>
    </w:p>
    <w:p w:rsidR="00B340F6" w:rsidRDefault="00B340F6" w:rsidP="00B340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بيانات مجمعة حسب المناطق</w:t>
      </w:r>
    </w:p>
    <w:p w:rsidR="00B340F6" w:rsidRPr="00994EB9" w:rsidRDefault="00B340F6" w:rsidP="00B340F6">
      <w:pPr>
        <w:pStyle w:val="SingleTxt"/>
        <w:spacing w:after="0" w:line="120" w:lineRule="exact"/>
        <w:rPr>
          <w:rFonts w:hint="cs"/>
          <w:sz w:val="10"/>
          <w:rtl/>
        </w:rPr>
      </w:pPr>
    </w:p>
    <w:tbl>
      <w:tblPr>
        <w:bidiVisual/>
        <w:tblW w:w="9843" w:type="dxa"/>
        <w:jc w:val="center"/>
        <w:tblLayout w:type="fixed"/>
        <w:tblCellMar>
          <w:left w:w="0" w:type="dxa"/>
          <w:right w:w="0" w:type="dxa"/>
        </w:tblCellMar>
        <w:tblLook w:val="0000" w:firstRow="0" w:lastRow="0" w:firstColumn="0" w:lastColumn="0" w:noHBand="0" w:noVBand="0"/>
      </w:tblPr>
      <w:tblGrid>
        <w:gridCol w:w="1252"/>
        <w:gridCol w:w="536"/>
        <w:gridCol w:w="537"/>
        <w:gridCol w:w="537"/>
        <w:gridCol w:w="537"/>
        <w:gridCol w:w="537"/>
        <w:gridCol w:w="537"/>
        <w:gridCol w:w="537"/>
        <w:gridCol w:w="537"/>
        <w:gridCol w:w="537"/>
        <w:gridCol w:w="537"/>
        <w:gridCol w:w="537"/>
        <w:gridCol w:w="537"/>
        <w:gridCol w:w="537"/>
        <w:gridCol w:w="537"/>
        <w:gridCol w:w="537"/>
        <w:gridCol w:w="537"/>
      </w:tblGrid>
      <w:tr w:rsidR="00B340F6" w:rsidRPr="00F12EB5">
        <w:tblPrEx>
          <w:tblCellMar>
            <w:top w:w="0" w:type="dxa"/>
            <w:bottom w:w="0" w:type="dxa"/>
          </w:tblCellMar>
        </w:tblPrEx>
        <w:trPr>
          <w:cantSplit/>
          <w:tblHeader/>
          <w:jc w:val="center"/>
        </w:trPr>
        <w:tc>
          <w:tcPr>
            <w:tcW w:w="1252" w:type="dxa"/>
            <w:tcBorders>
              <w:top w:val="single" w:sz="12" w:space="0" w:color="auto"/>
            </w:tcBorders>
            <w:shd w:val="clear" w:color="auto" w:fill="auto"/>
            <w:tcMar>
              <w:left w:w="0" w:type="dxa"/>
              <w:right w:w="0" w:type="dxa"/>
            </w:tcMar>
            <w:vAlign w:val="bottom"/>
          </w:tcPr>
          <w:p w:rsidR="00B340F6" w:rsidRPr="008F7011"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13"/>
              <w:jc w:val="right"/>
              <w:rPr>
                <w:i/>
                <w:iCs/>
                <w:sz w:val="10"/>
                <w:szCs w:val="24"/>
                <w:rtl/>
              </w:rPr>
            </w:pPr>
            <w:r>
              <w:rPr>
                <w:rFonts w:hint="cs"/>
                <w:i/>
                <w:iCs/>
                <w:sz w:val="16"/>
                <w:szCs w:val="24"/>
                <w:rtl/>
              </w:rPr>
              <w:t>البيانات</w:t>
            </w:r>
          </w:p>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13"/>
              <w:rPr>
                <w:rFonts w:hint="cs"/>
                <w:i/>
                <w:iCs/>
                <w:sz w:val="16"/>
                <w:szCs w:val="24"/>
                <w:rtl/>
              </w:rPr>
            </w:pPr>
            <w:r>
              <w:rPr>
                <w:rFonts w:hint="cs"/>
                <w:i/>
                <w:iCs/>
                <w:sz w:val="16"/>
                <w:szCs w:val="24"/>
                <w:rtl/>
              </w:rPr>
              <w:t>(في المائة)</w:t>
            </w:r>
          </w:p>
        </w:tc>
        <w:tc>
          <w:tcPr>
            <w:tcW w:w="2147"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نسبة الالتحاق الصافية -</w:t>
            </w:r>
            <w:r>
              <w:rPr>
                <w:rFonts w:hint="cs"/>
                <w:i/>
                <w:iCs/>
                <w:sz w:val="16"/>
                <w:szCs w:val="24"/>
                <w:rtl/>
              </w:rPr>
              <w:br/>
              <w:t>التعليم الثانوي - المجموع</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نسبة الالتحاق الصافية -</w:t>
            </w:r>
            <w:r>
              <w:rPr>
                <w:rFonts w:hint="cs"/>
                <w:i/>
                <w:iCs/>
                <w:sz w:val="16"/>
                <w:szCs w:val="24"/>
                <w:rtl/>
              </w:rPr>
              <w:br/>
              <w:t>التعليم الثانوي - الذكور</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نسبة الالتحاق الصافية -</w:t>
            </w:r>
            <w:r>
              <w:rPr>
                <w:i/>
                <w:iCs/>
                <w:sz w:val="16"/>
                <w:szCs w:val="24"/>
                <w:rtl/>
              </w:rPr>
              <w:br/>
            </w:r>
            <w:r>
              <w:rPr>
                <w:rFonts w:hint="cs"/>
                <w:i/>
                <w:iCs/>
                <w:sz w:val="16"/>
                <w:szCs w:val="24"/>
                <w:rtl/>
              </w:rPr>
              <w:t>التعليم الثانوي - الإناث</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مؤشر تكافؤ الجنسين من</w:t>
            </w:r>
            <w:r>
              <w:rPr>
                <w:i/>
                <w:iCs/>
                <w:sz w:val="16"/>
                <w:szCs w:val="24"/>
                <w:rtl/>
              </w:rPr>
              <w:br/>
            </w:r>
            <w:r>
              <w:rPr>
                <w:rFonts w:hint="cs"/>
                <w:i/>
                <w:iCs/>
                <w:sz w:val="16"/>
                <w:szCs w:val="24"/>
                <w:rtl/>
              </w:rPr>
              <w:t>حيث نسبة الالتحاق الصافية - التعليم الثانوي</w:t>
            </w:r>
          </w:p>
        </w:tc>
      </w:tr>
      <w:tr w:rsidR="00B340F6" w:rsidRPr="00F12EB5">
        <w:tblPrEx>
          <w:tblCellMar>
            <w:top w:w="0" w:type="dxa"/>
            <w:bottom w:w="0" w:type="dxa"/>
          </w:tblCellMar>
        </w:tblPrEx>
        <w:trPr>
          <w:cantSplit/>
          <w:trHeight w:hRule="exact" w:val="115"/>
          <w:tblHeader/>
          <w:jc w:val="center"/>
        </w:trPr>
        <w:tc>
          <w:tcPr>
            <w:tcW w:w="1252"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16"/>
                <w:szCs w:val="24"/>
                <w:rtl/>
              </w:rPr>
            </w:pPr>
          </w:p>
        </w:tc>
        <w:tc>
          <w:tcPr>
            <w:tcW w:w="536"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B340F6" w:rsidRPr="00F12EB5">
        <w:tblPrEx>
          <w:tblCellMar>
            <w:top w:w="0" w:type="dxa"/>
            <w:bottom w:w="0" w:type="dxa"/>
          </w:tblCellMar>
        </w:tblPrEx>
        <w:trPr>
          <w:cantSplit/>
          <w:jc w:val="center"/>
        </w:trPr>
        <w:tc>
          <w:tcPr>
            <w:tcW w:w="1252" w:type="dxa"/>
            <w:tcBorders>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السنة</w:t>
            </w:r>
          </w:p>
        </w:tc>
        <w:tc>
          <w:tcPr>
            <w:tcW w:w="536"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r>
      <w:tr w:rsidR="00B340F6" w:rsidRPr="00F12EB5">
        <w:tblPrEx>
          <w:tblCellMar>
            <w:top w:w="0" w:type="dxa"/>
            <w:bottom w:w="0" w:type="dxa"/>
          </w:tblCellMar>
        </w:tblPrEx>
        <w:trPr>
          <w:cantSplit/>
          <w:jc w:val="center"/>
        </w:trPr>
        <w:tc>
          <w:tcPr>
            <w:tcW w:w="1252"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b/>
                <w:bCs/>
                <w:sz w:val="22"/>
                <w:szCs w:val="22"/>
                <w:rtl/>
              </w:rPr>
            </w:pPr>
            <w:r w:rsidRPr="00F12EB5">
              <w:rPr>
                <w:rFonts w:hint="cs"/>
                <w:b/>
                <w:bCs/>
                <w:sz w:val="22"/>
                <w:szCs w:val="22"/>
                <w:rtl/>
              </w:rPr>
              <w:t>البلد</w:t>
            </w:r>
          </w:p>
        </w:tc>
        <w:tc>
          <w:tcPr>
            <w:tcW w:w="536"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الدول العربية</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0.93</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أوروبا الوسطى وأوروبا الشرقية</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0.98</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شرق آسيا والمحيط الهادئ</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جنوب وغرب آسيا</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r>
      <w:tr w:rsidR="00B340F6" w:rsidRPr="00F12EB5">
        <w:tblPrEx>
          <w:tblCellMar>
            <w:top w:w="0" w:type="dxa"/>
            <w:bottom w:w="0" w:type="dxa"/>
          </w:tblCellMar>
        </w:tblPrEx>
        <w:trPr>
          <w:cantSplit/>
          <w:jc w:val="center"/>
        </w:trPr>
        <w:tc>
          <w:tcPr>
            <w:tcW w:w="1252" w:type="dxa"/>
            <w:tcBorders>
              <w:bottom w:val="single" w:sz="12" w:space="0" w:color="auto"/>
            </w:tcBorders>
            <w:shd w:val="clear" w:color="auto" w:fill="auto"/>
            <w:vAlign w:val="bottom"/>
          </w:tcPr>
          <w:p w:rsidR="00B340F6"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أفريقيا جنوب الصحراء</w:t>
            </w:r>
          </w:p>
        </w:tc>
        <w:tc>
          <w:tcPr>
            <w:tcW w:w="536"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21</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23</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23</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25</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26</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27</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19</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20</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21</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22</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0.82</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0.82</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0.80</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0.81</w:t>
            </w:r>
          </w:p>
        </w:tc>
      </w:tr>
    </w:tbl>
    <w:p w:rsidR="00B340F6" w:rsidRPr="00E73D2B" w:rsidRDefault="00B340F6" w:rsidP="00B340F6">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sidRPr="00E73D2B">
        <w:rPr>
          <w:rFonts w:hint="cs"/>
          <w:i/>
          <w:iCs/>
          <w:rtl/>
        </w:rPr>
        <w:t>المصدر</w:t>
      </w:r>
      <w:r w:rsidRPr="00E73D2B">
        <w:rPr>
          <w:rFonts w:hint="cs"/>
          <w:rtl/>
        </w:rPr>
        <w:t>:</w:t>
      </w:r>
      <w:r>
        <w:rPr>
          <w:rtl/>
        </w:rPr>
        <w:tab/>
      </w:r>
      <w:r>
        <w:t>h</w:t>
      </w:r>
      <w:r w:rsidRPr="00E73D2B">
        <w:t>ttp:</w:t>
      </w:r>
      <w:r>
        <w:t>//stats.uis.unesco.org/T</w:t>
      </w:r>
      <w:r w:rsidRPr="00E73D2B">
        <w:t>able</w:t>
      </w:r>
      <w:r>
        <w:t>V</w:t>
      </w:r>
      <w:r w:rsidRPr="00E73D2B">
        <w:t>iewer/tabl</w:t>
      </w:r>
      <w:r>
        <w:t>eV</w:t>
      </w:r>
      <w:r w:rsidRPr="00E73D2B">
        <w:t xml:space="preserve">iew.aspx </w:t>
      </w:r>
      <w:r w:rsidRPr="00E73D2B">
        <w:rPr>
          <w:rFonts w:hint="cs"/>
          <w:rtl/>
        </w:rPr>
        <w:t xml:space="preserve"> (</w:t>
      </w:r>
      <w:r>
        <w:rPr>
          <w:rFonts w:hint="cs"/>
          <w:rtl/>
        </w:rPr>
        <w:t>معهد اليونسكو للإحصاء</w:t>
      </w:r>
      <w:r w:rsidRPr="00E73D2B">
        <w:rPr>
          <w:rFonts w:hint="cs"/>
          <w:rtl/>
        </w:rPr>
        <w:t>، التربية) آخر دخول إلى الموقع في 22/3/2007.</w:t>
      </w:r>
    </w:p>
    <w:p w:rsidR="00B340F6" w:rsidRDefault="00B340F6" w:rsidP="00B340F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3 -</w:t>
      </w:r>
      <w:r>
        <w:rPr>
          <w:rFonts w:hint="cs"/>
          <w:rtl/>
        </w:rPr>
        <w:tab/>
        <w:t>المرحلة الثالثة (التعليم الجامعي) التصنيف الدولي المقنّن للتعليم 5 و 6)</w:t>
      </w:r>
    </w:p>
    <w:p w:rsidR="00B340F6" w:rsidRPr="00994EB9" w:rsidRDefault="00B340F6" w:rsidP="00B340F6">
      <w:pPr>
        <w:pStyle w:val="SingleTxt"/>
        <w:spacing w:after="0" w:line="120" w:lineRule="exact"/>
        <w:rPr>
          <w:rFonts w:hint="cs"/>
          <w:sz w:val="10"/>
          <w:rtl/>
        </w:rPr>
      </w:pPr>
    </w:p>
    <w:p w:rsidR="00B340F6" w:rsidRDefault="00B340F6" w:rsidP="00B340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بيانات قطرية</w:t>
      </w:r>
    </w:p>
    <w:tbl>
      <w:tblPr>
        <w:bidiVisual/>
        <w:tblW w:w="9843" w:type="dxa"/>
        <w:jc w:val="center"/>
        <w:tblLayout w:type="fixed"/>
        <w:tblCellMar>
          <w:left w:w="0" w:type="dxa"/>
          <w:right w:w="0" w:type="dxa"/>
        </w:tblCellMar>
        <w:tblLook w:val="0000" w:firstRow="0" w:lastRow="0" w:firstColumn="0" w:lastColumn="0" w:noHBand="0" w:noVBand="0"/>
      </w:tblPr>
      <w:tblGrid>
        <w:gridCol w:w="1252"/>
        <w:gridCol w:w="536"/>
        <w:gridCol w:w="537"/>
        <w:gridCol w:w="537"/>
        <w:gridCol w:w="537"/>
        <w:gridCol w:w="537"/>
        <w:gridCol w:w="537"/>
        <w:gridCol w:w="537"/>
        <w:gridCol w:w="537"/>
        <w:gridCol w:w="537"/>
        <w:gridCol w:w="537"/>
        <w:gridCol w:w="537"/>
        <w:gridCol w:w="537"/>
        <w:gridCol w:w="537"/>
        <w:gridCol w:w="537"/>
        <w:gridCol w:w="537"/>
        <w:gridCol w:w="537"/>
      </w:tblGrid>
      <w:tr w:rsidR="00B340F6" w:rsidRPr="00F12EB5">
        <w:tblPrEx>
          <w:tblCellMar>
            <w:top w:w="0" w:type="dxa"/>
            <w:bottom w:w="0" w:type="dxa"/>
          </w:tblCellMar>
        </w:tblPrEx>
        <w:trPr>
          <w:cantSplit/>
          <w:tblHeader/>
          <w:jc w:val="center"/>
        </w:trPr>
        <w:tc>
          <w:tcPr>
            <w:tcW w:w="1252" w:type="dxa"/>
            <w:tcBorders>
              <w:top w:val="single" w:sz="12" w:space="0" w:color="auto"/>
            </w:tcBorders>
            <w:shd w:val="clear" w:color="auto" w:fill="auto"/>
            <w:tcMar>
              <w:left w:w="0" w:type="dxa"/>
              <w:right w:w="0" w:type="dxa"/>
            </w:tcMar>
            <w:vAlign w:val="bottom"/>
          </w:tcPr>
          <w:p w:rsidR="00B340F6" w:rsidRPr="008F7011"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13"/>
              <w:jc w:val="right"/>
              <w:rPr>
                <w:i/>
                <w:iCs/>
                <w:sz w:val="10"/>
                <w:szCs w:val="24"/>
                <w:rtl/>
              </w:rPr>
            </w:pPr>
            <w:r>
              <w:rPr>
                <w:rFonts w:hint="cs"/>
                <w:i/>
                <w:iCs/>
                <w:sz w:val="16"/>
                <w:szCs w:val="24"/>
                <w:rtl/>
              </w:rPr>
              <w:t>البيانات</w:t>
            </w:r>
          </w:p>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13"/>
              <w:rPr>
                <w:rFonts w:hint="cs"/>
                <w:i/>
                <w:iCs/>
                <w:sz w:val="16"/>
                <w:szCs w:val="24"/>
                <w:rtl/>
              </w:rPr>
            </w:pPr>
            <w:r>
              <w:rPr>
                <w:rFonts w:hint="cs"/>
                <w:i/>
                <w:iCs/>
                <w:sz w:val="16"/>
                <w:szCs w:val="24"/>
                <w:rtl/>
              </w:rPr>
              <w:t>(في المائة)</w:t>
            </w:r>
          </w:p>
        </w:tc>
        <w:tc>
          <w:tcPr>
            <w:tcW w:w="2147"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نسبة الالتحاق الصافية -</w:t>
            </w:r>
            <w:r>
              <w:rPr>
                <w:rFonts w:hint="cs"/>
                <w:i/>
                <w:iCs/>
                <w:sz w:val="16"/>
                <w:szCs w:val="24"/>
                <w:rtl/>
              </w:rPr>
              <w:br/>
            </w:r>
            <w:r w:rsidRPr="00E8166D">
              <w:rPr>
                <w:rFonts w:hint="cs"/>
                <w:i/>
                <w:iCs/>
                <w:sz w:val="16"/>
                <w:szCs w:val="24"/>
                <w:rtl/>
              </w:rPr>
              <w:t>التصنيف الدولي المقنّن</w:t>
            </w:r>
            <w:r>
              <w:rPr>
                <w:rFonts w:hint="cs"/>
                <w:i/>
                <w:iCs/>
                <w:sz w:val="16"/>
                <w:szCs w:val="24"/>
                <w:rtl/>
              </w:rPr>
              <w:t xml:space="preserve"> - المجموع</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نسبة الالتحاق الصافية -</w:t>
            </w:r>
            <w:r>
              <w:rPr>
                <w:rFonts w:hint="cs"/>
                <w:i/>
                <w:iCs/>
                <w:sz w:val="16"/>
                <w:szCs w:val="24"/>
                <w:rtl/>
              </w:rPr>
              <w:br/>
            </w:r>
            <w:r w:rsidRPr="00E8166D">
              <w:rPr>
                <w:rFonts w:hint="cs"/>
                <w:i/>
                <w:iCs/>
                <w:sz w:val="16"/>
                <w:szCs w:val="24"/>
                <w:rtl/>
              </w:rPr>
              <w:t>التصنيف الدولي المقنّن</w:t>
            </w:r>
            <w:r>
              <w:rPr>
                <w:rFonts w:hint="cs"/>
                <w:i/>
                <w:iCs/>
                <w:sz w:val="16"/>
                <w:szCs w:val="24"/>
                <w:rtl/>
              </w:rPr>
              <w:t xml:space="preserve"> - الذكور</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نسبة الالتحاق الصافية -</w:t>
            </w:r>
            <w:r>
              <w:rPr>
                <w:i/>
                <w:iCs/>
                <w:sz w:val="16"/>
                <w:szCs w:val="24"/>
                <w:rtl/>
              </w:rPr>
              <w:br/>
            </w:r>
            <w:r w:rsidRPr="00E8166D">
              <w:rPr>
                <w:rFonts w:hint="cs"/>
                <w:i/>
                <w:iCs/>
                <w:sz w:val="16"/>
                <w:szCs w:val="24"/>
                <w:rtl/>
              </w:rPr>
              <w:t>التصنيف الدولي المقنّن</w:t>
            </w:r>
            <w:r>
              <w:rPr>
                <w:rFonts w:hint="cs"/>
                <w:i/>
                <w:iCs/>
                <w:sz w:val="16"/>
                <w:szCs w:val="24"/>
                <w:rtl/>
              </w:rPr>
              <w:t xml:space="preserve"> - الإناث</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Pr>
                <w:rFonts w:hint="cs"/>
                <w:i/>
                <w:iCs/>
                <w:sz w:val="16"/>
                <w:szCs w:val="24"/>
                <w:rtl/>
              </w:rPr>
              <w:t>مؤشر تكافؤ الجنسين من</w:t>
            </w:r>
            <w:r>
              <w:rPr>
                <w:i/>
                <w:iCs/>
                <w:sz w:val="16"/>
                <w:szCs w:val="24"/>
                <w:rtl/>
              </w:rPr>
              <w:br/>
            </w:r>
            <w:r>
              <w:rPr>
                <w:rFonts w:hint="cs"/>
                <w:i/>
                <w:iCs/>
                <w:sz w:val="16"/>
                <w:szCs w:val="24"/>
                <w:rtl/>
              </w:rPr>
              <w:t xml:space="preserve">حيث نسبة الالتحاق الصافية - </w:t>
            </w:r>
            <w:r w:rsidRPr="00E8166D">
              <w:rPr>
                <w:rFonts w:hint="cs"/>
                <w:i/>
                <w:iCs/>
                <w:sz w:val="16"/>
                <w:szCs w:val="24"/>
                <w:rtl/>
              </w:rPr>
              <w:t>التصنيف الدولي المقنّن</w:t>
            </w:r>
          </w:p>
        </w:tc>
      </w:tr>
      <w:tr w:rsidR="00B340F6" w:rsidRPr="00F12EB5">
        <w:tblPrEx>
          <w:tblCellMar>
            <w:top w:w="0" w:type="dxa"/>
            <w:bottom w:w="0" w:type="dxa"/>
          </w:tblCellMar>
        </w:tblPrEx>
        <w:trPr>
          <w:cantSplit/>
          <w:trHeight w:hRule="exact" w:val="115"/>
          <w:tblHeader/>
          <w:jc w:val="center"/>
        </w:trPr>
        <w:tc>
          <w:tcPr>
            <w:tcW w:w="1252"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16"/>
                <w:szCs w:val="24"/>
                <w:rtl/>
              </w:rPr>
            </w:pPr>
          </w:p>
        </w:tc>
        <w:tc>
          <w:tcPr>
            <w:tcW w:w="536"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B340F6" w:rsidRPr="00F12EB5">
        <w:tblPrEx>
          <w:tblCellMar>
            <w:top w:w="0" w:type="dxa"/>
            <w:bottom w:w="0" w:type="dxa"/>
          </w:tblCellMar>
        </w:tblPrEx>
        <w:trPr>
          <w:cantSplit/>
          <w:jc w:val="center"/>
        </w:trPr>
        <w:tc>
          <w:tcPr>
            <w:tcW w:w="1252" w:type="dxa"/>
            <w:tcBorders>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السنة</w:t>
            </w:r>
          </w:p>
        </w:tc>
        <w:tc>
          <w:tcPr>
            <w:tcW w:w="536"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r>
      <w:tr w:rsidR="00B340F6" w:rsidRPr="00F12EB5">
        <w:tblPrEx>
          <w:tblCellMar>
            <w:top w:w="0" w:type="dxa"/>
            <w:bottom w:w="0" w:type="dxa"/>
          </w:tblCellMar>
        </w:tblPrEx>
        <w:trPr>
          <w:cantSplit/>
          <w:jc w:val="center"/>
        </w:trPr>
        <w:tc>
          <w:tcPr>
            <w:tcW w:w="1252"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b/>
                <w:bCs/>
                <w:sz w:val="22"/>
                <w:szCs w:val="22"/>
                <w:rtl/>
              </w:rPr>
            </w:pPr>
            <w:r w:rsidRPr="00F12EB5">
              <w:rPr>
                <w:rFonts w:hint="cs"/>
                <w:b/>
                <w:bCs/>
                <w:sz w:val="22"/>
                <w:szCs w:val="22"/>
                <w:rtl/>
              </w:rPr>
              <w:t>البلد</w:t>
            </w:r>
          </w:p>
        </w:tc>
        <w:tc>
          <w:tcPr>
            <w:tcW w:w="536"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موريتانيا</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0.20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0.27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0.27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0.31</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موزامبيق</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0.47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0.46</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النيجر</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غير متاح</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غير متاح</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0.40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0.40</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باكستان</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0.80</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صربيا والجبل الأسود</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1.20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سيراليون</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0.40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0.40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الجمهورية العربية السورية</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r>
      <w:tr w:rsidR="00B340F6" w:rsidRPr="00F12EB5">
        <w:tblPrEx>
          <w:tblCellMar>
            <w:top w:w="0" w:type="dxa"/>
            <w:bottom w:w="0" w:type="dxa"/>
          </w:tblCellMar>
        </w:tblPrEx>
        <w:trPr>
          <w:cantSplit/>
          <w:jc w:val="center"/>
        </w:trPr>
        <w:tc>
          <w:tcPr>
            <w:tcW w:w="1252" w:type="dxa"/>
            <w:tcBorders>
              <w:bottom w:val="single" w:sz="12" w:space="0" w:color="auto"/>
            </w:tcBorders>
            <w:shd w:val="clear" w:color="auto" w:fill="auto"/>
            <w:vAlign w:val="bottom"/>
          </w:tcPr>
          <w:p w:rsidR="00B340F6"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فانواتو</w:t>
            </w:r>
          </w:p>
        </w:tc>
        <w:tc>
          <w:tcPr>
            <w:tcW w:w="536"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0.56</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0.58</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0.58</w:t>
            </w:r>
          </w:p>
        </w:tc>
      </w:tr>
    </w:tbl>
    <w:p w:rsidR="00B340F6" w:rsidRDefault="00B340F6" w:rsidP="00B340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p>
    <w:p w:rsidR="00B340F6" w:rsidRDefault="00B340F6" w:rsidP="00B340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br w:type="page"/>
      </w:r>
      <w:r>
        <w:rPr>
          <w:rFonts w:hint="cs"/>
          <w:rtl/>
        </w:rPr>
        <w:tab/>
      </w:r>
      <w:r>
        <w:rPr>
          <w:rFonts w:hint="cs"/>
          <w:rtl/>
        </w:rPr>
        <w:tab/>
        <w:t>بيانات مجمعة حسب المناطق</w:t>
      </w:r>
    </w:p>
    <w:p w:rsidR="00B340F6" w:rsidRPr="00D351AD" w:rsidRDefault="00B340F6" w:rsidP="00B340F6">
      <w:pPr>
        <w:pStyle w:val="SingleTxt"/>
        <w:spacing w:after="0" w:line="120" w:lineRule="exact"/>
        <w:rPr>
          <w:rFonts w:hint="cs"/>
          <w:sz w:val="10"/>
          <w:rtl/>
        </w:rPr>
      </w:pPr>
    </w:p>
    <w:tbl>
      <w:tblPr>
        <w:bidiVisual/>
        <w:tblW w:w="9843" w:type="dxa"/>
        <w:jc w:val="center"/>
        <w:tblLayout w:type="fixed"/>
        <w:tblCellMar>
          <w:left w:w="0" w:type="dxa"/>
          <w:right w:w="0" w:type="dxa"/>
        </w:tblCellMar>
        <w:tblLook w:val="0000" w:firstRow="0" w:lastRow="0" w:firstColumn="0" w:lastColumn="0" w:noHBand="0" w:noVBand="0"/>
      </w:tblPr>
      <w:tblGrid>
        <w:gridCol w:w="1252"/>
        <w:gridCol w:w="536"/>
        <w:gridCol w:w="537"/>
        <w:gridCol w:w="537"/>
        <w:gridCol w:w="537"/>
        <w:gridCol w:w="537"/>
        <w:gridCol w:w="537"/>
        <w:gridCol w:w="537"/>
        <w:gridCol w:w="537"/>
        <w:gridCol w:w="537"/>
        <w:gridCol w:w="537"/>
        <w:gridCol w:w="537"/>
        <w:gridCol w:w="537"/>
        <w:gridCol w:w="537"/>
        <w:gridCol w:w="537"/>
        <w:gridCol w:w="537"/>
        <w:gridCol w:w="537"/>
      </w:tblGrid>
      <w:tr w:rsidR="00B340F6" w:rsidRPr="00F12EB5">
        <w:tblPrEx>
          <w:tblCellMar>
            <w:top w:w="0" w:type="dxa"/>
            <w:bottom w:w="0" w:type="dxa"/>
          </w:tblCellMar>
        </w:tblPrEx>
        <w:trPr>
          <w:cantSplit/>
          <w:tblHeader/>
          <w:jc w:val="center"/>
        </w:trPr>
        <w:tc>
          <w:tcPr>
            <w:tcW w:w="1252" w:type="dxa"/>
            <w:tcBorders>
              <w:top w:val="single" w:sz="12" w:space="0" w:color="auto"/>
            </w:tcBorders>
            <w:shd w:val="clear" w:color="auto" w:fill="auto"/>
            <w:tcMar>
              <w:left w:w="0" w:type="dxa"/>
              <w:right w:w="0" w:type="dxa"/>
            </w:tcMar>
            <w:vAlign w:val="bottom"/>
          </w:tcPr>
          <w:p w:rsidR="00B340F6" w:rsidRPr="008F7011"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120" w:lineRule="exact"/>
              <w:ind w:left="0" w:right="113"/>
              <w:jc w:val="right"/>
              <w:rPr>
                <w:i/>
                <w:iCs/>
                <w:sz w:val="10"/>
                <w:szCs w:val="24"/>
                <w:rtl/>
              </w:rPr>
            </w:pPr>
            <w:r>
              <w:rPr>
                <w:rFonts w:hint="cs"/>
                <w:i/>
                <w:iCs/>
                <w:sz w:val="16"/>
                <w:szCs w:val="24"/>
                <w:rtl/>
              </w:rPr>
              <w:t>البيانات</w:t>
            </w:r>
            <w:r>
              <w:rPr>
                <w:i/>
                <w:iCs/>
                <w:sz w:val="16"/>
                <w:szCs w:val="24"/>
                <w:rtl/>
              </w:rPr>
              <w:br/>
            </w:r>
          </w:p>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13"/>
              <w:jc w:val="left"/>
              <w:rPr>
                <w:rFonts w:hint="cs"/>
                <w:i/>
                <w:iCs/>
                <w:sz w:val="16"/>
                <w:szCs w:val="24"/>
                <w:rtl/>
              </w:rPr>
            </w:pPr>
            <w:r>
              <w:rPr>
                <w:rFonts w:hint="cs"/>
                <w:i/>
                <w:iCs/>
                <w:sz w:val="16"/>
                <w:szCs w:val="24"/>
                <w:rtl/>
              </w:rPr>
              <w:t>(في المائة)</w:t>
            </w:r>
          </w:p>
        </w:tc>
        <w:tc>
          <w:tcPr>
            <w:tcW w:w="2147"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Pr>
                <w:rFonts w:hint="cs"/>
                <w:i/>
                <w:iCs/>
                <w:sz w:val="16"/>
                <w:szCs w:val="24"/>
                <w:rtl/>
              </w:rPr>
              <w:t>نسبة الالتحاق الصافية -</w:t>
            </w:r>
            <w:r>
              <w:rPr>
                <w:rFonts w:hint="cs"/>
                <w:i/>
                <w:iCs/>
                <w:sz w:val="16"/>
                <w:szCs w:val="24"/>
                <w:rtl/>
              </w:rPr>
              <w:br/>
              <w:t>التعليم - المجموع</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Pr>
                <w:rFonts w:hint="cs"/>
                <w:i/>
                <w:iCs/>
                <w:sz w:val="16"/>
                <w:szCs w:val="24"/>
                <w:rtl/>
              </w:rPr>
              <w:t>نسبة الالتحاق الصافية -</w:t>
            </w:r>
            <w:r>
              <w:rPr>
                <w:rFonts w:hint="cs"/>
                <w:i/>
                <w:iCs/>
                <w:sz w:val="16"/>
                <w:szCs w:val="24"/>
                <w:rtl/>
              </w:rPr>
              <w:br/>
              <w:t>التعليم الابتدائي - الذكور</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Pr>
                <w:rFonts w:hint="cs"/>
                <w:i/>
                <w:iCs/>
                <w:sz w:val="16"/>
                <w:szCs w:val="24"/>
                <w:rtl/>
              </w:rPr>
              <w:t>نسبة الالتحاق الصافية -</w:t>
            </w:r>
            <w:r>
              <w:rPr>
                <w:i/>
                <w:iCs/>
                <w:sz w:val="16"/>
                <w:szCs w:val="24"/>
                <w:rtl/>
              </w:rPr>
              <w:br/>
            </w:r>
            <w:r>
              <w:rPr>
                <w:rFonts w:hint="cs"/>
                <w:i/>
                <w:iCs/>
                <w:sz w:val="16"/>
                <w:szCs w:val="24"/>
                <w:rtl/>
              </w:rPr>
              <w:t>التعليم الابتدائي - الإناث</w:t>
            </w:r>
          </w:p>
        </w:tc>
        <w:tc>
          <w:tcPr>
            <w:tcW w:w="2148" w:type="dxa"/>
            <w:gridSpan w:val="4"/>
            <w:tcBorders>
              <w:top w:val="single" w:sz="12" w:space="0" w:color="auto"/>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Pr>
                <w:rFonts w:hint="cs"/>
                <w:i/>
                <w:iCs/>
                <w:sz w:val="16"/>
                <w:szCs w:val="24"/>
                <w:rtl/>
              </w:rPr>
              <w:t>مؤشر تكافؤ الجنسين من</w:t>
            </w:r>
            <w:r>
              <w:rPr>
                <w:i/>
                <w:iCs/>
                <w:sz w:val="16"/>
                <w:szCs w:val="24"/>
                <w:rtl/>
              </w:rPr>
              <w:br/>
            </w:r>
            <w:r>
              <w:rPr>
                <w:rFonts w:hint="cs"/>
                <w:i/>
                <w:iCs/>
                <w:sz w:val="16"/>
                <w:szCs w:val="24"/>
                <w:rtl/>
              </w:rPr>
              <w:t>حيث نسبة الالتحاق الصافية - التعليم الابتدائي</w:t>
            </w:r>
          </w:p>
        </w:tc>
      </w:tr>
      <w:tr w:rsidR="00B340F6" w:rsidRPr="00F12EB5">
        <w:tblPrEx>
          <w:tblCellMar>
            <w:top w:w="0" w:type="dxa"/>
            <w:bottom w:w="0" w:type="dxa"/>
          </w:tblCellMar>
        </w:tblPrEx>
        <w:trPr>
          <w:cantSplit/>
          <w:trHeight w:hRule="exact" w:val="115"/>
          <w:tblHeader/>
          <w:jc w:val="center"/>
        </w:trPr>
        <w:tc>
          <w:tcPr>
            <w:tcW w:w="1252"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16"/>
                <w:szCs w:val="24"/>
                <w:rtl/>
              </w:rPr>
            </w:pPr>
          </w:p>
        </w:tc>
        <w:tc>
          <w:tcPr>
            <w:tcW w:w="536"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537" w:type="dxa"/>
            <w:tcBorders>
              <w:top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B340F6" w:rsidRPr="00F12EB5">
        <w:tblPrEx>
          <w:tblCellMar>
            <w:top w:w="0" w:type="dxa"/>
            <w:bottom w:w="0" w:type="dxa"/>
          </w:tblCellMar>
        </w:tblPrEx>
        <w:trPr>
          <w:cantSplit/>
          <w:jc w:val="center"/>
        </w:trPr>
        <w:tc>
          <w:tcPr>
            <w:tcW w:w="1252" w:type="dxa"/>
            <w:tcBorders>
              <w:bottom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السنة</w:t>
            </w:r>
          </w:p>
        </w:tc>
        <w:tc>
          <w:tcPr>
            <w:tcW w:w="536"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2001</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2002</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2003</w:t>
            </w:r>
          </w:p>
        </w:tc>
        <w:tc>
          <w:tcPr>
            <w:tcW w:w="537" w:type="dxa"/>
            <w:tcBorders>
              <w:bottom w:val="single" w:sz="4" w:space="0" w:color="auto"/>
            </w:tcBorders>
            <w:shd w:val="clear" w:color="auto" w:fill="auto"/>
            <w:vAlign w:val="bottom"/>
          </w:tcPr>
          <w:p w:rsidR="00B340F6" w:rsidRPr="000D68D7"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6"/>
                <w:szCs w:val="20"/>
                <w:rtl/>
              </w:rPr>
            </w:pPr>
            <w:r w:rsidRPr="000D68D7">
              <w:rPr>
                <w:rFonts w:hint="cs"/>
                <w:i/>
                <w:iCs/>
                <w:w w:val="96"/>
                <w:szCs w:val="20"/>
                <w:rtl/>
              </w:rPr>
              <w:t>2004</w:t>
            </w:r>
          </w:p>
        </w:tc>
      </w:tr>
      <w:tr w:rsidR="00B340F6" w:rsidRPr="00F12EB5">
        <w:tblPrEx>
          <w:tblCellMar>
            <w:top w:w="0" w:type="dxa"/>
            <w:bottom w:w="0" w:type="dxa"/>
          </w:tblCellMar>
        </w:tblPrEx>
        <w:trPr>
          <w:cantSplit/>
          <w:jc w:val="center"/>
        </w:trPr>
        <w:tc>
          <w:tcPr>
            <w:tcW w:w="1252"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b/>
                <w:bCs/>
                <w:sz w:val="22"/>
                <w:szCs w:val="22"/>
                <w:rtl/>
              </w:rPr>
            </w:pPr>
            <w:r w:rsidRPr="00F12EB5">
              <w:rPr>
                <w:rFonts w:hint="cs"/>
                <w:b/>
                <w:bCs/>
                <w:sz w:val="22"/>
                <w:szCs w:val="22"/>
                <w:rtl/>
              </w:rPr>
              <w:t>البلد</w:t>
            </w:r>
          </w:p>
        </w:tc>
        <w:tc>
          <w:tcPr>
            <w:tcW w:w="536"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c>
          <w:tcPr>
            <w:tcW w:w="537" w:type="dxa"/>
            <w:tcBorders>
              <w:top w:val="single" w:sz="4"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الدول العربية</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0.95</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أوروبا الوسطى وأوروبا الشرقية</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1.21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1.24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1.24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1.25</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شرق آسيا والمحيط الهادئ</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17</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23</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14</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16</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21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0.75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0.75</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0.89</w:t>
            </w:r>
          </w:p>
        </w:tc>
      </w:tr>
      <w:tr w:rsidR="00B340F6" w:rsidRPr="00F12EB5">
        <w:tblPrEx>
          <w:tblCellMar>
            <w:top w:w="0" w:type="dxa"/>
            <w:bottom w:w="0" w:type="dxa"/>
          </w:tblCellMar>
        </w:tblPrEx>
        <w:trPr>
          <w:cantSplit/>
          <w:jc w:val="center"/>
        </w:trPr>
        <w:tc>
          <w:tcPr>
            <w:tcW w:w="1252"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جنوب وغرب آسيا</w:t>
            </w:r>
          </w:p>
        </w:tc>
        <w:tc>
          <w:tcPr>
            <w:tcW w:w="536"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12</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8</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9</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0.70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0.71</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0.70</w:t>
            </w:r>
          </w:p>
        </w:tc>
        <w:tc>
          <w:tcPr>
            <w:tcW w:w="537" w:type="dxa"/>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0.70</w:t>
            </w:r>
          </w:p>
        </w:tc>
      </w:tr>
      <w:tr w:rsidR="00B340F6" w:rsidRPr="00F12EB5">
        <w:tblPrEx>
          <w:tblCellMar>
            <w:top w:w="0" w:type="dxa"/>
            <w:bottom w:w="0" w:type="dxa"/>
          </w:tblCellMar>
        </w:tblPrEx>
        <w:trPr>
          <w:cantSplit/>
          <w:jc w:val="center"/>
        </w:trPr>
        <w:tc>
          <w:tcPr>
            <w:tcW w:w="1252" w:type="dxa"/>
            <w:tcBorders>
              <w:bottom w:val="single" w:sz="12" w:space="0" w:color="auto"/>
            </w:tcBorders>
            <w:shd w:val="clear" w:color="auto" w:fill="auto"/>
            <w:vAlign w:val="bottom"/>
          </w:tcPr>
          <w:p w:rsidR="00B340F6"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13"/>
              <w:rPr>
                <w:rFonts w:hint="cs"/>
                <w:sz w:val="22"/>
                <w:szCs w:val="22"/>
                <w:rtl/>
              </w:rPr>
            </w:pPr>
            <w:r>
              <w:rPr>
                <w:rFonts w:hint="cs"/>
                <w:sz w:val="22"/>
                <w:szCs w:val="22"/>
                <w:rtl/>
              </w:rPr>
              <w:t>أفريقيا جنوب الصحراء</w:t>
            </w:r>
          </w:p>
        </w:tc>
        <w:tc>
          <w:tcPr>
            <w:tcW w:w="536"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5</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6</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3</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4</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0.61</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0.62</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0.61</w:t>
            </w:r>
          </w:p>
        </w:tc>
        <w:tc>
          <w:tcPr>
            <w:tcW w:w="537" w:type="dxa"/>
            <w:tcBorders>
              <w:bottom w:val="single" w:sz="12" w:space="0" w:color="auto"/>
            </w:tcBorders>
            <w:shd w:val="clear" w:color="auto" w:fill="auto"/>
            <w:vAlign w:val="bottom"/>
          </w:tcPr>
          <w:p w:rsidR="00B340F6" w:rsidRPr="00F12EB5" w:rsidRDefault="00B340F6" w:rsidP="00B340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2"/>
                <w:szCs w:val="22"/>
                <w:rtl/>
              </w:rPr>
            </w:pPr>
            <w:r>
              <w:rPr>
                <w:rFonts w:hint="cs"/>
                <w:sz w:val="22"/>
                <w:szCs w:val="22"/>
                <w:rtl/>
              </w:rPr>
              <w:t>0.61</w:t>
            </w:r>
          </w:p>
        </w:tc>
      </w:tr>
    </w:tbl>
    <w:p w:rsidR="00B340F6" w:rsidRDefault="00B340F6" w:rsidP="00B340F6">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Pr>
          <w:rFonts w:hint="cs"/>
          <w:rtl/>
        </w:rPr>
        <w:tab/>
      </w:r>
      <w:r w:rsidRPr="00E73D2B">
        <w:rPr>
          <w:rFonts w:hint="cs"/>
          <w:i/>
          <w:iCs/>
          <w:rtl/>
        </w:rPr>
        <w:t>المصدر</w:t>
      </w:r>
      <w:r w:rsidRPr="00E73D2B">
        <w:rPr>
          <w:rFonts w:hint="cs"/>
          <w:rtl/>
        </w:rPr>
        <w:t>:</w:t>
      </w:r>
      <w:r>
        <w:rPr>
          <w:rtl/>
        </w:rPr>
        <w:tab/>
      </w:r>
      <w:r>
        <w:t>ht</w:t>
      </w:r>
      <w:r w:rsidRPr="00E73D2B">
        <w:t>tp:</w:t>
      </w:r>
      <w:r>
        <w:t>//stats.uis.unesco.org/T</w:t>
      </w:r>
      <w:r w:rsidRPr="00E73D2B">
        <w:t>able</w:t>
      </w:r>
      <w:r>
        <w:t>V</w:t>
      </w:r>
      <w:r w:rsidRPr="00E73D2B">
        <w:t>iewer/tabl</w:t>
      </w:r>
      <w:r>
        <w:t>eV</w:t>
      </w:r>
      <w:r w:rsidRPr="00E73D2B">
        <w:t xml:space="preserve">iew.aspx </w:t>
      </w:r>
      <w:r w:rsidRPr="00E73D2B">
        <w:rPr>
          <w:rFonts w:hint="cs"/>
          <w:rtl/>
        </w:rPr>
        <w:t xml:space="preserve"> (</w:t>
      </w:r>
      <w:r>
        <w:rPr>
          <w:rFonts w:hint="cs"/>
          <w:rtl/>
        </w:rPr>
        <w:t>معهد اليونسكو للإحصاء</w:t>
      </w:r>
      <w:r w:rsidRPr="00E73D2B">
        <w:rPr>
          <w:rFonts w:hint="cs"/>
          <w:rtl/>
        </w:rPr>
        <w:t>، التربية) آخر دخول إلى الموقع في 22/3/2007.</w:t>
      </w:r>
    </w:p>
    <w:p w:rsidR="002C4A99" w:rsidRDefault="002C4A99" w:rsidP="002C4A99">
      <w:pPr>
        <w:pStyle w:val="SingleTxt"/>
        <w:rPr>
          <w:rFonts w:hint="cs"/>
          <w:rtl/>
        </w:rPr>
      </w:pPr>
    </w:p>
    <w:p w:rsidR="002C4A99" w:rsidRDefault="002C4A99" w:rsidP="00B340F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t>باء -</w:t>
      </w:r>
      <w:r>
        <w:rPr>
          <w:rFonts w:hint="cs"/>
          <w:rtl/>
        </w:rPr>
        <w:tab/>
        <w:t>تقارير خاصة عن كل بلد</w:t>
      </w:r>
    </w:p>
    <w:p w:rsidR="002C4A99" w:rsidRDefault="002C4A99" w:rsidP="002C4A99">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ab/>
      </w:r>
      <w:r>
        <w:rPr>
          <w:rFonts w:hint="cs"/>
          <w:rtl/>
        </w:rPr>
        <w:tab/>
        <w:t>موريتانيا</w:t>
      </w:r>
    </w:p>
    <w:p w:rsidR="002C4A99" w:rsidRPr="00AF5C78" w:rsidRDefault="002C4A99" w:rsidP="002C4A99">
      <w:pPr>
        <w:pStyle w:val="H4"/>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rFonts w:hint="cs"/>
          <w:sz w:val="12"/>
          <w:rtl/>
        </w:rPr>
      </w:pPr>
    </w:p>
    <w:p w:rsidR="002C4A99" w:rsidRPr="00AF5C78" w:rsidRDefault="002C4A99" w:rsidP="002C4A99">
      <w:pPr>
        <w:pStyle w:val="H4"/>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AF5C78">
        <w:rPr>
          <w:rFonts w:hint="cs"/>
          <w:rtl/>
        </w:rPr>
        <w:tab/>
      </w:r>
      <w:r w:rsidRPr="00AF5C78">
        <w:rPr>
          <w:rFonts w:hint="cs"/>
          <w:rtl/>
        </w:rPr>
        <w:tab/>
        <w:t>التعليم</w:t>
      </w:r>
    </w:p>
    <w:p w:rsidR="002C4A99" w:rsidRDefault="002C4A99" w:rsidP="002C4A99">
      <w:pPr>
        <w:pStyle w:val="SingleTxt"/>
        <w:rPr>
          <w:rFonts w:hint="cs"/>
          <w:rtl/>
        </w:rPr>
      </w:pPr>
      <w:r>
        <w:rPr>
          <w:rFonts w:hint="cs"/>
          <w:rtl/>
        </w:rPr>
        <w:tab/>
        <w:t>موريتانيا ليست طرفا في اتفاقية اليونسكو لمناهضة التمييز في التعليم (1960) ولم</w:t>
      </w:r>
      <w:r>
        <w:rPr>
          <w:rFonts w:hint="eastAsia"/>
          <w:rtl/>
        </w:rPr>
        <w:t> </w:t>
      </w:r>
      <w:r>
        <w:rPr>
          <w:rFonts w:hint="cs"/>
          <w:rtl/>
        </w:rPr>
        <w:t>تقدم تقريرا إلى اليونسكو بمناسبة المشاورة السادسة بشأن تنفيذ التوصية المتعلقة بمناهضة التمييز في التعليم (1960). وتتوقع اليونسكو الآن أن تتلقى تقريرا جيدا شاملا بمناسبة المشاورة السابعة.</w:t>
      </w:r>
    </w:p>
    <w:p w:rsidR="002C4A99" w:rsidRDefault="002C4A99" w:rsidP="002C4A99">
      <w:pPr>
        <w:pStyle w:val="SingleTxt"/>
        <w:rPr>
          <w:rFonts w:hint="cs"/>
          <w:rtl/>
        </w:rPr>
      </w:pPr>
      <w:r>
        <w:rPr>
          <w:rFonts w:hint="cs"/>
          <w:rtl/>
        </w:rPr>
        <w:tab/>
        <w:t>وتشجع اليونسكو موريتانيا على التصديق على اتفاقية التعليم التقني والمهني (1989).</w:t>
      </w:r>
    </w:p>
    <w:p w:rsidR="002C4A99" w:rsidRDefault="002C4A99" w:rsidP="002C4A99">
      <w:pPr>
        <w:pStyle w:val="SingleTxt"/>
        <w:rPr>
          <w:rFonts w:hint="cs"/>
          <w:rtl/>
        </w:rPr>
      </w:pPr>
      <w:r>
        <w:rPr>
          <w:rFonts w:hint="cs"/>
          <w:rtl/>
        </w:rPr>
        <w:tab/>
        <w:t>وينص دستور موريتانيا المعتمد في 1991 على أن تضمن موريتانيا المساواة أمام القانون بين جميع المواطنين دون تمييز بسبب الأصل أو العرق أو النوع أو الحالة الاجتماعية (الفقرة 2 من المادة 1). ويعلن الدستور أيضا ضمانا ثابتا للحق في المساواة والحريات الأساسية وحقوق البشر والحقوق الاقتصادية والاجتماعية.</w:t>
      </w:r>
    </w:p>
    <w:p w:rsidR="002C4A99" w:rsidRPr="00AF5C78" w:rsidRDefault="002C4A99" w:rsidP="002C4A9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2C4A99" w:rsidRPr="00AF5C78"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AF5C78">
        <w:rPr>
          <w:rFonts w:hint="cs"/>
          <w:rtl/>
        </w:rPr>
        <w:tab/>
      </w:r>
      <w:r w:rsidRPr="00AF5C78">
        <w:rPr>
          <w:rFonts w:hint="cs"/>
          <w:rtl/>
        </w:rPr>
        <w:tab/>
        <w:t>الزمالات</w:t>
      </w:r>
    </w:p>
    <w:p w:rsidR="002C4A99" w:rsidRDefault="002C4A99" w:rsidP="002C4A99">
      <w:pPr>
        <w:pStyle w:val="SingleTxt"/>
        <w:rPr>
          <w:rFonts w:hint="cs"/>
          <w:rtl/>
        </w:rPr>
      </w:pPr>
      <w:r>
        <w:rPr>
          <w:rFonts w:hint="cs"/>
          <w:rtl/>
        </w:rPr>
        <w:tab/>
        <w:t xml:space="preserve">أعطيت زمالة واحدة مشتركة التمويل (اليونسكو/لوريال) في ميدان علوم الحياة/التحليل الجزيئي لمقاومة المرض في نبات الجرجير </w:t>
      </w:r>
      <w:r>
        <w:rPr>
          <w:rFonts w:hint="eastAsia"/>
          <w:rtl/>
        </w:rPr>
        <w:t>”أ</w:t>
      </w:r>
      <w:r>
        <w:rPr>
          <w:rFonts w:hint="cs"/>
          <w:rtl/>
        </w:rPr>
        <w:t>رابيدوبسيس ثاليانا</w:t>
      </w:r>
      <w:r>
        <w:rPr>
          <w:rFonts w:hint="eastAsia"/>
          <w:rtl/>
        </w:rPr>
        <w:t>“</w:t>
      </w:r>
      <w:r>
        <w:rPr>
          <w:rFonts w:hint="cs"/>
          <w:rtl/>
        </w:rPr>
        <w:t xml:space="preserve"> (</w:t>
      </w:r>
      <w:r>
        <w:t>Arabidopsis</w:t>
      </w:r>
      <w:r>
        <w:rPr>
          <w:rFonts w:hint="cs"/>
          <w:rtl/>
        </w:rPr>
        <w:t> </w:t>
      </w:r>
      <w:r>
        <w:t>Thaliana</w:t>
      </w:r>
      <w:r>
        <w:rPr>
          <w:rFonts w:hint="cs"/>
          <w:rtl/>
        </w:rPr>
        <w:t>) لمدة أثني عشر شهرا في جامعة كيب تاون، في روندي بوش/جنوب أفريقيا (816 21 دولارا) ومنحت الزمالة لمتخصصة في العلوم.</w:t>
      </w:r>
    </w:p>
    <w:p w:rsidR="002C4A99" w:rsidRPr="00AF5C78" w:rsidRDefault="002C4A99" w:rsidP="002C4A99">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rFonts w:hint="cs"/>
          <w:sz w:val="12"/>
          <w:rtl/>
        </w:rPr>
      </w:pPr>
    </w:p>
    <w:p w:rsidR="002C4A99" w:rsidRDefault="002C4A99" w:rsidP="002C4A99">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ab/>
      </w:r>
      <w:r>
        <w:rPr>
          <w:rFonts w:hint="cs"/>
          <w:rtl/>
        </w:rPr>
        <w:tab/>
        <w:t>موزامبيق</w:t>
      </w:r>
    </w:p>
    <w:p w:rsidR="002C4A99" w:rsidRPr="00AF5C78" w:rsidRDefault="002C4A99" w:rsidP="002C4A99">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jc w:val="lowKashida"/>
        <w:rPr>
          <w:rFonts w:hint="cs"/>
          <w:sz w:val="12"/>
          <w:rtl/>
        </w:rPr>
      </w:pPr>
    </w:p>
    <w:p w:rsidR="002C4A99" w:rsidRPr="00AF5C78" w:rsidRDefault="002C4A99" w:rsidP="002C4A99">
      <w:pPr>
        <w:pStyle w:val="H4"/>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AF5C78">
        <w:rPr>
          <w:rFonts w:hint="cs"/>
          <w:rtl/>
        </w:rPr>
        <w:tab/>
      </w:r>
      <w:r w:rsidRPr="00AF5C78">
        <w:rPr>
          <w:rFonts w:hint="cs"/>
          <w:rtl/>
        </w:rPr>
        <w:tab/>
        <w:t>التعليم</w:t>
      </w:r>
    </w:p>
    <w:p w:rsidR="002C4A99" w:rsidRDefault="002C4A99" w:rsidP="002C4A99">
      <w:pPr>
        <w:pStyle w:val="SingleTxt"/>
        <w:rPr>
          <w:rFonts w:hint="cs"/>
          <w:rtl/>
        </w:rPr>
      </w:pPr>
      <w:r>
        <w:rPr>
          <w:rFonts w:hint="cs"/>
          <w:rtl/>
        </w:rPr>
        <w:tab/>
        <w:t>ليست موزامبيق طرفا في اتفاقية اليونسكو لمناهضة التمييز في التعليم ولم تقدم تقريرا إلى اليونسكو بمناسبة المشاورة السادسة بشأن تنفيذ التوصية المتعلقة بمناهضة التمييز في التعليم. وتتوقع اليونسكو الآن أن تتلقى تقريرا جيدا شاملا للمشاورة السابعة. وتشجع اليونسكو موزامبي</w:t>
      </w:r>
      <w:r>
        <w:rPr>
          <w:rFonts w:hint="eastAsia"/>
          <w:rtl/>
        </w:rPr>
        <w:t>ق</w:t>
      </w:r>
      <w:r>
        <w:rPr>
          <w:rFonts w:hint="cs"/>
          <w:rtl/>
        </w:rPr>
        <w:t xml:space="preserve"> على التصديق على اتفاقية التعليم التقني والمهني.</w:t>
      </w:r>
    </w:p>
    <w:p w:rsidR="002C4A99" w:rsidRDefault="002C4A99" w:rsidP="002C4A99">
      <w:pPr>
        <w:pStyle w:val="SingleTxt"/>
        <w:rPr>
          <w:rFonts w:hint="cs"/>
          <w:rtl/>
        </w:rPr>
      </w:pPr>
      <w:r>
        <w:rPr>
          <w:rFonts w:hint="cs"/>
          <w:rtl/>
        </w:rPr>
        <w:tab/>
        <w:t>وينص دستور 1990 على أن التعليم حق وواجب لجميع المواطنين ويشجع الدولة على توسيع التعليم ليشمل التدريب الفني والتدريب المهني المستمر، كما ينص على المساواة بين جميع المواطنين في فرص التمتع بهذا الحق (المادة 88). وتعمل موزامبيق على تطبيق استراتيجية تعليمية تهدف إلى تحقيق الوحدة الوطنية والقضاء على الأمية وامتلاك العلوم والتكنولوجيا وبث القيم الأخلاقية والوطنية بين المواطنين ( المادة 113).</w:t>
      </w:r>
    </w:p>
    <w:p w:rsidR="002C4A99" w:rsidRDefault="002C4A99" w:rsidP="002C4A99">
      <w:pPr>
        <w:pStyle w:val="SingleTxt"/>
        <w:rPr>
          <w:rFonts w:hint="cs"/>
          <w:rtl/>
        </w:rPr>
      </w:pPr>
      <w:r>
        <w:rPr>
          <w:rFonts w:hint="cs"/>
          <w:rtl/>
        </w:rPr>
        <w:tab/>
        <w:t>وشاركت اليونسكو في الاجتماع</w:t>
      </w:r>
      <w:r>
        <w:rPr>
          <w:rFonts w:hint="eastAsia"/>
          <w:rtl/>
        </w:rPr>
        <w:t xml:space="preserve"> الثاني للمرأة الأفريقية وال</w:t>
      </w:r>
      <w:r>
        <w:rPr>
          <w:rFonts w:hint="cs"/>
          <w:rtl/>
        </w:rPr>
        <w:t>إ</w:t>
      </w:r>
      <w:r>
        <w:rPr>
          <w:rFonts w:hint="eastAsia"/>
          <w:rtl/>
        </w:rPr>
        <w:t>سبانية</w:t>
      </w:r>
      <w:r>
        <w:rPr>
          <w:rFonts w:hint="cs"/>
          <w:rtl/>
        </w:rPr>
        <w:t xml:space="preserve"> الذي نظمته حكومتا إسبانيا وموزامبيق بمناسبة احتفالات يوم المرأة الدولي في 7 و 8 آذار/مارس 2007 في مدريد. وكان هدف الاجتماع هو إتاحة فرص التعاون في مجالات مثل التعليم والصحة والحوار بين الثقافات.</w:t>
      </w:r>
    </w:p>
    <w:p w:rsidR="002C4A99" w:rsidRDefault="002C4A99" w:rsidP="002C4A99">
      <w:pPr>
        <w:pStyle w:val="SingleTxt"/>
        <w:rPr>
          <w:rFonts w:hint="cs"/>
          <w:rtl/>
        </w:rPr>
      </w:pPr>
      <w:r>
        <w:rPr>
          <w:rFonts w:hint="cs"/>
          <w:rtl/>
        </w:rPr>
        <w:tab/>
        <w:t>وقامت إدارة أفريقيا في اليونسكو بعدة أنشطة في موزامبيق لتعزيز تمكين المرأة والمساواة بين الجنسين، ومن هذه الأنشطة مثلا تعزيز قدرات المرأة في المناطق الريفية من خلال محو الأمية والتعليم غير الرسمي؛ وتعزيز التعليم التقني والمهني بين الفتيات؛ والتدريب على الحرف وتطوير الأنشطة المتصلة بالتثقيف للوقاية من فيروس نقص المناعة البشرية/الإيدز.</w:t>
      </w:r>
    </w:p>
    <w:p w:rsidR="002C4A99" w:rsidRPr="00254111" w:rsidRDefault="002C4A99" w:rsidP="002C4A9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2C4A99" w:rsidRPr="00254111"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254111">
        <w:rPr>
          <w:rFonts w:hint="cs"/>
          <w:rtl/>
        </w:rPr>
        <w:tab/>
      </w:r>
      <w:r w:rsidRPr="00254111">
        <w:rPr>
          <w:rFonts w:hint="cs"/>
          <w:rtl/>
        </w:rPr>
        <w:tab/>
        <w:t xml:space="preserve">برنامج المشاركة </w:t>
      </w:r>
    </w:p>
    <w:p w:rsidR="002C4A99" w:rsidRDefault="002C4A99" w:rsidP="002C4A99">
      <w:pPr>
        <w:pStyle w:val="SingleTxt"/>
        <w:rPr>
          <w:rFonts w:hint="eastAsia"/>
          <w:rtl/>
        </w:rPr>
      </w:pPr>
      <w:r>
        <w:rPr>
          <w:rFonts w:hint="cs"/>
          <w:rtl/>
        </w:rPr>
        <w:tab/>
        <w:t xml:space="preserve">في إطار برنامج المشاركة خصصت اليونسكو 20 ألف دولار لمشروع عن </w:t>
      </w:r>
      <w:r>
        <w:rPr>
          <w:rFonts w:hint="eastAsia"/>
          <w:rtl/>
        </w:rPr>
        <w:t>”تمكين المرأة في المناطق الريفية في موز</w:t>
      </w:r>
      <w:r>
        <w:rPr>
          <w:rFonts w:hint="cs"/>
          <w:rtl/>
        </w:rPr>
        <w:t>ا</w:t>
      </w:r>
      <w:r>
        <w:rPr>
          <w:rFonts w:hint="eastAsia"/>
          <w:rtl/>
        </w:rPr>
        <w:t>مبيق</w:t>
      </w:r>
      <w:r>
        <w:rPr>
          <w:rFonts w:hint="cs"/>
          <w:rtl/>
        </w:rPr>
        <w:t xml:space="preserve">“ من خلال تشجيع الأنشطة الموجهة إلى نحو الأمية والتعليم غير الرسمي. وبالإضافة إلى ذلك تم تمويل مشروع </w:t>
      </w:r>
      <w:r>
        <w:rPr>
          <w:rFonts w:hint="eastAsia"/>
          <w:rtl/>
        </w:rPr>
        <w:t>”التدريب المهني وفرص العمل الحر للمرأة والشباب خارج المدرسة في موزامبي</w:t>
      </w:r>
      <w:r>
        <w:rPr>
          <w:rFonts w:hint="cs"/>
          <w:rtl/>
        </w:rPr>
        <w:t>ق</w:t>
      </w:r>
      <w:r>
        <w:rPr>
          <w:rFonts w:hint="eastAsia"/>
          <w:rtl/>
        </w:rPr>
        <w:t>“ من صن</w:t>
      </w:r>
      <w:r>
        <w:rPr>
          <w:rFonts w:hint="cs"/>
          <w:rtl/>
        </w:rPr>
        <w:t>ا</w:t>
      </w:r>
      <w:r>
        <w:rPr>
          <w:rFonts w:hint="eastAsia"/>
          <w:rtl/>
        </w:rPr>
        <w:t>د</w:t>
      </w:r>
      <w:r>
        <w:rPr>
          <w:rFonts w:hint="cs"/>
          <w:rtl/>
        </w:rPr>
        <w:t>ي</w:t>
      </w:r>
      <w:r>
        <w:rPr>
          <w:rFonts w:hint="eastAsia"/>
          <w:rtl/>
        </w:rPr>
        <w:t>ق استئماني</w:t>
      </w:r>
      <w:r>
        <w:rPr>
          <w:rFonts w:hint="cs"/>
          <w:rtl/>
        </w:rPr>
        <w:t>ة</w:t>
      </w:r>
      <w:r>
        <w:rPr>
          <w:rFonts w:hint="eastAsia"/>
          <w:rtl/>
        </w:rPr>
        <w:t xml:space="preserve"> برتغالي</w:t>
      </w:r>
      <w:r>
        <w:rPr>
          <w:rFonts w:hint="cs"/>
          <w:rtl/>
        </w:rPr>
        <w:t>ة</w:t>
      </w:r>
      <w:r>
        <w:rPr>
          <w:rFonts w:hint="eastAsia"/>
          <w:rtl/>
        </w:rPr>
        <w:t xml:space="preserve"> بمبلغ مجموعه 150 175 دولارا.</w:t>
      </w:r>
    </w:p>
    <w:p w:rsidR="002C4A99" w:rsidRDefault="002C4A99" w:rsidP="002C4A99">
      <w:pPr>
        <w:pStyle w:val="SingleTxt"/>
        <w:rPr>
          <w:rFonts w:hint="eastAsia"/>
          <w:rtl/>
        </w:rPr>
      </w:pPr>
      <w:r>
        <w:rPr>
          <w:rFonts w:hint="cs"/>
          <w:rtl/>
        </w:rPr>
        <w:tab/>
        <w:t xml:space="preserve">وبناء على طلب من وزارة التعليم في موزامبيق أرسلت بعثة تقنية مشتركة بين المناطق إلى موزامبيق لمساعدة الوزارة في </w:t>
      </w:r>
      <w:r>
        <w:rPr>
          <w:rFonts w:hint="eastAsia"/>
          <w:rtl/>
        </w:rPr>
        <w:t>ت</w:t>
      </w:r>
      <w:r>
        <w:rPr>
          <w:rFonts w:hint="cs"/>
          <w:rtl/>
        </w:rPr>
        <w:t>فعيل وتعجيل</w:t>
      </w:r>
      <w:r>
        <w:rPr>
          <w:rFonts w:hint="eastAsia"/>
          <w:rtl/>
        </w:rPr>
        <w:t xml:space="preserve"> تنفيذ الاستراتيجية الوطنية للمساواة بين الجنسين في قطاع التعليم، ولتقديم المشورة إلى مكتب اليونسكو الميداني في مابوتو عن طريقة دعم الوزارة في هذه العملية.</w:t>
      </w:r>
    </w:p>
    <w:p w:rsidR="002C4A99" w:rsidRPr="00674F43" w:rsidRDefault="002C4A99" w:rsidP="002C4A9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2C4A99" w:rsidRPr="00254111"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254111">
        <w:rPr>
          <w:rFonts w:hint="cs"/>
          <w:rtl/>
        </w:rPr>
        <w:tab/>
      </w:r>
      <w:r w:rsidRPr="00254111">
        <w:rPr>
          <w:rFonts w:hint="cs"/>
          <w:rtl/>
        </w:rPr>
        <w:tab/>
        <w:t>الزمالات</w:t>
      </w:r>
    </w:p>
    <w:p w:rsidR="002C4A99" w:rsidRDefault="002C4A99" w:rsidP="002C4A99">
      <w:pPr>
        <w:pStyle w:val="SingleTxt"/>
        <w:rPr>
          <w:rFonts w:hint="cs"/>
          <w:rtl/>
        </w:rPr>
      </w:pPr>
      <w:r>
        <w:rPr>
          <w:rFonts w:hint="cs"/>
          <w:rtl/>
        </w:rPr>
        <w:tab/>
        <w:t>قدمت زمالة واحدة بموجب البرنامج العادي لليونسكو لدعم مجالات برنامجية ذات أولوية في ميدان الدراسات الإنمائية لمدة 6 أشهر في معهد التنمية الاجتماعية بجامعة كيب الغربية في مدينة كيب تاون/جنوب أفريقيا (10 آلا</w:t>
      </w:r>
      <w:r>
        <w:rPr>
          <w:rFonts w:hint="eastAsia"/>
          <w:rtl/>
        </w:rPr>
        <w:t>ف</w:t>
      </w:r>
      <w:r>
        <w:rPr>
          <w:rFonts w:hint="cs"/>
          <w:rtl/>
        </w:rPr>
        <w:t xml:space="preserve"> دولار) إلى إحدى العالمات.</w:t>
      </w:r>
    </w:p>
    <w:p w:rsidR="002C4A99" w:rsidRDefault="002C4A99" w:rsidP="002C4A9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النيجر</w:t>
      </w:r>
    </w:p>
    <w:p w:rsidR="002C4A99" w:rsidRPr="00254111"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254111">
        <w:rPr>
          <w:rFonts w:hint="cs"/>
          <w:rtl/>
        </w:rPr>
        <w:tab/>
      </w:r>
      <w:r w:rsidRPr="00254111">
        <w:rPr>
          <w:rFonts w:hint="cs"/>
          <w:rtl/>
        </w:rPr>
        <w:tab/>
        <w:t>التعليم</w:t>
      </w:r>
    </w:p>
    <w:p w:rsidR="002C4A99" w:rsidRDefault="002C4A99" w:rsidP="002C4A99">
      <w:pPr>
        <w:pStyle w:val="SingleTxt"/>
        <w:rPr>
          <w:rFonts w:hint="cs"/>
          <w:rtl/>
        </w:rPr>
      </w:pPr>
      <w:r>
        <w:rPr>
          <w:rFonts w:hint="cs"/>
          <w:rtl/>
        </w:rPr>
        <w:tab/>
        <w:t>ظلت النيجر طرفا في اتفاقية اليونسكو لمناهضة التمييز في التعليم منذ عام 1968 ولكنها لم تقدم أي تقرير إلى اليونسكو بمناسبة الاستشارة السادسة بشأن تنفيذ الاتفاقية والتوصية المتعلقتين بمناهضة التمييز في التعليم. وتلقت اليونسكو تقرير الدولة لأغراض الاستشارة السابعة. وقد صدقت النيجر على اتفاقية التعليم التقني والمهني في عام 1992.</w:t>
      </w:r>
    </w:p>
    <w:p w:rsidR="002C4A99" w:rsidRDefault="002C4A99" w:rsidP="002C4A99">
      <w:pPr>
        <w:pStyle w:val="SingleTxt"/>
        <w:rPr>
          <w:rFonts w:hint="cs"/>
          <w:rtl/>
        </w:rPr>
      </w:pPr>
      <w:r>
        <w:rPr>
          <w:rFonts w:hint="cs"/>
          <w:rtl/>
        </w:rPr>
        <w:tab/>
        <w:t xml:space="preserve">وينص دستور النيجر لعام 1999 على أن لكل شخص الحق في الحياة والصحة والأمن والرفاه الجسماني والتعليم والتثقيف وفقا للشروط المحددة في القانون (المادة 11). ويعود للآباء حق وواجب تربية وتعليم أطفالهم. وتضمن الدولة المساواة في الفرص للأشخاص المعوقين من ناحية تقدمهم وإعادة إدماجهم في المجتمع (المادة 19). وتعمل اليونسكو عن كثب مع وزارة التعليم الأساسي وغير الرسمي في النيجر في إطار مشروع باسم </w:t>
      </w:r>
      <w:r>
        <w:rPr>
          <w:rFonts w:hint="eastAsia"/>
          <w:rtl/>
        </w:rPr>
        <w:t xml:space="preserve">”مكافحة الفقر: بناء قدرات الفتيات </w:t>
      </w:r>
      <w:r>
        <w:rPr>
          <w:rFonts w:hint="cs"/>
          <w:rtl/>
        </w:rPr>
        <w:t>والنساء في المناطق الريفية</w:t>
      </w:r>
      <w:r>
        <w:rPr>
          <w:rFonts w:hint="eastAsia"/>
          <w:rtl/>
        </w:rPr>
        <w:t>“ بتمويل من متبرعين خارجيين</w:t>
      </w:r>
      <w:r>
        <w:rPr>
          <w:rFonts w:hint="cs"/>
          <w:rtl/>
        </w:rPr>
        <w:t>. والهدف العام لهذا المشروع الذي يجري بتنسيق من وزارة التعليم الأساسي وغير الرسمي هو مكافحة الفقر من خلال التعليم وتعزيز حقوق الإنسان. ويهدف إلى تعزيز قدرات الفتيات والنساء وخاصة من خلال تحسين التعليم المدرسي للفتيات ومكافحة الأمية بين النساء وتدريب الفتيات وتمكين المرأة من خلال تنفيذ أنشطة لتوليد الدخل والتوعية بحقوق الإنسان. وسيستفيد أكثر من 500 2 شخص معظمهم من الفتيات والنساء من هذا المشروع الذي يجري إطلاقه في 6 قرى جنوب العاصمة نيامي. وتفتقر هذه المنطقة الريفية إلى البنية التحتية وإلى المدرسين المؤهلين وإلى آليات الدعم لأنشطة توليد الدخل، والآليات التي يمكن أن تساعد الأسر في مكافحة الفقر.</w:t>
      </w:r>
    </w:p>
    <w:p w:rsidR="002C4A99" w:rsidRDefault="002C4A99" w:rsidP="002C4A99">
      <w:pPr>
        <w:pStyle w:val="SingleTxt"/>
        <w:rPr>
          <w:rFonts w:hint="cs"/>
          <w:rtl/>
        </w:rPr>
      </w:pPr>
      <w:r>
        <w:rPr>
          <w:rFonts w:hint="cs"/>
          <w:rtl/>
        </w:rPr>
        <w:tab/>
        <w:t>وتشمل الأنشطة المحددة ما يلي:</w:t>
      </w: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tl/>
        </w:rPr>
        <w:tab/>
      </w:r>
      <w:r>
        <w:rPr>
          <w:rFonts w:hint="cs"/>
          <w:rtl/>
        </w:rPr>
        <w:t>زيادة فرص الالتحاق بالمدارس الابتدائية: الهدف هو إحداث زيادة كبيرة في عدد البنات والأولاد الملتحقين بالمدارس وتزويد هؤلاء الأطفال ببيئة ملائمة للتعلم وبالتالي تحقيق مساهمة كبيرة وملموسة للغاية في مبادرة التعليم للجميع. وسيتمتع حوالي 400 طفل بفرص أكبر للاستفادة من التعليم الابتدائي.</w:t>
      </w: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tl/>
        </w:rPr>
        <w:tab/>
      </w:r>
      <w:r>
        <w:rPr>
          <w:rFonts w:hint="cs"/>
          <w:rtl/>
        </w:rPr>
        <w:t>•</w:t>
      </w:r>
      <w:r>
        <w:rPr>
          <w:rFonts w:hint="cs"/>
          <w:rtl/>
        </w:rPr>
        <w:tab/>
        <w:t>التأكد من حصول جميع البالغين، وخاصة من النساء، على فرص حضور فصول جيدة لمحو الأمية الوظيفية: وسيستفيد قرابة أكثر من 000 1 امرأة من 6 قرى من فصول محو الأمية التي ستبدأ في منتصف 2007. وستنفذ برامج محو الأمية بالتوازي مع أنشطة الشركاء الأخرى مثل أنشطة ما بعد محو الأمية والتمويل الصغير والتوعية بحقوق الإنسان والرعاية الصحية الخ.</w:t>
      </w: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tl/>
        </w:rPr>
        <w:tab/>
      </w:r>
      <w:r>
        <w:rPr>
          <w:rFonts w:hint="cs"/>
          <w:rtl/>
        </w:rPr>
        <w:t>•</w:t>
      </w:r>
      <w:r>
        <w:rPr>
          <w:rFonts w:hint="cs"/>
          <w:rtl/>
        </w:rPr>
        <w:tab/>
        <w:t xml:space="preserve">ضمان نوعية جيدة من التعليم والتوعية بحقوق الإنسان: يجب كفالة نوعية جيدة من التعليم من خلال تحسين بيئة التعلم والعمل على أن يكون التعلم هاما ومراعيا لظروف معيشة المتعلمين، والاستفادة من الوسائل الحديثة التي تكفل عدم الاستبعاد ومساعدة من يحتاج إلى المساعدة. ويجب تحقيق ذلك من خلال جهد متواصل ومستدام يشمل كلا الشركاء المنفذين ووزارة التعليم الأساسي ومحو الأمية على تدريب المدرسين لإجادة موضوعات الدراسة </w:t>
      </w:r>
      <w:r>
        <w:rPr>
          <w:rFonts w:hint="eastAsia"/>
          <w:rtl/>
        </w:rPr>
        <w:t>”العادية</w:t>
      </w:r>
      <w:r>
        <w:rPr>
          <w:rFonts w:hint="cs"/>
          <w:rtl/>
        </w:rPr>
        <w:t>“ وكذلك مختلف القضايا مثل حقوق الإنسان والمسائل الجنسانية والمهارات الحياتية والصحة والوقاية من فيروس نقص المناعة البشرية والإيدز.</w:t>
      </w: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tl/>
        </w:rPr>
        <w:tab/>
      </w:r>
      <w:r>
        <w:rPr>
          <w:rFonts w:hint="cs"/>
          <w:rtl/>
        </w:rPr>
        <w:t>•</w:t>
      </w:r>
      <w:r>
        <w:rPr>
          <w:rFonts w:hint="cs"/>
          <w:rtl/>
        </w:rPr>
        <w:tab/>
        <w:t>تعليم حقوق الإنسان لمكافحة الفقر بين النساء.</w:t>
      </w: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tl/>
        </w:rPr>
        <w:tab/>
      </w:r>
      <w:r>
        <w:rPr>
          <w:rFonts w:hint="cs"/>
          <w:rtl/>
        </w:rPr>
        <w:t>•</w:t>
      </w:r>
      <w:r>
        <w:rPr>
          <w:rFonts w:hint="cs"/>
          <w:rtl/>
        </w:rPr>
        <w:tab/>
        <w:t>ازدواج لغة التدريس في النيجر: دعم تعليم البنات في النيجر.</w:t>
      </w:r>
    </w:p>
    <w:p w:rsidR="002C4A99" w:rsidRPr="00505176" w:rsidRDefault="002C4A99" w:rsidP="002C4A9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2C4A99" w:rsidRPr="00505176"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505176">
        <w:rPr>
          <w:rFonts w:hint="cs"/>
          <w:rtl/>
        </w:rPr>
        <w:tab/>
      </w:r>
      <w:r w:rsidRPr="00505176">
        <w:rPr>
          <w:rFonts w:hint="cs"/>
          <w:rtl/>
        </w:rPr>
        <w:tab/>
        <w:t>الزمالات</w:t>
      </w:r>
    </w:p>
    <w:p w:rsidR="002C4A99" w:rsidRDefault="002C4A99" w:rsidP="002C4A99">
      <w:pPr>
        <w:pStyle w:val="SingleTxt"/>
        <w:rPr>
          <w:rFonts w:hint="cs"/>
          <w:rtl/>
        </w:rPr>
      </w:pPr>
      <w:r>
        <w:rPr>
          <w:rFonts w:hint="cs"/>
          <w:rtl/>
        </w:rPr>
        <w:tab/>
        <w:t>قدمت زمالة واحدة إلى إحدى العالمات بموجب البرنامج العادي لليونسكو دعما لأحد المجالات البرنامجية ذات الأولوية في ميدان التعليم غير الرسمي لمدة 6 أشهر في جامعة لوميه في عاصمة توغو (300 11 دولار).</w:t>
      </w:r>
    </w:p>
    <w:p w:rsidR="002C4A99" w:rsidRPr="00674F43" w:rsidRDefault="002C4A99" w:rsidP="002C4A9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2C4A99" w:rsidRDefault="002C4A99" w:rsidP="002C4A9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باكستان</w:t>
      </w:r>
    </w:p>
    <w:p w:rsidR="002C4A99" w:rsidRPr="00505176"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2C4A99" w:rsidRPr="00505176"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505176">
        <w:rPr>
          <w:rFonts w:hint="cs"/>
          <w:rtl/>
        </w:rPr>
        <w:tab/>
      </w:r>
      <w:r w:rsidRPr="00505176">
        <w:rPr>
          <w:rFonts w:hint="cs"/>
          <w:rtl/>
        </w:rPr>
        <w:tab/>
        <w:t>التعليم</w:t>
      </w:r>
    </w:p>
    <w:p w:rsidR="002C4A99" w:rsidRDefault="002C4A99" w:rsidP="002C4A99">
      <w:pPr>
        <w:pStyle w:val="SingleTxt"/>
        <w:rPr>
          <w:rFonts w:hint="cs"/>
          <w:rtl/>
        </w:rPr>
      </w:pPr>
      <w:r>
        <w:rPr>
          <w:rFonts w:hint="cs"/>
          <w:rtl/>
        </w:rPr>
        <w:tab/>
        <w:t>باكستان ليست طرفا في اتفاقية اليونسكو لمناهضة التمييز في التعليم ولكنها قدمت تقريرا إلى اليونسكو بمناسبة الاستشارة السادسة بشأن تنفيذ الاتفاقية المتعلقة بمناهضة التمييز في عام 1998. وتأمل اليونسكو الآن في أن تتلقى تقريرا جيدا شاملا للاستشارة السابعة. كما تشجع باكستان على التصديق على اتفاقية التعليم التقني والمهني.</w:t>
      </w:r>
    </w:p>
    <w:p w:rsidR="002C4A99" w:rsidRDefault="002C4A99" w:rsidP="002C4A99">
      <w:pPr>
        <w:pStyle w:val="SingleTxt"/>
        <w:rPr>
          <w:rFonts w:hint="eastAsia"/>
          <w:rtl/>
        </w:rPr>
      </w:pPr>
      <w:r>
        <w:rPr>
          <w:rFonts w:hint="cs"/>
          <w:rtl/>
        </w:rPr>
        <w:tab/>
        <w:t xml:space="preserve">ويكفل الدستور (1973) المساواة والرفاهية لجميع المواطنين، كما يكفل عدم التمييز على أساس الجنس أو الطبقة الاجتماعية أو المعتقد أو العرق. وتشير المادة 37 إلى أن </w:t>
      </w:r>
      <w:r>
        <w:rPr>
          <w:rFonts w:hint="eastAsia"/>
          <w:rtl/>
        </w:rPr>
        <w:t xml:space="preserve">”الدولة: (أ) تعزز باهتمام خاص </w:t>
      </w:r>
      <w:r>
        <w:rPr>
          <w:rFonts w:hint="cs"/>
          <w:rtl/>
        </w:rPr>
        <w:t>المصالح التعليمية والاقتصادية للطبقات أو المناطق المتخلفة؛ (ب) تقضي على الأمية وتوفر التعليم المجاني في أقل فترة ممكنة؛ (ج) تتيح التعليم التقني والمهني بصورة عامة، كما تتيح التعليم العالي بنفس القدر للجميع على أساس الجدارة</w:t>
      </w:r>
      <w:r>
        <w:rPr>
          <w:rFonts w:hint="eastAsia"/>
          <w:rtl/>
        </w:rPr>
        <w:t>“.</w:t>
      </w:r>
    </w:p>
    <w:p w:rsidR="002C4A99" w:rsidRDefault="002C4A99" w:rsidP="002C4A99">
      <w:pPr>
        <w:pStyle w:val="SingleTxt"/>
        <w:rPr>
          <w:rFonts w:hint="cs"/>
          <w:rtl/>
        </w:rPr>
      </w:pPr>
      <w:r>
        <w:rPr>
          <w:rFonts w:hint="cs"/>
          <w:rtl/>
        </w:rPr>
        <w:tab/>
        <w:t>ومن خلال مائدة مستديرة للخبراء بشأن قضايا السياسة العامة في السياق الجنساني تحقق دعم لعملية استعراض السياسة التعليمية الوطنية في باكستان. وبالإضافة إلى ذلك، عززت اليونسكو أنشطة الدعوة لصالح مركز ودور المدرسات في باكستان في إطار أنشطة أسبوع التعليم للجميع.</w:t>
      </w:r>
    </w:p>
    <w:p w:rsidR="002C4A99" w:rsidRPr="00505176"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2C4A99" w:rsidRPr="00505176"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505176">
        <w:rPr>
          <w:rFonts w:hint="cs"/>
          <w:rtl/>
        </w:rPr>
        <w:tab/>
      </w:r>
      <w:r w:rsidRPr="00505176">
        <w:rPr>
          <w:rFonts w:hint="cs"/>
          <w:rtl/>
        </w:rPr>
        <w:tab/>
        <w:t>العلم</w:t>
      </w:r>
    </w:p>
    <w:p w:rsidR="002C4A99" w:rsidRDefault="002C4A99" w:rsidP="002C4A99">
      <w:pPr>
        <w:pStyle w:val="SingleTxt"/>
        <w:rPr>
          <w:rFonts w:hint="cs"/>
          <w:rtl/>
        </w:rPr>
      </w:pPr>
      <w:r>
        <w:rPr>
          <w:rFonts w:hint="cs"/>
          <w:rtl/>
        </w:rPr>
        <w:tab/>
        <w:t xml:space="preserve">في إطار مشروع </w:t>
      </w:r>
      <w:r>
        <w:rPr>
          <w:rFonts w:hint="eastAsia"/>
          <w:rtl/>
        </w:rPr>
        <w:t>”من أجل كسر حلقة الفقر حول المرأة</w:t>
      </w:r>
      <w:r>
        <w:rPr>
          <w:rFonts w:hint="cs"/>
          <w:rtl/>
        </w:rPr>
        <w:t xml:space="preserve">“، نظمت اليونسكو ثلاثة اجتماعات في إسلام أباد بعنوان </w:t>
      </w:r>
      <w:r>
        <w:rPr>
          <w:rFonts w:hint="eastAsia"/>
          <w:rtl/>
        </w:rPr>
        <w:t xml:space="preserve">”التوعية </w:t>
      </w:r>
      <w:r>
        <w:rPr>
          <w:rFonts w:hint="cs"/>
          <w:rtl/>
        </w:rPr>
        <w:t>بالعلم“. وكان هدف هذه الاجتماعات هو زيادة الوعي بين العلماء والحكومات بطريقة استعمال العلم والتكنولوجيا لمكافحة الفقر والاستبعاد ولاحترام حقوق الإنسان. ونتيجة لهذا الاجتماع، وُضعت عدة برامج لمكافحة الأمية العلمية بين بنات الفئات المحرومة ومجتمعاتهم.</w:t>
      </w:r>
    </w:p>
    <w:p w:rsidR="002C4A99" w:rsidRPr="00505176" w:rsidRDefault="002C4A99" w:rsidP="002C4A99">
      <w:pPr>
        <w:pStyle w:val="SingleTxt"/>
        <w:spacing w:after="0" w:line="120" w:lineRule="exact"/>
        <w:rPr>
          <w:rFonts w:hint="cs"/>
          <w:sz w:val="12"/>
          <w:rtl/>
        </w:rPr>
      </w:pPr>
    </w:p>
    <w:p w:rsidR="002C4A99" w:rsidRPr="00505176"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505176">
        <w:rPr>
          <w:rFonts w:hint="cs"/>
          <w:rtl/>
        </w:rPr>
        <w:tab/>
      </w:r>
      <w:r w:rsidRPr="00505176">
        <w:rPr>
          <w:rFonts w:hint="cs"/>
          <w:rtl/>
        </w:rPr>
        <w:tab/>
        <w:t>الزمالات</w:t>
      </w: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مُنحت زمالة واحدة مشتركة التمويل (اليونسكو/لوريال) في ميدان علوم الحياة لمدة ستة أشهر من جامعة ساوث هامبتون في ساوث هامبتون بالمملكة المتحدة لبريطانيا العظمى وأيرلندا الشمالية (بمبلغ 548 20 دولارا) لامرأة واحدة من العلماء.</w:t>
      </w: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ومُنحت إحدى الباحثات زمالة بحثية واحدة مشتركة التمويل بين اليونسكو وكيزوأوبوشي (اليابان) في ميدان الحل السلمي للنزاعات لمدة ثلاثة أشهر في مركز هيري ل. ستيمسون في واشنطن العاصمة</w:t>
      </w:r>
      <w:r>
        <w:rPr>
          <w:rtl/>
        </w:rPr>
        <w:t xml:space="preserve"> </w:t>
      </w:r>
      <w:r>
        <w:rPr>
          <w:rFonts w:hint="cs"/>
          <w:rtl/>
        </w:rPr>
        <w:t>(500 7 دولار).</w:t>
      </w: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ومُنحت باحثة زمالة اليونسكو/سوزان مبارك/الصداقة اليابانية - المصرية في موضوع تمكين المرأة في ميدان المرأة وثقافة السلم والتنمية لمدة أربعة أشهر في مكتبة الاسكندرية بمصر (500 7 دولار).</w:t>
      </w: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ومُنحت إحدى العالمات زمالة واحدة من البرنامج العام في اليونسكو لدعم أحد المجالات البرنامجية ذات الأولوية في ميدان دراسات سياسة العلم والتكنولوجيا لمدة ثلاثة أشهر في جامعة ساسيكس في برايتون بالمملكة المتحدة (000 15 دولار).</w:t>
      </w: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p>
    <w:p w:rsidR="002C4A99" w:rsidRPr="00505176" w:rsidRDefault="002C4A99" w:rsidP="002C4A99">
      <w:pPr>
        <w:pStyle w:val="SingleTxt"/>
        <w:spacing w:after="0" w:line="120" w:lineRule="exact"/>
        <w:rPr>
          <w:rFonts w:hint="cs"/>
          <w:sz w:val="12"/>
          <w:rtl/>
        </w:rPr>
      </w:pPr>
    </w:p>
    <w:p w:rsidR="002C4A99" w:rsidRDefault="002C4A99" w:rsidP="002C4A9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صربيا</w:t>
      </w:r>
    </w:p>
    <w:p w:rsidR="002C4A99" w:rsidRPr="00505176" w:rsidRDefault="002C4A99" w:rsidP="002C4A99">
      <w:pPr>
        <w:pStyle w:val="SingleTxt"/>
        <w:spacing w:after="0" w:line="120" w:lineRule="exact"/>
        <w:rPr>
          <w:rFonts w:hint="cs"/>
          <w:sz w:val="12"/>
          <w:rtl/>
        </w:rPr>
      </w:pPr>
    </w:p>
    <w:p w:rsidR="002C4A99" w:rsidRPr="00505176"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505176">
        <w:rPr>
          <w:rFonts w:hint="cs"/>
          <w:rtl/>
        </w:rPr>
        <w:tab/>
      </w:r>
      <w:r w:rsidRPr="00505176">
        <w:rPr>
          <w:rFonts w:hint="cs"/>
          <w:rtl/>
        </w:rPr>
        <w:tab/>
        <w:t>التعليم</w:t>
      </w:r>
    </w:p>
    <w:p w:rsidR="002C4A99" w:rsidRDefault="002C4A99" w:rsidP="002C4A99">
      <w:pPr>
        <w:pStyle w:val="SingleTxt"/>
        <w:rPr>
          <w:rFonts w:hint="cs"/>
          <w:rtl/>
        </w:rPr>
      </w:pPr>
      <w:r>
        <w:rPr>
          <w:rFonts w:hint="cs"/>
          <w:rtl/>
        </w:rPr>
        <w:tab/>
        <w:t xml:space="preserve">صربيا طرف في اتفاقية اليونسكو لمناهضة التمييز في التعليم منذ </w:t>
      </w:r>
      <w:r>
        <w:rPr>
          <w:rFonts w:hint="eastAsia"/>
          <w:rtl/>
        </w:rPr>
        <w:t>أيلول</w:t>
      </w:r>
      <w:r>
        <w:rPr>
          <w:rtl/>
        </w:rPr>
        <w:t xml:space="preserve">/سبتمبر </w:t>
      </w:r>
      <w:r>
        <w:rPr>
          <w:rFonts w:hint="cs"/>
          <w:rtl/>
        </w:rPr>
        <w:t>2001. وتتوقع اليونسكو أن تتلقى تقريرا جيدا شاملا بمناسبة الاستشارة السابعة.</w:t>
      </w:r>
    </w:p>
    <w:p w:rsidR="002C4A99" w:rsidRDefault="002C4A99" w:rsidP="002C4A99">
      <w:pPr>
        <w:pStyle w:val="SingleTxt"/>
        <w:rPr>
          <w:rFonts w:hint="cs"/>
          <w:rtl/>
        </w:rPr>
      </w:pPr>
      <w:r>
        <w:rPr>
          <w:rFonts w:hint="cs"/>
          <w:rtl/>
        </w:rPr>
        <w:tab/>
        <w:t>وتشجع اليونسكو صربيا على التصديق على اتفاقية التعليم التقني والمهني.</w:t>
      </w:r>
    </w:p>
    <w:p w:rsidR="002C4A99" w:rsidRDefault="002C4A99" w:rsidP="002C4A99">
      <w:pPr>
        <w:pStyle w:val="SingleTxt"/>
        <w:rPr>
          <w:rFonts w:hint="cs"/>
          <w:rtl/>
        </w:rPr>
      </w:pPr>
      <w:r>
        <w:rPr>
          <w:rFonts w:hint="cs"/>
          <w:rtl/>
        </w:rPr>
        <w:tab/>
        <w:t>والمادة 71 من دستور عام 2003 مكرسة للحق في التعليم وتتضمن مبدأ حق كل شخص في التعليم. وتنص أحكام المادة على أن التعليم الأولي إلزامي ومجاني وعلى أن التعليم الثانوي مجاني. ويستطيع جميع المواطنين الالتحاق بالتعليم العالي بشروط متساوية. وتتيح صربيا التعليم في المرحلة الثالثة للطلبة الناجحين والموهوبين من ذوي الممتلكات القليلة وفقا للقانون. وينظم القانون إنشاء المدارس والجامعات.</w:t>
      </w:r>
    </w:p>
    <w:p w:rsidR="002C4A99" w:rsidRPr="00505176" w:rsidRDefault="002C4A99" w:rsidP="002C4A99">
      <w:pPr>
        <w:pStyle w:val="SingleTxt"/>
        <w:spacing w:after="0" w:line="120" w:lineRule="exact"/>
        <w:rPr>
          <w:rFonts w:hint="cs"/>
          <w:sz w:val="12"/>
          <w:rtl/>
        </w:rPr>
      </w:pPr>
    </w:p>
    <w:p w:rsidR="002C4A99" w:rsidRPr="00505176"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505176">
        <w:rPr>
          <w:rFonts w:hint="cs"/>
          <w:rtl/>
        </w:rPr>
        <w:tab/>
      </w:r>
      <w:r w:rsidRPr="00505176">
        <w:rPr>
          <w:rFonts w:hint="cs"/>
          <w:rtl/>
        </w:rPr>
        <w:tab/>
        <w:t>الاتصال والإعلام</w:t>
      </w:r>
    </w:p>
    <w:p w:rsidR="002C4A99" w:rsidRDefault="002C4A99" w:rsidP="002C4A99">
      <w:pPr>
        <w:pStyle w:val="SingleTxt"/>
        <w:rPr>
          <w:rFonts w:hint="cs"/>
          <w:rtl/>
        </w:rPr>
      </w:pPr>
      <w:r>
        <w:rPr>
          <w:rFonts w:hint="cs"/>
          <w:rtl/>
        </w:rPr>
        <w:tab/>
        <w:t>شبكة أوروفيزيون لتبادل الأخبار الإقليمية هي شبكة لتبادل الأخبار بين 12 هيئة إذاعية عامة من منطقة البلقان وبلدان جنوب شرق أوروبا الأخرى، وبدأت عملها في كانون الأول/ديسمبر 2003 لتعزيز التعاون والمصالحة والسلام في المنطقة. وتتبادل البلدان الأخبار يوميا من خلال ساتل أوروفيزيون للاتحاد الإذاعي الأوروبي منذ تشرين الثاني/نوفمبر 2001.</w:t>
      </w:r>
    </w:p>
    <w:p w:rsidR="002C4A99" w:rsidRDefault="002C4A99" w:rsidP="002C4A99">
      <w:pPr>
        <w:pStyle w:val="SingleTxt"/>
        <w:rPr>
          <w:rFonts w:hint="cs"/>
          <w:rtl/>
        </w:rPr>
      </w:pPr>
      <w:r>
        <w:rPr>
          <w:rFonts w:hint="cs"/>
          <w:rtl/>
        </w:rPr>
        <w:tab/>
        <w:t xml:space="preserve">وتدعم اليونسكو أنشطة منفصلة في إطار شبكة أوروفيزيون لتبادل الأخبار، بما في ذلك إنتاج فيلم وثائقي عن الاتجار غير المشروع بالفتيات والنساء. وهذا الفيلم التسجيلي وعنوانه </w:t>
      </w:r>
      <w:r>
        <w:rPr>
          <w:rFonts w:hint="eastAsia"/>
          <w:rtl/>
        </w:rPr>
        <w:t>”الاتجار بالنساء</w:t>
      </w:r>
      <w:r>
        <w:rPr>
          <w:rFonts w:hint="cs"/>
          <w:rtl/>
        </w:rPr>
        <w:t>“ يستغرق 25 دقيقة وقد عُرض مؤخرا في مقر اليونسكو في باريس بمناسبة اليوم الدولي للمرأة في 2007، وهو تحقيق عن السياق الاجتماعي والثقافي للاتجار بالمرأة في جنوب شرق أوروبا، ويوجه الانتباه إلى العوامل التي تساهم في هذا الاتجار - ومنها بالتحديد عدم توفر التعليم للفتيات والعنف ضد المرأة والفقر والانتشار الواسع لعدم المساواة بين الجنسين. ويهدف هذا الفيلم إلى تجميع المعلومات عن حالات الاتجار بالمرأة وتفاصيل عن الضحايا والطرق التي تسلكها هذه التجارة وتحديد نتائج المبادرات الدولية والإقليمية لمناهضة الاتجار ونتائج المشاركة الحكومية والخطط الوطنية للعمل إلى جانب تعيين الممارسات الجيدة والفجوات في أعمال المنظمات غير الحكومية المتخصصة والمنظمات الدولية؛ وعرض نهج إعادة التوطين وإعادة الإدماج.</w:t>
      </w:r>
    </w:p>
    <w:p w:rsidR="002C4A99" w:rsidRPr="00505176" w:rsidRDefault="002C4A99" w:rsidP="002C4A99">
      <w:pPr>
        <w:pStyle w:val="SingleTxt"/>
        <w:spacing w:after="0" w:line="120" w:lineRule="exact"/>
        <w:rPr>
          <w:rFonts w:hint="cs"/>
          <w:sz w:val="12"/>
          <w:rtl/>
        </w:rPr>
      </w:pPr>
    </w:p>
    <w:p w:rsidR="002C4A99" w:rsidRPr="00505176"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505176">
        <w:rPr>
          <w:rFonts w:hint="cs"/>
          <w:rtl/>
        </w:rPr>
        <w:tab/>
      </w:r>
      <w:r w:rsidRPr="00505176">
        <w:rPr>
          <w:rFonts w:hint="cs"/>
          <w:rtl/>
        </w:rPr>
        <w:tab/>
        <w:t>الزمالات</w:t>
      </w: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مُنحت زمالة واحدة من البرنامج العام في اليونسكو لدعم أحد المجالات البرنامجية ذات الأولوية في ميدان تاريخ الفن البيزنطي لمدة ستة أشهر في جامعة باريس الأولى - في بانثيون - آساس - في باريس (500 10 دولار) لباحثة واحدة.</w:t>
      </w: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زمالة مشتركة التمويل (اليونسكو/اليابان: أوبوشي) في ميدان الحوار بين الثقافات لمدة تسعة أشهر في مؤسسة فيرناندو أورتيز في هافانا (000 10 دولار) ومُنحت لعالمة واحدة.</w:t>
      </w: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eastAsia"/>
          <w:rtl/>
        </w:rPr>
      </w:pPr>
      <w:r>
        <w:rPr>
          <w:rFonts w:hint="cs"/>
          <w:rtl/>
        </w:rPr>
        <w:tab/>
        <w:t>•</w:t>
      </w:r>
      <w:r>
        <w:rPr>
          <w:rFonts w:hint="cs"/>
          <w:rtl/>
        </w:rPr>
        <w:tab/>
        <w:t xml:space="preserve">منحت زمالة واحدة من البرنامج العام في اليونسكو لدعم أحد المجالات البرنامجية ذات الأولوية في ميدان </w:t>
      </w:r>
      <w:r>
        <w:rPr>
          <w:rFonts w:hint="eastAsia"/>
          <w:rtl/>
        </w:rPr>
        <w:t xml:space="preserve">الثقافة </w:t>
      </w:r>
      <w:r>
        <w:rPr>
          <w:rFonts w:hint="cs"/>
          <w:rtl/>
        </w:rPr>
        <w:t>”الفنون التشكيلية</w:t>
      </w:r>
      <w:r>
        <w:rPr>
          <w:rFonts w:hint="eastAsia"/>
          <w:rtl/>
        </w:rPr>
        <w:t xml:space="preserve">“ لمدة ستة أشهر في جامعة باريس الثامنة، سانت دينيس/فرنسا (800 14 </w:t>
      </w:r>
      <w:r>
        <w:rPr>
          <w:rFonts w:hint="cs"/>
          <w:rtl/>
        </w:rPr>
        <w:t>دولار) لباحثة واحدة.</w:t>
      </w:r>
    </w:p>
    <w:p w:rsidR="002C4A99" w:rsidRPr="008827CF" w:rsidRDefault="002C4A99" w:rsidP="002C4A99">
      <w:pPr>
        <w:pStyle w:val="SingleTxt"/>
        <w:spacing w:after="0" w:line="120" w:lineRule="exact"/>
        <w:rPr>
          <w:rFonts w:hint="cs"/>
          <w:sz w:val="12"/>
          <w:rtl/>
        </w:rPr>
      </w:pPr>
    </w:p>
    <w:p w:rsidR="002C4A99" w:rsidRDefault="002C4A99" w:rsidP="002C4A9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سيراليون</w:t>
      </w:r>
    </w:p>
    <w:p w:rsidR="002C4A99" w:rsidRPr="008827CF" w:rsidRDefault="002C4A99" w:rsidP="002C4A99">
      <w:pPr>
        <w:pStyle w:val="SingleTxt"/>
        <w:spacing w:after="0" w:line="120" w:lineRule="exact"/>
        <w:rPr>
          <w:rFonts w:hint="cs"/>
          <w:sz w:val="12"/>
          <w:rtl/>
        </w:rPr>
      </w:pPr>
    </w:p>
    <w:p w:rsidR="002C4A99" w:rsidRPr="008827CF"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8827CF">
        <w:rPr>
          <w:rFonts w:hint="cs"/>
          <w:rtl/>
        </w:rPr>
        <w:tab/>
      </w:r>
      <w:r w:rsidRPr="008827CF">
        <w:rPr>
          <w:rFonts w:hint="cs"/>
          <w:rtl/>
        </w:rPr>
        <w:tab/>
        <w:t>التعليم</w:t>
      </w:r>
    </w:p>
    <w:p w:rsidR="002C4A99" w:rsidRDefault="002C4A99" w:rsidP="002C4A99">
      <w:pPr>
        <w:pStyle w:val="SingleTxt"/>
        <w:rPr>
          <w:rFonts w:hint="cs"/>
          <w:rtl/>
        </w:rPr>
      </w:pPr>
      <w:r>
        <w:rPr>
          <w:rFonts w:hint="cs"/>
          <w:rtl/>
        </w:rPr>
        <w:tab/>
        <w:t>سيراليون طرف في اتفاقية اليونسكو لمناهضة التمييز في التعليم منذ 1967، ولكنها لم تقدم تقريرا إلى اليونسكو في إطار الاستشارة السادسة عن تنفيذ الاتفاقية والتوصية المتعلقتين بمناهضة التمييز في التعليم. والآن تشجع اليونسكو سيراليون على تقديم تقرير جيد شامل لأغراض الاستشارة السابعة.</w:t>
      </w:r>
    </w:p>
    <w:p w:rsidR="002C4A99" w:rsidRDefault="002C4A99" w:rsidP="002C4A99">
      <w:pPr>
        <w:pStyle w:val="SingleTxt"/>
        <w:rPr>
          <w:rFonts w:hint="cs"/>
          <w:rtl/>
        </w:rPr>
      </w:pPr>
      <w:r>
        <w:rPr>
          <w:rFonts w:hint="cs"/>
          <w:rtl/>
        </w:rPr>
        <w:tab/>
        <w:t>وتشجع اليونسكو سيراليون أيضا لتُصدِّق على اتفاقية التعليم التقني والمهني.</w:t>
      </w:r>
    </w:p>
    <w:p w:rsidR="002C4A99" w:rsidRDefault="002C4A99" w:rsidP="002C4A99">
      <w:pPr>
        <w:pStyle w:val="SingleTxt"/>
        <w:rPr>
          <w:rFonts w:hint="cs"/>
          <w:rtl/>
        </w:rPr>
      </w:pPr>
      <w:r>
        <w:rPr>
          <w:rFonts w:hint="cs"/>
          <w:rtl/>
        </w:rPr>
        <w:tab/>
        <w:t>وتنص الفقرة 1 من المادة 9 من دستور 1991 على أن الحكومة توجه سياستها نحو كفالة المساواة في الحقوق وكفالة الفرص التعليمية الكافية لجميع المواطنين من جميع المستويات وذلك: (أ) بكفالة حصول كل مواطن على فرصة التعليم بقدر ما تمكنه قدرته وكفاءته ورغبته وذلك بتوفير المرافق التعليمية من جميع المستويات وفي كل جوانب التعليم مثل التعليم الابتدائي والثانوي والمهني والتقني والعالمي والجامعي؛ (ب) حماية حقوق المجموعات الضعيفة مثل الأطفال والنساء والمعوقين في مرافق تعليمية آمنة؛ و (ج) توفير ما</w:t>
      </w:r>
      <w:r>
        <w:rPr>
          <w:rFonts w:hint="eastAsia"/>
          <w:rtl/>
        </w:rPr>
        <w:t> </w:t>
      </w:r>
      <w:r>
        <w:rPr>
          <w:rFonts w:hint="cs"/>
          <w:rtl/>
        </w:rPr>
        <w:t xml:space="preserve">يلزم من الهياكل والتمويل ومرافق الدعم للتعليم كلما كان ذلك عمليا. وتنص الفقرة 2 من المادة 9 على أن تسعى الحكومة إلى استئصال الأمية وتحقيقا لذلك توجه الحكومة سياستها التعليمية لإحراز: (أ) برامج محو الأمية المجانية للكبار و (ب) التعليم الأساسي الإلزامي المجاني في المدارس الأولية والإعدادية و (ج) التعليم الثانوي المجاني كلما كان ذلك عمليا. وتنص الفقرة الثالثة من المادة 9 على أن الحكومة تشجع تعليم اللغات الأصلية ودراسة وتطبيق العلوم الحديثة واللغات الأجنبية والتكنولوجيا والتجارة والأعمال التجارية. </w:t>
      </w:r>
    </w:p>
    <w:p w:rsidR="002C4A99" w:rsidRPr="00DD29B9" w:rsidRDefault="002C4A99" w:rsidP="002C4A99">
      <w:pPr>
        <w:pStyle w:val="SingleTxt"/>
        <w:spacing w:after="0" w:line="120" w:lineRule="exact"/>
        <w:rPr>
          <w:rFonts w:hint="cs"/>
          <w:sz w:val="10"/>
          <w:rtl/>
        </w:rPr>
      </w:pPr>
    </w:p>
    <w:p w:rsidR="002C4A99" w:rsidRDefault="002C4A99" w:rsidP="002C4A99">
      <w:pPr>
        <w:pStyle w:val="SingleTxt"/>
        <w:rPr>
          <w:rFonts w:hint="cs"/>
          <w:b/>
          <w:bCs/>
          <w:rtl/>
        </w:rPr>
      </w:pPr>
      <w:r>
        <w:rPr>
          <w:rFonts w:hint="cs"/>
          <w:b/>
          <w:bCs/>
          <w:rtl/>
        </w:rPr>
        <w:t>برنامج المشاركة</w:t>
      </w:r>
    </w:p>
    <w:p w:rsidR="002C4A99" w:rsidRDefault="002C4A99" w:rsidP="002C4A99">
      <w:pPr>
        <w:pStyle w:val="SingleTxt"/>
        <w:rPr>
          <w:rFonts w:hint="cs"/>
          <w:rtl/>
        </w:rPr>
      </w:pPr>
      <w:r>
        <w:rPr>
          <w:rFonts w:hint="cs"/>
          <w:rtl/>
        </w:rPr>
        <w:tab/>
        <w:t>في إطار برنامج المشاركة الذي تطبقه اليونسكو أظهرت اللجنة الوطنية في سيراليون التزاما قويا بتعميم المنظور الجنساني في مجالات اختصاصات اليونسكو في إحدى حالات ما</w:t>
      </w:r>
      <w:r>
        <w:rPr>
          <w:rFonts w:hint="eastAsia"/>
          <w:rtl/>
        </w:rPr>
        <w:t> </w:t>
      </w:r>
      <w:r>
        <w:rPr>
          <w:rFonts w:hint="cs"/>
          <w:rtl/>
        </w:rPr>
        <w:t xml:space="preserve">بعد النزاع من خلال عدد من المشاريع. وكان الهدف من المشاريع التالية هو تعزيز إعادة إدماج الفتيات والنساء: </w:t>
      </w:r>
      <w:r>
        <w:rPr>
          <w:rFonts w:hint="cs"/>
          <w:rtl/>
        </w:rPr>
        <w:tab/>
        <w:t xml:space="preserve">إنشاء مركز للمهارات على مدى الحياة للنساء الأرامل المتأثرات بالحرب وتقديم 000 18 دولار للأطفال الأمهات وتمويل أنشطة مدرة للدخل للقرويات في المناطق المنعزلة وتقديم 000 13 دولار للفتيات. وبالإضافة إلى ذلك، وفي إطار برنامج المساعدة الطارئة لعام 2006-2007 قدمت اليونسكو مبلغ 000 50 دولار لتطوير البرامج التعليمية في حالات ما بعد النزاع مع التركيز خاصة على البنات. </w:t>
      </w:r>
    </w:p>
    <w:p w:rsidR="002C4A99" w:rsidRPr="00DD29B9" w:rsidRDefault="002C4A99" w:rsidP="002C4A99">
      <w:pPr>
        <w:pStyle w:val="SingleTxt"/>
        <w:spacing w:after="0" w:line="120" w:lineRule="exact"/>
        <w:rPr>
          <w:rFonts w:hint="cs"/>
          <w:sz w:val="10"/>
          <w:rtl/>
        </w:rPr>
      </w:pPr>
    </w:p>
    <w:p w:rsidR="002C4A99" w:rsidRDefault="002C4A99" w:rsidP="002C4A9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الجمهورية العربية السورية</w:t>
      </w:r>
    </w:p>
    <w:p w:rsidR="002C4A99" w:rsidRPr="008827CF" w:rsidRDefault="002C4A99" w:rsidP="002C4A99">
      <w:pPr>
        <w:pStyle w:val="SingleTxt"/>
        <w:spacing w:after="0" w:line="120" w:lineRule="exact"/>
        <w:rPr>
          <w:rFonts w:hint="cs"/>
          <w:b/>
          <w:bCs/>
          <w:sz w:val="12"/>
          <w:rtl/>
        </w:rPr>
      </w:pPr>
    </w:p>
    <w:p w:rsidR="002C4A99" w:rsidRPr="008827CF"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8827CF">
        <w:rPr>
          <w:rFonts w:hint="cs"/>
          <w:rtl/>
        </w:rPr>
        <w:tab/>
      </w:r>
      <w:r w:rsidRPr="008827CF">
        <w:rPr>
          <w:rFonts w:hint="cs"/>
          <w:rtl/>
        </w:rPr>
        <w:tab/>
        <w:t>التعليم</w:t>
      </w:r>
    </w:p>
    <w:p w:rsidR="002C4A99" w:rsidRDefault="002C4A99" w:rsidP="002C4A99">
      <w:pPr>
        <w:pStyle w:val="SingleTxt"/>
        <w:rPr>
          <w:rFonts w:hint="cs"/>
          <w:rtl/>
        </w:rPr>
      </w:pPr>
      <w:r>
        <w:rPr>
          <w:rFonts w:hint="cs"/>
          <w:rtl/>
        </w:rPr>
        <w:tab/>
        <w:t xml:space="preserve">الجمهورية العربية السورية ليست طرفا في اتفاقية اليونسكو لمناهضة التمييز في التعليم ولكنها قدمت تقريرا إلى اليونسكو بمناسبة الاستشارة السادسة عن تنفيذ التوصية المتعلقة بمناهضة التمييز في التعليم في عام 1997. وتأمل اليونسكو الآن أن تتلقى تقريرا جيدا شاملا لأغراض الاستشارة السابعة. </w:t>
      </w:r>
    </w:p>
    <w:p w:rsidR="002C4A99" w:rsidRDefault="002C4A99" w:rsidP="002C4A99">
      <w:pPr>
        <w:pStyle w:val="SingleTxt"/>
        <w:rPr>
          <w:rFonts w:hint="cs"/>
          <w:rtl/>
        </w:rPr>
      </w:pPr>
      <w:r>
        <w:rPr>
          <w:rFonts w:hint="cs"/>
          <w:rtl/>
        </w:rPr>
        <w:tab/>
        <w:t xml:space="preserve">وتشجع اليونسكو الجمهورية العربية السورية على أن تُصدق على اتفاقية التعليم التقني والمهني. </w:t>
      </w:r>
    </w:p>
    <w:p w:rsidR="002C4A99" w:rsidRDefault="002C4A99" w:rsidP="002C4A99">
      <w:pPr>
        <w:pStyle w:val="SingleTxt"/>
        <w:rPr>
          <w:rFonts w:hint="cs"/>
          <w:rtl/>
        </w:rPr>
      </w:pPr>
      <w:r>
        <w:rPr>
          <w:rFonts w:hint="cs"/>
          <w:rtl/>
        </w:rPr>
        <w:tab/>
        <w:t xml:space="preserve">وينص دستور الجمهورية العربية السورية المعتمد في عام 1980 على أن التعليم حق تكفله الدولة. والتعليم مجاني في جميع المراحل وإلزامي في المرحلة الأولية. وتسعى الدولة إلى جعل مراحل التعليم الأخرى إلزامية وتشرف على التعليم وتوجهه بطريقة تكفل تكييفه مع احتياجات المجتمع والإنتاج (المادة 37). </w:t>
      </w:r>
    </w:p>
    <w:p w:rsidR="002C4A99" w:rsidRPr="00DD29B9" w:rsidRDefault="002C4A99" w:rsidP="002C4A99">
      <w:pPr>
        <w:pStyle w:val="SingleTxt"/>
        <w:spacing w:after="0" w:line="120" w:lineRule="exact"/>
        <w:rPr>
          <w:rFonts w:hint="cs"/>
          <w:sz w:val="10"/>
          <w:rtl/>
        </w:rPr>
      </w:pPr>
    </w:p>
    <w:p w:rsidR="002C4A99" w:rsidRPr="008827CF"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8827CF">
        <w:rPr>
          <w:rFonts w:hint="cs"/>
          <w:rtl/>
        </w:rPr>
        <w:tab/>
      </w:r>
      <w:r w:rsidRPr="008827CF">
        <w:rPr>
          <w:rFonts w:hint="cs"/>
          <w:rtl/>
        </w:rPr>
        <w:tab/>
        <w:t>الزمالات</w:t>
      </w: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DD29B9">
        <w:rPr>
          <w:rFonts w:hint="cs"/>
          <w:rtl/>
        </w:rPr>
        <w:tab/>
        <w:t>•</w:t>
      </w:r>
      <w:r w:rsidRPr="00DD29B9">
        <w:rPr>
          <w:rFonts w:hint="cs"/>
          <w:rtl/>
        </w:rPr>
        <w:tab/>
        <w:t>زمالة مشتركة واحدة (اليونسكو/</w:t>
      </w:r>
      <w:r>
        <w:rPr>
          <w:rFonts w:hint="cs"/>
          <w:rtl/>
        </w:rPr>
        <w:t>ل</w:t>
      </w:r>
      <w:r w:rsidRPr="00DD29B9">
        <w:rPr>
          <w:rFonts w:hint="cs"/>
          <w:rtl/>
        </w:rPr>
        <w:t>و</w:t>
      </w:r>
      <w:r>
        <w:rPr>
          <w:rFonts w:hint="cs"/>
          <w:rtl/>
        </w:rPr>
        <w:t>ر</w:t>
      </w:r>
      <w:r w:rsidRPr="00DD29B9">
        <w:rPr>
          <w:rFonts w:hint="cs"/>
          <w:rtl/>
        </w:rPr>
        <w:t xml:space="preserve">يال) في ميدان علوم الحياة/التكنولوجيا الحيوية لمدة ستة أشهر في قسم </w:t>
      </w:r>
      <w:r>
        <w:rPr>
          <w:rFonts w:hint="cs"/>
          <w:rtl/>
        </w:rPr>
        <w:t>علم الوراثة</w:t>
      </w:r>
      <w:r w:rsidRPr="00DD29B9">
        <w:rPr>
          <w:rFonts w:hint="cs"/>
          <w:rtl/>
        </w:rPr>
        <w:t xml:space="preserve"> </w:t>
      </w:r>
      <w:r>
        <w:rPr>
          <w:rFonts w:hint="cs"/>
          <w:rtl/>
        </w:rPr>
        <w:t xml:space="preserve">الجزيئية </w:t>
      </w:r>
      <w:r w:rsidRPr="00DD29B9">
        <w:rPr>
          <w:rFonts w:hint="cs"/>
          <w:rtl/>
        </w:rPr>
        <w:t>بجامعة هانوفر في هانوفر بألمانيا (015</w:t>
      </w:r>
      <w:r>
        <w:rPr>
          <w:rFonts w:hint="eastAsia"/>
          <w:rtl/>
        </w:rPr>
        <w:t> </w:t>
      </w:r>
      <w:r w:rsidRPr="00DD29B9">
        <w:rPr>
          <w:rFonts w:hint="cs"/>
          <w:rtl/>
        </w:rPr>
        <w:t>21 دولارا) ومنحت لعالمة واحدة.</w:t>
      </w:r>
    </w:p>
    <w:p w:rsidR="002C4A99" w:rsidRDefault="002C4A99" w:rsidP="002C4A9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زمالة بحثية واحدة مقدمة من اليونسكو/سوزان مبارك/الصداقة اليابانية المصرية لتمكين المرأة في ميدان المرأة وثقافة السلام والتنمية لمدة ثلاثة أشهر في جامعة الاسكندرية في مصر (500 7 دولار) ومُنحت لباحثة واحدة.</w:t>
      </w:r>
    </w:p>
    <w:p w:rsidR="002C4A99" w:rsidRPr="008827CF" w:rsidRDefault="002C4A99" w:rsidP="002C4A99">
      <w:pPr>
        <w:pStyle w:val="SingleTxt"/>
        <w:spacing w:after="0" w:line="120" w:lineRule="exact"/>
        <w:rPr>
          <w:rFonts w:hint="cs"/>
          <w:b/>
          <w:bCs/>
          <w:sz w:val="12"/>
          <w:rtl/>
        </w:rPr>
      </w:pPr>
    </w:p>
    <w:p w:rsidR="002C4A99" w:rsidRDefault="002C4A99" w:rsidP="002C4A9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فانواتو</w:t>
      </w:r>
    </w:p>
    <w:p w:rsidR="002C4A99" w:rsidRPr="008827CF" w:rsidRDefault="002C4A99" w:rsidP="002C4A99">
      <w:pPr>
        <w:pStyle w:val="SingleTxt"/>
        <w:spacing w:after="0" w:line="120" w:lineRule="exact"/>
        <w:rPr>
          <w:rFonts w:hint="cs"/>
          <w:b/>
          <w:bCs/>
          <w:sz w:val="12"/>
          <w:rtl/>
        </w:rPr>
      </w:pPr>
    </w:p>
    <w:p w:rsidR="002C4A99" w:rsidRPr="008827CF" w:rsidRDefault="002C4A99" w:rsidP="002C4A9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8827CF">
        <w:rPr>
          <w:rFonts w:hint="cs"/>
          <w:rtl/>
        </w:rPr>
        <w:tab/>
      </w:r>
      <w:r w:rsidRPr="008827CF">
        <w:rPr>
          <w:rFonts w:hint="cs"/>
          <w:rtl/>
        </w:rPr>
        <w:tab/>
        <w:t>التعليم</w:t>
      </w:r>
    </w:p>
    <w:p w:rsidR="002C4A99" w:rsidRDefault="002C4A99" w:rsidP="002C4A99">
      <w:pPr>
        <w:pStyle w:val="SingleTxt"/>
        <w:rPr>
          <w:rFonts w:hint="cs"/>
          <w:rtl/>
        </w:rPr>
      </w:pPr>
      <w:r>
        <w:rPr>
          <w:rFonts w:hint="cs"/>
          <w:rtl/>
        </w:rPr>
        <w:tab/>
        <w:t xml:space="preserve">فانواتو ليست طرفا في اتفاقية اليونسكو لمناهضة التمييز في التعليم ولم تقدم تقريرا إلى اليونسكو بمناسبة الاستشارة السادسة عن تنفيذ التوصية المتعلقة بمناهضة التمييز في التعليم. وتشجع اليونسكو فانواتو على تقديم تقرير جيد شامل لأغراض الاستشارة السابعة. وتشجع اليونسكو فانواتو على التصديق على اتفاقية التعليم التقني والمهني. </w:t>
      </w:r>
    </w:p>
    <w:p w:rsidR="003E4A64" w:rsidRDefault="002C4A99" w:rsidP="002C4A99">
      <w:pPr>
        <w:pStyle w:val="SingleTxt"/>
        <w:rPr>
          <w:rFonts w:hint="cs"/>
          <w:rtl/>
        </w:rPr>
      </w:pPr>
      <w:r>
        <w:rPr>
          <w:rFonts w:hint="cs"/>
          <w:rtl/>
        </w:rPr>
        <w:tab/>
        <w:t>وتنص المادة 7 من دستور تموز/يوليه 1980 على أن كل شخص يضطلع بالمسؤوليات والواجبات الأساسية التالية تجاه نفسه وذريته وتجاه الآخرين: [...] (ح) في حالة الأب، دعم ومساعدة وتعليم جميع الأطفال الشرعيين وغير الشرعيين وتزويدهم خاصة بفهــم صحيح بحقوقهم وواجباتهم الأساسية والأهداف الوطنية ولثقافة شعب فانواتو وعاداته.</w:t>
      </w:r>
    </w:p>
    <w:p w:rsidR="002C4A99" w:rsidRPr="002C4A99" w:rsidRDefault="002C4A99" w:rsidP="002C4A99">
      <w:pPr>
        <w:pStyle w:val="SingleTxt"/>
        <w:spacing w:after="0" w:line="240" w:lineRule="auto"/>
        <w:rPr>
          <w:rFonts w:hint="cs"/>
          <w:rtl/>
        </w:rPr>
      </w:pPr>
      <w:r>
        <w:rPr>
          <w:rFonts w:hint="cs"/>
          <w:noProof/>
          <w:w w:val="100"/>
          <w:rtl/>
        </w:rPr>
        <w:pict>
          <v:line id="_x0000_s1029" style="position:absolute;left:0;text-align:left;z-index:2" from="206.6pt,24pt" to="278.6pt,24pt" strokeweight=".25pt"/>
        </w:pict>
      </w:r>
    </w:p>
    <w:sectPr w:rsidR="002C4A99" w:rsidRPr="002C4A99" w:rsidSect="00493B99">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4-16T09:56:00Z" w:initials="Start">
    <w:p w:rsidR="002245A4" w:rsidRDefault="002245A4">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NO&gt;&gt;N0728696A&lt;&lt;ODS JOB NO</w:t>
      </w:r>
      <w:r>
        <w:rPr>
          <w:rtl/>
        </w:rPr>
        <w:t>&gt;&gt;</w:t>
      </w:r>
    </w:p>
    <w:p w:rsidR="002245A4" w:rsidRDefault="002245A4">
      <w:pPr>
        <w:pStyle w:val="CommentText"/>
        <w:rPr>
          <w:rtl/>
        </w:rPr>
      </w:pPr>
      <w:r>
        <w:rPr>
          <w:rtl/>
        </w:rPr>
        <w:t>&lt;&lt;</w:t>
      </w:r>
      <w:r>
        <w:t>ODS DOC SYMBOL1&gt;&gt;CEDAW/C/2007/II/3/Add.3&lt;&lt;ODS DOC SYMBOL1</w:t>
      </w:r>
      <w:r>
        <w:rPr>
          <w:rtl/>
        </w:rPr>
        <w:t>&gt;&gt;</w:t>
      </w:r>
    </w:p>
    <w:p w:rsidR="002245A4" w:rsidRDefault="002245A4">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A4" w:rsidRPr="00A108E9" w:rsidRDefault="002245A4" w:rsidP="00493B99">
      <w:pPr>
        <w:pStyle w:val="Footer"/>
        <w:rPr>
          <w:b w:val="0"/>
          <w:bCs w:val="0"/>
          <w:noProof w:val="0"/>
          <w:w w:val="103"/>
          <w:kern w:val="14"/>
          <w:sz w:val="14"/>
          <w:szCs w:val="16"/>
        </w:rPr>
      </w:pPr>
      <w:r>
        <w:separator/>
      </w:r>
    </w:p>
  </w:endnote>
  <w:endnote w:type="continuationSeparator" w:id="0">
    <w:p w:rsidR="002245A4" w:rsidRPr="00A108E9" w:rsidRDefault="002245A4" w:rsidP="00493B99">
      <w:pPr>
        <w:pStyle w:val="Footer"/>
        <w:rPr>
          <w:b w:val="0"/>
          <w:bCs w:val="0"/>
          <w:noProof w:val="0"/>
          <w:w w:val="103"/>
          <w:kern w:val="14"/>
          <w:sz w:val="14"/>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245A4">
      <w:tblPrEx>
        <w:tblCellMar>
          <w:top w:w="0" w:type="dxa"/>
          <w:bottom w:w="0" w:type="dxa"/>
        </w:tblCellMar>
      </w:tblPrEx>
      <w:tc>
        <w:tcPr>
          <w:tcW w:w="5033" w:type="dxa"/>
          <w:shd w:val="clear" w:color="auto" w:fill="auto"/>
        </w:tcPr>
        <w:p w:rsidR="002245A4" w:rsidRPr="00493B99" w:rsidRDefault="002245A4" w:rsidP="00493B99">
          <w:pPr>
            <w:pStyle w:val="Footer"/>
            <w:jc w:val="right"/>
            <w:rPr>
              <w:w w:val="103"/>
            </w:rPr>
          </w:pPr>
          <w:r>
            <w:rPr>
              <w:w w:val="103"/>
            </w:rPr>
            <w:fldChar w:fldCharType="begin"/>
          </w:r>
          <w:r>
            <w:rPr>
              <w:w w:val="103"/>
            </w:rPr>
            <w:instrText xml:space="preserve"> PAGE  \* MERGEFORMAT </w:instrText>
          </w:r>
          <w:r>
            <w:rPr>
              <w:w w:val="103"/>
            </w:rPr>
            <w:fldChar w:fldCharType="separate"/>
          </w:r>
          <w:r w:rsidR="00CA5300">
            <w:rPr>
              <w:w w:val="103"/>
            </w:rPr>
            <w:t>18</w:t>
          </w:r>
          <w:r>
            <w:rPr>
              <w:w w:val="103"/>
            </w:rPr>
            <w:fldChar w:fldCharType="end"/>
          </w:r>
        </w:p>
      </w:tc>
      <w:tc>
        <w:tcPr>
          <w:tcW w:w="5033" w:type="dxa"/>
          <w:shd w:val="clear" w:color="auto" w:fill="auto"/>
        </w:tcPr>
        <w:p w:rsidR="002245A4" w:rsidRPr="00493B99" w:rsidRDefault="002245A4" w:rsidP="00493B9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07-28696</w:t>
          </w:r>
          <w:r>
            <w:rPr>
              <w:b w:val="0"/>
              <w:w w:val="103"/>
            </w:rPr>
            <w:fldChar w:fldCharType="end"/>
          </w:r>
        </w:p>
      </w:tc>
    </w:tr>
  </w:tbl>
  <w:p w:rsidR="002245A4" w:rsidRPr="00493B99" w:rsidRDefault="002245A4" w:rsidP="00493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245A4">
      <w:tblPrEx>
        <w:tblCellMar>
          <w:top w:w="0" w:type="dxa"/>
          <w:bottom w:w="0" w:type="dxa"/>
        </w:tblCellMar>
      </w:tblPrEx>
      <w:tc>
        <w:tcPr>
          <w:tcW w:w="5033" w:type="dxa"/>
          <w:shd w:val="clear" w:color="auto" w:fill="auto"/>
        </w:tcPr>
        <w:p w:rsidR="002245A4" w:rsidRPr="00493B99" w:rsidRDefault="002245A4" w:rsidP="00493B99">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07-28696</w:t>
          </w:r>
          <w:r>
            <w:rPr>
              <w:b w:val="0"/>
              <w:w w:val="103"/>
            </w:rPr>
            <w:fldChar w:fldCharType="end"/>
          </w:r>
        </w:p>
      </w:tc>
      <w:tc>
        <w:tcPr>
          <w:tcW w:w="5033" w:type="dxa"/>
          <w:shd w:val="clear" w:color="auto" w:fill="auto"/>
        </w:tcPr>
        <w:p w:rsidR="002245A4" w:rsidRPr="00493B99" w:rsidRDefault="002245A4" w:rsidP="00493B99">
          <w:pPr>
            <w:pStyle w:val="Footer"/>
            <w:rPr>
              <w:w w:val="103"/>
            </w:rPr>
          </w:pPr>
          <w:r>
            <w:rPr>
              <w:w w:val="103"/>
            </w:rPr>
            <w:fldChar w:fldCharType="begin"/>
          </w:r>
          <w:r>
            <w:rPr>
              <w:w w:val="103"/>
            </w:rPr>
            <w:instrText xml:space="preserve"> PAGE  \* MERGEFORMAT </w:instrText>
          </w:r>
          <w:r>
            <w:rPr>
              <w:w w:val="103"/>
            </w:rPr>
            <w:fldChar w:fldCharType="separate"/>
          </w:r>
          <w:r w:rsidR="00CA5300">
            <w:rPr>
              <w:w w:val="103"/>
            </w:rPr>
            <w:t>17</w:t>
          </w:r>
          <w:r>
            <w:rPr>
              <w:w w:val="103"/>
            </w:rPr>
            <w:fldChar w:fldCharType="end"/>
          </w:r>
        </w:p>
      </w:tc>
    </w:tr>
  </w:tbl>
  <w:p w:rsidR="002245A4" w:rsidRPr="00493B99" w:rsidRDefault="002245A4" w:rsidP="00493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A4" w:rsidRDefault="002245A4">
    <w:pPr>
      <w:pStyle w:val="Footer"/>
    </w:pPr>
  </w:p>
  <w:p w:rsidR="002245A4" w:rsidRDefault="002245A4" w:rsidP="00944E46">
    <w:pPr>
      <w:pStyle w:val="Footer"/>
      <w:jc w:val="right"/>
      <w:rPr>
        <w:rFonts w:cs="Times New Roman"/>
        <w:b w:val="0"/>
        <w:w w:val="103"/>
        <w:sz w:val="20"/>
      </w:rPr>
    </w:pPr>
    <w:r>
      <w:rPr>
        <w:rFonts w:cs="Times New Roman"/>
        <w:b w:val="0"/>
        <w:w w:val="103"/>
        <w:sz w:val="20"/>
      </w:rPr>
      <w:t xml:space="preserve">190407    160407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07-28696 (A)</w:t>
    </w:r>
    <w:r>
      <w:rPr>
        <w:rFonts w:cs="Times New Roman"/>
        <w:b w:val="0"/>
        <w:w w:val="103"/>
        <w:sz w:val="20"/>
      </w:rPr>
      <w:fldChar w:fldCharType="end"/>
    </w:r>
  </w:p>
  <w:p w:rsidR="002245A4" w:rsidRPr="00493B99" w:rsidRDefault="002245A4" w:rsidP="00493B99">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*0728696*</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A4" w:rsidRPr="00A108E9" w:rsidRDefault="002245A4" w:rsidP="00493B99">
      <w:pPr>
        <w:pStyle w:val="Footer"/>
        <w:rPr>
          <w:b w:val="0"/>
          <w:bCs w:val="0"/>
          <w:noProof w:val="0"/>
          <w:w w:val="103"/>
          <w:kern w:val="14"/>
          <w:sz w:val="14"/>
          <w:szCs w:val="16"/>
        </w:rPr>
      </w:pPr>
      <w:r>
        <w:separator/>
      </w:r>
    </w:p>
  </w:footnote>
  <w:footnote w:type="continuationSeparator" w:id="0">
    <w:p w:rsidR="002245A4" w:rsidRPr="00A108E9" w:rsidRDefault="002245A4" w:rsidP="00493B99">
      <w:pPr>
        <w:pStyle w:val="Footer"/>
        <w:rPr>
          <w:b w:val="0"/>
          <w:bCs w:val="0"/>
          <w:noProof w:val="0"/>
          <w:w w:val="103"/>
          <w:kern w:val="14"/>
          <w:sz w:val="14"/>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7"/>
      <w:gridCol w:w="4953"/>
    </w:tblGrid>
    <w:tr w:rsidR="002245A4">
      <w:tblPrEx>
        <w:tblCellMar>
          <w:top w:w="0" w:type="dxa"/>
          <w:bottom w:w="0" w:type="dxa"/>
        </w:tblCellMar>
      </w:tblPrEx>
      <w:trPr>
        <w:trHeight w:hRule="exact" w:val="864"/>
        <w:jc w:val="center"/>
      </w:trPr>
      <w:tc>
        <w:tcPr>
          <w:tcW w:w="5033" w:type="dxa"/>
          <w:shd w:val="clear" w:color="auto" w:fill="auto"/>
          <w:vAlign w:val="bottom"/>
        </w:tcPr>
        <w:p w:rsidR="002245A4" w:rsidRDefault="002245A4" w:rsidP="00493B99">
          <w:pPr>
            <w:pStyle w:val="Header"/>
            <w:bidi/>
            <w:jc w:val="right"/>
          </w:pPr>
        </w:p>
      </w:tc>
      <w:tc>
        <w:tcPr>
          <w:tcW w:w="5033" w:type="dxa"/>
          <w:shd w:val="clear" w:color="auto" w:fill="auto"/>
          <w:vAlign w:val="bottom"/>
        </w:tcPr>
        <w:p w:rsidR="002245A4" w:rsidRPr="00493B99" w:rsidRDefault="002245A4" w:rsidP="00493B99">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CEDAW/C/2007/II/3/Add.3</w:t>
          </w:r>
          <w:r>
            <w:rPr>
              <w:w w:val="103"/>
            </w:rPr>
            <w:fldChar w:fldCharType="end"/>
          </w:r>
        </w:p>
      </w:tc>
    </w:tr>
  </w:tbl>
  <w:p w:rsidR="002245A4" w:rsidRPr="00493B99" w:rsidRDefault="002245A4" w:rsidP="00493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3"/>
      <w:gridCol w:w="4897"/>
    </w:tblGrid>
    <w:tr w:rsidR="002245A4">
      <w:tblPrEx>
        <w:tblCellMar>
          <w:top w:w="0" w:type="dxa"/>
          <w:bottom w:w="0" w:type="dxa"/>
        </w:tblCellMar>
      </w:tblPrEx>
      <w:trPr>
        <w:trHeight w:hRule="exact" w:val="864"/>
        <w:jc w:val="center"/>
      </w:trPr>
      <w:tc>
        <w:tcPr>
          <w:tcW w:w="5033" w:type="dxa"/>
          <w:shd w:val="clear" w:color="auto" w:fill="auto"/>
          <w:vAlign w:val="bottom"/>
        </w:tcPr>
        <w:p w:rsidR="002245A4" w:rsidRPr="00493B99" w:rsidRDefault="002245A4" w:rsidP="00493B9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CEDAW/C/2007/II/3/Add.3</w:t>
          </w:r>
          <w:r>
            <w:rPr>
              <w:w w:val="103"/>
            </w:rPr>
            <w:fldChar w:fldCharType="end"/>
          </w:r>
        </w:p>
      </w:tc>
      <w:tc>
        <w:tcPr>
          <w:tcW w:w="5033" w:type="dxa"/>
          <w:shd w:val="clear" w:color="auto" w:fill="auto"/>
          <w:vAlign w:val="bottom"/>
        </w:tcPr>
        <w:p w:rsidR="002245A4" w:rsidRDefault="002245A4" w:rsidP="00493B99">
          <w:pPr>
            <w:pStyle w:val="Header"/>
          </w:pPr>
        </w:p>
      </w:tc>
    </w:tr>
  </w:tbl>
  <w:p w:rsidR="002245A4" w:rsidRPr="00493B99" w:rsidRDefault="002245A4" w:rsidP="00493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245A4">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245A4" w:rsidRDefault="002245A4" w:rsidP="00493B99">
          <w:pPr>
            <w:pStyle w:val="Header"/>
            <w:spacing w:after="120"/>
          </w:pPr>
        </w:p>
      </w:tc>
      <w:tc>
        <w:tcPr>
          <w:tcW w:w="1786" w:type="dxa"/>
          <w:tcBorders>
            <w:bottom w:val="single" w:sz="4" w:space="0" w:color="auto"/>
          </w:tcBorders>
          <w:shd w:val="clear" w:color="auto" w:fill="auto"/>
          <w:vAlign w:val="bottom"/>
        </w:tcPr>
        <w:p w:rsidR="002245A4" w:rsidRPr="00493B99" w:rsidRDefault="002245A4" w:rsidP="00493B9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245A4" w:rsidRDefault="002245A4" w:rsidP="00493B99">
          <w:pPr>
            <w:pStyle w:val="Header"/>
            <w:spacing w:after="120"/>
          </w:pPr>
        </w:p>
      </w:tc>
      <w:tc>
        <w:tcPr>
          <w:tcW w:w="6523" w:type="dxa"/>
          <w:gridSpan w:val="3"/>
          <w:tcBorders>
            <w:bottom w:val="single" w:sz="4" w:space="0" w:color="auto"/>
          </w:tcBorders>
          <w:shd w:val="clear" w:color="auto" w:fill="auto"/>
          <w:vAlign w:val="bottom"/>
        </w:tcPr>
        <w:p w:rsidR="002245A4" w:rsidRPr="00493B99" w:rsidRDefault="002245A4" w:rsidP="00493B99">
          <w:pPr>
            <w:spacing w:line="380" w:lineRule="exact"/>
            <w:jc w:val="right"/>
          </w:pPr>
          <w:r>
            <w:rPr>
              <w:sz w:val="40"/>
            </w:rPr>
            <w:t>CEDAW</w:t>
          </w:r>
          <w:r>
            <w:t>/C/2007/II/3/Add.3</w:t>
          </w:r>
        </w:p>
      </w:tc>
    </w:tr>
    <w:tr w:rsidR="002245A4" w:rsidRPr="00493B9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245A4" w:rsidRDefault="002245A4" w:rsidP="00493B99">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245A4" w:rsidRPr="00493B99" w:rsidRDefault="002245A4" w:rsidP="00493B99">
          <w:pPr>
            <w:pStyle w:val="Header"/>
            <w:spacing w:before="109"/>
            <w:jc w:val="right"/>
          </w:pPr>
        </w:p>
      </w:tc>
      <w:tc>
        <w:tcPr>
          <w:tcW w:w="5227" w:type="dxa"/>
          <w:gridSpan w:val="3"/>
          <w:tcBorders>
            <w:top w:val="single" w:sz="4" w:space="0" w:color="auto"/>
            <w:bottom w:val="single" w:sz="12" w:space="0" w:color="auto"/>
          </w:tcBorders>
          <w:shd w:val="clear" w:color="auto" w:fill="auto"/>
        </w:tcPr>
        <w:p w:rsidR="002245A4" w:rsidRPr="00493B99" w:rsidRDefault="002245A4" w:rsidP="00493B9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245A4" w:rsidRPr="00493B99" w:rsidRDefault="002245A4" w:rsidP="00493B99">
          <w:pPr>
            <w:pStyle w:val="Header"/>
            <w:spacing w:before="109"/>
          </w:pPr>
        </w:p>
      </w:tc>
      <w:tc>
        <w:tcPr>
          <w:tcW w:w="3100" w:type="dxa"/>
          <w:gridSpan w:val="2"/>
          <w:tcBorders>
            <w:top w:val="single" w:sz="4" w:space="0" w:color="auto"/>
            <w:bottom w:val="single" w:sz="12" w:space="0" w:color="auto"/>
          </w:tcBorders>
          <w:shd w:val="clear" w:color="auto" w:fill="auto"/>
        </w:tcPr>
        <w:p w:rsidR="002245A4" w:rsidRDefault="002245A4" w:rsidP="00493B99">
          <w:pPr>
            <w:bidi w:val="0"/>
            <w:spacing w:before="240" w:line="240" w:lineRule="exact"/>
          </w:pPr>
          <w:r>
            <w:t>Distr.: General</w:t>
          </w:r>
        </w:p>
        <w:p w:rsidR="002245A4" w:rsidRDefault="002245A4" w:rsidP="00493B99">
          <w:pPr>
            <w:bidi w:val="0"/>
            <w:spacing w:line="240" w:lineRule="exact"/>
            <w:jc w:val="left"/>
          </w:pPr>
          <w:r>
            <w:t>28 March 2007</w:t>
          </w:r>
        </w:p>
        <w:p w:rsidR="002245A4" w:rsidRDefault="002245A4" w:rsidP="00493B99">
          <w:pPr>
            <w:bidi w:val="0"/>
            <w:spacing w:line="240" w:lineRule="exact"/>
            <w:jc w:val="left"/>
          </w:pPr>
          <w:r>
            <w:t>Arabic</w:t>
          </w:r>
        </w:p>
        <w:p w:rsidR="002245A4" w:rsidRPr="00493B99" w:rsidRDefault="002245A4" w:rsidP="00493B99">
          <w:pPr>
            <w:bidi w:val="0"/>
            <w:spacing w:line="240" w:lineRule="exact"/>
            <w:jc w:val="left"/>
          </w:pPr>
          <w:r>
            <w:t>Original: English</w:t>
          </w:r>
        </w:p>
      </w:tc>
    </w:tr>
  </w:tbl>
  <w:p w:rsidR="002245A4" w:rsidRPr="00493B99" w:rsidRDefault="002245A4" w:rsidP="00493B9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8696*"/>
    <w:docVar w:name="CreationDt" w:val="16/04/2007 09:560 ص"/>
    <w:docVar w:name="DocCategory" w:val="Doc"/>
    <w:docVar w:name="DocType" w:val="Final"/>
    <w:docVar w:name="FooterJN" w:val="07-28696"/>
    <w:docVar w:name="jobn" w:val="07-28696 (A)"/>
    <w:docVar w:name="jobnDT" w:val="07-28696 (A)   160407"/>
    <w:docVar w:name="jobnDTDT" w:val="07-28696 (A)   160407   160407"/>
    <w:docVar w:name="JobNo" w:val="0728696A"/>
    <w:docVar w:name="OandT" w:val=" "/>
    <w:docVar w:name="sss1" w:val="CEDAW/C/2007/II/3/Add.3"/>
    <w:docVar w:name="sss2" w:val="-"/>
    <w:docVar w:name="Symbol1" w:val="CEDAW/C/2007/II/3/Add.3"/>
    <w:docVar w:name="Symbol2" w:val="-"/>
  </w:docVars>
  <w:rsids>
    <w:rsidRoot w:val="001E561A"/>
    <w:rsid w:val="00005972"/>
    <w:rsid w:val="00037D2D"/>
    <w:rsid w:val="00042425"/>
    <w:rsid w:val="0006648F"/>
    <w:rsid w:val="00087310"/>
    <w:rsid w:val="0009732C"/>
    <w:rsid w:val="000C4EED"/>
    <w:rsid w:val="000D2CEC"/>
    <w:rsid w:val="00101EE8"/>
    <w:rsid w:val="00113349"/>
    <w:rsid w:val="001519A9"/>
    <w:rsid w:val="001737F8"/>
    <w:rsid w:val="00187870"/>
    <w:rsid w:val="001E561A"/>
    <w:rsid w:val="001F6786"/>
    <w:rsid w:val="002245A4"/>
    <w:rsid w:val="002416C5"/>
    <w:rsid w:val="00252D48"/>
    <w:rsid w:val="00266F59"/>
    <w:rsid w:val="00272B6C"/>
    <w:rsid w:val="0027623A"/>
    <w:rsid w:val="00290F2F"/>
    <w:rsid w:val="002937DA"/>
    <w:rsid w:val="002A09C6"/>
    <w:rsid w:val="002C2AF2"/>
    <w:rsid w:val="002C4A99"/>
    <w:rsid w:val="002C4E1B"/>
    <w:rsid w:val="002C5CCB"/>
    <w:rsid w:val="00312162"/>
    <w:rsid w:val="003501D5"/>
    <w:rsid w:val="00371AC4"/>
    <w:rsid w:val="00383CA8"/>
    <w:rsid w:val="003943B2"/>
    <w:rsid w:val="003A65ED"/>
    <w:rsid w:val="003D085B"/>
    <w:rsid w:val="003D4612"/>
    <w:rsid w:val="003E4A64"/>
    <w:rsid w:val="003F4B8C"/>
    <w:rsid w:val="00401BDF"/>
    <w:rsid w:val="00411BBD"/>
    <w:rsid w:val="00415922"/>
    <w:rsid w:val="004178F2"/>
    <w:rsid w:val="00423BD7"/>
    <w:rsid w:val="0042757D"/>
    <w:rsid w:val="00437C14"/>
    <w:rsid w:val="004527C9"/>
    <w:rsid w:val="00453069"/>
    <w:rsid w:val="00483F5B"/>
    <w:rsid w:val="00490874"/>
    <w:rsid w:val="00493B99"/>
    <w:rsid w:val="00494EE2"/>
    <w:rsid w:val="00496E83"/>
    <w:rsid w:val="004A2886"/>
    <w:rsid w:val="004B14A0"/>
    <w:rsid w:val="004D1B0C"/>
    <w:rsid w:val="004D38F0"/>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051A8"/>
    <w:rsid w:val="00616E82"/>
    <w:rsid w:val="006218A3"/>
    <w:rsid w:val="006564CE"/>
    <w:rsid w:val="00663F64"/>
    <w:rsid w:val="006837C2"/>
    <w:rsid w:val="00696B7A"/>
    <w:rsid w:val="006C38EE"/>
    <w:rsid w:val="0071531E"/>
    <w:rsid w:val="0071645B"/>
    <w:rsid w:val="00716E9D"/>
    <w:rsid w:val="00747B9E"/>
    <w:rsid w:val="007524BE"/>
    <w:rsid w:val="007525FA"/>
    <w:rsid w:val="00774FF0"/>
    <w:rsid w:val="0079046D"/>
    <w:rsid w:val="0079753A"/>
    <w:rsid w:val="007A6DD9"/>
    <w:rsid w:val="007C4342"/>
    <w:rsid w:val="007C54F7"/>
    <w:rsid w:val="007D60E0"/>
    <w:rsid w:val="007D6B8D"/>
    <w:rsid w:val="007E32B9"/>
    <w:rsid w:val="0081284F"/>
    <w:rsid w:val="00814843"/>
    <w:rsid w:val="008170DE"/>
    <w:rsid w:val="00830E32"/>
    <w:rsid w:val="00873A11"/>
    <w:rsid w:val="00873AF9"/>
    <w:rsid w:val="008D1C04"/>
    <w:rsid w:val="008F04A0"/>
    <w:rsid w:val="008F64A7"/>
    <w:rsid w:val="0090012B"/>
    <w:rsid w:val="0090351F"/>
    <w:rsid w:val="00905084"/>
    <w:rsid w:val="00944E46"/>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5A34"/>
    <w:rsid w:val="00B272BE"/>
    <w:rsid w:val="00B340F6"/>
    <w:rsid w:val="00B42AAA"/>
    <w:rsid w:val="00B9542C"/>
    <w:rsid w:val="00B95560"/>
    <w:rsid w:val="00BA7FAB"/>
    <w:rsid w:val="00BB08A7"/>
    <w:rsid w:val="00BC2F4C"/>
    <w:rsid w:val="00BC4A05"/>
    <w:rsid w:val="00BF0B15"/>
    <w:rsid w:val="00C12CBB"/>
    <w:rsid w:val="00C25A2D"/>
    <w:rsid w:val="00C260F8"/>
    <w:rsid w:val="00C43FBE"/>
    <w:rsid w:val="00C449C6"/>
    <w:rsid w:val="00C564B0"/>
    <w:rsid w:val="00C6283F"/>
    <w:rsid w:val="00C814A5"/>
    <w:rsid w:val="00C96573"/>
    <w:rsid w:val="00CA5300"/>
    <w:rsid w:val="00CD0BB8"/>
    <w:rsid w:val="00CD3849"/>
    <w:rsid w:val="00CF7384"/>
    <w:rsid w:val="00D2343D"/>
    <w:rsid w:val="00D30EAE"/>
    <w:rsid w:val="00D318F1"/>
    <w:rsid w:val="00D40B0E"/>
    <w:rsid w:val="00DA66B7"/>
    <w:rsid w:val="00DB0865"/>
    <w:rsid w:val="00DE5433"/>
    <w:rsid w:val="00DE68A7"/>
    <w:rsid w:val="00DF5F38"/>
    <w:rsid w:val="00E23336"/>
    <w:rsid w:val="00E31661"/>
    <w:rsid w:val="00E32B52"/>
    <w:rsid w:val="00E47EB8"/>
    <w:rsid w:val="00E7268A"/>
    <w:rsid w:val="00E750E1"/>
    <w:rsid w:val="00E9114A"/>
    <w:rsid w:val="00EA489C"/>
    <w:rsid w:val="00EB0CA7"/>
    <w:rsid w:val="00EB4992"/>
    <w:rsid w:val="00ED2A0F"/>
    <w:rsid w:val="00EF2E52"/>
    <w:rsid w:val="00F24CFE"/>
    <w:rsid w:val="00F32E4A"/>
    <w:rsid w:val="00F36D8C"/>
    <w:rsid w:val="00F859B3"/>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Normal"/>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93B99"/>
    <w:rPr>
      <w:szCs w:val="20"/>
    </w:rPr>
  </w:style>
  <w:style w:type="paragraph" w:styleId="CommentSubject">
    <w:name w:val="annotation subject"/>
    <w:basedOn w:val="CommentText"/>
    <w:next w:val="CommentText"/>
    <w:semiHidden/>
    <w:rsid w:val="00493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4094</Words>
  <Characters>23338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CMS Installer</dc:creator>
  <cp:keywords/>
  <dc:description/>
  <cp:lastModifiedBy>Samy.Sayed</cp:lastModifiedBy>
  <cp:revision>2</cp:revision>
  <cp:lastPrinted>2007-04-19T09:41:00Z</cp:lastPrinted>
  <dcterms:created xsi:type="dcterms:W3CDTF">2007-06-08T10:38:00Z</dcterms:created>
  <dcterms:modified xsi:type="dcterms:W3CDTF">2007-06-08T10:38:00Z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0728696</vt:lpwstr>
  </property>
  <property fmtid="{D5CDD505-2E9C-101B-9397-08002B2CF9AE}" pid="3" name="Symbol1">
    <vt:lpwstr>CEDAW/C/2007/II/3/Add.3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