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1885"/>
        <w:gridCol w:w="2868"/>
        <w:gridCol w:w="3612"/>
      </w:tblGrid>
      <w:tr w:rsidR="00AD0014" w:rsidRPr="00DB7679" w:rsidTr="005B46D9">
        <w:trPr>
          <w:trHeight w:hRule="exact" w:val="851"/>
        </w:trPr>
        <w:tc>
          <w:tcPr>
            <w:tcW w:w="1274" w:type="dxa"/>
            <w:tcBorders>
              <w:top w:val="nil"/>
              <w:bottom w:val="single" w:sz="4" w:space="0" w:color="auto"/>
            </w:tcBorders>
          </w:tcPr>
          <w:p w:rsidR="00AD0014" w:rsidRPr="000F3A9F" w:rsidRDefault="00AD0014" w:rsidP="00BC55C8"/>
        </w:tc>
        <w:tc>
          <w:tcPr>
            <w:tcW w:w="1885" w:type="dxa"/>
            <w:tcBorders>
              <w:bottom w:val="single" w:sz="4" w:space="0" w:color="auto"/>
            </w:tcBorders>
            <w:vAlign w:val="bottom"/>
          </w:tcPr>
          <w:p w:rsidR="00AD0014" w:rsidRPr="00DB7679" w:rsidRDefault="00460CB7" w:rsidP="00BC55C8">
            <w:pPr>
              <w:spacing w:after="80" w:line="480" w:lineRule="exact"/>
              <w:jc w:val="left"/>
              <w:rPr>
                <w:rFonts w:hint="cs"/>
                <w:szCs w:val="40"/>
                <w:rtl/>
              </w:rPr>
            </w:pPr>
            <w:r>
              <w:rPr>
                <w:rFonts w:hint="cs"/>
                <w:szCs w:val="40"/>
                <w:rtl/>
              </w:rPr>
              <w:t xml:space="preserve"> </w:t>
            </w:r>
            <w:r w:rsidR="00AD0014" w:rsidRPr="00DB7679">
              <w:rPr>
                <w:rFonts w:hint="cs"/>
                <w:szCs w:val="40"/>
                <w:rtl/>
              </w:rPr>
              <w:t>الأمم المتحدة</w:t>
            </w:r>
          </w:p>
        </w:tc>
        <w:tc>
          <w:tcPr>
            <w:tcW w:w="6480" w:type="dxa"/>
            <w:gridSpan w:val="2"/>
            <w:tcBorders>
              <w:bottom w:val="single" w:sz="4" w:space="0" w:color="auto"/>
            </w:tcBorders>
            <w:vAlign w:val="bottom"/>
          </w:tcPr>
          <w:p w:rsidR="00AD0014" w:rsidRPr="00DB7679" w:rsidRDefault="000B70AA" w:rsidP="000B70AA">
            <w:pPr>
              <w:bidi w:val="0"/>
              <w:spacing w:after="20"/>
              <w:jc w:val="left"/>
              <w:rPr>
                <w:szCs w:val="20"/>
              </w:rPr>
            </w:pPr>
            <w:r w:rsidRPr="000B70AA">
              <w:rPr>
                <w:sz w:val="40"/>
                <w:szCs w:val="20"/>
              </w:rPr>
              <w:t>CEDAW</w:t>
            </w:r>
            <w:r>
              <w:rPr>
                <w:szCs w:val="20"/>
              </w:rPr>
              <w:t>/C/2010/47/3/Add.4</w:t>
            </w:r>
          </w:p>
        </w:tc>
      </w:tr>
      <w:tr w:rsidR="00257225" w:rsidRPr="00DB7679" w:rsidTr="005B46D9">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4753" w:type="dxa"/>
            <w:gridSpan w:val="2"/>
            <w:tcBorders>
              <w:top w:val="single" w:sz="4" w:space="0" w:color="auto"/>
              <w:bottom w:val="single" w:sz="12" w:space="0" w:color="auto"/>
            </w:tcBorders>
          </w:tcPr>
          <w:p w:rsidR="00257225" w:rsidRPr="005B46D9" w:rsidRDefault="00257225" w:rsidP="002225D3">
            <w:pPr>
              <w:jc w:val="center"/>
              <w:rPr>
                <w:rFonts w:hint="cs"/>
                <w:szCs w:val="60"/>
                <w:rtl/>
              </w:rPr>
            </w:pPr>
          </w:p>
        </w:tc>
        <w:tc>
          <w:tcPr>
            <w:tcW w:w="3612" w:type="dxa"/>
            <w:tcBorders>
              <w:top w:val="single" w:sz="4" w:space="0" w:color="auto"/>
              <w:bottom w:val="single" w:sz="12" w:space="0" w:color="auto"/>
            </w:tcBorders>
          </w:tcPr>
          <w:p w:rsidR="000B70AA" w:rsidRDefault="000B70AA" w:rsidP="000B70AA">
            <w:pPr>
              <w:bidi w:val="0"/>
              <w:spacing w:before="240"/>
              <w:jc w:val="left"/>
            </w:pPr>
            <w:r>
              <w:t>Distr.: General</w:t>
            </w:r>
          </w:p>
          <w:p w:rsidR="000B70AA" w:rsidRDefault="000B70AA" w:rsidP="000B70AA">
            <w:pPr>
              <w:bidi w:val="0"/>
              <w:jc w:val="left"/>
            </w:pPr>
            <w:r>
              <w:t>12 August 2010</w:t>
            </w:r>
          </w:p>
          <w:p w:rsidR="000B70AA" w:rsidRDefault="000B70AA" w:rsidP="000B70AA">
            <w:pPr>
              <w:bidi w:val="0"/>
              <w:jc w:val="left"/>
            </w:pPr>
            <w:r>
              <w:t>Arabic</w:t>
            </w:r>
          </w:p>
          <w:p w:rsidR="00257225" w:rsidRPr="008B4BC6" w:rsidRDefault="000B70AA" w:rsidP="000B70AA">
            <w:pPr>
              <w:bidi w:val="0"/>
              <w:jc w:val="left"/>
            </w:pPr>
            <w:r>
              <w:t>Original: English</w:t>
            </w:r>
          </w:p>
        </w:tc>
      </w:tr>
    </w:tbl>
    <w:p w:rsidR="000B70AA" w:rsidRPr="005E4B7D" w:rsidRDefault="005E4B7D" w:rsidP="000E5C82">
      <w:pPr>
        <w:spacing w:before="120" w:line="380" w:lineRule="exact"/>
        <w:rPr>
          <w:rFonts w:hint="cs"/>
          <w:b/>
          <w:bCs/>
          <w:sz w:val="26"/>
          <w:szCs w:val="36"/>
          <w:rtl/>
        </w:rPr>
      </w:pPr>
      <w:r w:rsidRPr="005E4B7D">
        <w:rPr>
          <w:b/>
          <w:bCs/>
          <w:sz w:val="26"/>
          <w:szCs w:val="36"/>
          <w:rtl/>
        </w:rPr>
        <w:t>اللجنة المعنية بالقضاء على التمييز ضد المرأة</w:t>
      </w:r>
    </w:p>
    <w:p w:rsidR="00A152CA" w:rsidRPr="005E4B7D" w:rsidRDefault="00A152CA" w:rsidP="000E5C82">
      <w:pPr>
        <w:spacing w:line="380" w:lineRule="exact"/>
        <w:rPr>
          <w:b/>
          <w:bCs/>
          <w:rtl/>
        </w:rPr>
      </w:pPr>
      <w:r w:rsidRPr="005E4B7D">
        <w:rPr>
          <w:b/>
          <w:bCs/>
          <w:rtl/>
        </w:rPr>
        <w:t>الدورة السابعة والأربعون</w:t>
      </w:r>
    </w:p>
    <w:p w:rsidR="00A152CA" w:rsidRDefault="00A152CA" w:rsidP="000E5C82">
      <w:pPr>
        <w:spacing w:line="380" w:lineRule="exact"/>
        <w:rPr>
          <w:rtl/>
        </w:rPr>
      </w:pPr>
      <w:r>
        <w:rPr>
          <w:rtl/>
        </w:rPr>
        <w:t>4-22 تشرين الأول/أكتوبر 2010</w:t>
      </w:r>
    </w:p>
    <w:p w:rsidR="00A152CA" w:rsidRDefault="00A152CA" w:rsidP="000E5C82">
      <w:pPr>
        <w:spacing w:line="380" w:lineRule="exact"/>
        <w:rPr>
          <w:rFonts w:hint="cs"/>
          <w:rtl/>
        </w:rPr>
      </w:pPr>
      <w:r>
        <w:rPr>
          <w:rtl/>
        </w:rPr>
        <w:t>البند 5 من جدول الأعمال المؤقت</w:t>
      </w:r>
      <w:r w:rsidR="00870CB6" w:rsidRPr="00870CB6">
        <w:rPr>
          <w:rStyle w:val="FootnoteReference"/>
          <w:sz w:val="20"/>
          <w:vertAlign w:val="baseline"/>
          <w:rtl/>
        </w:rPr>
        <w:footnoteReference w:customMarkFollows="1" w:id="1"/>
        <w:t>*</w:t>
      </w:r>
    </w:p>
    <w:p w:rsidR="005C032B" w:rsidRDefault="00A152CA" w:rsidP="000E5C82">
      <w:pPr>
        <w:spacing w:line="380" w:lineRule="exact"/>
        <w:rPr>
          <w:rFonts w:hint="cs"/>
          <w:b/>
          <w:bCs/>
          <w:rtl/>
        </w:rPr>
      </w:pPr>
      <w:r w:rsidRPr="00E16C1B">
        <w:rPr>
          <w:b/>
          <w:bCs/>
          <w:rtl/>
        </w:rPr>
        <w:t>تنفيذ المادتي</w:t>
      </w:r>
      <w:r w:rsidR="005C032B">
        <w:rPr>
          <w:b/>
          <w:bCs/>
          <w:rtl/>
        </w:rPr>
        <w:t>ن 21</w:t>
      </w:r>
      <w:r w:rsidR="00F74105">
        <w:rPr>
          <w:b/>
          <w:bCs/>
          <w:rtl/>
        </w:rPr>
        <w:t xml:space="preserve"> و</w:t>
      </w:r>
      <w:r w:rsidR="005C032B">
        <w:rPr>
          <w:b/>
          <w:bCs/>
          <w:rtl/>
        </w:rPr>
        <w:t>22 من اتفاقية القضاء على</w:t>
      </w:r>
    </w:p>
    <w:p w:rsidR="00A152CA" w:rsidRPr="00E16C1B" w:rsidRDefault="00A152CA" w:rsidP="000E5C82">
      <w:pPr>
        <w:spacing w:line="380" w:lineRule="exact"/>
        <w:rPr>
          <w:b/>
          <w:bCs/>
          <w:rtl/>
        </w:rPr>
      </w:pPr>
      <w:r w:rsidRPr="00E16C1B">
        <w:rPr>
          <w:b/>
          <w:bCs/>
          <w:rtl/>
        </w:rPr>
        <w:t>جميع أشكال التمييز ضد المرأة</w:t>
      </w:r>
    </w:p>
    <w:p w:rsidR="00A152CA" w:rsidRDefault="00A152CA" w:rsidP="000D1EE8">
      <w:pPr>
        <w:pStyle w:val="HChGA"/>
        <w:rPr>
          <w:rtl/>
        </w:rPr>
      </w:pPr>
      <w:r>
        <w:rPr>
          <w:rtl/>
        </w:rPr>
        <w:tab/>
      </w:r>
      <w:r>
        <w:rPr>
          <w:rtl/>
        </w:rPr>
        <w:tab/>
        <w:t>التقارير المقدمة من الوكالات المتخصصة في منظومة الأمم المتحدة بشأن تنفيذ الاتفاقية في المجالات التي تدخل في نطاق أنشطتها</w:t>
      </w:r>
    </w:p>
    <w:p w:rsidR="00A152CA" w:rsidRDefault="00A152CA" w:rsidP="0039750C">
      <w:pPr>
        <w:pStyle w:val="H1GA"/>
        <w:rPr>
          <w:rtl/>
        </w:rPr>
      </w:pPr>
      <w:r>
        <w:rPr>
          <w:rtl/>
        </w:rPr>
        <w:tab/>
      </w:r>
      <w:r>
        <w:rPr>
          <w:rtl/>
        </w:rPr>
        <w:tab/>
        <w:t>مذكرة من الأمين العام</w:t>
      </w:r>
      <w:r w:rsidR="00A061BE" w:rsidRPr="00A061BE">
        <w:rPr>
          <w:rStyle w:val="FootnoteReference"/>
          <w:sz w:val="20"/>
          <w:vertAlign w:val="baseline"/>
          <w:rtl/>
        </w:rPr>
        <w:footnoteReference w:customMarkFollows="1" w:id="2"/>
        <w:t>**</w:t>
      </w:r>
    </w:p>
    <w:p w:rsidR="00A152CA" w:rsidRDefault="00A152CA" w:rsidP="0039750C">
      <w:pPr>
        <w:pStyle w:val="HChGA"/>
        <w:rPr>
          <w:rtl/>
        </w:rPr>
      </w:pPr>
      <w:r>
        <w:rPr>
          <w:rtl/>
        </w:rPr>
        <w:tab/>
      </w:r>
      <w:r>
        <w:rPr>
          <w:rtl/>
        </w:rPr>
        <w:tab/>
        <w:t>منظمة العمل الدولية</w:t>
      </w:r>
    </w:p>
    <w:p w:rsidR="00A152CA" w:rsidRDefault="00FF0806" w:rsidP="003529BB">
      <w:pPr>
        <w:pStyle w:val="HChGA"/>
        <w:spacing w:before="120"/>
        <w:rPr>
          <w:rtl/>
        </w:rPr>
      </w:pPr>
      <w:r>
        <w:rPr>
          <w:rtl/>
        </w:rPr>
        <w:br w:type="page"/>
      </w:r>
      <w:r w:rsidR="00E77BDC">
        <w:rPr>
          <w:rFonts w:hint="cs"/>
          <w:rtl/>
        </w:rPr>
        <w:tab/>
      </w:r>
      <w:r w:rsidR="00A152CA">
        <w:rPr>
          <w:rtl/>
        </w:rPr>
        <w:t>أولا</w:t>
      </w:r>
      <w:r w:rsidR="00542711">
        <w:rPr>
          <w:rFonts w:hint="cs"/>
          <w:rtl/>
        </w:rPr>
        <w:t>ً</w:t>
      </w:r>
      <w:r w:rsidR="00A152CA">
        <w:rPr>
          <w:rtl/>
        </w:rPr>
        <w:t xml:space="preserve"> -</w:t>
      </w:r>
      <w:r w:rsidR="00A152CA">
        <w:rPr>
          <w:rtl/>
        </w:rPr>
        <w:tab/>
        <w:t>مقدمة</w:t>
      </w:r>
    </w:p>
    <w:p w:rsidR="00A152CA" w:rsidRDefault="00A152CA" w:rsidP="00542711">
      <w:pPr>
        <w:pStyle w:val="SingleTxtGA"/>
        <w:rPr>
          <w:rtl/>
        </w:rPr>
      </w:pPr>
      <w:r>
        <w:rPr>
          <w:rtl/>
        </w:rPr>
        <w:t>1-</w:t>
      </w:r>
      <w:r>
        <w:rPr>
          <w:rtl/>
        </w:rPr>
        <w:tab/>
        <w:t>يتناول عدد من اتفاقيات منظمة العمل الدولية أحكام المادة 11 من اتفاقية القضاء على جميع أشكال التمييز ضد المرأة. ومن بين الاتفاقيات المعتمدة حتى الآن والبالغ</w:t>
      </w:r>
      <w:r w:rsidR="003529BB">
        <w:rPr>
          <w:rFonts w:hint="cs"/>
          <w:rtl/>
        </w:rPr>
        <w:t xml:space="preserve">         </w:t>
      </w:r>
      <w:r w:rsidR="00BE0A50">
        <w:rPr>
          <w:rtl/>
        </w:rPr>
        <w:t xml:space="preserve"> </w:t>
      </w:r>
      <w:r>
        <w:rPr>
          <w:rtl/>
        </w:rPr>
        <w:t>عددها 188، تتصل المعلومات الواردة في هذا التقرير في المقام الأول بما يلي:</w:t>
      </w:r>
    </w:p>
    <w:p w:rsidR="00A152CA" w:rsidRDefault="00A152CA" w:rsidP="000E5C82">
      <w:pPr>
        <w:pStyle w:val="Bullet1GA"/>
        <w:bidi/>
        <w:rPr>
          <w:rtl/>
        </w:rPr>
      </w:pPr>
      <w:r>
        <w:rPr>
          <w:rtl/>
        </w:rPr>
        <w:t xml:space="preserve">اتفاقية المساواة في الأجور، 1951 (رقم 100)، التي صدّقت عليها </w:t>
      </w:r>
      <w:r w:rsidR="001868F6">
        <w:rPr>
          <w:rFonts w:hint="cs"/>
          <w:rtl/>
        </w:rPr>
        <w:t xml:space="preserve">               </w:t>
      </w:r>
      <w:r>
        <w:rPr>
          <w:rtl/>
        </w:rPr>
        <w:t>168</w:t>
      </w:r>
      <w:r w:rsidR="00BE0A50">
        <w:rPr>
          <w:rtl/>
        </w:rPr>
        <w:t xml:space="preserve"> </w:t>
      </w:r>
      <w:r>
        <w:rPr>
          <w:rtl/>
        </w:rPr>
        <w:t>دولة عضواً</w:t>
      </w:r>
    </w:p>
    <w:p w:rsidR="00A152CA" w:rsidRDefault="00A152CA" w:rsidP="000E5C82">
      <w:pPr>
        <w:pStyle w:val="Bullet1GA"/>
        <w:bidi/>
        <w:rPr>
          <w:rtl/>
        </w:rPr>
      </w:pPr>
      <w:r>
        <w:rPr>
          <w:rtl/>
        </w:rPr>
        <w:t xml:space="preserve">اتفاقية التمييز (في </w:t>
      </w:r>
      <w:r w:rsidR="00FA23E8">
        <w:rPr>
          <w:rFonts w:hint="cs"/>
          <w:rtl/>
        </w:rPr>
        <w:t>الاستخدام</w:t>
      </w:r>
      <w:r>
        <w:rPr>
          <w:rtl/>
        </w:rPr>
        <w:t xml:space="preserve"> والمهن</w:t>
      </w:r>
      <w:r w:rsidR="00FA23E8">
        <w:rPr>
          <w:rFonts w:hint="cs"/>
          <w:rtl/>
        </w:rPr>
        <w:t>ة</w:t>
      </w:r>
      <w:r>
        <w:rPr>
          <w:rtl/>
        </w:rPr>
        <w:t xml:space="preserve">)، 1958 (رقم 111) التي صدّقت </w:t>
      </w:r>
      <w:r w:rsidR="001868F6">
        <w:rPr>
          <w:rFonts w:hint="cs"/>
          <w:rtl/>
        </w:rPr>
        <w:t xml:space="preserve">            </w:t>
      </w:r>
      <w:r>
        <w:rPr>
          <w:rtl/>
        </w:rPr>
        <w:t>عليها 169 دولة عضواً</w:t>
      </w:r>
    </w:p>
    <w:p w:rsidR="00A152CA" w:rsidRDefault="00A152CA" w:rsidP="00FA23E8">
      <w:pPr>
        <w:pStyle w:val="Bullet1GA"/>
        <w:bidi/>
        <w:rPr>
          <w:rtl/>
        </w:rPr>
      </w:pPr>
      <w:r>
        <w:rPr>
          <w:rtl/>
        </w:rPr>
        <w:t xml:space="preserve">اتفاقية العمال ذوي المسؤوليات </w:t>
      </w:r>
      <w:r w:rsidR="00FA23E8">
        <w:rPr>
          <w:rFonts w:hint="cs"/>
          <w:rtl/>
        </w:rPr>
        <w:t>العائلية</w:t>
      </w:r>
      <w:r>
        <w:rPr>
          <w:rtl/>
        </w:rPr>
        <w:t xml:space="preserve">، 1981 (رقم 156)، التي صدّقت عليها40 دولة عضواً. </w:t>
      </w:r>
    </w:p>
    <w:p w:rsidR="00A152CA" w:rsidRDefault="00A152CA" w:rsidP="00363177">
      <w:pPr>
        <w:pStyle w:val="SingleTxtGA"/>
        <w:rPr>
          <w:rtl/>
        </w:rPr>
      </w:pPr>
      <w:r>
        <w:rPr>
          <w:rtl/>
        </w:rPr>
        <w:t>2-</w:t>
      </w:r>
      <w:r>
        <w:rPr>
          <w:rtl/>
        </w:rPr>
        <w:tab/>
        <w:t>وترد، عند الاقتضاء، إشارة إلى عدد من الاتفاقيات الأخرى ذات الصلة بعمالة المرأة، وهي على النحو التالي:</w:t>
      </w:r>
    </w:p>
    <w:p w:rsidR="00A152CA" w:rsidRDefault="00095EE6" w:rsidP="00095EE6">
      <w:pPr>
        <w:pStyle w:val="H23GA"/>
        <w:rPr>
          <w:rtl/>
        </w:rPr>
      </w:pPr>
      <w:r>
        <w:rPr>
          <w:rFonts w:hint="cs"/>
          <w:rtl/>
        </w:rPr>
        <w:tab/>
      </w:r>
      <w:r>
        <w:rPr>
          <w:rFonts w:hint="cs"/>
          <w:rtl/>
        </w:rPr>
        <w:tab/>
      </w:r>
      <w:r w:rsidR="00A152CA">
        <w:rPr>
          <w:rtl/>
        </w:rPr>
        <w:t>السخرة</w:t>
      </w:r>
    </w:p>
    <w:p w:rsidR="00A152CA" w:rsidRDefault="00A152CA" w:rsidP="000A3B77">
      <w:pPr>
        <w:pStyle w:val="Bullet1GA"/>
        <w:bidi/>
        <w:rPr>
          <w:rtl/>
        </w:rPr>
      </w:pPr>
      <w:r>
        <w:rPr>
          <w:rtl/>
        </w:rPr>
        <w:t xml:space="preserve">اتفاقية </w:t>
      </w:r>
      <w:r w:rsidR="000A3B77">
        <w:rPr>
          <w:rFonts w:hint="cs"/>
          <w:rtl/>
        </w:rPr>
        <w:t>العمل الجبري</w:t>
      </w:r>
      <w:r>
        <w:rPr>
          <w:rtl/>
        </w:rPr>
        <w:t>، 1930 (رقم 29)</w:t>
      </w:r>
    </w:p>
    <w:p w:rsidR="00A152CA" w:rsidRDefault="00A152CA" w:rsidP="00095EE6">
      <w:pPr>
        <w:pStyle w:val="Bullet1GA"/>
        <w:bidi/>
        <w:rPr>
          <w:rtl/>
        </w:rPr>
      </w:pPr>
      <w:r>
        <w:rPr>
          <w:rtl/>
        </w:rPr>
        <w:t xml:space="preserve">اتفاقية إلغاء </w:t>
      </w:r>
      <w:r w:rsidR="000A3B77">
        <w:rPr>
          <w:rFonts w:hint="cs"/>
          <w:rtl/>
        </w:rPr>
        <w:t>العمل الجبري</w:t>
      </w:r>
      <w:r>
        <w:rPr>
          <w:rtl/>
        </w:rPr>
        <w:t>، 1957 (رقم 105)</w:t>
      </w:r>
    </w:p>
    <w:p w:rsidR="00A152CA" w:rsidRDefault="00CE3EF8" w:rsidP="00CE3EF8">
      <w:pPr>
        <w:pStyle w:val="H23GA"/>
        <w:rPr>
          <w:rtl/>
        </w:rPr>
      </w:pPr>
      <w:r>
        <w:rPr>
          <w:rFonts w:hint="cs"/>
          <w:rtl/>
        </w:rPr>
        <w:tab/>
      </w:r>
      <w:r>
        <w:rPr>
          <w:rFonts w:hint="cs"/>
          <w:rtl/>
        </w:rPr>
        <w:tab/>
      </w:r>
      <w:r w:rsidR="00A152CA">
        <w:rPr>
          <w:rtl/>
        </w:rPr>
        <w:t>عمل الأطفال</w:t>
      </w:r>
    </w:p>
    <w:p w:rsidR="00A152CA" w:rsidRDefault="00A152CA" w:rsidP="000A3B77">
      <w:pPr>
        <w:pStyle w:val="Bullet1GA"/>
        <w:bidi/>
        <w:rPr>
          <w:rtl/>
        </w:rPr>
      </w:pPr>
      <w:r>
        <w:rPr>
          <w:rtl/>
        </w:rPr>
        <w:t xml:space="preserve">اتفاقية الحد الأدنى لسن </w:t>
      </w:r>
      <w:r w:rsidR="000A3B77">
        <w:rPr>
          <w:rFonts w:hint="cs"/>
          <w:rtl/>
        </w:rPr>
        <w:t>الاستخدام</w:t>
      </w:r>
      <w:r>
        <w:rPr>
          <w:rtl/>
        </w:rPr>
        <w:t>، 1973 (رقم 138)</w:t>
      </w:r>
    </w:p>
    <w:p w:rsidR="00A152CA" w:rsidRDefault="00A152CA" w:rsidP="000A3B77">
      <w:pPr>
        <w:pStyle w:val="Bullet1GA"/>
        <w:bidi/>
        <w:rPr>
          <w:rtl/>
        </w:rPr>
      </w:pPr>
      <w:r>
        <w:rPr>
          <w:rtl/>
        </w:rPr>
        <w:t>اتفاقية أسوأ أشكال عمل الأطفال، 1999 (رقم 182)</w:t>
      </w:r>
    </w:p>
    <w:p w:rsidR="00A152CA" w:rsidRDefault="00DB1D25" w:rsidP="00DB1D25">
      <w:pPr>
        <w:pStyle w:val="H23GA"/>
        <w:rPr>
          <w:rtl/>
        </w:rPr>
      </w:pPr>
      <w:r>
        <w:rPr>
          <w:rFonts w:hint="cs"/>
          <w:rtl/>
        </w:rPr>
        <w:tab/>
      </w:r>
      <w:r>
        <w:rPr>
          <w:rFonts w:hint="cs"/>
          <w:rtl/>
        </w:rPr>
        <w:tab/>
      </w:r>
      <w:r w:rsidR="00A152CA">
        <w:rPr>
          <w:rtl/>
        </w:rPr>
        <w:t>حرية تكوين الجمعيات</w:t>
      </w:r>
    </w:p>
    <w:p w:rsidR="00A152CA" w:rsidRDefault="00A152CA" w:rsidP="00545C2D">
      <w:pPr>
        <w:pStyle w:val="Bullet1GA"/>
        <w:bidi/>
        <w:rPr>
          <w:rtl/>
        </w:rPr>
      </w:pPr>
      <w:r>
        <w:rPr>
          <w:rtl/>
        </w:rPr>
        <w:t xml:space="preserve">اتفاقية </w:t>
      </w:r>
      <w:r w:rsidR="00545C2D">
        <w:rPr>
          <w:rFonts w:hint="cs"/>
          <w:rtl/>
        </w:rPr>
        <w:t>ال</w:t>
      </w:r>
      <w:r>
        <w:rPr>
          <w:rtl/>
        </w:rPr>
        <w:t xml:space="preserve">حرية </w:t>
      </w:r>
      <w:r w:rsidR="00545C2D">
        <w:rPr>
          <w:rFonts w:hint="cs"/>
          <w:rtl/>
        </w:rPr>
        <w:t xml:space="preserve">النقابية </w:t>
      </w:r>
      <w:r>
        <w:rPr>
          <w:rtl/>
        </w:rPr>
        <w:t>وحماية حق التنظيم، 1948 (رقم 87)</w:t>
      </w:r>
    </w:p>
    <w:p w:rsidR="00A152CA" w:rsidRDefault="00A152CA" w:rsidP="00545C2D">
      <w:pPr>
        <w:pStyle w:val="Bullet1GA"/>
        <w:bidi/>
        <w:rPr>
          <w:rtl/>
        </w:rPr>
      </w:pPr>
      <w:r>
        <w:rPr>
          <w:rtl/>
        </w:rPr>
        <w:t xml:space="preserve">اتفاقية </w:t>
      </w:r>
      <w:r w:rsidR="00545C2D">
        <w:rPr>
          <w:rFonts w:hint="cs"/>
          <w:rtl/>
        </w:rPr>
        <w:t xml:space="preserve">حق التنظيم </w:t>
      </w:r>
      <w:r>
        <w:rPr>
          <w:rtl/>
        </w:rPr>
        <w:t>والمفاوض</w:t>
      </w:r>
      <w:r w:rsidR="00545C2D">
        <w:rPr>
          <w:rFonts w:hint="cs"/>
          <w:rtl/>
        </w:rPr>
        <w:t>ة</w:t>
      </w:r>
      <w:r>
        <w:rPr>
          <w:rtl/>
        </w:rPr>
        <w:t xml:space="preserve"> الجماعية، 1949 (رقم 98)</w:t>
      </w:r>
    </w:p>
    <w:p w:rsidR="00A152CA" w:rsidRDefault="00C12795" w:rsidP="00C12795">
      <w:pPr>
        <w:pStyle w:val="H23GA"/>
        <w:rPr>
          <w:rtl/>
        </w:rPr>
      </w:pPr>
      <w:r>
        <w:rPr>
          <w:rFonts w:hint="cs"/>
          <w:rtl/>
        </w:rPr>
        <w:tab/>
      </w:r>
      <w:r w:rsidR="00A152CA">
        <w:rPr>
          <w:rtl/>
        </w:rPr>
        <w:tab/>
        <w:t>سياسة العمالة</w:t>
      </w:r>
    </w:p>
    <w:p w:rsidR="00A152CA" w:rsidRDefault="00A152CA" w:rsidP="00B77977">
      <w:pPr>
        <w:pStyle w:val="Bullet1GA"/>
        <w:bidi/>
        <w:rPr>
          <w:rtl/>
        </w:rPr>
      </w:pPr>
      <w:r>
        <w:rPr>
          <w:rtl/>
        </w:rPr>
        <w:t>اتفاقية سياسة العمالة، 1964 (رقم 122)</w:t>
      </w:r>
    </w:p>
    <w:p w:rsidR="00A152CA" w:rsidRDefault="00A152CA" w:rsidP="00B77977">
      <w:pPr>
        <w:pStyle w:val="Bullet1GA"/>
        <w:bidi/>
        <w:rPr>
          <w:rtl/>
        </w:rPr>
      </w:pPr>
      <w:r>
        <w:rPr>
          <w:rtl/>
        </w:rPr>
        <w:t>اتفاقية تنمية الموارد البشرية، 1975 (رقم 142)</w:t>
      </w:r>
    </w:p>
    <w:p w:rsidR="00A152CA" w:rsidRDefault="001178CA" w:rsidP="00BD3065">
      <w:pPr>
        <w:pStyle w:val="H23GA"/>
        <w:rPr>
          <w:rtl/>
        </w:rPr>
      </w:pPr>
      <w:r>
        <w:rPr>
          <w:rtl/>
        </w:rPr>
        <w:br w:type="page"/>
      </w:r>
      <w:r w:rsidR="00BD3065">
        <w:rPr>
          <w:rFonts w:hint="cs"/>
          <w:rtl/>
        </w:rPr>
        <w:tab/>
      </w:r>
      <w:r w:rsidR="00BD3065">
        <w:rPr>
          <w:rFonts w:hint="cs"/>
          <w:rtl/>
        </w:rPr>
        <w:tab/>
      </w:r>
      <w:r w:rsidR="00A152CA">
        <w:rPr>
          <w:rtl/>
        </w:rPr>
        <w:t>حماية الأمومة</w:t>
      </w:r>
    </w:p>
    <w:p w:rsidR="00A152CA" w:rsidRDefault="00A152CA" w:rsidP="00DE310C">
      <w:pPr>
        <w:pStyle w:val="Bullet1GA"/>
        <w:bidi/>
        <w:rPr>
          <w:rtl/>
        </w:rPr>
      </w:pPr>
      <w:r>
        <w:rPr>
          <w:rtl/>
        </w:rPr>
        <w:t>اتفاقية حماية الأمومة، 1919 (رقم 3)</w:t>
      </w:r>
    </w:p>
    <w:p w:rsidR="00A152CA" w:rsidRDefault="00A152CA" w:rsidP="00DE310C">
      <w:pPr>
        <w:pStyle w:val="Bullet1GA"/>
        <w:bidi/>
        <w:rPr>
          <w:rtl/>
        </w:rPr>
      </w:pPr>
      <w:r>
        <w:rPr>
          <w:rtl/>
        </w:rPr>
        <w:t>اتفاقية حماية الأمومة (</w:t>
      </w:r>
      <w:r w:rsidR="00B803FB">
        <w:rPr>
          <w:rFonts w:hint="cs"/>
          <w:rtl/>
        </w:rPr>
        <w:t>مراجعة</w:t>
      </w:r>
      <w:r>
        <w:rPr>
          <w:rtl/>
        </w:rPr>
        <w:t>)، 1952 (رقم 103)</w:t>
      </w:r>
    </w:p>
    <w:p w:rsidR="00A152CA" w:rsidRDefault="00A152CA" w:rsidP="00DE310C">
      <w:pPr>
        <w:pStyle w:val="Bullet1GA"/>
        <w:bidi/>
        <w:rPr>
          <w:rtl/>
        </w:rPr>
      </w:pPr>
      <w:r>
        <w:rPr>
          <w:rtl/>
        </w:rPr>
        <w:t>اتفاقية حماية الأمومة، 2000 (رقم 183)</w:t>
      </w:r>
    </w:p>
    <w:p w:rsidR="00A152CA" w:rsidRDefault="003D0C7F" w:rsidP="003D0C7F">
      <w:pPr>
        <w:pStyle w:val="H23GA"/>
        <w:rPr>
          <w:rtl/>
        </w:rPr>
      </w:pPr>
      <w:r>
        <w:rPr>
          <w:rFonts w:hint="cs"/>
          <w:rtl/>
        </w:rPr>
        <w:tab/>
      </w:r>
      <w:r>
        <w:rPr>
          <w:rFonts w:hint="cs"/>
          <w:rtl/>
        </w:rPr>
        <w:tab/>
      </w:r>
      <w:r w:rsidR="00A152CA">
        <w:rPr>
          <w:rtl/>
        </w:rPr>
        <w:t>العمل ليلا</w:t>
      </w:r>
    </w:p>
    <w:p w:rsidR="00A152CA" w:rsidRDefault="00A152CA" w:rsidP="000E5C82">
      <w:pPr>
        <w:ind w:left="1134"/>
        <w:rPr>
          <w:rtl/>
        </w:rPr>
      </w:pPr>
      <w:r>
        <w:rPr>
          <w:rtl/>
        </w:rPr>
        <w:tab/>
        <w:t>•</w:t>
      </w:r>
      <w:r>
        <w:rPr>
          <w:rtl/>
        </w:rPr>
        <w:tab/>
        <w:t>اتفاقية العمل ليلا (</w:t>
      </w:r>
      <w:r w:rsidR="00E51A76">
        <w:rPr>
          <w:rFonts w:hint="cs"/>
          <w:rtl/>
        </w:rPr>
        <w:t>النساء</w:t>
      </w:r>
      <w:r>
        <w:rPr>
          <w:rtl/>
        </w:rPr>
        <w:t>)</w:t>
      </w:r>
      <w:r w:rsidR="00E51A76">
        <w:rPr>
          <w:rFonts w:hint="cs"/>
          <w:rtl/>
        </w:rPr>
        <w:t xml:space="preserve"> (</w:t>
      </w:r>
      <w:r w:rsidR="00F4486E">
        <w:rPr>
          <w:rFonts w:hint="cs"/>
          <w:rtl/>
        </w:rPr>
        <w:t>مراجعة</w:t>
      </w:r>
      <w:r w:rsidR="00E51A76">
        <w:rPr>
          <w:rFonts w:hint="cs"/>
          <w:rtl/>
        </w:rPr>
        <w:t>)</w:t>
      </w:r>
      <w:r>
        <w:rPr>
          <w:rtl/>
        </w:rPr>
        <w:t>، 1948 (رقم 89) [والبروتوكول]</w:t>
      </w:r>
    </w:p>
    <w:p w:rsidR="00A152CA" w:rsidRDefault="00A152CA" w:rsidP="000E5C82">
      <w:pPr>
        <w:ind w:left="1134"/>
        <w:rPr>
          <w:rtl/>
        </w:rPr>
      </w:pPr>
      <w:r>
        <w:rPr>
          <w:rtl/>
        </w:rPr>
        <w:tab/>
        <w:t>•</w:t>
      </w:r>
      <w:r>
        <w:rPr>
          <w:rtl/>
        </w:rPr>
        <w:tab/>
        <w:t xml:space="preserve">اتفاقية العمل </w:t>
      </w:r>
      <w:r w:rsidR="008F52E6">
        <w:rPr>
          <w:rFonts w:hint="cs"/>
          <w:rtl/>
        </w:rPr>
        <w:t>الليلي</w:t>
      </w:r>
      <w:r>
        <w:rPr>
          <w:rtl/>
        </w:rPr>
        <w:t>، 1990 (رقم 171)</w:t>
      </w:r>
    </w:p>
    <w:p w:rsidR="00A152CA" w:rsidRDefault="00C668E9" w:rsidP="00C668E9">
      <w:pPr>
        <w:pStyle w:val="H23GA"/>
        <w:rPr>
          <w:rtl/>
        </w:rPr>
      </w:pPr>
      <w:r>
        <w:rPr>
          <w:rFonts w:hint="cs"/>
          <w:rtl/>
        </w:rPr>
        <w:tab/>
      </w:r>
      <w:r>
        <w:rPr>
          <w:rFonts w:hint="cs"/>
          <w:rtl/>
        </w:rPr>
        <w:tab/>
      </w:r>
      <w:r w:rsidR="00A152CA">
        <w:rPr>
          <w:rtl/>
        </w:rPr>
        <w:t>العمل تحت سطح الأرض</w:t>
      </w:r>
    </w:p>
    <w:p w:rsidR="00A152CA" w:rsidRDefault="00A152CA" w:rsidP="00C668E9">
      <w:pPr>
        <w:pStyle w:val="Bullet1GA"/>
        <w:bidi/>
        <w:rPr>
          <w:rtl/>
        </w:rPr>
      </w:pPr>
      <w:r>
        <w:rPr>
          <w:rtl/>
        </w:rPr>
        <w:t>اتفاقية العمل تحت سطح الأرض، 1935 (رقم 45)</w:t>
      </w:r>
    </w:p>
    <w:p w:rsidR="00A152CA" w:rsidRDefault="0011175A" w:rsidP="0011175A">
      <w:pPr>
        <w:pStyle w:val="H23GA"/>
        <w:rPr>
          <w:rtl/>
        </w:rPr>
      </w:pPr>
      <w:r>
        <w:rPr>
          <w:rFonts w:hint="cs"/>
          <w:rtl/>
        </w:rPr>
        <w:tab/>
      </w:r>
      <w:r>
        <w:rPr>
          <w:rFonts w:hint="cs"/>
          <w:rtl/>
        </w:rPr>
        <w:tab/>
      </w:r>
      <w:r w:rsidR="00A152CA">
        <w:rPr>
          <w:rtl/>
        </w:rPr>
        <w:t>العمال المهاجرون</w:t>
      </w:r>
    </w:p>
    <w:p w:rsidR="00A152CA" w:rsidRDefault="00A152CA" w:rsidP="000E5C82">
      <w:pPr>
        <w:ind w:left="1134"/>
        <w:rPr>
          <w:rtl/>
        </w:rPr>
      </w:pPr>
      <w:r>
        <w:rPr>
          <w:rtl/>
        </w:rPr>
        <w:tab/>
        <w:t>•</w:t>
      </w:r>
      <w:r>
        <w:rPr>
          <w:rtl/>
        </w:rPr>
        <w:tab/>
        <w:t xml:space="preserve">اتفاقية </w:t>
      </w:r>
      <w:r w:rsidR="00F4486E">
        <w:rPr>
          <w:rFonts w:hint="cs"/>
          <w:rtl/>
        </w:rPr>
        <w:t xml:space="preserve">العمال المهاجرين </w:t>
      </w:r>
      <w:r>
        <w:rPr>
          <w:rtl/>
        </w:rPr>
        <w:t>(</w:t>
      </w:r>
      <w:r w:rsidR="00F4486E">
        <w:rPr>
          <w:rFonts w:hint="cs"/>
          <w:rtl/>
        </w:rPr>
        <w:t>مراجعة</w:t>
      </w:r>
      <w:r>
        <w:rPr>
          <w:rtl/>
        </w:rPr>
        <w:t>)، 1949 (رقم 97)</w:t>
      </w:r>
    </w:p>
    <w:p w:rsidR="00A152CA" w:rsidRDefault="00A152CA" w:rsidP="000E5C82">
      <w:pPr>
        <w:ind w:left="1134"/>
        <w:rPr>
          <w:rtl/>
        </w:rPr>
      </w:pPr>
      <w:r>
        <w:rPr>
          <w:rtl/>
        </w:rPr>
        <w:tab/>
        <w:t>•</w:t>
      </w:r>
      <w:r>
        <w:rPr>
          <w:rtl/>
        </w:rPr>
        <w:tab/>
        <w:t>اتفاقية العمال المهاجرين (أحكام تكميلية)، 1975 (رقم 143)</w:t>
      </w:r>
    </w:p>
    <w:p w:rsidR="00A152CA" w:rsidRDefault="008768D9" w:rsidP="008768D9">
      <w:pPr>
        <w:pStyle w:val="H23GA"/>
        <w:rPr>
          <w:rtl/>
        </w:rPr>
      </w:pPr>
      <w:r>
        <w:rPr>
          <w:rFonts w:hint="cs"/>
          <w:rtl/>
        </w:rPr>
        <w:tab/>
      </w:r>
      <w:r>
        <w:rPr>
          <w:rFonts w:hint="cs"/>
          <w:rtl/>
        </w:rPr>
        <w:tab/>
      </w:r>
      <w:r w:rsidR="00A152CA">
        <w:rPr>
          <w:rtl/>
        </w:rPr>
        <w:t>العمل بعض الوقت</w:t>
      </w:r>
    </w:p>
    <w:p w:rsidR="00A152CA" w:rsidRDefault="00A152CA" w:rsidP="00E83616">
      <w:pPr>
        <w:pStyle w:val="Bullet1GA"/>
        <w:bidi/>
        <w:rPr>
          <w:rtl/>
        </w:rPr>
      </w:pPr>
      <w:r>
        <w:rPr>
          <w:rtl/>
        </w:rPr>
        <w:t>اتفاقية العمل بعض الوقت، 1994 (رقم 175)</w:t>
      </w:r>
    </w:p>
    <w:p w:rsidR="00A152CA" w:rsidRDefault="00E83616" w:rsidP="00E83616">
      <w:pPr>
        <w:pStyle w:val="H23GA"/>
        <w:rPr>
          <w:rtl/>
        </w:rPr>
      </w:pPr>
      <w:r>
        <w:rPr>
          <w:rtl/>
        </w:rPr>
        <w:tab/>
      </w:r>
      <w:r>
        <w:rPr>
          <w:rFonts w:hint="cs"/>
          <w:rtl/>
        </w:rPr>
        <w:tab/>
      </w:r>
      <w:r>
        <w:rPr>
          <w:rtl/>
        </w:rPr>
        <w:t>العمل في المن</w:t>
      </w:r>
      <w:r w:rsidR="00A152CA">
        <w:rPr>
          <w:rtl/>
        </w:rPr>
        <w:t>زل</w:t>
      </w:r>
    </w:p>
    <w:p w:rsidR="00A152CA" w:rsidRDefault="00A152CA" w:rsidP="00E83616">
      <w:pPr>
        <w:pStyle w:val="Bullet1GA"/>
        <w:bidi/>
        <w:rPr>
          <w:rtl/>
        </w:rPr>
      </w:pPr>
      <w:r>
        <w:rPr>
          <w:rtl/>
        </w:rPr>
        <w:t>اتفاقية العمل في المنزل، 1996 (رقم 177)</w:t>
      </w:r>
    </w:p>
    <w:p w:rsidR="00A152CA" w:rsidRDefault="00A152CA" w:rsidP="00556694">
      <w:pPr>
        <w:pStyle w:val="SingleTxtGA"/>
        <w:rPr>
          <w:rtl/>
        </w:rPr>
      </w:pPr>
      <w:r>
        <w:rPr>
          <w:rtl/>
        </w:rPr>
        <w:t>3-</w:t>
      </w:r>
      <w:r>
        <w:rPr>
          <w:rtl/>
        </w:rPr>
        <w:tab/>
        <w:t xml:space="preserve">وتتولى الإشراف على تطبيق الاتفاقيات المصدّق عليها لجنة الخبراء التابعة لمنظمة العمل الدولية المعنية بتطبيق الاتفاقيات والتوصيات، وهي هيئة تضم خبراء مستقلين من كل أرجاء العالم، وتعقد اجتماعاتها سنوياً. وتضم المعلومات المقدمة في </w:t>
      </w:r>
      <w:r w:rsidR="008B4AF7">
        <w:rPr>
          <w:rFonts w:hint="cs"/>
          <w:rtl/>
        </w:rPr>
        <w:t>الجزء الثاني</w:t>
      </w:r>
      <w:r>
        <w:rPr>
          <w:rtl/>
        </w:rPr>
        <w:t xml:space="preserve"> من هذا التقرير موجزات للملاحظات المقدمة من اللجنة وطلباتها المباشرة. والملاحظات هي تعليقات تُنشر في التقرير السنوي للجنة الخبراء، الذي يصدر بالإسبانية والإنكليزية والفرنسية، وتُقدم إلى </w:t>
      </w:r>
      <w:r w:rsidR="00556694">
        <w:rPr>
          <w:rFonts w:hint="cs"/>
          <w:rtl/>
        </w:rPr>
        <w:t>لجنة تطبيق المعايير ب</w:t>
      </w:r>
      <w:r>
        <w:rPr>
          <w:rtl/>
        </w:rPr>
        <w:t xml:space="preserve">مؤتمر العمل الدولي. ولا تُنشر الطلبات المباشرة (التي تعدُّ بالإنكليزية والفرنسية، وبالإسبانية أيضا للبلدان الناطقة بالإسبانية) في شكل كتاب، ولكنها تتاح للجمهور. وفي تاريخ لاحق، تُنشر </w:t>
      </w:r>
      <w:r w:rsidR="00556694">
        <w:rPr>
          <w:rFonts w:hint="cs"/>
          <w:rtl/>
        </w:rPr>
        <w:t xml:space="preserve">على </w:t>
      </w:r>
      <w:r>
        <w:rPr>
          <w:rtl/>
        </w:rPr>
        <w:t xml:space="preserve">قاعدة بيانات منظمة العمل الدولية عن الأنشطة الإشرافية، </w:t>
      </w:r>
      <w:r>
        <w:t>ILOLEX</w:t>
      </w:r>
      <w:r>
        <w:rPr>
          <w:rtl/>
        </w:rPr>
        <w:t>.</w:t>
      </w:r>
    </w:p>
    <w:p w:rsidR="00A152CA" w:rsidRDefault="00A152CA" w:rsidP="00787828">
      <w:pPr>
        <w:pStyle w:val="SingleTxtGA"/>
        <w:rPr>
          <w:rtl/>
        </w:rPr>
      </w:pPr>
      <w:r>
        <w:rPr>
          <w:rtl/>
        </w:rPr>
        <w:t>4-</w:t>
      </w:r>
      <w:r>
        <w:rPr>
          <w:rtl/>
        </w:rPr>
        <w:tab/>
        <w:t xml:space="preserve">وتتضمن المعلومات الواردة أدناه إشارات موجزة إلى </w:t>
      </w:r>
      <w:r w:rsidR="00D04A11">
        <w:rPr>
          <w:rFonts w:hint="cs"/>
          <w:rtl/>
        </w:rPr>
        <w:t>ال</w:t>
      </w:r>
      <w:r>
        <w:rPr>
          <w:rtl/>
        </w:rPr>
        <w:t xml:space="preserve">تعليقات </w:t>
      </w:r>
      <w:r w:rsidR="00D04A11">
        <w:rPr>
          <w:rFonts w:hint="cs"/>
          <w:rtl/>
        </w:rPr>
        <w:t>الأ</w:t>
      </w:r>
      <w:r>
        <w:rPr>
          <w:rtl/>
        </w:rPr>
        <w:t>كثر تفصيلا</w:t>
      </w:r>
      <w:r w:rsidR="00D04A11">
        <w:rPr>
          <w:rFonts w:hint="cs"/>
          <w:rtl/>
        </w:rPr>
        <w:t>ً</w:t>
      </w:r>
      <w:r>
        <w:rPr>
          <w:rtl/>
        </w:rPr>
        <w:t xml:space="preserve"> بكثير لهيئات الإشراف التابعة لمنظمة العمل الدولية. ويمكن الاطلاع على التعليقات ذات الصلة للجنة الخبراء المشار إليها في </w:t>
      </w:r>
      <w:r w:rsidR="00AA638F">
        <w:rPr>
          <w:rFonts w:hint="cs"/>
          <w:rtl/>
        </w:rPr>
        <w:t>الجزء الثاني</w:t>
      </w:r>
      <w:r>
        <w:rPr>
          <w:rtl/>
        </w:rPr>
        <w:t xml:space="preserve"> على الموقع الشبكي التالي: </w:t>
      </w:r>
      <w:r>
        <w:t>www.ilo.org/public/english/standards/norm/index.htm</w:t>
      </w:r>
      <w:r>
        <w:rPr>
          <w:rtl/>
        </w:rPr>
        <w:t xml:space="preserve"> ثم </w:t>
      </w:r>
      <w:r w:rsidR="001D5785">
        <w:rPr>
          <w:rFonts w:hint="cs"/>
          <w:rtl/>
        </w:rPr>
        <w:t>الذهاب</w:t>
      </w:r>
      <w:r>
        <w:rPr>
          <w:rtl/>
        </w:rPr>
        <w:t xml:space="preserve"> إلى قاعدة البيانات المتعلقة ب</w:t>
      </w:r>
      <w:r w:rsidR="00787828">
        <w:rPr>
          <w:rFonts w:hint="cs"/>
          <w:rtl/>
        </w:rPr>
        <w:t xml:space="preserve">لجنة </w:t>
      </w:r>
      <w:r>
        <w:rPr>
          <w:rtl/>
        </w:rPr>
        <w:t xml:space="preserve">تطبيق </w:t>
      </w:r>
      <w:r w:rsidR="00787828">
        <w:rPr>
          <w:rFonts w:hint="cs"/>
          <w:rtl/>
        </w:rPr>
        <w:t>ال</w:t>
      </w:r>
      <w:r>
        <w:rPr>
          <w:rtl/>
        </w:rPr>
        <w:t>معايير (</w:t>
      </w:r>
      <w:r>
        <w:t>APPLIS</w:t>
      </w:r>
      <w:r>
        <w:rPr>
          <w:rtl/>
        </w:rPr>
        <w:t>).</w:t>
      </w:r>
    </w:p>
    <w:p w:rsidR="00A152CA" w:rsidRDefault="00860D23" w:rsidP="002C7099">
      <w:pPr>
        <w:pStyle w:val="HChGA"/>
        <w:rPr>
          <w:rtl/>
        </w:rPr>
      </w:pPr>
      <w:r>
        <w:rPr>
          <w:rFonts w:hint="cs"/>
          <w:rtl/>
        </w:rPr>
        <w:tab/>
      </w:r>
      <w:r w:rsidR="00A152CA">
        <w:rPr>
          <w:rtl/>
        </w:rPr>
        <w:t>ثانيا</w:t>
      </w:r>
      <w:r w:rsidR="002C7099">
        <w:rPr>
          <w:rFonts w:hint="cs"/>
          <w:rtl/>
        </w:rPr>
        <w:t>ً</w:t>
      </w:r>
      <w:r w:rsidR="00A152CA">
        <w:rPr>
          <w:rtl/>
        </w:rPr>
        <w:t xml:space="preserve"> -</w:t>
      </w:r>
      <w:r w:rsidR="00A152CA">
        <w:rPr>
          <w:rtl/>
        </w:rPr>
        <w:tab/>
        <w:t>الإيضاحات المتعلقة بالحالة في كل بلد على حدة</w:t>
      </w:r>
    </w:p>
    <w:p w:rsidR="00A152CA" w:rsidRDefault="00212177" w:rsidP="000E5C82">
      <w:pPr>
        <w:pStyle w:val="H1GA"/>
        <w:rPr>
          <w:rtl/>
        </w:rPr>
      </w:pPr>
      <w:r>
        <w:rPr>
          <w:rFonts w:hint="cs"/>
          <w:rtl/>
        </w:rPr>
        <w:tab/>
      </w:r>
      <w:r>
        <w:rPr>
          <w:rFonts w:hint="cs"/>
          <w:rtl/>
        </w:rPr>
        <w:tab/>
      </w:r>
      <w:r w:rsidR="00EE2AD0">
        <w:rPr>
          <w:rFonts w:hint="cs"/>
          <w:rtl/>
        </w:rPr>
        <w:t xml:space="preserve">جزر </w:t>
      </w:r>
      <w:r w:rsidR="00A152CA">
        <w:rPr>
          <w:rtl/>
        </w:rPr>
        <w:t>البهاما</w:t>
      </w:r>
    </w:p>
    <w:p w:rsidR="00A152CA" w:rsidRDefault="00A152CA" w:rsidP="000E5C82">
      <w:pPr>
        <w:pStyle w:val="SingleTxtGA"/>
        <w:rPr>
          <w:rtl/>
        </w:rPr>
      </w:pPr>
      <w:r>
        <w:rPr>
          <w:rtl/>
        </w:rPr>
        <w:t>5-</w:t>
      </w:r>
      <w:r>
        <w:rPr>
          <w:rtl/>
        </w:rPr>
        <w:tab/>
        <w:t xml:space="preserve">من بين اتفاقيات منظمة العمل الدولية ذات الصلة، صدّقت </w:t>
      </w:r>
      <w:r w:rsidR="00A737C1">
        <w:rPr>
          <w:rFonts w:hint="cs"/>
          <w:rtl/>
        </w:rPr>
        <w:t xml:space="preserve">جزر </w:t>
      </w:r>
      <w:r>
        <w:rPr>
          <w:rtl/>
        </w:rPr>
        <w:t>البهاما على الاتفاقي</w:t>
      </w:r>
      <w:r w:rsidR="000E5C82">
        <w:rPr>
          <w:rFonts w:hint="cs"/>
          <w:rtl/>
        </w:rPr>
        <w:t>تين</w:t>
      </w:r>
      <w:r>
        <w:rPr>
          <w:rtl/>
        </w:rPr>
        <w:t xml:space="preserve"> </w:t>
      </w:r>
      <w:r w:rsidR="00A737C1">
        <w:rPr>
          <w:rFonts w:hint="cs"/>
          <w:rtl/>
        </w:rPr>
        <w:t xml:space="preserve">رقم </w:t>
      </w:r>
      <w:r>
        <w:rPr>
          <w:rtl/>
        </w:rPr>
        <w:t>100</w:t>
      </w:r>
      <w:r w:rsidR="00F74105">
        <w:rPr>
          <w:rtl/>
        </w:rPr>
        <w:t xml:space="preserve"> و</w:t>
      </w:r>
      <w:r>
        <w:rPr>
          <w:rtl/>
        </w:rPr>
        <w:t>111. وصدقت أيضا على الاتفاقيات رقم 29</w:t>
      </w:r>
      <w:r w:rsidR="00F74105">
        <w:rPr>
          <w:rtl/>
        </w:rPr>
        <w:t xml:space="preserve"> و</w:t>
      </w:r>
      <w:r>
        <w:rPr>
          <w:rtl/>
        </w:rPr>
        <w:t>45</w:t>
      </w:r>
      <w:r w:rsidR="00F74105">
        <w:rPr>
          <w:rtl/>
        </w:rPr>
        <w:t xml:space="preserve"> و</w:t>
      </w:r>
      <w:r>
        <w:rPr>
          <w:rtl/>
        </w:rPr>
        <w:t>87</w:t>
      </w:r>
      <w:r w:rsidR="00F74105">
        <w:rPr>
          <w:rtl/>
        </w:rPr>
        <w:t xml:space="preserve"> و</w:t>
      </w:r>
      <w:r>
        <w:rPr>
          <w:rtl/>
        </w:rPr>
        <w:t>97</w:t>
      </w:r>
      <w:r w:rsidR="00F74105">
        <w:rPr>
          <w:rtl/>
        </w:rPr>
        <w:t xml:space="preserve"> و</w:t>
      </w:r>
      <w:r>
        <w:rPr>
          <w:rtl/>
        </w:rPr>
        <w:t>98</w:t>
      </w:r>
      <w:r w:rsidR="00F74105">
        <w:rPr>
          <w:rtl/>
        </w:rPr>
        <w:t xml:space="preserve"> و</w:t>
      </w:r>
      <w:r>
        <w:rPr>
          <w:rtl/>
        </w:rPr>
        <w:t>103</w:t>
      </w:r>
      <w:r w:rsidR="00F74105">
        <w:rPr>
          <w:rtl/>
        </w:rPr>
        <w:t xml:space="preserve"> و</w:t>
      </w:r>
      <w:r>
        <w:rPr>
          <w:rtl/>
        </w:rPr>
        <w:t>105</w:t>
      </w:r>
      <w:r w:rsidR="00F74105">
        <w:rPr>
          <w:rtl/>
        </w:rPr>
        <w:t xml:space="preserve"> و</w:t>
      </w:r>
      <w:r>
        <w:rPr>
          <w:rtl/>
        </w:rPr>
        <w:t>138</w:t>
      </w:r>
      <w:r w:rsidR="00F74105">
        <w:rPr>
          <w:rtl/>
        </w:rPr>
        <w:t xml:space="preserve"> و</w:t>
      </w:r>
      <w:r>
        <w:rPr>
          <w:rtl/>
        </w:rPr>
        <w:t>182.</w:t>
      </w:r>
    </w:p>
    <w:p w:rsidR="00A152CA" w:rsidRPr="000E5C82" w:rsidRDefault="00A152CA" w:rsidP="000E5C82">
      <w:pPr>
        <w:pStyle w:val="SingleTxtGA"/>
        <w:rPr>
          <w:i/>
          <w:iCs/>
          <w:rtl/>
        </w:rPr>
      </w:pPr>
      <w:r w:rsidRPr="000E5C82">
        <w:rPr>
          <w:i/>
          <w:iCs/>
          <w:rtl/>
        </w:rPr>
        <w:t>تعليقات هيئات الإشراف لمنظمة العمل الدولية</w:t>
      </w:r>
    </w:p>
    <w:p w:rsidR="00A152CA" w:rsidRDefault="00A152CA" w:rsidP="00442B4F">
      <w:pPr>
        <w:pStyle w:val="SingleTxtGA"/>
        <w:rPr>
          <w:rtl/>
        </w:rPr>
      </w:pPr>
      <w:r>
        <w:rPr>
          <w:rtl/>
        </w:rPr>
        <w:t>6-</w:t>
      </w:r>
      <w:r>
        <w:rPr>
          <w:rtl/>
        </w:rPr>
        <w:tab/>
        <w:t>التعليقات التي لم يتخذ إجراء بشأنها بعد، الصادرة عن لجنة الخبراء التابعة لمنظمة العمل الدولية والمتصلة بأحكام اتفاقية القضاء على جميع أشكال التمييز ضد المرأة، تتعلق بالاتفاقيات التالية:</w:t>
      </w:r>
    </w:p>
    <w:p w:rsidR="00A152CA" w:rsidRDefault="00442B4F" w:rsidP="00442B4F">
      <w:pPr>
        <w:pStyle w:val="H23GA"/>
        <w:rPr>
          <w:rtl/>
        </w:rPr>
      </w:pPr>
      <w:r>
        <w:rPr>
          <w:rFonts w:hint="cs"/>
          <w:rtl/>
        </w:rPr>
        <w:tab/>
      </w:r>
      <w:r>
        <w:rPr>
          <w:rFonts w:hint="cs"/>
          <w:rtl/>
        </w:rPr>
        <w:tab/>
      </w:r>
      <w:r w:rsidR="00A152CA">
        <w:rPr>
          <w:rtl/>
        </w:rPr>
        <w:t>الاتفاقية رقم 97</w:t>
      </w:r>
    </w:p>
    <w:p w:rsidR="00A152CA" w:rsidRDefault="00A152CA" w:rsidP="001D40C1">
      <w:pPr>
        <w:pStyle w:val="SingleTxtGA"/>
        <w:rPr>
          <w:rtl/>
        </w:rPr>
      </w:pPr>
      <w:r>
        <w:rPr>
          <w:rtl/>
        </w:rPr>
        <w:t>7-</w:t>
      </w:r>
      <w:r>
        <w:rPr>
          <w:rtl/>
        </w:rPr>
        <w:tab/>
        <w:t xml:space="preserve">طلبت لجنة الخبراء في طلبها المباشر عام 2007، من الحكومة تزويدها بمعلومات </w:t>
      </w:r>
      <w:r w:rsidR="0047212A">
        <w:rPr>
          <w:rFonts w:hint="cs"/>
          <w:rtl/>
        </w:rPr>
        <w:t xml:space="preserve">عن </w:t>
      </w:r>
      <w:r>
        <w:rPr>
          <w:rtl/>
        </w:rPr>
        <w:t xml:space="preserve">التدابير العملية التي تضمن للرجال والنساء من العمال المهاجرين معاملة على قدم المساواة مع مواطني الدولة العضو، في ما يتعلق </w:t>
      </w:r>
      <w:r w:rsidR="0047212A">
        <w:rPr>
          <w:rFonts w:hint="cs"/>
          <w:rtl/>
        </w:rPr>
        <w:t>بشروط</w:t>
      </w:r>
      <w:r>
        <w:rPr>
          <w:rtl/>
        </w:rPr>
        <w:t xml:space="preserve"> العمل والحقوق النقابية والسكن والضرائب والضمان الاجتماعي والاستفادة من النظام القضائي. كما أشارت اللجنة إلى أن وزارة الخدمات الاجتماعية قد أنشأت مكتباً خاصاً لشؤون المرأة يُعنى بمعالجة مسائل المساواة في </w:t>
      </w:r>
      <w:r w:rsidR="00043802">
        <w:rPr>
          <w:rFonts w:hint="cs"/>
          <w:rtl/>
        </w:rPr>
        <w:t>المعاملة</w:t>
      </w:r>
      <w:r>
        <w:rPr>
          <w:rtl/>
        </w:rPr>
        <w:t>، وطلبت من الحكومة تزويدها بمعلومات عن أعما</w:t>
      </w:r>
      <w:r w:rsidR="001D40C1">
        <w:rPr>
          <w:rtl/>
        </w:rPr>
        <w:t xml:space="preserve">ل هذا المكتب التي تكفل استفادة </w:t>
      </w:r>
      <w:r w:rsidR="001D40C1">
        <w:rPr>
          <w:rFonts w:hint="cs"/>
          <w:rtl/>
        </w:rPr>
        <w:t>ا</w:t>
      </w:r>
      <w:r>
        <w:rPr>
          <w:rtl/>
        </w:rPr>
        <w:t xml:space="preserve">لنساء المهاجرات، </w:t>
      </w:r>
      <w:r w:rsidR="001D40C1">
        <w:rPr>
          <w:rFonts w:hint="cs"/>
          <w:rtl/>
        </w:rPr>
        <w:t xml:space="preserve">على قدم المساواة </w:t>
      </w:r>
      <w:r>
        <w:rPr>
          <w:rtl/>
        </w:rPr>
        <w:t>مع الرجال، من الحماية التي تنص عليها الاتفاقية.</w:t>
      </w:r>
    </w:p>
    <w:p w:rsidR="00A152CA" w:rsidRDefault="00FF6D2C" w:rsidP="00FF6D2C">
      <w:pPr>
        <w:pStyle w:val="H23GA"/>
        <w:rPr>
          <w:rtl/>
        </w:rPr>
      </w:pPr>
      <w:r>
        <w:rPr>
          <w:rFonts w:hint="cs"/>
          <w:rtl/>
        </w:rPr>
        <w:tab/>
      </w:r>
      <w:r>
        <w:rPr>
          <w:rFonts w:hint="cs"/>
          <w:rtl/>
        </w:rPr>
        <w:tab/>
      </w:r>
      <w:r w:rsidR="00A152CA">
        <w:rPr>
          <w:rtl/>
        </w:rPr>
        <w:t xml:space="preserve">الاتفاقية رقم 100 </w:t>
      </w:r>
    </w:p>
    <w:p w:rsidR="00A152CA" w:rsidRDefault="00A152CA" w:rsidP="00C517D3">
      <w:pPr>
        <w:pStyle w:val="SingleTxtGA"/>
        <w:rPr>
          <w:rtl/>
        </w:rPr>
      </w:pPr>
      <w:r>
        <w:rPr>
          <w:rtl/>
        </w:rPr>
        <w:t>8-</w:t>
      </w:r>
      <w:r>
        <w:rPr>
          <w:rtl/>
        </w:rPr>
        <w:tab/>
        <w:t>ذكّرت لجنة الخبراء في طلبها المباشر</w:t>
      </w:r>
      <w:r w:rsidR="00A42D80">
        <w:rPr>
          <w:rFonts w:hint="cs"/>
          <w:rtl/>
        </w:rPr>
        <w:t xml:space="preserve"> </w:t>
      </w:r>
      <w:r>
        <w:rPr>
          <w:rtl/>
        </w:rPr>
        <w:t xml:space="preserve">عام 2007، بأن </w:t>
      </w:r>
      <w:r w:rsidR="00A42D80">
        <w:rPr>
          <w:rFonts w:hint="cs"/>
          <w:rtl/>
        </w:rPr>
        <w:t>المادة 6</w:t>
      </w:r>
      <w:r>
        <w:rPr>
          <w:rtl/>
        </w:rPr>
        <w:t xml:space="preserve">(ب) </w:t>
      </w:r>
      <w:r w:rsidR="00A42D80">
        <w:rPr>
          <w:rtl/>
        </w:rPr>
        <w:t xml:space="preserve">من قانون </w:t>
      </w:r>
      <w:r>
        <w:rPr>
          <w:rtl/>
        </w:rPr>
        <w:t xml:space="preserve">العمالة لعام 2001 التي </w:t>
      </w:r>
      <w:r w:rsidR="002540FA">
        <w:rPr>
          <w:rFonts w:hint="cs"/>
          <w:rtl/>
        </w:rPr>
        <w:t xml:space="preserve">تشير إلى </w:t>
      </w:r>
      <w:r>
        <w:rPr>
          <w:rtl/>
        </w:rPr>
        <w:t xml:space="preserve">مفهوم "القيمة المتساوية" </w:t>
      </w:r>
      <w:r w:rsidR="00186B9E">
        <w:rPr>
          <w:rFonts w:hint="cs"/>
          <w:rtl/>
        </w:rPr>
        <w:t xml:space="preserve">تقتصر على </w:t>
      </w:r>
      <w:r>
        <w:rPr>
          <w:rtl/>
        </w:rPr>
        <w:t>العمل في نفس</w:t>
      </w:r>
      <w:r w:rsidR="00186B9E">
        <w:rPr>
          <w:rFonts w:hint="cs"/>
          <w:rtl/>
        </w:rPr>
        <w:t xml:space="preserve"> المنشأة</w:t>
      </w:r>
      <w:r>
        <w:rPr>
          <w:rtl/>
        </w:rPr>
        <w:t xml:space="preserve">. وشددت اللجنة على أن إمكانات المقارنة قد تكون غير كافية على مستوى </w:t>
      </w:r>
      <w:r w:rsidR="00C517D3">
        <w:rPr>
          <w:rFonts w:hint="cs"/>
          <w:rtl/>
        </w:rPr>
        <w:t>المنشأة</w:t>
      </w:r>
      <w:r>
        <w:rPr>
          <w:rtl/>
        </w:rPr>
        <w:t xml:space="preserve"> الواحدة، لا سيما حيث يكون عمل النساء متركزاً في قطاعات معينة من نشاط</w:t>
      </w:r>
      <w:r w:rsidR="00C517D3">
        <w:rPr>
          <w:rFonts w:hint="cs"/>
          <w:rtl/>
        </w:rPr>
        <w:t>ها</w:t>
      </w:r>
      <w:r>
        <w:rPr>
          <w:rtl/>
        </w:rPr>
        <w:t xml:space="preserve">. </w:t>
      </w:r>
    </w:p>
    <w:p w:rsidR="00A152CA" w:rsidRDefault="00A152CA" w:rsidP="0051604B">
      <w:pPr>
        <w:pStyle w:val="SingleTxtGA"/>
        <w:rPr>
          <w:rtl/>
        </w:rPr>
      </w:pPr>
      <w:r>
        <w:rPr>
          <w:rtl/>
        </w:rPr>
        <w:t>9-</w:t>
      </w:r>
      <w:r>
        <w:rPr>
          <w:rtl/>
        </w:rPr>
        <w:tab/>
        <w:t xml:space="preserve">كما أشارت اللجنة إلى إحصاءات عام 2005 المتعلقة "بالأشخاص العاملين في القطاع الفندقي، حسب المهنة والجنس ومتوسط عدد ساعات العمل ومتوسط الأجر الأسبوعي </w:t>
      </w:r>
      <w:r w:rsidR="00241DC9">
        <w:rPr>
          <w:rtl/>
        </w:rPr>
        <w:t>-</w:t>
      </w:r>
      <w:r>
        <w:rPr>
          <w:rtl/>
        </w:rPr>
        <w:t xml:space="preserve"> في </w:t>
      </w:r>
      <w:r w:rsidR="000E5C82">
        <w:rPr>
          <w:rFonts w:hint="cs"/>
          <w:rtl/>
        </w:rPr>
        <w:t xml:space="preserve">كل </w:t>
      </w:r>
      <w:r w:rsidR="00241DC9">
        <w:rPr>
          <w:rFonts w:hint="cs"/>
          <w:rtl/>
        </w:rPr>
        <w:t xml:space="preserve">جزر </w:t>
      </w:r>
      <w:r>
        <w:rPr>
          <w:rtl/>
        </w:rPr>
        <w:t xml:space="preserve">البهاما"، التي أظهرت وجود فوارق في الأجور بين الرجال والنساء في </w:t>
      </w:r>
      <w:r w:rsidR="006C0B65">
        <w:rPr>
          <w:rtl/>
        </w:rPr>
        <w:t>جميع المهن تقريباً، فضلا</w:t>
      </w:r>
      <w:r w:rsidR="006C0B65">
        <w:rPr>
          <w:rFonts w:hint="cs"/>
          <w:rtl/>
        </w:rPr>
        <w:t>ً</w:t>
      </w:r>
      <w:r>
        <w:rPr>
          <w:rtl/>
        </w:rPr>
        <w:t xml:space="preserve"> عن تركّز عدد أكبر من النساء، مقارنة بالرجال، في الوظائف المتدنية الأجر. وبدا فارق الأجر الأسبوعي بين الرجال والنساء شاسعاً في الفئة العليا من كبار </w:t>
      </w:r>
      <w:r w:rsidR="00BC0DDF">
        <w:rPr>
          <w:rFonts w:hint="cs"/>
          <w:rtl/>
        </w:rPr>
        <w:t>الموظفين</w:t>
      </w:r>
      <w:r>
        <w:rPr>
          <w:rtl/>
        </w:rPr>
        <w:t xml:space="preserve"> والمديرين. وفيما كان عدد النساء والرجال متساوي التوزيع </w:t>
      </w:r>
      <w:r w:rsidR="00DE53E2">
        <w:rPr>
          <w:rFonts w:hint="cs"/>
          <w:rtl/>
        </w:rPr>
        <w:t>تقريباً</w:t>
      </w:r>
      <w:r>
        <w:rPr>
          <w:rtl/>
        </w:rPr>
        <w:t xml:space="preserve"> في هذه الفئة</w:t>
      </w:r>
      <w:r w:rsidR="00DE53E2">
        <w:rPr>
          <w:rFonts w:hint="cs"/>
          <w:rtl/>
        </w:rPr>
        <w:t xml:space="preserve"> الوظيفية،</w:t>
      </w:r>
      <w:r>
        <w:rPr>
          <w:rtl/>
        </w:rPr>
        <w:t xml:space="preserve"> وصل فارق الأجر الأسبوعي القائم </w:t>
      </w:r>
      <w:r w:rsidR="00D03798">
        <w:rPr>
          <w:rFonts w:hint="cs"/>
          <w:rtl/>
        </w:rPr>
        <w:t xml:space="preserve">بين الجنسين </w:t>
      </w:r>
      <w:r>
        <w:rPr>
          <w:rtl/>
        </w:rPr>
        <w:t>إلى ما يقارب 31.1 في المائة.</w:t>
      </w:r>
      <w:r w:rsidR="00BE0A50">
        <w:rPr>
          <w:rtl/>
        </w:rPr>
        <w:t xml:space="preserve"> </w:t>
      </w:r>
      <w:r>
        <w:rPr>
          <w:rtl/>
        </w:rPr>
        <w:t xml:space="preserve">كما أشارت اللجنة إلى أن 30.5 في المائة من "المديرين غير المصنفين في مكان آخر" هم من الرجال وأن فارق الأجر القائم </w:t>
      </w:r>
      <w:r w:rsidR="00C53CC5">
        <w:rPr>
          <w:rFonts w:hint="cs"/>
          <w:rtl/>
        </w:rPr>
        <w:t xml:space="preserve">بين الجنسين </w:t>
      </w:r>
      <w:r>
        <w:rPr>
          <w:rtl/>
        </w:rPr>
        <w:t xml:space="preserve">في هذه الفئة العالية الأجر </w:t>
      </w:r>
      <w:r w:rsidR="00C53CC5">
        <w:rPr>
          <w:rFonts w:hint="cs"/>
          <w:rtl/>
        </w:rPr>
        <w:t xml:space="preserve">بلغ </w:t>
      </w:r>
      <w:r>
        <w:rPr>
          <w:rtl/>
        </w:rPr>
        <w:t xml:space="preserve">43.8 في المائة. لذلك، طلبت اللجنة من الحكومة اتخاذ الخطوات اللازمة لتحديد أسباب هذه </w:t>
      </w:r>
      <w:r w:rsidR="00513AB2">
        <w:rPr>
          <w:rFonts w:hint="cs"/>
          <w:rtl/>
        </w:rPr>
        <w:t>الفوارق</w:t>
      </w:r>
      <w:r>
        <w:rPr>
          <w:rtl/>
        </w:rPr>
        <w:t xml:space="preserve"> في الأجور بين الرجال والنساء والإفادة عن التدابير المتخذة أو المزمع اتخاذها لمعالجتها في مختلف المهن، لا سيما في الفئة العليا من كبار </w:t>
      </w:r>
      <w:r w:rsidR="0051604B">
        <w:rPr>
          <w:rFonts w:hint="cs"/>
          <w:rtl/>
        </w:rPr>
        <w:t>الموظفين</w:t>
      </w:r>
      <w:r>
        <w:rPr>
          <w:rtl/>
        </w:rPr>
        <w:t xml:space="preserve"> والمديرين.</w:t>
      </w:r>
    </w:p>
    <w:p w:rsidR="00A152CA" w:rsidRDefault="00C6613F" w:rsidP="00C6613F">
      <w:pPr>
        <w:pStyle w:val="H23GA"/>
        <w:rPr>
          <w:rtl/>
        </w:rPr>
      </w:pPr>
      <w:r>
        <w:rPr>
          <w:rFonts w:hint="cs"/>
          <w:rtl/>
        </w:rPr>
        <w:tab/>
      </w:r>
      <w:r>
        <w:rPr>
          <w:rFonts w:hint="cs"/>
          <w:rtl/>
        </w:rPr>
        <w:tab/>
      </w:r>
      <w:r w:rsidR="00A152CA">
        <w:rPr>
          <w:rtl/>
        </w:rPr>
        <w:t>الاتفاقية رقم 103</w:t>
      </w:r>
    </w:p>
    <w:p w:rsidR="00A152CA" w:rsidRDefault="00A152CA" w:rsidP="000E5C82">
      <w:pPr>
        <w:pStyle w:val="SingleTxtGA"/>
        <w:rPr>
          <w:rtl/>
        </w:rPr>
      </w:pPr>
      <w:r>
        <w:rPr>
          <w:rtl/>
        </w:rPr>
        <w:t>10-</w:t>
      </w:r>
      <w:r>
        <w:rPr>
          <w:rtl/>
        </w:rPr>
        <w:tab/>
        <w:t>أشارت</w:t>
      </w:r>
      <w:r w:rsidR="006932DB">
        <w:rPr>
          <w:rtl/>
        </w:rPr>
        <w:t xml:space="preserve"> لجنة الخبراء في طلبها المباشر </w:t>
      </w:r>
      <w:r>
        <w:rPr>
          <w:rtl/>
        </w:rPr>
        <w:t xml:space="preserve">عام 2008، إلى أن </w:t>
      </w:r>
      <w:r w:rsidR="006932DB">
        <w:rPr>
          <w:rFonts w:hint="cs"/>
          <w:rtl/>
        </w:rPr>
        <w:t xml:space="preserve">التشريع </w:t>
      </w:r>
      <w:r>
        <w:rPr>
          <w:rtl/>
        </w:rPr>
        <w:t xml:space="preserve">الوطني الحالي </w:t>
      </w:r>
      <w:r w:rsidR="006932DB">
        <w:rPr>
          <w:rFonts w:hint="cs"/>
          <w:rtl/>
        </w:rPr>
        <w:t xml:space="preserve">    </w:t>
      </w:r>
      <w:r>
        <w:rPr>
          <w:rtl/>
        </w:rPr>
        <w:t xml:space="preserve">لا يتضمن أحكاماً تتعلق بدفع وزارة الخدمات الاجتماعية </w:t>
      </w:r>
      <w:r w:rsidR="006932DB">
        <w:rPr>
          <w:rFonts w:hint="cs"/>
          <w:rtl/>
        </w:rPr>
        <w:t>إعانات</w:t>
      </w:r>
      <w:r>
        <w:rPr>
          <w:rtl/>
        </w:rPr>
        <w:t xml:space="preserve"> المساعدة الاجتماعية للنساء اللواتي لم يشتغلن قط قبل الحمل. وفي هذا الخصوص، ذكّرت اللجنة بأن الهدف من الفقرة (5) من المادة 4 من الاتفاقية هو جعل دفع </w:t>
      </w:r>
      <w:r w:rsidR="00610E13">
        <w:rPr>
          <w:rFonts w:hint="cs"/>
          <w:rtl/>
        </w:rPr>
        <w:t xml:space="preserve">الإعانات المناسبة </w:t>
      </w:r>
      <w:r>
        <w:rPr>
          <w:rtl/>
        </w:rPr>
        <w:t xml:space="preserve">من صناديق المساعدة الاجتماعية حقاً للنساء العاملات اللواتي لم يتأهلن </w:t>
      </w:r>
      <w:r w:rsidR="0028313D">
        <w:rPr>
          <w:rFonts w:hint="cs"/>
          <w:rtl/>
        </w:rPr>
        <w:t xml:space="preserve">لإعانات </w:t>
      </w:r>
      <w:r>
        <w:rPr>
          <w:rtl/>
        </w:rPr>
        <w:t xml:space="preserve">الأمومة النقدية. لذا، طلبت اللجنة من الحكومة النظر في إمكانية أن تُدخل في </w:t>
      </w:r>
      <w:r w:rsidR="0028313D">
        <w:rPr>
          <w:rFonts w:hint="cs"/>
          <w:rtl/>
        </w:rPr>
        <w:t>تشريعها</w:t>
      </w:r>
      <w:r>
        <w:rPr>
          <w:rtl/>
        </w:rPr>
        <w:t xml:space="preserve">، أحكاماً يمكن بموجبها دفع </w:t>
      </w:r>
      <w:r w:rsidR="00FC6313">
        <w:rPr>
          <w:rFonts w:hint="cs"/>
          <w:rtl/>
        </w:rPr>
        <w:t xml:space="preserve">إعانات </w:t>
      </w:r>
      <w:r>
        <w:rPr>
          <w:rtl/>
        </w:rPr>
        <w:t xml:space="preserve">المساعدة الاجتماعية </w:t>
      </w:r>
      <w:r w:rsidR="00FC6313">
        <w:rPr>
          <w:rFonts w:hint="cs"/>
          <w:rtl/>
        </w:rPr>
        <w:t xml:space="preserve">للعاملات </w:t>
      </w:r>
      <w:r>
        <w:rPr>
          <w:rtl/>
        </w:rPr>
        <w:t xml:space="preserve">اللواتي لم يتأهلن </w:t>
      </w:r>
      <w:r w:rsidR="00FC6313">
        <w:rPr>
          <w:rFonts w:hint="cs"/>
          <w:rtl/>
        </w:rPr>
        <w:t xml:space="preserve">لإعانات </w:t>
      </w:r>
      <w:r>
        <w:rPr>
          <w:rtl/>
        </w:rPr>
        <w:t xml:space="preserve">الأمومة لأنهن لم يستوفين شروط مدة العمالة التي </w:t>
      </w:r>
      <w:r w:rsidR="00017456">
        <w:rPr>
          <w:rFonts w:hint="cs"/>
          <w:rtl/>
        </w:rPr>
        <w:t>ت</w:t>
      </w:r>
      <w:r>
        <w:rPr>
          <w:rtl/>
        </w:rPr>
        <w:t xml:space="preserve">نص عليها </w:t>
      </w:r>
      <w:r w:rsidR="00017456">
        <w:rPr>
          <w:rFonts w:hint="cs"/>
          <w:rtl/>
        </w:rPr>
        <w:t xml:space="preserve">المادة </w:t>
      </w:r>
      <w:r>
        <w:rPr>
          <w:rtl/>
        </w:rPr>
        <w:t xml:space="preserve">35 </w:t>
      </w:r>
      <w:r w:rsidR="00017456">
        <w:rPr>
          <w:rFonts w:hint="cs"/>
          <w:rtl/>
        </w:rPr>
        <w:t xml:space="preserve">من لائحة </w:t>
      </w:r>
      <w:r>
        <w:rPr>
          <w:rtl/>
        </w:rPr>
        <w:t xml:space="preserve">التأمين الوطني </w:t>
      </w:r>
      <w:r w:rsidR="00017456">
        <w:rPr>
          <w:rFonts w:hint="cs"/>
          <w:rtl/>
        </w:rPr>
        <w:t xml:space="preserve">(الإعانات والمساعدات) </w:t>
      </w:r>
      <w:r>
        <w:rPr>
          <w:rtl/>
        </w:rPr>
        <w:t xml:space="preserve">لعام 1974 بصيغته المعدّلة. </w:t>
      </w:r>
    </w:p>
    <w:p w:rsidR="00A152CA" w:rsidRDefault="003617CD" w:rsidP="003617CD">
      <w:pPr>
        <w:pStyle w:val="H23GA"/>
        <w:rPr>
          <w:rtl/>
        </w:rPr>
      </w:pPr>
      <w:r>
        <w:rPr>
          <w:rFonts w:hint="cs"/>
          <w:rtl/>
        </w:rPr>
        <w:tab/>
      </w:r>
      <w:r>
        <w:rPr>
          <w:rFonts w:hint="cs"/>
          <w:rtl/>
        </w:rPr>
        <w:tab/>
      </w:r>
      <w:r w:rsidR="00A152CA">
        <w:rPr>
          <w:rtl/>
        </w:rPr>
        <w:t>الاتفاقية رقم 111</w:t>
      </w:r>
    </w:p>
    <w:p w:rsidR="00A152CA" w:rsidRDefault="00A152CA" w:rsidP="00190919">
      <w:pPr>
        <w:pStyle w:val="SingleTxtGA"/>
        <w:rPr>
          <w:rtl/>
        </w:rPr>
      </w:pPr>
      <w:r>
        <w:rPr>
          <w:rtl/>
        </w:rPr>
        <w:t>11-</w:t>
      </w:r>
      <w:r>
        <w:rPr>
          <w:rtl/>
        </w:rPr>
        <w:tab/>
        <w:t>لاحظت لجنة الخبراء في طلبها المباشر عام 2007، العدد المرتف</w:t>
      </w:r>
      <w:r w:rsidR="00384751">
        <w:rPr>
          <w:rtl/>
        </w:rPr>
        <w:t xml:space="preserve">ع، من جهة، من الخريجات اللواتي </w:t>
      </w:r>
      <w:r>
        <w:rPr>
          <w:rtl/>
        </w:rPr>
        <w:t xml:space="preserve">شاركن في برامج معهد جزر البهاما التقني والمهني، وخاصة في برامج إدارة الأعمال وعلوم </w:t>
      </w:r>
      <w:r w:rsidR="00384751">
        <w:rPr>
          <w:rFonts w:hint="cs"/>
          <w:rtl/>
        </w:rPr>
        <w:t>الحاسوب</w:t>
      </w:r>
      <w:r>
        <w:rPr>
          <w:rtl/>
        </w:rPr>
        <w:t xml:space="preserve">. لكن من جهة أخرى، لا تزال النساء يتركّزن في ما يسمى بالمهن المخصصة عادة للنساء، من قبيل مهن التجميل والسكرتارية وإدارة النظم المكتبية. وعليه </w:t>
      </w:r>
      <w:r w:rsidR="00384751">
        <w:rPr>
          <w:rFonts w:hint="cs"/>
          <w:rtl/>
        </w:rPr>
        <w:t xml:space="preserve">طلبت </w:t>
      </w:r>
      <w:r>
        <w:rPr>
          <w:rtl/>
        </w:rPr>
        <w:t xml:space="preserve">اللجنة من الحكومة تحديد التدابير التي اتخذتها لتشجيع النساء على المشاركة في </w:t>
      </w:r>
      <w:r w:rsidR="00190919">
        <w:rPr>
          <w:rFonts w:hint="cs"/>
          <w:rtl/>
        </w:rPr>
        <w:t xml:space="preserve">دورات </w:t>
      </w:r>
      <w:r>
        <w:rPr>
          <w:rtl/>
        </w:rPr>
        <w:t xml:space="preserve">التدريب الخاصة بالمهن التي يسود فيها الرجال والتي يمكن أن تشكل فرص عمل أفضل بالنسبة لهن. </w:t>
      </w:r>
    </w:p>
    <w:p w:rsidR="00A152CA" w:rsidRDefault="00A152CA" w:rsidP="003B60F0">
      <w:pPr>
        <w:pStyle w:val="SingleTxtGA"/>
        <w:rPr>
          <w:rtl/>
        </w:rPr>
      </w:pPr>
      <w:r>
        <w:rPr>
          <w:rtl/>
        </w:rPr>
        <w:t>12-</w:t>
      </w:r>
      <w:r>
        <w:rPr>
          <w:rtl/>
        </w:rPr>
        <w:tab/>
        <w:t xml:space="preserve">ولاحظت اللجنة في تعليقاتها السابقة أن </w:t>
      </w:r>
      <w:r w:rsidR="00B53986">
        <w:rPr>
          <w:rFonts w:hint="cs"/>
          <w:rtl/>
        </w:rPr>
        <w:t>الماد</w:t>
      </w:r>
      <w:r w:rsidR="007210DA">
        <w:rPr>
          <w:rFonts w:hint="cs"/>
          <w:rtl/>
        </w:rPr>
        <w:t>ة 26</w:t>
      </w:r>
      <w:r>
        <w:rPr>
          <w:rtl/>
        </w:rPr>
        <w:t>(4</w:t>
      </w:r>
      <w:r w:rsidR="002F1240">
        <w:rPr>
          <w:rFonts w:hint="cs"/>
          <w:rtl/>
        </w:rPr>
        <w:t>)(</w:t>
      </w:r>
      <w:r>
        <w:rPr>
          <w:rtl/>
        </w:rPr>
        <w:t xml:space="preserve">د) من الدستور، التي تشير إلى "الظروف الخاصة" للأشخاص المشمولين بالحماية من التمييز، قد تتيح </w:t>
      </w:r>
      <w:r w:rsidR="007139A2">
        <w:rPr>
          <w:rFonts w:hint="cs"/>
          <w:rtl/>
        </w:rPr>
        <w:t xml:space="preserve">على ما يبدو اتخاذ </w:t>
      </w:r>
      <w:r>
        <w:rPr>
          <w:rtl/>
        </w:rPr>
        <w:t xml:space="preserve">تدابير إيجابية لصالح </w:t>
      </w:r>
      <w:r w:rsidR="008B577D">
        <w:rPr>
          <w:rFonts w:hint="cs"/>
          <w:rtl/>
        </w:rPr>
        <w:t xml:space="preserve">الفئات </w:t>
      </w:r>
      <w:r>
        <w:rPr>
          <w:rtl/>
        </w:rPr>
        <w:t>التي تضمن الاتفاقية حمايتها. ودعت اللجنة الحكومة مجدداً إلى توفير المزيد من التوضيح حول معنى هذا الحكم الدستور</w:t>
      </w:r>
      <w:r w:rsidR="002F2453">
        <w:rPr>
          <w:rFonts w:hint="cs"/>
          <w:rtl/>
        </w:rPr>
        <w:t>ي</w:t>
      </w:r>
      <w:r>
        <w:rPr>
          <w:rtl/>
        </w:rPr>
        <w:t xml:space="preserve"> وما إذا كانت الحكومة قد استندت إليه أو تنوي الاستناد إليه </w:t>
      </w:r>
      <w:r w:rsidR="003B60F0">
        <w:rPr>
          <w:rFonts w:hint="cs"/>
          <w:rtl/>
        </w:rPr>
        <w:t>لتتخذ</w:t>
      </w:r>
      <w:r>
        <w:rPr>
          <w:rtl/>
        </w:rPr>
        <w:t xml:space="preserve">، على سبيل المثال، تدابير ايجابية ترمي إلى تعزيز عمالة المرأة. </w:t>
      </w:r>
    </w:p>
    <w:p w:rsidR="00A152CA" w:rsidRDefault="0066359A" w:rsidP="0066359A">
      <w:pPr>
        <w:pStyle w:val="H23GA"/>
        <w:rPr>
          <w:rtl/>
        </w:rPr>
      </w:pPr>
      <w:r>
        <w:rPr>
          <w:rFonts w:hint="cs"/>
          <w:rtl/>
        </w:rPr>
        <w:tab/>
      </w:r>
      <w:r>
        <w:rPr>
          <w:rFonts w:hint="cs"/>
          <w:rtl/>
        </w:rPr>
        <w:tab/>
      </w:r>
      <w:r w:rsidR="00A152CA">
        <w:rPr>
          <w:rtl/>
        </w:rPr>
        <w:t xml:space="preserve">الاتفاقية رقم 182 </w:t>
      </w:r>
    </w:p>
    <w:p w:rsidR="00A152CA" w:rsidRDefault="00A152CA" w:rsidP="0051337B">
      <w:pPr>
        <w:pStyle w:val="SingleTxtGA"/>
        <w:rPr>
          <w:rtl/>
        </w:rPr>
      </w:pPr>
      <w:r>
        <w:rPr>
          <w:rtl/>
        </w:rPr>
        <w:t>13-</w:t>
      </w:r>
      <w:r>
        <w:rPr>
          <w:rtl/>
        </w:rPr>
        <w:tab/>
        <w:t xml:space="preserve">أشارت لجنة الخبراء في طلبها المباشر لعام 2009، إلى أن الفتيات في سن الثانية عشرة يتعرضن للاستغلال الجنسي من خلال البغاء وأن تلميذات المدارس </w:t>
      </w:r>
      <w:r w:rsidR="003B4151">
        <w:rPr>
          <w:rFonts w:hint="cs"/>
          <w:rtl/>
        </w:rPr>
        <w:t xml:space="preserve">يتم تصويرهن </w:t>
      </w:r>
      <w:r>
        <w:rPr>
          <w:rtl/>
        </w:rPr>
        <w:t xml:space="preserve">عاريات مقابل الحصول على المال والطعام. وأشارت اللجنة إلى أن الدراسة الإقليمية </w:t>
      </w:r>
      <w:r w:rsidR="00766C12">
        <w:rPr>
          <w:rFonts w:hint="cs"/>
          <w:rtl/>
        </w:rPr>
        <w:t>ل</w:t>
      </w:r>
      <w:r>
        <w:rPr>
          <w:rtl/>
        </w:rPr>
        <w:t xml:space="preserve">مشروع عمل الأطفال التي أجرتها منظمة العمل الدولية بالتعاون مع الوكالة الكندية للتنمية الدولية، أظهرت عدم وجود </w:t>
      </w:r>
      <w:r w:rsidR="00766C12">
        <w:rPr>
          <w:rFonts w:hint="cs"/>
          <w:rtl/>
        </w:rPr>
        <w:t xml:space="preserve">ولاية تشريعية </w:t>
      </w:r>
      <w:r>
        <w:rPr>
          <w:rtl/>
        </w:rPr>
        <w:t xml:space="preserve">أو مؤسسية مكلفة </w:t>
      </w:r>
      <w:r w:rsidR="00766C12">
        <w:rPr>
          <w:rFonts w:hint="cs"/>
          <w:rtl/>
        </w:rPr>
        <w:t xml:space="preserve">بإجراء </w:t>
      </w:r>
      <w:r>
        <w:rPr>
          <w:rtl/>
        </w:rPr>
        <w:t xml:space="preserve">استعراض </w:t>
      </w:r>
      <w:r w:rsidR="00766C12">
        <w:rPr>
          <w:rFonts w:hint="cs"/>
          <w:rtl/>
        </w:rPr>
        <w:t>بنيوي للحالة الوطنية ل</w:t>
      </w:r>
      <w:r>
        <w:rPr>
          <w:rtl/>
        </w:rPr>
        <w:t xml:space="preserve">عمل الأطفال. وانطلاقاً من أن المعلومات المذكورة أعلاه أشارت إلى وجود بعض أنماط أسوأ أشكال عمل الأطفال في </w:t>
      </w:r>
      <w:r w:rsidR="0051337B">
        <w:rPr>
          <w:rFonts w:hint="cs"/>
          <w:rtl/>
        </w:rPr>
        <w:t>البلد</w:t>
      </w:r>
      <w:r>
        <w:rPr>
          <w:rtl/>
        </w:rPr>
        <w:t xml:space="preserve">، تمنت اللجنة لو تتخذ الحكومة التدابير اللازمة لتحديد </w:t>
      </w:r>
      <w:r w:rsidR="0051337B">
        <w:rPr>
          <w:rFonts w:hint="cs"/>
          <w:rtl/>
        </w:rPr>
        <w:t>حجم</w:t>
      </w:r>
      <w:r>
        <w:rPr>
          <w:rtl/>
        </w:rPr>
        <w:t xml:space="preserve"> انتشار عمل الأطفال، وخاصة أسوأ أشكال عمل الأطفال. </w:t>
      </w:r>
    </w:p>
    <w:p w:rsidR="00A152CA" w:rsidRDefault="00331D8B" w:rsidP="000E5C82">
      <w:pPr>
        <w:pStyle w:val="H1GA"/>
        <w:rPr>
          <w:rtl/>
        </w:rPr>
      </w:pPr>
      <w:r>
        <w:rPr>
          <w:rFonts w:hint="cs"/>
          <w:rtl/>
        </w:rPr>
        <w:tab/>
      </w:r>
      <w:r>
        <w:rPr>
          <w:rFonts w:hint="cs"/>
          <w:rtl/>
        </w:rPr>
        <w:tab/>
      </w:r>
      <w:r w:rsidR="00A152CA">
        <w:rPr>
          <w:rtl/>
        </w:rPr>
        <w:t>بوركينا فاسو</w:t>
      </w:r>
    </w:p>
    <w:p w:rsidR="00A152CA" w:rsidRDefault="00A152CA" w:rsidP="000E5C82">
      <w:pPr>
        <w:pStyle w:val="SingleTxtGA"/>
        <w:rPr>
          <w:rtl/>
        </w:rPr>
      </w:pPr>
      <w:r>
        <w:rPr>
          <w:rtl/>
        </w:rPr>
        <w:t>14-</w:t>
      </w:r>
      <w:r>
        <w:rPr>
          <w:rtl/>
        </w:rPr>
        <w:tab/>
        <w:t>من بين اتفاقيات منظمة العمل الدولية ذات الصلة، ص</w:t>
      </w:r>
      <w:r w:rsidR="005322C9">
        <w:rPr>
          <w:rtl/>
        </w:rPr>
        <w:t>دّقت بوركينا فاسو على الاتفاقي</w:t>
      </w:r>
      <w:r w:rsidR="000E5C82">
        <w:rPr>
          <w:rFonts w:hint="cs"/>
          <w:rtl/>
        </w:rPr>
        <w:t>تين</w:t>
      </w:r>
      <w:r>
        <w:rPr>
          <w:rtl/>
        </w:rPr>
        <w:t xml:space="preserve"> </w:t>
      </w:r>
      <w:r w:rsidR="005322C9">
        <w:rPr>
          <w:rFonts w:hint="cs"/>
          <w:rtl/>
        </w:rPr>
        <w:t xml:space="preserve">رقم </w:t>
      </w:r>
      <w:r>
        <w:rPr>
          <w:rtl/>
        </w:rPr>
        <w:t>100</w:t>
      </w:r>
      <w:r w:rsidR="00F74105">
        <w:rPr>
          <w:rtl/>
        </w:rPr>
        <w:t xml:space="preserve"> و</w:t>
      </w:r>
      <w:r>
        <w:rPr>
          <w:rtl/>
        </w:rPr>
        <w:t xml:space="preserve">111. وصدقت أيضا على الاتفاقيات </w:t>
      </w:r>
      <w:r w:rsidR="001952D1">
        <w:rPr>
          <w:rFonts w:hint="cs"/>
          <w:rtl/>
        </w:rPr>
        <w:t xml:space="preserve">رقم </w:t>
      </w:r>
      <w:r>
        <w:rPr>
          <w:rtl/>
        </w:rPr>
        <w:t>3</w:t>
      </w:r>
      <w:r w:rsidR="00F74105">
        <w:rPr>
          <w:rtl/>
        </w:rPr>
        <w:t xml:space="preserve"> و</w:t>
      </w:r>
      <w:r>
        <w:rPr>
          <w:rtl/>
        </w:rPr>
        <w:t>29</w:t>
      </w:r>
      <w:r w:rsidR="00F74105">
        <w:rPr>
          <w:rtl/>
        </w:rPr>
        <w:t xml:space="preserve"> و</w:t>
      </w:r>
      <w:r>
        <w:rPr>
          <w:rtl/>
        </w:rPr>
        <w:t>87</w:t>
      </w:r>
      <w:r w:rsidR="00F74105">
        <w:rPr>
          <w:rtl/>
        </w:rPr>
        <w:t xml:space="preserve"> و</w:t>
      </w:r>
      <w:r>
        <w:rPr>
          <w:rtl/>
        </w:rPr>
        <w:t>97</w:t>
      </w:r>
      <w:r w:rsidR="00F74105">
        <w:rPr>
          <w:rtl/>
        </w:rPr>
        <w:t xml:space="preserve"> و</w:t>
      </w:r>
      <w:r>
        <w:rPr>
          <w:rtl/>
        </w:rPr>
        <w:t>98</w:t>
      </w:r>
      <w:r w:rsidR="00F74105">
        <w:rPr>
          <w:rtl/>
        </w:rPr>
        <w:t xml:space="preserve"> و</w:t>
      </w:r>
      <w:r>
        <w:rPr>
          <w:rtl/>
        </w:rPr>
        <w:t>105</w:t>
      </w:r>
      <w:r w:rsidR="00F74105">
        <w:rPr>
          <w:rtl/>
        </w:rPr>
        <w:t xml:space="preserve"> و</w:t>
      </w:r>
      <w:r>
        <w:rPr>
          <w:rtl/>
        </w:rPr>
        <w:t>122</w:t>
      </w:r>
      <w:r w:rsidR="00F74105">
        <w:rPr>
          <w:rtl/>
        </w:rPr>
        <w:t xml:space="preserve"> و</w:t>
      </w:r>
      <w:r>
        <w:rPr>
          <w:rtl/>
        </w:rPr>
        <w:t>138</w:t>
      </w:r>
      <w:r w:rsidR="00F74105">
        <w:rPr>
          <w:rtl/>
        </w:rPr>
        <w:t xml:space="preserve"> و</w:t>
      </w:r>
      <w:r>
        <w:rPr>
          <w:rtl/>
        </w:rPr>
        <w:t>142</w:t>
      </w:r>
      <w:r w:rsidR="00F74105">
        <w:rPr>
          <w:rtl/>
        </w:rPr>
        <w:t xml:space="preserve"> و</w:t>
      </w:r>
      <w:r>
        <w:rPr>
          <w:rtl/>
        </w:rPr>
        <w:t>143</w:t>
      </w:r>
      <w:r w:rsidR="00F74105">
        <w:rPr>
          <w:rtl/>
        </w:rPr>
        <w:t xml:space="preserve"> و</w:t>
      </w:r>
      <w:r>
        <w:rPr>
          <w:rtl/>
        </w:rPr>
        <w:t>182.</w:t>
      </w:r>
    </w:p>
    <w:p w:rsidR="00A152CA" w:rsidRPr="000E5C82" w:rsidRDefault="00A152CA" w:rsidP="000E5C82">
      <w:pPr>
        <w:pStyle w:val="SingleTxtGA"/>
        <w:rPr>
          <w:i/>
          <w:iCs/>
          <w:rtl/>
        </w:rPr>
      </w:pPr>
      <w:r w:rsidRPr="000E5C82">
        <w:rPr>
          <w:i/>
          <w:iCs/>
          <w:rtl/>
        </w:rPr>
        <w:t>تعليقات هيئات الإشراف لمنظمة العمل الدولية</w:t>
      </w:r>
    </w:p>
    <w:p w:rsidR="00A152CA" w:rsidRDefault="00A152CA" w:rsidP="002422B5">
      <w:pPr>
        <w:pStyle w:val="SingleTxtGA"/>
        <w:rPr>
          <w:rtl/>
        </w:rPr>
      </w:pPr>
      <w:r>
        <w:rPr>
          <w:rtl/>
        </w:rPr>
        <w:t>15-</w:t>
      </w:r>
      <w:r>
        <w:rPr>
          <w:rtl/>
        </w:rPr>
        <w:tab/>
        <w:t>التعليقات التي لم يتخذ إجراء بشأنها بعد، الصادرة عن لجنة الخبراء التابعة لمنظمة العمل الدولية والمتصلة بأحكام اتفاقية القضاء على جميع أشكال التمييز ضد المرأة، تتعلق بالاتفاقيات التالية:</w:t>
      </w:r>
    </w:p>
    <w:p w:rsidR="00A152CA" w:rsidRDefault="002E0730" w:rsidP="002E0730">
      <w:pPr>
        <w:pStyle w:val="H23GA"/>
        <w:rPr>
          <w:rtl/>
        </w:rPr>
      </w:pPr>
      <w:r>
        <w:rPr>
          <w:rFonts w:hint="cs"/>
          <w:rtl/>
        </w:rPr>
        <w:tab/>
      </w:r>
      <w:r>
        <w:rPr>
          <w:rFonts w:hint="cs"/>
          <w:rtl/>
        </w:rPr>
        <w:tab/>
      </w:r>
      <w:r w:rsidR="00A152CA">
        <w:rPr>
          <w:rtl/>
        </w:rPr>
        <w:t>الاتفاقية رقم 97</w:t>
      </w:r>
    </w:p>
    <w:p w:rsidR="00A152CA" w:rsidRPr="000E5C82" w:rsidRDefault="00A152CA" w:rsidP="000E5C82">
      <w:pPr>
        <w:pStyle w:val="SingleTxtGA"/>
        <w:rPr>
          <w:spacing w:val="-2"/>
          <w:rtl/>
        </w:rPr>
      </w:pPr>
      <w:r w:rsidRPr="000E5C82">
        <w:rPr>
          <w:spacing w:val="-2"/>
          <w:rtl/>
        </w:rPr>
        <w:t>16-</w:t>
      </w:r>
      <w:r w:rsidRPr="000E5C82">
        <w:rPr>
          <w:spacing w:val="-2"/>
          <w:rtl/>
        </w:rPr>
        <w:tab/>
        <w:t xml:space="preserve">أشارت لجنة الخبراء في طلبها المباشر لعام 2008، إلى أن </w:t>
      </w:r>
      <w:r w:rsidR="00307C6D" w:rsidRPr="000E5C82">
        <w:rPr>
          <w:rFonts w:hint="cs"/>
          <w:spacing w:val="-2"/>
          <w:rtl/>
        </w:rPr>
        <w:t>كثيرين</w:t>
      </w:r>
      <w:r w:rsidRPr="000E5C82">
        <w:rPr>
          <w:spacing w:val="-2"/>
          <w:rtl/>
        </w:rPr>
        <w:t xml:space="preserve"> من العائدين،</w:t>
      </w:r>
      <w:r w:rsidR="00222A10" w:rsidRPr="000E5C82">
        <w:rPr>
          <w:rFonts w:hint="cs"/>
          <w:spacing w:val="-2"/>
          <w:rtl/>
        </w:rPr>
        <w:t xml:space="preserve"> </w:t>
      </w:r>
      <w:r w:rsidR="000E5C82">
        <w:rPr>
          <w:rFonts w:hint="cs"/>
          <w:spacing w:val="-2"/>
          <w:rtl/>
        </w:rPr>
        <w:t xml:space="preserve">       </w:t>
      </w:r>
      <w:r w:rsidRPr="000E5C82">
        <w:rPr>
          <w:spacing w:val="-2"/>
          <w:rtl/>
        </w:rPr>
        <w:t xml:space="preserve">لا سيما النساء والأطفال، يحرمون من بعض </w:t>
      </w:r>
      <w:r w:rsidR="00D52D05" w:rsidRPr="000E5C82">
        <w:rPr>
          <w:rFonts w:hint="cs"/>
          <w:spacing w:val="-2"/>
          <w:rtl/>
        </w:rPr>
        <w:t xml:space="preserve">الإعانات والاستحقاقات </w:t>
      </w:r>
      <w:r w:rsidRPr="000E5C82">
        <w:rPr>
          <w:spacing w:val="-2"/>
          <w:rtl/>
        </w:rPr>
        <w:t>في ما يخص العمالة والضمان الاجتماعي والصحة والسكن والطعام والتعليم. ورأت اللجنة</w:t>
      </w:r>
      <w:r w:rsidR="00BE0A50" w:rsidRPr="000E5C82">
        <w:rPr>
          <w:spacing w:val="-2"/>
          <w:rtl/>
        </w:rPr>
        <w:t xml:space="preserve"> </w:t>
      </w:r>
      <w:r w:rsidRPr="000E5C82">
        <w:rPr>
          <w:spacing w:val="-2"/>
          <w:rtl/>
        </w:rPr>
        <w:t xml:space="preserve">أنه على الرغم من إقرار الحكومة بالصعوبات التي يواجهها العائدون واتخاذها بعض الخطوات الهادفة إلى معالجة وضعهم، فإن </w:t>
      </w:r>
      <w:r w:rsidR="00250F24" w:rsidRPr="000E5C82">
        <w:rPr>
          <w:rFonts w:hint="cs"/>
          <w:spacing w:val="-2"/>
          <w:rtl/>
        </w:rPr>
        <w:t xml:space="preserve">استقرارهم </w:t>
      </w:r>
      <w:r w:rsidRPr="000E5C82">
        <w:rPr>
          <w:spacing w:val="-2"/>
          <w:rtl/>
        </w:rPr>
        <w:t>الاجتماعي والاقتصادي</w:t>
      </w:r>
      <w:r w:rsidR="00250F24" w:rsidRPr="000E5C82">
        <w:rPr>
          <w:rFonts w:hint="cs"/>
          <w:spacing w:val="-2"/>
          <w:rtl/>
        </w:rPr>
        <w:t xml:space="preserve"> من جديد</w:t>
      </w:r>
      <w:r w:rsidRPr="000E5C82">
        <w:rPr>
          <w:spacing w:val="-2"/>
          <w:rtl/>
        </w:rPr>
        <w:t>، فضلاً عن الظروف الصعبة التي تشهدها كوت ديفوار، لا يزالان يشكلان مسألتين شائكتين. فالاتفاق الثنائي المبرم بين بوكينا فاسو وكوت ديفوار عام 1961 بشأن التوظيف والعمالة</w:t>
      </w:r>
      <w:r w:rsidR="003E3301" w:rsidRPr="000E5C82">
        <w:rPr>
          <w:rFonts w:hint="cs"/>
          <w:spacing w:val="-2"/>
          <w:rtl/>
        </w:rPr>
        <w:t xml:space="preserve"> بين البلدين</w:t>
      </w:r>
      <w:r w:rsidRPr="000E5C82">
        <w:rPr>
          <w:spacing w:val="-2"/>
          <w:rtl/>
        </w:rPr>
        <w:t>، لا يُطبق، في حين</w:t>
      </w:r>
      <w:r w:rsidR="000E5C82">
        <w:rPr>
          <w:rFonts w:hint="cs"/>
          <w:spacing w:val="-2"/>
          <w:rtl/>
        </w:rPr>
        <w:t xml:space="preserve">      </w:t>
      </w:r>
      <w:r w:rsidRPr="000E5C82">
        <w:rPr>
          <w:spacing w:val="-2"/>
          <w:rtl/>
        </w:rPr>
        <w:t xml:space="preserve"> لا تفي الحماية القنصلية في كوت ديفوار بغرض </w:t>
      </w:r>
      <w:r w:rsidR="003E3301" w:rsidRPr="000E5C82">
        <w:rPr>
          <w:rFonts w:hint="cs"/>
          <w:spacing w:val="-2"/>
          <w:rtl/>
        </w:rPr>
        <w:t xml:space="preserve">التعامل مع </w:t>
      </w:r>
      <w:r w:rsidRPr="000E5C82">
        <w:rPr>
          <w:spacing w:val="-2"/>
          <w:rtl/>
        </w:rPr>
        <w:t>العدد الكبير من مواطني بوركينا فاسو، وخاصة في الوض</w:t>
      </w:r>
      <w:r w:rsidR="00E506E3" w:rsidRPr="000E5C82">
        <w:rPr>
          <w:spacing w:val="-2"/>
          <w:rtl/>
        </w:rPr>
        <w:t>ع الراهن. وذكّرت اللجنة بالفقر</w:t>
      </w:r>
      <w:r w:rsidR="00E506E3" w:rsidRPr="000E5C82">
        <w:rPr>
          <w:rFonts w:hint="cs"/>
          <w:spacing w:val="-2"/>
          <w:rtl/>
        </w:rPr>
        <w:t>تين</w:t>
      </w:r>
      <w:r w:rsidRPr="000E5C82">
        <w:rPr>
          <w:spacing w:val="-2"/>
          <w:rtl/>
        </w:rPr>
        <w:t xml:space="preserve"> 5(2)</w:t>
      </w:r>
      <w:r w:rsidR="00F74105" w:rsidRPr="000E5C82">
        <w:rPr>
          <w:spacing w:val="-2"/>
          <w:rtl/>
        </w:rPr>
        <w:t xml:space="preserve"> و</w:t>
      </w:r>
      <w:r w:rsidRPr="000E5C82">
        <w:rPr>
          <w:spacing w:val="-2"/>
          <w:rtl/>
        </w:rPr>
        <w:t xml:space="preserve">20 من توصية </w:t>
      </w:r>
      <w:r w:rsidR="00E506E3" w:rsidRPr="000E5C82">
        <w:rPr>
          <w:rFonts w:hint="cs"/>
          <w:spacing w:val="-2"/>
          <w:rtl/>
        </w:rPr>
        <w:t>العمال المهاجرين (مراجعة)</w:t>
      </w:r>
      <w:r w:rsidRPr="000E5C82">
        <w:rPr>
          <w:spacing w:val="-2"/>
          <w:rtl/>
        </w:rPr>
        <w:t xml:space="preserve"> 1949 (رقم 86)، </w:t>
      </w:r>
      <w:r w:rsidR="00E506E3" w:rsidRPr="000E5C82">
        <w:rPr>
          <w:rFonts w:hint="cs"/>
          <w:spacing w:val="-2"/>
          <w:rtl/>
        </w:rPr>
        <w:t xml:space="preserve">اللتين </w:t>
      </w:r>
      <w:r w:rsidRPr="000E5C82">
        <w:rPr>
          <w:spacing w:val="-2"/>
          <w:rtl/>
        </w:rPr>
        <w:t>تشدد</w:t>
      </w:r>
      <w:r w:rsidR="00E506E3" w:rsidRPr="000E5C82">
        <w:rPr>
          <w:rFonts w:hint="cs"/>
          <w:spacing w:val="-2"/>
          <w:rtl/>
        </w:rPr>
        <w:t>ان</w:t>
      </w:r>
      <w:r w:rsidRPr="000E5C82">
        <w:rPr>
          <w:spacing w:val="-2"/>
          <w:rtl/>
        </w:rPr>
        <w:t xml:space="preserve"> على أهمية إسداء المشورة للمهاجرين وعائلاتهم بشأن </w:t>
      </w:r>
      <w:r w:rsidR="00F60622" w:rsidRPr="000E5C82">
        <w:rPr>
          <w:rFonts w:hint="cs"/>
          <w:spacing w:val="-2"/>
          <w:rtl/>
        </w:rPr>
        <w:t>ال</w:t>
      </w:r>
      <w:r w:rsidRPr="000E5C82">
        <w:rPr>
          <w:spacing w:val="-2"/>
          <w:rtl/>
        </w:rPr>
        <w:t xml:space="preserve">مسائل </w:t>
      </w:r>
      <w:r w:rsidR="00F60622" w:rsidRPr="000E5C82">
        <w:rPr>
          <w:rFonts w:hint="cs"/>
          <w:spacing w:val="-2"/>
          <w:rtl/>
        </w:rPr>
        <w:t xml:space="preserve">المتصلة </w:t>
      </w:r>
      <w:r w:rsidRPr="000E5C82">
        <w:rPr>
          <w:spacing w:val="-2"/>
          <w:rtl/>
        </w:rPr>
        <w:t xml:space="preserve">بالعودة، وتوفير ضمانات إضافية للعائدين في ما يخص منح إعانة </w:t>
      </w:r>
      <w:r w:rsidR="00F60622" w:rsidRPr="000E5C82">
        <w:rPr>
          <w:rFonts w:hint="cs"/>
          <w:spacing w:val="-2"/>
          <w:rtl/>
        </w:rPr>
        <w:t>ل</w:t>
      </w:r>
      <w:r w:rsidRPr="000E5C82">
        <w:rPr>
          <w:spacing w:val="-2"/>
          <w:rtl/>
        </w:rPr>
        <w:t xml:space="preserve">لفقراء وإعانة </w:t>
      </w:r>
      <w:r w:rsidR="00F60622" w:rsidRPr="000E5C82">
        <w:rPr>
          <w:rFonts w:hint="cs"/>
          <w:spacing w:val="-2"/>
          <w:rtl/>
        </w:rPr>
        <w:t>ل</w:t>
      </w:r>
      <w:r w:rsidRPr="000E5C82">
        <w:rPr>
          <w:spacing w:val="-2"/>
          <w:rtl/>
        </w:rPr>
        <w:t xml:space="preserve">لبطالة، فضلاً عن </w:t>
      </w:r>
      <w:r w:rsidR="00F60622" w:rsidRPr="000E5C82">
        <w:rPr>
          <w:rFonts w:hint="cs"/>
          <w:spacing w:val="-2"/>
          <w:rtl/>
        </w:rPr>
        <w:t xml:space="preserve">التشجيع على </w:t>
      </w:r>
      <w:r w:rsidRPr="000E5C82">
        <w:rPr>
          <w:spacing w:val="-2"/>
          <w:rtl/>
        </w:rPr>
        <w:t>إعادة توظيف العاطلين عن العمل.</w:t>
      </w:r>
    </w:p>
    <w:p w:rsidR="00A152CA" w:rsidRDefault="007F42CC" w:rsidP="007F42CC">
      <w:pPr>
        <w:pStyle w:val="H23GA"/>
        <w:rPr>
          <w:rtl/>
        </w:rPr>
      </w:pPr>
      <w:r>
        <w:rPr>
          <w:rFonts w:hint="cs"/>
          <w:rtl/>
        </w:rPr>
        <w:tab/>
      </w:r>
      <w:r>
        <w:rPr>
          <w:rFonts w:hint="cs"/>
          <w:rtl/>
        </w:rPr>
        <w:tab/>
      </w:r>
      <w:r w:rsidR="00A152CA">
        <w:rPr>
          <w:rtl/>
        </w:rPr>
        <w:t>الاتفاقية رقم 100</w:t>
      </w:r>
    </w:p>
    <w:p w:rsidR="00A152CA" w:rsidRDefault="00A152CA" w:rsidP="0041296E">
      <w:pPr>
        <w:pStyle w:val="SingleTxtGA"/>
        <w:rPr>
          <w:rtl/>
        </w:rPr>
      </w:pPr>
      <w:r>
        <w:rPr>
          <w:rtl/>
        </w:rPr>
        <w:t>17-</w:t>
      </w:r>
      <w:r w:rsidR="007F42CC">
        <w:rPr>
          <w:rFonts w:hint="cs"/>
          <w:rtl/>
        </w:rPr>
        <w:tab/>
      </w:r>
      <w:r>
        <w:rPr>
          <w:rtl/>
        </w:rPr>
        <w:t>أشارت لجنة الخبراء في طلبها المباشر لعام 2009، إلى أنها لم تتسلم تقرير الحكومة</w:t>
      </w:r>
      <w:r w:rsidR="00E81050">
        <w:rPr>
          <w:rFonts w:hint="cs"/>
          <w:rtl/>
        </w:rPr>
        <w:t>،</w:t>
      </w:r>
      <w:r>
        <w:rPr>
          <w:rtl/>
        </w:rPr>
        <w:t xml:space="preserve"> وذكّرت على هذا الأساس </w:t>
      </w:r>
      <w:r w:rsidR="008A5860">
        <w:rPr>
          <w:rFonts w:hint="cs"/>
          <w:rtl/>
        </w:rPr>
        <w:t>بتعليقاتها</w:t>
      </w:r>
      <w:r>
        <w:rPr>
          <w:rtl/>
        </w:rPr>
        <w:t xml:space="preserve"> السابقة. ولاحظت اللجنة أن أغلبية النساء يعملن في القطاعات غير النظامية والزراع</w:t>
      </w:r>
      <w:r w:rsidR="00C93D34">
        <w:rPr>
          <w:rFonts w:hint="cs"/>
          <w:rtl/>
        </w:rPr>
        <w:t>ي</w:t>
      </w:r>
      <w:r>
        <w:rPr>
          <w:rtl/>
        </w:rPr>
        <w:t xml:space="preserve">ة ولا يحظين سوى بتمثيل ضعيف في معظم الوظائف، وخاصة وظائف الإدارة المتوسطة والعليا. وأشارت اللجنة إلى أن حياة المرأة في بوركينا فاسو لا تزال تحكمها إلى حد كبير </w:t>
      </w:r>
      <w:r w:rsidR="00E91867">
        <w:rPr>
          <w:rFonts w:hint="cs"/>
          <w:rtl/>
        </w:rPr>
        <w:t>القواعد</w:t>
      </w:r>
      <w:r>
        <w:rPr>
          <w:rtl/>
        </w:rPr>
        <w:t xml:space="preserve"> والممارسات العرفية التي تكرّس التوزيع التقليدي للأدوار والمهام بين النساء والرجال</w:t>
      </w:r>
      <w:r w:rsidR="00E91867">
        <w:rPr>
          <w:rFonts w:hint="cs"/>
          <w:rtl/>
        </w:rPr>
        <w:t>،</w:t>
      </w:r>
      <w:r>
        <w:rPr>
          <w:rtl/>
        </w:rPr>
        <w:t xml:space="preserve"> وأن </w:t>
      </w:r>
      <w:r w:rsidR="00E91867">
        <w:rPr>
          <w:rFonts w:hint="cs"/>
          <w:rtl/>
        </w:rPr>
        <w:t xml:space="preserve">بعض </w:t>
      </w:r>
      <w:r>
        <w:rPr>
          <w:rtl/>
        </w:rPr>
        <w:t xml:space="preserve">أرباب العمل يتجنبون توظيف النساء إذا كانت مسؤولياتهن المنزلية تبعدهن عن عملهن. ولاحظت اللجنة أن السياسة الوطنية للنهوض بالمرأة نصت، بهدف معالجة المظاهر المستمرة لعدم المساواة بين الرجل والمرأة، على تدابير أولوية كالحد من الممارسات الاجتماعية الثقافية التي وُصفت بالرجعية والجائرة بحق المرأة، وتعزيز </w:t>
      </w:r>
      <w:r w:rsidR="003F24AD">
        <w:rPr>
          <w:rFonts w:hint="cs"/>
          <w:rtl/>
        </w:rPr>
        <w:t>ح</w:t>
      </w:r>
      <w:r>
        <w:rPr>
          <w:rtl/>
        </w:rPr>
        <w:t xml:space="preserve">صول المرأة </w:t>
      </w:r>
      <w:r w:rsidR="003F24AD">
        <w:rPr>
          <w:rFonts w:hint="cs"/>
          <w:rtl/>
        </w:rPr>
        <w:t xml:space="preserve">على العمل </w:t>
      </w:r>
      <w:r>
        <w:rPr>
          <w:rtl/>
        </w:rPr>
        <w:t xml:space="preserve">والتدريب، وتشجيع مشاركتها في هيئات صنع القرار. وطلبت اللجنة من الحكومة </w:t>
      </w:r>
      <w:r w:rsidR="006522D6">
        <w:rPr>
          <w:rFonts w:hint="cs"/>
          <w:rtl/>
        </w:rPr>
        <w:t xml:space="preserve">إرسال </w:t>
      </w:r>
      <w:r>
        <w:rPr>
          <w:rtl/>
        </w:rPr>
        <w:t xml:space="preserve">معلومات </w:t>
      </w:r>
      <w:r w:rsidR="006522D6">
        <w:rPr>
          <w:rFonts w:hint="cs"/>
          <w:rtl/>
        </w:rPr>
        <w:t xml:space="preserve">عن </w:t>
      </w:r>
      <w:r>
        <w:rPr>
          <w:rtl/>
        </w:rPr>
        <w:t xml:space="preserve">أثر السياسة الوطنية </w:t>
      </w:r>
      <w:r w:rsidR="006522D6">
        <w:rPr>
          <w:rFonts w:hint="cs"/>
          <w:rtl/>
        </w:rPr>
        <w:t xml:space="preserve">على </w:t>
      </w:r>
      <w:r>
        <w:rPr>
          <w:rtl/>
        </w:rPr>
        <w:t xml:space="preserve">الحد من الفصل الممارس ضد المرأة في سوق العمل </w:t>
      </w:r>
      <w:r w:rsidR="0041296E">
        <w:rPr>
          <w:rFonts w:hint="cs"/>
          <w:rtl/>
        </w:rPr>
        <w:t xml:space="preserve">وعن </w:t>
      </w:r>
      <w:r>
        <w:rPr>
          <w:rtl/>
        </w:rPr>
        <w:t>مشاركة المرأة في الوظائف الإدارية المتوسطة والعليا.</w:t>
      </w:r>
    </w:p>
    <w:p w:rsidR="00A152CA" w:rsidRDefault="00A152CA" w:rsidP="000E5C82">
      <w:pPr>
        <w:pStyle w:val="SingleTxtGA"/>
        <w:rPr>
          <w:rtl/>
        </w:rPr>
      </w:pPr>
      <w:r>
        <w:rPr>
          <w:rtl/>
        </w:rPr>
        <w:t>18-</w:t>
      </w:r>
      <w:r>
        <w:rPr>
          <w:rtl/>
        </w:rPr>
        <w:tab/>
        <w:t xml:space="preserve">وفي ما يخص التقييم الموضوعي للوظيفة، ذكّرت اللجنة بضرورة اللجوء لوسائل ملائمة لمعرفة ما إذا كانت الوظائف التي تنطوي على أعمال مختلفة، لها بالرغم من ذلك نفس القيمة من حيث الأجر. وشددت على أن اعتماد معايير تقييم غير تمييزية وتطبيقها بشكل </w:t>
      </w:r>
      <w:r w:rsidR="00A50C19">
        <w:rPr>
          <w:rFonts w:hint="cs"/>
          <w:rtl/>
        </w:rPr>
        <w:t>موح</w:t>
      </w:r>
      <w:r w:rsidR="000E5C82">
        <w:rPr>
          <w:rFonts w:hint="cs"/>
          <w:rtl/>
        </w:rPr>
        <w:t>د</w:t>
      </w:r>
      <w:r>
        <w:rPr>
          <w:rtl/>
        </w:rPr>
        <w:t xml:space="preserve"> أمر بالغ الأهمية في تقليص الفوارق في الأجور التي تسببها القوالب النمطية التقليدية المرتبطة "بقيمة العمل". </w:t>
      </w:r>
    </w:p>
    <w:p w:rsidR="00A152CA" w:rsidRDefault="00A152CA" w:rsidP="00997654">
      <w:pPr>
        <w:pStyle w:val="SingleTxtGA"/>
        <w:rPr>
          <w:rFonts w:hint="cs"/>
          <w:rtl/>
        </w:rPr>
      </w:pPr>
      <w:r>
        <w:rPr>
          <w:rtl/>
        </w:rPr>
        <w:t>19-</w:t>
      </w:r>
      <w:r>
        <w:rPr>
          <w:rtl/>
        </w:rPr>
        <w:tab/>
        <w:t xml:space="preserve">ولاحظت اللجنة أن دوائر </w:t>
      </w:r>
      <w:r w:rsidR="00A50C19">
        <w:rPr>
          <w:rFonts w:hint="cs"/>
          <w:rtl/>
        </w:rPr>
        <w:t>تفتيش</w:t>
      </w:r>
      <w:r>
        <w:rPr>
          <w:rtl/>
        </w:rPr>
        <w:t xml:space="preserve"> العمل لم تسجل أية شكاوى متعلقة بمبدأ المساواة في الأجور بين النساء والرجال</w:t>
      </w:r>
      <w:r w:rsidR="00997654">
        <w:rPr>
          <w:rFonts w:hint="cs"/>
          <w:rtl/>
        </w:rPr>
        <w:t>. وقالت إنها تود</w:t>
      </w:r>
      <w:r>
        <w:rPr>
          <w:rtl/>
        </w:rPr>
        <w:t xml:space="preserve"> لفت انتباه الحكومة إلى أن غياب الشكاوى لا يعني بالضرورة عدم وجود تمييز في الأجور. ويمكن أن يكون غياب الشكاوى مؤشراً على قلة وعي ضحايا هذا التمييز بحقوقهم والوسائل المتاحة لهم لتصحيحه. لذا تطلب اللجنة من الحكومة تزويدها بمعلومات بشأن التدابير التي تتخذها لضمان التطبيق الفعلي لمبدأ الاتفاقية، لا سيما بخصوص حملات الدعاية لمبدأ الاتفاقية والتعريف به. </w:t>
      </w:r>
    </w:p>
    <w:p w:rsidR="00A152CA" w:rsidRPr="000E5C82" w:rsidRDefault="00A152CA" w:rsidP="000E5C82">
      <w:pPr>
        <w:pStyle w:val="SingleTxtGA"/>
        <w:rPr>
          <w:i/>
          <w:iCs/>
          <w:rtl/>
        </w:rPr>
      </w:pPr>
      <w:r w:rsidRPr="000E5C82">
        <w:rPr>
          <w:i/>
          <w:iCs/>
          <w:rtl/>
        </w:rPr>
        <w:t>تلقت لجنة الخبراء آخر تقارير الحكومة وستدرسه خلال عام 2010.</w:t>
      </w:r>
      <w:r w:rsidR="00BE0A50" w:rsidRPr="000E5C82">
        <w:rPr>
          <w:i/>
          <w:iCs/>
          <w:rtl/>
        </w:rPr>
        <w:t xml:space="preserve"> </w:t>
      </w:r>
    </w:p>
    <w:p w:rsidR="00A152CA" w:rsidRDefault="000E5C82" w:rsidP="000E5C82">
      <w:pPr>
        <w:pStyle w:val="H23GA"/>
        <w:rPr>
          <w:rtl/>
        </w:rPr>
      </w:pPr>
      <w:r>
        <w:rPr>
          <w:rtl/>
        </w:rPr>
        <w:br w:type="page"/>
      </w:r>
      <w:r w:rsidR="00B76DC6">
        <w:rPr>
          <w:rFonts w:hint="cs"/>
          <w:rtl/>
        </w:rPr>
        <w:tab/>
      </w:r>
      <w:r w:rsidR="00B76DC6">
        <w:rPr>
          <w:rFonts w:hint="cs"/>
          <w:rtl/>
        </w:rPr>
        <w:tab/>
      </w:r>
      <w:r w:rsidR="00A152CA">
        <w:rPr>
          <w:rtl/>
        </w:rPr>
        <w:t>الاتفاقية رقم 111</w:t>
      </w:r>
    </w:p>
    <w:p w:rsidR="00A152CA" w:rsidRDefault="00A152CA" w:rsidP="00535564">
      <w:pPr>
        <w:pStyle w:val="SingleTxtGA"/>
        <w:rPr>
          <w:rtl/>
        </w:rPr>
      </w:pPr>
      <w:r>
        <w:rPr>
          <w:rtl/>
        </w:rPr>
        <w:t>20-</w:t>
      </w:r>
      <w:r>
        <w:rPr>
          <w:rtl/>
        </w:rPr>
        <w:tab/>
        <w:t>أشارت لجنة الخبراء في طلبها المباشر لعام 2009، إلى أنها لم تتسلم تقرير الحكومة وذكّرت بدواعي القلق التي سبق وأعربت عنها بشأن عدم التزام الحكومة بتشريعات العمل الهادفة إلى القضاء على التمييز في مجال العمالة. لذا حثت اللجنة الحكومة على إرسال معلومات بشأن الأمور التالية : (أ) تطبيق التشريعات ذات الصلة، بما في ذلك القانون المؤرخ في 28 نيسان/ أبريل 1998 الذي يضمن المساواة في التوظيف في القطاع العام؛ (ب) عدد الشكاوى المستندة إلى تشريعات العمل الهادفة إلى القضاء على التمييز، والنتائج التي أفضت إليها؛</w:t>
      </w:r>
      <w:r w:rsidR="00F74105">
        <w:rPr>
          <w:rtl/>
        </w:rPr>
        <w:t xml:space="preserve"> </w:t>
      </w:r>
      <w:r>
        <w:rPr>
          <w:rtl/>
        </w:rPr>
        <w:t>(ج) الأنشطة التي اضطلعت بها وزارة النهوض بالمرأة واللجنة الوطنية لمكافحة التمييز لضمان التطبيق الفعلي لهذه التشريعات.</w:t>
      </w:r>
    </w:p>
    <w:p w:rsidR="00A152CA" w:rsidRPr="000E5C82" w:rsidRDefault="00A152CA" w:rsidP="000E5C82">
      <w:pPr>
        <w:pStyle w:val="SingleTxtGA"/>
        <w:rPr>
          <w:i/>
          <w:iCs/>
          <w:rtl/>
        </w:rPr>
      </w:pPr>
      <w:r w:rsidRPr="000E5C82">
        <w:rPr>
          <w:i/>
          <w:iCs/>
          <w:rtl/>
        </w:rPr>
        <w:t>تلقت لجنة الخبراء آخر تقارير الحكومة وستدرسه خلال عام 2010.</w:t>
      </w:r>
      <w:r w:rsidR="00BE0A50" w:rsidRPr="000E5C82">
        <w:rPr>
          <w:i/>
          <w:iCs/>
          <w:rtl/>
        </w:rPr>
        <w:t xml:space="preserve"> </w:t>
      </w:r>
    </w:p>
    <w:p w:rsidR="00A152CA" w:rsidRDefault="00927E13" w:rsidP="000E5C82">
      <w:pPr>
        <w:pStyle w:val="H23GA"/>
        <w:rPr>
          <w:rtl/>
        </w:rPr>
      </w:pPr>
      <w:r>
        <w:rPr>
          <w:rFonts w:hint="cs"/>
          <w:rtl/>
        </w:rPr>
        <w:tab/>
      </w:r>
      <w:r>
        <w:rPr>
          <w:rFonts w:hint="cs"/>
          <w:rtl/>
        </w:rPr>
        <w:tab/>
      </w:r>
      <w:r w:rsidR="00A152CA">
        <w:rPr>
          <w:rtl/>
        </w:rPr>
        <w:t>الاتفاقية رقم 182</w:t>
      </w:r>
    </w:p>
    <w:p w:rsidR="00A152CA" w:rsidRPr="000E5C82" w:rsidRDefault="00A152CA" w:rsidP="0065052C">
      <w:pPr>
        <w:pStyle w:val="SingleTxtGA"/>
        <w:rPr>
          <w:spacing w:val="-2"/>
          <w:rtl/>
        </w:rPr>
      </w:pPr>
      <w:r w:rsidRPr="000E5C82">
        <w:rPr>
          <w:spacing w:val="-2"/>
          <w:rtl/>
        </w:rPr>
        <w:t>21-</w:t>
      </w:r>
      <w:r w:rsidRPr="000E5C82">
        <w:rPr>
          <w:spacing w:val="-2"/>
          <w:rtl/>
        </w:rPr>
        <w:tab/>
        <w:t>أشارت لجنة الخبراء في ملاحظاتها لعام 2008، إلى أن الاتجار الداخلي</w:t>
      </w:r>
      <w:r w:rsidR="00DE6DAA" w:rsidRPr="000E5C82">
        <w:rPr>
          <w:rFonts w:hint="cs"/>
          <w:spacing w:val="-2"/>
          <w:rtl/>
        </w:rPr>
        <w:t xml:space="preserve"> بالبشر</w:t>
      </w:r>
      <w:r w:rsidRPr="000E5C82">
        <w:rPr>
          <w:spacing w:val="-2"/>
          <w:rtl/>
        </w:rPr>
        <w:t xml:space="preserve">، الذي يشكل 70 في المائة من </w:t>
      </w:r>
      <w:r w:rsidR="00DE6DAA" w:rsidRPr="000E5C82">
        <w:rPr>
          <w:rFonts w:hint="cs"/>
          <w:spacing w:val="-2"/>
          <w:rtl/>
        </w:rPr>
        <w:t>الحالات</w:t>
      </w:r>
      <w:r w:rsidRPr="000E5C82">
        <w:rPr>
          <w:spacing w:val="-2"/>
          <w:rtl/>
        </w:rPr>
        <w:t xml:space="preserve">، </w:t>
      </w:r>
      <w:r w:rsidR="00DE6DAA" w:rsidRPr="000E5C82">
        <w:rPr>
          <w:rFonts w:hint="cs"/>
          <w:spacing w:val="-2"/>
          <w:rtl/>
        </w:rPr>
        <w:t>يتعلق أساساً ب</w:t>
      </w:r>
      <w:r w:rsidRPr="000E5C82">
        <w:rPr>
          <w:spacing w:val="-2"/>
          <w:rtl/>
        </w:rPr>
        <w:t xml:space="preserve">الفتيات اللواتي </w:t>
      </w:r>
      <w:r w:rsidR="00DE6DAA" w:rsidRPr="000E5C82">
        <w:rPr>
          <w:rFonts w:hint="cs"/>
          <w:spacing w:val="-2"/>
          <w:rtl/>
        </w:rPr>
        <w:t xml:space="preserve">يمارسن العمل في المنازل </w:t>
      </w:r>
      <w:r w:rsidRPr="000E5C82">
        <w:rPr>
          <w:spacing w:val="-2"/>
          <w:rtl/>
        </w:rPr>
        <w:t>أو يعملن كبائعات في طرقات مدن البلد الكبرى. وأشارت اللجنة إلى أن الفتيات، لا سيما تلك العاملات في المنازل، غالباً ما يتعرضن للاستغلال، وأنه من الصعب مراقبة ظروف عملهن لأنه عمل غير مسموح به. وفيما لاحظت اللجنة وجود برنامج مشترك بين البرنامج الدولي للقضاء على عمل الأطفال ومنظمة العمل الدولية لمكافحة الاتجار بالأطفال بغرض استغلالهم في العمل في غرب ووسط أفريقيا (لوتر</w:t>
      </w:r>
      <w:r w:rsidR="00D61367" w:rsidRPr="000E5C82">
        <w:rPr>
          <w:rFonts w:hint="cs"/>
          <w:spacing w:val="-2"/>
          <w:rtl/>
        </w:rPr>
        <w:t>ينا</w:t>
      </w:r>
      <w:r w:rsidRPr="000E5C82">
        <w:rPr>
          <w:spacing w:val="-2"/>
          <w:rtl/>
        </w:rPr>
        <w:t xml:space="preserve">)، </w:t>
      </w:r>
      <w:r w:rsidR="00D61367" w:rsidRPr="000E5C82">
        <w:rPr>
          <w:rFonts w:hint="cs"/>
          <w:spacing w:val="-2"/>
          <w:rtl/>
        </w:rPr>
        <w:t xml:space="preserve">فقد </w:t>
      </w:r>
      <w:r w:rsidRPr="000E5C82">
        <w:rPr>
          <w:spacing w:val="-2"/>
          <w:rtl/>
        </w:rPr>
        <w:t xml:space="preserve">طلبت من الحكومة تزويدها بمعلومات حول التدابير المحددة زمنياً التي اتخذها في إطار تنفيذ المرحلة الخامسة من برنامج </w:t>
      </w:r>
      <w:r w:rsidR="0065052C" w:rsidRPr="000E5C82">
        <w:rPr>
          <w:rFonts w:hint="cs"/>
          <w:spacing w:val="-2"/>
          <w:rtl/>
        </w:rPr>
        <w:t xml:space="preserve">لوترينا </w:t>
      </w:r>
      <w:r w:rsidRPr="000E5C82">
        <w:rPr>
          <w:spacing w:val="-2"/>
          <w:rtl/>
        </w:rPr>
        <w:t>لحماية الفتيات من أسوأ أشكال عمل الأطفال، بما في ذلك على وجه التحديد، عدد الفتيات من ضحايا البيع والاتجار للاستغلال في العمل أو الجنس، اللواتي انتشلن حتى الآن من هذا الوضع.</w:t>
      </w:r>
    </w:p>
    <w:p w:rsidR="00A152CA" w:rsidRDefault="00524507" w:rsidP="000E5C82">
      <w:pPr>
        <w:pStyle w:val="H1GA"/>
        <w:rPr>
          <w:rFonts w:hint="cs"/>
          <w:rtl/>
        </w:rPr>
      </w:pPr>
      <w:r>
        <w:rPr>
          <w:rFonts w:hint="cs"/>
          <w:rtl/>
        </w:rPr>
        <w:tab/>
      </w:r>
      <w:r>
        <w:rPr>
          <w:rFonts w:hint="cs"/>
          <w:rtl/>
        </w:rPr>
        <w:tab/>
      </w:r>
      <w:r>
        <w:rPr>
          <w:rtl/>
        </w:rPr>
        <w:t>تشاد</w:t>
      </w:r>
    </w:p>
    <w:p w:rsidR="00A152CA" w:rsidRPr="000E5C82" w:rsidRDefault="00A152CA" w:rsidP="000E5C82">
      <w:pPr>
        <w:pStyle w:val="SingleTxtGA"/>
        <w:rPr>
          <w:rFonts w:hint="cs"/>
          <w:spacing w:val="2"/>
          <w:rtl/>
        </w:rPr>
      </w:pPr>
      <w:r w:rsidRPr="000E5C82">
        <w:rPr>
          <w:spacing w:val="2"/>
          <w:rtl/>
        </w:rPr>
        <w:t>22-</w:t>
      </w:r>
      <w:r w:rsidRPr="000E5C82">
        <w:rPr>
          <w:spacing w:val="2"/>
          <w:rtl/>
        </w:rPr>
        <w:tab/>
        <w:t>من بين اتفاقيات منظم</w:t>
      </w:r>
      <w:r w:rsidR="000E5C82" w:rsidRPr="000E5C82">
        <w:rPr>
          <w:rFonts w:hint="cs"/>
          <w:spacing w:val="2"/>
          <w:rtl/>
        </w:rPr>
        <w:t>ـ</w:t>
      </w:r>
      <w:r w:rsidRPr="000E5C82">
        <w:rPr>
          <w:spacing w:val="2"/>
          <w:rtl/>
        </w:rPr>
        <w:t>ة العمل الدولية ذات الصلة، صدّقت تشاد على الاتفاق</w:t>
      </w:r>
      <w:r w:rsidR="00482355" w:rsidRPr="000E5C82">
        <w:rPr>
          <w:spacing w:val="2"/>
          <w:rtl/>
        </w:rPr>
        <w:t>ي</w:t>
      </w:r>
      <w:r w:rsidR="000E5C82" w:rsidRPr="000E5C82">
        <w:rPr>
          <w:rFonts w:hint="cs"/>
          <w:spacing w:val="2"/>
          <w:rtl/>
        </w:rPr>
        <w:t>تين</w:t>
      </w:r>
      <w:r w:rsidRPr="000E5C82">
        <w:rPr>
          <w:spacing w:val="2"/>
          <w:rtl/>
        </w:rPr>
        <w:t xml:space="preserve"> </w:t>
      </w:r>
      <w:r w:rsidR="00482355" w:rsidRPr="000E5C82">
        <w:rPr>
          <w:rFonts w:hint="cs"/>
          <w:spacing w:val="2"/>
          <w:rtl/>
        </w:rPr>
        <w:t xml:space="preserve">رقم </w:t>
      </w:r>
      <w:r w:rsidRPr="000E5C82">
        <w:rPr>
          <w:spacing w:val="2"/>
          <w:rtl/>
        </w:rPr>
        <w:t>100</w:t>
      </w:r>
      <w:r w:rsidR="00F74105" w:rsidRPr="000E5C82">
        <w:rPr>
          <w:spacing w:val="2"/>
          <w:rtl/>
        </w:rPr>
        <w:t xml:space="preserve"> و</w:t>
      </w:r>
      <w:r w:rsidRPr="000E5C82">
        <w:rPr>
          <w:spacing w:val="2"/>
          <w:rtl/>
        </w:rPr>
        <w:t xml:space="preserve">111. وصدقت أيضا على الاتفاقيات </w:t>
      </w:r>
      <w:r w:rsidR="001522CE" w:rsidRPr="000E5C82">
        <w:rPr>
          <w:rFonts w:hint="cs"/>
          <w:spacing w:val="2"/>
          <w:rtl/>
        </w:rPr>
        <w:t xml:space="preserve">رقم </w:t>
      </w:r>
      <w:r w:rsidRPr="000E5C82">
        <w:rPr>
          <w:spacing w:val="2"/>
          <w:rtl/>
        </w:rPr>
        <w:t>29</w:t>
      </w:r>
      <w:r w:rsidR="00F74105" w:rsidRPr="000E5C82">
        <w:rPr>
          <w:spacing w:val="2"/>
          <w:rtl/>
        </w:rPr>
        <w:t xml:space="preserve"> و</w:t>
      </w:r>
      <w:r w:rsidRPr="000E5C82">
        <w:rPr>
          <w:spacing w:val="2"/>
          <w:rtl/>
        </w:rPr>
        <w:t>87</w:t>
      </w:r>
      <w:r w:rsidR="00F74105" w:rsidRPr="000E5C82">
        <w:rPr>
          <w:spacing w:val="2"/>
          <w:rtl/>
        </w:rPr>
        <w:t xml:space="preserve"> و</w:t>
      </w:r>
      <w:r w:rsidRPr="000E5C82">
        <w:rPr>
          <w:spacing w:val="2"/>
          <w:rtl/>
        </w:rPr>
        <w:t>98</w:t>
      </w:r>
      <w:r w:rsidR="00F74105" w:rsidRPr="000E5C82">
        <w:rPr>
          <w:spacing w:val="2"/>
          <w:rtl/>
        </w:rPr>
        <w:t xml:space="preserve"> و</w:t>
      </w:r>
      <w:r w:rsidRPr="000E5C82">
        <w:rPr>
          <w:spacing w:val="2"/>
          <w:rtl/>
        </w:rPr>
        <w:t>105</w:t>
      </w:r>
      <w:r w:rsidR="00F74105" w:rsidRPr="000E5C82">
        <w:rPr>
          <w:spacing w:val="2"/>
          <w:rtl/>
        </w:rPr>
        <w:t xml:space="preserve"> و</w:t>
      </w:r>
      <w:r w:rsidRPr="000E5C82">
        <w:rPr>
          <w:spacing w:val="2"/>
          <w:rtl/>
        </w:rPr>
        <w:t>138</w:t>
      </w:r>
      <w:r w:rsidR="00F74105" w:rsidRPr="000E5C82">
        <w:rPr>
          <w:spacing w:val="2"/>
          <w:rtl/>
        </w:rPr>
        <w:t xml:space="preserve"> و</w:t>
      </w:r>
      <w:r w:rsidRPr="000E5C82">
        <w:rPr>
          <w:spacing w:val="2"/>
          <w:rtl/>
        </w:rPr>
        <w:t>182.</w:t>
      </w:r>
    </w:p>
    <w:p w:rsidR="00A152CA" w:rsidRPr="000E5C82" w:rsidRDefault="00A152CA" w:rsidP="000E5C82">
      <w:pPr>
        <w:pStyle w:val="SingleTxtGA"/>
        <w:rPr>
          <w:i/>
          <w:iCs/>
          <w:rtl/>
        </w:rPr>
      </w:pPr>
      <w:r w:rsidRPr="000E5C82">
        <w:rPr>
          <w:i/>
          <w:iCs/>
          <w:rtl/>
        </w:rPr>
        <w:t>تعليقات هيئات الإشراف لمنظمة العمل الدولية</w:t>
      </w:r>
    </w:p>
    <w:p w:rsidR="00A152CA" w:rsidRDefault="00A152CA" w:rsidP="001C500D">
      <w:pPr>
        <w:pStyle w:val="SingleTxtGA"/>
        <w:rPr>
          <w:rtl/>
        </w:rPr>
      </w:pPr>
      <w:r>
        <w:rPr>
          <w:rtl/>
        </w:rPr>
        <w:t>23-</w:t>
      </w:r>
      <w:r>
        <w:rPr>
          <w:rtl/>
        </w:rPr>
        <w:tab/>
        <w:t>التعليقات التي لم يتخذ إجراء بشأنها بعد، الصادرة عن لجنة الخبراء التابعة لمنظمة العمل الدولية والمتصلة بأحكام اتفاقية القضاء على جميع أشكال التمييز ضد المرأة، تتعلق بالاتفاقيات التالية:</w:t>
      </w:r>
    </w:p>
    <w:p w:rsidR="00A152CA" w:rsidRDefault="001C500D" w:rsidP="001C500D">
      <w:pPr>
        <w:pStyle w:val="H23GA"/>
        <w:rPr>
          <w:rtl/>
        </w:rPr>
      </w:pPr>
      <w:r>
        <w:rPr>
          <w:rFonts w:hint="cs"/>
          <w:rtl/>
        </w:rPr>
        <w:tab/>
      </w:r>
      <w:r>
        <w:rPr>
          <w:rFonts w:hint="cs"/>
          <w:rtl/>
        </w:rPr>
        <w:tab/>
      </w:r>
      <w:r w:rsidR="00A152CA">
        <w:rPr>
          <w:rtl/>
        </w:rPr>
        <w:t>الاتفاقية رقم 100</w:t>
      </w:r>
    </w:p>
    <w:p w:rsidR="00A152CA" w:rsidRDefault="00A152CA" w:rsidP="00E44071">
      <w:pPr>
        <w:pStyle w:val="SingleTxtGA"/>
        <w:rPr>
          <w:rFonts w:hint="cs"/>
          <w:rtl/>
        </w:rPr>
      </w:pPr>
      <w:r>
        <w:rPr>
          <w:rtl/>
        </w:rPr>
        <w:t>24-</w:t>
      </w:r>
      <w:r>
        <w:rPr>
          <w:rtl/>
        </w:rPr>
        <w:tab/>
        <w:t xml:space="preserve">ذكّرت لجنة الخبراء في طلبها المباشر لعام 2009 بدواعي القلق الذي يساورها بشأن الطابع المحدود لمبدأ المساواة في الأجر </w:t>
      </w:r>
      <w:r w:rsidR="00776EF9">
        <w:rPr>
          <w:rFonts w:hint="cs"/>
          <w:rtl/>
        </w:rPr>
        <w:t xml:space="preserve">الوارد في المادة </w:t>
      </w:r>
      <w:r>
        <w:rPr>
          <w:rtl/>
        </w:rPr>
        <w:t xml:space="preserve">42 من الاتفاق الجماعي العام المطبق على العمال في جمهورية تشاد. وكررت اللجنة تشديدها على أن الحماية التي يمنحها الاتفاق الجماعي </w:t>
      </w:r>
      <w:r w:rsidR="006E36DB">
        <w:rPr>
          <w:rFonts w:hint="cs"/>
          <w:rtl/>
        </w:rPr>
        <w:t xml:space="preserve">للعمال والعاملات </w:t>
      </w:r>
      <w:r>
        <w:rPr>
          <w:rtl/>
        </w:rPr>
        <w:t xml:space="preserve">أضيق نطاقاً من تلك المنصوص عليها في </w:t>
      </w:r>
      <w:r w:rsidR="006E36DB">
        <w:rPr>
          <w:rFonts w:hint="cs"/>
          <w:rtl/>
        </w:rPr>
        <w:t xml:space="preserve">المادة </w:t>
      </w:r>
      <w:r>
        <w:rPr>
          <w:rtl/>
        </w:rPr>
        <w:t xml:space="preserve">246 من قانون العمل (المعتمد </w:t>
      </w:r>
      <w:r w:rsidR="006E36DB">
        <w:rPr>
          <w:rFonts w:hint="cs"/>
          <w:rtl/>
        </w:rPr>
        <w:t>ب</w:t>
      </w:r>
      <w:r>
        <w:rPr>
          <w:rtl/>
        </w:rPr>
        <w:t>القانون</w:t>
      </w:r>
      <w:r w:rsidR="006E36DB">
        <w:rPr>
          <w:rFonts w:hint="cs"/>
          <w:rtl/>
        </w:rPr>
        <w:t xml:space="preserve"> رقم</w:t>
      </w:r>
      <w:r>
        <w:rPr>
          <w:rtl/>
        </w:rPr>
        <w:t xml:space="preserve"> </w:t>
      </w:r>
      <w:r w:rsidR="00ED4A43">
        <w:t>038/PR/96</w:t>
      </w:r>
      <w:r>
        <w:rPr>
          <w:rtl/>
        </w:rPr>
        <w:t xml:space="preserve"> في 11 كانون الأول/ديسمبر 1996)، </w:t>
      </w:r>
      <w:r w:rsidR="00ED4A43">
        <w:rPr>
          <w:rFonts w:hint="cs"/>
          <w:rtl/>
        </w:rPr>
        <w:t xml:space="preserve">إذ لم يضع موضع التنفيذ الكامل </w:t>
      </w:r>
      <w:r>
        <w:rPr>
          <w:rtl/>
        </w:rPr>
        <w:t xml:space="preserve">مبدأ الأجر المتساوي لعمل ذي قيمة متساوية. لذلك طلبت اللجنة من الحكومة توضيح النطاق العملي </w:t>
      </w:r>
      <w:r w:rsidR="00221B2C">
        <w:rPr>
          <w:rFonts w:hint="cs"/>
          <w:rtl/>
        </w:rPr>
        <w:t xml:space="preserve">للمادة </w:t>
      </w:r>
      <w:r>
        <w:rPr>
          <w:rtl/>
        </w:rPr>
        <w:t>42 من الاتفاق الجماعي المتعلق</w:t>
      </w:r>
      <w:r w:rsidR="00221B2C">
        <w:rPr>
          <w:rFonts w:hint="cs"/>
          <w:rtl/>
        </w:rPr>
        <w:t>ة</w:t>
      </w:r>
      <w:r>
        <w:rPr>
          <w:rtl/>
        </w:rPr>
        <w:t xml:space="preserve"> بالمساواة في الأجر وتحديد كيفية ضمان حصول </w:t>
      </w:r>
      <w:r w:rsidR="00676DCB">
        <w:rPr>
          <w:rFonts w:hint="cs"/>
          <w:rtl/>
        </w:rPr>
        <w:t xml:space="preserve">العمال من </w:t>
      </w:r>
      <w:r>
        <w:rPr>
          <w:rtl/>
        </w:rPr>
        <w:t>الرجال والنساء، في القانون وفي الممارسة،</w:t>
      </w:r>
      <w:r w:rsidR="00BE0A50">
        <w:rPr>
          <w:rtl/>
        </w:rPr>
        <w:t xml:space="preserve"> </w:t>
      </w:r>
      <w:r>
        <w:rPr>
          <w:rtl/>
        </w:rPr>
        <w:t>على أجر متساو حي</w:t>
      </w:r>
      <w:r w:rsidR="00E44071">
        <w:rPr>
          <w:rFonts w:hint="cs"/>
          <w:rtl/>
        </w:rPr>
        <w:t>ن</w:t>
      </w:r>
      <w:r>
        <w:rPr>
          <w:rtl/>
        </w:rPr>
        <w:t xml:space="preserve"> يؤدون عملاً ذا قيمة متساوية.</w:t>
      </w:r>
    </w:p>
    <w:p w:rsidR="00A152CA" w:rsidRDefault="00905F2F" w:rsidP="00905F2F">
      <w:pPr>
        <w:pStyle w:val="H23GA"/>
        <w:rPr>
          <w:rtl/>
        </w:rPr>
      </w:pPr>
      <w:r>
        <w:rPr>
          <w:rFonts w:hint="cs"/>
          <w:rtl/>
        </w:rPr>
        <w:tab/>
      </w:r>
      <w:r>
        <w:rPr>
          <w:rFonts w:hint="cs"/>
          <w:rtl/>
        </w:rPr>
        <w:tab/>
      </w:r>
      <w:r w:rsidR="00A152CA">
        <w:rPr>
          <w:rtl/>
        </w:rPr>
        <w:t>الاتفاقية رقم 111</w:t>
      </w:r>
    </w:p>
    <w:p w:rsidR="00A152CA" w:rsidRDefault="00A152CA" w:rsidP="00B07340">
      <w:pPr>
        <w:pStyle w:val="SingleTxtGA"/>
        <w:rPr>
          <w:rtl/>
        </w:rPr>
      </w:pPr>
      <w:r>
        <w:rPr>
          <w:rtl/>
        </w:rPr>
        <w:t>25-</w:t>
      </w:r>
      <w:r>
        <w:rPr>
          <w:rtl/>
        </w:rPr>
        <w:tab/>
        <w:t xml:space="preserve">أشارت لجنة الخبراء </w:t>
      </w:r>
      <w:r w:rsidR="00A3603B">
        <w:rPr>
          <w:rFonts w:hint="cs"/>
          <w:rtl/>
        </w:rPr>
        <w:t>ب</w:t>
      </w:r>
      <w:r>
        <w:rPr>
          <w:rtl/>
        </w:rPr>
        <w:t xml:space="preserve">اهتمام، في ملاحظاتها لعام 2009، إلى إقرار القانون رقم </w:t>
      </w:r>
      <w:r w:rsidR="00A3603B">
        <w:t>016/PR/06</w:t>
      </w:r>
      <w:r>
        <w:rPr>
          <w:rtl/>
        </w:rPr>
        <w:t xml:space="preserve"> في 13 آذار/مارس 2006 الذي يتضمن مبادئ توجيهية لنظام التعليم في تشاد، </w:t>
      </w:r>
      <w:r w:rsidR="00A3603B">
        <w:rPr>
          <w:rFonts w:hint="cs"/>
          <w:rtl/>
        </w:rPr>
        <w:t>والذي يركز</w:t>
      </w:r>
      <w:r>
        <w:rPr>
          <w:rtl/>
        </w:rPr>
        <w:t xml:space="preserve"> على مكافحة الاستبعاد من التعليم الذي يطال </w:t>
      </w:r>
      <w:r w:rsidR="000C2DCA">
        <w:rPr>
          <w:rFonts w:hint="cs"/>
          <w:rtl/>
        </w:rPr>
        <w:t>فئات</w:t>
      </w:r>
      <w:r>
        <w:rPr>
          <w:rtl/>
        </w:rPr>
        <w:t xml:space="preserve"> تعتبر الأكثر ضعفاً، بما في ذلك الفتيات اللواتي يقطن المناطق الريفية. وكان الهدف من هذا القانون ضمان استفادة جميع الأطفال ال</w:t>
      </w:r>
      <w:r w:rsidR="000E5C82">
        <w:rPr>
          <w:rFonts w:hint="cs"/>
          <w:rtl/>
        </w:rPr>
        <w:t>ت</w:t>
      </w:r>
      <w:r>
        <w:rPr>
          <w:rtl/>
        </w:rPr>
        <w:t xml:space="preserve">شاديين </w:t>
      </w:r>
      <w:r w:rsidR="008418BF">
        <w:rPr>
          <w:rFonts w:hint="cs"/>
          <w:rtl/>
        </w:rPr>
        <w:t xml:space="preserve">على قدم المساواة </w:t>
      </w:r>
      <w:r>
        <w:rPr>
          <w:rtl/>
        </w:rPr>
        <w:t xml:space="preserve">من تعليم عالي الجودة </w:t>
      </w:r>
      <w:r w:rsidR="008418BF">
        <w:rPr>
          <w:rFonts w:hint="cs"/>
          <w:rtl/>
        </w:rPr>
        <w:t xml:space="preserve">والتشجيع على التحاق </w:t>
      </w:r>
      <w:r>
        <w:rPr>
          <w:rtl/>
        </w:rPr>
        <w:t xml:space="preserve">الفتيات </w:t>
      </w:r>
      <w:r w:rsidR="008418BF">
        <w:rPr>
          <w:rFonts w:hint="cs"/>
          <w:rtl/>
        </w:rPr>
        <w:t>ب</w:t>
      </w:r>
      <w:r>
        <w:rPr>
          <w:rtl/>
        </w:rPr>
        <w:t xml:space="preserve">المدارس عبر إزالة القوالب النمطية وغيرها من الحواجز الاجتماعية </w:t>
      </w:r>
      <w:r w:rsidR="009674F5">
        <w:rPr>
          <w:rFonts w:hint="cs"/>
          <w:rtl/>
        </w:rPr>
        <w:t xml:space="preserve">- </w:t>
      </w:r>
      <w:r>
        <w:rPr>
          <w:rtl/>
        </w:rPr>
        <w:t xml:space="preserve">الاقتصادية والثقافية التي تقف عقبة أمام التنمية الكاملة للفتيات والنساء في عملية التعليم. كما لاحظت اللجنة أن "خطة العمل الوطنية بشأن توفير التعليم للجميع" تشتمل على </w:t>
      </w:r>
      <w:r w:rsidR="008C4CF6">
        <w:rPr>
          <w:rFonts w:hint="cs"/>
          <w:rtl/>
        </w:rPr>
        <w:t xml:space="preserve">حوافز </w:t>
      </w:r>
      <w:r>
        <w:rPr>
          <w:rtl/>
        </w:rPr>
        <w:t xml:space="preserve">تهدف إلى جعل الالتحاق بالمدارس أكثر جاذبية للفتيات، وأن أربع تجارب </w:t>
      </w:r>
      <w:r w:rsidR="006C66ED">
        <w:rPr>
          <w:rFonts w:hint="cs"/>
          <w:rtl/>
        </w:rPr>
        <w:t xml:space="preserve">تمت </w:t>
      </w:r>
      <w:r>
        <w:rPr>
          <w:rtl/>
        </w:rPr>
        <w:t xml:space="preserve">في أربع مناطق نموذجية لتعزيز التحاق الفتيات بالمدارس. وتشمل هذه التجارب أنشطة توعية واسعة النطاق بالمسائل الجنسانية، وتخصيص منح </w:t>
      </w:r>
      <w:r w:rsidR="006C66ED">
        <w:rPr>
          <w:rFonts w:hint="cs"/>
          <w:rtl/>
        </w:rPr>
        <w:t xml:space="preserve">للمجتمعات المحلية </w:t>
      </w:r>
      <w:r>
        <w:rPr>
          <w:rtl/>
        </w:rPr>
        <w:t xml:space="preserve">تساعدها على تنفيذ أنشطة مدرة للدخل، والإعفاء من </w:t>
      </w:r>
      <w:r w:rsidR="00B07340">
        <w:rPr>
          <w:rFonts w:hint="cs"/>
          <w:rtl/>
        </w:rPr>
        <w:t xml:space="preserve">الرسوم </w:t>
      </w:r>
      <w:r>
        <w:rPr>
          <w:rtl/>
        </w:rPr>
        <w:t xml:space="preserve">المدرسية وعدم فرض أي </w:t>
      </w:r>
      <w:r w:rsidR="00B07340">
        <w:rPr>
          <w:rFonts w:hint="cs"/>
          <w:rtl/>
        </w:rPr>
        <w:t xml:space="preserve">قيود على </w:t>
      </w:r>
      <w:r>
        <w:rPr>
          <w:rtl/>
        </w:rPr>
        <w:t xml:space="preserve">سن التحاق الفتيات بالمدارس. </w:t>
      </w:r>
    </w:p>
    <w:p w:rsidR="00A152CA" w:rsidRDefault="00A152CA" w:rsidP="00A53714">
      <w:pPr>
        <w:pStyle w:val="SingleTxtGA"/>
        <w:rPr>
          <w:rtl/>
        </w:rPr>
      </w:pPr>
      <w:r>
        <w:rPr>
          <w:rtl/>
        </w:rPr>
        <w:t>26-</w:t>
      </w:r>
      <w:r>
        <w:rPr>
          <w:rtl/>
        </w:rPr>
        <w:tab/>
      </w:r>
      <w:r w:rsidR="001905A7">
        <w:rPr>
          <w:rFonts w:hint="cs"/>
          <w:rtl/>
        </w:rPr>
        <w:t>غير</w:t>
      </w:r>
      <w:r>
        <w:rPr>
          <w:rtl/>
        </w:rPr>
        <w:t xml:space="preserve"> اللجنة لفتت انتباه الحكومة إلى تعارض </w:t>
      </w:r>
      <w:r w:rsidR="001905A7">
        <w:rPr>
          <w:rFonts w:hint="cs"/>
          <w:rtl/>
        </w:rPr>
        <w:t xml:space="preserve">المادة </w:t>
      </w:r>
      <w:r>
        <w:rPr>
          <w:rtl/>
        </w:rPr>
        <w:t xml:space="preserve">9 من القانون </w:t>
      </w:r>
      <w:r w:rsidR="001905A7">
        <w:rPr>
          <w:rFonts w:hint="cs"/>
          <w:rtl/>
        </w:rPr>
        <w:t xml:space="preserve">الوضعي </w:t>
      </w:r>
      <w:r>
        <w:rPr>
          <w:rtl/>
        </w:rPr>
        <w:t xml:space="preserve">رقم </w:t>
      </w:r>
      <w:r w:rsidR="001905A7">
        <w:t>006/PR/84</w:t>
      </w:r>
      <w:r w:rsidR="001905A7">
        <w:rPr>
          <w:rFonts w:hint="cs"/>
          <w:rtl/>
        </w:rPr>
        <w:t xml:space="preserve"> </w:t>
      </w:r>
      <w:r w:rsidR="009A51A1">
        <w:rPr>
          <w:rFonts w:hint="cs"/>
          <w:rtl/>
        </w:rPr>
        <w:t>الصادر</w:t>
      </w:r>
      <w:r w:rsidR="009A51A1">
        <w:rPr>
          <w:rtl/>
        </w:rPr>
        <w:t xml:space="preserve"> في</w:t>
      </w:r>
      <w:r w:rsidR="009A51A1">
        <w:rPr>
          <w:rFonts w:hint="cs"/>
          <w:rtl/>
        </w:rPr>
        <w:t xml:space="preserve"> نيسان/أبريل </w:t>
      </w:r>
      <w:r>
        <w:rPr>
          <w:rtl/>
        </w:rPr>
        <w:t>1984 مع أحكام الاتفاقية. وسألت اللجنة الحكومة إ</w:t>
      </w:r>
      <w:r w:rsidR="004E7833">
        <w:rPr>
          <w:rFonts w:hint="cs"/>
          <w:rtl/>
        </w:rPr>
        <w:t>ن</w:t>
      </w:r>
      <w:r>
        <w:rPr>
          <w:rtl/>
        </w:rPr>
        <w:t xml:space="preserve"> كان قانون عام 1984 لا يزال ساري المفعول، </w:t>
      </w:r>
      <w:r w:rsidR="004E7833">
        <w:rPr>
          <w:rFonts w:hint="cs"/>
          <w:rtl/>
        </w:rPr>
        <w:t xml:space="preserve">وبالتالي إيضاح إن </w:t>
      </w:r>
      <w:r>
        <w:rPr>
          <w:rtl/>
        </w:rPr>
        <w:t xml:space="preserve">كان لا يزال للزوج حق معارضة قيام زوجته بأنشطة تجارية. </w:t>
      </w:r>
      <w:r w:rsidR="007A6BAF">
        <w:rPr>
          <w:rFonts w:hint="cs"/>
          <w:rtl/>
        </w:rPr>
        <w:t>وإذا كان الأمر كذلك</w:t>
      </w:r>
      <w:r>
        <w:rPr>
          <w:rtl/>
        </w:rPr>
        <w:t xml:space="preserve">، ينبغي على الحكومة إلغاء </w:t>
      </w:r>
      <w:r w:rsidR="00A53714">
        <w:rPr>
          <w:rFonts w:hint="cs"/>
          <w:rtl/>
        </w:rPr>
        <w:t xml:space="preserve">        المادة </w:t>
      </w:r>
      <w:r>
        <w:rPr>
          <w:rtl/>
        </w:rPr>
        <w:t xml:space="preserve">9 من القانون لما </w:t>
      </w:r>
      <w:r w:rsidR="00A53714">
        <w:rPr>
          <w:rFonts w:hint="cs"/>
          <w:rtl/>
        </w:rPr>
        <w:t>ت</w:t>
      </w:r>
      <w:r>
        <w:rPr>
          <w:rtl/>
        </w:rPr>
        <w:t xml:space="preserve">تضمنه من تمييز ضد المرأة. </w:t>
      </w:r>
    </w:p>
    <w:p w:rsidR="00A152CA" w:rsidRDefault="00A53714" w:rsidP="000E5C82">
      <w:pPr>
        <w:pStyle w:val="H1GA"/>
        <w:spacing w:before="120"/>
        <w:rPr>
          <w:rtl/>
        </w:rPr>
      </w:pPr>
      <w:r>
        <w:rPr>
          <w:rFonts w:hint="cs"/>
          <w:rtl/>
        </w:rPr>
        <w:tab/>
      </w:r>
      <w:r>
        <w:rPr>
          <w:rFonts w:hint="cs"/>
          <w:rtl/>
        </w:rPr>
        <w:tab/>
      </w:r>
      <w:r w:rsidR="00A152CA">
        <w:rPr>
          <w:rtl/>
        </w:rPr>
        <w:t>الجمهورية التشيكية</w:t>
      </w:r>
    </w:p>
    <w:p w:rsidR="00A152CA" w:rsidRDefault="00A152CA" w:rsidP="000E5C82">
      <w:pPr>
        <w:pStyle w:val="SingleTxtGA"/>
        <w:rPr>
          <w:rtl/>
        </w:rPr>
      </w:pPr>
      <w:r>
        <w:rPr>
          <w:rtl/>
        </w:rPr>
        <w:t>27-</w:t>
      </w:r>
      <w:r>
        <w:rPr>
          <w:rtl/>
        </w:rPr>
        <w:tab/>
        <w:t xml:space="preserve">من بين اتفاقيات منظمة العمل الدولية ذات الصلة، صدّقت الجمهورية التشيكية على </w:t>
      </w:r>
      <w:r w:rsidR="008F5553">
        <w:rPr>
          <w:rFonts w:hint="cs"/>
          <w:rtl/>
        </w:rPr>
        <w:t>الاتفاقيتين</w:t>
      </w:r>
      <w:r>
        <w:rPr>
          <w:rtl/>
        </w:rPr>
        <w:t xml:space="preserve"> </w:t>
      </w:r>
      <w:r w:rsidR="008F5553">
        <w:rPr>
          <w:rFonts w:hint="cs"/>
          <w:rtl/>
        </w:rPr>
        <w:t xml:space="preserve">رقم </w:t>
      </w:r>
      <w:r>
        <w:rPr>
          <w:rtl/>
        </w:rPr>
        <w:t>100</w:t>
      </w:r>
      <w:r w:rsidR="00F74105">
        <w:rPr>
          <w:rtl/>
        </w:rPr>
        <w:t xml:space="preserve"> و</w:t>
      </w:r>
      <w:r>
        <w:rPr>
          <w:rtl/>
        </w:rPr>
        <w:t>111. وصدقت أيضا</w:t>
      </w:r>
      <w:r w:rsidR="007E25B8">
        <w:rPr>
          <w:rFonts w:hint="cs"/>
          <w:rtl/>
        </w:rPr>
        <w:t>ً</w:t>
      </w:r>
      <w:r>
        <w:rPr>
          <w:rtl/>
        </w:rPr>
        <w:t xml:space="preserve"> على الاتفاقيات رقم 29</w:t>
      </w:r>
      <w:r w:rsidR="00F74105">
        <w:rPr>
          <w:rtl/>
        </w:rPr>
        <w:t xml:space="preserve"> و</w:t>
      </w:r>
      <w:r>
        <w:rPr>
          <w:rtl/>
        </w:rPr>
        <w:t>87</w:t>
      </w:r>
      <w:r w:rsidR="00F74105">
        <w:rPr>
          <w:rtl/>
        </w:rPr>
        <w:t xml:space="preserve"> و</w:t>
      </w:r>
      <w:r>
        <w:rPr>
          <w:rtl/>
        </w:rPr>
        <w:t>98</w:t>
      </w:r>
      <w:r w:rsidR="00F74105">
        <w:rPr>
          <w:rtl/>
        </w:rPr>
        <w:t xml:space="preserve"> و</w:t>
      </w:r>
      <w:r>
        <w:rPr>
          <w:rtl/>
        </w:rPr>
        <w:t>105</w:t>
      </w:r>
      <w:r w:rsidR="00F74105">
        <w:rPr>
          <w:rtl/>
        </w:rPr>
        <w:t xml:space="preserve"> و</w:t>
      </w:r>
      <w:r>
        <w:rPr>
          <w:rtl/>
        </w:rPr>
        <w:t>122</w:t>
      </w:r>
      <w:r w:rsidR="00F74105">
        <w:rPr>
          <w:rtl/>
        </w:rPr>
        <w:t xml:space="preserve"> و</w:t>
      </w:r>
      <w:r>
        <w:rPr>
          <w:rtl/>
        </w:rPr>
        <w:t>138</w:t>
      </w:r>
      <w:r w:rsidR="00F74105">
        <w:rPr>
          <w:rtl/>
        </w:rPr>
        <w:t xml:space="preserve"> و</w:t>
      </w:r>
      <w:r>
        <w:rPr>
          <w:rtl/>
        </w:rPr>
        <w:t>142</w:t>
      </w:r>
      <w:r w:rsidR="00F74105">
        <w:rPr>
          <w:rtl/>
        </w:rPr>
        <w:t xml:space="preserve"> و</w:t>
      </w:r>
      <w:r>
        <w:rPr>
          <w:rtl/>
        </w:rPr>
        <w:t>171</w:t>
      </w:r>
      <w:r w:rsidR="00F74105">
        <w:rPr>
          <w:rtl/>
        </w:rPr>
        <w:t xml:space="preserve"> و</w:t>
      </w:r>
      <w:r>
        <w:rPr>
          <w:rtl/>
        </w:rPr>
        <w:t>182.</w:t>
      </w:r>
    </w:p>
    <w:p w:rsidR="00A152CA" w:rsidRPr="000E5C82" w:rsidRDefault="00A152CA" w:rsidP="000E5C82">
      <w:pPr>
        <w:pStyle w:val="SingleTxtGA"/>
        <w:rPr>
          <w:i/>
          <w:iCs/>
          <w:rtl/>
        </w:rPr>
      </w:pPr>
      <w:r w:rsidRPr="000E5C82">
        <w:rPr>
          <w:i/>
          <w:iCs/>
          <w:rtl/>
        </w:rPr>
        <w:t>تعليقات هيئات الإشراف لمنظمة العمل الدولية</w:t>
      </w:r>
    </w:p>
    <w:p w:rsidR="00A152CA" w:rsidRDefault="00A152CA" w:rsidP="007F7FBB">
      <w:pPr>
        <w:pStyle w:val="SingleTxtGA"/>
        <w:rPr>
          <w:rtl/>
        </w:rPr>
      </w:pPr>
      <w:r>
        <w:rPr>
          <w:rtl/>
        </w:rPr>
        <w:t>28-</w:t>
      </w:r>
      <w:r>
        <w:rPr>
          <w:rtl/>
        </w:rPr>
        <w:tab/>
        <w:t>التعليقات التي لم يتخذ إجراء بشأنها بعد، الصادرة عن لجنة الخبراء التابعة لمنظمة العمل الدولية والمتصلة بأحكام اتفاقية القضاء على جميع أشكال التمييز ضد المرأة، تتعلق بالاتفاقيات التالية:</w:t>
      </w:r>
    </w:p>
    <w:p w:rsidR="00A152CA" w:rsidRDefault="00290B0A" w:rsidP="00290B0A">
      <w:pPr>
        <w:pStyle w:val="H23GA"/>
        <w:rPr>
          <w:rtl/>
        </w:rPr>
      </w:pPr>
      <w:r>
        <w:rPr>
          <w:rFonts w:hint="cs"/>
          <w:rtl/>
        </w:rPr>
        <w:tab/>
      </w:r>
      <w:r>
        <w:rPr>
          <w:rFonts w:hint="cs"/>
          <w:rtl/>
        </w:rPr>
        <w:tab/>
      </w:r>
      <w:r w:rsidR="00A152CA">
        <w:rPr>
          <w:rtl/>
        </w:rPr>
        <w:t>الاتفاقية رقم 100</w:t>
      </w:r>
    </w:p>
    <w:p w:rsidR="00A152CA" w:rsidRDefault="00A152CA" w:rsidP="002A6D71">
      <w:pPr>
        <w:pStyle w:val="SingleTxtGA"/>
        <w:rPr>
          <w:rtl/>
        </w:rPr>
      </w:pPr>
      <w:r>
        <w:rPr>
          <w:rtl/>
        </w:rPr>
        <w:t>29-</w:t>
      </w:r>
      <w:r>
        <w:rPr>
          <w:rtl/>
        </w:rPr>
        <w:tab/>
        <w:t xml:space="preserve">أشارت لجنة الخبراء في طلبها المباشر لعام 2009، إلى أن قانون العمل الجديد (القانون رقم 262/2006، بصيغته المعدلة </w:t>
      </w:r>
      <w:r w:rsidR="00DF0A6A">
        <w:rPr>
          <w:rFonts w:hint="cs"/>
          <w:rtl/>
        </w:rPr>
        <w:t>ب</w:t>
      </w:r>
      <w:r>
        <w:rPr>
          <w:rtl/>
        </w:rPr>
        <w:t xml:space="preserve">القانون رقم 585/2006)، الذي دخل حيز النفاذ في الأول من كانون الثاني/يناير 2007، لا يزال يحدّ من تطبيق مبدأ المساواة في الأجر للعمل </w:t>
      </w:r>
      <w:r w:rsidR="00DF0A6A">
        <w:rPr>
          <w:rFonts w:hint="cs"/>
          <w:rtl/>
        </w:rPr>
        <w:t xml:space="preserve">ذي </w:t>
      </w:r>
      <w:r>
        <w:rPr>
          <w:rtl/>
        </w:rPr>
        <w:t xml:space="preserve">القيمة المتساوية، على الموظفين العاملين لدى نفس رب العمل. وذكّرت اللجنة </w:t>
      </w:r>
      <w:r w:rsidR="008A60AB">
        <w:rPr>
          <w:rFonts w:hint="cs"/>
          <w:rtl/>
        </w:rPr>
        <w:t>بملاحظاتها</w:t>
      </w:r>
      <w:r>
        <w:rPr>
          <w:rtl/>
        </w:rPr>
        <w:t xml:space="preserve"> </w:t>
      </w:r>
      <w:r w:rsidR="001178CA">
        <w:rPr>
          <w:rtl/>
        </w:rPr>
        <w:t>العامة</w:t>
      </w:r>
      <w:r>
        <w:rPr>
          <w:rtl/>
        </w:rPr>
        <w:t xml:space="preserve"> لعام 2006 التي أشارت فيها إلى أن تطبيق مبدأ الاتفاقية لا </w:t>
      </w:r>
      <w:r w:rsidR="008A60AB">
        <w:rPr>
          <w:rFonts w:hint="cs"/>
          <w:rtl/>
        </w:rPr>
        <w:t xml:space="preserve">يقتصر </w:t>
      </w:r>
      <w:r>
        <w:rPr>
          <w:rtl/>
        </w:rPr>
        <w:t xml:space="preserve">على </w:t>
      </w:r>
      <w:r w:rsidR="008A60AB">
        <w:rPr>
          <w:rFonts w:hint="cs"/>
          <w:rtl/>
        </w:rPr>
        <w:t xml:space="preserve">عقد </w:t>
      </w:r>
      <w:r>
        <w:rPr>
          <w:rtl/>
        </w:rPr>
        <w:t xml:space="preserve">مقارنات بين الرجال والنساء العاملين في نفس المؤسسة أو الشركة، وأنه يتيح </w:t>
      </w:r>
      <w:r w:rsidR="00EF5FCB">
        <w:rPr>
          <w:rFonts w:hint="cs"/>
          <w:rtl/>
        </w:rPr>
        <w:t xml:space="preserve">إجراء </w:t>
      </w:r>
      <w:r>
        <w:rPr>
          <w:rtl/>
        </w:rPr>
        <w:t xml:space="preserve">مقارنة أوسع </w:t>
      </w:r>
      <w:r w:rsidR="00EF5FCB">
        <w:rPr>
          <w:rFonts w:hint="cs"/>
          <w:rtl/>
        </w:rPr>
        <w:t xml:space="preserve">كثيراً </w:t>
      </w:r>
      <w:r>
        <w:rPr>
          <w:rtl/>
        </w:rPr>
        <w:t xml:space="preserve">بين الوظائف التي يشغلها رجال ونساء في شركات مختلفة أو بين أرباب عمل مختلفين. وثمة خطر أن تكون إمكانيات المقارنة غير كافية على مستوى مؤسسة يتركز فيها عدد كبير من النساء في قطاعات </w:t>
      </w:r>
      <w:r w:rsidR="002A6D71">
        <w:rPr>
          <w:rFonts w:hint="cs"/>
          <w:rtl/>
        </w:rPr>
        <w:t xml:space="preserve">معينة من </w:t>
      </w:r>
      <w:r>
        <w:rPr>
          <w:rtl/>
        </w:rPr>
        <w:t xml:space="preserve">الأنشطة أو الوظائف. وفي هذا الصدد، أشارت اللجنة إلى ملاحظات اتحاد نقابات العمال التشيكية المورافية التي أشارت إلى أن الوظائف التي يشغل أغلبيتها نساء تميل إلى أن تكون أقل أجراً مقارنة بوظائف مشابهة لا تشكل فيها النساء أغلبية. واعتبرت اللجنة أن إيلاء المزيد من الاهتمام لمبدأ الأجر المتساوي بين الرجال والنساء لعمل ذي قيمة متساوية، عبر اعتماد نهج متعددة القطاعات، قد يساعد في معالجة هذا الوضع. </w:t>
      </w:r>
    </w:p>
    <w:p w:rsidR="00A152CA" w:rsidRDefault="00A152CA" w:rsidP="00562DF8">
      <w:pPr>
        <w:pStyle w:val="SingleTxtGA"/>
        <w:rPr>
          <w:rtl/>
        </w:rPr>
      </w:pPr>
      <w:r>
        <w:rPr>
          <w:rtl/>
        </w:rPr>
        <w:t>30-</w:t>
      </w:r>
      <w:r>
        <w:rPr>
          <w:rtl/>
        </w:rPr>
        <w:tab/>
        <w:t xml:space="preserve">وفي حين رحّبت اللجنة بالإطار القانوني الخاص بالتقييم الموضوعي </w:t>
      </w:r>
      <w:r w:rsidR="005B2E41">
        <w:rPr>
          <w:rFonts w:hint="cs"/>
          <w:rtl/>
        </w:rPr>
        <w:t>للوظائف</w:t>
      </w:r>
      <w:r>
        <w:rPr>
          <w:rtl/>
        </w:rPr>
        <w:t xml:space="preserve"> الذي أرس</w:t>
      </w:r>
      <w:r w:rsidR="005B2E41">
        <w:rPr>
          <w:rFonts w:hint="cs"/>
          <w:rtl/>
        </w:rPr>
        <w:t>ت</w:t>
      </w:r>
      <w:r>
        <w:rPr>
          <w:rtl/>
        </w:rPr>
        <w:t xml:space="preserve">ه </w:t>
      </w:r>
      <w:r w:rsidR="005B2E41">
        <w:rPr>
          <w:rFonts w:hint="cs"/>
          <w:rtl/>
        </w:rPr>
        <w:t xml:space="preserve">المادة </w:t>
      </w:r>
      <w:r>
        <w:rPr>
          <w:rtl/>
        </w:rPr>
        <w:t xml:space="preserve">110 من قانون العمل، فقد شددت كذلك على الحاجة إلى تطوير واستخدام وسائل محددة لتقييم </w:t>
      </w:r>
      <w:r w:rsidR="00344530">
        <w:rPr>
          <w:rFonts w:hint="cs"/>
          <w:rtl/>
        </w:rPr>
        <w:t>الوظائف</w:t>
      </w:r>
      <w:r>
        <w:rPr>
          <w:rtl/>
        </w:rPr>
        <w:t xml:space="preserve">، تتضمن العناصر التي نص عليها قانون العمل وضمان تطبيقها بعيداً عن أي تحيز جنساني. لذا طلبت اللجنة من الحكومة تزويدها بمعلومات </w:t>
      </w:r>
      <w:r w:rsidR="00CD4E6F">
        <w:rPr>
          <w:rFonts w:hint="cs"/>
          <w:rtl/>
        </w:rPr>
        <w:t xml:space="preserve">بشأن </w:t>
      </w:r>
      <w:r>
        <w:rPr>
          <w:rtl/>
        </w:rPr>
        <w:t xml:space="preserve">التدابير التي اتخذتها أو تنوي </w:t>
      </w:r>
      <w:r w:rsidR="00F24FA4">
        <w:rPr>
          <w:rFonts w:hint="cs"/>
          <w:rtl/>
        </w:rPr>
        <w:t xml:space="preserve">اتخاذها </w:t>
      </w:r>
      <w:r>
        <w:rPr>
          <w:rtl/>
        </w:rPr>
        <w:t xml:space="preserve">لتعزيز تطوير </w:t>
      </w:r>
      <w:r w:rsidR="00562DF8">
        <w:rPr>
          <w:rFonts w:hint="cs"/>
          <w:rtl/>
        </w:rPr>
        <w:t xml:space="preserve">وتطبيق </w:t>
      </w:r>
      <w:r>
        <w:rPr>
          <w:rtl/>
        </w:rPr>
        <w:t xml:space="preserve">طرق تقييم موضوعية </w:t>
      </w:r>
      <w:r w:rsidR="00562DF8">
        <w:rPr>
          <w:rFonts w:hint="cs"/>
          <w:rtl/>
        </w:rPr>
        <w:t xml:space="preserve">للوظائف </w:t>
      </w:r>
      <w:r>
        <w:rPr>
          <w:rtl/>
        </w:rPr>
        <w:t xml:space="preserve">كوسيلة لتعزيز المساواة في الأجر بين الرجال والنساء لعمل ذي قيمة متساوية. </w:t>
      </w:r>
    </w:p>
    <w:p w:rsidR="00A152CA" w:rsidRDefault="001178CA" w:rsidP="00946629">
      <w:pPr>
        <w:pStyle w:val="H23GA"/>
        <w:rPr>
          <w:rtl/>
        </w:rPr>
      </w:pPr>
      <w:r>
        <w:rPr>
          <w:rtl/>
        </w:rPr>
        <w:br w:type="page"/>
      </w:r>
      <w:r w:rsidR="00946629">
        <w:rPr>
          <w:rFonts w:hint="cs"/>
          <w:rtl/>
        </w:rPr>
        <w:tab/>
      </w:r>
      <w:r w:rsidR="00946629">
        <w:rPr>
          <w:rFonts w:hint="cs"/>
          <w:rtl/>
        </w:rPr>
        <w:tab/>
      </w:r>
      <w:r w:rsidR="00A152CA">
        <w:rPr>
          <w:rtl/>
        </w:rPr>
        <w:t>الاتفاقية رقم 111</w:t>
      </w:r>
    </w:p>
    <w:p w:rsidR="00A152CA" w:rsidRDefault="00A152CA" w:rsidP="001178CA">
      <w:pPr>
        <w:pStyle w:val="SingleTxtGA"/>
        <w:rPr>
          <w:rtl/>
        </w:rPr>
      </w:pPr>
      <w:r>
        <w:rPr>
          <w:rtl/>
        </w:rPr>
        <w:t>31-</w:t>
      </w:r>
      <w:r>
        <w:rPr>
          <w:rtl/>
        </w:rPr>
        <w:tab/>
        <w:t xml:space="preserve">ذكّرت لجنة الخبراء في ملاحظاتها لعام 2009، بالنقاشات التي دارت خلال الدورة السابعة والتسعين (حزيران/يونيو 2008) للجنة تطبيق المعايير التابعة </w:t>
      </w:r>
      <w:r w:rsidR="00BD54B0">
        <w:rPr>
          <w:rFonts w:hint="cs"/>
          <w:rtl/>
        </w:rPr>
        <w:t>ب</w:t>
      </w:r>
      <w:r>
        <w:rPr>
          <w:rtl/>
        </w:rPr>
        <w:t xml:space="preserve">مؤتمر </w:t>
      </w:r>
      <w:r w:rsidR="00BD54B0">
        <w:rPr>
          <w:rtl/>
        </w:rPr>
        <w:t>العمل الدولي</w:t>
      </w:r>
      <w:r>
        <w:rPr>
          <w:rtl/>
        </w:rPr>
        <w:t xml:space="preserve">، التي تناولت المسائل التالية: (أ) </w:t>
      </w:r>
      <w:r w:rsidR="00BD54B0">
        <w:rPr>
          <w:rFonts w:hint="cs"/>
          <w:rtl/>
        </w:rPr>
        <w:t xml:space="preserve">سحب </w:t>
      </w:r>
      <w:r>
        <w:rPr>
          <w:rtl/>
        </w:rPr>
        <w:t xml:space="preserve">قانون العمل لعام 2006 </w:t>
      </w:r>
      <w:r w:rsidR="00BD54B0">
        <w:rPr>
          <w:rFonts w:hint="cs"/>
          <w:rtl/>
        </w:rPr>
        <w:t>ا</w:t>
      </w:r>
      <w:r>
        <w:rPr>
          <w:rtl/>
        </w:rPr>
        <w:t xml:space="preserve">لحماية من التمييز التي كان منصوصاً عليه من قبل، استناداً إلى عدد من الاعتبارات الأخرى، بما في ذلك المسؤوليات الأسرية </w:t>
      </w:r>
      <w:r w:rsidR="00BD54B0">
        <w:rPr>
          <w:rFonts w:hint="cs"/>
          <w:rtl/>
        </w:rPr>
        <w:t xml:space="preserve">والحالة الاجتماعية </w:t>
      </w:r>
      <w:r w:rsidR="00BD54B0">
        <w:rPr>
          <w:rtl/>
        </w:rPr>
        <w:t>أو العائل</w:t>
      </w:r>
      <w:r w:rsidR="00BD54B0">
        <w:rPr>
          <w:rFonts w:hint="cs"/>
          <w:rtl/>
        </w:rPr>
        <w:t>ية</w:t>
      </w:r>
      <w:r>
        <w:rPr>
          <w:rtl/>
        </w:rPr>
        <w:t xml:space="preserve"> أو </w:t>
      </w:r>
      <w:r w:rsidR="00BD54B0">
        <w:rPr>
          <w:rFonts w:hint="cs"/>
          <w:rtl/>
        </w:rPr>
        <w:t>ال</w:t>
      </w:r>
      <w:r>
        <w:rPr>
          <w:rtl/>
        </w:rPr>
        <w:t xml:space="preserve">عضوية </w:t>
      </w:r>
      <w:r w:rsidR="00BD54B0">
        <w:rPr>
          <w:rFonts w:hint="cs"/>
          <w:rtl/>
        </w:rPr>
        <w:t xml:space="preserve">في </w:t>
      </w:r>
      <w:r w:rsidR="00BD54B0">
        <w:rPr>
          <w:rtl/>
        </w:rPr>
        <w:t>حزب سياسي</w:t>
      </w:r>
      <w:r>
        <w:rPr>
          <w:rtl/>
        </w:rPr>
        <w:t xml:space="preserve">، أو نقابات أو منظمات </w:t>
      </w:r>
      <w:r w:rsidR="0018482E">
        <w:rPr>
          <w:rFonts w:hint="cs"/>
          <w:rtl/>
        </w:rPr>
        <w:t xml:space="preserve">لأصحاب </w:t>
      </w:r>
      <w:r>
        <w:rPr>
          <w:rtl/>
        </w:rPr>
        <w:t>العمل</w:t>
      </w:r>
      <w:r w:rsidR="0018482E">
        <w:rPr>
          <w:rFonts w:hint="cs"/>
          <w:rtl/>
        </w:rPr>
        <w:t xml:space="preserve"> أو العمل فيها</w:t>
      </w:r>
      <w:r>
        <w:rPr>
          <w:rtl/>
        </w:rPr>
        <w:t>؛ و(ب) وضع الروما، بم</w:t>
      </w:r>
      <w:r w:rsidR="00094EE2">
        <w:rPr>
          <w:rFonts w:hint="cs"/>
          <w:rtl/>
        </w:rPr>
        <w:t>ن</w:t>
      </w:r>
      <w:r>
        <w:rPr>
          <w:rtl/>
        </w:rPr>
        <w:t xml:space="preserve"> في</w:t>
      </w:r>
      <w:r w:rsidR="00094EE2">
        <w:rPr>
          <w:rFonts w:hint="cs"/>
          <w:rtl/>
        </w:rPr>
        <w:t>هم</w:t>
      </w:r>
      <w:r>
        <w:rPr>
          <w:rtl/>
        </w:rPr>
        <w:t xml:space="preserve"> النساء، في العمالة والمهن. وكانت لجنة المؤتمر قد دعت الحكومة إلى إقرار تشريع جديد</w:t>
      </w:r>
      <w:r w:rsidR="00E67963">
        <w:rPr>
          <w:rFonts w:hint="cs"/>
          <w:rtl/>
        </w:rPr>
        <w:t xml:space="preserve"> </w:t>
      </w:r>
      <w:r>
        <w:rPr>
          <w:rtl/>
        </w:rPr>
        <w:t xml:space="preserve">غير تمييزي من دون أي تأخير وضمان تطابقه الكامل مع الاتفاقية. كما حثت الحكومة على اتخاذ تدابير لتطوير وسائل محسّنة لتقييم </w:t>
      </w:r>
      <w:r w:rsidR="007D4C39">
        <w:rPr>
          <w:rFonts w:hint="cs"/>
          <w:rtl/>
        </w:rPr>
        <w:t xml:space="preserve">ورصد </w:t>
      </w:r>
      <w:r>
        <w:rPr>
          <w:rtl/>
        </w:rPr>
        <w:t>وضع ال</w:t>
      </w:r>
      <w:r w:rsidR="007D4C39">
        <w:rPr>
          <w:rtl/>
        </w:rPr>
        <w:t>روما في العمالة والمهن والبطالة</w:t>
      </w:r>
      <w:r>
        <w:rPr>
          <w:rtl/>
        </w:rPr>
        <w:t xml:space="preserve">. وأعربت لجنة الخبراء عن قلقها إزاء عدم تسلمها أي تقرير من الحكومة منذ مناقشة هذه الحالة عام 2008. </w:t>
      </w:r>
    </w:p>
    <w:p w:rsidR="00A152CA" w:rsidRDefault="00A152CA" w:rsidP="00100FA2">
      <w:pPr>
        <w:pStyle w:val="SingleTxtGA"/>
        <w:rPr>
          <w:rtl/>
        </w:rPr>
      </w:pPr>
      <w:r>
        <w:rPr>
          <w:rtl/>
        </w:rPr>
        <w:t>32-</w:t>
      </w:r>
      <w:r>
        <w:rPr>
          <w:rtl/>
        </w:rPr>
        <w:tab/>
        <w:t xml:space="preserve">وأعادت الدورة </w:t>
      </w:r>
      <w:r w:rsidR="00A03D33">
        <w:rPr>
          <w:rFonts w:hint="cs"/>
          <w:rtl/>
        </w:rPr>
        <w:t>التاسعة</w:t>
      </w:r>
      <w:r>
        <w:rPr>
          <w:rtl/>
        </w:rPr>
        <w:t xml:space="preserve"> والتسعين للجنة تطبيق المعايير التابعة </w:t>
      </w:r>
      <w:r w:rsidR="00A03D33">
        <w:rPr>
          <w:rFonts w:hint="cs"/>
          <w:rtl/>
        </w:rPr>
        <w:t>ب</w:t>
      </w:r>
      <w:r>
        <w:rPr>
          <w:rtl/>
        </w:rPr>
        <w:t xml:space="preserve">مؤتمر </w:t>
      </w:r>
      <w:r w:rsidR="00A03D33">
        <w:rPr>
          <w:rtl/>
        </w:rPr>
        <w:t>العمل الدولي</w:t>
      </w:r>
      <w:r>
        <w:rPr>
          <w:rtl/>
        </w:rPr>
        <w:t xml:space="preserve"> (حزيران/يونيو 2010) مناقشة تطبيق الجمهورية التشيكية للاتفاقية. وأشارت لجنة المؤتمر إلى أن قانوناً لمكافحة التمييز قد أُقرّ ودخل حيز النفاذ في 1 أيلول/سبتمبر 2009. ويغطي القانون التمييز المباشر وغير المباشر القائم على أساس </w:t>
      </w:r>
      <w:r w:rsidR="00A03D33">
        <w:rPr>
          <w:rFonts w:hint="cs"/>
          <w:rtl/>
        </w:rPr>
        <w:t>العنصر</w:t>
      </w:r>
      <w:r>
        <w:rPr>
          <w:rtl/>
        </w:rPr>
        <w:t xml:space="preserve"> أو </w:t>
      </w:r>
      <w:r w:rsidR="00A03D33">
        <w:rPr>
          <w:rFonts w:hint="cs"/>
          <w:rtl/>
        </w:rPr>
        <w:t xml:space="preserve">الأصل العرقي </w:t>
      </w:r>
      <w:r>
        <w:rPr>
          <w:rtl/>
        </w:rPr>
        <w:t xml:space="preserve">أو الجنسية أو الجنس أو الميول الجنسية أو السن أو الإعاقة أو الدين أو المعتقد </w:t>
      </w:r>
      <w:r w:rsidR="00A03D33">
        <w:rPr>
          <w:rFonts w:hint="cs"/>
          <w:rtl/>
        </w:rPr>
        <w:t xml:space="preserve">أو النظرة إلى </w:t>
      </w:r>
      <w:r>
        <w:rPr>
          <w:rtl/>
        </w:rPr>
        <w:t>العالم. وحثت لجنة الخبراء الحكومة على تزويدها بمعلومات كاملة تمكنها من أن تقيّم إ</w:t>
      </w:r>
      <w:r w:rsidR="00EB5472">
        <w:rPr>
          <w:rFonts w:hint="cs"/>
          <w:rtl/>
        </w:rPr>
        <w:t>ن</w:t>
      </w:r>
      <w:r>
        <w:rPr>
          <w:rtl/>
        </w:rPr>
        <w:t xml:space="preserve"> كان هذا </w:t>
      </w:r>
      <w:r w:rsidR="00EB5472">
        <w:rPr>
          <w:rFonts w:hint="cs"/>
          <w:rtl/>
        </w:rPr>
        <w:t xml:space="preserve">التشريع </w:t>
      </w:r>
      <w:r>
        <w:rPr>
          <w:rtl/>
        </w:rPr>
        <w:t xml:space="preserve">الجديد يوفر حماية ملائمة من التمييز استناداً إلى </w:t>
      </w:r>
      <w:r w:rsidR="00AA33C5">
        <w:rPr>
          <w:rFonts w:hint="cs"/>
          <w:rtl/>
        </w:rPr>
        <w:t xml:space="preserve">كافة </w:t>
      </w:r>
      <w:r>
        <w:rPr>
          <w:rtl/>
        </w:rPr>
        <w:t xml:space="preserve">الأسس المذكورة في الفقرة 1(أ) من المادة 1 من الاتفاقية، لا سيما في ما يتعلق بالتمييز على أساس المسؤوليات الأسرية </w:t>
      </w:r>
      <w:r w:rsidR="00100FA2">
        <w:rPr>
          <w:rFonts w:hint="cs"/>
          <w:rtl/>
        </w:rPr>
        <w:t xml:space="preserve">أو الحالة الاجتماعية </w:t>
      </w:r>
      <w:r>
        <w:rPr>
          <w:rtl/>
        </w:rPr>
        <w:t xml:space="preserve">أو </w:t>
      </w:r>
      <w:r w:rsidR="00100FA2">
        <w:rPr>
          <w:rFonts w:hint="cs"/>
          <w:rtl/>
        </w:rPr>
        <w:t xml:space="preserve">العائلية </w:t>
      </w:r>
      <w:r>
        <w:rPr>
          <w:rtl/>
        </w:rPr>
        <w:t xml:space="preserve">أو عضوية حزب سياسي أو نقابات أو منظمات </w:t>
      </w:r>
      <w:r w:rsidR="00100FA2">
        <w:rPr>
          <w:rFonts w:hint="cs"/>
          <w:rtl/>
        </w:rPr>
        <w:t xml:space="preserve">لأصحاب </w:t>
      </w:r>
      <w:r>
        <w:rPr>
          <w:rtl/>
        </w:rPr>
        <w:t>العمل</w:t>
      </w:r>
      <w:r w:rsidR="0068735F">
        <w:rPr>
          <w:rFonts w:hint="cs"/>
          <w:rtl/>
        </w:rPr>
        <w:t xml:space="preserve">          </w:t>
      </w:r>
      <w:r w:rsidR="00100FA2">
        <w:rPr>
          <w:rFonts w:hint="cs"/>
          <w:rtl/>
        </w:rPr>
        <w:t xml:space="preserve"> أو العمل فيها</w:t>
      </w:r>
      <w:r>
        <w:rPr>
          <w:rtl/>
        </w:rPr>
        <w:t xml:space="preserve">. </w:t>
      </w:r>
    </w:p>
    <w:p w:rsidR="00A152CA" w:rsidRDefault="00A152CA" w:rsidP="001178CA">
      <w:pPr>
        <w:pStyle w:val="SingleTxtGA"/>
        <w:rPr>
          <w:rtl/>
        </w:rPr>
      </w:pPr>
      <w:r>
        <w:rPr>
          <w:rtl/>
        </w:rPr>
        <w:t>33-</w:t>
      </w:r>
      <w:r>
        <w:rPr>
          <w:rtl/>
        </w:rPr>
        <w:tab/>
        <w:t xml:space="preserve">كما أشارت لجنة المؤتمر إلى المعلومات التي وفرتها الحكومة </w:t>
      </w:r>
      <w:r w:rsidR="001178CA">
        <w:rPr>
          <w:rFonts w:hint="cs"/>
          <w:rtl/>
        </w:rPr>
        <w:t xml:space="preserve">بشأن </w:t>
      </w:r>
      <w:r>
        <w:rPr>
          <w:rtl/>
        </w:rPr>
        <w:t xml:space="preserve">مجموعة </w:t>
      </w:r>
      <w:r w:rsidR="009152C2">
        <w:rPr>
          <w:rFonts w:hint="cs"/>
          <w:rtl/>
        </w:rPr>
        <w:t>ال</w:t>
      </w:r>
      <w:r>
        <w:rPr>
          <w:rtl/>
        </w:rPr>
        <w:t xml:space="preserve">تدابير </w:t>
      </w:r>
      <w:r w:rsidR="009152C2">
        <w:rPr>
          <w:rFonts w:hint="cs"/>
          <w:rtl/>
        </w:rPr>
        <w:t xml:space="preserve">المتخذة </w:t>
      </w:r>
      <w:r>
        <w:rPr>
          <w:rtl/>
        </w:rPr>
        <w:t xml:space="preserve">لتعزيز الدمج الاجتماعي والاقتصادي للروما، لكنها لا تزال تشعر بالقلق حيال عدم إحداث هذه التدابير لتحسينات يمكن التحقق منها في ما يخص </w:t>
      </w:r>
      <w:r w:rsidR="00DC4EB7">
        <w:rPr>
          <w:rFonts w:hint="cs"/>
          <w:rtl/>
        </w:rPr>
        <w:t>عمل</w:t>
      </w:r>
      <w:r>
        <w:rPr>
          <w:rtl/>
        </w:rPr>
        <w:t xml:space="preserve"> الروما</w:t>
      </w:r>
      <w:r w:rsidR="00DC4EB7">
        <w:rPr>
          <w:rFonts w:hint="cs"/>
          <w:rtl/>
        </w:rPr>
        <w:t xml:space="preserve"> ومهنهم</w:t>
      </w:r>
      <w:r>
        <w:rPr>
          <w:rtl/>
        </w:rPr>
        <w:t>. لذلك حثت لجنة المؤتمر الحكومة من جديد على اتخاذ تدابير تتيح تطوير وسائل مراقبة لوضع الروما، بما في ذلك من خلال جميع البيانات المناسبة وتحليلها، بغية إثبات إحراز تقدم حقيقي في مجال الالتزام بحصول الروما على التعليم والتدريب والعمل والتشغيل أسوة بالآخرين.</w:t>
      </w:r>
      <w:r w:rsidR="00BE0A50">
        <w:rPr>
          <w:rtl/>
        </w:rPr>
        <w:t xml:space="preserve"> </w:t>
      </w:r>
    </w:p>
    <w:p w:rsidR="00A152CA" w:rsidRDefault="006B0B57" w:rsidP="00FE39A8">
      <w:pPr>
        <w:pStyle w:val="H23GA"/>
        <w:keepNext/>
        <w:rPr>
          <w:rtl/>
        </w:rPr>
      </w:pPr>
      <w:r>
        <w:rPr>
          <w:rFonts w:hint="cs"/>
          <w:rtl/>
        </w:rPr>
        <w:tab/>
      </w:r>
      <w:r>
        <w:rPr>
          <w:rFonts w:hint="cs"/>
          <w:rtl/>
        </w:rPr>
        <w:tab/>
      </w:r>
      <w:r w:rsidR="00A152CA">
        <w:rPr>
          <w:rtl/>
        </w:rPr>
        <w:t>الاتفاقية رقم 182</w:t>
      </w:r>
    </w:p>
    <w:p w:rsidR="00A152CA" w:rsidRDefault="00A152CA" w:rsidP="00FE39A8">
      <w:pPr>
        <w:pStyle w:val="SingleTxtGA"/>
        <w:keepNext/>
        <w:rPr>
          <w:rtl/>
        </w:rPr>
      </w:pPr>
      <w:r>
        <w:rPr>
          <w:rtl/>
        </w:rPr>
        <w:t>34-</w:t>
      </w:r>
      <w:r>
        <w:rPr>
          <w:rtl/>
        </w:rPr>
        <w:tab/>
        <w:t xml:space="preserve">أحاطت لجنة الخبراء علماً مع الارتياح، في ملاحظاتها لعام 2009، </w:t>
      </w:r>
      <w:r w:rsidR="001178CA">
        <w:rPr>
          <w:rFonts w:hint="cs"/>
          <w:rtl/>
        </w:rPr>
        <w:t>ب</w:t>
      </w:r>
      <w:r>
        <w:rPr>
          <w:rtl/>
        </w:rPr>
        <w:t xml:space="preserve">إدخال حكم جديد في </w:t>
      </w:r>
      <w:r w:rsidR="005873F0">
        <w:rPr>
          <w:rFonts w:hint="cs"/>
          <w:rtl/>
        </w:rPr>
        <w:t xml:space="preserve">إطار المادة </w:t>
      </w:r>
      <w:r>
        <w:rPr>
          <w:rtl/>
        </w:rPr>
        <w:t>232</w:t>
      </w:r>
      <w:r w:rsidR="005873F0">
        <w:rPr>
          <w:rFonts w:hint="cs"/>
          <w:rtl/>
        </w:rPr>
        <w:t>(</w:t>
      </w:r>
      <w:r>
        <w:rPr>
          <w:rtl/>
        </w:rPr>
        <w:t>أ</w:t>
      </w:r>
      <w:r w:rsidR="005873F0">
        <w:rPr>
          <w:rFonts w:hint="cs"/>
          <w:rtl/>
        </w:rPr>
        <w:t>)</w:t>
      </w:r>
      <w:r>
        <w:rPr>
          <w:rtl/>
        </w:rPr>
        <w:t xml:space="preserve"> من قانون </w:t>
      </w:r>
      <w:r w:rsidR="008E6A80">
        <w:rPr>
          <w:rFonts w:hint="cs"/>
          <w:rtl/>
        </w:rPr>
        <w:t>العقوبات</w:t>
      </w:r>
      <w:r>
        <w:rPr>
          <w:rtl/>
        </w:rPr>
        <w:t xml:space="preserve">، يلغي ويحل محل </w:t>
      </w:r>
      <w:r w:rsidR="00901B7F">
        <w:rPr>
          <w:rFonts w:hint="cs"/>
          <w:rtl/>
        </w:rPr>
        <w:t xml:space="preserve">المادة </w:t>
      </w:r>
      <w:r>
        <w:rPr>
          <w:rtl/>
        </w:rPr>
        <w:t xml:space="preserve">246 من القانون (الاتجار بالنساء </w:t>
      </w:r>
      <w:r w:rsidR="00227FBA">
        <w:rPr>
          <w:rFonts w:hint="cs"/>
          <w:rtl/>
        </w:rPr>
        <w:t xml:space="preserve">لأغراض </w:t>
      </w:r>
      <w:r>
        <w:rPr>
          <w:rtl/>
        </w:rPr>
        <w:t xml:space="preserve">جنسية)، بموجب القانون رقم 537/2004. ويقضي هذا الحكم بأن أي شخص </w:t>
      </w:r>
      <w:r w:rsidR="00D71825">
        <w:rPr>
          <w:rFonts w:hint="cs"/>
          <w:rtl/>
        </w:rPr>
        <w:t>يشغل</w:t>
      </w:r>
      <w:r>
        <w:rPr>
          <w:rtl/>
        </w:rPr>
        <w:t>،</w:t>
      </w:r>
      <w:r w:rsidR="00BE0A50">
        <w:rPr>
          <w:rtl/>
        </w:rPr>
        <w:t xml:space="preserve"> </w:t>
      </w:r>
      <w:r>
        <w:rPr>
          <w:rtl/>
        </w:rPr>
        <w:t xml:space="preserve">أو يدبر، أو </w:t>
      </w:r>
      <w:r w:rsidR="00787DB7">
        <w:rPr>
          <w:rFonts w:hint="cs"/>
          <w:rtl/>
        </w:rPr>
        <w:t xml:space="preserve">يوظف </w:t>
      </w:r>
      <w:r>
        <w:rPr>
          <w:rtl/>
        </w:rPr>
        <w:t xml:space="preserve">أو يورط أو ينقل أو يخبئ أو يحتجز شخصاً دون سن الثامنة عشرة، لأغراض الاستغلال الجنسي أو </w:t>
      </w:r>
      <w:r w:rsidR="00787DB7">
        <w:rPr>
          <w:rFonts w:hint="cs"/>
          <w:rtl/>
        </w:rPr>
        <w:t xml:space="preserve">الرق </w:t>
      </w:r>
      <w:r>
        <w:rPr>
          <w:rtl/>
        </w:rPr>
        <w:t xml:space="preserve">أو القنانة أو السخرة، أو أي نوع آخر من الاستغلال، يتعرض لعقوبة </w:t>
      </w:r>
      <w:r w:rsidR="0068376A">
        <w:rPr>
          <w:rFonts w:hint="cs"/>
          <w:rtl/>
        </w:rPr>
        <w:t>ال</w:t>
      </w:r>
      <w:r>
        <w:rPr>
          <w:rtl/>
        </w:rPr>
        <w:t xml:space="preserve">سجن </w:t>
      </w:r>
      <w:r w:rsidR="0068376A">
        <w:rPr>
          <w:rFonts w:hint="cs"/>
          <w:rtl/>
        </w:rPr>
        <w:t xml:space="preserve">لمدة </w:t>
      </w:r>
      <w:r>
        <w:rPr>
          <w:rtl/>
        </w:rPr>
        <w:t>تتراوح بين سنتين وعشر سنوات.</w:t>
      </w:r>
      <w:r w:rsidR="00BE0A50">
        <w:rPr>
          <w:rtl/>
        </w:rPr>
        <w:t xml:space="preserve"> </w:t>
      </w:r>
    </w:p>
    <w:p w:rsidR="00A152CA" w:rsidRDefault="00DB4A7F" w:rsidP="001178CA">
      <w:pPr>
        <w:pStyle w:val="H1GA"/>
        <w:rPr>
          <w:rFonts w:hint="cs"/>
          <w:rtl/>
        </w:rPr>
      </w:pPr>
      <w:r>
        <w:rPr>
          <w:rFonts w:hint="cs"/>
          <w:rtl/>
        </w:rPr>
        <w:tab/>
      </w:r>
      <w:r>
        <w:rPr>
          <w:rFonts w:hint="cs"/>
          <w:rtl/>
        </w:rPr>
        <w:tab/>
      </w:r>
      <w:r>
        <w:rPr>
          <w:rtl/>
        </w:rPr>
        <w:t>مالطة</w:t>
      </w:r>
    </w:p>
    <w:p w:rsidR="00A152CA" w:rsidRDefault="00A152CA" w:rsidP="001178CA">
      <w:pPr>
        <w:pStyle w:val="SingleTxtGA"/>
        <w:rPr>
          <w:rtl/>
        </w:rPr>
      </w:pPr>
      <w:r>
        <w:rPr>
          <w:rtl/>
        </w:rPr>
        <w:t>35-</w:t>
      </w:r>
      <w:r>
        <w:rPr>
          <w:rtl/>
        </w:rPr>
        <w:tab/>
        <w:t>من بين اتفاقيات منظمة العمل الدولية ذات ا</w:t>
      </w:r>
      <w:r w:rsidR="00FF7A96">
        <w:rPr>
          <w:rtl/>
        </w:rPr>
        <w:t>لصلة، صدّقت مالطة على الاتفاقي</w:t>
      </w:r>
      <w:r w:rsidR="001178CA">
        <w:rPr>
          <w:rFonts w:hint="cs"/>
          <w:rtl/>
        </w:rPr>
        <w:t>تين</w:t>
      </w:r>
      <w:r w:rsidR="00027E66">
        <w:rPr>
          <w:rFonts w:hint="cs"/>
          <w:rtl/>
        </w:rPr>
        <w:t xml:space="preserve"> </w:t>
      </w:r>
      <w:r w:rsidR="00FF7A96">
        <w:rPr>
          <w:rFonts w:hint="cs"/>
          <w:rtl/>
        </w:rPr>
        <w:t xml:space="preserve">رقم </w:t>
      </w:r>
      <w:r>
        <w:rPr>
          <w:rtl/>
        </w:rPr>
        <w:t>100</w:t>
      </w:r>
      <w:r w:rsidR="00F74105">
        <w:rPr>
          <w:rtl/>
        </w:rPr>
        <w:t xml:space="preserve"> و</w:t>
      </w:r>
      <w:r>
        <w:rPr>
          <w:rtl/>
        </w:rPr>
        <w:t xml:space="preserve">111. وصدقت أيضا على الاتفاقيات </w:t>
      </w:r>
      <w:r w:rsidR="00C62953">
        <w:rPr>
          <w:rFonts w:hint="cs"/>
          <w:rtl/>
        </w:rPr>
        <w:t xml:space="preserve">رقم </w:t>
      </w:r>
      <w:r>
        <w:rPr>
          <w:rtl/>
        </w:rPr>
        <w:t>29</w:t>
      </w:r>
      <w:r w:rsidR="00F74105">
        <w:rPr>
          <w:rtl/>
        </w:rPr>
        <w:t xml:space="preserve"> و</w:t>
      </w:r>
      <w:r>
        <w:rPr>
          <w:rtl/>
        </w:rPr>
        <w:t>87</w:t>
      </w:r>
      <w:r w:rsidR="00F74105">
        <w:rPr>
          <w:rtl/>
        </w:rPr>
        <w:t xml:space="preserve"> و</w:t>
      </w:r>
      <w:r>
        <w:rPr>
          <w:rtl/>
        </w:rPr>
        <w:t>98</w:t>
      </w:r>
      <w:r w:rsidR="00F74105">
        <w:rPr>
          <w:rtl/>
        </w:rPr>
        <w:t xml:space="preserve"> و</w:t>
      </w:r>
      <w:r>
        <w:rPr>
          <w:rtl/>
        </w:rPr>
        <w:t>105</w:t>
      </w:r>
      <w:r w:rsidR="00F74105">
        <w:rPr>
          <w:rtl/>
        </w:rPr>
        <w:t xml:space="preserve"> </w:t>
      </w:r>
      <w:r w:rsidR="00C62953">
        <w:rPr>
          <w:rFonts w:hint="cs"/>
          <w:rtl/>
        </w:rPr>
        <w:t xml:space="preserve">            </w:t>
      </w:r>
      <w:r w:rsidR="00F74105">
        <w:rPr>
          <w:rtl/>
        </w:rPr>
        <w:t>و</w:t>
      </w:r>
      <w:r>
        <w:rPr>
          <w:rtl/>
        </w:rPr>
        <w:t>138</w:t>
      </w:r>
      <w:r w:rsidR="00F74105">
        <w:rPr>
          <w:rtl/>
        </w:rPr>
        <w:t xml:space="preserve"> و</w:t>
      </w:r>
      <w:r>
        <w:rPr>
          <w:rtl/>
        </w:rPr>
        <w:t>182.</w:t>
      </w:r>
    </w:p>
    <w:p w:rsidR="00A152CA" w:rsidRPr="001178CA" w:rsidRDefault="00A152CA" w:rsidP="001178CA">
      <w:pPr>
        <w:pStyle w:val="SingleTxtGA"/>
        <w:rPr>
          <w:i/>
          <w:iCs/>
          <w:rtl/>
        </w:rPr>
      </w:pPr>
      <w:r w:rsidRPr="001178CA">
        <w:rPr>
          <w:i/>
          <w:iCs/>
          <w:rtl/>
        </w:rPr>
        <w:t>تعليقات هيئات الإشراف لمنظمة العمل الدولية</w:t>
      </w:r>
    </w:p>
    <w:p w:rsidR="00A152CA" w:rsidRDefault="00A152CA" w:rsidP="00C62953">
      <w:pPr>
        <w:pStyle w:val="SingleTxtGA"/>
        <w:rPr>
          <w:rtl/>
        </w:rPr>
      </w:pPr>
      <w:r>
        <w:rPr>
          <w:rtl/>
        </w:rPr>
        <w:t>36-</w:t>
      </w:r>
      <w:r>
        <w:rPr>
          <w:rtl/>
        </w:rPr>
        <w:tab/>
        <w:t>التعليقات التي لم يتخذ إجراء بشأنها بعد، الصادرة عن لجنة الخبراء التابعة لمنظمة العمل الدولية والمتصلة بأحكام اتفاقية القضاء على جميع أشكال التمييز ضد المرأة، تتعلق بالاتفاقيات التالية:</w:t>
      </w:r>
    </w:p>
    <w:p w:rsidR="00A152CA" w:rsidRDefault="00FF7481" w:rsidP="00FF7481">
      <w:pPr>
        <w:pStyle w:val="H23GA"/>
        <w:rPr>
          <w:rtl/>
        </w:rPr>
      </w:pPr>
      <w:r>
        <w:rPr>
          <w:rFonts w:hint="cs"/>
          <w:rtl/>
        </w:rPr>
        <w:tab/>
      </w:r>
      <w:r>
        <w:rPr>
          <w:rFonts w:hint="cs"/>
          <w:rtl/>
        </w:rPr>
        <w:tab/>
      </w:r>
      <w:r w:rsidR="00A152CA">
        <w:rPr>
          <w:rtl/>
        </w:rPr>
        <w:t>الاتفاقية رقم 100</w:t>
      </w:r>
    </w:p>
    <w:p w:rsidR="00A152CA" w:rsidRDefault="00A152CA" w:rsidP="000E0687">
      <w:pPr>
        <w:pStyle w:val="SingleTxtGA"/>
        <w:rPr>
          <w:rtl/>
        </w:rPr>
      </w:pPr>
      <w:r>
        <w:rPr>
          <w:rtl/>
        </w:rPr>
        <w:t>37-</w:t>
      </w:r>
      <w:r>
        <w:rPr>
          <w:rtl/>
        </w:rPr>
        <w:tab/>
        <w:t xml:space="preserve">أشارت لجنة الخبراء مع الاهتمام، في طلبها المباشر لعام 2009، إلى التعديل الأخير الذي أجري على </w:t>
      </w:r>
      <w:r w:rsidR="00075009">
        <w:rPr>
          <w:rFonts w:hint="cs"/>
          <w:rtl/>
        </w:rPr>
        <w:t>لائحة</w:t>
      </w:r>
      <w:r>
        <w:rPr>
          <w:rtl/>
        </w:rPr>
        <w:t xml:space="preserve"> المعاملة المتساوية في </w:t>
      </w:r>
      <w:r w:rsidR="00075009">
        <w:rPr>
          <w:rFonts w:hint="cs"/>
          <w:rtl/>
        </w:rPr>
        <w:t xml:space="preserve">الاستخدام </w:t>
      </w:r>
      <w:r>
        <w:rPr>
          <w:rtl/>
        </w:rPr>
        <w:t xml:space="preserve">لعام 2004 (بموجب المذكرة القانونية رقم 137 لعام 2007) الذي نص على أنه "في حال عمل مماثل أو عمل يصنّف </w:t>
      </w:r>
      <w:r w:rsidR="00733812">
        <w:rPr>
          <w:rFonts w:hint="cs"/>
          <w:rtl/>
        </w:rPr>
        <w:t xml:space="preserve">بأنه ذو </w:t>
      </w:r>
      <w:r>
        <w:rPr>
          <w:rtl/>
        </w:rPr>
        <w:t xml:space="preserve">قيمة متساوية، ينبغي عدم وجود أي تمييز مباشر أو غير مباشر </w:t>
      </w:r>
      <w:r w:rsidR="00733812">
        <w:rPr>
          <w:rFonts w:hint="cs"/>
          <w:rtl/>
        </w:rPr>
        <w:t xml:space="preserve">بسبب </w:t>
      </w:r>
      <w:r>
        <w:rPr>
          <w:rtl/>
        </w:rPr>
        <w:t>الجنس في</w:t>
      </w:r>
      <w:r w:rsidR="00066EC8">
        <w:rPr>
          <w:rFonts w:hint="cs"/>
          <w:rtl/>
        </w:rPr>
        <w:t xml:space="preserve">       </w:t>
      </w:r>
      <w:r>
        <w:rPr>
          <w:rtl/>
        </w:rPr>
        <w:t xml:space="preserve"> ما يتعلق بجميع جوانب الأجر وظروفه، </w:t>
      </w:r>
      <w:r w:rsidR="00501FAC">
        <w:rPr>
          <w:rFonts w:hint="cs"/>
          <w:rtl/>
        </w:rPr>
        <w:t>(المادة 3(ألف)</w:t>
      </w:r>
      <w:r w:rsidR="003407F1">
        <w:rPr>
          <w:rFonts w:hint="cs"/>
          <w:rtl/>
        </w:rPr>
        <w:t>(1))</w:t>
      </w:r>
      <w:r>
        <w:rPr>
          <w:rtl/>
        </w:rPr>
        <w:t>.</w:t>
      </w:r>
      <w:r w:rsidR="00BE0A50">
        <w:rPr>
          <w:rtl/>
        </w:rPr>
        <w:t xml:space="preserve"> </w:t>
      </w:r>
      <w:r>
        <w:rPr>
          <w:rtl/>
        </w:rPr>
        <w:t xml:space="preserve">كما أشارت اللجنة إلى أنه بموجب </w:t>
      </w:r>
      <w:r w:rsidR="004F1073">
        <w:rPr>
          <w:rFonts w:hint="cs"/>
          <w:rtl/>
        </w:rPr>
        <w:t>المادة 3(ألف)(2) من اللائحة</w:t>
      </w:r>
      <w:r>
        <w:rPr>
          <w:rtl/>
        </w:rPr>
        <w:t xml:space="preserve">، يضمن رب العمل أن يستند نظام </w:t>
      </w:r>
      <w:r w:rsidR="000E0687">
        <w:rPr>
          <w:rFonts w:hint="cs"/>
          <w:rtl/>
        </w:rPr>
        <w:t xml:space="preserve">توصيف </w:t>
      </w:r>
      <w:r>
        <w:rPr>
          <w:rtl/>
        </w:rPr>
        <w:t xml:space="preserve">الوظائف، حيثما يستخدم لتحديد الأجور، إلى المعايير نفسها بالنسبة للرجال والنساء ويراعي بذلك استبعاد أي تمييز يقوم على الجنس. </w:t>
      </w:r>
    </w:p>
    <w:p w:rsidR="00A152CA" w:rsidRDefault="00A152CA" w:rsidP="00BD10D1">
      <w:pPr>
        <w:pStyle w:val="SingleTxtGA"/>
        <w:rPr>
          <w:rtl/>
        </w:rPr>
      </w:pPr>
      <w:r>
        <w:rPr>
          <w:rtl/>
        </w:rPr>
        <w:t>38-</w:t>
      </w:r>
      <w:r>
        <w:rPr>
          <w:rtl/>
        </w:rPr>
        <w:tab/>
        <w:t xml:space="preserve">وفي حين أشارت </w:t>
      </w:r>
      <w:r w:rsidR="009741E1">
        <w:rPr>
          <w:rFonts w:hint="cs"/>
          <w:rtl/>
        </w:rPr>
        <w:t xml:space="preserve">اللجنة </w:t>
      </w:r>
      <w:r>
        <w:rPr>
          <w:rtl/>
        </w:rPr>
        <w:t xml:space="preserve">إلى هذه التطورات التشريعية، </w:t>
      </w:r>
      <w:r w:rsidR="009741E1">
        <w:rPr>
          <w:rFonts w:hint="cs"/>
          <w:rtl/>
        </w:rPr>
        <w:t xml:space="preserve">فإنها </w:t>
      </w:r>
      <w:r>
        <w:rPr>
          <w:rtl/>
        </w:rPr>
        <w:t xml:space="preserve">كررت طلبها السابق المتعلق بالمنهجية التي يتبعها مجلس الأجور في إصدار أوامره، </w:t>
      </w:r>
      <w:r w:rsidR="00BD10D1">
        <w:rPr>
          <w:rFonts w:hint="cs"/>
          <w:rtl/>
        </w:rPr>
        <w:t>ل</w:t>
      </w:r>
      <w:r>
        <w:rPr>
          <w:rtl/>
        </w:rPr>
        <w:t xml:space="preserve">ضمان عدم تصنيف الوظائف والمهن التي </w:t>
      </w:r>
      <w:r w:rsidR="00BD10D1">
        <w:rPr>
          <w:rFonts w:hint="cs"/>
          <w:rtl/>
        </w:rPr>
        <w:t xml:space="preserve">يشغل معظمها أو كل مواقعها </w:t>
      </w:r>
      <w:r>
        <w:rPr>
          <w:rtl/>
        </w:rPr>
        <w:t xml:space="preserve">النساء على أنها ذات قيمة </w:t>
      </w:r>
      <w:r w:rsidR="00BD10D1">
        <w:rPr>
          <w:rFonts w:hint="cs"/>
          <w:rtl/>
        </w:rPr>
        <w:t xml:space="preserve">أدنى </w:t>
      </w:r>
      <w:r>
        <w:rPr>
          <w:rtl/>
        </w:rPr>
        <w:t xml:space="preserve">مقارنة بتلك التي يشغلها رجال يؤدون عملاً </w:t>
      </w:r>
      <w:r w:rsidR="00BD10D1">
        <w:rPr>
          <w:rFonts w:hint="cs"/>
          <w:rtl/>
        </w:rPr>
        <w:t>مختلفاً</w:t>
      </w:r>
      <w:r>
        <w:rPr>
          <w:rtl/>
        </w:rPr>
        <w:t xml:space="preserve"> وبمهارات مختلفة.كما طلبت اللجنة من الحكومة تحديد التدابير التي اتخذتها أو تنوي اتخاذها لشحذ الوعي بمبدأ الاتفاقية، بالتعاون مع شركائها الاجتماعيين، لا سيما الوعي بمبدأ "العمل متساوي القيمة"، والحاجة إلى أسلوب خالٍ من أي تمييز قائم على </w:t>
      </w:r>
      <w:r w:rsidR="00BD10D1">
        <w:rPr>
          <w:rFonts w:hint="cs"/>
          <w:rtl/>
        </w:rPr>
        <w:t xml:space="preserve">نوع </w:t>
      </w:r>
      <w:r>
        <w:rPr>
          <w:rtl/>
        </w:rPr>
        <w:t xml:space="preserve">الجنس لتقييم الوظائف عند التفاوض على </w:t>
      </w:r>
      <w:r w:rsidR="00BD10D1">
        <w:rPr>
          <w:rFonts w:hint="cs"/>
          <w:rtl/>
        </w:rPr>
        <w:t xml:space="preserve">معدلات </w:t>
      </w:r>
      <w:r>
        <w:rPr>
          <w:rtl/>
        </w:rPr>
        <w:t xml:space="preserve">الأجور في الاتفاقات الجماعية، فضلاً عن أهمية تجنب القوالب النمطية الجنسانية وتعزيز المساواة. </w:t>
      </w:r>
    </w:p>
    <w:p w:rsidR="00CF7D31" w:rsidRDefault="00A152CA" w:rsidP="00CF7D31">
      <w:pPr>
        <w:pStyle w:val="SingleTxtGA"/>
        <w:rPr>
          <w:rFonts w:hint="cs"/>
          <w:rtl/>
        </w:rPr>
      </w:pPr>
      <w:r>
        <w:rPr>
          <w:rtl/>
        </w:rPr>
        <w:t>39-</w:t>
      </w:r>
      <w:r w:rsidR="00574FEC">
        <w:rPr>
          <w:rFonts w:hint="cs"/>
          <w:rtl/>
        </w:rPr>
        <w:tab/>
      </w:r>
      <w:r>
        <w:rPr>
          <w:rtl/>
        </w:rPr>
        <w:t xml:space="preserve">كما أشارت اللجنة إلى أنه استناداً إلى التقرير السنوي الذي نشرته اللجنة الوطنية لتعزيز المساواة عام 2008، فقد يكون الفارق في الأجور </w:t>
      </w:r>
      <w:r w:rsidR="00437E4C">
        <w:rPr>
          <w:rFonts w:hint="cs"/>
          <w:rtl/>
        </w:rPr>
        <w:t xml:space="preserve">بين الجنسين </w:t>
      </w:r>
      <w:r>
        <w:rPr>
          <w:rtl/>
        </w:rPr>
        <w:t xml:space="preserve">كبيراً </w:t>
      </w:r>
      <w:r w:rsidR="00437E4C">
        <w:rPr>
          <w:rFonts w:hint="cs"/>
          <w:rtl/>
        </w:rPr>
        <w:t xml:space="preserve">تماماً </w:t>
      </w:r>
      <w:r>
        <w:rPr>
          <w:rtl/>
        </w:rPr>
        <w:t xml:space="preserve">في ما يتعلق </w:t>
      </w:r>
      <w:r w:rsidR="00437E4C">
        <w:rPr>
          <w:rFonts w:hint="cs"/>
          <w:rtl/>
        </w:rPr>
        <w:t xml:space="preserve">بمتوسط </w:t>
      </w:r>
      <w:r>
        <w:rPr>
          <w:rtl/>
        </w:rPr>
        <w:t xml:space="preserve">رواتب الموظفين </w:t>
      </w:r>
      <w:r w:rsidR="00437E4C">
        <w:rPr>
          <w:rFonts w:hint="cs"/>
          <w:rtl/>
        </w:rPr>
        <w:t xml:space="preserve">السنوية </w:t>
      </w:r>
      <w:r>
        <w:rPr>
          <w:rtl/>
        </w:rPr>
        <w:t xml:space="preserve">الإجمالية، وفقاً للمهن الرئيسية </w:t>
      </w:r>
      <w:r w:rsidR="004C0E6D">
        <w:rPr>
          <w:rFonts w:hint="cs"/>
          <w:rtl/>
        </w:rPr>
        <w:t xml:space="preserve">ونوع </w:t>
      </w:r>
      <w:r>
        <w:rPr>
          <w:rtl/>
        </w:rPr>
        <w:t>الجنس (نيسان/</w:t>
      </w:r>
      <w:r w:rsidR="004C0E6D">
        <w:rPr>
          <w:rFonts w:hint="cs"/>
          <w:rtl/>
        </w:rPr>
        <w:t xml:space="preserve">        </w:t>
      </w:r>
      <w:r>
        <w:rPr>
          <w:rtl/>
        </w:rPr>
        <w:t>أبريل</w:t>
      </w:r>
      <w:r w:rsidR="0092152C">
        <w:rPr>
          <w:rFonts w:hint="cs"/>
          <w:rtl/>
        </w:rPr>
        <w:t xml:space="preserve"> - </w:t>
      </w:r>
      <w:r>
        <w:rPr>
          <w:rtl/>
        </w:rPr>
        <w:t>حزيران/يوني</w:t>
      </w:r>
      <w:r w:rsidR="0092152C">
        <w:rPr>
          <w:rFonts w:hint="cs"/>
          <w:rtl/>
        </w:rPr>
        <w:t>ه</w:t>
      </w:r>
      <w:r w:rsidR="00EC6D9B">
        <w:rPr>
          <w:rtl/>
        </w:rPr>
        <w:t xml:space="preserve"> 2008). </w:t>
      </w:r>
      <w:r w:rsidR="00EC6D9B">
        <w:rPr>
          <w:rFonts w:hint="cs"/>
          <w:rtl/>
        </w:rPr>
        <w:t>و</w:t>
      </w:r>
      <w:r>
        <w:rPr>
          <w:rtl/>
        </w:rPr>
        <w:t xml:space="preserve">في ما يتعلق بوظائف المشرعين وكبار </w:t>
      </w:r>
      <w:r w:rsidR="00EC6D9B">
        <w:rPr>
          <w:rFonts w:hint="cs"/>
          <w:rtl/>
        </w:rPr>
        <w:t xml:space="preserve">الموظفين </w:t>
      </w:r>
      <w:r>
        <w:rPr>
          <w:rtl/>
        </w:rPr>
        <w:t xml:space="preserve">والمديرين، وصل الفارق إلى 28 في المائة، في حين وصل إلى 26 في المائة في فئة </w:t>
      </w:r>
      <w:r w:rsidR="00CF14BD">
        <w:rPr>
          <w:rFonts w:hint="cs"/>
          <w:rtl/>
        </w:rPr>
        <w:t xml:space="preserve">عمال </w:t>
      </w:r>
      <w:r>
        <w:rPr>
          <w:rtl/>
        </w:rPr>
        <w:t>الخدمات و</w:t>
      </w:r>
      <w:r w:rsidR="001D7228">
        <w:rPr>
          <w:rFonts w:hint="cs"/>
          <w:rtl/>
        </w:rPr>
        <w:t xml:space="preserve">عمال </w:t>
      </w:r>
      <w:r>
        <w:rPr>
          <w:rtl/>
        </w:rPr>
        <w:t xml:space="preserve">المحلات والبيع. وطلبت اللجنة من الحكومة تزويدها بمعلومات </w:t>
      </w:r>
      <w:r w:rsidR="00C17D36">
        <w:rPr>
          <w:rFonts w:hint="cs"/>
          <w:rtl/>
        </w:rPr>
        <w:t>عن</w:t>
      </w:r>
      <w:r>
        <w:rPr>
          <w:rtl/>
        </w:rPr>
        <w:t xml:space="preserve"> التدابير المتخذة لتقليص هذه الفوارق، لا سيما عبر معالجة الفصل المهني الممارس ضد النساء وحصرهن في </w:t>
      </w:r>
      <w:r w:rsidR="00CF7D31">
        <w:rPr>
          <w:rFonts w:hint="cs"/>
          <w:rtl/>
        </w:rPr>
        <w:t xml:space="preserve">مهن معينة أقل </w:t>
      </w:r>
      <w:r>
        <w:rPr>
          <w:rtl/>
        </w:rPr>
        <w:t xml:space="preserve">أجراً، وتحسين إمكانية وصولهن إلى وظائف </w:t>
      </w:r>
      <w:r w:rsidR="00CF7D31">
        <w:rPr>
          <w:rFonts w:hint="cs"/>
          <w:rtl/>
        </w:rPr>
        <w:t>ومناصب إدارية أفضل أجراً وأعلى مكانة.</w:t>
      </w:r>
    </w:p>
    <w:p w:rsidR="00A152CA" w:rsidRDefault="00CF7D31" w:rsidP="00CF7D31">
      <w:pPr>
        <w:pStyle w:val="H23GA"/>
        <w:rPr>
          <w:rtl/>
        </w:rPr>
      </w:pPr>
      <w:r>
        <w:rPr>
          <w:rFonts w:hint="cs"/>
          <w:rtl/>
        </w:rPr>
        <w:tab/>
      </w:r>
      <w:r>
        <w:rPr>
          <w:rFonts w:hint="cs"/>
          <w:rtl/>
        </w:rPr>
        <w:tab/>
      </w:r>
      <w:r w:rsidR="00A152CA">
        <w:rPr>
          <w:rtl/>
        </w:rPr>
        <w:t xml:space="preserve">الاتفاقية رقم 111 </w:t>
      </w:r>
    </w:p>
    <w:p w:rsidR="00A152CA" w:rsidRDefault="00A152CA" w:rsidP="00F7409F">
      <w:pPr>
        <w:pStyle w:val="SingleTxtGA"/>
        <w:rPr>
          <w:rtl/>
        </w:rPr>
      </w:pPr>
      <w:r>
        <w:rPr>
          <w:rtl/>
        </w:rPr>
        <w:t>40-</w:t>
      </w:r>
      <w:r>
        <w:rPr>
          <w:rtl/>
        </w:rPr>
        <w:tab/>
        <w:t xml:space="preserve">أشارت لجنة الخبراء في طلبها المباشر لعام 2009، إلى أن الحكومة تخلفت مرة أخرى عن تزويدها بإجابة على موضوع مدة خدمة </w:t>
      </w:r>
      <w:r w:rsidR="00657811">
        <w:rPr>
          <w:rFonts w:hint="cs"/>
          <w:rtl/>
        </w:rPr>
        <w:t>ا</w:t>
      </w:r>
      <w:r>
        <w:rPr>
          <w:rtl/>
        </w:rPr>
        <w:t xml:space="preserve">لنساء العاملات التي جمعتها قبل أن يطلب منهن الاستقالة بسبب الزواج. وأشارت اللجنة </w:t>
      </w:r>
      <w:r w:rsidR="00657811">
        <w:rPr>
          <w:rFonts w:hint="cs"/>
          <w:rtl/>
        </w:rPr>
        <w:t xml:space="preserve">من قبل </w:t>
      </w:r>
      <w:r>
        <w:rPr>
          <w:rtl/>
        </w:rPr>
        <w:t>إلى أن هذه الفترة تُحسب كفترة خبرة للحص</w:t>
      </w:r>
      <w:r w:rsidR="00657811">
        <w:rPr>
          <w:rtl/>
        </w:rPr>
        <w:t>ول على الوظائف أو الترقيات، لكن</w:t>
      </w:r>
      <w:r>
        <w:rPr>
          <w:rtl/>
        </w:rPr>
        <w:t xml:space="preserve"> لا يُعترف بها في حساب </w:t>
      </w:r>
      <w:r w:rsidR="00657811">
        <w:rPr>
          <w:rFonts w:hint="cs"/>
          <w:rtl/>
        </w:rPr>
        <w:t xml:space="preserve">المعاشات </w:t>
      </w:r>
      <w:r>
        <w:rPr>
          <w:rtl/>
        </w:rPr>
        <w:t>التقاعد</w:t>
      </w:r>
      <w:r w:rsidR="00657811">
        <w:rPr>
          <w:rFonts w:hint="cs"/>
          <w:rtl/>
        </w:rPr>
        <w:t>ية</w:t>
      </w:r>
      <w:r>
        <w:rPr>
          <w:rtl/>
        </w:rPr>
        <w:t>، مما يض</w:t>
      </w:r>
      <w:r w:rsidR="00657811">
        <w:rPr>
          <w:rFonts w:hint="cs"/>
          <w:rtl/>
        </w:rPr>
        <w:t>ر بوضع</w:t>
      </w:r>
      <w:r>
        <w:rPr>
          <w:rtl/>
        </w:rPr>
        <w:t xml:space="preserve"> النساء اللواتي يُعاد توظيفهن لأن سنوات </w:t>
      </w:r>
      <w:r w:rsidR="006962DF">
        <w:rPr>
          <w:rFonts w:hint="cs"/>
          <w:rtl/>
        </w:rPr>
        <w:t xml:space="preserve">خدمتهن </w:t>
      </w:r>
      <w:r>
        <w:rPr>
          <w:rtl/>
        </w:rPr>
        <w:t xml:space="preserve">الفعلية لا تؤخذ </w:t>
      </w:r>
      <w:r w:rsidR="006962DF">
        <w:rPr>
          <w:rFonts w:hint="cs"/>
          <w:rtl/>
        </w:rPr>
        <w:t xml:space="preserve">في </w:t>
      </w:r>
      <w:r>
        <w:rPr>
          <w:rtl/>
        </w:rPr>
        <w:t xml:space="preserve">الاعتبار. وأشارت الملاحظات السابقة للجنة كذلك إلى أن الفقرة 41 من الدراسة </w:t>
      </w:r>
      <w:r w:rsidR="006962DF">
        <w:rPr>
          <w:rFonts w:hint="cs"/>
          <w:rtl/>
        </w:rPr>
        <w:t xml:space="preserve">الاستقصائية </w:t>
      </w:r>
      <w:r>
        <w:rPr>
          <w:rtl/>
        </w:rPr>
        <w:t xml:space="preserve">العامة </w:t>
      </w:r>
      <w:r w:rsidR="006962DF">
        <w:rPr>
          <w:rFonts w:hint="cs"/>
          <w:rtl/>
        </w:rPr>
        <w:t xml:space="preserve">عن </w:t>
      </w:r>
      <w:r>
        <w:rPr>
          <w:rtl/>
        </w:rPr>
        <w:t>المساواة في العمل والمهن</w:t>
      </w:r>
      <w:r w:rsidR="006564DE">
        <w:rPr>
          <w:rFonts w:hint="cs"/>
          <w:rtl/>
        </w:rPr>
        <w:t>ة</w:t>
      </w:r>
      <w:r>
        <w:rPr>
          <w:rtl/>
        </w:rPr>
        <w:t xml:space="preserve"> اعتبرت أن </w:t>
      </w:r>
      <w:r w:rsidR="006564DE">
        <w:rPr>
          <w:rFonts w:hint="cs"/>
          <w:rtl/>
        </w:rPr>
        <w:t xml:space="preserve">الفوارق </w:t>
      </w:r>
      <w:r>
        <w:rPr>
          <w:rtl/>
        </w:rPr>
        <w:t>القائم</w:t>
      </w:r>
      <w:r w:rsidR="006564DE">
        <w:rPr>
          <w:rFonts w:hint="cs"/>
          <w:rtl/>
        </w:rPr>
        <w:t>ة</w:t>
      </w:r>
      <w:r>
        <w:rPr>
          <w:rtl/>
        </w:rPr>
        <w:t xml:space="preserve"> على </w:t>
      </w:r>
      <w:r w:rsidR="006564DE">
        <w:rPr>
          <w:rFonts w:hint="cs"/>
          <w:rtl/>
        </w:rPr>
        <w:t xml:space="preserve">الحالة الاجتماعية </w:t>
      </w:r>
      <w:r>
        <w:rPr>
          <w:rtl/>
        </w:rPr>
        <w:t>تمييزي</w:t>
      </w:r>
      <w:r w:rsidR="006564DE">
        <w:rPr>
          <w:rFonts w:hint="cs"/>
          <w:rtl/>
        </w:rPr>
        <w:t>ة</w:t>
      </w:r>
      <w:r>
        <w:rPr>
          <w:rtl/>
        </w:rPr>
        <w:t xml:space="preserve"> بطبيعته</w:t>
      </w:r>
      <w:r w:rsidR="006564DE">
        <w:rPr>
          <w:rFonts w:hint="cs"/>
          <w:rtl/>
        </w:rPr>
        <w:t>ا</w:t>
      </w:r>
      <w:r>
        <w:rPr>
          <w:rtl/>
        </w:rPr>
        <w:t>،</w:t>
      </w:r>
      <w:r w:rsidR="00BE0A50">
        <w:rPr>
          <w:rtl/>
        </w:rPr>
        <w:t xml:space="preserve"> </w:t>
      </w:r>
      <w:r>
        <w:rPr>
          <w:rtl/>
        </w:rPr>
        <w:t>حسب أحكام الاتفاقية، بما أنه أفضى إلى فرض واجب أ</w:t>
      </w:r>
      <w:r w:rsidR="006564DE">
        <w:rPr>
          <w:rtl/>
        </w:rPr>
        <w:t xml:space="preserve">و شرط على أشخاص من جنس محدد لا </w:t>
      </w:r>
      <w:r w:rsidR="006564DE">
        <w:rPr>
          <w:rFonts w:hint="cs"/>
          <w:rtl/>
        </w:rPr>
        <w:t>يُ</w:t>
      </w:r>
      <w:r>
        <w:rPr>
          <w:rtl/>
        </w:rPr>
        <w:t xml:space="preserve">فرض على أشخاص من الجنس الآخر. لذا حثت اللجنة الحكومة على تحديد عدد النساء اللواتي </w:t>
      </w:r>
      <w:r w:rsidR="006564DE">
        <w:rPr>
          <w:rFonts w:hint="cs"/>
          <w:rtl/>
        </w:rPr>
        <w:t xml:space="preserve">ما زلن </w:t>
      </w:r>
      <w:r>
        <w:rPr>
          <w:rtl/>
        </w:rPr>
        <w:t xml:space="preserve">في الخدمة </w:t>
      </w:r>
      <w:r w:rsidR="00F7409F">
        <w:rPr>
          <w:rFonts w:hint="cs"/>
          <w:rtl/>
        </w:rPr>
        <w:t xml:space="preserve">وقد </w:t>
      </w:r>
      <w:r>
        <w:rPr>
          <w:rtl/>
        </w:rPr>
        <w:t xml:space="preserve">يتأثر معاشهن التقاعدي بشكل سلبي لأنهن أجبرن على الاستقالة بسبب الزواج قبل صدور المنشور رقم 103/80 </w:t>
      </w:r>
      <w:r w:rsidR="00F7409F">
        <w:rPr>
          <w:rFonts w:hint="cs"/>
          <w:rtl/>
        </w:rPr>
        <w:t xml:space="preserve">الصادر </w:t>
      </w:r>
      <w:r>
        <w:rPr>
          <w:rtl/>
        </w:rPr>
        <w:t xml:space="preserve">عن مكتب رئيس الوزراء عام 1980. </w:t>
      </w:r>
    </w:p>
    <w:p w:rsidR="00A152CA" w:rsidRPr="001178CA" w:rsidRDefault="00A152CA" w:rsidP="001178CA">
      <w:pPr>
        <w:pStyle w:val="SingleTxtGA"/>
        <w:rPr>
          <w:spacing w:val="-2"/>
          <w:rtl/>
        </w:rPr>
      </w:pPr>
      <w:r w:rsidRPr="001178CA">
        <w:rPr>
          <w:spacing w:val="-2"/>
          <w:rtl/>
        </w:rPr>
        <w:t>41-</w:t>
      </w:r>
      <w:r w:rsidRPr="001178CA">
        <w:rPr>
          <w:spacing w:val="-2"/>
          <w:rtl/>
        </w:rPr>
        <w:tab/>
        <w:t>وأحاطت اللجنة علماً بالأنشطة التي تضطلع بها اللجنة الوطنية لتعزيز المساواة، وأشارت إلى أنه، في إطار برنامج "</w:t>
      </w:r>
      <w:r w:rsidR="00D71619" w:rsidRPr="001178CA">
        <w:rPr>
          <w:rFonts w:hint="cs"/>
          <w:spacing w:val="-2"/>
          <w:rtl/>
        </w:rPr>
        <w:t>الجانب</w:t>
      </w:r>
      <w:r w:rsidRPr="001178CA">
        <w:rPr>
          <w:spacing w:val="-2"/>
          <w:rtl/>
        </w:rPr>
        <w:t xml:space="preserve"> الجنساني من منظور قانوني" (</w:t>
      </w:r>
      <w:r w:rsidRPr="001178CA">
        <w:rPr>
          <w:spacing w:val="-2"/>
        </w:rPr>
        <w:t>ESF/No.46</w:t>
      </w:r>
      <w:r w:rsidRPr="001178CA">
        <w:rPr>
          <w:spacing w:val="-2"/>
          <w:rtl/>
        </w:rPr>
        <w:t xml:space="preserve">)، الهادف إلى زيادة مشاركة المرأة </w:t>
      </w:r>
      <w:r w:rsidR="00D71619" w:rsidRPr="001178CA">
        <w:rPr>
          <w:rFonts w:hint="cs"/>
          <w:spacing w:val="-2"/>
          <w:rtl/>
        </w:rPr>
        <w:t xml:space="preserve">والنهوض بها </w:t>
      </w:r>
      <w:r w:rsidR="00F7744F" w:rsidRPr="001178CA">
        <w:rPr>
          <w:spacing w:val="-2"/>
          <w:rtl/>
        </w:rPr>
        <w:t>في سوق العمل</w:t>
      </w:r>
      <w:r w:rsidRPr="001178CA">
        <w:rPr>
          <w:spacing w:val="-2"/>
          <w:rtl/>
        </w:rPr>
        <w:t xml:space="preserve">، أجريت مراجعة للقوانين والأنظمة المالطية وتم إصدار توصيات بهذا الشأن. وطلبت اللجنة من الحكومة تزويدها بمعلومات بشأن التدابير المتخذة لمتابعة هذه التوصيات في ما يتعلق </w:t>
      </w:r>
      <w:r w:rsidR="00F7744F" w:rsidRPr="001178CA">
        <w:rPr>
          <w:rFonts w:hint="cs"/>
          <w:spacing w:val="-2"/>
          <w:rtl/>
        </w:rPr>
        <w:t xml:space="preserve">بالاستخدام </w:t>
      </w:r>
      <w:r w:rsidRPr="001178CA">
        <w:rPr>
          <w:spacing w:val="-2"/>
          <w:rtl/>
        </w:rPr>
        <w:t>والمهن</w:t>
      </w:r>
      <w:r w:rsidR="00F7744F" w:rsidRPr="001178CA">
        <w:rPr>
          <w:rFonts w:hint="cs"/>
          <w:spacing w:val="-2"/>
          <w:rtl/>
        </w:rPr>
        <w:t>ة</w:t>
      </w:r>
      <w:r w:rsidRPr="001178CA">
        <w:rPr>
          <w:spacing w:val="-2"/>
          <w:rtl/>
        </w:rPr>
        <w:t>، بما في ذلك أية تعديلات مقترحة على الأحكام القانونية</w:t>
      </w:r>
      <w:r w:rsidR="00B169A8" w:rsidRPr="001178CA">
        <w:rPr>
          <w:rFonts w:hint="cs"/>
          <w:spacing w:val="-2"/>
          <w:rtl/>
        </w:rPr>
        <w:t xml:space="preserve"> القائمة</w:t>
      </w:r>
      <w:r w:rsidRPr="001178CA">
        <w:rPr>
          <w:spacing w:val="-2"/>
          <w:rtl/>
        </w:rPr>
        <w:t xml:space="preserve">، ومقترحات </w:t>
      </w:r>
      <w:r w:rsidR="00B169A8" w:rsidRPr="001178CA">
        <w:rPr>
          <w:rFonts w:hint="cs"/>
          <w:spacing w:val="-2"/>
          <w:rtl/>
        </w:rPr>
        <w:t>لإ</w:t>
      </w:r>
      <w:r w:rsidRPr="001178CA">
        <w:rPr>
          <w:spacing w:val="-2"/>
          <w:rtl/>
        </w:rPr>
        <w:t>دخال أحكام قانونية جديدة لمعالجة المسائل الجنسانية.</w:t>
      </w:r>
      <w:r w:rsidR="00BE0A50" w:rsidRPr="001178CA">
        <w:rPr>
          <w:spacing w:val="-2"/>
          <w:rtl/>
        </w:rPr>
        <w:t xml:space="preserve"> </w:t>
      </w:r>
      <w:r w:rsidRPr="001178CA">
        <w:rPr>
          <w:spacing w:val="-2"/>
          <w:rtl/>
        </w:rPr>
        <w:t xml:space="preserve">كما طلبت اللجنة من الحكومة توفير معلومات مفصلة </w:t>
      </w:r>
      <w:r w:rsidR="006919AA" w:rsidRPr="001178CA">
        <w:rPr>
          <w:rFonts w:hint="cs"/>
          <w:spacing w:val="-2"/>
          <w:rtl/>
        </w:rPr>
        <w:t xml:space="preserve">عن </w:t>
      </w:r>
      <w:r w:rsidRPr="001178CA">
        <w:rPr>
          <w:spacing w:val="-2"/>
          <w:rtl/>
        </w:rPr>
        <w:t xml:space="preserve">وضع النساء بالنسبة </w:t>
      </w:r>
      <w:r w:rsidR="006919AA" w:rsidRPr="001178CA">
        <w:rPr>
          <w:rFonts w:hint="cs"/>
          <w:spacing w:val="-2"/>
          <w:rtl/>
        </w:rPr>
        <w:t xml:space="preserve">للعمل </w:t>
      </w:r>
      <w:r w:rsidRPr="001178CA">
        <w:rPr>
          <w:spacing w:val="-2"/>
          <w:rtl/>
        </w:rPr>
        <w:t xml:space="preserve">في القطاع الخاص، بما في ذلك بيانات إحصائية </w:t>
      </w:r>
      <w:r w:rsidR="006919AA" w:rsidRPr="001178CA">
        <w:rPr>
          <w:rFonts w:hint="cs"/>
          <w:spacing w:val="-2"/>
          <w:rtl/>
        </w:rPr>
        <w:t xml:space="preserve">عن </w:t>
      </w:r>
      <w:r w:rsidRPr="001178CA">
        <w:rPr>
          <w:spacing w:val="-2"/>
          <w:rtl/>
        </w:rPr>
        <w:t xml:space="preserve">تمثيلهن في وظائف الإدارة. </w:t>
      </w:r>
      <w:r w:rsidR="006919AA" w:rsidRPr="001178CA">
        <w:rPr>
          <w:rFonts w:hint="cs"/>
          <w:spacing w:val="-2"/>
          <w:rtl/>
        </w:rPr>
        <w:t>و</w:t>
      </w:r>
      <w:r w:rsidRPr="001178CA">
        <w:rPr>
          <w:spacing w:val="-2"/>
          <w:rtl/>
        </w:rPr>
        <w:t xml:space="preserve">طلبت اللجنة من الحكومة </w:t>
      </w:r>
      <w:r w:rsidR="006919AA" w:rsidRPr="001178CA">
        <w:rPr>
          <w:rFonts w:hint="cs"/>
          <w:spacing w:val="-2"/>
          <w:rtl/>
        </w:rPr>
        <w:t xml:space="preserve">كذلك </w:t>
      </w:r>
      <w:r w:rsidRPr="001178CA">
        <w:rPr>
          <w:spacing w:val="-2"/>
          <w:rtl/>
        </w:rPr>
        <w:t xml:space="preserve">توفير معلومات </w:t>
      </w:r>
      <w:r w:rsidR="00660D41" w:rsidRPr="001178CA">
        <w:rPr>
          <w:rFonts w:hint="cs"/>
          <w:spacing w:val="-2"/>
          <w:rtl/>
        </w:rPr>
        <w:t xml:space="preserve">بشأن </w:t>
      </w:r>
      <w:r w:rsidRPr="001178CA">
        <w:rPr>
          <w:spacing w:val="-2"/>
          <w:rtl/>
        </w:rPr>
        <w:t xml:space="preserve">التدابير المتخذة لتشجيع تقاسم المسؤوليات الأسرية والخطوات التي تتخذها الشركات لتوفير خدمات </w:t>
      </w:r>
      <w:r w:rsidR="0053426D" w:rsidRPr="001178CA">
        <w:rPr>
          <w:rFonts w:hint="cs"/>
          <w:spacing w:val="-2"/>
          <w:rtl/>
        </w:rPr>
        <w:t>ل</w:t>
      </w:r>
      <w:r w:rsidRPr="001178CA">
        <w:rPr>
          <w:spacing w:val="-2"/>
          <w:rtl/>
        </w:rPr>
        <w:t xml:space="preserve">رعاية </w:t>
      </w:r>
      <w:r w:rsidR="0053426D" w:rsidRPr="001178CA">
        <w:rPr>
          <w:rFonts w:hint="cs"/>
          <w:spacing w:val="-2"/>
          <w:rtl/>
        </w:rPr>
        <w:t>ا</w:t>
      </w:r>
      <w:r w:rsidRPr="001178CA">
        <w:rPr>
          <w:spacing w:val="-2"/>
          <w:rtl/>
        </w:rPr>
        <w:t xml:space="preserve">لأطفال. </w:t>
      </w:r>
    </w:p>
    <w:p w:rsidR="00591AC3" w:rsidRDefault="00A152CA" w:rsidP="00591AC3">
      <w:pPr>
        <w:pStyle w:val="SingleTxtGA"/>
        <w:rPr>
          <w:rFonts w:hint="cs"/>
          <w:rtl/>
        </w:rPr>
      </w:pPr>
      <w:r>
        <w:rPr>
          <w:rtl/>
        </w:rPr>
        <w:t>42-</w:t>
      </w:r>
      <w:r>
        <w:rPr>
          <w:rtl/>
        </w:rPr>
        <w:tab/>
        <w:t xml:space="preserve">وفي ما يتعلق </w:t>
      </w:r>
      <w:r w:rsidR="00AF2720">
        <w:rPr>
          <w:rFonts w:hint="cs"/>
          <w:rtl/>
        </w:rPr>
        <w:t xml:space="preserve">بفرص </w:t>
      </w:r>
      <w:r>
        <w:rPr>
          <w:rtl/>
        </w:rPr>
        <w:t>الحصول على التدريب والتعليم</w:t>
      </w:r>
      <w:r w:rsidR="00E14753">
        <w:rPr>
          <w:rFonts w:hint="cs"/>
          <w:rtl/>
        </w:rPr>
        <w:t xml:space="preserve"> المهنيين</w:t>
      </w:r>
      <w:r>
        <w:rPr>
          <w:rtl/>
        </w:rPr>
        <w:t xml:space="preserve">، </w:t>
      </w:r>
      <w:r w:rsidR="005322EA">
        <w:rPr>
          <w:rFonts w:hint="cs"/>
          <w:rtl/>
        </w:rPr>
        <w:t xml:space="preserve">أحاطت </w:t>
      </w:r>
      <w:r>
        <w:rPr>
          <w:rtl/>
        </w:rPr>
        <w:t xml:space="preserve">اللجنة علماً بالمعلومات التي قدمتها الحكومة </w:t>
      </w:r>
      <w:r w:rsidR="005322EA">
        <w:rPr>
          <w:rFonts w:hint="cs"/>
          <w:rtl/>
        </w:rPr>
        <w:t xml:space="preserve">بشأن </w:t>
      </w:r>
      <w:r>
        <w:rPr>
          <w:rtl/>
        </w:rPr>
        <w:t xml:space="preserve">برامج التدريب التي توفرها شركة التوظيف والتدريب، </w:t>
      </w:r>
      <w:r w:rsidR="00A06347">
        <w:rPr>
          <w:rFonts w:hint="cs"/>
          <w:rtl/>
        </w:rPr>
        <w:t>و</w:t>
      </w:r>
      <w:r>
        <w:rPr>
          <w:rtl/>
        </w:rPr>
        <w:t xml:space="preserve">تستهدف الفئات المحرومة </w:t>
      </w:r>
      <w:r w:rsidR="002F7778">
        <w:rPr>
          <w:rFonts w:hint="cs"/>
          <w:rtl/>
        </w:rPr>
        <w:t>و</w:t>
      </w:r>
      <w:r>
        <w:rPr>
          <w:rtl/>
        </w:rPr>
        <w:t xml:space="preserve">دعمها. وطلبت اللجنة من الحكومة تزويدها بمعلومات </w:t>
      </w:r>
      <w:r w:rsidR="00A97BDB">
        <w:rPr>
          <w:rFonts w:hint="cs"/>
          <w:rtl/>
        </w:rPr>
        <w:t xml:space="preserve">عن </w:t>
      </w:r>
      <w:r>
        <w:rPr>
          <w:rtl/>
        </w:rPr>
        <w:t xml:space="preserve">كيفية </w:t>
      </w:r>
      <w:r w:rsidR="00A97BDB">
        <w:rPr>
          <w:rFonts w:hint="cs"/>
          <w:rtl/>
        </w:rPr>
        <w:t xml:space="preserve">تشجيع </w:t>
      </w:r>
      <w:r>
        <w:rPr>
          <w:rtl/>
        </w:rPr>
        <w:t xml:space="preserve">حصول الفتيات والنساء على التدريب والتعليم </w:t>
      </w:r>
      <w:r w:rsidR="00DE3E33">
        <w:rPr>
          <w:rFonts w:hint="cs"/>
          <w:rtl/>
        </w:rPr>
        <w:t xml:space="preserve">المهنيين </w:t>
      </w:r>
      <w:r>
        <w:rPr>
          <w:rtl/>
        </w:rPr>
        <w:t xml:space="preserve">لزيادة فرص التوظيف المتاحة أمامهن. كما شجعت اللجنة الحكومة على اتخاذ التدابير اللازمة لتسهيل اضطلاع شركة التوظيف والتدريب بجمع البيانات المصنفة حسب الجنس وتحليلها بغية تقييم أثر برامج التدريب على توظيف النساء. </w:t>
      </w:r>
    </w:p>
    <w:p w:rsidR="00591AC3" w:rsidRDefault="00591AC3" w:rsidP="001178CA">
      <w:pPr>
        <w:pStyle w:val="H1GA"/>
        <w:rPr>
          <w:rFonts w:hint="cs"/>
          <w:rtl/>
        </w:rPr>
      </w:pPr>
      <w:r>
        <w:rPr>
          <w:rFonts w:hint="cs"/>
          <w:rtl/>
        </w:rPr>
        <w:tab/>
      </w:r>
      <w:r>
        <w:rPr>
          <w:rFonts w:hint="cs"/>
          <w:rtl/>
        </w:rPr>
        <w:tab/>
        <w:t>تونس</w:t>
      </w:r>
    </w:p>
    <w:p w:rsidR="00A152CA" w:rsidRDefault="00A152CA" w:rsidP="001178CA">
      <w:pPr>
        <w:pStyle w:val="SingleTxtGA"/>
        <w:rPr>
          <w:rtl/>
        </w:rPr>
      </w:pPr>
      <w:r>
        <w:rPr>
          <w:rtl/>
        </w:rPr>
        <w:t>43-</w:t>
      </w:r>
      <w:r>
        <w:rPr>
          <w:rtl/>
        </w:rPr>
        <w:tab/>
        <w:t xml:space="preserve">من بين اتفاقيات منظمة العمل الدولية ذات </w:t>
      </w:r>
      <w:r w:rsidR="00627230">
        <w:rPr>
          <w:rtl/>
        </w:rPr>
        <w:t>الصلة، صدّقت تونس على الاتفاقي</w:t>
      </w:r>
      <w:r w:rsidR="001178CA">
        <w:rPr>
          <w:rFonts w:hint="cs"/>
          <w:rtl/>
        </w:rPr>
        <w:t>تين</w:t>
      </w:r>
      <w:r>
        <w:rPr>
          <w:rtl/>
        </w:rPr>
        <w:t xml:space="preserve"> </w:t>
      </w:r>
      <w:r w:rsidR="00627230">
        <w:rPr>
          <w:rFonts w:hint="cs"/>
          <w:rtl/>
        </w:rPr>
        <w:t xml:space="preserve">رقم </w:t>
      </w:r>
      <w:r>
        <w:rPr>
          <w:rtl/>
        </w:rPr>
        <w:t>100</w:t>
      </w:r>
      <w:r w:rsidR="00F74105">
        <w:rPr>
          <w:rtl/>
        </w:rPr>
        <w:t xml:space="preserve"> و</w:t>
      </w:r>
      <w:r>
        <w:rPr>
          <w:rtl/>
        </w:rPr>
        <w:t>111. وصدقت أيضا</w:t>
      </w:r>
      <w:r w:rsidR="00804D64">
        <w:rPr>
          <w:rFonts w:hint="cs"/>
          <w:rtl/>
        </w:rPr>
        <w:t>ً</w:t>
      </w:r>
      <w:r>
        <w:rPr>
          <w:rtl/>
        </w:rPr>
        <w:t xml:space="preserve"> على الاتفاقيات </w:t>
      </w:r>
      <w:r w:rsidR="00D85610">
        <w:rPr>
          <w:rFonts w:hint="cs"/>
          <w:rtl/>
        </w:rPr>
        <w:t xml:space="preserve">رقم </w:t>
      </w:r>
      <w:r>
        <w:rPr>
          <w:rtl/>
        </w:rPr>
        <w:t>29</w:t>
      </w:r>
      <w:r w:rsidR="00F74105">
        <w:rPr>
          <w:rtl/>
        </w:rPr>
        <w:t xml:space="preserve"> و</w:t>
      </w:r>
      <w:r>
        <w:rPr>
          <w:rtl/>
        </w:rPr>
        <w:t>45</w:t>
      </w:r>
      <w:r w:rsidR="00F74105">
        <w:rPr>
          <w:rtl/>
        </w:rPr>
        <w:t xml:space="preserve"> و</w:t>
      </w:r>
      <w:r>
        <w:rPr>
          <w:rtl/>
        </w:rPr>
        <w:t>87</w:t>
      </w:r>
      <w:r w:rsidR="00F74105">
        <w:rPr>
          <w:rtl/>
        </w:rPr>
        <w:t xml:space="preserve"> و</w:t>
      </w:r>
      <w:r>
        <w:rPr>
          <w:rtl/>
        </w:rPr>
        <w:t>89</w:t>
      </w:r>
      <w:r w:rsidR="00F74105">
        <w:rPr>
          <w:rtl/>
        </w:rPr>
        <w:t xml:space="preserve"> و</w:t>
      </w:r>
      <w:r>
        <w:rPr>
          <w:rtl/>
        </w:rPr>
        <w:t>98</w:t>
      </w:r>
      <w:r w:rsidR="00F74105">
        <w:rPr>
          <w:rtl/>
        </w:rPr>
        <w:t xml:space="preserve"> و</w:t>
      </w:r>
      <w:r>
        <w:rPr>
          <w:rtl/>
        </w:rPr>
        <w:t>105</w:t>
      </w:r>
      <w:r w:rsidR="00F74105">
        <w:rPr>
          <w:rtl/>
        </w:rPr>
        <w:t xml:space="preserve"> و</w:t>
      </w:r>
      <w:r>
        <w:rPr>
          <w:rtl/>
        </w:rPr>
        <w:t>122</w:t>
      </w:r>
      <w:r w:rsidR="00F74105">
        <w:rPr>
          <w:rtl/>
        </w:rPr>
        <w:t xml:space="preserve"> و</w:t>
      </w:r>
      <w:r>
        <w:rPr>
          <w:rtl/>
        </w:rPr>
        <w:t>138</w:t>
      </w:r>
      <w:r w:rsidR="00F74105">
        <w:rPr>
          <w:rtl/>
        </w:rPr>
        <w:t xml:space="preserve"> و</w:t>
      </w:r>
      <w:r>
        <w:rPr>
          <w:rtl/>
        </w:rPr>
        <w:t>142</w:t>
      </w:r>
      <w:r w:rsidR="00F74105">
        <w:rPr>
          <w:rtl/>
        </w:rPr>
        <w:t xml:space="preserve"> و</w:t>
      </w:r>
      <w:r>
        <w:rPr>
          <w:rtl/>
        </w:rPr>
        <w:t>182.</w:t>
      </w:r>
    </w:p>
    <w:p w:rsidR="00A152CA" w:rsidRPr="001178CA" w:rsidRDefault="00A152CA" w:rsidP="001178CA">
      <w:pPr>
        <w:pStyle w:val="SingleTxtGA"/>
        <w:rPr>
          <w:i/>
          <w:iCs/>
          <w:rtl/>
        </w:rPr>
      </w:pPr>
      <w:r w:rsidRPr="001178CA">
        <w:rPr>
          <w:i/>
          <w:iCs/>
          <w:rtl/>
        </w:rPr>
        <w:t>تعليقات هيئات الإشراف لمنظمة العمل الدولية</w:t>
      </w:r>
    </w:p>
    <w:p w:rsidR="00A152CA" w:rsidRDefault="00A152CA" w:rsidP="00204378">
      <w:pPr>
        <w:pStyle w:val="SingleTxtGA"/>
        <w:rPr>
          <w:rtl/>
        </w:rPr>
      </w:pPr>
      <w:r>
        <w:rPr>
          <w:rtl/>
        </w:rPr>
        <w:t>44-</w:t>
      </w:r>
      <w:r>
        <w:rPr>
          <w:rtl/>
        </w:rPr>
        <w:tab/>
        <w:t>التعليقات التي لم يتخذ إجراء بشأنها بعد، الصادرة عن لجنة الخبراء التابعة لمنظمة العمل الدولية والمتصلة بأحكام اتفاقية القضاء على جميع أشكال التمييز ضد المرأة، تتعلق بالاتفاقيات التالية:</w:t>
      </w:r>
    </w:p>
    <w:p w:rsidR="00A152CA" w:rsidRDefault="00204378" w:rsidP="001178CA">
      <w:pPr>
        <w:pStyle w:val="H23GA"/>
        <w:rPr>
          <w:rtl/>
        </w:rPr>
      </w:pPr>
      <w:r>
        <w:rPr>
          <w:rFonts w:hint="cs"/>
          <w:rtl/>
        </w:rPr>
        <w:tab/>
      </w:r>
      <w:r>
        <w:rPr>
          <w:rFonts w:hint="cs"/>
          <w:rtl/>
        </w:rPr>
        <w:tab/>
      </w:r>
      <w:r w:rsidR="00A152CA">
        <w:rPr>
          <w:rtl/>
        </w:rPr>
        <w:t>الاتفاقية رقم 45</w:t>
      </w:r>
    </w:p>
    <w:p w:rsidR="00A152CA" w:rsidRDefault="00A152CA" w:rsidP="005D3765">
      <w:pPr>
        <w:pStyle w:val="SingleTxtGA"/>
        <w:rPr>
          <w:rtl/>
        </w:rPr>
      </w:pPr>
      <w:r>
        <w:rPr>
          <w:rtl/>
        </w:rPr>
        <w:t>45-</w:t>
      </w:r>
      <w:r>
        <w:rPr>
          <w:rtl/>
        </w:rPr>
        <w:tab/>
      </w:r>
      <w:r w:rsidR="00CD0957">
        <w:rPr>
          <w:rFonts w:hint="cs"/>
          <w:rtl/>
        </w:rPr>
        <w:t xml:space="preserve">أحاطت </w:t>
      </w:r>
      <w:r>
        <w:rPr>
          <w:rtl/>
        </w:rPr>
        <w:t xml:space="preserve">لجنة الخبراء </w:t>
      </w:r>
      <w:r w:rsidR="00CD0957">
        <w:rPr>
          <w:rFonts w:hint="cs"/>
          <w:rtl/>
        </w:rPr>
        <w:t>علماً</w:t>
      </w:r>
      <w:r w:rsidR="001178CA">
        <w:rPr>
          <w:rFonts w:hint="cs"/>
          <w:rtl/>
        </w:rPr>
        <w:t>،</w:t>
      </w:r>
      <w:r w:rsidR="00CD0957">
        <w:rPr>
          <w:rFonts w:hint="cs"/>
          <w:rtl/>
        </w:rPr>
        <w:t xml:space="preserve"> </w:t>
      </w:r>
      <w:r>
        <w:rPr>
          <w:rtl/>
        </w:rPr>
        <w:t xml:space="preserve">في طلبها المباشر لعام 2004، </w:t>
      </w:r>
      <w:r w:rsidR="00CD0957">
        <w:rPr>
          <w:rFonts w:hint="cs"/>
          <w:rtl/>
        </w:rPr>
        <w:t>ب</w:t>
      </w:r>
      <w:r>
        <w:rPr>
          <w:rtl/>
        </w:rPr>
        <w:t xml:space="preserve">الإشارة إلى </w:t>
      </w:r>
      <w:r w:rsidR="00CD0957">
        <w:rPr>
          <w:rFonts w:hint="cs"/>
          <w:rtl/>
        </w:rPr>
        <w:t xml:space="preserve">المادة </w:t>
      </w:r>
      <w:r>
        <w:rPr>
          <w:rtl/>
        </w:rPr>
        <w:t xml:space="preserve">77 من قانون العمل، بآخر صيغة معدلة </w:t>
      </w:r>
      <w:r w:rsidR="00DE7A91">
        <w:rPr>
          <w:rFonts w:hint="cs"/>
          <w:rtl/>
        </w:rPr>
        <w:t xml:space="preserve">لها </w:t>
      </w:r>
      <w:r>
        <w:rPr>
          <w:rtl/>
        </w:rPr>
        <w:t>بموجب القانون رقم 96-62</w:t>
      </w:r>
      <w:r w:rsidR="00BE0A50">
        <w:rPr>
          <w:rtl/>
        </w:rPr>
        <w:t xml:space="preserve"> </w:t>
      </w:r>
      <w:r w:rsidR="00DE7A91">
        <w:rPr>
          <w:rtl/>
        </w:rPr>
        <w:t>المؤرخ في 15 تموز/</w:t>
      </w:r>
      <w:r w:rsidR="00E84C50">
        <w:rPr>
          <w:rFonts w:hint="cs"/>
          <w:rtl/>
        </w:rPr>
        <w:t xml:space="preserve">         </w:t>
      </w:r>
      <w:r w:rsidR="00DE7A91">
        <w:rPr>
          <w:rtl/>
        </w:rPr>
        <w:t>يولي</w:t>
      </w:r>
      <w:r w:rsidR="00DE7A91">
        <w:rPr>
          <w:rFonts w:hint="cs"/>
          <w:rtl/>
        </w:rPr>
        <w:t>ه</w:t>
      </w:r>
      <w:r>
        <w:rPr>
          <w:rtl/>
        </w:rPr>
        <w:t xml:space="preserve"> 1996، الذي يحظر توظيف النساء، أي</w:t>
      </w:r>
      <w:r w:rsidR="00EC1B1C">
        <w:rPr>
          <w:rFonts w:hint="cs"/>
          <w:rtl/>
        </w:rPr>
        <w:t>اً</w:t>
      </w:r>
      <w:r>
        <w:rPr>
          <w:rtl/>
        </w:rPr>
        <w:t xml:space="preserve"> كان سنهن، والشباب دون سن الثامنة عشرة للعمل تحت سطح الأرض في المناجم والمحاجر. ودعت اللجنة الحكومة إلى النظر بإيجابية في التصديق على اتفاقية السلامة </w:t>
      </w:r>
      <w:r w:rsidR="00773D87">
        <w:rPr>
          <w:rFonts w:hint="cs"/>
          <w:rtl/>
        </w:rPr>
        <w:t xml:space="preserve">والصحة </w:t>
      </w:r>
      <w:r>
        <w:rPr>
          <w:rtl/>
        </w:rPr>
        <w:t>في المناجم، 1995 (رقم 176)، التي تركّز على حماية صحة وسلامة جميع عمّال المناجم عوضاً عن التركيز على فئ</w:t>
      </w:r>
      <w:r w:rsidR="00B6532B">
        <w:rPr>
          <w:rFonts w:hint="cs"/>
          <w:rtl/>
        </w:rPr>
        <w:t>ة</w:t>
      </w:r>
      <w:r>
        <w:rPr>
          <w:rtl/>
        </w:rPr>
        <w:t xml:space="preserve"> محددة من العمال، فضلاً عن النظر في </w:t>
      </w:r>
      <w:r w:rsidR="005D3765">
        <w:rPr>
          <w:rFonts w:hint="cs"/>
          <w:rtl/>
        </w:rPr>
        <w:t>إمكانية الانسحاب م</w:t>
      </w:r>
      <w:r>
        <w:rPr>
          <w:rtl/>
        </w:rPr>
        <w:t>ن الاتفاقية</w:t>
      </w:r>
      <w:r w:rsidR="0060046D">
        <w:rPr>
          <w:rFonts w:hint="cs"/>
          <w:rtl/>
        </w:rPr>
        <w:t xml:space="preserve"> رقم</w:t>
      </w:r>
      <w:r>
        <w:rPr>
          <w:rtl/>
        </w:rPr>
        <w:t xml:space="preserve"> 45. </w:t>
      </w:r>
    </w:p>
    <w:p w:rsidR="00A152CA" w:rsidRDefault="00875072" w:rsidP="00875072">
      <w:pPr>
        <w:pStyle w:val="H23GA"/>
        <w:rPr>
          <w:rtl/>
        </w:rPr>
      </w:pPr>
      <w:r>
        <w:rPr>
          <w:rFonts w:hint="cs"/>
          <w:rtl/>
        </w:rPr>
        <w:tab/>
      </w:r>
      <w:r>
        <w:rPr>
          <w:rFonts w:hint="cs"/>
          <w:rtl/>
        </w:rPr>
        <w:tab/>
      </w:r>
      <w:r w:rsidR="00A152CA">
        <w:rPr>
          <w:rtl/>
        </w:rPr>
        <w:t>الاتفاقية رقم 89</w:t>
      </w:r>
    </w:p>
    <w:p w:rsidR="00A152CA" w:rsidRDefault="00A152CA" w:rsidP="003D4EB5">
      <w:pPr>
        <w:pStyle w:val="SingleTxtGA"/>
        <w:rPr>
          <w:rtl/>
        </w:rPr>
      </w:pPr>
      <w:r>
        <w:rPr>
          <w:rtl/>
        </w:rPr>
        <w:t>46-</w:t>
      </w:r>
      <w:r>
        <w:rPr>
          <w:rtl/>
        </w:rPr>
        <w:tab/>
        <w:t xml:space="preserve">أشارت لجنة الخبراء في طلبها المباشر لعام 2008، إلى أن </w:t>
      </w:r>
      <w:r w:rsidR="00D17FE0">
        <w:rPr>
          <w:rFonts w:hint="cs"/>
          <w:rtl/>
        </w:rPr>
        <w:t>غالبية</w:t>
      </w:r>
      <w:r>
        <w:rPr>
          <w:rtl/>
        </w:rPr>
        <w:t xml:space="preserve"> الاتفاقات الجماعية لا تتضمن </w:t>
      </w:r>
      <w:r w:rsidR="00534AF4">
        <w:rPr>
          <w:rFonts w:hint="cs"/>
          <w:rtl/>
        </w:rPr>
        <w:t xml:space="preserve">أي </w:t>
      </w:r>
      <w:r>
        <w:rPr>
          <w:rtl/>
        </w:rPr>
        <w:t xml:space="preserve">أحكام محددة بشأن الحفاظ على الدخل خلال </w:t>
      </w:r>
      <w:r w:rsidR="00B37DEB">
        <w:rPr>
          <w:rFonts w:hint="cs"/>
          <w:rtl/>
        </w:rPr>
        <w:t xml:space="preserve">مدة </w:t>
      </w:r>
      <w:r>
        <w:rPr>
          <w:rtl/>
        </w:rPr>
        <w:t xml:space="preserve">الحمل، باستثناء إشارة إلى قوانين العمل العامة المعمول بها. وذكّرت اللجنة بأن الاتفاقية تسعى إلى حماية مستوى دخل النساء </w:t>
      </w:r>
      <w:r w:rsidR="00B37DEB">
        <w:rPr>
          <w:rFonts w:hint="cs"/>
          <w:rtl/>
        </w:rPr>
        <w:t>العاملات</w:t>
      </w:r>
      <w:r>
        <w:rPr>
          <w:rtl/>
        </w:rPr>
        <w:t xml:space="preserve">، ليس خلال فترة إجازة الأمومة فحسب، بل خلال فترة أطول بكثير تصل إلى 16 أسبوعاً وأية فترات </w:t>
      </w:r>
      <w:r w:rsidR="00312186">
        <w:rPr>
          <w:rFonts w:hint="cs"/>
          <w:rtl/>
        </w:rPr>
        <w:t>إضافية</w:t>
      </w:r>
      <w:r>
        <w:rPr>
          <w:rtl/>
        </w:rPr>
        <w:t xml:space="preserve"> تقوم على دواعٍ طبية، عبر الانتقال </w:t>
      </w:r>
      <w:r w:rsidR="001178CA">
        <w:rPr>
          <w:rFonts w:hint="cs"/>
          <w:rtl/>
        </w:rPr>
        <w:t xml:space="preserve">إلى </w:t>
      </w:r>
      <w:r w:rsidR="00312186">
        <w:rPr>
          <w:rFonts w:hint="cs"/>
          <w:rtl/>
        </w:rPr>
        <w:t xml:space="preserve">عمل نهاري، أو منح إعانات </w:t>
      </w:r>
      <w:r>
        <w:rPr>
          <w:rtl/>
        </w:rPr>
        <w:t>خاصة من الضمان الاجتماعي أو ما يشابه ذلك من تدابير.</w:t>
      </w:r>
    </w:p>
    <w:p w:rsidR="00A152CA" w:rsidRDefault="001178CA" w:rsidP="003D4EB5">
      <w:pPr>
        <w:pStyle w:val="H23GA"/>
        <w:rPr>
          <w:rtl/>
        </w:rPr>
      </w:pPr>
      <w:r>
        <w:rPr>
          <w:rtl/>
        </w:rPr>
        <w:br w:type="page"/>
      </w:r>
      <w:r w:rsidR="003D4EB5">
        <w:rPr>
          <w:rFonts w:hint="cs"/>
          <w:rtl/>
        </w:rPr>
        <w:tab/>
      </w:r>
      <w:r w:rsidR="003D4EB5">
        <w:rPr>
          <w:rFonts w:hint="cs"/>
          <w:rtl/>
        </w:rPr>
        <w:tab/>
      </w:r>
      <w:r w:rsidR="00A152CA">
        <w:rPr>
          <w:rtl/>
        </w:rPr>
        <w:t>الاتفاقية رقم 100</w:t>
      </w:r>
    </w:p>
    <w:p w:rsidR="00A152CA" w:rsidRDefault="00A152CA" w:rsidP="00694A28">
      <w:pPr>
        <w:pStyle w:val="SingleTxtGA"/>
        <w:rPr>
          <w:rtl/>
        </w:rPr>
      </w:pPr>
      <w:r>
        <w:rPr>
          <w:rtl/>
        </w:rPr>
        <w:t>47-</w:t>
      </w:r>
      <w:r>
        <w:rPr>
          <w:rtl/>
        </w:rPr>
        <w:tab/>
        <w:t xml:space="preserve">أشارت لجنة الخبراء في طلبها المباشر لعام 2009، إلى أن </w:t>
      </w:r>
      <w:r w:rsidR="00B20102">
        <w:rPr>
          <w:rFonts w:hint="cs"/>
          <w:rtl/>
        </w:rPr>
        <w:t>سلّم</w:t>
      </w:r>
      <w:r>
        <w:rPr>
          <w:rtl/>
        </w:rPr>
        <w:t xml:space="preserve"> الأجور </w:t>
      </w:r>
      <w:r w:rsidR="003C5387">
        <w:rPr>
          <w:rFonts w:hint="cs"/>
          <w:rtl/>
        </w:rPr>
        <w:t>ي</w:t>
      </w:r>
      <w:r>
        <w:rPr>
          <w:rtl/>
        </w:rPr>
        <w:t xml:space="preserve">طبق في القطاع العام على جميع الموظفين دون أي تمييز على أساس الجنس، وأن الأحكام ذات الصلة المضمنة في الاتفاقات الجماعية في القطاع الخاص تطبق على </w:t>
      </w:r>
      <w:r w:rsidR="00221833">
        <w:rPr>
          <w:rFonts w:hint="cs"/>
          <w:rtl/>
        </w:rPr>
        <w:t xml:space="preserve">قدم </w:t>
      </w:r>
      <w:r>
        <w:rPr>
          <w:rtl/>
        </w:rPr>
        <w:t>المساواة بين الرجال والنساء. لكن اللجنة اعتبرت ذلك غير كافٍ لضمان تطبيق مبدأ المساواة في الأجر. لذلك أرادت اللجنة التشديد مجدداً على أن مبدأ "العمل المتساوي القيمة" يتخطى مجرد المساواة في الأجر بالنسبة للعمل "المتساوي" أو "نفس" العمل أو العمل "</w:t>
      </w:r>
      <w:r w:rsidR="00DA2BE8">
        <w:rPr>
          <w:rFonts w:hint="cs"/>
          <w:rtl/>
        </w:rPr>
        <w:t>المماثل</w:t>
      </w:r>
      <w:r>
        <w:rPr>
          <w:rtl/>
        </w:rPr>
        <w:t xml:space="preserve">"، ليشمل العمل ذا الطبيعة المختلفة اختلافاً تاماً، والذي يكون رغم ذلك ذا قيمة متساوية. ويكمن الهدف من هذا النطاق الواسع "للقيمة المتساوية" في تجنب عدم المساواة في الأجور التي كان </w:t>
      </w:r>
      <w:r w:rsidR="004D7AA9">
        <w:rPr>
          <w:rFonts w:hint="cs"/>
          <w:rtl/>
        </w:rPr>
        <w:t>ي</w:t>
      </w:r>
      <w:r>
        <w:rPr>
          <w:rtl/>
        </w:rPr>
        <w:t xml:space="preserve">نجم في أغلب الأحيان عن الفصل بين الجنسين في المهن </w:t>
      </w:r>
      <w:r w:rsidR="003F1959">
        <w:rPr>
          <w:rFonts w:hint="cs"/>
          <w:rtl/>
        </w:rPr>
        <w:t xml:space="preserve">مع تركيز </w:t>
      </w:r>
      <w:r>
        <w:rPr>
          <w:rtl/>
        </w:rPr>
        <w:t xml:space="preserve">النساء في مجموعة محددة من المهن. </w:t>
      </w:r>
      <w:r w:rsidR="00D36BCE">
        <w:rPr>
          <w:rFonts w:hint="cs"/>
          <w:rtl/>
        </w:rPr>
        <w:t xml:space="preserve">وأشارت </w:t>
      </w:r>
      <w:r>
        <w:rPr>
          <w:rtl/>
        </w:rPr>
        <w:t xml:space="preserve">اللجنة </w:t>
      </w:r>
      <w:r w:rsidR="00D36BCE">
        <w:rPr>
          <w:rFonts w:hint="cs"/>
          <w:rtl/>
        </w:rPr>
        <w:t xml:space="preserve">إلى </w:t>
      </w:r>
      <w:r>
        <w:rPr>
          <w:rtl/>
        </w:rPr>
        <w:t xml:space="preserve">تركّز </w:t>
      </w:r>
      <w:r w:rsidR="00D36BCE">
        <w:rPr>
          <w:rFonts w:hint="cs"/>
          <w:rtl/>
        </w:rPr>
        <w:t xml:space="preserve">عمل </w:t>
      </w:r>
      <w:r>
        <w:rPr>
          <w:rtl/>
        </w:rPr>
        <w:t xml:space="preserve">النساء في قطاعات معينة، كقطاع الخدمات، وضعف تمثيلهن في الوظائف ذات المسؤوليات، فشددت على أهمية مقارنة قيمة مختلف أنواع العمل على أساس معايير موضوعية وغير تمييزية. وفي هذا الصدد، أشارت اللجنة إلى ضرورة الاستناد </w:t>
      </w:r>
      <w:r w:rsidR="003B5B6F">
        <w:rPr>
          <w:rFonts w:hint="cs"/>
          <w:rtl/>
        </w:rPr>
        <w:t xml:space="preserve">إلى </w:t>
      </w:r>
      <w:r w:rsidR="00982880">
        <w:rPr>
          <w:rFonts w:hint="cs"/>
          <w:rtl/>
        </w:rPr>
        <w:t>ا</w:t>
      </w:r>
      <w:r>
        <w:rPr>
          <w:rtl/>
        </w:rPr>
        <w:t xml:space="preserve">لمهارات المطلوبة </w:t>
      </w:r>
      <w:r w:rsidR="00982880">
        <w:rPr>
          <w:rFonts w:hint="cs"/>
          <w:rtl/>
        </w:rPr>
        <w:t>ل</w:t>
      </w:r>
      <w:r>
        <w:rPr>
          <w:rtl/>
        </w:rPr>
        <w:t xml:space="preserve">لعمل </w:t>
      </w:r>
      <w:r w:rsidR="00982880">
        <w:rPr>
          <w:rFonts w:hint="cs"/>
          <w:rtl/>
        </w:rPr>
        <w:t xml:space="preserve">وإلى </w:t>
      </w:r>
      <w:r>
        <w:rPr>
          <w:rtl/>
        </w:rPr>
        <w:t>الجهد والمسؤولي</w:t>
      </w:r>
      <w:r w:rsidR="00982880">
        <w:rPr>
          <w:rFonts w:hint="cs"/>
          <w:rtl/>
        </w:rPr>
        <w:t>ة</w:t>
      </w:r>
      <w:r>
        <w:rPr>
          <w:rtl/>
        </w:rPr>
        <w:t xml:space="preserve"> والظروف المرتبطة به، لتحديد نسب الأجر المخصص لهذا العمل وفقاً لمبدأ الاتفاقية. كما طلبت اللجنة من الحكومة تزويدها بمعلومات </w:t>
      </w:r>
      <w:r w:rsidR="002558BE">
        <w:rPr>
          <w:rFonts w:hint="cs"/>
          <w:rtl/>
        </w:rPr>
        <w:t>عن</w:t>
      </w:r>
      <w:r>
        <w:rPr>
          <w:rtl/>
        </w:rPr>
        <w:t xml:space="preserve"> أثر خطة العمل التي وضعتها لتشجيع </w:t>
      </w:r>
      <w:r w:rsidR="003B3BCC">
        <w:rPr>
          <w:rFonts w:hint="cs"/>
          <w:rtl/>
        </w:rPr>
        <w:t>النهوض ب</w:t>
      </w:r>
      <w:r>
        <w:rPr>
          <w:rtl/>
        </w:rPr>
        <w:t xml:space="preserve">النساء </w:t>
      </w:r>
      <w:r w:rsidR="003B3BCC">
        <w:rPr>
          <w:rFonts w:hint="cs"/>
          <w:rtl/>
        </w:rPr>
        <w:t xml:space="preserve">مهنياً </w:t>
      </w:r>
      <w:r>
        <w:rPr>
          <w:rtl/>
        </w:rPr>
        <w:t xml:space="preserve">ومكافحة القوالب النمطية الجنسانية بهدف تقليص الفوارق في الأجور </w:t>
      </w:r>
      <w:r w:rsidR="00D23272">
        <w:rPr>
          <w:rFonts w:hint="cs"/>
          <w:rtl/>
        </w:rPr>
        <w:t>بين الجنسين</w:t>
      </w:r>
      <w:r>
        <w:rPr>
          <w:rtl/>
        </w:rPr>
        <w:t xml:space="preserve">، فضلاً عن توفير معلومات </w:t>
      </w:r>
      <w:r w:rsidR="00694A28">
        <w:rPr>
          <w:rFonts w:hint="cs"/>
          <w:rtl/>
        </w:rPr>
        <w:t xml:space="preserve">عن </w:t>
      </w:r>
      <w:r>
        <w:rPr>
          <w:rtl/>
        </w:rPr>
        <w:t xml:space="preserve">التدابير المعتمدة أو المزمع اعتمادها لتعزيز التقييم الموضوعي للوظائف. </w:t>
      </w:r>
    </w:p>
    <w:p w:rsidR="00A152CA" w:rsidRDefault="00C2568F" w:rsidP="00C2568F">
      <w:pPr>
        <w:pStyle w:val="H23GA"/>
        <w:rPr>
          <w:rtl/>
        </w:rPr>
      </w:pPr>
      <w:r>
        <w:rPr>
          <w:rFonts w:hint="cs"/>
          <w:rtl/>
        </w:rPr>
        <w:tab/>
      </w:r>
      <w:r>
        <w:rPr>
          <w:rFonts w:hint="cs"/>
          <w:rtl/>
        </w:rPr>
        <w:tab/>
      </w:r>
      <w:r w:rsidR="00A152CA">
        <w:rPr>
          <w:rtl/>
        </w:rPr>
        <w:t>الاتفاقية رقم 111</w:t>
      </w:r>
      <w:r w:rsidR="00BE0A50">
        <w:rPr>
          <w:rtl/>
        </w:rPr>
        <w:t xml:space="preserve"> </w:t>
      </w:r>
    </w:p>
    <w:p w:rsidR="00A152CA" w:rsidRDefault="00A152CA" w:rsidP="007A6B4C">
      <w:pPr>
        <w:pStyle w:val="SingleTxtGA"/>
        <w:rPr>
          <w:rtl/>
        </w:rPr>
      </w:pPr>
      <w:r>
        <w:rPr>
          <w:rtl/>
        </w:rPr>
        <w:t>48-</w:t>
      </w:r>
      <w:r>
        <w:rPr>
          <w:rtl/>
        </w:rPr>
        <w:tab/>
        <w:t>أشارت لجنة الخبراء في طلبها المباشر لعام 2009، إلى أن المحاكم لم تُصدر أية أحكام تتعلق بحظر التحرش الجنسي (الفصل 226 مكرراً ثانياً من قانون</w:t>
      </w:r>
      <w:r w:rsidR="006F4810">
        <w:rPr>
          <w:rFonts w:hint="cs"/>
          <w:rtl/>
        </w:rPr>
        <w:t xml:space="preserve"> العقوبات</w:t>
      </w:r>
      <w:r>
        <w:rPr>
          <w:rtl/>
        </w:rPr>
        <w:t xml:space="preserve">) وأن مفتشية العمل لم تسجل أي انتهاكات. ومع تشديدها على الطبيعة الحساسة لهذا الموضوع، أرادت اللجنة لفت انتباه الحكومة إلى أن الضحايا </w:t>
      </w:r>
      <w:r w:rsidR="00682F8D">
        <w:rPr>
          <w:rFonts w:hint="cs"/>
          <w:rtl/>
        </w:rPr>
        <w:t xml:space="preserve">يحجمون </w:t>
      </w:r>
      <w:r>
        <w:rPr>
          <w:rtl/>
        </w:rPr>
        <w:t xml:space="preserve">عادة </w:t>
      </w:r>
      <w:r w:rsidR="002C74A0">
        <w:rPr>
          <w:rFonts w:hint="cs"/>
          <w:rtl/>
        </w:rPr>
        <w:t xml:space="preserve">عن </w:t>
      </w:r>
      <w:r>
        <w:rPr>
          <w:rtl/>
        </w:rPr>
        <w:t xml:space="preserve">الإبلاغ عن حالات التحرش الجنسي. كما يمكن أن يكون مستوى الوعي بهذا الموضوع غير كافٍ، </w:t>
      </w:r>
      <w:r w:rsidR="00A57B3A">
        <w:rPr>
          <w:rFonts w:hint="cs"/>
          <w:rtl/>
        </w:rPr>
        <w:t xml:space="preserve">سواء بين </w:t>
      </w:r>
      <w:r>
        <w:rPr>
          <w:rtl/>
        </w:rPr>
        <w:t xml:space="preserve">السلطات أو الضحايا أنفسهم. لذا، فإن اللجنة تحث الحكومة على اتخاذ التدابير اللازمة لشحذ وعي الرأي العام بمسألة التحرش الجنسي في مكان العمل وتزويد السلطات </w:t>
      </w:r>
      <w:r w:rsidR="007A6B4C">
        <w:rPr>
          <w:rFonts w:hint="cs"/>
          <w:rtl/>
        </w:rPr>
        <w:t>المختصة</w:t>
      </w:r>
      <w:r>
        <w:rPr>
          <w:rtl/>
        </w:rPr>
        <w:t xml:space="preserve"> بمعلومات محددة يمكنها الاستناد إليها للتعرف على حالات التحرش الجنسي ومعالجته</w:t>
      </w:r>
      <w:r w:rsidR="00AC0D8B">
        <w:rPr>
          <w:rFonts w:hint="cs"/>
          <w:rtl/>
        </w:rPr>
        <w:t>ا</w:t>
      </w:r>
      <w:r>
        <w:rPr>
          <w:rtl/>
        </w:rPr>
        <w:t xml:space="preserve"> بالطريقة المناسبة. </w:t>
      </w:r>
    </w:p>
    <w:p w:rsidR="00A152CA" w:rsidRDefault="00A152CA" w:rsidP="004E01B2">
      <w:pPr>
        <w:pStyle w:val="SingleTxtGA"/>
        <w:rPr>
          <w:rtl/>
        </w:rPr>
      </w:pPr>
      <w:r>
        <w:rPr>
          <w:rtl/>
        </w:rPr>
        <w:t>49-</w:t>
      </w:r>
      <w:r>
        <w:rPr>
          <w:rtl/>
        </w:rPr>
        <w:tab/>
        <w:t xml:space="preserve">وفي ما يتعلق بالتدريب المهني، أشارت اللجنة إلى أن البيانات المتعلقة بشهادات التدريب التي سلمتها وزارة التعليم والتدريب أظهرت أن النساء يشاركن في التدريب المرتبط بالخدمات (في عام 2006، مثّلت النساء 91 في المائة من المشاركين) وقطاع </w:t>
      </w:r>
      <w:r w:rsidR="0056680B">
        <w:rPr>
          <w:rFonts w:hint="cs"/>
          <w:rtl/>
        </w:rPr>
        <w:t>الأقمشة</w:t>
      </w:r>
      <w:r>
        <w:rPr>
          <w:rtl/>
        </w:rPr>
        <w:t xml:space="preserve"> والألبسة (85 في المائة). كما لاحظت اللجنة تنامي مشاركة النساء، منذ عام 2002، في التدريب المهني في قطاع الصناعات الحرفية (</w:t>
      </w:r>
      <w:r w:rsidR="0056680B">
        <w:rPr>
          <w:rFonts w:hint="cs"/>
          <w:rtl/>
        </w:rPr>
        <w:t>ارتفعت</w:t>
      </w:r>
      <w:r>
        <w:rPr>
          <w:rtl/>
        </w:rPr>
        <w:t xml:space="preserve"> من نسبة 13 في المائة عام 2002 </w:t>
      </w:r>
      <w:r w:rsidR="0068735F">
        <w:rPr>
          <w:rFonts w:hint="cs"/>
          <w:rtl/>
        </w:rPr>
        <w:t xml:space="preserve">         </w:t>
      </w:r>
      <w:r>
        <w:rPr>
          <w:rtl/>
        </w:rPr>
        <w:t>إلى 42 في المائة عام 2006). لكن اللجنة أشارت إلى وجود شيء من مقاومة التغيير في هذا المجال لدى الفتيات وأهاليهن، الذين يعطون ا</w:t>
      </w:r>
      <w:r w:rsidR="00085DDF">
        <w:rPr>
          <w:rtl/>
        </w:rPr>
        <w:t>لأولوية لقطاعات تعتبر أكثر "ملا</w:t>
      </w:r>
      <w:r w:rsidR="00085DDF">
        <w:rPr>
          <w:rFonts w:hint="cs"/>
          <w:rtl/>
        </w:rPr>
        <w:t>ء</w:t>
      </w:r>
      <w:r>
        <w:rPr>
          <w:rtl/>
        </w:rPr>
        <w:t xml:space="preserve">مة" للفتيات. وطلبت اللجنة من الحكومة تزويدها بمعلومات مفصلة </w:t>
      </w:r>
      <w:r w:rsidR="00085DDF">
        <w:rPr>
          <w:rFonts w:hint="cs"/>
          <w:rtl/>
        </w:rPr>
        <w:t xml:space="preserve">عن </w:t>
      </w:r>
      <w:r>
        <w:rPr>
          <w:rtl/>
        </w:rPr>
        <w:t xml:space="preserve">التدابير التي اتخذتها أو تنوي اتخاذها لمكافحة التصرفات القائمة على القوالب النمطية التي تحدّ من مشاركة المرأة في دورات التدريب التقليدية، وتعزيز وصولها إلى مجموعة أوسع من فرص التدريب. </w:t>
      </w:r>
      <w:r w:rsidR="004E01B2">
        <w:rPr>
          <w:rFonts w:hint="cs"/>
          <w:rtl/>
        </w:rPr>
        <w:t>و</w:t>
      </w:r>
      <w:r>
        <w:rPr>
          <w:rtl/>
        </w:rPr>
        <w:t xml:space="preserve">بالإضافة إلى ذلك، </w:t>
      </w:r>
      <w:r w:rsidR="00C46CEA">
        <w:rPr>
          <w:rFonts w:hint="cs"/>
          <w:rtl/>
        </w:rPr>
        <w:t xml:space="preserve">أحاطت </w:t>
      </w:r>
      <w:r>
        <w:rPr>
          <w:rtl/>
        </w:rPr>
        <w:t xml:space="preserve">اللجنة علماً بوجود البرنامج الوطني لتعليم الكبار وبإدخال أحكام في الاتفاقات الجماعية القطاعية، تراعي إتاحة تعليم الكبار للعاملين، وتطلب من </w:t>
      </w:r>
      <w:r w:rsidR="004E01B2">
        <w:rPr>
          <w:rFonts w:hint="cs"/>
          <w:rtl/>
        </w:rPr>
        <w:t xml:space="preserve">أصحاب </w:t>
      </w:r>
      <w:r>
        <w:rPr>
          <w:rtl/>
        </w:rPr>
        <w:t>العم</w:t>
      </w:r>
      <w:r w:rsidR="00390C35">
        <w:rPr>
          <w:rFonts w:hint="cs"/>
          <w:rtl/>
        </w:rPr>
        <w:t>ا</w:t>
      </w:r>
      <w:r>
        <w:rPr>
          <w:rtl/>
        </w:rPr>
        <w:t xml:space="preserve">ل منح العاملين الأميين الوقت الكافي لحضور دورات تعليم الكبار. </w:t>
      </w:r>
    </w:p>
    <w:p w:rsidR="00A152CA" w:rsidRDefault="00390C35" w:rsidP="001178CA">
      <w:pPr>
        <w:pStyle w:val="H1GA"/>
        <w:rPr>
          <w:rtl/>
        </w:rPr>
      </w:pPr>
      <w:r>
        <w:rPr>
          <w:rFonts w:hint="cs"/>
          <w:rtl/>
        </w:rPr>
        <w:tab/>
      </w:r>
      <w:r>
        <w:rPr>
          <w:rFonts w:hint="cs"/>
          <w:rtl/>
        </w:rPr>
        <w:tab/>
      </w:r>
      <w:r w:rsidR="00A152CA">
        <w:rPr>
          <w:rtl/>
        </w:rPr>
        <w:t>أوغندا</w:t>
      </w:r>
    </w:p>
    <w:p w:rsidR="00A152CA" w:rsidRDefault="00A152CA" w:rsidP="001178CA">
      <w:pPr>
        <w:pStyle w:val="SingleTxtGA"/>
        <w:rPr>
          <w:rtl/>
        </w:rPr>
      </w:pPr>
      <w:r>
        <w:rPr>
          <w:rtl/>
        </w:rPr>
        <w:t>50-</w:t>
      </w:r>
      <w:r>
        <w:rPr>
          <w:rtl/>
        </w:rPr>
        <w:tab/>
        <w:t>من بين اتفاقيات منظمة العمل الدولية ذات ال</w:t>
      </w:r>
      <w:r w:rsidR="00B87F35">
        <w:rPr>
          <w:rtl/>
        </w:rPr>
        <w:t>صلة، صدّقت أوغندا على الاتفاقي</w:t>
      </w:r>
      <w:r w:rsidR="001178CA">
        <w:rPr>
          <w:rFonts w:hint="cs"/>
          <w:rtl/>
        </w:rPr>
        <w:t>تين</w:t>
      </w:r>
      <w:r>
        <w:rPr>
          <w:rtl/>
        </w:rPr>
        <w:t xml:space="preserve"> </w:t>
      </w:r>
      <w:r w:rsidR="00B87F35">
        <w:rPr>
          <w:rFonts w:hint="cs"/>
          <w:rtl/>
        </w:rPr>
        <w:t xml:space="preserve">رقم </w:t>
      </w:r>
      <w:r>
        <w:rPr>
          <w:rtl/>
        </w:rPr>
        <w:t>100</w:t>
      </w:r>
      <w:r w:rsidR="00F74105">
        <w:rPr>
          <w:rtl/>
        </w:rPr>
        <w:t xml:space="preserve"> و</w:t>
      </w:r>
      <w:r>
        <w:rPr>
          <w:rtl/>
        </w:rPr>
        <w:t xml:space="preserve">111. وصدقت أيضا على الاتفاقيات </w:t>
      </w:r>
      <w:r w:rsidR="00346451">
        <w:rPr>
          <w:rFonts w:hint="cs"/>
          <w:rtl/>
        </w:rPr>
        <w:t xml:space="preserve">رقم </w:t>
      </w:r>
      <w:r>
        <w:rPr>
          <w:rtl/>
        </w:rPr>
        <w:t>29</w:t>
      </w:r>
      <w:r w:rsidR="00F74105">
        <w:rPr>
          <w:rtl/>
        </w:rPr>
        <w:t xml:space="preserve"> و</w:t>
      </w:r>
      <w:r>
        <w:rPr>
          <w:rtl/>
        </w:rPr>
        <w:t>45</w:t>
      </w:r>
      <w:r w:rsidR="00F74105">
        <w:rPr>
          <w:rtl/>
        </w:rPr>
        <w:t xml:space="preserve"> و</w:t>
      </w:r>
      <w:r>
        <w:rPr>
          <w:rtl/>
        </w:rPr>
        <w:t>87</w:t>
      </w:r>
      <w:r w:rsidR="00F74105">
        <w:rPr>
          <w:rtl/>
        </w:rPr>
        <w:t xml:space="preserve"> و</w:t>
      </w:r>
      <w:r>
        <w:rPr>
          <w:rtl/>
        </w:rPr>
        <w:t>98</w:t>
      </w:r>
      <w:r w:rsidR="00F74105">
        <w:rPr>
          <w:rtl/>
        </w:rPr>
        <w:t xml:space="preserve"> و</w:t>
      </w:r>
      <w:r>
        <w:rPr>
          <w:rtl/>
        </w:rPr>
        <w:t>105</w:t>
      </w:r>
      <w:r w:rsidR="00F74105">
        <w:rPr>
          <w:rtl/>
        </w:rPr>
        <w:t xml:space="preserve"> و</w:t>
      </w:r>
      <w:r>
        <w:rPr>
          <w:rtl/>
        </w:rPr>
        <w:t>122</w:t>
      </w:r>
      <w:r w:rsidR="00F74105">
        <w:rPr>
          <w:rtl/>
        </w:rPr>
        <w:t xml:space="preserve"> و</w:t>
      </w:r>
      <w:r>
        <w:rPr>
          <w:rtl/>
        </w:rPr>
        <w:t>138</w:t>
      </w:r>
      <w:r w:rsidR="00F74105">
        <w:rPr>
          <w:rtl/>
        </w:rPr>
        <w:t xml:space="preserve"> و</w:t>
      </w:r>
      <w:r>
        <w:rPr>
          <w:rtl/>
        </w:rPr>
        <w:t>143</w:t>
      </w:r>
      <w:r w:rsidR="00F74105">
        <w:rPr>
          <w:rtl/>
        </w:rPr>
        <w:t xml:space="preserve"> و</w:t>
      </w:r>
      <w:r>
        <w:rPr>
          <w:rtl/>
        </w:rPr>
        <w:t>182.</w:t>
      </w:r>
    </w:p>
    <w:p w:rsidR="00A152CA" w:rsidRPr="001178CA" w:rsidRDefault="00A152CA" w:rsidP="001178CA">
      <w:pPr>
        <w:pStyle w:val="SingleTxtGA"/>
        <w:rPr>
          <w:i/>
          <w:iCs/>
          <w:rtl/>
        </w:rPr>
      </w:pPr>
      <w:r w:rsidRPr="001178CA">
        <w:rPr>
          <w:i/>
          <w:iCs/>
          <w:rtl/>
        </w:rPr>
        <w:t>تعليقات هيئات الإشراف لمنظمة العمل الدولية</w:t>
      </w:r>
    </w:p>
    <w:p w:rsidR="00A152CA" w:rsidRDefault="00E92184" w:rsidP="00E92184">
      <w:pPr>
        <w:pStyle w:val="SingleTxtGA"/>
        <w:rPr>
          <w:rtl/>
        </w:rPr>
      </w:pPr>
      <w:r>
        <w:rPr>
          <w:rFonts w:hint="cs"/>
          <w:rtl/>
        </w:rPr>
        <w:t>51-</w:t>
      </w:r>
      <w:r>
        <w:rPr>
          <w:rFonts w:hint="cs"/>
          <w:rtl/>
        </w:rPr>
        <w:tab/>
      </w:r>
      <w:r w:rsidR="00A152CA">
        <w:rPr>
          <w:rtl/>
        </w:rPr>
        <w:t>التعليقات التي لم يتخذ إجراء بشأنها بعد، الصادرة عن لجنة الخبراء التابعة لمنظمة العمل الدولية والمتصلة بأحكام اتفاقية القضاء على جميع أشكال التمييز ضد المرأة، تتعلق بالاتفاقيات التالية:</w:t>
      </w:r>
    </w:p>
    <w:p w:rsidR="00A152CA" w:rsidRDefault="00E92184" w:rsidP="00E92184">
      <w:pPr>
        <w:pStyle w:val="H23GA"/>
        <w:rPr>
          <w:rtl/>
        </w:rPr>
      </w:pPr>
      <w:r>
        <w:rPr>
          <w:rFonts w:hint="cs"/>
          <w:rtl/>
        </w:rPr>
        <w:tab/>
      </w:r>
      <w:r>
        <w:rPr>
          <w:rFonts w:hint="cs"/>
          <w:rtl/>
        </w:rPr>
        <w:tab/>
      </w:r>
      <w:r w:rsidR="00A152CA">
        <w:rPr>
          <w:rtl/>
        </w:rPr>
        <w:t>الاتفاقية رقم 100</w:t>
      </w:r>
    </w:p>
    <w:p w:rsidR="00A152CA" w:rsidRDefault="00456F8A" w:rsidP="001E47CE">
      <w:pPr>
        <w:pStyle w:val="SingleTxtGA"/>
        <w:rPr>
          <w:rtl/>
        </w:rPr>
      </w:pPr>
      <w:r>
        <w:rPr>
          <w:rFonts w:hint="cs"/>
          <w:rtl/>
        </w:rPr>
        <w:t>52</w:t>
      </w:r>
      <w:r w:rsidR="00A152CA">
        <w:rPr>
          <w:rtl/>
        </w:rPr>
        <w:t>-</w:t>
      </w:r>
      <w:r w:rsidR="00A152CA">
        <w:rPr>
          <w:rtl/>
        </w:rPr>
        <w:tab/>
        <w:t>أشارت لجنة الخبراء في طلبها المباشر لعام 2009، إلى أن الفقرتين</w:t>
      </w:r>
      <w:r w:rsidR="00CA001E">
        <w:rPr>
          <w:rFonts w:hint="cs"/>
          <w:rtl/>
        </w:rPr>
        <w:t xml:space="preserve"> </w:t>
      </w:r>
      <w:r w:rsidR="007C202F">
        <w:rPr>
          <w:rFonts w:hint="cs"/>
          <w:rtl/>
        </w:rPr>
        <w:t>(6)</w:t>
      </w:r>
      <w:r w:rsidR="00A152CA">
        <w:rPr>
          <w:rtl/>
        </w:rPr>
        <w:t xml:space="preserve"> و</w:t>
      </w:r>
      <w:r w:rsidR="007C202F">
        <w:rPr>
          <w:rFonts w:hint="cs"/>
          <w:rtl/>
        </w:rPr>
        <w:t>(</w:t>
      </w:r>
      <w:r w:rsidR="00A152CA">
        <w:rPr>
          <w:rtl/>
        </w:rPr>
        <w:t>7</w:t>
      </w:r>
      <w:r w:rsidR="007C202F">
        <w:rPr>
          <w:rFonts w:hint="cs"/>
          <w:rtl/>
        </w:rPr>
        <w:t>)</w:t>
      </w:r>
      <w:r w:rsidR="00A152CA">
        <w:rPr>
          <w:rtl/>
        </w:rPr>
        <w:t xml:space="preserve"> من </w:t>
      </w:r>
      <w:r w:rsidR="00CA001E">
        <w:rPr>
          <w:rFonts w:hint="cs"/>
          <w:rtl/>
        </w:rPr>
        <w:t>المادة</w:t>
      </w:r>
      <w:r w:rsidR="00A152CA">
        <w:rPr>
          <w:rtl/>
        </w:rPr>
        <w:t xml:space="preserve"> 6 من قانون </w:t>
      </w:r>
      <w:r w:rsidR="00226AAF">
        <w:rPr>
          <w:rFonts w:hint="cs"/>
          <w:rtl/>
        </w:rPr>
        <w:t xml:space="preserve">الاستخدام </w:t>
      </w:r>
      <w:r w:rsidR="005948AF">
        <w:rPr>
          <w:rtl/>
        </w:rPr>
        <w:t xml:space="preserve">لعام 2006، </w:t>
      </w:r>
      <w:r w:rsidR="005948AF">
        <w:rPr>
          <w:rFonts w:hint="cs"/>
          <w:rtl/>
        </w:rPr>
        <w:t>ت</w:t>
      </w:r>
      <w:r w:rsidR="00A152CA">
        <w:rPr>
          <w:rtl/>
        </w:rPr>
        <w:t xml:space="preserve">تضمنان إشارة واضحة لمبدأ الأجر المتساوي للرجال والنساء الذين يؤدون عملاً ذا قيمة متساوية. وتنص الفقرة </w:t>
      </w:r>
      <w:r w:rsidR="00BA463B">
        <w:rPr>
          <w:rFonts w:hint="cs"/>
          <w:rtl/>
        </w:rPr>
        <w:t>(</w:t>
      </w:r>
      <w:r w:rsidR="00A152CA">
        <w:rPr>
          <w:rtl/>
        </w:rPr>
        <w:t>6</w:t>
      </w:r>
      <w:r w:rsidR="00BA463B">
        <w:rPr>
          <w:rFonts w:hint="cs"/>
          <w:rtl/>
        </w:rPr>
        <w:t>)</w:t>
      </w:r>
      <w:r w:rsidR="00A152CA">
        <w:rPr>
          <w:rtl/>
        </w:rPr>
        <w:t xml:space="preserve"> من </w:t>
      </w:r>
      <w:r w:rsidR="00107574">
        <w:rPr>
          <w:rFonts w:hint="cs"/>
          <w:rtl/>
        </w:rPr>
        <w:t xml:space="preserve">المادة </w:t>
      </w:r>
      <w:r w:rsidR="00BA463B">
        <w:rPr>
          <w:rFonts w:hint="cs"/>
          <w:rtl/>
        </w:rPr>
        <w:t>6</w:t>
      </w:r>
      <w:r w:rsidR="00A152CA">
        <w:rPr>
          <w:rtl/>
        </w:rPr>
        <w:t xml:space="preserve"> على أن تسعى وزارة الشؤون الجنسانية والعمل والتنمية الاجتماعية، والمجلس الاستشاري للعمل، في إطار أداء واجباته</w:t>
      </w:r>
      <w:r w:rsidR="001178CA">
        <w:rPr>
          <w:rFonts w:hint="cs"/>
          <w:rtl/>
        </w:rPr>
        <w:t>م</w:t>
      </w:r>
      <w:r w:rsidR="00A152CA">
        <w:rPr>
          <w:rtl/>
        </w:rPr>
        <w:t xml:space="preserve">ا، إلى إعمال مبدأ " الأجر المتساوي للرجال والنساء الذين يؤدون عملاً ذا قيمة متساوية"، في حين تنص الفقرة 7 من </w:t>
      </w:r>
      <w:r w:rsidR="001E47CE">
        <w:rPr>
          <w:rFonts w:hint="cs"/>
          <w:rtl/>
        </w:rPr>
        <w:t xml:space="preserve">المادة </w:t>
      </w:r>
      <w:r w:rsidR="00A152CA">
        <w:rPr>
          <w:rtl/>
        </w:rPr>
        <w:t xml:space="preserve">6 على أن "يدفع </w:t>
      </w:r>
      <w:r w:rsidR="00AC6C35">
        <w:rPr>
          <w:rFonts w:hint="cs"/>
          <w:rtl/>
        </w:rPr>
        <w:t>صاحب</w:t>
      </w:r>
      <w:r w:rsidR="00A152CA">
        <w:rPr>
          <w:rtl/>
        </w:rPr>
        <w:t xml:space="preserve"> العمل للرجال والنساء أجراً متساوياً لعمل ذي قيمة متساوية". </w:t>
      </w:r>
    </w:p>
    <w:p w:rsidR="00A152CA" w:rsidRDefault="002E4370" w:rsidP="009B47A4">
      <w:pPr>
        <w:pStyle w:val="SingleTxtGA"/>
        <w:rPr>
          <w:rtl/>
        </w:rPr>
      </w:pPr>
      <w:r>
        <w:rPr>
          <w:rFonts w:hint="cs"/>
          <w:rtl/>
        </w:rPr>
        <w:t>53</w:t>
      </w:r>
      <w:r w:rsidR="00A152CA">
        <w:rPr>
          <w:rtl/>
        </w:rPr>
        <w:t>-</w:t>
      </w:r>
      <w:r w:rsidR="00A152CA">
        <w:rPr>
          <w:rtl/>
        </w:rPr>
        <w:tab/>
        <w:t xml:space="preserve">وأشارت اللجنة إلى وجود فوارق، في الممارسة، بين أجور النساء والرجال في القطاعين العام والخاص، على الرغم من أن الأجور تحدّد عادة على أساس خبرة العمال ومستواهم العلمي والمهارات المطلوبة للوظيفة، بغض النظر عن </w:t>
      </w:r>
      <w:r>
        <w:rPr>
          <w:rFonts w:hint="cs"/>
          <w:rtl/>
        </w:rPr>
        <w:t xml:space="preserve">نوع </w:t>
      </w:r>
      <w:r w:rsidR="00A152CA">
        <w:rPr>
          <w:rtl/>
        </w:rPr>
        <w:t>الجنس. وأشارت اللجنة إلى أن الدراسة الاستقصائية الوطنية للأسر المعيشية في أوغندا</w:t>
      </w:r>
      <w:r w:rsidR="00204F73">
        <w:rPr>
          <w:rFonts w:hint="cs"/>
          <w:rtl/>
        </w:rPr>
        <w:t xml:space="preserve"> للفترة</w:t>
      </w:r>
      <w:r w:rsidR="00A152CA">
        <w:rPr>
          <w:rtl/>
        </w:rPr>
        <w:t xml:space="preserve"> 2005</w:t>
      </w:r>
      <w:r w:rsidR="00EC4EB9">
        <w:rPr>
          <w:rFonts w:hint="cs"/>
          <w:rtl/>
        </w:rPr>
        <w:t>-</w:t>
      </w:r>
      <w:r w:rsidR="00A152CA">
        <w:rPr>
          <w:rtl/>
        </w:rPr>
        <w:t xml:space="preserve">2006، أظهرت أن الفوارق في الأجور </w:t>
      </w:r>
      <w:r w:rsidR="00E11BAF">
        <w:rPr>
          <w:rFonts w:hint="cs"/>
          <w:rtl/>
        </w:rPr>
        <w:t xml:space="preserve">بين الجنسين </w:t>
      </w:r>
      <w:r w:rsidR="00A152CA">
        <w:rPr>
          <w:rtl/>
        </w:rPr>
        <w:t xml:space="preserve">هي أوسع نطاقاً في القطاع الخاص، حيث تصل أجور الرجال إلى ضعف أجور النساء. وأظهر المصدر نفسه أن النساء يتركزن في قطاع الزراعة (79.1 في المائة من النساء يعملن في هذا القطاع) حيث الأجور أقل من أجور القطاعات الأخرى وحيث </w:t>
      </w:r>
      <w:r w:rsidR="004E1961">
        <w:rPr>
          <w:rFonts w:hint="cs"/>
          <w:rtl/>
        </w:rPr>
        <w:t>ت</w:t>
      </w:r>
      <w:r w:rsidR="00A152CA">
        <w:rPr>
          <w:rtl/>
        </w:rPr>
        <w:t xml:space="preserve">صل أجور </w:t>
      </w:r>
      <w:r w:rsidR="004E1961">
        <w:rPr>
          <w:rFonts w:hint="cs"/>
          <w:rtl/>
        </w:rPr>
        <w:t>ا</w:t>
      </w:r>
      <w:r w:rsidR="00A152CA">
        <w:rPr>
          <w:rtl/>
        </w:rPr>
        <w:t xml:space="preserve">لنساء إلى 50 في المائة فقط من </w:t>
      </w:r>
      <w:r w:rsidR="004E1961">
        <w:rPr>
          <w:rFonts w:hint="cs"/>
          <w:rtl/>
        </w:rPr>
        <w:t>أجور ا</w:t>
      </w:r>
      <w:r w:rsidR="00A152CA">
        <w:rPr>
          <w:rtl/>
        </w:rPr>
        <w:t xml:space="preserve">لرجال. وطلبت اللجنة من الحكومة تزويدها بمعلومات </w:t>
      </w:r>
      <w:r w:rsidR="002F386C">
        <w:rPr>
          <w:rFonts w:hint="cs"/>
          <w:rtl/>
        </w:rPr>
        <w:t xml:space="preserve">عن </w:t>
      </w:r>
      <w:r w:rsidR="00A152CA">
        <w:rPr>
          <w:rtl/>
        </w:rPr>
        <w:t xml:space="preserve">أي تدابير اتخذتها أو تنوي اتخاذها لتقليص الفوارق في الأجور القائمة على </w:t>
      </w:r>
      <w:r w:rsidR="002F386C">
        <w:rPr>
          <w:rFonts w:hint="cs"/>
          <w:rtl/>
        </w:rPr>
        <w:t xml:space="preserve">نوع الجنس </w:t>
      </w:r>
      <w:r w:rsidR="00A152CA">
        <w:rPr>
          <w:rtl/>
        </w:rPr>
        <w:t xml:space="preserve">ومعالجة أسبابها، بما في ذلك معلومات </w:t>
      </w:r>
      <w:r w:rsidR="00C75B79">
        <w:rPr>
          <w:rFonts w:hint="cs"/>
          <w:rtl/>
        </w:rPr>
        <w:t xml:space="preserve">عن </w:t>
      </w:r>
      <w:r w:rsidR="00A152CA">
        <w:rPr>
          <w:rtl/>
        </w:rPr>
        <w:t xml:space="preserve">أية تدابير اتخذت للقضاء على الفصل </w:t>
      </w:r>
      <w:r w:rsidR="002C1C24">
        <w:rPr>
          <w:rFonts w:hint="cs"/>
          <w:rtl/>
        </w:rPr>
        <w:t xml:space="preserve">الجاري </w:t>
      </w:r>
      <w:r w:rsidR="00A152CA">
        <w:rPr>
          <w:rtl/>
        </w:rPr>
        <w:t>بين الجنسين في المهن في سوق العمل.</w:t>
      </w:r>
      <w:r w:rsidR="00BE0A50">
        <w:rPr>
          <w:rtl/>
        </w:rPr>
        <w:t xml:space="preserve"> </w:t>
      </w:r>
    </w:p>
    <w:p w:rsidR="00A152CA" w:rsidRDefault="00212800" w:rsidP="00212800">
      <w:pPr>
        <w:pStyle w:val="H23GA"/>
        <w:rPr>
          <w:rtl/>
        </w:rPr>
      </w:pPr>
      <w:r>
        <w:rPr>
          <w:rFonts w:hint="cs"/>
          <w:rtl/>
        </w:rPr>
        <w:tab/>
      </w:r>
      <w:r>
        <w:rPr>
          <w:rFonts w:hint="cs"/>
          <w:rtl/>
        </w:rPr>
        <w:tab/>
      </w:r>
      <w:r w:rsidR="00A152CA">
        <w:rPr>
          <w:rtl/>
        </w:rPr>
        <w:t>الاتفاقية رقم 111</w:t>
      </w:r>
    </w:p>
    <w:p w:rsidR="00A152CA" w:rsidRDefault="000C75B3" w:rsidP="00D60227">
      <w:pPr>
        <w:pStyle w:val="SingleTxtGA"/>
        <w:rPr>
          <w:rFonts w:hint="cs"/>
          <w:rtl/>
        </w:rPr>
      </w:pPr>
      <w:r>
        <w:rPr>
          <w:rFonts w:hint="cs"/>
          <w:rtl/>
        </w:rPr>
        <w:t>54</w:t>
      </w:r>
      <w:r w:rsidR="00A152CA">
        <w:rPr>
          <w:rtl/>
        </w:rPr>
        <w:t>-</w:t>
      </w:r>
      <w:r w:rsidR="00A152CA">
        <w:rPr>
          <w:rtl/>
        </w:rPr>
        <w:tab/>
        <w:t xml:space="preserve">أشارت لجنة الخبراء في طلبها المباشر لعام 2009، إلى أن أغلبية السكان تعمل في قطاع الزراعة. كما أشارت اللجنة إلى وجود عدم </w:t>
      </w:r>
      <w:r w:rsidR="002D5337">
        <w:rPr>
          <w:rFonts w:hint="cs"/>
          <w:rtl/>
        </w:rPr>
        <w:t xml:space="preserve">مساواة واضحة </w:t>
      </w:r>
      <w:r w:rsidR="00A152CA">
        <w:rPr>
          <w:rtl/>
        </w:rPr>
        <w:t xml:space="preserve">بين الجنسين في ما </w:t>
      </w:r>
      <w:r w:rsidR="002B0C7E">
        <w:rPr>
          <w:rFonts w:hint="cs"/>
          <w:rtl/>
        </w:rPr>
        <w:t xml:space="preserve">يتصل </w:t>
      </w:r>
      <w:r w:rsidR="00A152CA">
        <w:rPr>
          <w:rtl/>
        </w:rPr>
        <w:t xml:space="preserve">بملكية الأرض والسيطرة عليها، وذلك بسبب التقاليد والأعراف </w:t>
      </w:r>
      <w:r w:rsidR="002469FC">
        <w:rPr>
          <w:rFonts w:hint="cs"/>
          <w:rtl/>
        </w:rPr>
        <w:t xml:space="preserve">التمييزية </w:t>
      </w:r>
      <w:r w:rsidR="00A152CA">
        <w:rPr>
          <w:rtl/>
        </w:rPr>
        <w:t>التي قد تؤثر على قدرة النساء على ممارسة أنشطة اقتصادية. وذكّرت اللجنة بضرورة تعزيز وضمان المساواة في الفرص والمعاملة، ليس في مجال التوظيف فحسب، بل كذلك في ما يتعلق بالوصول إلى مهن محددة، وطلبت من الحكومة إبلاغها بالتدابير المتخذة أو المزمع اتخاذها للقضاء، بشكل مباشر أو غير مباشر، على ممارسات التمييز التي تعاني منها النساء على وجه الخصوص</w:t>
      </w:r>
      <w:r w:rsidR="00D60227">
        <w:rPr>
          <w:rFonts w:hint="cs"/>
          <w:rtl/>
        </w:rPr>
        <w:t xml:space="preserve"> في فرص الالتحاق بالمهن</w:t>
      </w:r>
      <w:r w:rsidR="00A152CA">
        <w:rPr>
          <w:rtl/>
        </w:rPr>
        <w:t xml:space="preserve">. </w:t>
      </w:r>
    </w:p>
    <w:p w:rsidR="00E708AC" w:rsidRPr="00FE39A8" w:rsidRDefault="00FE39A8" w:rsidP="00FE39A8">
      <w:pPr>
        <w:spacing w:before="120"/>
        <w:jc w:val="center"/>
        <w:rPr>
          <w:rFonts w:hint="cs"/>
          <w:u w:val="single"/>
          <w:rtl/>
        </w:rPr>
      </w:pPr>
      <w:r>
        <w:rPr>
          <w:u w:val="single"/>
          <w:rtl/>
        </w:rPr>
        <w:tab/>
      </w:r>
      <w:r>
        <w:rPr>
          <w:u w:val="single"/>
          <w:rtl/>
        </w:rPr>
        <w:tab/>
      </w:r>
      <w:r>
        <w:rPr>
          <w:u w:val="single"/>
          <w:rtl/>
        </w:rPr>
        <w:tab/>
      </w:r>
    </w:p>
    <w:sectPr w:rsidR="00E708AC" w:rsidRPr="00FE39A8" w:rsidSect="00715F45">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98C" w:rsidRPr="00FE6865" w:rsidRDefault="00F1598C" w:rsidP="00FE6865">
      <w:pPr>
        <w:pStyle w:val="Footer"/>
      </w:pPr>
    </w:p>
  </w:endnote>
  <w:endnote w:type="continuationSeparator" w:id="0">
    <w:p w:rsidR="00F1598C" w:rsidRDefault="00F15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4B0" w:rsidRPr="000B70AA" w:rsidRDefault="00BD54B0" w:rsidP="000B70AA">
    <w:pPr>
      <w:pStyle w:val="Footer"/>
      <w:tabs>
        <w:tab w:val="right" w:pos="9598"/>
      </w:tabs>
    </w:pPr>
    <w:r>
      <w:t>GE.10-44346</w:t>
    </w:r>
    <w:r>
      <w:tab/>
    </w:r>
    <w:r w:rsidRPr="000B70AA">
      <w:rPr>
        <w:b/>
        <w:sz w:val="18"/>
      </w:rPr>
      <w:fldChar w:fldCharType="begin"/>
    </w:r>
    <w:r w:rsidRPr="000B70AA">
      <w:rPr>
        <w:b/>
        <w:sz w:val="18"/>
      </w:rPr>
      <w:instrText xml:space="preserve"> PAGE  \* MERGEFORMAT </w:instrText>
    </w:r>
    <w:r w:rsidRPr="000B70AA">
      <w:rPr>
        <w:b/>
        <w:sz w:val="18"/>
      </w:rPr>
      <w:fldChar w:fldCharType="separate"/>
    </w:r>
    <w:r w:rsidR="0058086C">
      <w:rPr>
        <w:b/>
        <w:noProof/>
        <w:sz w:val="18"/>
      </w:rPr>
      <w:t>16</w:t>
    </w:r>
    <w:r w:rsidRPr="000B70AA">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4B0" w:rsidRPr="000B70AA" w:rsidRDefault="00BD54B0" w:rsidP="000B70AA">
    <w:pPr>
      <w:pStyle w:val="Footer"/>
      <w:tabs>
        <w:tab w:val="right" w:pos="9598"/>
      </w:tabs>
      <w:rPr>
        <w:b/>
        <w:sz w:val="18"/>
      </w:rPr>
    </w:pPr>
    <w:r w:rsidRPr="000B70AA">
      <w:rPr>
        <w:b/>
        <w:sz w:val="18"/>
      </w:rPr>
      <w:fldChar w:fldCharType="begin"/>
    </w:r>
    <w:r w:rsidRPr="000B70AA">
      <w:rPr>
        <w:b/>
        <w:sz w:val="18"/>
      </w:rPr>
      <w:instrText xml:space="preserve"> PAGE  \* MERGEFORMAT </w:instrText>
    </w:r>
    <w:r w:rsidRPr="000B70AA">
      <w:rPr>
        <w:b/>
        <w:sz w:val="18"/>
      </w:rPr>
      <w:fldChar w:fldCharType="separate"/>
    </w:r>
    <w:r w:rsidR="0058086C">
      <w:rPr>
        <w:b/>
        <w:noProof/>
        <w:sz w:val="18"/>
      </w:rPr>
      <w:t>17</w:t>
    </w:r>
    <w:r w:rsidRPr="000B70AA">
      <w:rPr>
        <w:b/>
        <w:sz w:val="18"/>
      </w:rPr>
      <w:fldChar w:fldCharType="end"/>
    </w:r>
    <w:r>
      <w:rPr>
        <w:b/>
        <w:sz w:val="18"/>
      </w:rPr>
      <w:tab/>
    </w:r>
    <w:r>
      <w:t>GE.10-44346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4B0" w:rsidRDefault="00BD54B0" w:rsidP="003D2089">
    <w:pPr>
      <w:pStyle w:val="Footer"/>
      <w:jc w:val="right"/>
    </w:pPr>
    <w:r>
      <w:rPr>
        <w:sz w:val="20"/>
      </w:rPr>
      <w:t>(A)    GE.10-4434</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91.5pt;height:25.5pt;z-index:-2;mso-position-horizontal-relative:text;mso-position-vertical-relative:text" wrapcoords="-177 0 -177 20965 21600 20965 21600 0 -177 0" o:allowincell="f">
          <v:imagedata r:id="rId1" o:title="PleaseRecycleArabic"/>
          <w10:wrap type="tight"/>
          <w10:anchorlock/>
        </v:shape>
      </w:pict>
    </w:r>
    <w:r>
      <w:rPr>
        <w:sz w:val="20"/>
      </w:rPr>
      <w:t>6    071010    081010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98C" w:rsidRDefault="00F1598C" w:rsidP="00834FF4">
      <w:pPr>
        <w:pStyle w:val="Footer"/>
        <w:bidi/>
        <w:spacing w:after="80" w:line="200" w:lineRule="exact"/>
        <w:ind w:left="680"/>
      </w:pPr>
      <w:r>
        <w:rPr>
          <w:rFonts w:hint="cs"/>
          <w:rtl/>
        </w:rPr>
        <w:t>__________</w:t>
      </w:r>
    </w:p>
  </w:footnote>
  <w:footnote w:type="continuationSeparator" w:id="0">
    <w:p w:rsidR="00F1598C" w:rsidRDefault="00F1598C" w:rsidP="00834FF4">
      <w:pPr>
        <w:pStyle w:val="Footer"/>
        <w:bidi/>
        <w:spacing w:after="80" w:line="200" w:lineRule="exact"/>
        <w:ind w:left="680"/>
      </w:pPr>
      <w:r>
        <w:rPr>
          <w:rFonts w:hint="cs"/>
          <w:rtl/>
        </w:rPr>
        <w:t>__________</w:t>
      </w:r>
    </w:p>
  </w:footnote>
  <w:footnote w:id="1">
    <w:p w:rsidR="00BD54B0" w:rsidRPr="00870CB6" w:rsidRDefault="00BD54B0" w:rsidP="000E5C82">
      <w:pPr>
        <w:pStyle w:val="footnoteText0"/>
        <w:rPr>
          <w:rFonts w:hint="cs"/>
          <w:rtl/>
        </w:rPr>
      </w:pPr>
      <w:r>
        <w:rPr>
          <w:rtl/>
        </w:rPr>
        <w:tab/>
      </w:r>
      <w:r w:rsidRPr="00870CB6">
        <w:rPr>
          <w:rStyle w:val="FootnoteReference"/>
          <w:sz w:val="20"/>
          <w:vertAlign w:val="baseline"/>
          <w:rtl/>
        </w:rPr>
        <w:t>*</w:t>
      </w:r>
      <w:r>
        <w:rPr>
          <w:rtl/>
        </w:rPr>
        <w:tab/>
      </w:r>
      <w:r>
        <w:t>CEDAW/C/2010/47/1</w:t>
      </w:r>
      <w:r>
        <w:rPr>
          <w:rtl/>
        </w:rPr>
        <w:t>.</w:t>
      </w:r>
    </w:p>
  </w:footnote>
  <w:footnote w:id="2">
    <w:p w:rsidR="00BD54B0" w:rsidRPr="00A061BE" w:rsidRDefault="00BD54B0" w:rsidP="00A061BE">
      <w:pPr>
        <w:pStyle w:val="footnoteText0"/>
        <w:rPr>
          <w:rFonts w:hint="cs"/>
          <w:rtl/>
        </w:rPr>
      </w:pPr>
      <w:r>
        <w:rPr>
          <w:rtl/>
        </w:rPr>
        <w:tab/>
      </w:r>
      <w:r w:rsidRPr="00A061BE">
        <w:rPr>
          <w:rStyle w:val="FootnoteReference"/>
          <w:sz w:val="20"/>
          <w:vertAlign w:val="baseline"/>
          <w:rtl/>
        </w:rPr>
        <w:t>**</w:t>
      </w:r>
      <w:r>
        <w:rPr>
          <w:rtl/>
        </w:rPr>
        <w:tab/>
      </w:r>
      <w:r>
        <w:rPr>
          <w:rFonts w:hint="cs"/>
          <w:rtl/>
        </w:rPr>
        <w:t>تأخر تقديم هذه الوثيقة بسبب التأخير في ورود مدخلات من مصادر أخرى.</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4B0" w:rsidRPr="000B70AA" w:rsidRDefault="00BD54B0" w:rsidP="000B70AA">
    <w:pPr>
      <w:pStyle w:val="Header"/>
      <w:jc w:val="right"/>
    </w:pPr>
    <w:r w:rsidRPr="000B70AA">
      <w:t>CEDAW/C/2010/47/3/Add.4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4B0" w:rsidRPr="000B70AA" w:rsidRDefault="00BD54B0" w:rsidP="000B70AA">
    <w:pPr>
      <w:pStyle w:val="Header"/>
      <w:jc w:val="left"/>
    </w:pPr>
    <w:r w:rsidRPr="000B70AA">
      <w:t>CEDAW/C/2010/47/3/Add.4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4B0" w:rsidRDefault="00BD54B0" w:rsidP="005B46D9">
    <w:pPr>
      <w:pStyle w:val="Header"/>
      <w:pBdr>
        <w:bottom w:val="none" w:sz="0" w:space="0" w:color="auto"/>
      </w:pBdr>
    </w:pPr>
    <w:r>
      <w:rPr>
        <w:noProof/>
      </w:rPr>
      <w:pict>
        <v:shapetype id="_x0000_t202" coordsize="21600,21600" o:spt="202" path="m,l,21600r21600,l21600,xe">
          <v:stroke joinstyle="miter"/>
          <v:path gradientshapeok="t" o:connecttype="rect"/>
        </v:shapetype>
        <v:shape id="_x0000_s2053" type="#_x0000_t202" style="position:absolute;left:0;text-align:left;margin-left:189pt;margin-top:19.35pt;width:234pt;height:97.65pt;z-index:2" o:allowincell="f" filled="f" stroked="f">
          <v:textbox inset="0,0,2mm,0">
            <w:txbxContent>
              <w:p w:rsidR="00BD54B0" w:rsidRPr="00460CB7" w:rsidRDefault="00BD54B0" w:rsidP="00460CB7">
                <w:pPr>
                  <w:spacing w:line="700" w:lineRule="exact"/>
                  <w:jc w:val="left"/>
                  <w:rPr>
                    <w:rFonts w:hint="cs"/>
                    <w:b/>
                    <w:bCs/>
                    <w:sz w:val="52"/>
                    <w:szCs w:val="52"/>
                  </w:rPr>
                </w:pPr>
                <w:r w:rsidRPr="00460CB7">
                  <w:rPr>
                    <w:rFonts w:hint="cs"/>
                    <w:b/>
                    <w:bCs/>
                    <w:sz w:val="52"/>
                    <w:szCs w:val="52"/>
                    <w:rtl/>
                  </w:rPr>
                  <w:t>اتفاقية القضاء على جميع أشكال التمييز ضد المرأة</w:t>
                </w:r>
              </w:p>
            </w:txbxContent>
          </v:textbox>
          <w10:wrap anchorx="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C6ECC0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DACB9B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42011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E269330"/>
    <w:lvl w:ilvl="0">
      <w:start w:val="1"/>
      <w:numFmt w:val="decimal"/>
      <w:pStyle w:val="ListNumber2"/>
      <w:lvlText w:val="%1."/>
      <w:lvlJc w:val="left"/>
      <w:pPr>
        <w:tabs>
          <w:tab w:val="num" w:pos="720"/>
        </w:tabs>
        <w:ind w:left="720" w:hanging="360"/>
      </w:pPr>
    </w:lvl>
  </w:abstractNum>
  <w:abstractNum w:abstractNumId="4">
    <w:nsid w:val="FFFFFF80"/>
    <w:multiLevelType w:val="singleLevel"/>
    <w:tmpl w:val="1464BF6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24AC01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44855D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414CA3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F48B404"/>
    <w:lvl w:ilvl="0">
      <w:start w:val="1"/>
      <w:numFmt w:val="decimal"/>
      <w:pStyle w:val="ListNumber"/>
      <w:lvlText w:val="%1."/>
      <w:lvlJc w:val="left"/>
      <w:pPr>
        <w:tabs>
          <w:tab w:val="num" w:pos="360"/>
        </w:tabs>
        <w:ind w:left="360" w:hanging="360"/>
      </w:pPr>
    </w:lvl>
  </w:abstractNum>
  <w:abstractNum w:abstractNumId="9">
    <w:nsid w:val="FFFFFF89"/>
    <w:multiLevelType w:val="singleLevel"/>
    <w:tmpl w:val="A67430B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12">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2F6335A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6">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12"/>
  </w:num>
  <w:num w:numId="2">
    <w:abstractNumId w:val="16"/>
  </w:num>
  <w:num w:numId="3">
    <w:abstractNumId w:val="14"/>
  </w:num>
  <w:num w:numId="4">
    <w:abstractNumId w:val="11"/>
  </w:num>
  <w:num w:numId="5">
    <w:abstractNumId w:val="17"/>
  </w:num>
  <w:num w:numId="6">
    <w:abstractNumId w:val="15"/>
  </w:num>
  <w:num w:numId="7">
    <w:abstractNumId w:val="1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activeWritingStyle w:appName="MSWord" w:lang="ar-SA" w:vendorID="4" w:dllVersion="512" w:checkStyle="0"/>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Moves/>
  <w:defaultTabStop w:val="567"/>
  <w:evenAndOddHeaders/>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F560A"/>
    <w:rsid w:val="00017456"/>
    <w:rsid w:val="00027E66"/>
    <w:rsid w:val="00040E25"/>
    <w:rsid w:val="00042149"/>
    <w:rsid w:val="00043802"/>
    <w:rsid w:val="000448E5"/>
    <w:rsid w:val="000648EA"/>
    <w:rsid w:val="00066EC8"/>
    <w:rsid w:val="00075009"/>
    <w:rsid w:val="00085DDF"/>
    <w:rsid w:val="00094EE2"/>
    <w:rsid w:val="000957C8"/>
    <w:rsid w:val="00095EE6"/>
    <w:rsid w:val="00097049"/>
    <w:rsid w:val="000A04D5"/>
    <w:rsid w:val="000A3B77"/>
    <w:rsid w:val="000B52F2"/>
    <w:rsid w:val="000B70AA"/>
    <w:rsid w:val="000C2DCA"/>
    <w:rsid w:val="000C75B3"/>
    <w:rsid w:val="000D0EAE"/>
    <w:rsid w:val="000D1EE8"/>
    <w:rsid w:val="000D5380"/>
    <w:rsid w:val="000D6654"/>
    <w:rsid w:val="000E0687"/>
    <w:rsid w:val="000E103D"/>
    <w:rsid w:val="000E2B5B"/>
    <w:rsid w:val="000E5C82"/>
    <w:rsid w:val="000F0264"/>
    <w:rsid w:val="000F2EBF"/>
    <w:rsid w:val="000F3A9F"/>
    <w:rsid w:val="000F5FF6"/>
    <w:rsid w:val="00100FA2"/>
    <w:rsid w:val="001022B5"/>
    <w:rsid w:val="001031CB"/>
    <w:rsid w:val="00107574"/>
    <w:rsid w:val="0011175A"/>
    <w:rsid w:val="00113FA5"/>
    <w:rsid w:val="001178CA"/>
    <w:rsid w:val="001455A0"/>
    <w:rsid w:val="001522CE"/>
    <w:rsid w:val="001602A3"/>
    <w:rsid w:val="0018482E"/>
    <w:rsid w:val="001868F6"/>
    <w:rsid w:val="00186B9E"/>
    <w:rsid w:val="001905A7"/>
    <w:rsid w:val="00190919"/>
    <w:rsid w:val="00191EBC"/>
    <w:rsid w:val="001952D1"/>
    <w:rsid w:val="001A5161"/>
    <w:rsid w:val="001A60BD"/>
    <w:rsid w:val="001B144B"/>
    <w:rsid w:val="001C500D"/>
    <w:rsid w:val="001D40C1"/>
    <w:rsid w:val="001D5785"/>
    <w:rsid w:val="001D7228"/>
    <w:rsid w:val="001E47CE"/>
    <w:rsid w:val="001E714A"/>
    <w:rsid w:val="00204378"/>
    <w:rsid w:val="00204F73"/>
    <w:rsid w:val="00212177"/>
    <w:rsid w:val="00212800"/>
    <w:rsid w:val="00221833"/>
    <w:rsid w:val="00221B2C"/>
    <w:rsid w:val="002225D3"/>
    <w:rsid w:val="00222A10"/>
    <w:rsid w:val="002244FB"/>
    <w:rsid w:val="00226AAF"/>
    <w:rsid w:val="00227FBA"/>
    <w:rsid w:val="00232277"/>
    <w:rsid w:val="0023736D"/>
    <w:rsid w:val="00241DC9"/>
    <w:rsid w:val="002422B5"/>
    <w:rsid w:val="002469FC"/>
    <w:rsid w:val="00250F24"/>
    <w:rsid w:val="002540FA"/>
    <w:rsid w:val="002558BE"/>
    <w:rsid w:val="00257225"/>
    <w:rsid w:val="0028313D"/>
    <w:rsid w:val="00290B0A"/>
    <w:rsid w:val="002969CD"/>
    <w:rsid w:val="002A4BCD"/>
    <w:rsid w:val="002A6D71"/>
    <w:rsid w:val="002B0C7E"/>
    <w:rsid w:val="002C1C24"/>
    <w:rsid w:val="002C7099"/>
    <w:rsid w:val="002C74A0"/>
    <w:rsid w:val="002D5337"/>
    <w:rsid w:val="002E0730"/>
    <w:rsid w:val="002E4370"/>
    <w:rsid w:val="002F1240"/>
    <w:rsid w:val="002F2453"/>
    <w:rsid w:val="002F386C"/>
    <w:rsid w:val="002F7778"/>
    <w:rsid w:val="00307C6D"/>
    <w:rsid w:val="00310160"/>
    <w:rsid w:val="00312186"/>
    <w:rsid w:val="00331D8B"/>
    <w:rsid w:val="003407F1"/>
    <w:rsid w:val="00341A8C"/>
    <w:rsid w:val="00344530"/>
    <w:rsid w:val="00346451"/>
    <w:rsid w:val="003519E6"/>
    <w:rsid w:val="003529BB"/>
    <w:rsid w:val="003617CD"/>
    <w:rsid w:val="00363177"/>
    <w:rsid w:val="00377D41"/>
    <w:rsid w:val="00384751"/>
    <w:rsid w:val="00390C35"/>
    <w:rsid w:val="00393783"/>
    <w:rsid w:val="0039750C"/>
    <w:rsid w:val="003A1806"/>
    <w:rsid w:val="003B3BCC"/>
    <w:rsid w:val="003B4151"/>
    <w:rsid w:val="003B4356"/>
    <w:rsid w:val="003B5B6F"/>
    <w:rsid w:val="003B60F0"/>
    <w:rsid w:val="003C211B"/>
    <w:rsid w:val="003C5387"/>
    <w:rsid w:val="003C7F06"/>
    <w:rsid w:val="003D0C7F"/>
    <w:rsid w:val="003D2089"/>
    <w:rsid w:val="003D4EB5"/>
    <w:rsid w:val="003E3301"/>
    <w:rsid w:val="003F08A8"/>
    <w:rsid w:val="003F1959"/>
    <w:rsid w:val="003F24AD"/>
    <w:rsid w:val="00406A43"/>
    <w:rsid w:val="0041296E"/>
    <w:rsid w:val="00415DC3"/>
    <w:rsid w:val="004250E3"/>
    <w:rsid w:val="00437E4C"/>
    <w:rsid w:val="00442B4F"/>
    <w:rsid w:val="00456F8A"/>
    <w:rsid w:val="00457EAE"/>
    <w:rsid w:val="00460CB7"/>
    <w:rsid w:val="0047212A"/>
    <w:rsid w:val="00472A81"/>
    <w:rsid w:val="00482355"/>
    <w:rsid w:val="00486029"/>
    <w:rsid w:val="004A20A6"/>
    <w:rsid w:val="004B2C92"/>
    <w:rsid w:val="004C0E6D"/>
    <w:rsid w:val="004D6A3A"/>
    <w:rsid w:val="004D7AA9"/>
    <w:rsid w:val="004E01B2"/>
    <w:rsid w:val="004E1961"/>
    <w:rsid w:val="004E7833"/>
    <w:rsid w:val="004F1073"/>
    <w:rsid w:val="004F4AD7"/>
    <w:rsid w:val="00501FAC"/>
    <w:rsid w:val="0051337B"/>
    <w:rsid w:val="00513AB2"/>
    <w:rsid w:val="0051439B"/>
    <w:rsid w:val="0051604B"/>
    <w:rsid w:val="00524507"/>
    <w:rsid w:val="005322C9"/>
    <w:rsid w:val="005322EA"/>
    <w:rsid w:val="0053426D"/>
    <w:rsid w:val="00534AF4"/>
    <w:rsid w:val="00535564"/>
    <w:rsid w:val="00542711"/>
    <w:rsid w:val="00545C2D"/>
    <w:rsid w:val="0055524F"/>
    <w:rsid w:val="00556694"/>
    <w:rsid w:val="0055752D"/>
    <w:rsid w:val="00557CD3"/>
    <w:rsid w:val="00562DF8"/>
    <w:rsid w:val="0056680B"/>
    <w:rsid w:val="00571432"/>
    <w:rsid w:val="005732A2"/>
    <w:rsid w:val="00574FEC"/>
    <w:rsid w:val="005762A5"/>
    <w:rsid w:val="0058086C"/>
    <w:rsid w:val="005873F0"/>
    <w:rsid w:val="00590BA3"/>
    <w:rsid w:val="00591AC3"/>
    <w:rsid w:val="005948AF"/>
    <w:rsid w:val="005B2E41"/>
    <w:rsid w:val="005B46D9"/>
    <w:rsid w:val="005B7AE0"/>
    <w:rsid w:val="005C032B"/>
    <w:rsid w:val="005D3765"/>
    <w:rsid w:val="005E4B7D"/>
    <w:rsid w:val="005F146F"/>
    <w:rsid w:val="005F71B6"/>
    <w:rsid w:val="0060046D"/>
    <w:rsid w:val="00610E13"/>
    <w:rsid w:val="00627230"/>
    <w:rsid w:val="0065052C"/>
    <w:rsid w:val="006522D6"/>
    <w:rsid w:val="00654786"/>
    <w:rsid w:val="006564DE"/>
    <w:rsid w:val="00657811"/>
    <w:rsid w:val="00660D41"/>
    <w:rsid w:val="00660FD4"/>
    <w:rsid w:val="0066359A"/>
    <w:rsid w:val="00676DCB"/>
    <w:rsid w:val="00682F8D"/>
    <w:rsid w:val="0068376A"/>
    <w:rsid w:val="0068735F"/>
    <w:rsid w:val="006919AA"/>
    <w:rsid w:val="006932DB"/>
    <w:rsid w:val="00694A28"/>
    <w:rsid w:val="006962DF"/>
    <w:rsid w:val="006A4425"/>
    <w:rsid w:val="006B00A4"/>
    <w:rsid w:val="006B0B57"/>
    <w:rsid w:val="006B4669"/>
    <w:rsid w:val="006C0B65"/>
    <w:rsid w:val="006C66ED"/>
    <w:rsid w:val="006E36DB"/>
    <w:rsid w:val="006F4810"/>
    <w:rsid w:val="006F6BF8"/>
    <w:rsid w:val="00707BDF"/>
    <w:rsid w:val="00710727"/>
    <w:rsid w:val="007139A2"/>
    <w:rsid w:val="00715F45"/>
    <w:rsid w:val="007210DA"/>
    <w:rsid w:val="00731815"/>
    <w:rsid w:val="00731B84"/>
    <w:rsid w:val="00733812"/>
    <w:rsid w:val="00734AE7"/>
    <w:rsid w:val="00760EA1"/>
    <w:rsid w:val="00766055"/>
    <w:rsid w:val="00766C12"/>
    <w:rsid w:val="00773D87"/>
    <w:rsid w:val="00776EF9"/>
    <w:rsid w:val="00787828"/>
    <w:rsid w:val="00787DB7"/>
    <w:rsid w:val="0079344E"/>
    <w:rsid w:val="007A6B4C"/>
    <w:rsid w:val="007A6BAF"/>
    <w:rsid w:val="007A7604"/>
    <w:rsid w:val="007B1DEA"/>
    <w:rsid w:val="007C202F"/>
    <w:rsid w:val="007C31C8"/>
    <w:rsid w:val="007D4C39"/>
    <w:rsid w:val="007E197F"/>
    <w:rsid w:val="007E25B8"/>
    <w:rsid w:val="007F42CC"/>
    <w:rsid w:val="007F68C4"/>
    <w:rsid w:val="007F7FBB"/>
    <w:rsid w:val="00804D64"/>
    <w:rsid w:val="008153DE"/>
    <w:rsid w:val="00834FF4"/>
    <w:rsid w:val="008418BF"/>
    <w:rsid w:val="00852A10"/>
    <w:rsid w:val="00860D23"/>
    <w:rsid w:val="00862634"/>
    <w:rsid w:val="00866C59"/>
    <w:rsid w:val="00870CB6"/>
    <w:rsid w:val="00875072"/>
    <w:rsid w:val="008768D9"/>
    <w:rsid w:val="00877306"/>
    <w:rsid w:val="00877616"/>
    <w:rsid w:val="008A5860"/>
    <w:rsid w:val="008A60AB"/>
    <w:rsid w:val="008A6242"/>
    <w:rsid w:val="008B4AF7"/>
    <w:rsid w:val="008B4BC6"/>
    <w:rsid w:val="008B577D"/>
    <w:rsid w:val="008C0D10"/>
    <w:rsid w:val="008C4CF6"/>
    <w:rsid w:val="008E6A80"/>
    <w:rsid w:val="008F52E6"/>
    <w:rsid w:val="008F5553"/>
    <w:rsid w:val="00901B7F"/>
    <w:rsid w:val="00901E57"/>
    <w:rsid w:val="00902D06"/>
    <w:rsid w:val="00905F2F"/>
    <w:rsid w:val="009070DF"/>
    <w:rsid w:val="00913DE7"/>
    <w:rsid w:val="009152C2"/>
    <w:rsid w:val="0092152C"/>
    <w:rsid w:val="00922026"/>
    <w:rsid w:val="00927E13"/>
    <w:rsid w:val="00935F0E"/>
    <w:rsid w:val="00946629"/>
    <w:rsid w:val="0095116E"/>
    <w:rsid w:val="0095208F"/>
    <w:rsid w:val="0095673E"/>
    <w:rsid w:val="009674F5"/>
    <w:rsid w:val="009741E1"/>
    <w:rsid w:val="00977B3F"/>
    <w:rsid w:val="009814AE"/>
    <w:rsid w:val="00982880"/>
    <w:rsid w:val="009901D3"/>
    <w:rsid w:val="00996BBE"/>
    <w:rsid w:val="00997654"/>
    <w:rsid w:val="009A51A1"/>
    <w:rsid w:val="009B2C03"/>
    <w:rsid w:val="009B4347"/>
    <w:rsid w:val="009B47A4"/>
    <w:rsid w:val="009D1DD5"/>
    <w:rsid w:val="009F722C"/>
    <w:rsid w:val="00A03D33"/>
    <w:rsid w:val="00A061BE"/>
    <w:rsid w:val="00A06347"/>
    <w:rsid w:val="00A152CA"/>
    <w:rsid w:val="00A25B96"/>
    <w:rsid w:val="00A26157"/>
    <w:rsid w:val="00A265C3"/>
    <w:rsid w:val="00A3603B"/>
    <w:rsid w:val="00A365DB"/>
    <w:rsid w:val="00A40FE2"/>
    <w:rsid w:val="00A42D80"/>
    <w:rsid w:val="00A43F9A"/>
    <w:rsid w:val="00A46E23"/>
    <w:rsid w:val="00A50C19"/>
    <w:rsid w:val="00A53714"/>
    <w:rsid w:val="00A53F38"/>
    <w:rsid w:val="00A543D4"/>
    <w:rsid w:val="00A57B3A"/>
    <w:rsid w:val="00A737C1"/>
    <w:rsid w:val="00A935C7"/>
    <w:rsid w:val="00A97BDB"/>
    <w:rsid w:val="00AA33C5"/>
    <w:rsid w:val="00AA638F"/>
    <w:rsid w:val="00AC0D8B"/>
    <w:rsid w:val="00AC6C35"/>
    <w:rsid w:val="00AD0014"/>
    <w:rsid w:val="00AD4CF2"/>
    <w:rsid w:val="00AD69DA"/>
    <w:rsid w:val="00AE7F98"/>
    <w:rsid w:val="00AF0BBA"/>
    <w:rsid w:val="00AF2720"/>
    <w:rsid w:val="00B07340"/>
    <w:rsid w:val="00B14A13"/>
    <w:rsid w:val="00B169A8"/>
    <w:rsid w:val="00B20102"/>
    <w:rsid w:val="00B25BBD"/>
    <w:rsid w:val="00B30468"/>
    <w:rsid w:val="00B30BFC"/>
    <w:rsid w:val="00B3434B"/>
    <w:rsid w:val="00B37DEB"/>
    <w:rsid w:val="00B44E31"/>
    <w:rsid w:val="00B53986"/>
    <w:rsid w:val="00B6532B"/>
    <w:rsid w:val="00B70C01"/>
    <w:rsid w:val="00B74E74"/>
    <w:rsid w:val="00B76DC6"/>
    <w:rsid w:val="00B77977"/>
    <w:rsid w:val="00B803FB"/>
    <w:rsid w:val="00B87F35"/>
    <w:rsid w:val="00BA463B"/>
    <w:rsid w:val="00BA4F7E"/>
    <w:rsid w:val="00BB0238"/>
    <w:rsid w:val="00BB2C41"/>
    <w:rsid w:val="00BC0DDF"/>
    <w:rsid w:val="00BC55C8"/>
    <w:rsid w:val="00BC5C10"/>
    <w:rsid w:val="00BD10D1"/>
    <w:rsid w:val="00BD3065"/>
    <w:rsid w:val="00BD54B0"/>
    <w:rsid w:val="00BE0A50"/>
    <w:rsid w:val="00BE2964"/>
    <w:rsid w:val="00C12795"/>
    <w:rsid w:val="00C17D36"/>
    <w:rsid w:val="00C21623"/>
    <w:rsid w:val="00C24FBD"/>
    <w:rsid w:val="00C2568F"/>
    <w:rsid w:val="00C46CEA"/>
    <w:rsid w:val="00C473BA"/>
    <w:rsid w:val="00C517D3"/>
    <w:rsid w:val="00C53CC5"/>
    <w:rsid w:val="00C611ED"/>
    <w:rsid w:val="00C62953"/>
    <w:rsid w:val="00C6490A"/>
    <w:rsid w:val="00C64FE1"/>
    <w:rsid w:val="00C6613F"/>
    <w:rsid w:val="00C668E9"/>
    <w:rsid w:val="00C74296"/>
    <w:rsid w:val="00C75B79"/>
    <w:rsid w:val="00C8345E"/>
    <w:rsid w:val="00C93D34"/>
    <w:rsid w:val="00CA001E"/>
    <w:rsid w:val="00CA5DD7"/>
    <w:rsid w:val="00CA5F7C"/>
    <w:rsid w:val="00CD0957"/>
    <w:rsid w:val="00CD4E6F"/>
    <w:rsid w:val="00CE3EF8"/>
    <w:rsid w:val="00CF14BD"/>
    <w:rsid w:val="00CF7D31"/>
    <w:rsid w:val="00D03798"/>
    <w:rsid w:val="00D04A11"/>
    <w:rsid w:val="00D17FE0"/>
    <w:rsid w:val="00D23272"/>
    <w:rsid w:val="00D2664B"/>
    <w:rsid w:val="00D36BCE"/>
    <w:rsid w:val="00D51067"/>
    <w:rsid w:val="00D52D05"/>
    <w:rsid w:val="00D60227"/>
    <w:rsid w:val="00D61367"/>
    <w:rsid w:val="00D71619"/>
    <w:rsid w:val="00D71825"/>
    <w:rsid w:val="00D75657"/>
    <w:rsid w:val="00D85610"/>
    <w:rsid w:val="00D960AD"/>
    <w:rsid w:val="00DA0E0E"/>
    <w:rsid w:val="00DA2BE8"/>
    <w:rsid w:val="00DB0C39"/>
    <w:rsid w:val="00DB1D25"/>
    <w:rsid w:val="00DB3437"/>
    <w:rsid w:val="00DB4A7F"/>
    <w:rsid w:val="00DB6C86"/>
    <w:rsid w:val="00DB7679"/>
    <w:rsid w:val="00DC4EB7"/>
    <w:rsid w:val="00DD5478"/>
    <w:rsid w:val="00DE310C"/>
    <w:rsid w:val="00DE3E33"/>
    <w:rsid w:val="00DE53E2"/>
    <w:rsid w:val="00DE6DAA"/>
    <w:rsid w:val="00DE7A91"/>
    <w:rsid w:val="00DF0A6A"/>
    <w:rsid w:val="00DF1702"/>
    <w:rsid w:val="00DF4DD8"/>
    <w:rsid w:val="00DF668E"/>
    <w:rsid w:val="00E04826"/>
    <w:rsid w:val="00E11BAF"/>
    <w:rsid w:val="00E14753"/>
    <w:rsid w:val="00E14D2B"/>
    <w:rsid w:val="00E16C1B"/>
    <w:rsid w:val="00E20DBA"/>
    <w:rsid w:val="00E413F9"/>
    <w:rsid w:val="00E44071"/>
    <w:rsid w:val="00E506E3"/>
    <w:rsid w:val="00E51190"/>
    <w:rsid w:val="00E51A76"/>
    <w:rsid w:val="00E6524A"/>
    <w:rsid w:val="00E660D6"/>
    <w:rsid w:val="00E67963"/>
    <w:rsid w:val="00E708AC"/>
    <w:rsid w:val="00E71BD7"/>
    <w:rsid w:val="00E771AB"/>
    <w:rsid w:val="00E77BDC"/>
    <w:rsid w:val="00E80B21"/>
    <w:rsid w:val="00E81050"/>
    <w:rsid w:val="00E83616"/>
    <w:rsid w:val="00E84247"/>
    <w:rsid w:val="00E84C50"/>
    <w:rsid w:val="00E91867"/>
    <w:rsid w:val="00E92184"/>
    <w:rsid w:val="00EA766E"/>
    <w:rsid w:val="00EA796F"/>
    <w:rsid w:val="00EB077B"/>
    <w:rsid w:val="00EB5472"/>
    <w:rsid w:val="00EC09C9"/>
    <w:rsid w:val="00EC1B1C"/>
    <w:rsid w:val="00EC46DC"/>
    <w:rsid w:val="00EC4EB9"/>
    <w:rsid w:val="00EC50B9"/>
    <w:rsid w:val="00EC6D9B"/>
    <w:rsid w:val="00ED26A0"/>
    <w:rsid w:val="00ED4A43"/>
    <w:rsid w:val="00EE2AD0"/>
    <w:rsid w:val="00EF560A"/>
    <w:rsid w:val="00EF5FCB"/>
    <w:rsid w:val="00F1598C"/>
    <w:rsid w:val="00F1727A"/>
    <w:rsid w:val="00F24FA4"/>
    <w:rsid w:val="00F34764"/>
    <w:rsid w:val="00F4486E"/>
    <w:rsid w:val="00F54E3C"/>
    <w:rsid w:val="00F60622"/>
    <w:rsid w:val="00F7225E"/>
    <w:rsid w:val="00F7409F"/>
    <w:rsid w:val="00F74105"/>
    <w:rsid w:val="00F7744F"/>
    <w:rsid w:val="00F874BD"/>
    <w:rsid w:val="00FA23E8"/>
    <w:rsid w:val="00FB1D0B"/>
    <w:rsid w:val="00FC6313"/>
    <w:rsid w:val="00FE39A8"/>
    <w:rsid w:val="00FE55A3"/>
    <w:rsid w:val="00FE6865"/>
    <w:rsid w:val="00FF0806"/>
    <w:rsid w:val="00FF6D2C"/>
    <w:rsid w:val="00FF7481"/>
    <w:rsid w:val="00FF7A9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32A2"/>
    <w:pPr>
      <w:bidi/>
      <w:spacing w:line="240" w:lineRule="atLeast"/>
      <w:jc w:val="lowKashida"/>
    </w:pPr>
    <w:rPr>
      <w:rFonts w:cs="Traditional Arabic"/>
      <w:szCs w:val="30"/>
      <w:lang w:val="en-US" w:eastAsia="en-US"/>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paragraph" w:styleId="Heading4">
    <w:name w:val="heading 4"/>
    <w:basedOn w:val="Normal"/>
    <w:next w:val="Normal"/>
    <w:qFormat/>
    <w:rsid w:val="00A152CA"/>
    <w:pPr>
      <w:keepNext/>
      <w:spacing w:before="240" w:after="60"/>
      <w:outlineLvl w:val="3"/>
    </w:pPr>
    <w:rPr>
      <w:rFonts w:cs="Times New Roman"/>
      <w:b/>
      <w:bCs/>
      <w:sz w:val="28"/>
      <w:szCs w:val="28"/>
    </w:rPr>
  </w:style>
  <w:style w:type="paragraph" w:styleId="Heading5">
    <w:name w:val="heading 5"/>
    <w:basedOn w:val="Normal"/>
    <w:next w:val="Normal"/>
    <w:qFormat/>
    <w:rsid w:val="00A152CA"/>
    <w:pPr>
      <w:spacing w:before="240" w:after="60"/>
      <w:outlineLvl w:val="4"/>
    </w:pPr>
    <w:rPr>
      <w:b/>
      <w:bCs/>
      <w:i/>
      <w:iCs/>
      <w:sz w:val="26"/>
      <w:szCs w:val="26"/>
    </w:rPr>
  </w:style>
  <w:style w:type="paragraph" w:styleId="Heading6">
    <w:name w:val="heading 6"/>
    <w:basedOn w:val="Normal"/>
    <w:next w:val="Normal"/>
    <w:qFormat/>
    <w:rsid w:val="00A152CA"/>
    <w:pPr>
      <w:spacing w:before="240" w:after="60"/>
      <w:outlineLvl w:val="5"/>
    </w:pPr>
    <w:rPr>
      <w:rFonts w:cs="Times New Roman"/>
      <w:b/>
      <w:bCs/>
      <w:sz w:val="22"/>
      <w:szCs w:val="22"/>
    </w:rPr>
  </w:style>
  <w:style w:type="paragraph" w:styleId="Heading7">
    <w:name w:val="heading 7"/>
    <w:basedOn w:val="Normal"/>
    <w:next w:val="Normal"/>
    <w:qFormat/>
    <w:rsid w:val="00A152CA"/>
    <w:pPr>
      <w:spacing w:before="240" w:after="60"/>
      <w:outlineLvl w:val="6"/>
    </w:pPr>
    <w:rPr>
      <w:rFonts w:cs="Times New Roman"/>
      <w:sz w:val="24"/>
      <w:szCs w:val="24"/>
    </w:rPr>
  </w:style>
  <w:style w:type="paragraph" w:styleId="Heading8">
    <w:name w:val="heading 8"/>
    <w:basedOn w:val="Normal"/>
    <w:next w:val="Normal"/>
    <w:qFormat/>
    <w:rsid w:val="00A152CA"/>
    <w:pPr>
      <w:spacing w:before="240" w:after="60"/>
      <w:outlineLvl w:val="7"/>
    </w:pPr>
    <w:rPr>
      <w:rFonts w:cs="Times New Roman"/>
      <w:i/>
      <w:iCs/>
      <w:sz w:val="24"/>
      <w:szCs w:val="24"/>
    </w:rPr>
  </w:style>
  <w:style w:type="paragraph" w:styleId="Heading9">
    <w:name w:val="heading 9"/>
    <w:basedOn w:val="Normal"/>
    <w:next w:val="Normal"/>
    <w:qFormat/>
    <w:rsid w:val="00A152CA"/>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B25BBD"/>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1022B5"/>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1022B5"/>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7"/>
      </w:numPr>
      <w:suppressAutoHyphens/>
      <w:bidi w:val="0"/>
      <w:spacing w:after="120" w:line="380" w:lineRule="exact"/>
      <w:ind w:right="1247"/>
    </w:pPr>
  </w:style>
  <w:style w:type="paragraph" w:customStyle="1" w:styleId="Bullet2GA">
    <w:name w:val="_Bullet 2_GA"/>
    <w:basedOn w:val="Normal"/>
    <w:rsid w:val="009D1DD5"/>
    <w:pPr>
      <w:numPr>
        <w:numId w:val="6"/>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3"/>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basedOn w:val="Normal"/>
    <w:semiHidden/>
    <w:rsid w:val="00EB077B"/>
    <w:rPr>
      <w:szCs w:val="20"/>
    </w:rPr>
  </w:style>
  <w:style w:type="character" w:customStyle="1" w:styleId="EndtnoteReference">
    <w:name w:val="Endtnote Reference"/>
    <w:aliases w:val="1_GA"/>
    <w:rsid w:val="000D6654"/>
    <w:rPr>
      <w:rFonts w:ascii="Times New Roman" w:hAnsi="Times New Roman" w:cs="Traditional Arabic"/>
      <w:b/>
      <w:kern w:val="0"/>
      <w:sz w:val="18"/>
      <w:szCs w:val="28"/>
      <w:vertAlign w:val="superscript"/>
    </w:rPr>
  </w:style>
  <w:style w:type="character" w:styleId="FootnoteReference">
    <w:name w:val="footnote reference"/>
    <w:aliases w:val="4_GA"/>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4"/>
      </w:numPr>
      <w:suppressAutoHyphens/>
      <w:bidi w:val="0"/>
      <w:spacing w:after="120" w:line="380" w:lineRule="exact"/>
      <w:ind w:right="1247"/>
    </w:pPr>
  </w:style>
  <w:style w:type="paragraph" w:customStyle="1" w:styleId="Roman2GA">
    <w:name w:val="_Roman 2_GA"/>
    <w:basedOn w:val="Normal"/>
    <w:next w:val="Normal"/>
    <w:rsid w:val="005F71B6"/>
    <w:pPr>
      <w:numPr>
        <w:numId w:val="5"/>
      </w:numPr>
      <w:spacing w:after="120" w:line="380" w:lineRule="exact"/>
      <w:ind w:right="1247"/>
    </w:pPr>
  </w:style>
  <w:style w:type="numbering" w:styleId="111111">
    <w:name w:val="Outline List 2"/>
    <w:basedOn w:val="NoList"/>
    <w:semiHidden/>
    <w:rsid w:val="005732A2"/>
    <w:pPr>
      <w:numPr>
        <w:numId w:val="1"/>
      </w:numPr>
    </w:pPr>
  </w:style>
  <w:style w:type="numbering" w:styleId="1ai">
    <w:name w:val="Outline List 1"/>
    <w:basedOn w:val="NoList"/>
    <w:semiHidden/>
    <w:rsid w:val="005732A2"/>
    <w:pPr>
      <w:numPr>
        <w:numId w:val="2"/>
      </w:numPr>
    </w:pPr>
  </w:style>
  <w:style w:type="character" w:styleId="EndnoteReference">
    <w:name w:val="endnote reference"/>
    <w:semiHidden/>
    <w:rsid w:val="00FE6865"/>
    <w:rPr>
      <w:vertAlign w:val="superscript"/>
    </w:rPr>
  </w:style>
  <w:style w:type="numbering" w:styleId="ArticleSection">
    <w:name w:val="Outline List 3"/>
    <w:basedOn w:val="NoList"/>
    <w:semiHidden/>
    <w:rsid w:val="00A152CA"/>
    <w:pPr>
      <w:numPr>
        <w:numId w:val="18"/>
      </w:numPr>
    </w:pPr>
  </w:style>
  <w:style w:type="paragraph" w:styleId="BlockText">
    <w:name w:val="Block Text"/>
    <w:basedOn w:val="Normal"/>
    <w:semiHidden/>
    <w:rsid w:val="00A152CA"/>
    <w:pPr>
      <w:spacing w:after="120"/>
      <w:ind w:left="1440" w:right="1440"/>
    </w:pPr>
  </w:style>
  <w:style w:type="paragraph" w:styleId="BodyText">
    <w:name w:val="Body Text"/>
    <w:basedOn w:val="Normal"/>
    <w:semiHidden/>
    <w:rsid w:val="00A152CA"/>
    <w:pPr>
      <w:spacing w:after="120"/>
    </w:pPr>
  </w:style>
  <w:style w:type="paragraph" w:styleId="BodyText2">
    <w:name w:val="Body Text 2"/>
    <w:basedOn w:val="Normal"/>
    <w:semiHidden/>
    <w:rsid w:val="00A152CA"/>
    <w:pPr>
      <w:spacing w:after="120" w:line="480" w:lineRule="auto"/>
    </w:pPr>
  </w:style>
  <w:style w:type="paragraph" w:styleId="BodyText3">
    <w:name w:val="Body Text 3"/>
    <w:basedOn w:val="Normal"/>
    <w:semiHidden/>
    <w:rsid w:val="00A152CA"/>
    <w:pPr>
      <w:spacing w:after="120"/>
    </w:pPr>
    <w:rPr>
      <w:sz w:val="16"/>
      <w:szCs w:val="16"/>
    </w:rPr>
  </w:style>
  <w:style w:type="paragraph" w:styleId="BodyTextFirstIndent">
    <w:name w:val="Body Text First Indent"/>
    <w:basedOn w:val="BodyText"/>
    <w:semiHidden/>
    <w:rsid w:val="00A152CA"/>
    <w:pPr>
      <w:ind w:firstLine="210"/>
    </w:pPr>
  </w:style>
  <w:style w:type="paragraph" w:styleId="BodyTextIndent">
    <w:name w:val="Body Text Indent"/>
    <w:basedOn w:val="Normal"/>
    <w:semiHidden/>
    <w:rsid w:val="00A152CA"/>
    <w:pPr>
      <w:spacing w:after="120"/>
      <w:ind w:left="360"/>
    </w:pPr>
  </w:style>
  <w:style w:type="paragraph" w:styleId="BodyTextFirstIndent2">
    <w:name w:val="Body Text First Indent 2"/>
    <w:basedOn w:val="BodyTextIndent"/>
    <w:semiHidden/>
    <w:rsid w:val="00A152CA"/>
    <w:pPr>
      <w:ind w:firstLine="210"/>
    </w:pPr>
  </w:style>
  <w:style w:type="paragraph" w:styleId="BodyTextIndent2">
    <w:name w:val="Body Text Indent 2"/>
    <w:basedOn w:val="Normal"/>
    <w:semiHidden/>
    <w:rsid w:val="00A152CA"/>
    <w:pPr>
      <w:spacing w:after="120" w:line="480" w:lineRule="auto"/>
      <w:ind w:left="360"/>
    </w:pPr>
  </w:style>
  <w:style w:type="paragraph" w:styleId="BodyTextIndent3">
    <w:name w:val="Body Text Indent 3"/>
    <w:basedOn w:val="Normal"/>
    <w:semiHidden/>
    <w:rsid w:val="00A152CA"/>
    <w:pPr>
      <w:spacing w:after="120"/>
      <w:ind w:left="360"/>
    </w:pPr>
    <w:rPr>
      <w:sz w:val="16"/>
      <w:szCs w:val="16"/>
    </w:rPr>
  </w:style>
  <w:style w:type="paragraph" w:styleId="Closing">
    <w:name w:val="Closing"/>
    <w:basedOn w:val="Normal"/>
    <w:semiHidden/>
    <w:rsid w:val="00A152CA"/>
    <w:pPr>
      <w:ind w:left="4320"/>
    </w:pPr>
  </w:style>
  <w:style w:type="paragraph" w:styleId="Date">
    <w:name w:val="Date"/>
    <w:basedOn w:val="Normal"/>
    <w:next w:val="Normal"/>
    <w:semiHidden/>
    <w:rsid w:val="00A152CA"/>
  </w:style>
  <w:style w:type="paragraph" w:styleId="E-mailSignature">
    <w:name w:val="E-mail Signature"/>
    <w:basedOn w:val="Normal"/>
    <w:semiHidden/>
    <w:rsid w:val="00A152CA"/>
  </w:style>
  <w:style w:type="character" w:styleId="Emphasis">
    <w:name w:val="Emphasis"/>
    <w:qFormat/>
    <w:rsid w:val="00A152CA"/>
    <w:rPr>
      <w:i/>
      <w:iCs/>
    </w:rPr>
  </w:style>
  <w:style w:type="paragraph" w:styleId="EnvelopeAddress">
    <w:name w:val="envelope address"/>
    <w:basedOn w:val="Normal"/>
    <w:semiHidden/>
    <w:rsid w:val="00A152CA"/>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A152CA"/>
    <w:rPr>
      <w:rFonts w:ascii="Arial" w:hAnsi="Arial" w:cs="Arial"/>
      <w:szCs w:val="20"/>
    </w:rPr>
  </w:style>
  <w:style w:type="character" w:styleId="FollowedHyperlink">
    <w:name w:val="FollowedHyperlink"/>
    <w:semiHidden/>
    <w:rsid w:val="00A152CA"/>
    <w:rPr>
      <w:color w:val="800080"/>
      <w:u w:val="single"/>
    </w:rPr>
  </w:style>
  <w:style w:type="character" w:styleId="HTMLAcronym">
    <w:name w:val="HTML Acronym"/>
    <w:basedOn w:val="DefaultParagraphFont"/>
    <w:semiHidden/>
    <w:rsid w:val="00A152CA"/>
  </w:style>
  <w:style w:type="paragraph" w:styleId="HTMLAddress">
    <w:name w:val="HTML Address"/>
    <w:basedOn w:val="Normal"/>
    <w:semiHidden/>
    <w:rsid w:val="00A152CA"/>
    <w:rPr>
      <w:i/>
      <w:iCs/>
    </w:rPr>
  </w:style>
  <w:style w:type="character" w:styleId="HTMLCite">
    <w:name w:val="HTML Cite"/>
    <w:semiHidden/>
    <w:rsid w:val="00A152CA"/>
    <w:rPr>
      <w:i/>
      <w:iCs/>
    </w:rPr>
  </w:style>
  <w:style w:type="character" w:styleId="HTMLCode">
    <w:name w:val="HTML Code"/>
    <w:semiHidden/>
    <w:rsid w:val="00A152CA"/>
    <w:rPr>
      <w:rFonts w:ascii="Courier New" w:hAnsi="Courier New" w:cs="Courier New"/>
      <w:sz w:val="20"/>
      <w:szCs w:val="20"/>
    </w:rPr>
  </w:style>
  <w:style w:type="character" w:styleId="HTMLDefinition">
    <w:name w:val="HTML Definition"/>
    <w:semiHidden/>
    <w:rsid w:val="00A152CA"/>
    <w:rPr>
      <w:i/>
      <w:iCs/>
    </w:rPr>
  </w:style>
  <w:style w:type="character" w:styleId="HTMLKeyboard">
    <w:name w:val="HTML Keyboard"/>
    <w:semiHidden/>
    <w:rsid w:val="00A152CA"/>
    <w:rPr>
      <w:rFonts w:ascii="Courier New" w:hAnsi="Courier New" w:cs="Courier New"/>
      <w:sz w:val="20"/>
      <w:szCs w:val="20"/>
    </w:rPr>
  </w:style>
  <w:style w:type="paragraph" w:styleId="HTMLPreformatted">
    <w:name w:val="HTML Preformatted"/>
    <w:basedOn w:val="Normal"/>
    <w:semiHidden/>
    <w:rsid w:val="00A152CA"/>
    <w:rPr>
      <w:rFonts w:ascii="Courier New" w:hAnsi="Courier New" w:cs="Courier New"/>
      <w:szCs w:val="20"/>
    </w:rPr>
  </w:style>
  <w:style w:type="character" w:styleId="HTMLSample">
    <w:name w:val="HTML Sample"/>
    <w:semiHidden/>
    <w:rsid w:val="00A152CA"/>
    <w:rPr>
      <w:rFonts w:ascii="Courier New" w:hAnsi="Courier New" w:cs="Courier New"/>
    </w:rPr>
  </w:style>
  <w:style w:type="character" w:styleId="HTMLTypewriter">
    <w:name w:val="HTML Typewriter"/>
    <w:semiHidden/>
    <w:rsid w:val="00A152CA"/>
    <w:rPr>
      <w:rFonts w:ascii="Courier New" w:hAnsi="Courier New" w:cs="Courier New"/>
      <w:sz w:val="20"/>
      <w:szCs w:val="20"/>
    </w:rPr>
  </w:style>
  <w:style w:type="character" w:styleId="HTMLVariable">
    <w:name w:val="HTML Variable"/>
    <w:semiHidden/>
    <w:rsid w:val="00A152CA"/>
    <w:rPr>
      <w:i/>
      <w:iCs/>
    </w:rPr>
  </w:style>
  <w:style w:type="character" w:styleId="Hyperlink">
    <w:name w:val="Hyperlink"/>
    <w:semiHidden/>
    <w:rsid w:val="00A152CA"/>
    <w:rPr>
      <w:color w:val="0000FF"/>
      <w:u w:val="single"/>
    </w:rPr>
  </w:style>
  <w:style w:type="character" w:styleId="LineNumber">
    <w:name w:val="line number"/>
    <w:basedOn w:val="DefaultParagraphFont"/>
    <w:semiHidden/>
    <w:rsid w:val="00A152CA"/>
  </w:style>
  <w:style w:type="paragraph" w:styleId="List">
    <w:name w:val="List"/>
    <w:basedOn w:val="Normal"/>
    <w:semiHidden/>
    <w:rsid w:val="00A152CA"/>
    <w:pPr>
      <w:ind w:left="360" w:hanging="360"/>
    </w:pPr>
  </w:style>
  <w:style w:type="paragraph" w:styleId="List2">
    <w:name w:val="List 2"/>
    <w:basedOn w:val="Normal"/>
    <w:semiHidden/>
    <w:rsid w:val="00A152CA"/>
    <w:pPr>
      <w:ind w:left="720" w:hanging="360"/>
    </w:pPr>
  </w:style>
  <w:style w:type="paragraph" w:styleId="List3">
    <w:name w:val="List 3"/>
    <w:basedOn w:val="Normal"/>
    <w:semiHidden/>
    <w:rsid w:val="00A152CA"/>
    <w:pPr>
      <w:ind w:left="1080" w:hanging="360"/>
    </w:pPr>
  </w:style>
  <w:style w:type="paragraph" w:styleId="List4">
    <w:name w:val="List 4"/>
    <w:basedOn w:val="Normal"/>
    <w:semiHidden/>
    <w:rsid w:val="00A152CA"/>
    <w:pPr>
      <w:ind w:left="1440" w:hanging="360"/>
    </w:pPr>
  </w:style>
  <w:style w:type="paragraph" w:styleId="List5">
    <w:name w:val="List 5"/>
    <w:basedOn w:val="Normal"/>
    <w:semiHidden/>
    <w:rsid w:val="00A152CA"/>
    <w:pPr>
      <w:ind w:left="1800" w:hanging="360"/>
    </w:pPr>
  </w:style>
  <w:style w:type="paragraph" w:styleId="ListBullet">
    <w:name w:val="List Bullet"/>
    <w:basedOn w:val="Normal"/>
    <w:semiHidden/>
    <w:rsid w:val="00A152CA"/>
    <w:pPr>
      <w:numPr>
        <w:numId w:val="8"/>
      </w:numPr>
    </w:pPr>
  </w:style>
  <w:style w:type="paragraph" w:styleId="ListBullet2">
    <w:name w:val="List Bullet 2"/>
    <w:basedOn w:val="Normal"/>
    <w:semiHidden/>
    <w:rsid w:val="00A152CA"/>
    <w:pPr>
      <w:numPr>
        <w:numId w:val="9"/>
      </w:numPr>
    </w:pPr>
  </w:style>
  <w:style w:type="paragraph" w:styleId="ListBullet3">
    <w:name w:val="List Bullet 3"/>
    <w:basedOn w:val="Normal"/>
    <w:semiHidden/>
    <w:rsid w:val="00A152CA"/>
    <w:pPr>
      <w:numPr>
        <w:numId w:val="10"/>
      </w:numPr>
    </w:pPr>
  </w:style>
  <w:style w:type="paragraph" w:styleId="ListBullet4">
    <w:name w:val="List Bullet 4"/>
    <w:basedOn w:val="Normal"/>
    <w:semiHidden/>
    <w:rsid w:val="00A152CA"/>
    <w:pPr>
      <w:numPr>
        <w:numId w:val="11"/>
      </w:numPr>
    </w:pPr>
  </w:style>
  <w:style w:type="paragraph" w:styleId="ListBullet5">
    <w:name w:val="List Bullet 5"/>
    <w:basedOn w:val="Normal"/>
    <w:semiHidden/>
    <w:rsid w:val="00A152CA"/>
    <w:pPr>
      <w:numPr>
        <w:numId w:val="12"/>
      </w:numPr>
    </w:pPr>
  </w:style>
  <w:style w:type="paragraph" w:styleId="ListContinue">
    <w:name w:val="List Continue"/>
    <w:basedOn w:val="Normal"/>
    <w:semiHidden/>
    <w:rsid w:val="00A152CA"/>
    <w:pPr>
      <w:spacing w:after="120"/>
      <w:ind w:left="360"/>
    </w:pPr>
  </w:style>
  <w:style w:type="paragraph" w:styleId="ListContinue2">
    <w:name w:val="List Continue 2"/>
    <w:basedOn w:val="Normal"/>
    <w:semiHidden/>
    <w:rsid w:val="00A152CA"/>
    <w:pPr>
      <w:spacing w:after="120"/>
      <w:ind w:left="720"/>
    </w:pPr>
  </w:style>
  <w:style w:type="paragraph" w:styleId="ListContinue3">
    <w:name w:val="List Continue 3"/>
    <w:basedOn w:val="Normal"/>
    <w:semiHidden/>
    <w:rsid w:val="00A152CA"/>
    <w:pPr>
      <w:spacing w:after="120"/>
      <w:ind w:left="1080"/>
    </w:pPr>
  </w:style>
  <w:style w:type="paragraph" w:styleId="ListContinue4">
    <w:name w:val="List Continue 4"/>
    <w:basedOn w:val="Normal"/>
    <w:semiHidden/>
    <w:rsid w:val="00A152CA"/>
    <w:pPr>
      <w:spacing w:after="120"/>
      <w:ind w:left="1440"/>
    </w:pPr>
  </w:style>
  <w:style w:type="paragraph" w:styleId="ListContinue5">
    <w:name w:val="List Continue 5"/>
    <w:basedOn w:val="Normal"/>
    <w:semiHidden/>
    <w:rsid w:val="00A152CA"/>
    <w:pPr>
      <w:spacing w:after="120"/>
      <w:ind w:left="1800"/>
    </w:pPr>
  </w:style>
  <w:style w:type="paragraph" w:styleId="ListNumber">
    <w:name w:val="List Number"/>
    <w:basedOn w:val="Normal"/>
    <w:semiHidden/>
    <w:rsid w:val="00A152CA"/>
    <w:pPr>
      <w:numPr>
        <w:numId w:val="13"/>
      </w:numPr>
    </w:pPr>
  </w:style>
  <w:style w:type="paragraph" w:styleId="ListNumber2">
    <w:name w:val="List Number 2"/>
    <w:basedOn w:val="Normal"/>
    <w:semiHidden/>
    <w:rsid w:val="00A152CA"/>
    <w:pPr>
      <w:numPr>
        <w:numId w:val="14"/>
      </w:numPr>
    </w:pPr>
  </w:style>
  <w:style w:type="paragraph" w:styleId="ListNumber3">
    <w:name w:val="List Number 3"/>
    <w:basedOn w:val="Normal"/>
    <w:semiHidden/>
    <w:rsid w:val="00A152CA"/>
    <w:pPr>
      <w:numPr>
        <w:numId w:val="15"/>
      </w:numPr>
    </w:pPr>
  </w:style>
  <w:style w:type="paragraph" w:styleId="ListNumber4">
    <w:name w:val="List Number 4"/>
    <w:basedOn w:val="Normal"/>
    <w:semiHidden/>
    <w:rsid w:val="00A152CA"/>
    <w:pPr>
      <w:numPr>
        <w:numId w:val="16"/>
      </w:numPr>
    </w:pPr>
  </w:style>
  <w:style w:type="paragraph" w:styleId="ListNumber5">
    <w:name w:val="List Number 5"/>
    <w:basedOn w:val="Normal"/>
    <w:semiHidden/>
    <w:rsid w:val="00A152CA"/>
    <w:pPr>
      <w:numPr>
        <w:numId w:val="17"/>
      </w:numPr>
    </w:pPr>
  </w:style>
  <w:style w:type="paragraph" w:styleId="MessageHeader">
    <w:name w:val="Message Header"/>
    <w:basedOn w:val="Normal"/>
    <w:semiHidden/>
    <w:rsid w:val="00A152C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semiHidden/>
    <w:rsid w:val="00A152CA"/>
    <w:rPr>
      <w:rFonts w:cs="Times New Roman"/>
      <w:sz w:val="24"/>
      <w:szCs w:val="24"/>
    </w:rPr>
  </w:style>
  <w:style w:type="paragraph" w:styleId="NormalIndent">
    <w:name w:val="Normal Indent"/>
    <w:basedOn w:val="Normal"/>
    <w:semiHidden/>
    <w:rsid w:val="00A152CA"/>
    <w:pPr>
      <w:ind w:left="680"/>
    </w:pPr>
  </w:style>
  <w:style w:type="paragraph" w:styleId="NoteHeading">
    <w:name w:val="Note Heading"/>
    <w:basedOn w:val="Normal"/>
    <w:next w:val="Normal"/>
    <w:semiHidden/>
    <w:rsid w:val="00A152CA"/>
  </w:style>
  <w:style w:type="paragraph" w:styleId="PlainText">
    <w:name w:val="Plain Text"/>
    <w:basedOn w:val="Normal"/>
    <w:semiHidden/>
    <w:rsid w:val="00A152CA"/>
    <w:rPr>
      <w:rFonts w:ascii="Courier New" w:hAnsi="Courier New" w:cs="Courier New"/>
      <w:szCs w:val="20"/>
    </w:rPr>
  </w:style>
  <w:style w:type="paragraph" w:styleId="Salutation">
    <w:name w:val="Salutation"/>
    <w:basedOn w:val="Normal"/>
    <w:next w:val="Normal"/>
    <w:semiHidden/>
    <w:rsid w:val="00A152CA"/>
  </w:style>
  <w:style w:type="paragraph" w:styleId="Signature">
    <w:name w:val="Signature"/>
    <w:basedOn w:val="Normal"/>
    <w:semiHidden/>
    <w:rsid w:val="00A152CA"/>
    <w:pPr>
      <w:ind w:left="4320"/>
    </w:pPr>
  </w:style>
  <w:style w:type="character" w:styleId="Strong">
    <w:name w:val="Strong"/>
    <w:qFormat/>
    <w:rsid w:val="00A152CA"/>
    <w:rPr>
      <w:b/>
      <w:bCs/>
    </w:rPr>
  </w:style>
  <w:style w:type="table" w:styleId="Table3Deffects1">
    <w:name w:val="Table 3D effects 1"/>
    <w:basedOn w:val="TableNormal"/>
    <w:semiHidden/>
    <w:rsid w:val="00A152CA"/>
    <w:pPr>
      <w:bidi/>
      <w:spacing w:line="240" w:lineRule="atLeast"/>
      <w:jc w:val="lowKashida"/>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152CA"/>
    <w:pPr>
      <w:bidi/>
      <w:spacing w:line="240" w:lineRule="atLeast"/>
      <w:jc w:val="lowKashida"/>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152CA"/>
    <w:pPr>
      <w:bidi/>
      <w:spacing w:line="240" w:lineRule="atLeast"/>
      <w:jc w:val="lowKashida"/>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A152CA"/>
    <w:pPr>
      <w:bidi/>
      <w:spacing w:line="240" w:lineRule="atLeast"/>
      <w:jc w:val="lowKashida"/>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152CA"/>
    <w:pPr>
      <w:bidi/>
      <w:spacing w:line="240" w:lineRule="atLeast"/>
      <w:jc w:val="lowKashida"/>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152CA"/>
    <w:pPr>
      <w:bidi/>
      <w:spacing w:line="240" w:lineRule="atLeast"/>
      <w:jc w:val="lowKashida"/>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699332">
      <w:bodyDiv w:val="1"/>
      <w:marLeft w:val="0"/>
      <w:marRight w:val="0"/>
      <w:marTop w:val="0"/>
      <w:marBottom w:val="0"/>
      <w:divBdr>
        <w:top w:val="none" w:sz="0" w:space="0" w:color="auto"/>
        <w:left w:val="none" w:sz="0" w:space="0" w:color="auto"/>
        <w:bottom w:val="none" w:sz="0" w:space="0" w:color="auto"/>
        <w:right w:val="none" w:sz="0" w:space="0" w:color="auto"/>
      </w:divBdr>
    </w:div>
    <w:div w:id="153488304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EDA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CEDAW</Template>
  <TotalTime>0</TotalTime>
  <Pages>17</Pages>
  <Words>4705</Words>
  <Characters>26822</Characters>
  <Application>Microsoft Office Word</Application>
  <DocSecurity>4</DocSecurity>
  <Lines>223</Lines>
  <Paragraphs>62</Paragraphs>
  <ScaleCrop>false</ScaleCrop>
  <HeadingPairs>
    <vt:vector size="2" baseType="variant">
      <vt:variant>
        <vt:lpstr>العنوان</vt:lpstr>
      </vt:variant>
      <vt:variant>
        <vt:i4>1</vt:i4>
      </vt:variant>
    </vt:vector>
  </HeadingPairs>
  <TitlesOfParts>
    <vt:vector size="1" baseType="lpstr">
      <vt:lpstr>CEDAW/C/2010/47/3/Add.4</vt:lpstr>
    </vt:vector>
  </TitlesOfParts>
  <Company>CSD</Company>
  <LinksUpToDate>false</LinksUpToDate>
  <CharactersWithSpaces>31465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CEDAW/C/2010/47/3/Add.4</dc:title>
  <dc:subject>awada-Sabet</dc:subject>
  <dc:creator>Mervat</dc:creator>
  <cp:keywords/>
  <dc:description>تدقيق: حموده</dc:description>
  <cp:lastModifiedBy>HAMOUDA</cp:lastModifiedBy>
  <cp:revision>2</cp:revision>
  <cp:lastPrinted>2010-10-08T14:46:00Z</cp:lastPrinted>
  <dcterms:created xsi:type="dcterms:W3CDTF">2010-10-08T15:00:00Z</dcterms:created>
  <dcterms:modified xsi:type="dcterms:W3CDTF">2010-10-08T15:00:00Z</dcterms:modified>
</cp:coreProperties>
</file>