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E5027" w:rsidTr="00EB711D">
        <w:trPr>
          <w:trHeight w:val="851"/>
        </w:trPr>
        <w:tc>
          <w:tcPr>
            <w:tcW w:w="1259" w:type="dxa"/>
          </w:tcPr>
          <w:p w:rsidR="00446DE4" w:rsidRPr="008E5027" w:rsidRDefault="00446DE4" w:rsidP="00473FF8">
            <w:pPr>
              <w:spacing w:after="80" w:line="340" w:lineRule="exact"/>
            </w:pPr>
          </w:p>
        </w:tc>
        <w:tc>
          <w:tcPr>
            <w:tcW w:w="2236" w:type="dxa"/>
            <w:vAlign w:val="bottom"/>
          </w:tcPr>
          <w:p w:rsidR="00446DE4" w:rsidRPr="000B55EC" w:rsidRDefault="000B55EC" w:rsidP="00473FF8">
            <w:pPr>
              <w:spacing w:after="80" w:line="340" w:lineRule="exact"/>
              <w:rPr>
                <w:sz w:val="28"/>
                <w:szCs w:val="28"/>
              </w:rPr>
            </w:pPr>
            <w:r w:rsidRPr="000B55EC">
              <w:rPr>
                <w:sz w:val="28"/>
                <w:szCs w:val="28"/>
                <w:lang w:val="fr-FR"/>
              </w:rPr>
              <w:t>Nations Unies</w:t>
            </w:r>
          </w:p>
        </w:tc>
        <w:tc>
          <w:tcPr>
            <w:tcW w:w="6144" w:type="dxa"/>
            <w:gridSpan w:val="2"/>
            <w:vAlign w:val="bottom"/>
          </w:tcPr>
          <w:p w:rsidR="00446DE4" w:rsidRPr="008E5027" w:rsidRDefault="000A78E8" w:rsidP="000A78E8">
            <w:pPr>
              <w:suppressAutoHyphens w:val="0"/>
              <w:spacing w:after="20"/>
              <w:jc w:val="right"/>
            </w:pPr>
            <w:r w:rsidRPr="008E5027">
              <w:rPr>
                <w:sz w:val="40"/>
              </w:rPr>
              <w:t>CRC</w:t>
            </w:r>
            <w:r w:rsidRPr="008E5027">
              <w:t>/C/JPN/3</w:t>
            </w:r>
          </w:p>
        </w:tc>
      </w:tr>
      <w:tr w:rsidR="003107FA" w:rsidRPr="000B55EC" w:rsidTr="00EB711D">
        <w:trPr>
          <w:trHeight w:val="2835"/>
        </w:trPr>
        <w:tc>
          <w:tcPr>
            <w:tcW w:w="1259" w:type="dxa"/>
          </w:tcPr>
          <w:p w:rsidR="003107FA" w:rsidRPr="008E5027" w:rsidRDefault="00942BE3" w:rsidP="00942BE3">
            <w:pPr>
              <w:spacing w:before="120"/>
              <w:jc w:val="center"/>
            </w:pPr>
            <w:r w:rsidRPr="008E50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Pr>
          <w:p w:rsidR="003107FA" w:rsidRPr="000B55EC" w:rsidRDefault="000B55EC" w:rsidP="00EB711D">
            <w:pPr>
              <w:spacing w:before="120" w:line="460" w:lineRule="exact"/>
              <w:rPr>
                <w:b/>
                <w:sz w:val="40"/>
                <w:szCs w:val="40"/>
                <w:lang w:val="fr-FR"/>
              </w:rPr>
            </w:pPr>
            <w:r w:rsidRPr="000B55EC">
              <w:rPr>
                <w:b/>
                <w:sz w:val="40"/>
                <w:szCs w:val="40"/>
                <w:lang w:val="fr-FR"/>
              </w:rPr>
              <w:t xml:space="preserve">Convention relative </w:t>
            </w:r>
            <w:r w:rsidR="00EB711D">
              <w:rPr>
                <w:b/>
                <w:sz w:val="40"/>
                <w:szCs w:val="40"/>
                <w:lang w:val="fr-FR"/>
              </w:rPr>
              <w:br/>
            </w:r>
            <w:r w:rsidRPr="000B55EC">
              <w:rPr>
                <w:b/>
                <w:sz w:val="40"/>
                <w:szCs w:val="40"/>
                <w:lang w:val="fr-FR"/>
              </w:rPr>
              <w:t>aux droits de l</w:t>
            </w:r>
            <w:r w:rsidR="00277023">
              <w:rPr>
                <w:b/>
                <w:sz w:val="40"/>
                <w:lang w:val="fr-FR"/>
              </w:rPr>
              <w:t>’</w:t>
            </w:r>
            <w:r w:rsidRPr="000B55EC">
              <w:rPr>
                <w:b/>
                <w:sz w:val="40"/>
                <w:szCs w:val="40"/>
                <w:lang w:val="fr-FR"/>
              </w:rPr>
              <w:t>enfant</w:t>
            </w:r>
          </w:p>
        </w:tc>
        <w:tc>
          <w:tcPr>
            <w:tcW w:w="2930" w:type="dxa"/>
          </w:tcPr>
          <w:p w:rsidR="000A78E8" w:rsidRPr="000B55EC" w:rsidRDefault="000A78E8" w:rsidP="00EB711D">
            <w:pPr>
              <w:suppressAutoHyphens w:val="0"/>
              <w:spacing w:before="240"/>
              <w:rPr>
                <w:lang w:val="fr-FR"/>
              </w:rPr>
            </w:pPr>
            <w:r w:rsidRPr="000B55EC">
              <w:rPr>
                <w:lang w:val="fr-FR"/>
              </w:rPr>
              <w:t xml:space="preserve">Distr. </w:t>
            </w:r>
            <w:r w:rsidR="000B55EC" w:rsidRPr="000B55EC">
              <w:rPr>
                <w:lang w:val="fr-FR"/>
              </w:rPr>
              <w:t>générale</w:t>
            </w:r>
          </w:p>
          <w:p w:rsidR="000A78E8" w:rsidRPr="000B55EC" w:rsidRDefault="000A78E8" w:rsidP="000A78E8">
            <w:pPr>
              <w:suppressAutoHyphens w:val="0"/>
              <w:rPr>
                <w:lang w:val="fr-FR"/>
              </w:rPr>
            </w:pPr>
            <w:r w:rsidRPr="000B55EC">
              <w:rPr>
                <w:lang w:val="fr-FR"/>
              </w:rPr>
              <w:t xml:space="preserve">25 </w:t>
            </w:r>
            <w:r w:rsidR="000B55EC" w:rsidRPr="000B55EC">
              <w:rPr>
                <w:lang w:val="fr-FR"/>
              </w:rPr>
              <w:t xml:space="preserve">septembre </w:t>
            </w:r>
            <w:r w:rsidRPr="000B55EC">
              <w:rPr>
                <w:lang w:val="fr-FR"/>
              </w:rPr>
              <w:t>2009</w:t>
            </w:r>
          </w:p>
          <w:p w:rsidR="000A78E8" w:rsidRPr="000B55EC" w:rsidRDefault="000B55EC" w:rsidP="000A78E8">
            <w:pPr>
              <w:suppressAutoHyphens w:val="0"/>
              <w:rPr>
                <w:lang w:val="fr-FR"/>
              </w:rPr>
            </w:pPr>
            <w:r w:rsidRPr="000B55EC">
              <w:rPr>
                <w:lang w:val="fr-FR"/>
              </w:rPr>
              <w:t>Français</w:t>
            </w:r>
          </w:p>
          <w:p w:rsidR="003107FA" w:rsidRPr="000B55EC" w:rsidRDefault="000A78E8" w:rsidP="000A78E8">
            <w:pPr>
              <w:suppressAutoHyphens w:val="0"/>
              <w:rPr>
                <w:lang w:val="fr-FR"/>
              </w:rPr>
            </w:pPr>
            <w:r w:rsidRPr="000B55EC">
              <w:rPr>
                <w:lang w:val="fr-FR"/>
              </w:rPr>
              <w:t xml:space="preserve">Original: </w:t>
            </w:r>
            <w:r w:rsidR="00EB711D">
              <w:rPr>
                <w:lang w:val="fr-FR"/>
              </w:rPr>
              <w:t>anglais</w:t>
            </w:r>
          </w:p>
        </w:tc>
      </w:tr>
    </w:tbl>
    <w:p w:rsidR="000A78E8" w:rsidRPr="000B55EC" w:rsidRDefault="000B55EC">
      <w:pPr>
        <w:spacing w:before="120"/>
        <w:rPr>
          <w:b/>
          <w:sz w:val="24"/>
          <w:szCs w:val="24"/>
          <w:lang w:val="fr-FR"/>
        </w:rPr>
      </w:pPr>
      <w:r w:rsidRPr="000B55EC">
        <w:rPr>
          <w:b/>
          <w:sz w:val="24"/>
          <w:szCs w:val="24"/>
          <w:lang w:val="fr-FR"/>
        </w:rPr>
        <w:t>Comite des droits de l</w:t>
      </w:r>
      <w:r w:rsidR="00277023">
        <w:rPr>
          <w:b/>
          <w:lang w:val="fr-FR"/>
        </w:rPr>
        <w:t>’</w:t>
      </w:r>
      <w:r w:rsidRPr="000B55EC">
        <w:rPr>
          <w:b/>
          <w:sz w:val="24"/>
          <w:szCs w:val="24"/>
          <w:lang w:val="fr-FR"/>
        </w:rPr>
        <w:t>enfant</w:t>
      </w:r>
    </w:p>
    <w:p w:rsidR="000A78E8" w:rsidRPr="007361C0" w:rsidRDefault="007361C0" w:rsidP="007361C0">
      <w:pPr>
        <w:pStyle w:val="HMG"/>
        <w:rPr>
          <w:lang w:val="fr-FR"/>
        </w:rPr>
      </w:pPr>
      <w:r w:rsidRPr="000B55EC">
        <w:rPr>
          <w:lang w:val="fr-FR"/>
        </w:rPr>
        <w:tab/>
      </w:r>
      <w:r w:rsidRPr="000B55EC">
        <w:rPr>
          <w:lang w:val="fr-FR"/>
        </w:rPr>
        <w:tab/>
      </w:r>
      <w:r w:rsidRPr="007361C0">
        <w:rPr>
          <w:lang w:val="fr-FR"/>
        </w:rPr>
        <w:t>Examen des rapports soumis par les Etats parties en application de l</w:t>
      </w:r>
      <w:r w:rsidR="00277023">
        <w:rPr>
          <w:lang w:val="fr-FR"/>
        </w:rPr>
        <w:t>’</w:t>
      </w:r>
      <w:r w:rsidRPr="007361C0">
        <w:rPr>
          <w:lang w:val="fr-FR"/>
        </w:rPr>
        <w:t xml:space="preserve">article 44 de </w:t>
      </w:r>
      <w:smartTag w:uri="urn:schemas-microsoft-com:office:smarttags" w:element="PersonName">
        <w:smartTagPr>
          <w:attr w:name="ProductID" w:val="LA CONVENTION"/>
        </w:smartTagPr>
        <w:r w:rsidRPr="007361C0">
          <w:rPr>
            <w:lang w:val="fr-FR"/>
          </w:rPr>
          <w:t>la Convention</w:t>
        </w:r>
      </w:smartTag>
    </w:p>
    <w:p w:rsidR="000A78E8" w:rsidRPr="007361C0" w:rsidRDefault="000A78E8" w:rsidP="004909C6">
      <w:pPr>
        <w:pStyle w:val="HChG"/>
        <w:rPr>
          <w:lang w:val="fr-FR"/>
        </w:rPr>
      </w:pPr>
      <w:r w:rsidRPr="00A9106B">
        <w:rPr>
          <w:lang w:val="fr-FR"/>
        </w:rPr>
        <w:tab/>
      </w:r>
      <w:r w:rsidRPr="00A9106B">
        <w:rPr>
          <w:lang w:val="fr-FR"/>
        </w:rPr>
        <w:tab/>
      </w:r>
      <w:r w:rsidR="007361C0" w:rsidRPr="007361C0">
        <w:rPr>
          <w:bCs/>
          <w:lang w:val="fr-FR"/>
        </w:rPr>
        <w:t xml:space="preserve">Troisième rapport périodique des Etats parties attendu </w:t>
      </w:r>
      <w:r w:rsidR="007361C0">
        <w:rPr>
          <w:bCs/>
          <w:lang w:val="fr-FR"/>
        </w:rPr>
        <w:br/>
      </w:r>
      <w:r w:rsidR="007361C0" w:rsidRPr="007361C0">
        <w:rPr>
          <w:bCs/>
          <w:lang w:val="fr-FR"/>
        </w:rPr>
        <w:t>en 2006</w:t>
      </w:r>
    </w:p>
    <w:p w:rsidR="000A78E8" w:rsidRPr="00D74CA4" w:rsidRDefault="000A78E8" w:rsidP="00404B54">
      <w:pPr>
        <w:pStyle w:val="HMG"/>
        <w:rPr>
          <w:lang w:val="es-ES"/>
        </w:rPr>
      </w:pPr>
      <w:r w:rsidRPr="007361C0">
        <w:rPr>
          <w:lang w:val="fr-FR"/>
        </w:rPr>
        <w:tab/>
      </w:r>
      <w:r w:rsidRPr="007361C0">
        <w:rPr>
          <w:lang w:val="fr-FR"/>
        </w:rPr>
        <w:tab/>
      </w:r>
      <w:r w:rsidR="00A9106B" w:rsidRPr="00A9106B">
        <w:rPr>
          <w:lang w:val="fr-FR"/>
        </w:rPr>
        <w:t>Japon</w:t>
      </w:r>
      <w:r w:rsidRPr="00D74CA4">
        <w:rPr>
          <w:rStyle w:val="FootnoteReference"/>
          <w:b w:val="0"/>
          <w:sz w:val="20"/>
          <w:vertAlign w:val="baseline"/>
          <w:lang w:val="es-ES"/>
        </w:rPr>
        <w:footnoteReference w:customMarkFollows="1" w:id="2"/>
        <w:t>*</w:t>
      </w:r>
    </w:p>
    <w:p w:rsidR="000A78E8" w:rsidRPr="00D74CA4" w:rsidRDefault="000A78E8" w:rsidP="006847D6">
      <w:pPr>
        <w:pStyle w:val="SingleTxtG"/>
        <w:jc w:val="right"/>
        <w:rPr>
          <w:lang w:val="es-ES"/>
        </w:rPr>
      </w:pPr>
      <w:r w:rsidRPr="00D74CA4">
        <w:rPr>
          <w:lang w:val="es-ES"/>
        </w:rPr>
        <w:t xml:space="preserve">[22 </w:t>
      </w:r>
      <w:r w:rsidR="007361C0" w:rsidRPr="007361C0">
        <w:rPr>
          <w:lang w:val="fr-FR"/>
        </w:rPr>
        <w:t>avril 2008</w:t>
      </w:r>
      <w:r w:rsidR="005B2C78" w:rsidRPr="00D74CA4">
        <w:rPr>
          <w:lang w:val="es-ES"/>
        </w:rPr>
        <w:t>]</w:t>
      </w:r>
    </w:p>
    <w:p w:rsidR="006B555F" w:rsidRPr="00D74CA4" w:rsidRDefault="006847D6" w:rsidP="00216A24">
      <w:pPr>
        <w:pStyle w:val="HChG"/>
        <w:rPr>
          <w:lang w:val="es-ES"/>
        </w:rPr>
      </w:pPr>
      <w:r w:rsidRPr="00D74CA4">
        <w:rPr>
          <w:lang w:val="es-ES"/>
        </w:rPr>
        <w:br w:type="page"/>
      </w:r>
      <w:r w:rsidR="00216A24" w:rsidRPr="00D74CA4">
        <w:rPr>
          <w:lang w:val="es-ES"/>
        </w:rPr>
        <w:tab/>
      </w:r>
      <w:r w:rsidR="00216A24" w:rsidRPr="00D74CA4">
        <w:rPr>
          <w:lang w:val="es-ES"/>
        </w:rPr>
        <w:tab/>
      </w:r>
      <w:r w:rsidR="00941F6F" w:rsidRPr="00941F6F">
        <w:rPr>
          <w:lang w:val="fr-FR"/>
        </w:rPr>
        <w:t>Aperçu g</w:t>
      </w:r>
      <w:r w:rsidR="005F3BB5">
        <w:rPr>
          <w:lang w:val="fr-FR"/>
        </w:rPr>
        <w:t>é</w:t>
      </w:r>
      <w:r w:rsidR="00941F6F" w:rsidRPr="00941F6F">
        <w:rPr>
          <w:lang w:val="fr-FR"/>
        </w:rPr>
        <w:t>n</w:t>
      </w:r>
      <w:r w:rsidR="005F3BB5">
        <w:rPr>
          <w:lang w:val="fr-FR"/>
        </w:rPr>
        <w:t>é</w:t>
      </w:r>
      <w:r w:rsidR="00941F6F" w:rsidRPr="00941F6F">
        <w:rPr>
          <w:lang w:val="fr-FR"/>
        </w:rPr>
        <w:t>ral</w:t>
      </w:r>
    </w:p>
    <w:p w:rsidR="006B555F" w:rsidRPr="00D74CA4" w:rsidRDefault="00663710" w:rsidP="00941F6F">
      <w:pPr>
        <w:pStyle w:val="HChG"/>
        <w:rPr>
          <w:lang w:val="es-ES"/>
        </w:rPr>
      </w:pPr>
      <w:r w:rsidRPr="00D74CA4">
        <w:rPr>
          <w:lang w:val="es-ES"/>
        </w:rPr>
        <w:tab/>
        <w:t>I.</w:t>
      </w:r>
      <w:r w:rsidRPr="00D74CA4">
        <w:rPr>
          <w:lang w:val="es-ES"/>
        </w:rPr>
        <w:tab/>
      </w:r>
      <w:r w:rsidR="00941F6F" w:rsidRPr="00941F6F">
        <w:rPr>
          <w:lang w:val="fr-FR"/>
        </w:rPr>
        <w:t>Mesures d</w:t>
      </w:r>
      <w:r w:rsidR="00277023">
        <w:rPr>
          <w:lang w:val="fr-FR"/>
        </w:rPr>
        <w:t>’</w:t>
      </w:r>
      <w:r w:rsidR="00941F6F" w:rsidRPr="00941F6F">
        <w:rPr>
          <w:lang w:val="fr-FR"/>
        </w:rPr>
        <w:t>application g</w:t>
      </w:r>
      <w:r w:rsidR="007E500C">
        <w:rPr>
          <w:lang w:val="fr-FR"/>
        </w:rPr>
        <w:t>é</w:t>
      </w:r>
      <w:r w:rsidR="00941F6F" w:rsidRPr="00941F6F">
        <w:rPr>
          <w:lang w:val="fr-FR"/>
        </w:rPr>
        <w:t>n</w:t>
      </w:r>
      <w:r w:rsidR="007E500C">
        <w:rPr>
          <w:lang w:val="fr-FR"/>
        </w:rPr>
        <w:t>é</w:t>
      </w:r>
      <w:r w:rsidR="00941F6F" w:rsidRPr="00941F6F">
        <w:rPr>
          <w:lang w:val="fr-FR"/>
        </w:rPr>
        <w:t>rales</w:t>
      </w:r>
    </w:p>
    <w:p w:rsidR="00941F6F" w:rsidRPr="00941F6F" w:rsidRDefault="00941F6F" w:rsidP="00941F6F">
      <w:pPr>
        <w:pStyle w:val="SingleTxtG"/>
        <w:ind w:firstLine="567"/>
        <w:rPr>
          <w:lang w:val="fr-FR"/>
        </w:rPr>
      </w:pPr>
      <w:r w:rsidRPr="00941F6F">
        <w:rPr>
          <w:lang w:val="fr-FR"/>
        </w:rPr>
        <w:t xml:space="preserve">Après la présentation du deuxième rapport du Japon sur </w:t>
      </w:r>
      <w:smartTag w:uri="urn:schemas-microsoft-com:office:smarttags" w:element="PersonName">
        <w:smartTagPr>
          <w:attr w:name="ProductID" w:val="LA CONVENTION"/>
        </w:smartTagPr>
        <w:r w:rsidRPr="00941F6F">
          <w:rPr>
            <w:lang w:val="fr-FR"/>
          </w:rPr>
          <w:t>la Convention</w:t>
        </w:r>
      </w:smartTag>
      <w:r w:rsidRPr="00941F6F">
        <w:rPr>
          <w:lang w:val="fr-FR"/>
        </w:rPr>
        <w:t xml:space="preserve"> relative aux droits de l</w:t>
      </w:r>
      <w:r w:rsidR="00277023">
        <w:rPr>
          <w:lang w:val="fr-FR"/>
        </w:rPr>
        <w:t>’</w:t>
      </w:r>
      <w:r w:rsidRPr="00941F6F">
        <w:rPr>
          <w:lang w:val="fr-FR"/>
        </w:rPr>
        <w:t>enfant (</w:t>
      </w:r>
      <w:r w:rsidR="008E49D4">
        <w:rPr>
          <w:lang w:val="fr-FR"/>
        </w:rPr>
        <w:t>“</w:t>
      </w:r>
      <w:smartTag w:uri="urn:schemas-microsoft-com:office:smarttags" w:element="PersonName">
        <w:smartTagPr>
          <w:attr w:name="ProductID" w:val="LA CONVENTION"/>
        </w:smartTagPr>
        <w:r w:rsidRPr="00941F6F">
          <w:rPr>
            <w:lang w:val="fr-FR"/>
          </w:rPr>
          <w:t>la Convention</w:t>
        </w:r>
      </w:smartTag>
      <w:r w:rsidR="008E49D4">
        <w:rPr>
          <w:lang w:val="fr-FR"/>
        </w:rPr>
        <w:t>”</w:t>
      </w:r>
      <w:r w:rsidRPr="00941F6F">
        <w:rPr>
          <w:lang w:val="fr-FR"/>
        </w:rPr>
        <w:t>), le Japon a accompli de réels progrès au regard de l</w:t>
      </w:r>
      <w:r w:rsidR="00277023">
        <w:rPr>
          <w:lang w:val="fr-FR"/>
        </w:rPr>
        <w:t>’</w:t>
      </w:r>
      <w:r w:rsidRPr="00941F6F">
        <w:rPr>
          <w:lang w:val="fr-FR"/>
        </w:rPr>
        <w:t xml:space="preserve">amélioration de ses dispositifs internes de mise en œuvre de </w:t>
      </w:r>
      <w:smartTag w:uri="urn:schemas-microsoft-com:office:smarttags" w:element="PersonName">
        <w:smartTagPr>
          <w:attr w:name="ProductID" w:val="LA CONVENTION"/>
        </w:smartTagPr>
        <w:r w:rsidRPr="00941F6F">
          <w:rPr>
            <w:lang w:val="fr-FR"/>
          </w:rPr>
          <w:t>la Convention</w:t>
        </w:r>
      </w:smartTag>
      <w:r w:rsidRPr="00941F6F">
        <w:rPr>
          <w:lang w:val="fr-FR"/>
        </w:rPr>
        <w:t xml:space="preserve">, outre les avancées enregistrées dans chacun des domaines couverts par </w:t>
      </w:r>
      <w:smartTag w:uri="urn:schemas-microsoft-com:office:smarttags" w:element="PersonName">
        <w:smartTagPr>
          <w:attr w:name="ProductID" w:val="la Convention."/>
        </w:smartTagPr>
        <w:r w:rsidRPr="00941F6F">
          <w:rPr>
            <w:lang w:val="fr-FR"/>
          </w:rPr>
          <w:t>la Convention.</w:t>
        </w:r>
      </w:smartTag>
    </w:p>
    <w:p w:rsidR="00941F6F" w:rsidRPr="00941F6F" w:rsidRDefault="00941F6F" w:rsidP="00941F6F">
      <w:pPr>
        <w:pStyle w:val="SingleTxtG"/>
        <w:ind w:firstLine="567"/>
        <w:rPr>
          <w:lang w:val="fr-FR"/>
        </w:rPr>
      </w:pPr>
      <w:r w:rsidRPr="00941F6F">
        <w:rPr>
          <w:lang w:val="fr-FR"/>
        </w:rPr>
        <w:t>Ainsi, en juin 2003, le Japon a établi le Centre pour le développement de la jeunesse avec la participation de tous les ministres, de manière à ce que l</w:t>
      </w:r>
      <w:r w:rsidR="00277023">
        <w:rPr>
          <w:lang w:val="fr-FR"/>
        </w:rPr>
        <w:t>’</w:t>
      </w:r>
      <w:r w:rsidRPr="00941F6F">
        <w:rPr>
          <w:lang w:val="fr-FR"/>
        </w:rPr>
        <w:t xml:space="preserve">ensemble du Gouvernement soutienne fermement les mesures de développement de la jeunesse et des enfants en tenant compte de </w:t>
      </w:r>
      <w:smartTag w:uri="urn:schemas-microsoft-com:office:smarttags" w:element="PersonName">
        <w:smartTagPr>
          <w:attr w:name="ProductID" w:val="la Convention. En"/>
        </w:smartTagPr>
        <w:r w:rsidRPr="00941F6F">
          <w:rPr>
            <w:lang w:val="fr-FR"/>
          </w:rPr>
          <w:t>la Convention. En</w:t>
        </w:r>
      </w:smartTag>
      <w:r w:rsidRPr="00941F6F">
        <w:rPr>
          <w:lang w:val="fr-FR"/>
        </w:rPr>
        <w:t xml:space="preserve"> décembre de la même année, le Centre a formulé </w:t>
      </w:r>
      <w:smartTag w:uri="urn:schemas-microsoft-com:office:smarttags" w:element="PersonName">
        <w:smartTagPr>
          <w:attr w:name="ProductID" w:val="la Politique"/>
        </w:smartTagPr>
        <w:r w:rsidRPr="00941F6F">
          <w:rPr>
            <w:lang w:val="fr-FR"/>
          </w:rPr>
          <w:t>la Politique</w:t>
        </w:r>
      </w:smartTag>
      <w:r w:rsidRPr="00941F6F">
        <w:rPr>
          <w:lang w:val="fr-FR"/>
        </w:rPr>
        <w:t xml:space="preserve"> nationale en faveur de la jeunesse afin de faire connaître les principes directeurs qui guident l</w:t>
      </w:r>
      <w:r w:rsidR="00277023">
        <w:rPr>
          <w:lang w:val="fr-FR"/>
        </w:rPr>
        <w:t>’</w:t>
      </w:r>
      <w:r w:rsidRPr="00941F6F">
        <w:rPr>
          <w:lang w:val="fr-FR"/>
        </w:rPr>
        <w:t>action du Gouvernement et l</w:t>
      </w:r>
      <w:r w:rsidR="00277023">
        <w:rPr>
          <w:lang w:val="fr-FR"/>
        </w:rPr>
        <w:t>’</w:t>
      </w:r>
      <w:r w:rsidRPr="00941F6F">
        <w:rPr>
          <w:lang w:val="fr-FR"/>
        </w:rPr>
        <w:t>orientation des mesures à moyen et long terme relatives au développement de la jeunesse.</w:t>
      </w:r>
    </w:p>
    <w:p w:rsidR="00941F6F" w:rsidRPr="00941F6F" w:rsidRDefault="00941F6F" w:rsidP="00941F6F">
      <w:pPr>
        <w:pStyle w:val="SingleTxtG"/>
        <w:rPr>
          <w:lang w:val="fr-FR"/>
        </w:rPr>
      </w:pPr>
      <w:r>
        <w:rPr>
          <w:lang w:val="fr-FR"/>
        </w:rPr>
        <w:tab/>
      </w:r>
      <w:r w:rsidRPr="00941F6F">
        <w:rPr>
          <w:lang w:val="fr-FR"/>
        </w:rPr>
        <w:t>En octobre 2006, le Conseil de réforme de l</w:t>
      </w:r>
      <w:r w:rsidR="00277023">
        <w:rPr>
          <w:lang w:val="fr-FR"/>
        </w:rPr>
        <w:t>’</w:t>
      </w:r>
      <w:r w:rsidRPr="00941F6F">
        <w:rPr>
          <w:lang w:val="fr-FR"/>
        </w:rPr>
        <w:t>éducation a été créé pour réfléchir à des politiques fondamentales qui permettraient de rénover l</w:t>
      </w:r>
      <w:r w:rsidR="00277023">
        <w:rPr>
          <w:lang w:val="fr-FR"/>
        </w:rPr>
        <w:t>’</w:t>
      </w:r>
      <w:r w:rsidRPr="00941F6F">
        <w:rPr>
          <w:lang w:val="fr-FR"/>
        </w:rPr>
        <w:t>éducation dans une perspective globale. Au cours de la séance, le Conseil s</w:t>
      </w:r>
      <w:r w:rsidR="00277023">
        <w:rPr>
          <w:lang w:val="fr-FR"/>
        </w:rPr>
        <w:t>’</w:t>
      </w:r>
      <w:r w:rsidRPr="00941F6F">
        <w:rPr>
          <w:lang w:val="fr-FR"/>
        </w:rPr>
        <w:t>est penché sur la refonte de l</w:t>
      </w:r>
      <w:r w:rsidR="00277023">
        <w:rPr>
          <w:lang w:val="fr-FR"/>
        </w:rPr>
        <w:t>’</w:t>
      </w:r>
      <w:r w:rsidRPr="00941F6F">
        <w:rPr>
          <w:lang w:val="fr-FR"/>
        </w:rPr>
        <w:t>enseignement public, ainsi que sur le rôle éducatif des familles et des communautés, dans l</w:t>
      </w:r>
      <w:r w:rsidR="00277023">
        <w:rPr>
          <w:lang w:val="fr-FR"/>
        </w:rPr>
        <w:t>’</w:t>
      </w:r>
      <w:r w:rsidRPr="00941F6F">
        <w:rPr>
          <w:lang w:val="fr-FR"/>
        </w:rPr>
        <w:t>objectif d</w:t>
      </w:r>
      <w:r w:rsidR="00277023">
        <w:rPr>
          <w:lang w:val="fr-FR"/>
        </w:rPr>
        <w:t>’</w:t>
      </w:r>
      <w:r w:rsidRPr="00941F6F">
        <w:rPr>
          <w:lang w:val="fr-FR"/>
        </w:rPr>
        <w:t>assurer aux enfants la possibilité d</w:t>
      </w:r>
      <w:r w:rsidR="00277023">
        <w:rPr>
          <w:lang w:val="fr-FR"/>
        </w:rPr>
        <w:t>’</w:t>
      </w:r>
      <w:r w:rsidRPr="00941F6F">
        <w:rPr>
          <w:lang w:val="fr-FR"/>
        </w:rPr>
        <w:t>accéder à un niveau d</w:t>
      </w:r>
      <w:r w:rsidR="00277023">
        <w:rPr>
          <w:lang w:val="fr-FR"/>
        </w:rPr>
        <w:t>’</w:t>
      </w:r>
      <w:r w:rsidRPr="00941F6F">
        <w:rPr>
          <w:lang w:val="fr-FR"/>
        </w:rPr>
        <w:t>études élevé et d</w:t>
      </w:r>
      <w:r w:rsidR="00277023">
        <w:rPr>
          <w:lang w:val="fr-FR"/>
        </w:rPr>
        <w:t>’</w:t>
      </w:r>
      <w:r w:rsidRPr="00941F6F">
        <w:rPr>
          <w:lang w:val="fr-FR"/>
        </w:rPr>
        <w:t>acquérir le sens de la discipline. C</w:t>
      </w:r>
      <w:r w:rsidR="00277023">
        <w:rPr>
          <w:lang w:val="fr-FR"/>
        </w:rPr>
        <w:t>’</w:t>
      </w:r>
      <w:r w:rsidRPr="00941F6F">
        <w:rPr>
          <w:lang w:val="fr-FR"/>
        </w:rPr>
        <w:t>est ainsi que le premier rapport a été soumis en janvier 2007, suivi du deuxième rapport en juin de la même année.</w:t>
      </w:r>
      <w:r w:rsidR="00EA1115">
        <w:rPr>
          <w:lang w:val="fr-FR"/>
        </w:rPr>
        <w:t xml:space="preserve"> </w:t>
      </w:r>
    </w:p>
    <w:p w:rsidR="00941F6F" w:rsidRPr="00941F6F" w:rsidRDefault="00941F6F" w:rsidP="00941F6F">
      <w:pPr>
        <w:pStyle w:val="SingleTxtG"/>
        <w:rPr>
          <w:lang w:val="fr-FR"/>
        </w:rPr>
      </w:pPr>
      <w:r>
        <w:rPr>
          <w:lang w:val="fr-FR"/>
        </w:rPr>
        <w:tab/>
      </w:r>
      <w:r w:rsidRPr="00941F6F">
        <w:rPr>
          <w:lang w:val="fr-FR"/>
        </w:rPr>
        <w:t>S</w:t>
      </w:r>
      <w:r w:rsidR="00277023">
        <w:rPr>
          <w:lang w:val="fr-FR"/>
        </w:rPr>
        <w:t>’</w:t>
      </w:r>
      <w:r w:rsidRPr="00941F6F">
        <w:rPr>
          <w:lang w:val="fr-FR"/>
        </w:rPr>
        <w:t>agissant d</w:t>
      </w:r>
      <w:r w:rsidR="00277023">
        <w:rPr>
          <w:lang w:val="fr-FR"/>
        </w:rPr>
        <w:t>’</w:t>
      </w:r>
      <w:r w:rsidRPr="00941F6F">
        <w:rPr>
          <w:lang w:val="fr-FR"/>
        </w:rPr>
        <w:t>inverser la chute rapide du taux de natalité au Japon et d</w:t>
      </w:r>
      <w:r w:rsidR="00277023">
        <w:rPr>
          <w:lang w:val="fr-FR"/>
        </w:rPr>
        <w:t>’</w:t>
      </w:r>
      <w:r w:rsidRPr="00941F6F">
        <w:rPr>
          <w:lang w:val="fr-FR"/>
        </w:rPr>
        <w:t xml:space="preserve">édifier une société qui permette de donner une éducation de qualité aux enfants, </w:t>
      </w:r>
      <w:smartTag w:uri="urn:schemas-microsoft-com:office:smarttags" w:element="PersonName">
        <w:smartTagPr>
          <w:attr w:name="ProductID" w:val="la Loi"/>
        </w:smartTagPr>
        <w:r w:rsidRPr="00941F6F">
          <w:rPr>
            <w:lang w:val="fr-FR"/>
          </w:rPr>
          <w:t>la Loi</w:t>
        </w:r>
      </w:smartTag>
      <w:r w:rsidRPr="00941F6F">
        <w:rPr>
          <w:lang w:val="fr-FR"/>
        </w:rPr>
        <w:t xml:space="preserve"> fondamentale relative aux mesures destinées à une société accusant une baisse du taux de natalité a été promulguée en juillet 2003. S</w:t>
      </w:r>
      <w:r w:rsidR="00277023">
        <w:rPr>
          <w:lang w:val="fr-FR"/>
        </w:rPr>
        <w:t>’</w:t>
      </w:r>
      <w:r w:rsidRPr="00941F6F">
        <w:rPr>
          <w:lang w:val="fr-FR"/>
        </w:rPr>
        <w:t>appuyant sur cette Loi, le Gouvernement japonais a d</w:t>
      </w:r>
      <w:r w:rsidR="00277023">
        <w:rPr>
          <w:lang w:val="fr-FR"/>
        </w:rPr>
        <w:t>’</w:t>
      </w:r>
      <w:r w:rsidRPr="00941F6F">
        <w:rPr>
          <w:lang w:val="fr-FR"/>
        </w:rPr>
        <w:t>abord élaboré un cadre de mesures en juin 2004 puis un programme d</w:t>
      </w:r>
      <w:r w:rsidR="00277023">
        <w:rPr>
          <w:lang w:val="fr-FR"/>
        </w:rPr>
        <w:t>’</w:t>
      </w:r>
      <w:r w:rsidRPr="00941F6F">
        <w:rPr>
          <w:lang w:val="fr-FR"/>
        </w:rPr>
        <w:t xml:space="preserve">aide à la garde des enfants, qui est un plan spécial de mise en oeuvre du cadre. Le Gouvernement mène actuellement des discussions en vue de formuler une Stratégie ciblée intitulée </w:t>
      </w:r>
      <w:r w:rsidR="008E49D4">
        <w:rPr>
          <w:lang w:val="fr-FR"/>
        </w:rPr>
        <w:t>“</w:t>
      </w:r>
      <w:r w:rsidRPr="00941F6F">
        <w:rPr>
          <w:lang w:val="fr-FR"/>
        </w:rPr>
        <w:t>le Japon soutient les enfants et les familles</w:t>
      </w:r>
      <w:r w:rsidR="008E49D4">
        <w:rPr>
          <w:lang w:val="fr-FR"/>
        </w:rPr>
        <w:t>”</w:t>
      </w:r>
      <w:r w:rsidRPr="00941F6F">
        <w:rPr>
          <w:lang w:val="fr-FR"/>
        </w:rPr>
        <w:t xml:space="preserve"> (titre provisoire).</w:t>
      </w:r>
    </w:p>
    <w:p w:rsidR="00941F6F" w:rsidRPr="00941F6F" w:rsidRDefault="00941F6F" w:rsidP="00941F6F">
      <w:pPr>
        <w:pStyle w:val="SingleTxtG"/>
        <w:rPr>
          <w:lang w:val="fr-FR"/>
        </w:rPr>
      </w:pPr>
      <w:r>
        <w:rPr>
          <w:lang w:val="fr-FR"/>
        </w:rPr>
        <w:tab/>
      </w:r>
      <w:r w:rsidRPr="00941F6F">
        <w:rPr>
          <w:lang w:val="fr-FR"/>
        </w:rPr>
        <w:t xml:space="preserve">Par ailleurs, près de dix ans après la ratification de </w:t>
      </w:r>
      <w:smartTag w:uri="urn:schemas-microsoft-com:office:smarttags" w:element="PersonName">
        <w:smartTagPr>
          <w:attr w:name="ProductID" w:val="LA CONVENTION"/>
        </w:smartTagPr>
        <w:r w:rsidRPr="00941F6F">
          <w:rPr>
            <w:lang w:val="fr-FR"/>
          </w:rPr>
          <w:t>la Convention</w:t>
        </w:r>
      </w:smartTag>
      <w:r w:rsidRPr="00941F6F">
        <w:rPr>
          <w:lang w:val="fr-FR"/>
        </w:rPr>
        <w:t>, les actions engagées à ce titre sont palpables au niveau local et plusieurs changements ont été constatés dans les collectivités locales, notamment l</w:t>
      </w:r>
      <w:r w:rsidR="00277023">
        <w:rPr>
          <w:lang w:val="fr-FR"/>
        </w:rPr>
        <w:t>’</w:t>
      </w:r>
      <w:r w:rsidRPr="00941F6F">
        <w:rPr>
          <w:lang w:val="fr-FR"/>
        </w:rPr>
        <w:t>adoption d</w:t>
      </w:r>
      <w:r w:rsidR="00277023">
        <w:rPr>
          <w:lang w:val="fr-FR"/>
        </w:rPr>
        <w:t>’</w:t>
      </w:r>
      <w:r w:rsidRPr="00941F6F">
        <w:rPr>
          <w:lang w:val="fr-FR"/>
        </w:rPr>
        <w:t>une ordonnance portant notamment sur le droit des enfants d</w:t>
      </w:r>
      <w:r w:rsidR="00277023">
        <w:rPr>
          <w:lang w:val="fr-FR"/>
        </w:rPr>
        <w:t>’</w:t>
      </w:r>
      <w:r w:rsidRPr="00941F6F">
        <w:rPr>
          <w:lang w:val="fr-FR"/>
        </w:rPr>
        <w:t>exprimer leur opinion librement, leur participation sociale et l</w:t>
      </w:r>
      <w:r w:rsidR="00277023">
        <w:rPr>
          <w:lang w:val="fr-FR"/>
        </w:rPr>
        <w:t>’</w:t>
      </w:r>
      <w:r w:rsidRPr="00941F6F">
        <w:rPr>
          <w:lang w:val="fr-FR"/>
        </w:rPr>
        <w:t xml:space="preserve">exercice de leurs droits, ainsi que le stipule </w:t>
      </w:r>
      <w:smartTag w:uri="urn:schemas-microsoft-com:office:smarttags" w:element="PersonName">
        <w:smartTagPr>
          <w:attr w:name="ProductID" w:val="LA CONVENTION"/>
        </w:smartTagPr>
        <w:r w:rsidRPr="00941F6F">
          <w:rPr>
            <w:lang w:val="fr-FR"/>
          </w:rPr>
          <w:t>la Convention</w:t>
        </w:r>
      </w:smartTag>
      <w:r w:rsidRPr="00941F6F">
        <w:rPr>
          <w:lang w:val="fr-FR"/>
        </w:rPr>
        <w:t>, et l</w:t>
      </w:r>
      <w:r w:rsidR="00277023">
        <w:rPr>
          <w:lang w:val="fr-FR"/>
        </w:rPr>
        <w:t>’</w:t>
      </w:r>
      <w:r w:rsidRPr="00941F6F">
        <w:rPr>
          <w:lang w:val="fr-FR"/>
        </w:rPr>
        <w:t>établissement d</w:t>
      </w:r>
      <w:r w:rsidR="00277023">
        <w:rPr>
          <w:lang w:val="fr-FR"/>
        </w:rPr>
        <w:t>’</w:t>
      </w:r>
      <w:r w:rsidRPr="00941F6F">
        <w:rPr>
          <w:lang w:val="fr-FR"/>
        </w:rPr>
        <w:t xml:space="preserve">un médiateur des enfants. </w:t>
      </w:r>
    </w:p>
    <w:p w:rsidR="006B555F" w:rsidRPr="00941F6F" w:rsidRDefault="00941F6F" w:rsidP="00941F6F">
      <w:pPr>
        <w:pStyle w:val="SingleTxtG"/>
        <w:rPr>
          <w:lang w:val="fr-FR"/>
        </w:rPr>
      </w:pPr>
      <w:r>
        <w:rPr>
          <w:lang w:val="fr-FR"/>
        </w:rPr>
        <w:tab/>
      </w:r>
      <w:r w:rsidRPr="00941F6F">
        <w:rPr>
          <w:lang w:val="fr-FR"/>
        </w:rPr>
        <w:t>Le Japon prend une part active à la coopération internationale, notamment par le biais de l</w:t>
      </w:r>
      <w:r w:rsidR="00277023">
        <w:rPr>
          <w:lang w:val="fr-FR"/>
        </w:rPr>
        <w:t>’</w:t>
      </w:r>
      <w:r w:rsidRPr="00941F6F">
        <w:rPr>
          <w:lang w:val="fr-FR"/>
        </w:rPr>
        <w:t>aide publique au développement (APD), afin de promouvoir la protection et le bien-être des enfants dans le monde entier. Ces dernières années en particulier, il a instauré le principe de la sécurité humanitaire qui est le fondement du développement et de l</w:t>
      </w:r>
      <w:r w:rsidR="00277023">
        <w:rPr>
          <w:lang w:val="fr-FR"/>
        </w:rPr>
        <w:t>’</w:t>
      </w:r>
      <w:r w:rsidRPr="00941F6F">
        <w:rPr>
          <w:lang w:val="fr-FR"/>
        </w:rPr>
        <w:t>assistance humanitaires selon le Gouvernement japonais. Ce principe entend permettre le développement d</w:t>
      </w:r>
      <w:r w:rsidR="00277023">
        <w:rPr>
          <w:lang w:val="fr-FR"/>
        </w:rPr>
        <w:t>’</w:t>
      </w:r>
      <w:r w:rsidRPr="00941F6F">
        <w:rPr>
          <w:lang w:val="fr-FR"/>
        </w:rPr>
        <w:t>une société dans laquelle vivre dignement est garanti à tous jusqu</w:t>
      </w:r>
      <w:r w:rsidR="00277023">
        <w:rPr>
          <w:lang w:val="fr-FR"/>
        </w:rPr>
        <w:t>’</w:t>
      </w:r>
      <w:r w:rsidRPr="00941F6F">
        <w:rPr>
          <w:lang w:val="fr-FR"/>
        </w:rPr>
        <w:t>au dernier, grâce à la protection individuelle et au renforcement des capacités, l</w:t>
      </w:r>
      <w:r w:rsidR="00277023">
        <w:rPr>
          <w:lang w:val="fr-FR"/>
        </w:rPr>
        <w:t>’</w:t>
      </w:r>
      <w:r w:rsidRPr="00941F6F">
        <w:rPr>
          <w:lang w:val="fr-FR"/>
        </w:rPr>
        <w:t>être humain étant au cœur du processus. A partir de ce principe, le Japon a renforcé son soutien en réponse à la nécessité croissante de porter secours aux enfants du monde entier touchés par des conflits et/ou des catastrophes naturelles.</w:t>
      </w:r>
    </w:p>
    <w:p w:rsidR="006B555F" w:rsidRPr="00D74CA4" w:rsidRDefault="00663710" w:rsidP="00663710">
      <w:pPr>
        <w:pStyle w:val="HChG"/>
        <w:rPr>
          <w:lang w:val="es-ES"/>
        </w:rPr>
      </w:pPr>
      <w:r w:rsidRPr="00D74CA4">
        <w:rPr>
          <w:lang w:val="es-ES"/>
        </w:rPr>
        <w:tab/>
        <w:t>II.</w:t>
      </w:r>
      <w:r w:rsidRPr="00D74CA4">
        <w:rPr>
          <w:lang w:val="es-ES"/>
        </w:rPr>
        <w:tab/>
      </w:r>
      <w:r w:rsidR="00941F6F" w:rsidRPr="00941F6F">
        <w:rPr>
          <w:lang w:val="fr-FR"/>
        </w:rPr>
        <w:t>Définition de l</w:t>
      </w:r>
      <w:r w:rsidR="00277023">
        <w:rPr>
          <w:lang w:val="fr-FR"/>
        </w:rPr>
        <w:t>’</w:t>
      </w:r>
      <w:r w:rsidR="00941F6F" w:rsidRPr="00941F6F">
        <w:rPr>
          <w:lang w:val="fr-FR"/>
        </w:rPr>
        <w:t>enfant</w:t>
      </w:r>
    </w:p>
    <w:p w:rsidR="006B555F" w:rsidRPr="00941F6F" w:rsidRDefault="005B2C78" w:rsidP="00D63F3A">
      <w:pPr>
        <w:pStyle w:val="SingleTxtG"/>
        <w:rPr>
          <w:lang w:val="fr-FR"/>
        </w:rPr>
      </w:pPr>
      <w:r w:rsidRPr="00D74CA4">
        <w:rPr>
          <w:lang w:val="es-ES"/>
        </w:rPr>
        <w:tab/>
      </w:r>
      <w:r w:rsidR="00941F6F" w:rsidRPr="00941F6F">
        <w:rPr>
          <w:lang w:val="fr-FR"/>
        </w:rPr>
        <w:t>Au Japon, bien qu</w:t>
      </w:r>
      <w:r w:rsidR="00277023">
        <w:rPr>
          <w:lang w:val="fr-FR"/>
        </w:rPr>
        <w:t>’</w:t>
      </w:r>
      <w:r w:rsidR="00941F6F" w:rsidRPr="00941F6F">
        <w:rPr>
          <w:lang w:val="fr-FR"/>
        </w:rPr>
        <w:t>il soit généralement admis que l</w:t>
      </w:r>
      <w:r w:rsidR="00277023">
        <w:rPr>
          <w:lang w:val="fr-FR"/>
        </w:rPr>
        <w:t>’</w:t>
      </w:r>
      <w:r w:rsidR="00941F6F" w:rsidRPr="00941F6F">
        <w:rPr>
          <w:lang w:val="fr-FR"/>
        </w:rPr>
        <w:t>âge de la maturité est de 20 ans, plusieurs lois stipulent qu</w:t>
      </w:r>
      <w:r w:rsidR="00277023">
        <w:rPr>
          <w:lang w:val="fr-FR"/>
        </w:rPr>
        <w:t>’</w:t>
      </w:r>
      <w:r w:rsidR="00941F6F" w:rsidRPr="00941F6F">
        <w:rPr>
          <w:lang w:val="fr-FR"/>
        </w:rPr>
        <w:t>un enfant est une personne qui n</w:t>
      </w:r>
      <w:r w:rsidR="00277023">
        <w:rPr>
          <w:lang w:val="fr-FR"/>
        </w:rPr>
        <w:t>’</w:t>
      </w:r>
      <w:r w:rsidR="00941F6F" w:rsidRPr="00941F6F">
        <w:rPr>
          <w:lang w:val="fr-FR"/>
        </w:rPr>
        <w:t xml:space="preserve">est pas âgée de 18 ans révolus, y compris </w:t>
      </w:r>
      <w:smartTag w:uri="urn:schemas-microsoft-com:office:smarttags" w:element="PersonName">
        <w:smartTagPr>
          <w:attr w:name="ProductID" w:val="la Loi"/>
        </w:smartTagPr>
        <w:r w:rsidR="00941F6F" w:rsidRPr="00941F6F">
          <w:rPr>
            <w:lang w:val="fr-FR"/>
          </w:rPr>
          <w:t>la Loi</w:t>
        </w:r>
      </w:smartTag>
      <w:r w:rsidR="00941F6F" w:rsidRPr="00941F6F">
        <w:rPr>
          <w:lang w:val="fr-FR"/>
        </w:rPr>
        <w:t xml:space="preserve"> sur la protection de l</w:t>
      </w:r>
      <w:r w:rsidR="00277023">
        <w:rPr>
          <w:lang w:val="fr-FR"/>
        </w:rPr>
        <w:t>’</w:t>
      </w:r>
      <w:r w:rsidR="00941F6F" w:rsidRPr="00941F6F">
        <w:rPr>
          <w:lang w:val="fr-FR"/>
        </w:rPr>
        <w:t>enfance.</w:t>
      </w:r>
    </w:p>
    <w:p w:rsidR="006B555F" w:rsidRPr="00D74CA4" w:rsidRDefault="00663710" w:rsidP="00663710">
      <w:pPr>
        <w:pStyle w:val="HChG"/>
        <w:rPr>
          <w:lang w:val="fr-FR"/>
        </w:rPr>
      </w:pPr>
      <w:r w:rsidRPr="00941F6F">
        <w:rPr>
          <w:lang w:val="fr-FR"/>
        </w:rPr>
        <w:tab/>
      </w:r>
      <w:r w:rsidRPr="00D74CA4">
        <w:rPr>
          <w:lang w:val="fr-FR"/>
        </w:rPr>
        <w:t>III.</w:t>
      </w:r>
      <w:r w:rsidRPr="00D74CA4">
        <w:rPr>
          <w:lang w:val="fr-FR"/>
        </w:rPr>
        <w:tab/>
      </w:r>
      <w:smartTag w:uri="urn:schemas-microsoft-com:office:smarttags" w:element="place">
        <w:r w:rsidR="00941F6F" w:rsidRPr="00941F6F">
          <w:rPr>
            <w:lang w:val="fr-FR"/>
          </w:rPr>
          <w:t>Principes</w:t>
        </w:r>
      </w:smartTag>
      <w:r w:rsidR="00941F6F" w:rsidRPr="00941F6F">
        <w:rPr>
          <w:lang w:val="fr-FR"/>
        </w:rPr>
        <w:t xml:space="preserve"> généraux</w:t>
      </w:r>
    </w:p>
    <w:p w:rsidR="00183792" w:rsidRPr="00183792" w:rsidRDefault="005B2C78" w:rsidP="00183792">
      <w:pPr>
        <w:pStyle w:val="SingleTxtG"/>
        <w:rPr>
          <w:lang w:val="fr-FR"/>
        </w:rPr>
      </w:pPr>
      <w:r w:rsidRPr="00D74CA4">
        <w:rPr>
          <w:lang w:val="fr-FR"/>
        </w:rPr>
        <w:tab/>
      </w:r>
      <w:r w:rsidR="00183792" w:rsidRPr="00183792">
        <w:rPr>
          <w:lang w:val="fr-FR"/>
        </w:rPr>
        <w:t xml:space="preserve">Comme par le passé, le Japon traite les questions ayant trait aux enfants en accordant la plus grande attention aux quatre principes généraux exposés dans le présent chapitre. </w:t>
      </w:r>
    </w:p>
    <w:p w:rsidR="00183792" w:rsidRPr="00183792" w:rsidRDefault="00183792" w:rsidP="00183792">
      <w:pPr>
        <w:pStyle w:val="SingleTxtG"/>
        <w:rPr>
          <w:lang w:val="fr-FR"/>
        </w:rPr>
      </w:pPr>
      <w:r>
        <w:rPr>
          <w:lang w:val="fr-FR"/>
        </w:rPr>
        <w:tab/>
      </w:r>
      <w:r w:rsidRPr="00183792">
        <w:rPr>
          <w:lang w:val="fr-FR"/>
        </w:rPr>
        <w:t>S</w:t>
      </w:r>
      <w:r w:rsidR="00277023">
        <w:rPr>
          <w:lang w:val="fr-FR"/>
        </w:rPr>
        <w:t>’</w:t>
      </w:r>
      <w:r w:rsidRPr="00183792">
        <w:rPr>
          <w:lang w:val="fr-FR"/>
        </w:rPr>
        <w:t>agissant de l</w:t>
      </w:r>
      <w:r w:rsidR="00277023">
        <w:rPr>
          <w:lang w:val="fr-FR"/>
        </w:rPr>
        <w:t>’</w:t>
      </w:r>
      <w:r w:rsidRPr="00183792">
        <w:rPr>
          <w:lang w:val="fr-FR"/>
        </w:rPr>
        <w:t>interdiction de la discrimination à l</w:t>
      </w:r>
      <w:r w:rsidR="00277023">
        <w:rPr>
          <w:lang w:val="fr-FR"/>
        </w:rPr>
        <w:t>’</w:t>
      </w:r>
      <w:r w:rsidRPr="00183792">
        <w:rPr>
          <w:lang w:val="fr-FR"/>
        </w:rPr>
        <w:t>égard des enfants (article 2), des mesures fondées sur les plans suivants ont bénéficié d</w:t>
      </w:r>
      <w:r w:rsidR="00277023">
        <w:rPr>
          <w:lang w:val="fr-FR"/>
        </w:rPr>
        <w:t>’</w:t>
      </w:r>
      <w:r w:rsidRPr="00183792">
        <w:rPr>
          <w:lang w:val="fr-FR"/>
        </w:rPr>
        <w:t>une promotion active au cours de la période de référence</w:t>
      </w:r>
      <w:r w:rsidR="00277023">
        <w:rPr>
          <w:lang w:val="fr-FR"/>
        </w:rPr>
        <w:t>:</w:t>
      </w:r>
      <w:r w:rsidRPr="00183792">
        <w:rPr>
          <w:lang w:val="fr-FR"/>
        </w:rPr>
        <w:t xml:space="preserve"> le Plan de base pour la promotion et l</w:t>
      </w:r>
      <w:r w:rsidR="00277023">
        <w:rPr>
          <w:lang w:val="fr-FR"/>
        </w:rPr>
        <w:t>’</w:t>
      </w:r>
      <w:r w:rsidRPr="00183792">
        <w:rPr>
          <w:lang w:val="fr-FR"/>
        </w:rPr>
        <w:t>éducation aux droits de l</w:t>
      </w:r>
      <w:r w:rsidR="00277023">
        <w:rPr>
          <w:lang w:val="fr-FR"/>
        </w:rPr>
        <w:t>’</w:t>
      </w:r>
      <w:r w:rsidRPr="00183792">
        <w:rPr>
          <w:lang w:val="fr-FR"/>
        </w:rPr>
        <w:t xml:space="preserve">homme (formulé en mars 2002), </w:t>
      </w:r>
      <w:smartTag w:uri="urn:schemas-microsoft-com:office:smarttags" w:element="PersonName">
        <w:smartTagPr>
          <w:attr w:name="ProductID" w:val="la Loi"/>
        </w:smartTagPr>
        <w:r w:rsidRPr="00183792">
          <w:rPr>
            <w:lang w:val="fr-FR"/>
          </w:rPr>
          <w:t>la Loi</w:t>
        </w:r>
      </w:smartTag>
      <w:r w:rsidRPr="00183792">
        <w:rPr>
          <w:lang w:val="fr-FR"/>
        </w:rPr>
        <w:t xml:space="preserve"> fondamentale relative aux personnes handicapées (adoptée en décembre 2002) et le Plan de base pour l</w:t>
      </w:r>
      <w:r w:rsidR="00277023">
        <w:rPr>
          <w:lang w:val="fr-FR"/>
        </w:rPr>
        <w:t>’</w:t>
      </w:r>
      <w:r w:rsidRPr="00183792">
        <w:rPr>
          <w:lang w:val="fr-FR"/>
        </w:rPr>
        <w:t>égalité des sexes (modifié en décembre 2005). Le Gouvernement japonais poursuit également l</w:t>
      </w:r>
      <w:r w:rsidR="00277023">
        <w:rPr>
          <w:lang w:val="fr-FR"/>
        </w:rPr>
        <w:t>’</w:t>
      </w:r>
      <w:r w:rsidRPr="00183792">
        <w:rPr>
          <w:lang w:val="fr-FR"/>
        </w:rPr>
        <w:t>examen du projet de Loi relatif à la protection des droits fondamentaux qui vise à établir un nouveau dispositif permettant d</w:t>
      </w:r>
      <w:r w:rsidR="00277023">
        <w:rPr>
          <w:lang w:val="fr-FR"/>
        </w:rPr>
        <w:t>’</w:t>
      </w:r>
      <w:r w:rsidRPr="00183792">
        <w:rPr>
          <w:lang w:val="fr-FR"/>
        </w:rPr>
        <w:t>offrir une assistance efficace aux victimes (notamment aux enfants) de violations des droits de l</w:t>
      </w:r>
      <w:r w:rsidR="00277023">
        <w:rPr>
          <w:lang w:val="fr-FR"/>
        </w:rPr>
        <w:t>’</w:t>
      </w:r>
      <w:r w:rsidRPr="00183792">
        <w:rPr>
          <w:lang w:val="fr-FR"/>
        </w:rPr>
        <w:t>homme, que sont par exemple la discrimination et la maltraitance.</w:t>
      </w:r>
    </w:p>
    <w:p w:rsidR="006B555F" w:rsidRPr="00183792" w:rsidRDefault="00183792" w:rsidP="00183792">
      <w:pPr>
        <w:pStyle w:val="SingleTxtG"/>
        <w:rPr>
          <w:lang w:val="fr-FR"/>
        </w:rPr>
      </w:pPr>
      <w:r>
        <w:rPr>
          <w:lang w:val="fr-FR"/>
        </w:rPr>
        <w:tab/>
      </w:r>
      <w:r w:rsidRPr="00183792">
        <w:rPr>
          <w:lang w:val="fr-FR"/>
        </w:rPr>
        <w:t>Par ailleurs, en réponse aux préoccupations croissantes au Japon concernant le suicide des enfants et les crimes perpétrés contre des enfants, des actions ont été encouragées</w:t>
      </w:r>
      <w:r w:rsidR="00277023">
        <w:rPr>
          <w:lang w:val="fr-FR"/>
        </w:rPr>
        <w:t>;</w:t>
      </w:r>
      <w:r w:rsidRPr="00183792">
        <w:rPr>
          <w:lang w:val="fr-FR"/>
        </w:rPr>
        <w:t xml:space="preserve"> ainsi, des mesures impliquant l</w:t>
      </w:r>
      <w:r w:rsidR="00277023">
        <w:rPr>
          <w:lang w:val="fr-FR"/>
        </w:rPr>
        <w:t>’</w:t>
      </w:r>
      <w:r w:rsidRPr="00183792">
        <w:rPr>
          <w:lang w:val="fr-FR"/>
        </w:rPr>
        <w:t>ensemble du Gouvernement, formulées et récapitulées en décembre 2005, visent à prévenir les suicides, notamment ceux des enfants, et à protéger les enfants contre les crimes.</w:t>
      </w:r>
    </w:p>
    <w:p w:rsidR="006B555F" w:rsidRPr="00D74CA4" w:rsidRDefault="00663710" w:rsidP="00663710">
      <w:pPr>
        <w:pStyle w:val="HChG"/>
        <w:rPr>
          <w:lang w:val="fr-FR"/>
        </w:rPr>
      </w:pPr>
      <w:r w:rsidRPr="00183792">
        <w:rPr>
          <w:lang w:val="fr-FR"/>
        </w:rPr>
        <w:tab/>
      </w:r>
      <w:r w:rsidRPr="00D74CA4">
        <w:rPr>
          <w:lang w:val="fr-FR"/>
        </w:rPr>
        <w:t>IV.</w:t>
      </w:r>
      <w:r w:rsidRPr="00D74CA4">
        <w:rPr>
          <w:lang w:val="fr-FR"/>
        </w:rPr>
        <w:tab/>
      </w:r>
      <w:r w:rsidR="00183792" w:rsidRPr="00183792">
        <w:rPr>
          <w:lang w:val="fr-FR"/>
        </w:rPr>
        <w:t>Droits civils et libert</w:t>
      </w:r>
      <w:r w:rsidR="007E500C">
        <w:rPr>
          <w:lang w:val="fr-FR"/>
        </w:rPr>
        <w:t>é</w:t>
      </w:r>
      <w:r w:rsidR="00183792" w:rsidRPr="00183792">
        <w:rPr>
          <w:lang w:val="fr-FR"/>
        </w:rPr>
        <w:t>s</w:t>
      </w:r>
    </w:p>
    <w:p w:rsidR="00183792" w:rsidRPr="00183792" w:rsidRDefault="00183792" w:rsidP="00183792">
      <w:pPr>
        <w:pStyle w:val="SingleTxtG"/>
        <w:rPr>
          <w:lang w:val="fr-FR"/>
        </w:rPr>
      </w:pPr>
      <w:r>
        <w:rPr>
          <w:lang w:val="fr-FR"/>
        </w:rPr>
        <w:tab/>
      </w:r>
      <w:r w:rsidRPr="00183792">
        <w:rPr>
          <w:lang w:val="fr-FR"/>
        </w:rPr>
        <w:t>Dans ses observations finales</w:t>
      </w:r>
      <w:r w:rsidR="00EA1115">
        <w:rPr>
          <w:lang w:val="fr-FR"/>
        </w:rPr>
        <w:t xml:space="preserve"> </w:t>
      </w:r>
      <w:r w:rsidRPr="00183792">
        <w:rPr>
          <w:lang w:val="fr-FR"/>
        </w:rPr>
        <w:t>formulées en réponse au précédent rapport du Japon, le Comité recommandait que les enfants nés hors mariage soient traités sur un pied d</w:t>
      </w:r>
      <w:r w:rsidR="00277023">
        <w:rPr>
          <w:lang w:val="fr-FR"/>
        </w:rPr>
        <w:t>’</w:t>
      </w:r>
      <w:r w:rsidRPr="00183792">
        <w:rPr>
          <w:lang w:val="fr-FR"/>
        </w:rPr>
        <w:t>égalité avec ceux nés dans le mariage. Partant, des dispositions ont été modifiées en 2004 pour assurer que les enfants nés hors et dans le mariage soient inscrits de la même manière sur le livret de famille. S</w:t>
      </w:r>
      <w:r w:rsidR="00277023">
        <w:rPr>
          <w:lang w:val="fr-FR"/>
        </w:rPr>
        <w:t>’</w:t>
      </w:r>
      <w:r w:rsidRPr="00183792">
        <w:rPr>
          <w:lang w:val="fr-FR"/>
        </w:rPr>
        <w:t>agissant des autres questions relatives aux droits civils et aux libertés traitées dans le présent chapitre, des mesures sont mises en œuvre sur la base des réflexions actuelles portant sur les mutations sociales.</w:t>
      </w:r>
    </w:p>
    <w:p w:rsidR="006B555F" w:rsidRPr="00183792" w:rsidRDefault="00183792" w:rsidP="00183792">
      <w:pPr>
        <w:pStyle w:val="SingleTxtG"/>
        <w:rPr>
          <w:lang w:val="fr-FR"/>
        </w:rPr>
      </w:pPr>
      <w:r>
        <w:rPr>
          <w:lang w:val="fr-FR"/>
        </w:rPr>
        <w:tab/>
      </w:r>
      <w:r w:rsidRPr="00183792">
        <w:rPr>
          <w:lang w:val="fr-FR"/>
        </w:rPr>
        <w:t>Parallèlement, la protection des enfants contre les informations dangereuses telles que celles qui ont trait au sexe et à la violence est devenue une question très inquiétante au Japon. Des efforts ont été engagés pour répondre à ce problème à travers des actions visant à supprimer les publicités illicites et dangereuses, promouvoir l</w:t>
      </w:r>
      <w:r w:rsidR="00277023">
        <w:rPr>
          <w:lang w:val="fr-FR"/>
        </w:rPr>
        <w:t>’</w:t>
      </w:r>
      <w:r w:rsidRPr="00183792">
        <w:rPr>
          <w:lang w:val="fr-FR"/>
        </w:rPr>
        <w:t>initiation des jeunes aux médias et demander aux industries concernées de mettre pleinement en œuvre les règlementations qu</w:t>
      </w:r>
      <w:r w:rsidR="00277023">
        <w:rPr>
          <w:lang w:val="fr-FR"/>
        </w:rPr>
        <w:t>’</w:t>
      </w:r>
      <w:r w:rsidRPr="00183792">
        <w:rPr>
          <w:lang w:val="fr-FR"/>
        </w:rPr>
        <w:t>elles se sont imposées.</w:t>
      </w:r>
    </w:p>
    <w:p w:rsidR="006B555F" w:rsidRPr="008E5027" w:rsidRDefault="00663710" w:rsidP="00663710">
      <w:pPr>
        <w:pStyle w:val="HChG"/>
      </w:pPr>
      <w:r w:rsidRPr="00183792">
        <w:rPr>
          <w:lang w:val="fr-FR"/>
        </w:rPr>
        <w:tab/>
      </w:r>
      <w:r w:rsidRPr="008E5027">
        <w:t>V.</w:t>
      </w:r>
      <w:r w:rsidRPr="008E5027">
        <w:tab/>
      </w:r>
      <w:r w:rsidR="00523D98" w:rsidRPr="00523D98">
        <w:rPr>
          <w:lang w:val="fr-FR"/>
        </w:rPr>
        <w:t>Milieu familial et protection de remplacement</w:t>
      </w:r>
    </w:p>
    <w:p w:rsidR="006B555F" w:rsidRPr="00B50EF7" w:rsidRDefault="005B2C78" w:rsidP="00D63F3A">
      <w:pPr>
        <w:pStyle w:val="SingleTxtG"/>
        <w:rPr>
          <w:lang w:val="fr-FR"/>
        </w:rPr>
      </w:pPr>
      <w:r w:rsidRPr="008E5027">
        <w:tab/>
      </w:r>
      <w:r w:rsidR="00B50EF7" w:rsidRPr="00B50EF7">
        <w:rPr>
          <w:lang w:val="fr-FR"/>
        </w:rPr>
        <w:t>Au Japon, le milieu familial des enfants a connu récemment des changements significatifs comme les fratries moins nombreuses en raison de la chute du taux de natalité, de l</w:t>
      </w:r>
      <w:r w:rsidR="00277023">
        <w:rPr>
          <w:lang w:val="fr-FR"/>
        </w:rPr>
        <w:t>’</w:t>
      </w:r>
      <w:r w:rsidR="00B50EF7" w:rsidRPr="00B50EF7">
        <w:rPr>
          <w:lang w:val="fr-FR"/>
        </w:rPr>
        <w:t>augmentation des divorces et des remariages et du pourcentage croissant des personnes non mariées. Le Gouvernement appuie différentes mesures, comme l</w:t>
      </w:r>
      <w:r w:rsidR="00277023">
        <w:rPr>
          <w:lang w:val="fr-FR"/>
        </w:rPr>
        <w:t>’</w:t>
      </w:r>
      <w:r w:rsidR="00B50EF7" w:rsidRPr="00B50EF7">
        <w:rPr>
          <w:lang w:val="fr-FR"/>
        </w:rPr>
        <w:t>aide aux représentants légaux des enfants et le soutien accru aux enfants défavorisés en termes de situation familiale. Au cours de la période considérée, l</w:t>
      </w:r>
      <w:r w:rsidR="00277023">
        <w:rPr>
          <w:lang w:val="fr-FR"/>
        </w:rPr>
        <w:t>’</w:t>
      </w:r>
      <w:r w:rsidR="00B50EF7" w:rsidRPr="00B50EF7">
        <w:rPr>
          <w:lang w:val="fr-FR"/>
        </w:rPr>
        <w:t>augmentation du nombre de cas de maltraitance à l</w:t>
      </w:r>
      <w:r w:rsidR="00277023">
        <w:rPr>
          <w:lang w:val="fr-FR"/>
        </w:rPr>
        <w:t>’</w:t>
      </w:r>
      <w:r w:rsidR="00B50EF7" w:rsidRPr="00B50EF7">
        <w:rPr>
          <w:lang w:val="fr-FR"/>
        </w:rPr>
        <w:t>égard d</w:t>
      </w:r>
      <w:r w:rsidR="00277023">
        <w:rPr>
          <w:lang w:val="fr-FR"/>
        </w:rPr>
        <w:t>’</w:t>
      </w:r>
      <w:r w:rsidR="00B50EF7" w:rsidRPr="00B50EF7">
        <w:rPr>
          <w:lang w:val="fr-FR"/>
        </w:rPr>
        <w:t xml:space="preserve">enfants a été particulièrement préoccupante. En 2004, </w:t>
      </w:r>
      <w:smartTag w:uri="urn:schemas-microsoft-com:office:smarttags" w:element="PersonName">
        <w:smartTagPr>
          <w:attr w:name="ProductID" w:val="la Loi"/>
        </w:smartTagPr>
        <w:r w:rsidR="00B50EF7" w:rsidRPr="00B50EF7">
          <w:rPr>
            <w:lang w:val="fr-FR"/>
          </w:rPr>
          <w:t>la Loi</w:t>
        </w:r>
      </w:smartTag>
      <w:r w:rsidR="00B50EF7" w:rsidRPr="00B50EF7">
        <w:rPr>
          <w:lang w:val="fr-FR"/>
        </w:rPr>
        <w:t xml:space="preserve"> sur la prévention de la violence faite aux enfants et </w:t>
      </w:r>
      <w:smartTag w:uri="urn:schemas-microsoft-com:office:smarttags" w:element="PersonName">
        <w:smartTagPr>
          <w:attr w:name="ProductID" w:val="la Loi"/>
        </w:smartTagPr>
        <w:r w:rsidR="00B50EF7" w:rsidRPr="00B50EF7">
          <w:rPr>
            <w:lang w:val="fr-FR"/>
          </w:rPr>
          <w:t>la Loi</w:t>
        </w:r>
      </w:smartTag>
      <w:r w:rsidR="00B50EF7" w:rsidRPr="00B50EF7">
        <w:rPr>
          <w:lang w:val="fr-FR"/>
        </w:rPr>
        <w:t xml:space="preserve"> sur la protection de l</w:t>
      </w:r>
      <w:r w:rsidR="00277023">
        <w:rPr>
          <w:lang w:val="fr-FR"/>
        </w:rPr>
        <w:t>’</w:t>
      </w:r>
      <w:r w:rsidR="00B50EF7" w:rsidRPr="00B50EF7">
        <w:rPr>
          <w:lang w:val="fr-FR"/>
        </w:rPr>
        <w:t>enfance ont été partiellement modifiées et des mesures telles que l</w:t>
      </w:r>
      <w:r w:rsidR="00277023">
        <w:rPr>
          <w:lang w:val="fr-FR"/>
        </w:rPr>
        <w:t>’</w:t>
      </w:r>
      <w:r w:rsidR="00B50EF7" w:rsidRPr="00B50EF7">
        <w:rPr>
          <w:lang w:val="fr-FR"/>
        </w:rPr>
        <w:t>élaboration d</w:t>
      </w:r>
      <w:r w:rsidR="00277023">
        <w:rPr>
          <w:lang w:val="fr-FR"/>
        </w:rPr>
        <w:t>’</w:t>
      </w:r>
      <w:r w:rsidR="00B50EF7" w:rsidRPr="00B50EF7">
        <w:rPr>
          <w:lang w:val="fr-FR"/>
        </w:rPr>
        <w:t>un dispositif efficace de guidance infantile au niveau local ont été encouragées.</w:t>
      </w:r>
    </w:p>
    <w:p w:rsidR="006B555F" w:rsidRPr="00D74CA4" w:rsidRDefault="00663710" w:rsidP="00663710">
      <w:pPr>
        <w:pStyle w:val="HChG"/>
        <w:rPr>
          <w:lang w:val="es-ES"/>
        </w:rPr>
      </w:pPr>
      <w:r w:rsidRPr="00B50EF7">
        <w:rPr>
          <w:lang w:val="fr-FR"/>
        </w:rPr>
        <w:tab/>
      </w:r>
      <w:r w:rsidRPr="00D74CA4">
        <w:rPr>
          <w:lang w:val="es-ES"/>
        </w:rPr>
        <w:t>VI.</w:t>
      </w:r>
      <w:r w:rsidRPr="00D74CA4">
        <w:rPr>
          <w:lang w:val="es-ES"/>
        </w:rPr>
        <w:tab/>
      </w:r>
      <w:r w:rsidR="00E909ED" w:rsidRPr="00E909ED">
        <w:rPr>
          <w:lang w:val="fr-FR"/>
        </w:rPr>
        <w:t>Santé et bien-être de base</w:t>
      </w:r>
    </w:p>
    <w:p w:rsidR="00E909ED" w:rsidRPr="00E909ED" w:rsidRDefault="005B2C78" w:rsidP="00E909ED">
      <w:pPr>
        <w:pStyle w:val="SingleTxtG"/>
        <w:rPr>
          <w:lang w:val="fr-FR"/>
        </w:rPr>
      </w:pPr>
      <w:r w:rsidRPr="00D74CA4">
        <w:rPr>
          <w:lang w:val="es-ES"/>
        </w:rPr>
        <w:tab/>
      </w:r>
      <w:r w:rsidR="00E909ED" w:rsidRPr="00E909ED">
        <w:rPr>
          <w:lang w:val="fr-FR"/>
        </w:rPr>
        <w:t>S</w:t>
      </w:r>
      <w:r w:rsidR="00277023">
        <w:rPr>
          <w:lang w:val="fr-FR"/>
        </w:rPr>
        <w:t>’</w:t>
      </w:r>
      <w:r w:rsidR="00E909ED" w:rsidRPr="00E909ED">
        <w:rPr>
          <w:lang w:val="fr-FR"/>
        </w:rPr>
        <w:t>agissant des enfants handicapés, des efforts d</w:t>
      </w:r>
      <w:r w:rsidR="00277023">
        <w:rPr>
          <w:lang w:val="fr-FR"/>
        </w:rPr>
        <w:t>’</w:t>
      </w:r>
      <w:r w:rsidR="00E909ED" w:rsidRPr="00E909ED">
        <w:rPr>
          <w:lang w:val="fr-FR"/>
        </w:rPr>
        <w:t>envergure ont été appuyés à la lumière du Plan de base pour les personnes handicapées formulé en décembre 2002 et de l</w:t>
      </w:r>
      <w:r w:rsidR="00277023">
        <w:rPr>
          <w:lang w:val="fr-FR"/>
        </w:rPr>
        <w:t>’</w:t>
      </w:r>
      <w:r w:rsidR="00E909ED" w:rsidRPr="00E909ED">
        <w:rPr>
          <w:lang w:val="fr-FR"/>
        </w:rPr>
        <w:t xml:space="preserve">amendement de </w:t>
      </w:r>
      <w:smartTag w:uri="urn:schemas-microsoft-com:office:smarttags" w:element="PersonName">
        <w:smartTagPr>
          <w:attr w:name="ProductID" w:val="la Loi"/>
        </w:smartTagPr>
        <w:r w:rsidR="00E909ED" w:rsidRPr="00E909ED">
          <w:rPr>
            <w:lang w:val="fr-FR"/>
          </w:rPr>
          <w:t>la Loi</w:t>
        </w:r>
      </w:smartTag>
      <w:r w:rsidR="00E909ED" w:rsidRPr="00E909ED">
        <w:rPr>
          <w:lang w:val="fr-FR"/>
        </w:rPr>
        <w:t xml:space="preserve"> fondamentale relative aux personnes handicapées de mai 2004. On constate notamment dans l</w:t>
      </w:r>
      <w:r w:rsidR="00277023">
        <w:rPr>
          <w:lang w:val="fr-FR"/>
        </w:rPr>
        <w:t>’</w:t>
      </w:r>
      <w:r w:rsidR="00E909ED" w:rsidRPr="00E909ED">
        <w:rPr>
          <w:lang w:val="fr-FR"/>
        </w:rPr>
        <w:t>enseignement scolaire la nécessité accrue d</w:t>
      </w:r>
      <w:r w:rsidR="00277023">
        <w:rPr>
          <w:lang w:val="fr-FR"/>
        </w:rPr>
        <w:t>’</w:t>
      </w:r>
      <w:r w:rsidR="00E909ED" w:rsidRPr="00E909ED">
        <w:rPr>
          <w:lang w:val="fr-FR"/>
        </w:rPr>
        <w:t>un soutien éducatif spécial renforcé pour les élèves présentant des handicaps sévères et/ou multiples ou des troubles du développement tels que les difficultés d</w:t>
      </w:r>
      <w:r w:rsidR="00277023">
        <w:rPr>
          <w:lang w:val="fr-FR"/>
        </w:rPr>
        <w:t>’</w:t>
      </w:r>
      <w:r w:rsidR="00E909ED" w:rsidRPr="00E909ED">
        <w:rPr>
          <w:lang w:val="fr-FR"/>
        </w:rPr>
        <w:t>apprentissage ou le syndrome d</w:t>
      </w:r>
      <w:r w:rsidR="00277023">
        <w:rPr>
          <w:lang w:val="fr-FR"/>
        </w:rPr>
        <w:t>’</w:t>
      </w:r>
      <w:r w:rsidR="00E909ED" w:rsidRPr="00E909ED">
        <w:rPr>
          <w:lang w:val="fr-FR"/>
        </w:rPr>
        <w:t>hyperactivité avec trouble de l</w:t>
      </w:r>
      <w:r w:rsidR="00277023">
        <w:rPr>
          <w:lang w:val="fr-FR"/>
        </w:rPr>
        <w:t>’</w:t>
      </w:r>
      <w:r w:rsidR="00E909ED" w:rsidRPr="00E909ED">
        <w:rPr>
          <w:lang w:val="fr-FR"/>
        </w:rPr>
        <w:t>attention (SHTA). Dans le but de subvenir aux besoins éducatifs spéciaux de ces enfants, des efforts sont déployés pour mettre en place un dispositif global de soutien en collaboration avec les organisations compétentes. D</w:t>
      </w:r>
      <w:r w:rsidR="00277023">
        <w:rPr>
          <w:lang w:val="fr-FR"/>
        </w:rPr>
        <w:t>’</w:t>
      </w:r>
      <w:r w:rsidR="00E909ED" w:rsidRPr="00E909ED">
        <w:rPr>
          <w:lang w:val="fr-FR"/>
        </w:rPr>
        <w:t>autres plans prévoient des réformes institutionnelles de l</w:t>
      </w:r>
      <w:r w:rsidR="00277023">
        <w:rPr>
          <w:lang w:val="fr-FR"/>
        </w:rPr>
        <w:t>’</w:t>
      </w:r>
      <w:r w:rsidR="00E909ED" w:rsidRPr="00E909ED">
        <w:rPr>
          <w:lang w:val="fr-FR"/>
        </w:rPr>
        <w:t>ensemble du dispositif d</w:t>
      </w:r>
      <w:r w:rsidR="00277023">
        <w:rPr>
          <w:lang w:val="fr-FR"/>
        </w:rPr>
        <w:t>’</w:t>
      </w:r>
      <w:r w:rsidR="00E909ED" w:rsidRPr="00E909ED">
        <w:rPr>
          <w:lang w:val="fr-FR"/>
        </w:rPr>
        <w:t>enseignement et d</w:t>
      </w:r>
      <w:r w:rsidR="00277023">
        <w:rPr>
          <w:lang w:val="fr-FR"/>
        </w:rPr>
        <w:t>’</w:t>
      </w:r>
      <w:r w:rsidR="00E909ED" w:rsidRPr="00E909ED">
        <w:rPr>
          <w:lang w:val="fr-FR"/>
        </w:rPr>
        <w:t>assistance aux enfants handicapés.</w:t>
      </w:r>
    </w:p>
    <w:p w:rsidR="00E909ED" w:rsidRPr="00E909ED" w:rsidRDefault="00E909ED" w:rsidP="00E909ED">
      <w:pPr>
        <w:pStyle w:val="SingleTxtG"/>
        <w:rPr>
          <w:lang w:val="fr-FR"/>
        </w:rPr>
      </w:pPr>
      <w:r>
        <w:rPr>
          <w:lang w:val="fr-FR"/>
        </w:rPr>
        <w:tab/>
      </w:r>
      <w:r w:rsidRPr="00E909ED">
        <w:rPr>
          <w:lang w:val="fr-FR"/>
        </w:rPr>
        <w:t>Parmi toutes les mesures adoptées en faveur de la santé des enfants, des progrès ont été enregistrés dans le domaine de l</w:t>
      </w:r>
      <w:r w:rsidR="00277023">
        <w:rPr>
          <w:lang w:val="fr-FR"/>
        </w:rPr>
        <w:t>’</w:t>
      </w:r>
      <w:r w:rsidRPr="00E909ED">
        <w:rPr>
          <w:lang w:val="fr-FR"/>
        </w:rPr>
        <w:t xml:space="preserve">éducation alimentaire, qui constitue une approche nouvelle. </w:t>
      </w:r>
      <w:smartTag w:uri="urn:schemas-microsoft-com:office:smarttags" w:element="PersonName">
        <w:smartTagPr>
          <w:attr w:name="ProductID" w:val="la Loi"/>
        </w:smartTagPr>
        <w:r w:rsidRPr="00E909ED">
          <w:rPr>
            <w:lang w:val="fr-FR"/>
          </w:rPr>
          <w:t>La Loi</w:t>
        </w:r>
      </w:smartTag>
      <w:r w:rsidRPr="00E909ED">
        <w:rPr>
          <w:lang w:val="fr-FR"/>
        </w:rPr>
        <w:t xml:space="preserve"> fondamentale relative à l</w:t>
      </w:r>
      <w:r w:rsidR="00277023">
        <w:rPr>
          <w:lang w:val="fr-FR"/>
        </w:rPr>
        <w:t>’</w:t>
      </w:r>
      <w:r w:rsidRPr="00E909ED">
        <w:rPr>
          <w:lang w:val="fr-FR"/>
        </w:rPr>
        <w:t>éducation alimentaire a été promulguée en juin 2005 pour sensibiliser l</w:t>
      </w:r>
      <w:r w:rsidR="00277023">
        <w:rPr>
          <w:lang w:val="fr-FR"/>
        </w:rPr>
        <w:t>’</w:t>
      </w:r>
      <w:r w:rsidRPr="00E909ED">
        <w:rPr>
          <w:lang w:val="fr-FR"/>
        </w:rPr>
        <w:t>ensemble de la population, y compris les enfants, à la diététique et encourager des habitudes alimentaires plus saines. L</w:t>
      </w:r>
      <w:r w:rsidR="00277023">
        <w:rPr>
          <w:lang w:val="fr-FR"/>
        </w:rPr>
        <w:t>’</w:t>
      </w:r>
      <w:r w:rsidRPr="00E909ED">
        <w:rPr>
          <w:lang w:val="fr-FR"/>
        </w:rPr>
        <w:t>appui à l</w:t>
      </w:r>
      <w:r w:rsidR="00277023">
        <w:rPr>
          <w:lang w:val="fr-FR"/>
        </w:rPr>
        <w:t>’</w:t>
      </w:r>
      <w:r w:rsidRPr="00E909ED">
        <w:rPr>
          <w:lang w:val="fr-FR"/>
        </w:rPr>
        <w:t>éducation alimentaire est une action nationale qui doit être poursuivie notamment dans les familles, les établissements scolaires et les communautés locales.</w:t>
      </w:r>
    </w:p>
    <w:p w:rsidR="006B555F" w:rsidRPr="00E909ED" w:rsidRDefault="00E909ED" w:rsidP="00E909ED">
      <w:pPr>
        <w:pStyle w:val="SingleTxtG"/>
        <w:rPr>
          <w:lang w:val="fr-FR"/>
        </w:rPr>
      </w:pPr>
      <w:r>
        <w:rPr>
          <w:lang w:val="fr-FR"/>
        </w:rPr>
        <w:tab/>
      </w:r>
      <w:r w:rsidRPr="00E909ED">
        <w:rPr>
          <w:lang w:val="fr-FR"/>
        </w:rPr>
        <w:t>Pour ce qui est de la protection des enfants dont les parents travaillent, des efforts ont été engagés pour réduire le nombre d</w:t>
      </w:r>
      <w:r w:rsidR="00277023">
        <w:rPr>
          <w:lang w:val="fr-FR"/>
        </w:rPr>
        <w:t>’</w:t>
      </w:r>
      <w:r w:rsidRPr="00E909ED">
        <w:rPr>
          <w:lang w:val="fr-FR"/>
        </w:rPr>
        <w:t>enfants placés sur les listes d</w:t>
      </w:r>
      <w:r w:rsidR="00277023">
        <w:rPr>
          <w:lang w:val="fr-FR"/>
        </w:rPr>
        <w:t>’</w:t>
      </w:r>
      <w:r w:rsidRPr="00E909ED">
        <w:rPr>
          <w:lang w:val="fr-FR"/>
        </w:rPr>
        <w:t>attente des garderies en augmentant le nombre de ces lieux d</w:t>
      </w:r>
      <w:r w:rsidR="00277023">
        <w:rPr>
          <w:lang w:val="fr-FR"/>
        </w:rPr>
        <w:t>’</w:t>
      </w:r>
      <w:r w:rsidRPr="00E909ED">
        <w:rPr>
          <w:lang w:val="fr-FR"/>
        </w:rPr>
        <w:t>accueil, et améliorer et étendre le projet de mesures de prise en charge des enfants après la journée scolaire pour leur assurer un bon développement, qui cible les enfants des premières classes du cycle primaire.</w:t>
      </w:r>
    </w:p>
    <w:p w:rsidR="006B555F" w:rsidRPr="008E5027" w:rsidRDefault="00663710" w:rsidP="00663710">
      <w:pPr>
        <w:pStyle w:val="HChG"/>
      </w:pPr>
      <w:r w:rsidRPr="00E909ED">
        <w:rPr>
          <w:lang w:val="fr-FR"/>
        </w:rPr>
        <w:tab/>
      </w:r>
      <w:r w:rsidRPr="008E5027">
        <w:t>VII.</w:t>
      </w:r>
      <w:r w:rsidRPr="008E5027">
        <w:tab/>
      </w:r>
      <w:r w:rsidR="007E500C">
        <w:t>É</w:t>
      </w:r>
      <w:r w:rsidR="007E500C" w:rsidRPr="00E909ED">
        <w:rPr>
          <w:lang w:val="fr-FR"/>
        </w:rPr>
        <w:t>ducation</w:t>
      </w:r>
      <w:r w:rsidR="00E909ED" w:rsidRPr="00E909ED">
        <w:rPr>
          <w:lang w:val="fr-FR"/>
        </w:rPr>
        <w:t>, activit</w:t>
      </w:r>
      <w:r w:rsidR="005F24AC">
        <w:rPr>
          <w:lang w:val="fr-FR"/>
        </w:rPr>
        <w:t>é</w:t>
      </w:r>
      <w:r w:rsidR="00E909ED" w:rsidRPr="00E909ED">
        <w:rPr>
          <w:lang w:val="fr-FR"/>
        </w:rPr>
        <w:t>s recreatives et culturelles</w:t>
      </w:r>
    </w:p>
    <w:p w:rsidR="007E500C" w:rsidRPr="007E500C" w:rsidRDefault="005B2C78" w:rsidP="007E500C">
      <w:pPr>
        <w:pStyle w:val="SingleTxtG"/>
        <w:rPr>
          <w:lang w:val="fr-FR"/>
        </w:rPr>
      </w:pPr>
      <w:r w:rsidRPr="008E5027">
        <w:tab/>
      </w:r>
      <w:r w:rsidR="007E500C" w:rsidRPr="007E500C">
        <w:rPr>
          <w:lang w:val="fr-FR"/>
        </w:rPr>
        <w:t>Concernant l</w:t>
      </w:r>
      <w:r w:rsidR="00277023">
        <w:rPr>
          <w:lang w:val="fr-FR"/>
        </w:rPr>
        <w:t>’</w:t>
      </w:r>
      <w:r w:rsidR="007E500C" w:rsidRPr="007E500C">
        <w:rPr>
          <w:lang w:val="fr-FR"/>
        </w:rPr>
        <w:t>enseignement scolaire, les directives pédagogiques appliquées depuis 2002-2003 visent à ce que les élèves développent des qualités humaines et aient le goût de la vie, y compris la capacité d</w:t>
      </w:r>
      <w:r w:rsidR="00277023">
        <w:rPr>
          <w:lang w:val="fr-FR"/>
        </w:rPr>
        <w:t>’</w:t>
      </w:r>
      <w:r w:rsidR="007E500C" w:rsidRPr="007E500C">
        <w:rPr>
          <w:lang w:val="fr-FR"/>
        </w:rPr>
        <w:t>apprendre en autonomie et de penser et d</w:t>
      </w:r>
      <w:r w:rsidR="00277023">
        <w:rPr>
          <w:lang w:val="fr-FR"/>
        </w:rPr>
        <w:t>’</w:t>
      </w:r>
      <w:r w:rsidR="007E500C" w:rsidRPr="007E500C">
        <w:rPr>
          <w:lang w:val="fr-FR"/>
        </w:rPr>
        <w:t>agir de leur propre chef. L</w:t>
      </w:r>
      <w:r w:rsidR="00277023">
        <w:rPr>
          <w:lang w:val="fr-FR"/>
        </w:rPr>
        <w:t>’</w:t>
      </w:r>
      <w:r w:rsidR="007E500C" w:rsidRPr="007E500C">
        <w:rPr>
          <w:lang w:val="fr-FR"/>
        </w:rPr>
        <w:t>éducation aux droits de l</w:t>
      </w:r>
      <w:r w:rsidR="00277023">
        <w:rPr>
          <w:lang w:val="fr-FR"/>
        </w:rPr>
        <w:t>’</w:t>
      </w:r>
      <w:r w:rsidR="007E500C" w:rsidRPr="007E500C">
        <w:rPr>
          <w:lang w:val="fr-FR"/>
        </w:rPr>
        <w:t>homme bénéficie d</w:t>
      </w:r>
      <w:r w:rsidR="00277023">
        <w:rPr>
          <w:lang w:val="fr-FR"/>
        </w:rPr>
        <w:t>’</w:t>
      </w:r>
      <w:r w:rsidR="007E500C" w:rsidRPr="007E500C">
        <w:rPr>
          <w:lang w:val="fr-FR"/>
        </w:rPr>
        <w:t>une attention particulière, conformément à l</w:t>
      </w:r>
      <w:r w:rsidR="00277023">
        <w:rPr>
          <w:lang w:val="fr-FR"/>
        </w:rPr>
        <w:t>’</w:t>
      </w:r>
      <w:r w:rsidR="007E500C" w:rsidRPr="007E500C">
        <w:rPr>
          <w:lang w:val="fr-FR"/>
        </w:rPr>
        <w:t xml:space="preserve">esprit de </w:t>
      </w:r>
      <w:smartTag w:uri="urn:schemas-microsoft-com:office:smarttags" w:element="PersonName">
        <w:smartTagPr>
          <w:attr w:name="ProductID" w:val="la Convention. D"/>
        </w:smartTagPr>
        <w:r w:rsidR="007E500C" w:rsidRPr="007E500C">
          <w:rPr>
            <w:lang w:val="fr-FR"/>
          </w:rPr>
          <w:t>la Convention. D</w:t>
        </w:r>
      </w:smartTag>
      <w:r w:rsidR="00277023">
        <w:rPr>
          <w:lang w:val="fr-FR"/>
        </w:rPr>
        <w:t>’</w:t>
      </w:r>
      <w:r w:rsidR="007E500C" w:rsidRPr="007E500C">
        <w:rPr>
          <w:lang w:val="fr-FR"/>
        </w:rPr>
        <w:t>autres actions tendent à assurer que les enfants reçoivent une éducation de qualité grâce à des mesures telles que garantir un nombre suffisant d</w:t>
      </w:r>
      <w:r w:rsidR="00277023">
        <w:rPr>
          <w:lang w:val="fr-FR"/>
        </w:rPr>
        <w:t>’</w:t>
      </w:r>
      <w:r w:rsidR="007E500C" w:rsidRPr="007E500C">
        <w:rPr>
          <w:lang w:val="fr-FR"/>
        </w:rPr>
        <w:t>enseignants, améliorer le système de bourses et élaborer des outils pédagogiques adaptés.</w:t>
      </w:r>
    </w:p>
    <w:p w:rsidR="007E500C" w:rsidRPr="007E500C" w:rsidRDefault="007E500C" w:rsidP="007E500C">
      <w:pPr>
        <w:pStyle w:val="SingleTxtG"/>
        <w:rPr>
          <w:lang w:val="fr-FR"/>
        </w:rPr>
      </w:pPr>
      <w:r>
        <w:rPr>
          <w:lang w:val="fr-FR"/>
        </w:rPr>
        <w:tab/>
      </w:r>
      <w:r w:rsidRPr="007E500C">
        <w:rPr>
          <w:lang w:val="fr-FR"/>
        </w:rPr>
        <w:t>Une attention particulière est désormais prêtée à la promotion de l</w:t>
      </w:r>
      <w:r w:rsidR="00277023">
        <w:rPr>
          <w:lang w:val="fr-FR"/>
        </w:rPr>
        <w:t>’</w:t>
      </w:r>
      <w:r w:rsidRPr="007E500C">
        <w:rPr>
          <w:lang w:val="fr-FR"/>
        </w:rPr>
        <w:t>orientation professionnelle qui permet aux élèves d</w:t>
      </w:r>
      <w:r w:rsidR="00277023">
        <w:rPr>
          <w:lang w:val="fr-FR"/>
        </w:rPr>
        <w:t>’</w:t>
      </w:r>
      <w:r w:rsidRPr="007E500C">
        <w:rPr>
          <w:lang w:val="fr-FR"/>
        </w:rPr>
        <w:t>avoir un but dans la vie, en termes de mode de vie ou d</w:t>
      </w:r>
      <w:r w:rsidR="00277023">
        <w:rPr>
          <w:lang w:val="fr-FR"/>
        </w:rPr>
        <w:t>’</w:t>
      </w:r>
      <w:r w:rsidRPr="007E500C">
        <w:rPr>
          <w:lang w:val="fr-FR"/>
        </w:rPr>
        <w:t>avenir personnel, et de choisir leur voie. Par ailleurs, le manque d</w:t>
      </w:r>
      <w:r w:rsidR="00277023">
        <w:rPr>
          <w:lang w:val="fr-FR"/>
        </w:rPr>
        <w:t>’</w:t>
      </w:r>
      <w:r w:rsidRPr="007E500C">
        <w:rPr>
          <w:lang w:val="fr-FR"/>
        </w:rPr>
        <w:t>assiduité, les abandons au niveau de l</w:t>
      </w:r>
      <w:r w:rsidR="00277023">
        <w:rPr>
          <w:lang w:val="fr-FR"/>
        </w:rPr>
        <w:t>’</w:t>
      </w:r>
      <w:r w:rsidRPr="007E500C">
        <w:rPr>
          <w:lang w:val="fr-FR"/>
        </w:rPr>
        <w:t>enseignement secondaire de deuxième cycle et les brimades demeurent des problèmes éducatifs majeurs contre lesquels diverses mesures ont été adoptées.</w:t>
      </w:r>
    </w:p>
    <w:p w:rsidR="006B555F" w:rsidRPr="007E500C" w:rsidRDefault="007E500C" w:rsidP="007E500C">
      <w:pPr>
        <w:pStyle w:val="SingleTxtG"/>
        <w:rPr>
          <w:lang w:val="fr-FR"/>
        </w:rPr>
      </w:pPr>
      <w:r>
        <w:rPr>
          <w:lang w:val="fr-FR"/>
        </w:rPr>
        <w:tab/>
      </w:r>
      <w:r w:rsidRPr="007E500C">
        <w:rPr>
          <w:lang w:val="fr-FR"/>
        </w:rPr>
        <w:t>S</w:t>
      </w:r>
      <w:r w:rsidR="00277023">
        <w:rPr>
          <w:lang w:val="fr-FR"/>
        </w:rPr>
        <w:t>’</w:t>
      </w:r>
      <w:r w:rsidRPr="007E500C">
        <w:rPr>
          <w:lang w:val="fr-FR"/>
        </w:rPr>
        <w:t>agissant des activités récréatives et culturelles, des programmes du soir et de week-end impliquant des activités pratiques sur les terrains de jeu des écoles et dans les classes sont appliqués dans l</w:t>
      </w:r>
      <w:r w:rsidR="00277023">
        <w:rPr>
          <w:lang w:val="fr-FR"/>
        </w:rPr>
        <w:t>’</w:t>
      </w:r>
      <w:r w:rsidRPr="007E500C">
        <w:rPr>
          <w:lang w:val="fr-FR"/>
        </w:rPr>
        <w:t>ensemble du pays avec la coopération d</w:t>
      </w:r>
      <w:r w:rsidR="00277023">
        <w:rPr>
          <w:lang w:val="fr-FR"/>
        </w:rPr>
        <w:t>’</w:t>
      </w:r>
      <w:r w:rsidRPr="007E500C">
        <w:rPr>
          <w:lang w:val="fr-FR"/>
        </w:rPr>
        <w:t>adultes habitant à proximité.</w:t>
      </w:r>
    </w:p>
    <w:p w:rsidR="006B555F" w:rsidRPr="005E117B" w:rsidRDefault="00CF39B0" w:rsidP="00CF39B0">
      <w:pPr>
        <w:pStyle w:val="HChG"/>
        <w:rPr>
          <w:lang w:val="fr-FR"/>
        </w:rPr>
      </w:pPr>
      <w:r w:rsidRPr="007E500C">
        <w:rPr>
          <w:lang w:val="fr-FR"/>
        </w:rPr>
        <w:tab/>
      </w:r>
      <w:r w:rsidR="006B555F" w:rsidRPr="00D74CA4">
        <w:rPr>
          <w:lang w:val="fr-FR"/>
        </w:rPr>
        <w:t>VIII.</w:t>
      </w:r>
      <w:r w:rsidR="006B555F" w:rsidRPr="00D74CA4">
        <w:rPr>
          <w:lang w:val="fr-FR"/>
        </w:rPr>
        <w:tab/>
      </w:r>
      <w:r w:rsidR="007E500C" w:rsidRPr="007E500C">
        <w:rPr>
          <w:lang w:val="fr-FR"/>
        </w:rPr>
        <w:t>Mesures sp</w:t>
      </w:r>
      <w:r w:rsidR="008F55B7">
        <w:rPr>
          <w:lang w:val="fr-FR"/>
        </w:rPr>
        <w:t>é</w:t>
      </w:r>
      <w:r w:rsidR="007E500C" w:rsidRPr="007E500C">
        <w:rPr>
          <w:lang w:val="fr-FR"/>
        </w:rPr>
        <w:t>ciales de protection</w:t>
      </w:r>
    </w:p>
    <w:p w:rsidR="005E117B" w:rsidRPr="005E117B" w:rsidRDefault="005B2C78" w:rsidP="005E117B">
      <w:pPr>
        <w:pStyle w:val="SingleTxtG"/>
        <w:rPr>
          <w:lang w:val="fr-FR"/>
        </w:rPr>
      </w:pPr>
      <w:r w:rsidRPr="005E117B">
        <w:rPr>
          <w:lang w:val="fr-FR"/>
        </w:rPr>
        <w:tab/>
      </w:r>
      <w:r w:rsidR="005E117B" w:rsidRPr="005E117B">
        <w:rPr>
          <w:lang w:val="fr-FR"/>
        </w:rPr>
        <w:t>Conscient de l</w:t>
      </w:r>
      <w:r w:rsidR="00277023">
        <w:rPr>
          <w:lang w:val="fr-FR"/>
        </w:rPr>
        <w:t>’</w:t>
      </w:r>
      <w:r w:rsidR="005E117B" w:rsidRPr="005E117B">
        <w:rPr>
          <w:lang w:val="fr-FR"/>
        </w:rPr>
        <w:t>importance des actions internationales visant à protéger les enfants des conflits armés et de l</w:t>
      </w:r>
      <w:r w:rsidR="00277023">
        <w:rPr>
          <w:lang w:val="fr-FR"/>
        </w:rPr>
        <w:t>’</w:t>
      </w:r>
      <w:r w:rsidR="005E117B" w:rsidRPr="005E117B">
        <w:rPr>
          <w:lang w:val="fr-FR"/>
        </w:rPr>
        <w:t>exploitation sexuelle, le Gouvernement japonais a organisé le deuxième Congrès mondial contre l</w:t>
      </w:r>
      <w:r w:rsidR="00277023">
        <w:rPr>
          <w:lang w:val="fr-FR"/>
        </w:rPr>
        <w:t>’</w:t>
      </w:r>
      <w:r w:rsidR="005E117B" w:rsidRPr="005E117B">
        <w:rPr>
          <w:lang w:val="fr-FR"/>
        </w:rPr>
        <w:t>exploitation sexuelle des enfants à des fins commerciales en décembre 2001 à Yokohama, conjointement avec le fonds des Nations Unies pour l</w:t>
      </w:r>
      <w:r w:rsidR="00277023">
        <w:rPr>
          <w:lang w:val="fr-FR"/>
        </w:rPr>
        <w:t>’</w:t>
      </w:r>
      <w:r w:rsidR="005E117B" w:rsidRPr="005E117B">
        <w:rPr>
          <w:lang w:val="fr-FR"/>
        </w:rPr>
        <w:t>enfance (UNICEF), le Réseau contre la prostitution enfantine, la pornographie enfantine et le trafic d</w:t>
      </w:r>
      <w:r w:rsidR="00277023">
        <w:rPr>
          <w:lang w:val="fr-FR"/>
        </w:rPr>
        <w:t>’</w:t>
      </w:r>
      <w:r w:rsidR="005E117B" w:rsidRPr="005E117B">
        <w:rPr>
          <w:lang w:val="fr-FR"/>
        </w:rPr>
        <w:t xml:space="preserve">enfants à des fins sexuelles (ECPAT) et le groupe des ONG pour </w:t>
      </w:r>
      <w:smartTag w:uri="urn:schemas-microsoft-com:office:smarttags" w:element="PersonName">
        <w:smartTagPr>
          <w:attr w:name="ProductID" w:val="LA CONVENTION"/>
        </w:smartTagPr>
        <w:r w:rsidR="005E117B" w:rsidRPr="005E117B">
          <w:rPr>
            <w:lang w:val="fr-FR"/>
          </w:rPr>
          <w:t>la Convention</w:t>
        </w:r>
      </w:smartTag>
      <w:r w:rsidR="005E117B" w:rsidRPr="005E117B">
        <w:rPr>
          <w:lang w:val="fr-FR"/>
        </w:rPr>
        <w:t xml:space="preserve"> relative aux droits de l</w:t>
      </w:r>
      <w:r w:rsidR="00277023">
        <w:rPr>
          <w:lang w:val="fr-FR"/>
        </w:rPr>
        <w:t>’</w:t>
      </w:r>
      <w:r w:rsidR="005E117B" w:rsidRPr="005E117B">
        <w:rPr>
          <w:lang w:val="fr-FR"/>
        </w:rPr>
        <w:t>enfant. Dans le même ordre d</w:t>
      </w:r>
      <w:r w:rsidR="00277023">
        <w:rPr>
          <w:lang w:val="fr-FR"/>
        </w:rPr>
        <w:t>’</w:t>
      </w:r>
      <w:r w:rsidR="005E117B" w:rsidRPr="005E117B">
        <w:rPr>
          <w:lang w:val="fr-FR"/>
        </w:rPr>
        <w:t xml:space="preserve">idées, le Japon a ratifié le Protocole facultatif à </w:t>
      </w:r>
      <w:smartTag w:uri="urn:schemas-microsoft-com:office:smarttags" w:element="PersonName">
        <w:smartTagPr>
          <w:attr w:name="ProductID" w:val="LA CONVENTION"/>
        </w:smartTagPr>
        <w:r w:rsidR="005E117B" w:rsidRPr="005E117B">
          <w:rPr>
            <w:lang w:val="fr-FR"/>
          </w:rPr>
          <w:t>la Convention</w:t>
        </w:r>
      </w:smartTag>
      <w:r w:rsidR="005E117B" w:rsidRPr="005E117B">
        <w:rPr>
          <w:lang w:val="fr-FR"/>
        </w:rPr>
        <w:t xml:space="preserve"> relative aux droits de l</w:t>
      </w:r>
      <w:r w:rsidR="00277023">
        <w:rPr>
          <w:lang w:val="fr-FR"/>
        </w:rPr>
        <w:t>’</w:t>
      </w:r>
      <w:r w:rsidR="005E117B" w:rsidRPr="005E117B">
        <w:rPr>
          <w:lang w:val="fr-FR"/>
        </w:rPr>
        <w:t>enfant concernant l</w:t>
      </w:r>
      <w:r w:rsidR="00277023">
        <w:rPr>
          <w:lang w:val="fr-FR"/>
        </w:rPr>
        <w:t>’</w:t>
      </w:r>
      <w:r w:rsidR="005E117B" w:rsidRPr="005E117B">
        <w:rPr>
          <w:lang w:val="fr-FR"/>
        </w:rPr>
        <w:t>implication d</w:t>
      </w:r>
      <w:r w:rsidR="00277023">
        <w:rPr>
          <w:lang w:val="fr-FR"/>
        </w:rPr>
        <w:t>’</w:t>
      </w:r>
      <w:r w:rsidR="005E117B" w:rsidRPr="005E117B">
        <w:rPr>
          <w:lang w:val="fr-FR"/>
        </w:rPr>
        <w:t xml:space="preserve">enfants dans les conflits armés en août 2004 et le Protocole facultatif à </w:t>
      </w:r>
      <w:smartTag w:uri="urn:schemas-microsoft-com:office:smarttags" w:element="PersonName">
        <w:smartTagPr>
          <w:attr w:name="ProductID" w:val="LA CONVENTION"/>
        </w:smartTagPr>
        <w:r w:rsidR="005E117B" w:rsidRPr="005E117B">
          <w:rPr>
            <w:lang w:val="fr-FR"/>
          </w:rPr>
          <w:t>la Convention</w:t>
        </w:r>
      </w:smartTag>
      <w:r w:rsidR="005E117B" w:rsidRPr="005E117B">
        <w:rPr>
          <w:lang w:val="fr-FR"/>
        </w:rPr>
        <w:t xml:space="preserve"> relative aux droits de l</w:t>
      </w:r>
      <w:r w:rsidR="00277023">
        <w:rPr>
          <w:lang w:val="fr-FR"/>
        </w:rPr>
        <w:t>’</w:t>
      </w:r>
      <w:r w:rsidR="005E117B" w:rsidRPr="005E117B">
        <w:rPr>
          <w:lang w:val="fr-FR"/>
        </w:rPr>
        <w:t>enfant concernant la vente d</w:t>
      </w:r>
      <w:r w:rsidR="00277023">
        <w:rPr>
          <w:lang w:val="fr-FR"/>
        </w:rPr>
        <w:t>’</w:t>
      </w:r>
      <w:r w:rsidR="005E117B" w:rsidRPr="005E117B">
        <w:rPr>
          <w:lang w:val="fr-FR"/>
        </w:rPr>
        <w:t>enfants, la prostitution des enfants et la pornographie mettant en scène des enfants en janvier 2005 et il s</w:t>
      </w:r>
      <w:r w:rsidR="00277023">
        <w:rPr>
          <w:lang w:val="fr-FR"/>
        </w:rPr>
        <w:t>’</w:t>
      </w:r>
      <w:r w:rsidR="005E117B" w:rsidRPr="005E117B">
        <w:rPr>
          <w:lang w:val="fr-FR"/>
        </w:rPr>
        <w:t>emploie maintenant à les mettre en œuvre.</w:t>
      </w:r>
    </w:p>
    <w:p w:rsidR="005E117B" w:rsidRPr="005E117B" w:rsidRDefault="005E117B" w:rsidP="005E117B">
      <w:pPr>
        <w:pStyle w:val="SingleTxtG"/>
        <w:rPr>
          <w:lang w:val="fr-FR"/>
        </w:rPr>
      </w:pPr>
      <w:r>
        <w:rPr>
          <w:lang w:val="fr-FR"/>
        </w:rPr>
        <w:tab/>
      </w:r>
      <w:r w:rsidRPr="005E117B">
        <w:rPr>
          <w:lang w:val="fr-FR"/>
        </w:rPr>
        <w:t>S</w:t>
      </w:r>
      <w:r w:rsidR="00277023">
        <w:rPr>
          <w:lang w:val="fr-FR"/>
        </w:rPr>
        <w:t>’</w:t>
      </w:r>
      <w:r w:rsidRPr="005E117B">
        <w:rPr>
          <w:lang w:val="fr-FR"/>
        </w:rPr>
        <w:t>agissant de l</w:t>
      </w:r>
      <w:r w:rsidR="00277023">
        <w:rPr>
          <w:lang w:val="fr-FR"/>
        </w:rPr>
        <w:t>’</w:t>
      </w:r>
      <w:r w:rsidRPr="005E117B">
        <w:rPr>
          <w:lang w:val="fr-FR"/>
        </w:rPr>
        <w:t>administration de la justice pour mineurs, le Gouvernement japonais contribue à appuyer les efforts concertés des organisations compétentes en matière de protection et d</w:t>
      </w:r>
      <w:r w:rsidR="00277023">
        <w:rPr>
          <w:lang w:val="fr-FR"/>
        </w:rPr>
        <w:t>’</w:t>
      </w:r>
      <w:r w:rsidRPr="005E117B">
        <w:rPr>
          <w:lang w:val="fr-FR"/>
        </w:rPr>
        <w:t>orientation des jeunes à problèmes. Un projet d</w:t>
      </w:r>
      <w:r w:rsidR="00277023">
        <w:rPr>
          <w:lang w:val="fr-FR"/>
        </w:rPr>
        <w:t>’</w:t>
      </w:r>
      <w:r w:rsidRPr="005E117B">
        <w:rPr>
          <w:lang w:val="fr-FR"/>
        </w:rPr>
        <w:t xml:space="preserve">amendement de </w:t>
      </w:r>
      <w:smartTag w:uri="urn:schemas-microsoft-com:office:smarttags" w:element="PersonName">
        <w:smartTagPr>
          <w:attr w:name="ProductID" w:val="la Loi"/>
        </w:smartTagPr>
        <w:r w:rsidRPr="005E117B">
          <w:rPr>
            <w:lang w:val="fr-FR"/>
          </w:rPr>
          <w:t>la Loi</w:t>
        </w:r>
      </w:smartTag>
      <w:r w:rsidRPr="005E117B">
        <w:rPr>
          <w:lang w:val="fr-FR"/>
        </w:rPr>
        <w:t xml:space="preserve"> relative aux mineurs, voté par </w:t>
      </w:r>
      <w:smartTag w:uri="urn:schemas-microsoft-com:office:smarttags" w:element="PersonName">
        <w:smartTagPr>
          <w:attr w:name="ProductID" w:val="la Di￨te"/>
        </w:smartTagPr>
        <w:r w:rsidRPr="005E117B">
          <w:rPr>
            <w:lang w:val="fr-FR"/>
          </w:rPr>
          <w:t>la Diète</w:t>
        </w:r>
      </w:smartTag>
      <w:r w:rsidRPr="005E117B">
        <w:rPr>
          <w:lang w:val="fr-FR"/>
        </w:rPr>
        <w:t xml:space="preserve"> le 25 mai </w:t>
      </w:r>
      <w:smartTag w:uri="urn:schemas-microsoft-com:office:smarttags" w:element="metricconverter">
        <w:smartTagPr>
          <w:attr w:name="ProductID" w:val="2007 a"/>
        </w:smartTagPr>
        <w:r w:rsidRPr="005E117B">
          <w:rPr>
            <w:lang w:val="fr-FR"/>
          </w:rPr>
          <w:t>2007 a</w:t>
        </w:r>
      </w:smartTag>
      <w:r w:rsidRPr="005E117B">
        <w:rPr>
          <w:lang w:val="fr-FR"/>
        </w:rPr>
        <w:t xml:space="preserve"> pris effet le 1</w:t>
      </w:r>
      <w:r w:rsidRPr="005E117B">
        <w:rPr>
          <w:vertAlign w:val="superscript"/>
          <w:lang w:val="fr-FR"/>
        </w:rPr>
        <w:t>er</w:t>
      </w:r>
      <w:r w:rsidRPr="005E117B">
        <w:rPr>
          <w:lang w:val="fr-FR"/>
        </w:rPr>
        <w:t xml:space="preserve"> novembre de la même année. </w:t>
      </w:r>
      <w:smartTag w:uri="urn:schemas-microsoft-com:office:smarttags" w:element="PersonName">
        <w:smartTagPr>
          <w:attr w:name="ProductID" w:val="la Loi"/>
        </w:smartTagPr>
        <w:r w:rsidRPr="005E117B">
          <w:rPr>
            <w:lang w:val="fr-FR"/>
          </w:rPr>
          <w:t>La Loi</w:t>
        </w:r>
      </w:smartTag>
      <w:r w:rsidRPr="005E117B">
        <w:rPr>
          <w:lang w:val="fr-FR"/>
        </w:rPr>
        <w:t xml:space="preserve"> amendée permet aux mineurs ayant des problèmes sérieux, comme ceux qui ont commis des crimes atroces ou graves, d</w:t>
      </w:r>
      <w:r w:rsidR="00277023">
        <w:rPr>
          <w:lang w:val="fr-FR"/>
        </w:rPr>
        <w:t>’</w:t>
      </w:r>
      <w:r w:rsidRPr="005E117B">
        <w:rPr>
          <w:lang w:val="fr-FR"/>
        </w:rPr>
        <w:t>être rapidement envoyés dans des centres de formation pour mineurs et placés en éducation surveillée, même si le jeune est âgé de moins de 14 ans (12 ans et plus).</w:t>
      </w:r>
    </w:p>
    <w:p w:rsidR="003972E0" w:rsidRPr="005E117B" w:rsidRDefault="005E117B" w:rsidP="005E117B">
      <w:pPr>
        <w:pStyle w:val="SingleTxtG"/>
        <w:rPr>
          <w:lang w:val="fr-FR"/>
        </w:rPr>
      </w:pPr>
      <w:r w:rsidRPr="005E117B">
        <w:rPr>
          <w:lang w:val="fr-FR"/>
        </w:rPr>
        <w:tab/>
        <w:t xml:space="preserve">Concernant la lutte contre la toxicomanie des jeunes, les efforts portent notamment sur la mise en place de </w:t>
      </w:r>
      <w:smartTag w:uri="urn:schemas-microsoft-com:office:smarttags" w:element="PersonName">
        <w:smartTagPr>
          <w:attr w:name="ProductID" w:val="la Strat￩gie"/>
        </w:smartTagPr>
        <w:r w:rsidRPr="005E117B">
          <w:rPr>
            <w:lang w:val="fr-FR"/>
          </w:rPr>
          <w:t>la Stratégie</w:t>
        </w:r>
      </w:smartTag>
      <w:r w:rsidRPr="005E117B">
        <w:rPr>
          <w:lang w:val="fr-FR"/>
        </w:rPr>
        <w:t xml:space="preserve"> de prévention de la toxicomanie sur cinq ans en juillet 2003. Même les mesures contre l</w:t>
      </w:r>
      <w:r w:rsidR="00277023">
        <w:rPr>
          <w:lang w:val="fr-FR"/>
        </w:rPr>
        <w:t>’</w:t>
      </w:r>
      <w:r w:rsidRPr="005E117B">
        <w:rPr>
          <w:lang w:val="fr-FR"/>
        </w:rPr>
        <w:t xml:space="preserve">exploitation sexuelle et les abus sexuels des enfants ont progressé avec la formulation de </w:t>
      </w:r>
      <w:smartTag w:uri="urn:schemas-microsoft-com:office:smarttags" w:element="PersonName">
        <w:smartTagPr>
          <w:attr w:name="ProductID" w:val="la Loi"/>
        </w:smartTagPr>
        <w:r w:rsidRPr="005E117B">
          <w:rPr>
            <w:lang w:val="fr-FR"/>
          </w:rPr>
          <w:t>la Loi</w:t>
        </w:r>
      </w:smartTag>
      <w:r w:rsidRPr="005E117B">
        <w:rPr>
          <w:lang w:val="fr-FR"/>
        </w:rPr>
        <w:t xml:space="preserve"> sur les sites de rencontre sur Internet en juin 2003 et l</w:t>
      </w:r>
      <w:r w:rsidR="00277023">
        <w:rPr>
          <w:lang w:val="fr-FR"/>
        </w:rPr>
        <w:t>’</w:t>
      </w:r>
      <w:r w:rsidRPr="005E117B">
        <w:rPr>
          <w:lang w:val="fr-FR"/>
        </w:rPr>
        <w:t xml:space="preserve">amendement partiel de </w:t>
      </w:r>
      <w:smartTag w:uri="urn:schemas-microsoft-com:office:smarttags" w:element="PersonName">
        <w:smartTagPr>
          <w:attr w:name="ProductID" w:val="la Loi"/>
        </w:smartTagPr>
        <w:r w:rsidRPr="005E117B">
          <w:rPr>
            <w:lang w:val="fr-FR"/>
          </w:rPr>
          <w:t>la Loi</w:t>
        </w:r>
      </w:smartTag>
      <w:r w:rsidRPr="005E117B">
        <w:rPr>
          <w:lang w:val="fr-FR"/>
        </w:rPr>
        <w:t xml:space="preserve"> relative à la répression de la prostitution des enfants et de la pornographie mettant en scène des enfants, et à la protection des enfants, en juin 2004. Quant à la lutte c</w:t>
      </w:r>
      <w:r w:rsidRPr="005E117B">
        <w:rPr>
          <w:rFonts w:cs="Arial"/>
          <w:lang w:val="fr-FR"/>
        </w:rPr>
        <w:t>ontre la traite des êtres humains, y compris des enfants, le Gouvernement japonais a élaboré un Plan d</w:t>
      </w:r>
      <w:r w:rsidR="00277023">
        <w:rPr>
          <w:rFonts w:cs="Arial"/>
          <w:lang w:val="fr-FR"/>
        </w:rPr>
        <w:t>’</w:t>
      </w:r>
      <w:r w:rsidRPr="005E117B">
        <w:rPr>
          <w:rFonts w:cs="Arial"/>
          <w:lang w:val="fr-FR"/>
        </w:rPr>
        <w:t>action en décembre 2004 et des actions ont été menées, comme le renforcement des lois internes pertinentes.</w:t>
      </w:r>
    </w:p>
    <w:p w:rsidR="00CF39B0" w:rsidRPr="00B749AC" w:rsidRDefault="00CF39B0" w:rsidP="00CF39B0">
      <w:pPr>
        <w:spacing w:after="120"/>
        <w:rPr>
          <w:sz w:val="28"/>
        </w:rPr>
      </w:pPr>
      <w:r w:rsidRPr="005E117B">
        <w:rPr>
          <w:lang w:val="fr-FR"/>
        </w:rPr>
        <w:br w:type="page"/>
      </w:r>
      <w:r w:rsidR="004B37D9" w:rsidRPr="00B749AC">
        <w:rPr>
          <w:sz w:val="28"/>
          <w:lang w:val="fr-FR"/>
        </w:rPr>
        <w:t>Table des matières</w:t>
      </w:r>
    </w:p>
    <w:p w:rsidR="00CF39B0" w:rsidRPr="008E5027" w:rsidRDefault="00CF39B0" w:rsidP="00CF39B0">
      <w:pPr>
        <w:tabs>
          <w:tab w:val="right" w:pos="8929"/>
          <w:tab w:val="right" w:pos="9638"/>
        </w:tabs>
        <w:spacing w:after="120"/>
        <w:ind w:left="283"/>
      </w:pPr>
      <w:r w:rsidRPr="008E5027">
        <w:rPr>
          <w:i/>
          <w:sz w:val="18"/>
        </w:rPr>
        <w:tab/>
      </w:r>
      <w:r w:rsidR="00416C6C" w:rsidRPr="00416C6C">
        <w:rPr>
          <w:bCs/>
          <w:i/>
          <w:iCs/>
          <w:sz w:val="18"/>
          <w:lang w:val="fr-FR"/>
        </w:rPr>
        <w:t>Paragraphe</w:t>
      </w:r>
      <w:r w:rsidR="00B749AC">
        <w:rPr>
          <w:bCs/>
          <w:i/>
          <w:iCs/>
          <w:sz w:val="18"/>
          <w:lang w:val="fr-FR"/>
        </w:rPr>
        <w:t>s</w:t>
      </w:r>
      <w:r w:rsidRPr="008E5027">
        <w:rPr>
          <w:i/>
          <w:sz w:val="18"/>
        </w:rPr>
        <w:tab/>
        <w:t>Page</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8E5027">
        <w:tab/>
      </w:r>
      <w:r w:rsidRPr="008E5027">
        <w:tab/>
      </w:r>
      <w:r w:rsidR="004B37D9" w:rsidRPr="004B37D9">
        <w:rPr>
          <w:bCs/>
          <w:lang w:val="fr-FR"/>
        </w:rPr>
        <w:t>Introduction</w:t>
      </w:r>
      <w:r w:rsidR="00D47745" w:rsidRPr="008E5027">
        <w:tab/>
      </w:r>
      <w:r w:rsidR="00D47745" w:rsidRPr="008E5027">
        <w:tab/>
      </w:r>
      <w:r w:rsidR="00CF39B0" w:rsidRPr="008E5027">
        <w:t>1</w:t>
      </w:r>
      <w:r w:rsidR="00E91D45" w:rsidRPr="008E5027">
        <w:t>–</w:t>
      </w:r>
      <w:r w:rsidR="00CF39B0" w:rsidRPr="008E5027">
        <w:t>5</w:t>
      </w:r>
      <w:r w:rsidR="00C63303" w:rsidRPr="008E5027">
        <w:tab/>
      </w:r>
      <w:r w:rsidR="00480B34" w:rsidRPr="008E5027">
        <w:t>10</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8E5027">
        <w:tab/>
      </w:r>
      <w:r w:rsidR="00CF39B0" w:rsidRPr="008E5027">
        <w:t>I.</w:t>
      </w:r>
      <w:r w:rsidR="00CF39B0" w:rsidRPr="008E5027">
        <w:tab/>
      </w:r>
      <w:r w:rsidR="004B37D9" w:rsidRPr="004B37D9">
        <w:rPr>
          <w:bCs/>
          <w:lang w:val="fr-FR"/>
        </w:rPr>
        <w:t>Mesures d</w:t>
      </w:r>
      <w:r w:rsidR="00277023">
        <w:rPr>
          <w:bCs/>
          <w:lang w:val="fr-FR"/>
        </w:rPr>
        <w:t>’</w:t>
      </w:r>
      <w:r w:rsidR="004B37D9" w:rsidRPr="004B37D9">
        <w:rPr>
          <w:bCs/>
          <w:lang w:val="fr-FR"/>
        </w:rPr>
        <w:t>application g</w:t>
      </w:r>
      <w:r w:rsidR="004B37D9">
        <w:rPr>
          <w:bCs/>
          <w:lang w:val="fr-FR"/>
        </w:rPr>
        <w:t>é</w:t>
      </w:r>
      <w:r w:rsidR="004B37D9" w:rsidRPr="004B37D9">
        <w:rPr>
          <w:bCs/>
          <w:lang w:val="fr-FR"/>
        </w:rPr>
        <w:t>n</w:t>
      </w:r>
      <w:r w:rsidR="004B37D9">
        <w:rPr>
          <w:bCs/>
          <w:lang w:val="fr-FR"/>
        </w:rPr>
        <w:t>é</w:t>
      </w:r>
      <w:r w:rsidR="004B37D9" w:rsidRPr="004B37D9">
        <w:rPr>
          <w:bCs/>
          <w:lang w:val="fr-FR"/>
        </w:rPr>
        <w:t>rales</w:t>
      </w:r>
      <w:r w:rsidR="00C63303" w:rsidRPr="008E5027">
        <w:tab/>
      </w:r>
      <w:r w:rsidR="00C63303" w:rsidRPr="008E5027">
        <w:tab/>
      </w:r>
      <w:r w:rsidR="00CF39B0" w:rsidRPr="008E5027">
        <w:t>6</w:t>
      </w:r>
      <w:r w:rsidR="00E91D45" w:rsidRPr="008E5027">
        <w:t>–</w:t>
      </w:r>
      <w:r w:rsidR="00CF39B0" w:rsidRPr="008E5027">
        <w:t>107</w:t>
      </w:r>
      <w:r w:rsidR="00C63303" w:rsidRPr="008E5027">
        <w:tab/>
      </w:r>
      <w:r w:rsidR="00480B34" w:rsidRPr="008E5027">
        <w:t>11</w:t>
      </w:r>
    </w:p>
    <w:p w:rsidR="00CF39B0" w:rsidRPr="008E5027" w:rsidRDefault="00964912" w:rsidP="00964912">
      <w:pPr>
        <w:tabs>
          <w:tab w:val="right" w:pos="850"/>
          <w:tab w:val="left" w:pos="1134"/>
          <w:tab w:val="left" w:pos="1559"/>
          <w:tab w:val="left" w:pos="1984"/>
          <w:tab w:val="left" w:leader="dot" w:pos="7654"/>
          <w:tab w:val="right" w:pos="8929"/>
          <w:tab w:val="right" w:pos="9638"/>
        </w:tabs>
        <w:spacing w:after="120"/>
        <w:ind w:left="1559" w:hanging="1559"/>
      </w:pPr>
      <w:r w:rsidRPr="008E5027">
        <w:tab/>
      </w:r>
      <w:r w:rsidRPr="008E5027">
        <w:tab/>
      </w:r>
      <w:r w:rsidR="00CF39B0" w:rsidRPr="008E5027">
        <w:t>A</w:t>
      </w:r>
      <w:r w:rsidRPr="008E5027">
        <w:t>.</w:t>
      </w:r>
      <w:r w:rsidR="00CF39B0" w:rsidRPr="008E5027">
        <w:tab/>
      </w:r>
      <w:r w:rsidR="004B37D9" w:rsidRPr="004B37D9">
        <w:rPr>
          <w:bCs/>
          <w:lang w:val="fr-FR"/>
        </w:rPr>
        <w:t>Position du Gouvernement japonais concernant sa décision</w:t>
      </w:r>
      <w:r w:rsidR="004B37D9">
        <w:rPr>
          <w:bCs/>
          <w:lang w:val="fr-FR"/>
        </w:rPr>
        <w:t xml:space="preserve"> </w:t>
      </w:r>
      <w:r w:rsidR="00C63303" w:rsidRPr="008E5027">
        <w:br/>
      </w:r>
      <w:r w:rsidR="004B37D9" w:rsidRPr="00E64C5D">
        <w:rPr>
          <w:bCs/>
          <w:color w:val="000000"/>
        </w:rPr>
        <w:t>de formuler des réserves</w:t>
      </w:r>
      <w:r w:rsidR="00C63303" w:rsidRPr="008E5027">
        <w:tab/>
      </w:r>
      <w:r w:rsidR="00C63303" w:rsidRPr="008E5027">
        <w:tab/>
      </w:r>
      <w:r w:rsidR="00CF39B0" w:rsidRPr="008E5027">
        <w:t>6</w:t>
      </w:r>
      <w:r w:rsidR="00E91D45" w:rsidRPr="008E5027">
        <w:t>–</w:t>
      </w:r>
      <w:r w:rsidR="00CF39B0" w:rsidRPr="008E5027">
        <w:t>10</w:t>
      </w:r>
      <w:r w:rsidR="00C63303" w:rsidRPr="008E5027">
        <w:tab/>
      </w:r>
      <w:r w:rsidR="00480B34" w:rsidRPr="008E5027">
        <w:t>11</w:t>
      </w:r>
    </w:p>
    <w:p w:rsidR="00CF39B0" w:rsidRPr="008E5027" w:rsidRDefault="00964912" w:rsidP="00964912">
      <w:pPr>
        <w:tabs>
          <w:tab w:val="right" w:pos="850"/>
          <w:tab w:val="left" w:pos="1134"/>
          <w:tab w:val="left" w:pos="1559"/>
          <w:tab w:val="left" w:pos="1984"/>
          <w:tab w:val="left" w:leader="dot" w:pos="7654"/>
          <w:tab w:val="right" w:pos="8929"/>
          <w:tab w:val="right" w:pos="9638"/>
        </w:tabs>
        <w:spacing w:after="120"/>
        <w:ind w:left="1559" w:hanging="1559"/>
      </w:pPr>
      <w:r w:rsidRPr="008E5027">
        <w:tab/>
      </w:r>
      <w:r w:rsidRPr="008E5027">
        <w:tab/>
      </w:r>
      <w:r w:rsidR="00CF39B0" w:rsidRPr="008E5027">
        <w:t>B.</w:t>
      </w:r>
      <w:r w:rsidR="00CF39B0" w:rsidRPr="008E5027">
        <w:tab/>
      </w:r>
      <w:r w:rsidR="008B10CD" w:rsidRPr="008B10CD">
        <w:rPr>
          <w:bCs/>
          <w:lang w:val="fr-FR"/>
        </w:rPr>
        <w:t>Mesures prises pour harmoniser les lois et politiques</w:t>
      </w:r>
      <w:r w:rsidR="00CF39B0" w:rsidRPr="008E5027">
        <w:t xml:space="preserve"> </w:t>
      </w:r>
      <w:r w:rsidR="008B10CD" w:rsidRPr="008B10CD">
        <w:rPr>
          <w:bCs/>
          <w:lang w:val="fr-FR"/>
        </w:rPr>
        <w:t xml:space="preserve">nationales </w:t>
      </w:r>
      <w:r w:rsidR="008B10CD">
        <w:rPr>
          <w:bCs/>
          <w:lang w:val="fr-FR"/>
        </w:rPr>
        <w:br/>
      </w:r>
      <w:r w:rsidR="008B10CD" w:rsidRPr="008B10CD">
        <w:rPr>
          <w:bCs/>
          <w:lang w:val="fr-FR"/>
        </w:rPr>
        <w:t xml:space="preserve">avec les dispositions de </w:t>
      </w:r>
      <w:smartTag w:uri="urn:schemas-microsoft-com:office:smarttags" w:element="PersonName">
        <w:smartTagPr>
          <w:attr w:name="ProductID" w:val="LA CONVENTION"/>
        </w:smartTagPr>
        <w:r w:rsidR="008B10CD" w:rsidRPr="008B10CD">
          <w:rPr>
            <w:bCs/>
            <w:lang w:val="fr-FR"/>
          </w:rPr>
          <w:t>la Convention</w:t>
        </w:r>
      </w:smartTag>
      <w:r w:rsidR="008B10CD" w:rsidRPr="008B10CD">
        <w:rPr>
          <w:bCs/>
          <w:lang w:val="fr-FR"/>
        </w:rPr>
        <w:t xml:space="preserve"> (article 4)</w:t>
      </w:r>
      <w:r w:rsidR="00C63303" w:rsidRPr="008E5027">
        <w:tab/>
      </w:r>
      <w:r w:rsidR="00C63303" w:rsidRPr="008E5027">
        <w:tab/>
      </w:r>
      <w:r w:rsidR="00CF39B0" w:rsidRPr="008E5027">
        <w:t>11</w:t>
      </w:r>
      <w:r w:rsidR="00E91D45" w:rsidRPr="008E5027">
        <w:t>–</w:t>
      </w:r>
      <w:r w:rsidR="00CF39B0" w:rsidRPr="008E5027">
        <w:t>20</w:t>
      </w:r>
      <w:r w:rsidR="00C63303" w:rsidRPr="008E5027">
        <w:tab/>
      </w:r>
      <w:r w:rsidR="00480B34" w:rsidRPr="008E5027">
        <w:t>12</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8E5027">
        <w:tab/>
      </w:r>
      <w:r w:rsidRPr="008E5027">
        <w:tab/>
      </w:r>
      <w:r w:rsidR="00CF39B0" w:rsidRPr="008E5027">
        <w:t>C.</w:t>
      </w:r>
      <w:r w:rsidR="00CF39B0" w:rsidRPr="008E5027">
        <w:tab/>
      </w:r>
      <w:r w:rsidR="008B10CD" w:rsidRPr="008B10CD">
        <w:rPr>
          <w:bCs/>
          <w:lang w:val="fr-FR"/>
        </w:rPr>
        <w:t xml:space="preserve">Statut de </w:t>
      </w:r>
      <w:smartTag w:uri="urn:schemas-microsoft-com:office:smarttags" w:element="PersonName">
        <w:smartTagPr>
          <w:attr w:name="ProductID" w:val="LA CONVENTION"/>
        </w:smartTagPr>
        <w:r w:rsidR="008B10CD" w:rsidRPr="008B10CD">
          <w:rPr>
            <w:bCs/>
            <w:lang w:val="fr-FR"/>
          </w:rPr>
          <w:t>la Convention</w:t>
        </w:r>
      </w:smartTag>
      <w:r w:rsidR="008B10CD" w:rsidRPr="008B10CD">
        <w:rPr>
          <w:bCs/>
          <w:lang w:val="fr-FR"/>
        </w:rPr>
        <w:t xml:space="preserve"> au regard du droit interne</w:t>
      </w:r>
      <w:r w:rsidR="00C63303" w:rsidRPr="008E5027">
        <w:tab/>
      </w:r>
      <w:r w:rsidR="00C63303" w:rsidRPr="008E5027">
        <w:tab/>
      </w:r>
      <w:r w:rsidR="00CF39B0" w:rsidRPr="008E5027">
        <w:t>21</w:t>
      </w:r>
      <w:r w:rsidR="00E91D45" w:rsidRPr="008E5027">
        <w:t>–</w:t>
      </w:r>
      <w:r w:rsidR="00CF39B0" w:rsidRPr="008E5027">
        <w:t>23</w:t>
      </w:r>
      <w:r w:rsidR="00C63303" w:rsidRPr="008E5027">
        <w:tab/>
      </w:r>
      <w:r w:rsidR="00480B34" w:rsidRPr="008E5027">
        <w:t>14</w:t>
      </w:r>
    </w:p>
    <w:p w:rsidR="00CF39B0" w:rsidRPr="008E5027" w:rsidRDefault="00964912" w:rsidP="00964912">
      <w:pPr>
        <w:tabs>
          <w:tab w:val="right" w:pos="850"/>
          <w:tab w:val="left" w:pos="1134"/>
          <w:tab w:val="left" w:pos="1559"/>
          <w:tab w:val="left" w:pos="1984"/>
          <w:tab w:val="left" w:leader="dot" w:pos="7654"/>
          <w:tab w:val="right" w:pos="8929"/>
          <w:tab w:val="right" w:pos="9638"/>
        </w:tabs>
        <w:spacing w:after="120"/>
        <w:ind w:left="1559" w:hanging="1559"/>
      </w:pPr>
      <w:r w:rsidRPr="008E5027">
        <w:tab/>
      </w:r>
      <w:r w:rsidRPr="008E5027">
        <w:tab/>
      </w:r>
      <w:r w:rsidR="00CF39B0" w:rsidRPr="008E5027">
        <w:t>D.</w:t>
      </w:r>
      <w:r w:rsidR="00CF39B0" w:rsidRPr="008E5027">
        <w:tab/>
      </w:r>
      <w:r w:rsidR="008B10CD" w:rsidRPr="00E64C5D">
        <w:rPr>
          <w:bCs/>
          <w:color w:val="000000"/>
        </w:rPr>
        <w:t>R</w:t>
      </w:r>
      <w:r w:rsidR="008B10CD">
        <w:rPr>
          <w:bCs/>
          <w:color w:val="000000"/>
        </w:rPr>
        <w:t>apport</w:t>
      </w:r>
      <w:r w:rsidR="008B10CD" w:rsidRPr="00E64C5D">
        <w:rPr>
          <w:bCs/>
          <w:color w:val="000000"/>
        </w:rPr>
        <w:t xml:space="preserve"> entre </w:t>
      </w:r>
      <w:smartTag w:uri="urn:schemas-microsoft-com:office:smarttags" w:element="PersonName">
        <w:smartTagPr>
          <w:attr w:name="ProductID" w:val="LA CONVENTION"/>
        </w:smartTagPr>
        <w:r w:rsidR="008B10CD" w:rsidRPr="00E64C5D">
          <w:rPr>
            <w:bCs/>
            <w:color w:val="000000"/>
          </w:rPr>
          <w:t>la Convention</w:t>
        </w:r>
      </w:smartTag>
      <w:r w:rsidR="008B10CD" w:rsidRPr="00E64C5D">
        <w:rPr>
          <w:bCs/>
          <w:color w:val="000000"/>
        </w:rPr>
        <w:t xml:space="preserve"> et l</w:t>
      </w:r>
      <w:r w:rsidR="008B10CD">
        <w:rPr>
          <w:bCs/>
          <w:color w:val="000000"/>
        </w:rPr>
        <w:t>a législation</w:t>
      </w:r>
      <w:r w:rsidR="008B10CD" w:rsidRPr="00E64C5D">
        <w:rPr>
          <w:bCs/>
          <w:color w:val="000000"/>
        </w:rPr>
        <w:t xml:space="preserve"> nationale et</w:t>
      </w:r>
      <w:r w:rsidR="008B10CD">
        <w:rPr>
          <w:bCs/>
          <w:color w:val="000000"/>
        </w:rPr>
        <w:t xml:space="preserve"> </w:t>
      </w:r>
      <w:r w:rsidR="00FA640E" w:rsidRPr="00FA640E">
        <w:rPr>
          <w:bCs/>
          <w:lang w:val="fr-FR"/>
        </w:rPr>
        <w:t xml:space="preserve">internationale </w:t>
      </w:r>
      <w:r w:rsidR="00FA640E">
        <w:rPr>
          <w:bCs/>
          <w:lang w:val="fr-FR"/>
        </w:rPr>
        <w:br/>
      </w:r>
      <w:r w:rsidR="00FA640E" w:rsidRPr="00FA640E">
        <w:rPr>
          <w:bCs/>
          <w:lang w:val="fr-FR"/>
        </w:rPr>
        <w:t>(article 41)</w:t>
      </w:r>
      <w:r w:rsidR="00937DB5" w:rsidRPr="008E5027">
        <w:tab/>
      </w:r>
      <w:r w:rsidR="00937DB5" w:rsidRPr="008E5027">
        <w:tab/>
      </w:r>
      <w:r w:rsidR="00CF39B0" w:rsidRPr="008E5027">
        <w:t>24</w:t>
      </w:r>
      <w:r w:rsidR="00E91D45" w:rsidRPr="008E5027">
        <w:t>–</w:t>
      </w:r>
      <w:r w:rsidR="00CF39B0" w:rsidRPr="008E5027">
        <w:t>25</w:t>
      </w:r>
      <w:r w:rsidR="00937DB5" w:rsidRPr="008E5027">
        <w:tab/>
      </w:r>
      <w:r w:rsidR="00480B34" w:rsidRPr="008E5027">
        <w:t>14</w:t>
      </w:r>
    </w:p>
    <w:p w:rsidR="00CF39B0" w:rsidRPr="00D74CA4" w:rsidRDefault="00964912" w:rsidP="00964912">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8E5027">
        <w:tab/>
      </w:r>
      <w:r w:rsidRPr="008E5027">
        <w:tab/>
      </w:r>
      <w:r w:rsidR="00CF39B0" w:rsidRPr="00D74CA4">
        <w:rPr>
          <w:lang w:val="es-ES"/>
        </w:rPr>
        <w:t>E.</w:t>
      </w:r>
      <w:r w:rsidR="00CF39B0" w:rsidRPr="00D74CA4">
        <w:rPr>
          <w:lang w:val="es-ES"/>
        </w:rPr>
        <w:tab/>
      </w:r>
      <w:r w:rsidR="00FA640E" w:rsidRPr="00D74CA4">
        <w:rPr>
          <w:bCs/>
          <w:color w:val="000000"/>
          <w:lang w:val="es-ES"/>
        </w:rPr>
        <w:t>Précédents relatifs à l</w:t>
      </w:r>
      <w:r w:rsidR="00277023">
        <w:rPr>
          <w:bCs/>
          <w:color w:val="000000"/>
          <w:lang w:val="es-ES"/>
        </w:rPr>
        <w:t>’</w:t>
      </w:r>
      <w:r w:rsidR="00FA640E" w:rsidRPr="00D74CA4">
        <w:rPr>
          <w:bCs/>
          <w:color w:val="000000"/>
          <w:lang w:val="es-ES"/>
        </w:rPr>
        <w:t xml:space="preserve">application des principes ou dispositions </w:t>
      </w:r>
      <w:r w:rsidR="00FA640E" w:rsidRPr="00D74CA4">
        <w:rPr>
          <w:bCs/>
          <w:color w:val="000000"/>
          <w:lang w:val="es-ES"/>
        </w:rPr>
        <w:br/>
        <w:t xml:space="preserve">de </w:t>
      </w:r>
      <w:smartTag w:uri="urn:schemas-microsoft-com:office:smarttags" w:element="PersonName">
        <w:smartTagPr>
          <w:attr w:name="ProductID" w:val="LA CONVENTION"/>
        </w:smartTagPr>
        <w:r w:rsidR="00FA640E" w:rsidRPr="00D74CA4">
          <w:rPr>
            <w:bCs/>
            <w:color w:val="000000"/>
            <w:lang w:val="es-ES"/>
          </w:rPr>
          <w:t xml:space="preserve">la </w:t>
        </w:r>
        <w:r w:rsidR="00FA640E" w:rsidRPr="00FA640E">
          <w:rPr>
            <w:bCs/>
            <w:lang w:val="fr-FR"/>
          </w:rPr>
          <w:t>Convention</w:t>
        </w:r>
      </w:smartTag>
      <w:r w:rsidR="00FA640E" w:rsidRPr="00FA640E">
        <w:rPr>
          <w:bCs/>
          <w:lang w:val="fr-FR"/>
        </w:rPr>
        <w:t xml:space="preserve"> à des décisions judiciaires au Japon</w:t>
      </w:r>
      <w:r w:rsidR="00937DB5" w:rsidRPr="00D74CA4">
        <w:rPr>
          <w:lang w:val="es-ES"/>
        </w:rPr>
        <w:tab/>
      </w:r>
      <w:r w:rsidR="00937DB5" w:rsidRPr="00D74CA4">
        <w:rPr>
          <w:lang w:val="es-ES"/>
        </w:rPr>
        <w:tab/>
      </w:r>
      <w:r w:rsidR="00CF39B0" w:rsidRPr="00D74CA4">
        <w:rPr>
          <w:lang w:val="es-ES"/>
        </w:rPr>
        <w:t>26</w:t>
      </w:r>
      <w:r w:rsidR="003143FE" w:rsidRPr="00D74CA4">
        <w:rPr>
          <w:lang w:val="es-ES"/>
        </w:rPr>
        <w:tab/>
      </w:r>
      <w:r w:rsidR="00480B34" w:rsidRPr="00D74CA4">
        <w:rPr>
          <w:lang w:val="es-ES"/>
        </w:rPr>
        <w:t>15</w:t>
      </w:r>
    </w:p>
    <w:p w:rsidR="00CF39B0" w:rsidRPr="00D74CA4" w:rsidRDefault="00964912" w:rsidP="00964912">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F.</w:t>
      </w:r>
      <w:r w:rsidR="00CF39B0" w:rsidRPr="00D74CA4">
        <w:rPr>
          <w:lang w:val="es-ES"/>
        </w:rPr>
        <w:tab/>
      </w:r>
      <w:r w:rsidR="00FA640E" w:rsidRPr="00FA640E">
        <w:rPr>
          <w:bCs/>
          <w:lang w:val="fr-FR"/>
        </w:rPr>
        <w:t>Mesures de réparation en cas de violation des droits de l</w:t>
      </w:r>
      <w:r w:rsidR="00277023">
        <w:rPr>
          <w:bCs/>
          <w:lang w:val="fr-FR"/>
        </w:rPr>
        <w:t>’</w:t>
      </w:r>
      <w:r w:rsidR="00FA640E" w:rsidRPr="00FA640E">
        <w:rPr>
          <w:bCs/>
          <w:lang w:val="fr-FR"/>
        </w:rPr>
        <w:t>enfant</w:t>
      </w:r>
      <w:r w:rsidR="00FA640E">
        <w:rPr>
          <w:bCs/>
          <w:lang w:val="fr-FR"/>
        </w:rPr>
        <w:t xml:space="preserve"> </w:t>
      </w:r>
      <w:r w:rsidR="003143FE" w:rsidRPr="00D74CA4">
        <w:rPr>
          <w:lang w:val="es-ES"/>
        </w:rPr>
        <w:br/>
      </w:r>
      <w:r w:rsidR="00FA640E" w:rsidRPr="00FA640E">
        <w:rPr>
          <w:bCs/>
          <w:lang w:val="fr-FR"/>
        </w:rPr>
        <w:t xml:space="preserve">en application de </w:t>
      </w:r>
      <w:smartTag w:uri="urn:schemas-microsoft-com:office:smarttags" w:element="PersonName">
        <w:smartTagPr>
          <w:attr w:name="ProductID" w:val="LA CONVENTION"/>
        </w:smartTagPr>
        <w:r w:rsidR="00FA640E" w:rsidRPr="00FA640E">
          <w:rPr>
            <w:bCs/>
            <w:lang w:val="fr-FR"/>
          </w:rPr>
          <w:t>la Convention</w:t>
        </w:r>
      </w:smartTag>
      <w:r w:rsidR="00FA640E" w:rsidRPr="00D74CA4">
        <w:rPr>
          <w:lang w:val="es-ES"/>
        </w:rPr>
        <w:t xml:space="preserve"> </w:t>
      </w:r>
      <w:r w:rsidR="00CF39B0" w:rsidRPr="00D74CA4">
        <w:rPr>
          <w:lang w:val="es-ES"/>
        </w:rPr>
        <w:t>………………………………………</w:t>
      </w:r>
      <w:r w:rsidR="00CF39B0" w:rsidRPr="00D74CA4">
        <w:rPr>
          <w:lang w:val="es-ES"/>
        </w:rPr>
        <w:tab/>
      </w:r>
      <w:r w:rsidR="00CF39B0" w:rsidRPr="00D74CA4">
        <w:rPr>
          <w:lang w:val="es-ES"/>
        </w:rPr>
        <w:tab/>
        <w:t>27</w:t>
      </w:r>
      <w:r w:rsidR="00E91D45" w:rsidRPr="00D74CA4">
        <w:rPr>
          <w:lang w:val="es-ES"/>
        </w:rPr>
        <w:t>–</w:t>
      </w:r>
      <w:r w:rsidR="00CF39B0" w:rsidRPr="00D74CA4">
        <w:rPr>
          <w:lang w:val="es-ES"/>
        </w:rPr>
        <w:t>30</w:t>
      </w:r>
      <w:r w:rsidR="00C63303" w:rsidRPr="00D74CA4">
        <w:rPr>
          <w:lang w:val="es-ES"/>
        </w:rPr>
        <w:tab/>
      </w:r>
      <w:r w:rsidR="00480B34" w:rsidRPr="00D74CA4">
        <w:rPr>
          <w:lang w:val="es-ES"/>
        </w:rPr>
        <w:t>15</w:t>
      </w:r>
    </w:p>
    <w:p w:rsidR="00CF39B0" w:rsidRPr="00D74CA4" w:rsidRDefault="00964912" w:rsidP="00964912">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G.</w:t>
      </w:r>
      <w:r w:rsidR="00CF39B0" w:rsidRPr="00D74CA4">
        <w:rPr>
          <w:lang w:val="es-ES"/>
        </w:rPr>
        <w:tab/>
      </w:r>
      <w:r w:rsidR="002A7383" w:rsidRPr="002A7383">
        <w:rPr>
          <w:bCs/>
          <w:lang w:val="fr-FR"/>
        </w:rPr>
        <w:t>Stratégie nationale globale relative aux droits de l</w:t>
      </w:r>
      <w:r w:rsidR="00277023">
        <w:rPr>
          <w:bCs/>
          <w:lang w:val="fr-FR"/>
        </w:rPr>
        <w:t>’</w:t>
      </w:r>
      <w:r w:rsidR="002A7383" w:rsidRPr="002A7383">
        <w:rPr>
          <w:bCs/>
          <w:lang w:val="fr-FR"/>
        </w:rPr>
        <w:t>enfant dans</w:t>
      </w:r>
      <w:r w:rsidR="00CF39B0" w:rsidRPr="00D74CA4">
        <w:rPr>
          <w:lang w:val="es-ES"/>
        </w:rPr>
        <w:t xml:space="preserve"> </w:t>
      </w:r>
      <w:r w:rsidR="002A7383" w:rsidRPr="002A7383">
        <w:rPr>
          <w:bCs/>
          <w:lang w:val="fr-FR"/>
        </w:rPr>
        <w:t xml:space="preserve">le cadre </w:t>
      </w:r>
      <w:r w:rsidR="002A7383">
        <w:rPr>
          <w:bCs/>
          <w:lang w:val="fr-FR"/>
        </w:rPr>
        <w:br/>
      </w:r>
      <w:r w:rsidR="002A7383" w:rsidRPr="002A7383">
        <w:rPr>
          <w:bCs/>
          <w:lang w:val="fr-FR"/>
        </w:rPr>
        <w:t xml:space="preserve">de </w:t>
      </w:r>
      <w:smartTag w:uri="urn:schemas-microsoft-com:office:smarttags" w:element="PersonName">
        <w:smartTagPr>
          <w:attr w:name="ProductID" w:val="LA CONVENTION"/>
        </w:smartTagPr>
        <w:r w:rsidR="002A7383" w:rsidRPr="002A7383">
          <w:rPr>
            <w:bCs/>
            <w:lang w:val="fr-FR"/>
          </w:rPr>
          <w:t>la Convention</w:t>
        </w:r>
      </w:smartTag>
      <w:r w:rsidR="002A7383" w:rsidRPr="002A7383">
        <w:rPr>
          <w:bCs/>
          <w:lang w:val="fr-FR"/>
        </w:rPr>
        <w:t xml:space="preserve"> relative aux droits de l</w:t>
      </w:r>
      <w:r w:rsidR="00277023">
        <w:rPr>
          <w:bCs/>
          <w:lang w:val="fr-FR"/>
        </w:rPr>
        <w:t>’</w:t>
      </w:r>
      <w:r w:rsidR="002A7383" w:rsidRPr="002A7383">
        <w:rPr>
          <w:bCs/>
          <w:lang w:val="fr-FR"/>
        </w:rPr>
        <w:t>enfant,</w:t>
      </w:r>
      <w:r w:rsidR="00CF39B0" w:rsidRPr="00D74CA4">
        <w:rPr>
          <w:lang w:val="es-ES"/>
        </w:rPr>
        <w:t xml:space="preserve"> </w:t>
      </w:r>
      <w:r w:rsidR="002A7383" w:rsidRPr="00D74CA4">
        <w:rPr>
          <w:bCs/>
          <w:color w:val="000000"/>
          <w:lang w:val="es-ES"/>
        </w:rPr>
        <w:t xml:space="preserve">y compris le Plan </w:t>
      </w:r>
      <w:r w:rsidR="00B749AC">
        <w:rPr>
          <w:bCs/>
          <w:color w:val="000000"/>
          <w:lang w:val="es-ES"/>
        </w:rPr>
        <w:br/>
      </w:r>
      <w:r w:rsidR="002A7383" w:rsidRPr="00D74CA4">
        <w:rPr>
          <w:bCs/>
          <w:color w:val="000000"/>
          <w:lang w:val="es-ES"/>
        </w:rPr>
        <w:t>d</w:t>
      </w:r>
      <w:r w:rsidR="00277023">
        <w:rPr>
          <w:bCs/>
          <w:color w:val="000000"/>
          <w:lang w:val="es-ES"/>
        </w:rPr>
        <w:t>’</w:t>
      </w:r>
      <w:r w:rsidR="002A7383" w:rsidRPr="00D74CA4">
        <w:rPr>
          <w:bCs/>
          <w:color w:val="000000"/>
          <w:lang w:val="es-ES"/>
        </w:rPr>
        <w:t xml:space="preserve">action national pour la réalisation des </w:t>
      </w:r>
      <w:r w:rsidR="002A7383" w:rsidRPr="002A7383">
        <w:rPr>
          <w:bCs/>
          <w:color w:val="000000"/>
          <w:lang w:val="fr-FR"/>
        </w:rPr>
        <w:t>droits de l</w:t>
      </w:r>
      <w:r w:rsidR="00277023">
        <w:rPr>
          <w:bCs/>
          <w:color w:val="000000"/>
          <w:lang w:val="fr-FR"/>
        </w:rPr>
        <w:t>’</w:t>
      </w:r>
      <w:r w:rsidR="002A7383" w:rsidRPr="002A7383">
        <w:rPr>
          <w:bCs/>
          <w:color w:val="000000"/>
          <w:lang w:val="fr-FR"/>
        </w:rPr>
        <w:t>enfant</w:t>
      </w:r>
      <w:r w:rsidR="003143FE" w:rsidRPr="00D74CA4">
        <w:rPr>
          <w:lang w:val="es-ES"/>
        </w:rPr>
        <w:tab/>
      </w:r>
      <w:r w:rsidR="003143FE" w:rsidRPr="00D74CA4">
        <w:rPr>
          <w:lang w:val="es-ES"/>
        </w:rPr>
        <w:tab/>
      </w:r>
      <w:r w:rsidR="00CF39B0" w:rsidRPr="00D74CA4">
        <w:rPr>
          <w:lang w:val="es-ES"/>
        </w:rPr>
        <w:t>31</w:t>
      </w:r>
      <w:r w:rsidR="00E91D45" w:rsidRPr="00D74CA4">
        <w:rPr>
          <w:lang w:val="es-ES"/>
        </w:rPr>
        <w:t>–</w:t>
      </w:r>
      <w:r w:rsidR="00CF39B0" w:rsidRPr="00D74CA4">
        <w:rPr>
          <w:lang w:val="es-ES"/>
        </w:rPr>
        <w:t>34</w:t>
      </w:r>
      <w:r w:rsidR="003143FE" w:rsidRPr="00D74CA4">
        <w:rPr>
          <w:lang w:val="es-ES"/>
        </w:rPr>
        <w:tab/>
      </w:r>
      <w:r w:rsidR="00480B34" w:rsidRPr="00D74CA4">
        <w:rPr>
          <w:lang w:val="es-ES"/>
        </w:rPr>
        <w:t>1</w:t>
      </w:r>
      <w:r w:rsidR="00B749AC">
        <w:rPr>
          <w:lang w:val="es-ES"/>
        </w:rPr>
        <w:t>6</w:t>
      </w:r>
    </w:p>
    <w:p w:rsidR="00CF39B0" w:rsidRPr="00D74CA4"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H.</w:t>
      </w:r>
      <w:r w:rsidR="00CF39B0" w:rsidRPr="00D74CA4">
        <w:rPr>
          <w:lang w:val="es-ES"/>
        </w:rPr>
        <w:tab/>
      </w:r>
      <w:r w:rsidR="002A7383" w:rsidRPr="002A7383">
        <w:rPr>
          <w:bCs/>
          <w:lang w:val="fr-FR"/>
        </w:rPr>
        <w:t xml:space="preserve">Programme national de mise </w:t>
      </w:r>
      <w:r w:rsidR="00B749AC">
        <w:rPr>
          <w:bCs/>
          <w:lang w:val="fr-FR"/>
        </w:rPr>
        <w:t xml:space="preserve">en </w:t>
      </w:r>
      <w:r w:rsidR="00B749AC" w:rsidRPr="00F206B8">
        <w:rPr>
          <w:lang w:val="fr-FR"/>
        </w:rPr>
        <w:t>œ</w:t>
      </w:r>
      <w:r w:rsidR="002A7383" w:rsidRPr="002A7383">
        <w:rPr>
          <w:bCs/>
          <w:lang w:val="fr-FR"/>
        </w:rPr>
        <w:t xml:space="preserve">uvre de </w:t>
      </w:r>
      <w:smartTag w:uri="urn:schemas-microsoft-com:office:smarttags" w:element="PersonName">
        <w:smartTagPr>
          <w:attr w:name="ProductID" w:val="LA CONVENTION"/>
        </w:smartTagPr>
        <w:r w:rsidR="002A7383" w:rsidRPr="002A7383">
          <w:rPr>
            <w:bCs/>
            <w:lang w:val="fr-FR"/>
          </w:rPr>
          <w:t>la Convention</w:t>
        </w:r>
      </w:smartTag>
      <w:r w:rsidR="003143FE" w:rsidRPr="00D74CA4">
        <w:rPr>
          <w:lang w:val="es-ES"/>
        </w:rPr>
        <w:tab/>
      </w:r>
      <w:r w:rsidR="003143FE" w:rsidRPr="00D74CA4">
        <w:rPr>
          <w:lang w:val="es-ES"/>
        </w:rPr>
        <w:tab/>
      </w:r>
      <w:r w:rsidR="00CF39B0" w:rsidRPr="00D74CA4">
        <w:rPr>
          <w:lang w:val="es-ES"/>
        </w:rPr>
        <w:t>35</w:t>
      </w:r>
      <w:r w:rsidR="00E91D45" w:rsidRPr="00D74CA4">
        <w:rPr>
          <w:lang w:val="es-ES"/>
        </w:rPr>
        <w:t>–</w:t>
      </w:r>
      <w:r w:rsidR="00CF39B0" w:rsidRPr="00D74CA4">
        <w:rPr>
          <w:lang w:val="es-ES"/>
        </w:rPr>
        <w:t>49</w:t>
      </w:r>
      <w:r w:rsidR="003143FE" w:rsidRPr="00D74CA4">
        <w:rPr>
          <w:lang w:val="es-ES"/>
        </w:rPr>
        <w:tab/>
      </w:r>
      <w:r w:rsidR="005B131A" w:rsidRPr="00D74CA4">
        <w:rPr>
          <w:lang w:val="es-ES"/>
        </w:rPr>
        <w:t>1</w:t>
      </w:r>
      <w:r w:rsidR="00B749AC">
        <w:rPr>
          <w:lang w:val="es-ES"/>
        </w:rPr>
        <w:t>7</w:t>
      </w:r>
    </w:p>
    <w:p w:rsidR="00CF39B0" w:rsidRPr="00D74CA4" w:rsidRDefault="00964912" w:rsidP="00964912">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I.</w:t>
      </w:r>
      <w:r w:rsidR="00CF39B0" w:rsidRPr="00D74CA4">
        <w:rPr>
          <w:lang w:val="es-ES"/>
        </w:rPr>
        <w:tab/>
      </w:r>
      <w:r w:rsidR="002A7383" w:rsidRPr="002A7383">
        <w:rPr>
          <w:bCs/>
          <w:lang w:val="fr-FR"/>
        </w:rPr>
        <w:t>Mise en oeuvre conjointe de la politique en faveur de la</w:t>
      </w:r>
      <w:r w:rsidR="002A7383" w:rsidRPr="00D74CA4">
        <w:rPr>
          <w:lang w:val="es-ES"/>
        </w:rPr>
        <w:t xml:space="preserve"> </w:t>
      </w:r>
      <w:r w:rsidR="002A7383" w:rsidRPr="002A7383">
        <w:rPr>
          <w:bCs/>
          <w:lang w:val="fr-FR"/>
        </w:rPr>
        <w:t xml:space="preserve">jeunesse </w:t>
      </w:r>
      <w:r w:rsidR="00B749AC">
        <w:rPr>
          <w:bCs/>
          <w:lang w:val="fr-FR"/>
        </w:rPr>
        <w:br/>
      </w:r>
      <w:r w:rsidR="002A7383" w:rsidRPr="002A7383">
        <w:rPr>
          <w:bCs/>
          <w:lang w:val="fr-FR"/>
        </w:rPr>
        <w:t>avec des organisations non gouvernementales et</w:t>
      </w:r>
      <w:r w:rsidR="002A7383">
        <w:rPr>
          <w:bCs/>
          <w:lang w:val="fr-FR"/>
        </w:rPr>
        <w:t xml:space="preserve"> </w:t>
      </w:r>
      <w:r w:rsidR="002A7383" w:rsidRPr="00D74CA4">
        <w:rPr>
          <w:bCs/>
          <w:color w:val="000000"/>
          <w:lang w:val="es-ES"/>
        </w:rPr>
        <w:t>d</w:t>
      </w:r>
      <w:r w:rsidR="00277023">
        <w:rPr>
          <w:bCs/>
          <w:color w:val="000000"/>
          <w:lang w:val="es-ES"/>
        </w:rPr>
        <w:t>’</w:t>
      </w:r>
      <w:r w:rsidR="002A7383" w:rsidRPr="00D74CA4">
        <w:rPr>
          <w:bCs/>
          <w:color w:val="000000"/>
          <w:lang w:val="es-ES"/>
        </w:rPr>
        <w:t xml:space="preserve">autres groupes </w:t>
      </w:r>
      <w:r w:rsidR="002A7383" w:rsidRPr="00D74CA4">
        <w:rPr>
          <w:bCs/>
          <w:color w:val="000000"/>
          <w:lang w:val="es-ES"/>
        </w:rPr>
        <w:br/>
        <w:t>de la société civile</w:t>
      </w:r>
      <w:r w:rsidR="003143FE" w:rsidRPr="00D74CA4">
        <w:rPr>
          <w:lang w:val="es-ES"/>
        </w:rPr>
        <w:tab/>
      </w:r>
      <w:r w:rsidR="003143FE" w:rsidRPr="00D74CA4">
        <w:rPr>
          <w:lang w:val="es-ES"/>
        </w:rPr>
        <w:tab/>
      </w:r>
      <w:r w:rsidR="00CF39B0" w:rsidRPr="00D74CA4">
        <w:rPr>
          <w:lang w:val="es-ES"/>
        </w:rPr>
        <w:t>50</w:t>
      </w:r>
      <w:r w:rsidR="003143FE" w:rsidRPr="00D74CA4">
        <w:rPr>
          <w:lang w:val="es-ES"/>
        </w:rPr>
        <w:tab/>
      </w:r>
      <w:r w:rsidR="00B749AC">
        <w:rPr>
          <w:lang w:val="es-ES"/>
        </w:rPr>
        <w:t>21</w:t>
      </w:r>
    </w:p>
    <w:p w:rsidR="00CF39B0" w:rsidRPr="00D74CA4" w:rsidRDefault="00964912" w:rsidP="004A09C5">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J.</w:t>
      </w:r>
      <w:r w:rsidRPr="00D74CA4">
        <w:rPr>
          <w:lang w:val="es-ES"/>
        </w:rPr>
        <w:tab/>
      </w:r>
      <w:r w:rsidR="004A09C5" w:rsidRPr="004A09C5">
        <w:rPr>
          <w:bCs/>
          <w:lang w:val="fr-FR"/>
        </w:rPr>
        <w:t>Mise en oeuvre des mesures de protection des droits économiques,</w:t>
      </w:r>
      <w:r w:rsidR="004A09C5">
        <w:rPr>
          <w:bCs/>
          <w:lang w:val="fr-FR"/>
        </w:rPr>
        <w:t xml:space="preserve"> </w:t>
      </w:r>
      <w:r w:rsidR="004A09C5" w:rsidRPr="004A09C5">
        <w:rPr>
          <w:bCs/>
          <w:lang w:val="fr-FR"/>
        </w:rPr>
        <w:t xml:space="preserve">sociaux </w:t>
      </w:r>
      <w:r w:rsidR="004A09C5">
        <w:rPr>
          <w:bCs/>
          <w:lang w:val="fr-FR"/>
        </w:rPr>
        <w:br/>
      </w:r>
      <w:r w:rsidR="004A09C5" w:rsidRPr="004A09C5">
        <w:rPr>
          <w:bCs/>
          <w:lang w:val="fr-FR"/>
        </w:rPr>
        <w:t>et culturels des enfants dans la mesure des</w:t>
      </w:r>
      <w:r w:rsidR="004A09C5">
        <w:rPr>
          <w:bCs/>
          <w:lang w:val="fr-FR"/>
        </w:rPr>
        <w:t xml:space="preserve"> </w:t>
      </w:r>
      <w:r w:rsidR="004A09C5" w:rsidRPr="004A09C5">
        <w:rPr>
          <w:bCs/>
          <w:lang w:val="fr-FR"/>
        </w:rPr>
        <w:t>ressources disponibles</w:t>
      </w:r>
      <w:r w:rsidR="003143FE" w:rsidRPr="00D74CA4">
        <w:rPr>
          <w:lang w:val="es-ES"/>
        </w:rPr>
        <w:tab/>
      </w:r>
      <w:r w:rsidR="003143FE" w:rsidRPr="00D74CA4">
        <w:rPr>
          <w:lang w:val="es-ES"/>
        </w:rPr>
        <w:tab/>
      </w:r>
      <w:r w:rsidR="00CF39B0" w:rsidRPr="00D74CA4">
        <w:rPr>
          <w:lang w:val="es-ES"/>
        </w:rPr>
        <w:t>51</w:t>
      </w:r>
      <w:r w:rsidR="00E91D45" w:rsidRPr="00D74CA4">
        <w:rPr>
          <w:lang w:val="es-ES"/>
        </w:rPr>
        <w:t>–</w:t>
      </w:r>
      <w:r w:rsidR="00CF39B0" w:rsidRPr="00D74CA4">
        <w:rPr>
          <w:lang w:val="es-ES"/>
        </w:rPr>
        <w:t>58</w:t>
      </w:r>
      <w:r w:rsidR="003143FE" w:rsidRPr="00D74CA4">
        <w:rPr>
          <w:lang w:val="es-ES"/>
        </w:rPr>
        <w:tab/>
      </w:r>
      <w:r w:rsidR="00B749AC">
        <w:rPr>
          <w:lang w:val="es-ES"/>
        </w:rPr>
        <w:t>21</w:t>
      </w:r>
    </w:p>
    <w:p w:rsidR="00CF39B0" w:rsidRPr="00D74CA4" w:rsidRDefault="00964912" w:rsidP="00DE31CC">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K.</w:t>
      </w:r>
      <w:r w:rsidR="00CF39B0" w:rsidRPr="00D74CA4">
        <w:rPr>
          <w:lang w:val="es-ES"/>
        </w:rPr>
        <w:tab/>
      </w:r>
      <w:r w:rsidR="004A09C5" w:rsidRPr="00D74CA4">
        <w:rPr>
          <w:bCs/>
          <w:color w:val="000000"/>
          <w:lang w:val="es-ES"/>
        </w:rPr>
        <w:t>Coopération internationale pour l</w:t>
      </w:r>
      <w:r w:rsidR="00277023">
        <w:rPr>
          <w:bCs/>
          <w:color w:val="000000"/>
          <w:lang w:val="es-ES"/>
        </w:rPr>
        <w:t>’</w:t>
      </w:r>
      <w:r w:rsidR="004A09C5" w:rsidRPr="00D74CA4">
        <w:rPr>
          <w:bCs/>
          <w:color w:val="000000"/>
          <w:lang w:val="es-ES"/>
        </w:rPr>
        <w:t xml:space="preserve">application de </w:t>
      </w:r>
      <w:smartTag w:uri="urn:schemas-microsoft-com:office:smarttags" w:element="PersonName">
        <w:smartTagPr>
          <w:attr w:name="ProductID" w:val="LA CONVENTION"/>
        </w:smartTagPr>
        <w:r w:rsidR="004A09C5" w:rsidRPr="00D74CA4">
          <w:rPr>
            <w:bCs/>
            <w:color w:val="000000"/>
            <w:lang w:val="es-ES"/>
          </w:rPr>
          <w:t>la Convention</w:t>
        </w:r>
      </w:smartTag>
      <w:r w:rsidR="003143FE" w:rsidRPr="00D74CA4">
        <w:rPr>
          <w:lang w:val="es-ES"/>
        </w:rPr>
        <w:tab/>
      </w:r>
      <w:r w:rsidR="003143FE" w:rsidRPr="00D74CA4">
        <w:rPr>
          <w:lang w:val="es-ES"/>
        </w:rPr>
        <w:tab/>
      </w:r>
      <w:r w:rsidR="00CF39B0" w:rsidRPr="00D74CA4">
        <w:rPr>
          <w:lang w:val="es-ES"/>
        </w:rPr>
        <w:t>59</w:t>
      </w:r>
      <w:r w:rsidR="00E91D45" w:rsidRPr="00D74CA4">
        <w:rPr>
          <w:lang w:val="es-ES"/>
        </w:rPr>
        <w:t>–</w:t>
      </w:r>
      <w:r w:rsidR="00CF39B0" w:rsidRPr="00D74CA4">
        <w:rPr>
          <w:lang w:val="es-ES"/>
        </w:rPr>
        <w:t>77</w:t>
      </w:r>
      <w:r w:rsidR="003143FE" w:rsidRPr="00D74CA4">
        <w:rPr>
          <w:lang w:val="es-ES"/>
        </w:rPr>
        <w:tab/>
      </w:r>
      <w:r w:rsidR="005B131A" w:rsidRPr="00D74CA4">
        <w:rPr>
          <w:lang w:val="es-ES"/>
        </w:rPr>
        <w:t>2</w:t>
      </w:r>
      <w:r w:rsidR="00B749AC">
        <w:rPr>
          <w:lang w:val="es-ES"/>
        </w:rPr>
        <w:t>4</w:t>
      </w:r>
    </w:p>
    <w:p w:rsidR="00CF39B0" w:rsidRPr="00D74CA4" w:rsidRDefault="00964912" w:rsidP="00DE31CC">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L.</w:t>
      </w:r>
      <w:r w:rsidR="00CF39B0" w:rsidRPr="00D74CA4">
        <w:rPr>
          <w:lang w:val="es-ES"/>
        </w:rPr>
        <w:tab/>
      </w:r>
      <w:r w:rsidR="00DE31CC" w:rsidRPr="00DE31CC">
        <w:rPr>
          <w:bCs/>
          <w:lang w:val="fr-FR"/>
        </w:rPr>
        <w:t xml:space="preserve">Activités de relations publiques en faveur de </w:t>
      </w:r>
      <w:smartTag w:uri="urn:schemas-microsoft-com:office:smarttags" w:element="PersonName">
        <w:smartTagPr>
          <w:attr w:name="ProductID" w:val="LA CONVENTION"/>
        </w:smartTagPr>
        <w:r w:rsidR="00DE31CC" w:rsidRPr="00DE31CC">
          <w:rPr>
            <w:bCs/>
            <w:lang w:val="fr-FR"/>
          </w:rPr>
          <w:t>la</w:t>
        </w:r>
        <w:r w:rsidR="00DE31CC">
          <w:rPr>
            <w:bCs/>
            <w:lang w:val="fr-FR"/>
          </w:rPr>
          <w:t xml:space="preserve"> </w:t>
        </w:r>
        <w:r w:rsidR="00DE31CC" w:rsidRPr="00DE31CC">
          <w:rPr>
            <w:bCs/>
            <w:lang w:val="fr-FR"/>
          </w:rPr>
          <w:t>Convention</w:t>
        </w:r>
      </w:smartTag>
      <w:r w:rsidR="00DE31CC" w:rsidRPr="00DE31CC">
        <w:rPr>
          <w:bCs/>
          <w:lang w:val="fr-FR"/>
        </w:rPr>
        <w:t xml:space="preserve"> (article 42)</w:t>
      </w:r>
      <w:r w:rsidR="003143FE" w:rsidRPr="00D74CA4">
        <w:rPr>
          <w:lang w:val="es-ES"/>
        </w:rPr>
        <w:tab/>
      </w:r>
      <w:r w:rsidR="003143FE" w:rsidRPr="00D74CA4">
        <w:rPr>
          <w:lang w:val="es-ES"/>
        </w:rPr>
        <w:tab/>
      </w:r>
      <w:r w:rsidR="00CF39B0" w:rsidRPr="00D74CA4">
        <w:rPr>
          <w:lang w:val="es-ES"/>
        </w:rPr>
        <w:t>78</w:t>
      </w:r>
      <w:r w:rsidR="00E91D45" w:rsidRPr="00D74CA4">
        <w:rPr>
          <w:lang w:val="es-ES"/>
        </w:rPr>
        <w:t>–</w:t>
      </w:r>
      <w:r w:rsidR="00CF39B0" w:rsidRPr="00D74CA4">
        <w:rPr>
          <w:lang w:val="es-ES"/>
        </w:rPr>
        <w:t>105</w:t>
      </w:r>
      <w:r w:rsidR="005A25A3" w:rsidRPr="00D74CA4">
        <w:rPr>
          <w:lang w:val="es-ES"/>
        </w:rPr>
        <w:tab/>
      </w:r>
      <w:r w:rsidR="00B749AC">
        <w:rPr>
          <w:lang w:val="es-ES"/>
        </w:rPr>
        <w:t>31</w:t>
      </w:r>
    </w:p>
    <w:p w:rsidR="00CF39B0" w:rsidRPr="00D74CA4" w:rsidRDefault="00DE31CC" w:rsidP="00DE31CC">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00964912" w:rsidRPr="00D74CA4">
        <w:rPr>
          <w:lang w:val="es-ES"/>
        </w:rPr>
        <w:tab/>
      </w:r>
      <w:r w:rsidR="00CF39B0" w:rsidRPr="00D74CA4">
        <w:rPr>
          <w:lang w:val="es-ES"/>
        </w:rPr>
        <w:t>M.</w:t>
      </w:r>
      <w:r w:rsidR="00CF39B0" w:rsidRPr="00D74CA4">
        <w:rPr>
          <w:lang w:val="es-ES"/>
        </w:rPr>
        <w:tab/>
      </w:r>
      <w:r w:rsidRPr="00DE31CC">
        <w:rPr>
          <w:bCs/>
          <w:lang w:val="fr-FR"/>
        </w:rPr>
        <w:t>Diffusion d</w:t>
      </w:r>
      <w:r w:rsidR="00277023">
        <w:rPr>
          <w:bCs/>
          <w:lang w:val="fr-FR"/>
        </w:rPr>
        <w:t>’</w:t>
      </w:r>
      <w:r w:rsidRPr="00DE31CC">
        <w:rPr>
          <w:bCs/>
          <w:lang w:val="fr-FR"/>
        </w:rPr>
        <w:t xml:space="preserve">informations sur </w:t>
      </w:r>
      <w:smartTag w:uri="urn:schemas-microsoft-com:office:smarttags" w:element="PersonName">
        <w:smartTagPr>
          <w:attr w:name="ProductID" w:val="LA CONVENTION"/>
        </w:smartTagPr>
        <w:r w:rsidRPr="00DE31CC">
          <w:rPr>
            <w:bCs/>
            <w:lang w:val="fr-FR"/>
          </w:rPr>
          <w:t>la Convention</w:t>
        </w:r>
      </w:smartTag>
      <w:r w:rsidRPr="00DE31CC">
        <w:rPr>
          <w:bCs/>
          <w:lang w:val="fr-FR"/>
        </w:rPr>
        <w:t xml:space="preserve"> auprès du public </w:t>
      </w:r>
      <w:r>
        <w:rPr>
          <w:bCs/>
          <w:lang w:val="fr-FR"/>
        </w:rPr>
        <w:br/>
      </w:r>
      <w:r w:rsidRPr="00DE31CC">
        <w:rPr>
          <w:bCs/>
          <w:lang w:val="fr-FR"/>
        </w:rPr>
        <w:t>(article 44, paragraphe 6)</w:t>
      </w:r>
      <w:r w:rsidR="003143FE" w:rsidRPr="00D74CA4">
        <w:rPr>
          <w:lang w:val="es-ES"/>
        </w:rPr>
        <w:tab/>
      </w:r>
      <w:r w:rsidR="003143FE" w:rsidRPr="00D74CA4">
        <w:rPr>
          <w:lang w:val="es-ES"/>
        </w:rPr>
        <w:tab/>
      </w:r>
      <w:r w:rsidR="00CF39B0" w:rsidRPr="00D74CA4">
        <w:rPr>
          <w:lang w:val="es-ES"/>
        </w:rPr>
        <w:t>106</w:t>
      </w:r>
      <w:r w:rsidR="00E91D45" w:rsidRPr="00D74CA4">
        <w:rPr>
          <w:lang w:val="es-ES"/>
        </w:rPr>
        <w:t>–</w:t>
      </w:r>
      <w:r w:rsidR="00CF39B0" w:rsidRPr="00D74CA4">
        <w:rPr>
          <w:lang w:val="es-ES"/>
        </w:rPr>
        <w:t>107</w:t>
      </w:r>
      <w:r w:rsidR="005A25A3" w:rsidRPr="00D74CA4">
        <w:rPr>
          <w:lang w:val="es-ES"/>
        </w:rPr>
        <w:tab/>
      </w:r>
      <w:r w:rsidR="00B749AC">
        <w:rPr>
          <w:lang w:val="es-ES"/>
        </w:rPr>
        <w:t>36</w:t>
      </w:r>
    </w:p>
    <w:p w:rsidR="00CF39B0" w:rsidRPr="00D74CA4"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00CF39B0" w:rsidRPr="00D74CA4">
        <w:rPr>
          <w:lang w:val="es-ES"/>
        </w:rPr>
        <w:t>II.</w:t>
      </w:r>
      <w:r w:rsidR="00CF39B0" w:rsidRPr="00D74CA4">
        <w:rPr>
          <w:lang w:val="es-ES"/>
        </w:rPr>
        <w:tab/>
      </w:r>
      <w:r w:rsidR="00DE31CC" w:rsidRPr="00DE31CC">
        <w:rPr>
          <w:bCs/>
          <w:lang w:val="fr-FR"/>
        </w:rPr>
        <w:t>Article 1 (Définition de l</w:t>
      </w:r>
      <w:r w:rsidR="00277023">
        <w:rPr>
          <w:bCs/>
          <w:lang w:val="fr-FR"/>
        </w:rPr>
        <w:t>’</w:t>
      </w:r>
      <w:r w:rsidR="00DE31CC" w:rsidRPr="00DE31CC">
        <w:rPr>
          <w:bCs/>
          <w:lang w:val="fr-FR"/>
        </w:rPr>
        <w:t>enfant)</w:t>
      </w:r>
      <w:r w:rsidR="003143FE" w:rsidRPr="00D74CA4">
        <w:rPr>
          <w:lang w:val="es-ES"/>
        </w:rPr>
        <w:tab/>
      </w:r>
      <w:r w:rsidR="003143FE" w:rsidRPr="00D74CA4">
        <w:rPr>
          <w:lang w:val="es-ES"/>
        </w:rPr>
        <w:tab/>
      </w:r>
      <w:r w:rsidR="00397F05" w:rsidRPr="00D74CA4">
        <w:rPr>
          <w:lang w:val="es-ES"/>
        </w:rPr>
        <w:t>108–</w:t>
      </w:r>
      <w:r w:rsidR="00CF39B0" w:rsidRPr="00D74CA4">
        <w:rPr>
          <w:lang w:val="es-ES"/>
        </w:rPr>
        <w:t>142</w:t>
      </w:r>
      <w:r w:rsidR="005A25A3" w:rsidRPr="00D74CA4">
        <w:rPr>
          <w:lang w:val="es-ES"/>
        </w:rPr>
        <w:tab/>
      </w:r>
      <w:r w:rsidR="00C17DBF">
        <w:rPr>
          <w:lang w:val="es-ES"/>
        </w:rPr>
        <w:t>37</w:t>
      </w:r>
    </w:p>
    <w:p w:rsidR="00CF39B0" w:rsidRPr="00D74CA4" w:rsidRDefault="00964912" w:rsidP="00674B37">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A.</w:t>
      </w:r>
      <w:r w:rsidR="00CF39B0" w:rsidRPr="00D74CA4">
        <w:rPr>
          <w:lang w:val="es-ES"/>
        </w:rPr>
        <w:tab/>
      </w:r>
      <w:r w:rsidR="00674B37" w:rsidRPr="00674B37">
        <w:rPr>
          <w:lang w:val="fr-FR"/>
        </w:rPr>
        <w:t>Différence entre la définition de l</w:t>
      </w:r>
      <w:r w:rsidR="00277023">
        <w:rPr>
          <w:lang w:val="fr-FR"/>
        </w:rPr>
        <w:t>’</w:t>
      </w:r>
      <w:r w:rsidR="00674B37" w:rsidRPr="00674B37">
        <w:rPr>
          <w:lang w:val="fr-FR"/>
        </w:rPr>
        <w:t xml:space="preserve">enfant dans </w:t>
      </w:r>
      <w:smartTag w:uri="urn:schemas-microsoft-com:office:smarttags" w:element="PersonName">
        <w:smartTagPr>
          <w:attr w:name="ProductID" w:val="LA CONVENTION"/>
        </w:smartTagPr>
        <w:r w:rsidR="00674B37" w:rsidRPr="00674B37">
          <w:rPr>
            <w:lang w:val="fr-FR"/>
          </w:rPr>
          <w:t>la Convention</w:t>
        </w:r>
      </w:smartTag>
      <w:r w:rsidR="00674B37" w:rsidRPr="00674B37">
        <w:rPr>
          <w:lang w:val="fr-FR"/>
        </w:rPr>
        <w:t xml:space="preserve"> </w:t>
      </w:r>
      <w:r w:rsidR="00674B37">
        <w:rPr>
          <w:lang w:val="fr-FR"/>
        </w:rPr>
        <w:br/>
      </w:r>
      <w:r w:rsidR="00674B37" w:rsidRPr="00674B37">
        <w:rPr>
          <w:lang w:val="fr-FR"/>
        </w:rPr>
        <w:t>et</w:t>
      </w:r>
      <w:r w:rsidR="00674B37">
        <w:rPr>
          <w:lang w:val="fr-FR"/>
        </w:rPr>
        <w:t xml:space="preserve"> </w:t>
      </w:r>
      <w:r w:rsidR="00674B37" w:rsidRPr="00674B37">
        <w:rPr>
          <w:lang w:val="fr-FR"/>
        </w:rPr>
        <w:t>dans le droit interne japonais</w:t>
      </w:r>
      <w:r w:rsidR="003143FE" w:rsidRPr="00D74CA4">
        <w:rPr>
          <w:lang w:val="es-ES"/>
        </w:rPr>
        <w:tab/>
      </w:r>
      <w:r w:rsidR="003143FE" w:rsidRPr="00D74CA4">
        <w:rPr>
          <w:lang w:val="es-ES"/>
        </w:rPr>
        <w:tab/>
      </w:r>
      <w:r w:rsidR="00CF39B0" w:rsidRPr="00D74CA4">
        <w:rPr>
          <w:lang w:val="es-ES"/>
        </w:rPr>
        <w:t>108</w:t>
      </w:r>
      <w:r w:rsidR="005A25A3" w:rsidRPr="00D74CA4">
        <w:rPr>
          <w:lang w:val="es-ES"/>
        </w:rPr>
        <w:tab/>
      </w:r>
      <w:r w:rsidR="00C17DBF">
        <w:rPr>
          <w:lang w:val="es-ES"/>
        </w:rPr>
        <w:t>37</w:t>
      </w:r>
    </w:p>
    <w:p w:rsidR="00CF39B0" w:rsidRPr="00D74CA4" w:rsidRDefault="00964912" w:rsidP="00964912">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B.</w:t>
      </w:r>
      <w:r w:rsidR="00CF39B0" w:rsidRPr="00D74CA4">
        <w:rPr>
          <w:lang w:val="es-ES"/>
        </w:rPr>
        <w:tab/>
      </w:r>
      <w:r w:rsidR="00674B37" w:rsidRPr="00674B37">
        <w:rPr>
          <w:lang w:val="fr-FR"/>
        </w:rPr>
        <w:t>Limite d</w:t>
      </w:r>
      <w:r w:rsidR="00277023">
        <w:rPr>
          <w:lang w:val="fr-FR"/>
        </w:rPr>
        <w:t>’</w:t>
      </w:r>
      <w:r w:rsidR="00674B37" w:rsidRPr="00674B37">
        <w:rPr>
          <w:lang w:val="fr-FR"/>
        </w:rPr>
        <w:t>âge appliquée à la capacité juridique au Japon</w:t>
      </w:r>
      <w:r w:rsidR="003143FE" w:rsidRPr="00D74CA4">
        <w:rPr>
          <w:lang w:val="es-ES"/>
        </w:rPr>
        <w:tab/>
      </w:r>
      <w:r w:rsidR="003143FE" w:rsidRPr="00D74CA4">
        <w:rPr>
          <w:lang w:val="es-ES"/>
        </w:rPr>
        <w:tab/>
      </w:r>
      <w:r w:rsidR="00CF39B0" w:rsidRPr="00D74CA4">
        <w:rPr>
          <w:lang w:val="es-ES"/>
        </w:rPr>
        <w:t>109</w:t>
      </w:r>
      <w:r w:rsidR="00E91D45" w:rsidRPr="00D74CA4">
        <w:rPr>
          <w:lang w:val="es-ES"/>
        </w:rPr>
        <w:t>–</w:t>
      </w:r>
      <w:r w:rsidR="00CF39B0" w:rsidRPr="00D74CA4">
        <w:rPr>
          <w:lang w:val="es-ES"/>
        </w:rPr>
        <w:t>142</w:t>
      </w:r>
      <w:r w:rsidR="005A25A3" w:rsidRPr="00D74CA4">
        <w:rPr>
          <w:lang w:val="es-ES"/>
        </w:rPr>
        <w:tab/>
      </w:r>
      <w:r w:rsidR="00C17DBF">
        <w:rPr>
          <w:lang w:val="es-ES"/>
        </w:rPr>
        <w:t>37</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D74CA4">
        <w:rPr>
          <w:lang w:val="es-ES"/>
        </w:rPr>
        <w:tab/>
      </w:r>
      <w:r w:rsidR="00CF39B0" w:rsidRPr="008E5027">
        <w:t>III.</w:t>
      </w:r>
      <w:r w:rsidR="00CF39B0" w:rsidRPr="008E5027">
        <w:tab/>
      </w:r>
      <w:smartTag w:uri="urn:schemas-microsoft-com:office:smarttags" w:element="place">
        <w:r w:rsidR="00674B37" w:rsidRPr="00674B37">
          <w:rPr>
            <w:bCs/>
            <w:lang w:val="fr-FR"/>
          </w:rPr>
          <w:t>Principes</w:t>
        </w:r>
      </w:smartTag>
      <w:r w:rsidR="00674B37" w:rsidRPr="00674B37">
        <w:rPr>
          <w:bCs/>
          <w:lang w:val="fr-FR"/>
        </w:rPr>
        <w:t xml:space="preserve"> généraux</w:t>
      </w:r>
      <w:r w:rsidR="003143FE" w:rsidRPr="008E5027">
        <w:tab/>
      </w:r>
      <w:r w:rsidR="003143FE" w:rsidRPr="008E5027">
        <w:tab/>
      </w:r>
      <w:r w:rsidR="00CF39B0" w:rsidRPr="008E5027">
        <w:t>143</w:t>
      </w:r>
      <w:r w:rsidR="00E91D45" w:rsidRPr="008E5027">
        <w:t>–</w:t>
      </w:r>
      <w:r w:rsidR="00CF39B0" w:rsidRPr="008E5027">
        <w:t>211</w:t>
      </w:r>
      <w:r w:rsidR="005A25A3" w:rsidRPr="008E5027">
        <w:tab/>
      </w:r>
      <w:r w:rsidR="00C17DBF">
        <w:t>41</w:t>
      </w:r>
    </w:p>
    <w:p w:rsidR="00CF39B0" w:rsidRPr="008E5027" w:rsidRDefault="00964912" w:rsidP="00964912">
      <w:pPr>
        <w:tabs>
          <w:tab w:val="right" w:pos="850"/>
          <w:tab w:val="left" w:pos="1134"/>
          <w:tab w:val="left" w:pos="1559"/>
          <w:tab w:val="left" w:pos="1984"/>
          <w:tab w:val="left" w:leader="dot" w:pos="7654"/>
          <w:tab w:val="right" w:pos="8929"/>
          <w:tab w:val="right" w:pos="9638"/>
        </w:tabs>
        <w:spacing w:after="120"/>
        <w:ind w:left="1559" w:hanging="1559"/>
      </w:pPr>
      <w:r w:rsidRPr="008E5027">
        <w:tab/>
      </w:r>
      <w:r w:rsidRPr="008E5027">
        <w:tab/>
      </w:r>
      <w:r w:rsidR="00CF39B0" w:rsidRPr="008E5027">
        <w:t>A.</w:t>
      </w:r>
      <w:r w:rsidR="00CF39B0" w:rsidRPr="008E5027">
        <w:tab/>
      </w:r>
      <w:r w:rsidR="00674B37" w:rsidRPr="00674B37">
        <w:rPr>
          <w:bCs/>
          <w:lang w:val="fr-FR"/>
        </w:rPr>
        <w:t>Article 2 (non-discrimination)</w:t>
      </w:r>
      <w:r w:rsidR="003143FE" w:rsidRPr="008E5027">
        <w:tab/>
      </w:r>
      <w:r w:rsidR="003143FE" w:rsidRPr="008E5027">
        <w:tab/>
      </w:r>
      <w:r w:rsidR="00CF39B0" w:rsidRPr="008E5027">
        <w:t>143</w:t>
      </w:r>
      <w:r w:rsidR="00E91D45" w:rsidRPr="008E5027">
        <w:t>–</w:t>
      </w:r>
      <w:r w:rsidR="00CF39B0" w:rsidRPr="008E5027">
        <w:t>163</w:t>
      </w:r>
      <w:r w:rsidR="005A25A3" w:rsidRPr="008E5027">
        <w:tab/>
      </w:r>
      <w:r w:rsidR="00C17DBF">
        <w:t>41</w:t>
      </w:r>
    </w:p>
    <w:p w:rsidR="00CF39B0" w:rsidRPr="00D74CA4" w:rsidRDefault="00964912" w:rsidP="00964912">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8E5027">
        <w:tab/>
      </w:r>
      <w:r w:rsidRPr="008E5027">
        <w:tab/>
      </w:r>
      <w:r w:rsidR="00CF39B0" w:rsidRPr="00D74CA4">
        <w:rPr>
          <w:lang w:val="es-ES"/>
        </w:rPr>
        <w:t>B.</w:t>
      </w:r>
      <w:r w:rsidR="00CF39B0" w:rsidRPr="00D74CA4">
        <w:rPr>
          <w:lang w:val="es-ES"/>
        </w:rPr>
        <w:tab/>
      </w:r>
      <w:r w:rsidR="00674B37" w:rsidRPr="00674B37">
        <w:rPr>
          <w:bCs/>
          <w:lang w:val="fr-FR"/>
        </w:rPr>
        <w:t>Article 3 (intérêt supérieur de l</w:t>
      </w:r>
      <w:r w:rsidR="00277023">
        <w:rPr>
          <w:bCs/>
          <w:lang w:val="fr-FR"/>
        </w:rPr>
        <w:t>’</w:t>
      </w:r>
      <w:r w:rsidR="00674B37" w:rsidRPr="00674B37">
        <w:rPr>
          <w:bCs/>
          <w:lang w:val="fr-FR"/>
        </w:rPr>
        <w:t>enfant)</w:t>
      </w:r>
      <w:r w:rsidR="003143FE" w:rsidRPr="00D74CA4">
        <w:rPr>
          <w:lang w:val="es-ES"/>
        </w:rPr>
        <w:tab/>
      </w:r>
      <w:r w:rsidR="003143FE" w:rsidRPr="00D74CA4">
        <w:rPr>
          <w:lang w:val="es-ES"/>
        </w:rPr>
        <w:tab/>
      </w:r>
      <w:r w:rsidR="00CF39B0" w:rsidRPr="00D74CA4">
        <w:rPr>
          <w:lang w:val="es-ES"/>
        </w:rPr>
        <w:t>164</w:t>
      </w:r>
      <w:r w:rsidR="00E91D45" w:rsidRPr="00D74CA4">
        <w:rPr>
          <w:lang w:val="es-ES"/>
        </w:rPr>
        <w:t>–</w:t>
      </w:r>
      <w:r w:rsidR="00CF39B0" w:rsidRPr="00D74CA4">
        <w:rPr>
          <w:lang w:val="es-ES"/>
        </w:rPr>
        <w:t>181</w:t>
      </w:r>
      <w:r w:rsidR="005A25A3" w:rsidRPr="00D74CA4">
        <w:rPr>
          <w:lang w:val="es-ES"/>
        </w:rPr>
        <w:tab/>
      </w:r>
      <w:r w:rsidR="00C17DBF">
        <w:rPr>
          <w:lang w:val="es-ES"/>
        </w:rPr>
        <w:t>44</w:t>
      </w:r>
    </w:p>
    <w:p w:rsidR="00CF39B0" w:rsidRPr="00D74CA4"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C</w:t>
      </w:r>
      <w:r w:rsidR="00CF39B0" w:rsidRPr="00D74CA4">
        <w:rPr>
          <w:lang w:val="es-ES"/>
        </w:rPr>
        <w:tab/>
      </w:r>
      <w:r w:rsidR="00674B37" w:rsidRPr="00674B37">
        <w:rPr>
          <w:bCs/>
          <w:lang w:val="fr-FR"/>
        </w:rPr>
        <w:t>Article 6 (droit à la vie, à la survie et au développement)</w:t>
      </w:r>
      <w:r w:rsidR="003143FE" w:rsidRPr="00D74CA4">
        <w:rPr>
          <w:lang w:val="es-ES"/>
        </w:rPr>
        <w:tab/>
      </w:r>
      <w:r w:rsidR="003143FE" w:rsidRPr="00D74CA4">
        <w:rPr>
          <w:lang w:val="es-ES"/>
        </w:rPr>
        <w:tab/>
      </w:r>
      <w:r w:rsidR="00CF39B0" w:rsidRPr="00D74CA4">
        <w:rPr>
          <w:lang w:val="es-ES"/>
        </w:rPr>
        <w:t>182</w:t>
      </w:r>
      <w:r w:rsidR="00E91D45" w:rsidRPr="00D74CA4">
        <w:rPr>
          <w:lang w:val="es-ES"/>
        </w:rPr>
        <w:t>–</w:t>
      </w:r>
      <w:r w:rsidR="00CF39B0" w:rsidRPr="00D74CA4">
        <w:rPr>
          <w:lang w:val="es-ES"/>
        </w:rPr>
        <w:t>191</w:t>
      </w:r>
      <w:r w:rsidR="005A25A3" w:rsidRPr="00D74CA4">
        <w:rPr>
          <w:lang w:val="es-ES"/>
        </w:rPr>
        <w:tab/>
      </w:r>
      <w:r w:rsidR="00C17DBF">
        <w:rPr>
          <w:lang w:val="es-ES"/>
        </w:rPr>
        <w:t>47</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D74CA4">
        <w:rPr>
          <w:lang w:val="es-ES"/>
        </w:rPr>
        <w:tab/>
      </w:r>
      <w:r w:rsidRPr="00D74CA4">
        <w:rPr>
          <w:lang w:val="es-ES"/>
        </w:rPr>
        <w:tab/>
      </w:r>
      <w:r w:rsidR="00CF39B0" w:rsidRPr="008E5027">
        <w:t>D.</w:t>
      </w:r>
      <w:r w:rsidR="00CF39B0" w:rsidRPr="008E5027">
        <w:tab/>
      </w:r>
      <w:r w:rsidR="00674B37" w:rsidRPr="00674B37">
        <w:rPr>
          <w:bCs/>
          <w:lang w:val="fr-FR"/>
        </w:rPr>
        <w:t>Article 12 (respect des opinions de l</w:t>
      </w:r>
      <w:r w:rsidR="00277023">
        <w:rPr>
          <w:bCs/>
          <w:lang w:val="fr-FR"/>
        </w:rPr>
        <w:t>’</w:t>
      </w:r>
      <w:r w:rsidR="00674B37" w:rsidRPr="00674B37">
        <w:rPr>
          <w:bCs/>
          <w:lang w:val="fr-FR"/>
        </w:rPr>
        <w:t>enfant)</w:t>
      </w:r>
      <w:r w:rsidR="003143FE" w:rsidRPr="008E5027">
        <w:tab/>
      </w:r>
      <w:r w:rsidR="003143FE" w:rsidRPr="008E5027">
        <w:tab/>
      </w:r>
      <w:r w:rsidR="00CF39B0" w:rsidRPr="008E5027">
        <w:t>192</w:t>
      </w:r>
      <w:r w:rsidR="00E91D45" w:rsidRPr="008E5027">
        <w:t>–</w:t>
      </w:r>
      <w:r w:rsidR="00CF39B0" w:rsidRPr="008E5027">
        <w:t>211</w:t>
      </w:r>
      <w:r w:rsidR="005A25A3" w:rsidRPr="008E5027">
        <w:tab/>
      </w:r>
      <w:r w:rsidR="00C17DBF">
        <w:t>48</w:t>
      </w:r>
    </w:p>
    <w:p w:rsidR="00CF39B0" w:rsidRPr="008E5027" w:rsidRDefault="00964912" w:rsidP="00674B37">
      <w:pPr>
        <w:tabs>
          <w:tab w:val="right" w:pos="850"/>
          <w:tab w:val="left" w:pos="1134"/>
          <w:tab w:val="left" w:pos="1559"/>
          <w:tab w:val="left" w:pos="1984"/>
          <w:tab w:val="left" w:leader="dot" w:pos="7654"/>
          <w:tab w:val="right" w:pos="8929"/>
          <w:tab w:val="right" w:pos="9638"/>
        </w:tabs>
        <w:spacing w:after="120"/>
        <w:ind w:left="1134" w:hanging="1134"/>
      </w:pPr>
      <w:r w:rsidRPr="008E5027">
        <w:tab/>
      </w:r>
      <w:r w:rsidR="00CF39B0" w:rsidRPr="008E5027">
        <w:t>IV.</w:t>
      </w:r>
      <w:r w:rsidR="00CF39B0" w:rsidRPr="008E5027">
        <w:tab/>
      </w:r>
      <w:r w:rsidR="00674B37" w:rsidRPr="00674B37">
        <w:rPr>
          <w:bCs/>
          <w:lang w:val="fr-FR"/>
        </w:rPr>
        <w:t>Droits civils et libert</w:t>
      </w:r>
      <w:r w:rsidR="00674B37">
        <w:rPr>
          <w:bCs/>
          <w:lang w:val="fr-FR"/>
        </w:rPr>
        <w:t>é</w:t>
      </w:r>
      <w:r w:rsidR="00674B37" w:rsidRPr="00674B37">
        <w:rPr>
          <w:bCs/>
          <w:lang w:val="fr-FR"/>
        </w:rPr>
        <w:t xml:space="preserve">s (articles 7, 8, 13-17 et </w:t>
      </w:r>
      <w:smartTag w:uri="urn:schemas-microsoft-com:office:smarttags" w:element="metricconverter">
        <w:smartTagPr>
          <w:attr w:name="ProductID" w:val="37 a"/>
        </w:smartTagPr>
        <w:r w:rsidR="00674B37" w:rsidRPr="00674B37">
          <w:rPr>
            <w:bCs/>
            <w:lang w:val="fr-FR"/>
          </w:rPr>
          <w:t>37</w:t>
        </w:r>
        <w:r w:rsidR="005F24AC">
          <w:rPr>
            <w:bCs/>
            <w:lang w:val="fr-FR"/>
          </w:rPr>
          <w:t xml:space="preserve"> </w:t>
        </w:r>
        <w:r w:rsidR="00674B37" w:rsidRPr="00674B37">
          <w:rPr>
            <w:bCs/>
            <w:lang w:val="fr-FR"/>
          </w:rPr>
          <w:t>a</w:t>
        </w:r>
      </w:smartTag>
      <w:r w:rsidR="00674B37" w:rsidRPr="00674B37">
        <w:rPr>
          <w:bCs/>
          <w:lang w:val="fr-FR"/>
        </w:rPr>
        <w:t>))</w:t>
      </w:r>
      <w:r w:rsidR="003143FE" w:rsidRPr="008E5027">
        <w:tab/>
      </w:r>
      <w:r w:rsidR="003143FE" w:rsidRPr="008E5027">
        <w:tab/>
      </w:r>
      <w:r w:rsidR="00CF39B0" w:rsidRPr="008E5027">
        <w:t>212</w:t>
      </w:r>
      <w:r w:rsidR="00E91D45" w:rsidRPr="008E5027">
        <w:t>–</w:t>
      </w:r>
      <w:r w:rsidR="00CF39B0" w:rsidRPr="008E5027">
        <w:t>268</w:t>
      </w:r>
      <w:r w:rsidR="005A25A3" w:rsidRPr="008E5027">
        <w:tab/>
      </w:r>
      <w:r w:rsidR="00C17DBF">
        <w:t>51</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8E5027">
        <w:tab/>
      </w:r>
      <w:r w:rsidRPr="008E5027">
        <w:tab/>
      </w:r>
      <w:r w:rsidR="00CF39B0" w:rsidRPr="008E5027">
        <w:t>A.</w:t>
      </w:r>
      <w:r w:rsidR="00CF39B0" w:rsidRPr="008E5027">
        <w:tab/>
      </w:r>
      <w:r w:rsidR="00674B37" w:rsidRPr="00674B37">
        <w:rPr>
          <w:bCs/>
          <w:lang w:val="fr-FR"/>
        </w:rPr>
        <w:t>Nom et nationalité (article 7)</w:t>
      </w:r>
      <w:r w:rsidR="00B21749" w:rsidRPr="008E5027">
        <w:tab/>
      </w:r>
      <w:r w:rsidR="00B21749" w:rsidRPr="008E5027">
        <w:tab/>
      </w:r>
      <w:r w:rsidR="00CF39B0" w:rsidRPr="008E5027">
        <w:t>212</w:t>
      </w:r>
      <w:r w:rsidR="00E91D45" w:rsidRPr="008E5027">
        <w:t>–</w:t>
      </w:r>
      <w:r w:rsidR="00CF39B0" w:rsidRPr="008E5027">
        <w:t>221</w:t>
      </w:r>
      <w:r w:rsidR="005A25A3" w:rsidRPr="008E5027">
        <w:tab/>
      </w:r>
      <w:r w:rsidR="00C17DBF">
        <w:t>51</w:t>
      </w:r>
    </w:p>
    <w:p w:rsidR="00CF39B0" w:rsidRPr="00D74CA4"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8E5027">
        <w:tab/>
      </w:r>
      <w:r w:rsidRPr="008E5027">
        <w:tab/>
      </w:r>
      <w:r w:rsidR="00CF39B0" w:rsidRPr="00D74CA4">
        <w:rPr>
          <w:lang w:val="es-ES"/>
        </w:rPr>
        <w:t>B.</w:t>
      </w:r>
      <w:r w:rsidR="00CF39B0" w:rsidRPr="00D74CA4">
        <w:rPr>
          <w:lang w:val="es-ES"/>
        </w:rPr>
        <w:tab/>
      </w:r>
      <w:r w:rsidR="00586CA6" w:rsidRPr="00586CA6">
        <w:rPr>
          <w:bCs/>
          <w:lang w:val="fr-FR"/>
        </w:rPr>
        <w:t>Préservation de l</w:t>
      </w:r>
      <w:r w:rsidR="00277023">
        <w:rPr>
          <w:bCs/>
          <w:lang w:val="fr-FR"/>
        </w:rPr>
        <w:t>’</w:t>
      </w:r>
      <w:r w:rsidR="00586CA6" w:rsidRPr="00586CA6">
        <w:rPr>
          <w:bCs/>
          <w:lang w:val="fr-FR"/>
        </w:rPr>
        <w:t>identité (article 8)</w:t>
      </w:r>
      <w:r w:rsidR="00B21749" w:rsidRPr="00D74CA4">
        <w:rPr>
          <w:lang w:val="es-ES"/>
        </w:rPr>
        <w:tab/>
      </w:r>
      <w:r w:rsidR="00B21749" w:rsidRPr="00D74CA4">
        <w:rPr>
          <w:lang w:val="es-ES"/>
        </w:rPr>
        <w:tab/>
      </w:r>
      <w:r w:rsidR="00CF39B0" w:rsidRPr="00D74CA4">
        <w:rPr>
          <w:lang w:val="es-ES"/>
        </w:rPr>
        <w:t>222</w:t>
      </w:r>
      <w:r w:rsidR="005A25A3" w:rsidRPr="00D74CA4">
        <w:rPr>
          <w:lang w:val="es-ES"/>
        </w:rPr>
        <w:tab/>
      </w:r>
      <w:r w:rsidR="00C17DBF">
        <w:rPr>
          <w:lang w:val="es-ES"/>
        </w:rPr>
        <w:t>52</w:t>
      </w:r>
    </w:p>
    <w:p w:rsidR="00CF39B0" w:rsidRPr="00D74CA4"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C.</w:t>
      </w:r>
      <w:r w:rsidR="00CF39B0" w:rsidRPr="00D74CA4">
        <w:rPr>
          <w:lang w:val="es-ES"/>
        </w:rPr>
        <w:tab/>
      </w:r>
      <w:r w:rsidR="00586CA6" w:rsidRPr="00586CA6">
        <w:rPr>
          <w:bCs/>
          <w:lang w:val="fr-FR"/>
        </w:rPr>
        <w:t>Liberté d</w:t>
      </w:r>
      <w:r w:rsidR="00277023">
        <w:rPr>
          <w:bCs/>
          <w:lang w:val="fr-FR"/>
        </w:rPr>
        <w:t>’</w:t>
      </w:r>
      <w:r w:rsidR="00586CA6" w:rsidRPr="00586CA6">
        <w:rPr>
          <w:bCs/>
          <w:lang w:val="fr-FR"/>
        </w:rPr>
        <w:t>expression (article 13)</w:t>
      </w:r>
      <w:r w:rsidR="00B21749" w:rsidRPr="00D74CA4">
        <w:rPr>
          <w:lang w:val="es-ES"/>
        </w:rPr>
        <w:tab/>
      </w:r>
      <w:r w:rsidR="00B21749" w:rsidRPr="00D74CA4">
        <w:rPr>
          <w:lang w:val="es-ES"/>
        </w:rPr>
        <w:tab/>
      </w:r>
      <w:r w:rsidR="00CF39B0" w:rsidRPr="00D74CA4">
        <w:rPr>
          <w:lang w:val="es-ES"/>
        </w:rPr>
        <w:t>223</w:t>
      </w:r>
      <w:r w:rsidR="00E91D45" w:rsidRPr="00D74CA4">
        <w:rPr>
          <w:lang w:val="es-ES"/>
        </w:rPr>
        <w:t>–</w:t>
      </w:r>
      <w:r w:rsidR="00CF39B0" w:rsidRPr="00D74CA4">
        <w:rPr>
          <w:lang w:val="es-ES"/>
        </w:rPr>
        <w:t>224</w:t>
      </w:r>
      <w:r w:rsidR="005A25A3" w:rsidRPr="00D74CA4">
        <w:rPr>
          <w:lang w:val="es-ES"/>
        </w:rPr>
        <w:tab/>
      </w:r>
      <w:r w:rsidR="00C17DBF">
        <w:rPr>
          <w:lang w:val="es-ES"/>
        </w:rPr>
        <w:t>52</w:t>
      </w:r>
    </w:p>
    <w:p w:rsidR="00CF39B0" w:rsidRPr="00D74CA4"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D.</w:t>
      </w:r>
      <w:r w:rsidR="00CF39B0" w:rsidRPr="00D74CA4">
        <w:rPr>
          <w:lang w:val="es-ES"/>
        </w:rPr>
        <w:tab/>
      </w:r>
      <w:r w:rsidR="00586CA6" w:rsidRPr="00586CA6">
        <w:rPr>
          <w:bCs/>
          <w:lang w:val="fr-FR"/>
        </w:rPr>
        <w:t>Liberté de pensée, de conscience et de religion (article 14)</w:t>
      </w:r>
      <w:r w:rsidR="00B21749" w:rsidRPr="00D74CA4">
        <w:rPr>
          <w:lang w:val="es-ES"/>
        </w:rPr>
        <w:tab/>
      </w:r>
      <w:r w:rsidR="00B21749" w:rsidRPr="00D74CA4">
        <w:rPr>
          <w:lang w:val="es-ES"/>
        </w:rPr>
        <w:tab/>
      </w:r>
      <w:r w:rsidR="00CF39B0" w:rsidRPr="00D74CA4">
        <w:rPr>
          <w:lang w:val="es-ES"/>
        </w:rPr>
        <w:t>225</w:t>
      </w:r>
      <w:r w:rsidR="00E91D45" w:rsidRPr="00D74CA4">
        <w:rPr>
          <w:lang w:val="es-ES"/>
        </w:rPr>
        <w:t>–</w:t>
      </w:r>
      <w:r w:rsidR="00CF39B0" w:rsidRPr="00D74CA4">
        <w:rPr>
          <w:lang w:val="es-ES"/>
        </w:rPr>
        <w:t>227</w:t>
      </w:r>
      <w:r w:rsidR="005A25A3" w:rsidRPr="00D74CA4">
        <w:rPr>
          <w:lang w:val="es-ES"/>
        </w:rPr>
        <w:tab/>
      </w:r>
      <w:r w:rsidR="00C17DBF">
        <w:rPr>
          <w:lang w:val="es-ES"/>
        </w:rPr>
        <w:t>52</w:t>
      </w:r>
    </w:p>
    <w:p w:rsidR="00CF39B0" w:rsidRPr="00D74CA4"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E.</w:t>
      </w:r>
      <w:r w:rsidR="00CF39B0" w:rsidRPr="00D74CA4">
        <w:rPr>
          <w:lang w:val="es-ES"/>
        </w:rPr>
        <w:tab/>
      </w:r>
      <w:r w:rsidR="00586CA6" w:rsidRPr="00586CA6">
        <w:rPr>
          <w:bCs/>
          <w:lang w:val="fr-FR"/>
        </w:rPr>
        <w:t>Liberté d</w:t>
      </w:r>
      <w:r w:rsidR="00277023">
        <w:rPr>
          <w:bCs/>
          <w:lang w:val="fr-FR"/>
        </w:rPr>
        <w:t>’</w:t>
      </w:r>
      <w:r w:rsidR="00586CA6" w:rsidRPr="00586CA6">
        <w:rPr>
          <w:bCs/>
          <w:lang w:val="fr-FR"/>
        </w:rPr>
        <w:t>association et de réunion pacifique (article 15)</w:t>
      </w:r>
      <w:r w:rsidR="00B21749" w:rsidRPr="00D74CA4">
        <w:rPr>
          <w:lang w:val="es-ES"/>
        </w:rPr>
        <w:tab/>
      </w:r>
      <w:r w:rsidR="00B21749" w:rsidRPr="00D74CA4">
        <w:rPr>
          <w:lang w:val="es-ES"/>
        </w:rPr>
        <w:tab/>
      </w:r>
      <w:r w:rsidR="00CF39B0" w:rsidRPr="00D74CA4">
        <w:rPr>
          <w:lang w:val="es-ES"/>
        </w:rPr>
        <w:t>228</w:t>
      </w:r>
      <w:r w:rsidR="00E91D45" w:rsidRPr="00D74CA4">
        <w:rPr>
          <w:lang w:val="es-ES"/>
        </w:rPr>
        <w:t>–</w:t>
      </w:r>
      <w:r w:rsidR="00CF39B0" w:rsidRPr="00D74CA4">
        <w:rPr>
          <w:lang w:val="es-ES"/>
        </w:rPr>
        <w:t>229</w:t>
      </w:r>
      <w:r w:rsidR="005A25A3" w:rsidRPr="00D74CA4">
        <w:rPr>
          <w:lang w:val="es-ES"/>
        </w:rPr>
        <w:tab/>
      </w:r>
      <w:r w:rsidR="00C17DBF">
        <w:rPr>
          <w:lang w:val="es-ES"/>
        </w:rPr>
        <w:t>53</w:t>
      </w:r>
    </w:p>
    <w:p w:rsidR="00CF39B0" w:rsidRPr="00D74CA4"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F.</w:t>
      </w:r>
      <w:r w:rsidR="00CF39B0" w:rsidRPr="00D74CA4">
        <w:rPr>
          <w:lang w:val="es-ES"/>
        </w:rPr>
        <w:tab/>
      </w:r>
      <w:r w:rsidR="00586CA6" w:rsidRPr="00D74CA4">
        <w:rPr>
          <w:bCs/>
          <w:lang w:val="es-ES"/>
        </w:rPr>
        <w:t>Protection de la vie privée (article 16)</w:t>
      </w:r>
      <w:r w:rsidR="00B21749" w:rsidRPr="00D74CA4">
        <w:rPr>
          <w:lang w:val="es-ES"/>
        </w:rPr>
        <w:tab/>
      </w:r>
      <w:r w:rsidR="00B21749" w:rsidRPr="00D74CA4">
        <w:rPr>
          <w:lang w:val="es-ES"/>
        </w:rPr>
        <w:tab/>
      </w:r>
      <w:r w:rsidR="00CF39B0" w:rsidRPr="00D74CA4">
        <w:rPr>
          <w:lang w:val="es-ES"/>
        </w:rPr>
        <w:t>230</w:t>
      </w:r>
      <w:r w:rsidR="00E91D45" w:rsidRPr="00D74CA4">
        <w:rPr>
          <w:lang w:val="es-ES"/>
        </w:rPr>
        <w:t>–</w:t>
      </w:r>
      <w:r w:rsidR="00CF39B0" w:rsidRPr="00D74CA4">
        <w:rPr>
          <w:lang w:val="es-ES"/>
        </w:rPr>
        <w:t>237</w:t>
      </w:r>
      <w:r w:rsidR="005A25A3" w:rsidRPr="00D74CA4">
        <w:rPr>
          <w:lang w:val="es-ES"/>
        </w:rPr>
        <w:tab/>
      </w:r>
      <w:r w:rsidR="00C17DBF">
        <w:rPr>
          <w:lang w:val="es-ES"/>
        </w:rPr>
        <w:t>53</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D74CA4">
        <w:rPr>
          <w:lang w:val="es-ES"/>
        </w:rPr>
        <w:tab/>
      </w:r>
      <w:r w:rsidRPr="00D74CA4">
        <w:rPr>
          <w:lang w:val="es-ES"/>
        </w:rPr>
        <w:tab/>
      </w:r>
      <w:r w:rsidR="00CF39B0" w:rsidRPr="008E5027">
        <w:t>G.</w:t>
      </w:r>
      <w:r w:rsidR="00CF39B0" w:rsidRPr="008E5027">
        <w:tab/>
      </w:r>
      <w:r w:rsidR="00586CA6" w:rsidRPr="00E64C5D">
        <w:rPr>
          <w:bCs/>
        </w:rPr>
        <w:t>Accès à une information appropriée (article 17)</w:t>
      </w:r>
      <w:r w:rsidR="00B21749" w:rsidRPr="008E5027">
        <w:tab/>
      </w:r>
      <w:r w:rsidR="00B21749" w:rsidRPr="008E5027">
        <w:tab/>
      </w:r>
      <w:r w:rsidR="00CF39B0" w:rsidRPr="008E5027">
        <w:t>238</w:t>
      </w:r>
      <w:r w:rsidR="00E91D45" w:rsidRPr="008E5027">
        <w:t>–</w:t>
      </w:r>
      <w:r w:rsidR="00CF39B0" w:rsidRPr="008E5027">
        <w:t>256</w:t>
      </w:r>
      <w:r w:rsidR="005A25A3" w:rsidRPr="008E5027">
        <w:tab/>
      </w:r>
      <w:r w:rsidR="00C17DBF">
        <w:t>54</w:t>
      </w:r>
    </w:p>
    <w:p w:rsidR="00CF39B0" w:rsidRPr="008E5027" w:rsidRDefault="00964912" w:rsidP="006A2A88">
      <w:pPr>
        <w:tabs>
          <w:tab w:val="right" w:pos="850"/>
          <w:tab w:val="left" w:pos="1134"/>
          <w:tab w:val="left" w:pos="1559"/>
          <w:tab w:val="left" w:pos="1984"/>
          <w:tab w:val="left" w:leader="dot" w:pos="7654"/>
          <w:tab w:val="right" w:pos="8929"/>
          <w:tab w:val="right" w:pos="9638"/>
        </w:tabs>
        <w:spacing w:after="120"/>
        <w:ind w:left="1559" w:hanging="1559"/>
      </w:pPr>
      <w:r w:rsidRPr="008E5027">
        <w:tab/>
      </w:r>
      <w:r w:rsidRPr="008E5027">
        <w:tab/>
      </w:r>
      <w:r w:rsidR="00CF39B0" w:rsidRPr="008E5027">
        <w:t>H.</w:t>
      </w:r>
      <w:r w:rsidR="00CF39B0" w:rsidRPr="008E5027">
        <w:tab/>
      </w:r>
      <w:r w:rsidR="006A2A88" w:rsidRPr="006A2A88">
        <w:rPr>
          <w:bCs/>
          <w:lang w:val="fr-FR"/>
        </w:rPr>
        <w:t>Droit de ne pas être soumis à la torture ou à des peines ou</w:t>
      </w:r>
      <w:r w:rsidR="006A2A88">
        <w:rPr>
          <w:bCs/>
          <w:lang w:val="fr-FR"/>
        </w:rPr>
        <w:t xml:space="preserve"> </w:t>
      </w:r>
      <w:r w:rsidR="006A2A88" w:rsidRPr="006A2A88">
        <w:rPr>
          <w:bCs/>
          <w:lang w:val="fr-FR"/>
        </w:rPr>
        <w:t xml:space="preserve">traitements </w:t>
      </w:r>
      <w:r w:rsidR="006A2A88">
        <w:rPr>
          <w:bCs/>
          <w:lang w:val="fr-FR"/>
        </w:rPr>
        <w:br/>
      </w:r>
      <w:r w:rsidR="006A2A88" w:rsidRPr="006A2A88">
        <w:rPr>
          <w:bCs/>
          <w:lang w:val="fr-FR"/>
        </w:rPr>
        <w:t xml:space="preserve">cruels, inhumains ou dégradants (article </w:t>
      </w:r>
      <w:smartTag w:uri="urn:schemas-microsoft-com:office:smarttags" w:element="metricconverter">
        <w:smartTagPr>
          <w:attr w:name="ProductID" w:val="37 a"/>
        </w:smartTagPr>
        <w:r w:rsidR="006A2A88" w:rsidRPr="006A2A88">
          <w:rPr>
            <w:bCs/>
            <w:lang w:val="fr-FR"/>
          </w:rPr>
          <w:t>37 a</w:t>
        </w:r>
      </w:smartTag>
      <w:r w:rsidR="006A2A88" w:rsidRPr="006A2A88">
        <w:rPr>
          <w:bCs/>
          <w:lang w:val="fr-FR"/>
        </w:rPr>
        <w:t>))</w:t>
      </w:r>
      <w:r w:rsidR="00B21749" w:rsidRPr="008E5027">
        <w:tab/>
      </w:r>
      <w:r w:rsidR="00B21749" w:rsidRPr="008E5027">
        <w:tab/>
      </w:r>
      <w:r w:rsidR="00CF39B0" w:rsidRPr="008E5027">
        <w:t>257</w:t>
      </w:r>
      <w:r w:rsidR="00E91D45" w:rsidRPr="008E5027">
        <w:t>–</w:t>
      </w:r>
      <w:r w:rsidR="00CF39B0" w:rsidRPr="008E5027">
        <w:t>268</w:t>
      </w:r>
      <w:r w:rsidR="005A25A3" w:rsidRPr="008E5027">
        <w:tab/>
      </w:r>
      <w:r w:rsidR="00C17DBF">
        <w:t>60</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8E5027">
        <w:tab/>
      </w:r>
      <w:r w:rsidR="00CF39B0" w:rsidRPr="008E5027">
        <w:t>V.</w:t>
      </w:r>
      <w:r w:rsidR="00CF39B0" w:rsidRPr="008E5027">
        <w:tab/>
      </w:r>
      <w:r w:rsidR="006A2A88" w:rsidRPr="006A2A88">
        <w:rPr>
          <w:lang w:val="fr-FR"/>
        </w:rPr>
        <w:t>Milieu familial et protection de r</w:t>
      </w:r>
      <w:r w:rsidR="00197D5F">
        <w:rPr>
          <w:lang w:val="fr-FR"/>
        </w:rPr>
        <w:t>e</w:t>
      </w:r>
      <w:r w:rsidR="006A2A88" w:rsidRPr="006A2A88">
        <w:rPr>
          <w:lang w:val="fr-FR"/>
        </w:rPr>
        <w:t>mplacement</w:t>
      </w:r>
      <w:r w:rsidR="00B21749" w:rsidRPr="008E5027">
        <w:tab/>
      </w:r>
      <w:r w:rsidR="00B21749" w:rsidRPr="008E5027">
        <w:tab/>
      </w:r>
      <w:r w:rsidR="00CF39B0" w:rsidRPr="008E5027">
        <w:t>269</w:t>
      </w:r>
      <w:r w:rsidR="00E91D45" w:rsidRPr="008E5027">
        <w:t>–</w:t>
      </w:r>
      <w:r w:rsidR="00CF39B0" w:rsidRPr="008E5027">
        <w:t>342</w:t>
      </w:r>
      <w:r w:rsidR="005A25A3" w:rsidRPr="008E5027">
        <w:tab/>
      </w:r>
      <w:r w:rsidR="00C17DBF">
        <w:t>63</w:t>
      </w:r>
    </w:p>
    <w:p w:rsidR="00CF39B0" w:rsidRPr="00C17DBF"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8E5027">
        <w:tab/>
      </w:r>
      <w:r w:rsidRPr="008E5027">
        <w:tab/>
      </w:r>
      <w:r w:rsidR="00CF39B0" w:rsidRPr="00C17DBF">
        <w:rPr>
          <w:lang w:val="es-ES"/>
        </w:rPr>
        <w:t>A</w:t>
      </w:r>
      <w:r w:rsidR="00B21749" w:rsidRPr="00C17DBF">
        <w:rPr>
          <w:lang w:val="es-ES"/>
        </w:rPr>
        <w:t>.</w:t>
      </w:r>
      <w:r w:rsidR="00B21749" w:rsidRPr="00C17DBF">
        <w:rPr>
          <w:lang w:val="es-ES"/>
        </w:rPr>
        <w:tab/>
      </w:r>
      <w:r w:rsidR="006A2A88" w:rsidRPr="00C17DBF">
        <w:rPr>
          <w:bCs/>
          <w:lang w:val="es-ES"/>
        </w:rPr>
        <w:t>Guidance parentale (article 5)</w:t>
      </w:r>
      <w:r w:rsidR="00B21749" w:rsidRPr="00C17DBF">
        <w:rPr>
          <w:lang w:val="es-ES"/>
        </w:rPr>
        <w:tab/>
      </w:r>
      <w:r w:rsidR="00B21749" w:rsidRPr="00C17DBF">
        <w:rPr>
          <w:lang w:val="es-ES"/>
        </w:rPr>
        <w:tab/>
      </w:r>
      <w:r w:rsidR="00CF39B0" w:rsidRPr="00C17DBF">
        <w:rPr>
          <w:lang w:val="es-ES"/>
        </w:rPr>
        <w:t>269</w:t>
      </w:r>
      <w:r w:rsidR="00E91D45" w:rsidRPr="00C17DBF">
        <w:rPr>
          <w:lang w:val="es-ES"/>
        </w:rPr>
        <w:t>–</w:t>
      </w:r>
      <w:r w:rsidR="00CF39B0" w:rsidRPr="00C17DBF">
        <w:rPr>
          <w:lang w:val="es-ES"/>
        </w:rPr>
        <w:t>272</w:t>
      </w:r>
      <w:r w:rsidR="005A25A3" w:rsidRPr="00C17DBF">
        <w:rPr>
          <w:lang w:val="es-ES"/>
        </w:rPr>
        <w:tab/>
      </w:r>
      <w:r w:rsidR="00C17DBF" w:rsidRPr="00C17DBF">
        <w:rPr>
          <w:lang w:val="es-ES"/>
        </w:rPr>
        <w:t>63</w:t>
      </w:r>
    </w:p>
    <w:p w:rsidR="00CF39B0" w:rsidRPr="00C17DBF" w:rsidRDefault="00964912" w:rsidP="00CF39B0">
      <w:pPr>
        <w:tabs>
          <w:tab w:val="right" w:pos="850"/>
          <w:tab w:val="left" w:pos="1134"/>
          <w:tab w:val="left" w:pos="1559"/>
          <w:tab w:val="left" w:pos="1984"/>
          <w:tab w:val="left" w:leader="dot" w:pos="7654"/>
          <w:tab w:val="right" w:pos="8929"/>
          <w:tab w:val="right" w:pos="9638"/>
        </w:tabs>
        <w:spacing w:after="120"/>
        <w:rPr>
          <w:lang w:val="es-ES"/>
        </w:rPr>
      </w:pPr>
      <w:r w:rsidRPr="00C17DBF">
        <w:rPr>
          <w:lang w:val="es-ES"/>
        </w:rPr>
        <w:tab/>
      </w:r>
      <w:r w:rsidRPr="00C17DBF">
        <w:rPr>
          <w:lang w:val="es-ES"/>
        </w:rPr>
        <w:tab/>
      </w:r>
      <w:r w:rsidR="00CF39B0" w:rsidRPr="00C17DBF">
        <w:rPr>
          <w:lang w:val="es-ES"/>
        </w:rPr>
        <w:t>B.</w:t>
      </w:r>
      <w:r w:rsidR="00CF39B0" w:rsidRPr="00C17DBF">
        <w:rPr>
          <w:lang w:val="es-ES"/>
        </w:rPr>
        <w:tab/>
      </w:r>
      <w:r w:rsidR="009F6744" w:rsidRPr="00C17DBF">
        <w:rPr>
          <w:bCs/>
          <w:lang w:val="es-ES"/>
        </w:rPr>
        <w:t>Responsabilité parentale (</w:t>
      </w:r>
      <w:r w:rsidR="00C17DBF" w:rsidRPr="00C17DBF">
        <w:rPr>
          <w:bCs/>
          <w:lang w:val="fr-FR"/>
        </w:rPr>
        <w:t>paragraphes 1 et 2 de l’article 18</w:t>
      </w:r>
      <w:r w:rsidR="009F6744" w:rsidRPr="00C17DBF">
        <w:rPr>
          <w:bCs/>
          <w:lang w:val="es-ES"/>
        </w:rPr>
        <w:t>)</w:t>
      </w:r>
      <w:r w:rsidR="00B21749" w:rsidRPr="00C17DBF">
        <w:rPr>
          <w:lang w:val="es-ES"/>
        </w:rPr>
        <w:tab/>
      </w:r>
      <w:r w:rsidR="00B21749" w:rsidRPr="00C17DBF">
        <w:rPr>
          <w:lang w:val="es-ES"/>
        </w:rPr>
        <w:tab/>
      </w:r>
      <w:r w:rsidR="00CF39B0" w:rsidRPr="00C17DBF">
        <w:rPr>
          <w:lang w:val="es-ES"/>
        </w:rPr>
        <w:t>273</w:t>
      </w:r>
      <w:r w:rsidR="00E91D45" w:rsidRPr="00C17DBF">
        <w:rPr>
          <w:lang w:val="es-ES"/>
        </w:rPr>
        <w:t>–</w:t>
      </w:r>
      <w:r w:rsidR="00CF39B0" w:rsidRPr="00C17DBF">
        <w:rPr>
          <w:lang w:val="es-ES"/>
        </w:rPr>
        <w:t>277</w:t>
      </w:r>
      <w:r w:rsidR="005A25A3" w:rsidRPr="00C17DBF">
        <w:rPr>
          <w:lang w:val="es-ES"/>
        </w:rPr>
        <w:tab/>
      </w:r>
      <w:r w:rsidR="00C17DBF">
        <w:rPr>
          <w:lang w:val="es-ES"/>
        </w:rPr>
        <w:t>64</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C17DBF">
        <w:rPr>
          <w:lang w:val="es-ES"/>
        </w:rPr>
        <w:tab/>
      </w:r>
      <w:r w:rsidRPr="00C17DBF">
        <w:rPr>
          <w:lang w:val="es-ES"/>
        </w:rPr>
        <w:tab/>
      </w:r>
      <w:r w:rsidR="00CF39B0" w:rsidRPr="008E5027">
        <w:t>C.</w:t>
      </w:r>
      <w:r w:rsidR="00CF39B0" w:rsidRPr="008E5027">
        <w:tab/>
      </w:r>
      <w:r w:rsidR="00BB438C" w:rsidRPr="00BB438C">
        <w:rPr>
          <w:bCs/>
          <w:lang w:val="fr-FR"/>
        </w:rPr>
        <w:t>Séparation d</w:t>
      </w:r>
      <w:r w:rsidR="00277023">
        <w:rPr>
          <w:bCs/>
          <w:lang w:val="fr-FR"/>
        </w:rPr>
        <w:t>’</w:t>
      </w:r>
      <w:r w:rsidR="00BB438C" w:rsidRPr="00BB438C">
        <w:rPr>
          <w:bCs/>
          <w:lang w:val="fr-FR"/>
        </w:rPr>
        <w:t>avec les parents (article 9)</w:t>
      </w:r>
      <w:r w:rsidR="00B21749" w:rsidRPr="008E5027">
        <w:tab/>
      </w:r>
      <w:r w:rsidR="00B21749" w:rsidRPr="008E5027">
        <w:tab/>
      </w:r>
      <w:r w:rsidR="00CF39B0" w:rsidRPr="008E5027">
        <w:t>278</w:t>
      </w:r>
      <w:r w:rsidR="00E91D45" w:rsidRPr="008E5027">
        <w:t>–</w:t>
      </w:r>
      <w:r w:rsidR="00CF39B0" w:rsidRPr="008E5027">
        <w:t>284</w:t>
      </w:r>
      <w:r w:rsidR="005A25A3" w:rsidRPr="008E5027">
        <w:tab/>
      </w:r>
      <w:r w:rsidR="00C17DBF">
        <w:t>64</w:t>
      </w:r>
    </w:p>
    <w:p w:rsidR="00CF39B0" w:rsidRPr="008E5027" w:rsidRDefault="00964912" w:rsidP="00CF39B0">
      <w:pPr>
        <w:tabs>
          <w:tab w:val="right" w:pos="850"/>
          <w:tab w:val="left" w:pos="1134"/>
          <w:tab w:val="left" w:pos="1559"/>
          <w:tab w:val="left" w:pos="1984"/>
          <w:tab w:val="left" w:leader="dot" w:pos="7654"/>
          <w:tab w:val="right" w:pos="8929"/>
          <w:tab w:val="right" w:pos="9638"/>
        </w:tabs>
        <w:spacing w:after="120"/>
      </w:pPr>
      <w:r w:rsidRPr="008E5027">
        <w:tab/>
      </w:r>
      <w:r w:rsidRPr="008E5027">
        <w:tab/>
      </w:r>
      <w:r w:rsidR="00CF39B0" w:rsidRPr="008E5027">
        <w:t>D.</w:t>
      </w:r>
      <w:r w:rsidR="00CF39B0" w:rsidRPr="008E5027">
        <w:tab/>
      </w:r>
      <w:r w:rsidR="00BB438C">
        <w:rPr>
          <w:bCs/>
        </w:rPr>
        <w:t>Réunification familiale</w:t>
      </w:r>
      <w:r w:rsidR="00BB438C" w:rsidRPr="00E64C5D">
        <w:rPr>
          <w:bCs/>
        </w:rPr>
        <w:t xml:space="preserve"> (article 10)</w:t>
      </w:r>
      <w:r w:rsidR="00B21749" w:rsidRPr="008E5027">
        <w:tab/>
      </w:r>
      <w:r w:rsidR="00B21749" w:rsidRPr="008E5027">
        <w:tab/>
      </w:r>
      <w:r w:rsidR="00CF39B0" w:rsidRPr="008E5027">
        <w:t>285</w:t>
      </w:r>
      <w:r w:rsidR="00E91D45" w:rsidRPr="008E5027">
        <w:t>–</w:t>
      </w:r>
      <w:r w:rsidR="00CF39B0" w:rsidRPr="008E5027">
        <w:t>288</w:t>
      </w:r>
      <w:r w:rsidR="005A25A3" w:rsidRPr="008E5027">
        <w:tab/>
      </w:r>
      <w:r w:rsidR="00C17DBF">
        <w:t>65</w:t>
      </w:r>
    </w:p>
    <w:p w:rsidR="00CF39B0" w:rsidRPr="008E5027" w:rsidRDefault="00964912" w:rsidP="00964912">
      <w:pPr>
        <w:tabs>
          <w:tab w:val="right" w:pos="850"/>
          <w:tab w:val="left" w:pos="1134"/>
          <w:tab w:val="left" w:pos="1559"/>
          <w:tab w:val="left" w:pos="1984"/>
          <w:tab w:val="left" w:leader="dot" w:pos="7654"/>
          <w:tab w:val="right" w:pos="8929"/>
          <w:tab w:val="right" w:pos="9638"/>
        </w:tabs>
        <w:spacing w:after="120"/>
        <w:ind w:left="1559" w:hanging="1559"/>
      </w:pPr>
      <w:r w:rsidRPr="008E5027">
        <w:tab/>
      </w:r>
      <w:r w:rsidRPr="008E5027">
        <w:tab/>
      </w:r>
      <w:smartTag w:uri="urn:schemas-microsoft-com:office:smarttags" w:element="place">
        <w:r w:rsidR="00CF39B0" w:rsidRPr="008E5027">
          <w:t>E.</w:t>
        </w:r>
        <w:r w:rsidR="00CF39B0" w:rsidRPr="008E5027">
          <w:tab/>
        </w:r>
        <w:r w:rsidR="00BB438C" w:rsidRPr="00E64C5D">
          <w:rPr>
            <w:bCs/>
          </w:rPr>
          <w:t>Déplacements</w:t>
        </w:r>
      </w:smartTag>
      <w:r w:rsidR="00BB438C" w:rsidRPr="00E64C5D">
        <w:rPr>
          <w:bCs/>
        </w:rPr>
        <w:t xml:space="preserve"> et non-retours illicites d</w:t>
      </w:r>
      <w:r w:rsidR="00277023">
        <w:rPr>
          <w:bCs/>
        </w:rPr>
        <w:t>’</w:t>
      </w:r>
      <w:r w:rsidR="00BB438C" w:rsidRPr="00E64C5D">
        <w:rPr>
          <w:bCs/>
        </w:rPr>
        <w:t>enfants à l</w:t>
      </w:r>
      <w:r w:rsidR="00277023">
        <w:rPr>
          <w:bCs/>
        </w:rPr>
        <w:t>’</w:t>
      </w:r>
      <w:r w:rsidR="00BB438C" w:rsidRPr="00E64C5D">
        <w:rPr>
          <w:bCs/>
        </w:rPr>
        <w:t>étranger</w:t>
      </w:r>
      <w:r w:rsidR="00BB438C">
        <w:rPr>
          <w:bCs/>
        </w:rPr>
        <w:t xml:space="preserve"> </w:t>
      </w:r>
      <w:r w:rsidR="00BB438C" w:rsidRPr="00BB438C">
        <w:rPr>
          <w:bCs/>
          <w:lang w:val="fr-FR"/>
        </w:rPr>
        <w:t>(article 11)</w:t>
      </w:r>
      <w:r w:rsidR="00B21749" w:rsidRPr="008E5027">
        <w:tab/>
      </w:r>
      <w:r w:rsidR="00B21749" w:rsidRPr="008E5027">
        <w:tab/>
      </w:r>
      <w:r w:rsidR="00CF39B0" w:rsidRPr="008E5027">
        <w:t>289</w:t>
      </w:r>
      <w:r w:rsidR="00E91D45" w:rsidRPr="008E5027">
        <w:t>–</w:t>
      </w:r>
      <w:r w:rsidR="00CF39B0" w:rsidRPr="008E5027">
        <w:t>291</w:t>
      </w:r>
      <w:r w:rsidR="005A25A3" w:rsidRPr="008E5027">
        <w:tab/>
      </w:r>
      <w:r w:rsidR="00C17DBF">
        <w:t>66</w:t>
      </w:r>
    </w:p>
    <w:p w:rsidR="00CF39B0" w:rsidRPr="00D74CA4" w:rsidRDefault="00402AEA" w:rsidP="00BB438C">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8E5027">
        <w:tab/>
      </w:r>
      <w:r w:rsidRPr="008E5027">
        <w:tab/>
      </w:r>
      <w:r w:rsidR="00CF39B0" w:rsidRPr="00D74CA4">
        <w:rPr>
          <w:lang w:val="es-ES"/>
        </w:rPr>
        <w:t>F.</w:t>
      </w:r>
      <w:r w:rsidRPr="00D74CA4">
        <w:rPr>
          <w:lang w:val="es-ES"/>
        </w:rPr>
        <w:tab/>
      </w:r>
      <w:r w:rsidR="00BB438C" w:rsidRPr="00BB438C">
        <w:rPr>
          <w:bCs/>
          <w:lang w:val="fr-FR"/>
        </w:rPr>
        <w:t>Recouvrement de la pension alimentaire de l</w:t>
      </w:r>
      <w:r w:rsidR="00277023">
        <w:rPr>
          <w:bCs/>
          <w:lang w:val="fr-FR"/>
        </w:rPr>
        <w:t>’</w:t>
      </w:r>
      <w:r w:rsidR="00BB438C" w:rsidRPr="00BB438C">
        <w:rPr>
          <w:bCs/>
          <w:lang w:val="fr-FR"/>
        </w:rPr>
        <w:t xml:space="preserve">enfant </w:t>
      </w:r>
      <w:r w:rsidR="00C17DBF">
        <w:rPr>
          <w:bCs/>
          <w:lang w:val="fr-FR"/>
        </w:rPr>
        <w:br/>
      </w:r>
      <w:r w:rsidR="00BB438C" w:rsidRPr="00BB438C">
        <w:rPr>
          <w:bCs/>
          <w:lang w:val="fr-FR"/>
        </w:rPr>
        <w:t>(</w:t>
      </w:r>
      <w:r w:rsidR="00C17DBF" w:rsidRPr="00197D5F">
        <w:rPr>
          <w:lang w:val="fr-FR"/>
        </w:rPr>
        <w:t>paragraphe 4 de l</w:t>
      </w:r>
      <w:r w:rsidR="00C17DBF">
        <w:rPr>
          <w:lang w:val="fr-FR"/>
        </w:rPr>
        <w:t>’</w:t>
      </w:r>
      <w:r w:rsidR="00C17DBF" w:rsidRPr="00197D5F">
        <w:rPr>
          <w:lang w:val="fr-FR"/>
        </w:rPr>
        <w:t>article 27</w:t>
      </w:r>
      <w:r w:rsidR="00BB438C" w:rsidRPr="00BB438C">
        <w:rPr>
          <w:bCs/>
          <w:lang w:val="fr-FR"/>
        </w:rPr>
        <w:t>)</w:t>
      </w:r>
      <w:r w:rsidR="00B21749" w:rsidRPr="00D74CA4">
        <w:rPr>
          <w:lang w:val="es-ES"/>
        </w:rPr>
        <w:tab/>
      </w:r>
      <w:r w:rsidR="00B21749" w:rsidRPr="00D74CA4">
        <w:rPr>
          <w:lang w:val="es-ES"/>
        </w:rPr>
        <w:tab/>
      </w:r>
      <w:r w:rsidR="00CF39B0" w:rsidRPr="00D74CA4">
        <w:rPr>
          <w:lang w:val="es-ES"/>
        </w:rPr>
        <w:t>292</w:t>
      </w:r>
      <w:r w:rsidR="00E91D45" w:rsidRPr="00D74CA4">
        <w:rPr>
          <w:lang w:val="es-ES"/>
        </w:rPr>
        <w:t>–</w:t>
      </w:r>
      <w:r w:rsidR="00CF39B0" w:rsidRPr="00D74CA4">
        <w:rPr>
          <w:lang w:val="es-ES"/>
        </w:rPr>
        <w:t>296</w:t>
      </w:r>
      <w:r w:rsidR="005A25A3" w:rsidRPr="00D74CA4">
        <w:rPr>
          <w:lang w:val="es-ES"/>
        </w:rPr>
        <w:tab/>
      </w:r>
      <w:r w:rsidR="00C17DBF">
        <w:rPr>
          <w:lang w:val="es-ES"/>
        </w:rPr>
        <w:t>66</w:t>
      </w:r>
    </w:p>
    <w:p w:rsidR="00CF39B0" w:rsidRPr="00D74CA4" w:rsidRDefault="00402AEA"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G.</w:t>
      </w:r>
      <w:r w:rsidRPr="00D74CA4">
        <w:rPr>
          <w:lang w:val="es-ES"/>
        </w:rPr>
        <w:tab/>
      </w:r>
      <w:r w:rsidR="00BB438C" w:rsidRPr="00D74CA4">
        <w:rPr>
          <w:bCs/>
          <w:lang w:val="es-ES"/>
        </w:rPr>
        <w:t>Enfants privés de milieu familial (article 20)</w:t>
      </w:r>
      <w:r w:rsidR="00B21749" w:rsidRPr="00D74CA4">
        <w:rPr>
          <w:lang w:val="es-ES"/>
        </w:rPr>
        <w:tab/>
      </w:r>
      <w:r w:rsidR="00B21749" w:rsidRPr="00D74CA4">
        <w:rPr>
          <w:lang w:val="es-ES"/>
        </w:rPr>
        <w:tab/>
      </w:r>
      <w:r w:rsidR="00CF39B0" w:rsidRPr="00D74CA4">
        <w:rPr>
          <w:lang w:val="es-ES"/>
        </w:rPr>
        <w:t>297</w:t>
      </w:r>
      <w:r w:rsidR="005A25A3" w:rsidRPr="00D74CA4">
        <w:rPr>
          <w:lang w:val="es-ES"/>
        </w:rPr>
        <w:tab/>
      </w:r>
      <w:r w:rsidR="00C17DBF">
        <w:rPr>
          <w:lang w:val="es-ES"/>
        </w:rPr>
        <w:t>67</w:t>
      </w:r>
    </w:p>
    <w:p w:rsidR="00CF39B0" w:rsidRPr="00D74CA4" w:rsidRDefault="00402AEA"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H.</w:t>
      </w:r>
      <w:r w:rsidRPr="00D74CA4">
        <w:rPr>
          <w:lang w:val="es-ES"/>
        </w:rPr>
        <w:tab/>
      </w:r>
      <w:r w:rsidR="00BB438C" w:rsidRPr="00D74CA4">
        <w:rPr>
          <w:bCs/>
          <w:lang w:val="es-ES"/>
        </w:rPr>
        <w:t>Adoption (article 21)</w:t>
      </w:r>
      <w:r w:rsidR="00B21749" w:rsidRPr="00D74CA4">
        <w:rPr>
          <w:lang w:val="es-ES"/>
        </w:rPr>
        <w:tab/>
      </w:r>
      <w:r w:rsidR="00B21749" w:rsidRPr="00D74CA4">
        <w:rPr>
          <w:lang w:val="es-ES"/>
        </w:rPr>
        <w:tab/>
      </w:r>
      <w:r w:rsidR="00CF39B0" w:rsidRPr="00D74CA4">
        <w:rPr>
          <w:lang w:val="es-ES"/>
        </w:rPr>
        <w:t>298</w:t>
      </w:r>
      <w:r w:rsidR="00E91D45" w:rsidRPr="00D74CA4">
        <w:rPr>
          <w:lang w:val="es-ES"/>
        </w:rPr>
        <w:t>–</w:t>
      </w:r>
      <w:r w:rsidR="00CF39B0" w:rsidRPr="00D74CA4">
        <w:rPr>
          <w:lang w:val="es-ES"/>
        </w:rPr>
        <w:t>303</w:t>
      </w:r>
      <w:r w:rsidR="005A25A3" w:rsidRPr="00D74CA4">
        <w:rPr>
          <w:lang w:val="es-ES"/>
        </w:rPr>
        <w:tab/>
      </w:r>
      <w:r w:rsidR="00C17DBF">
        <w:rPr>
          <w:lang w:val="es-ES"/>
        </w:rPr>
        <w:t>67</w:t>
      </w:r>
    </w:p>
    <w:p w:rsidR="00CF39B0" w:rsidRPr="00D74CA4" w:rsidRDefault="00402AEA" w:rsidP="00BB438C">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I.</w:t>
      </w:r>
      <w:r w:rsidR="00CF39B0" w:rsidRPr="00D74CA4">
        <w:rPr>
          <w:lang w:val="es-ES"/>
        </w:rPr>
        <w:tab/>
      </w:r>
      <w:r w:rsidR="00BB438C" w:rsidRPr="00BB438C">
        <w:rPr>
          <w:bCs/>
          <w:lang w:val="fr-FR"/>
        </w:rPr>
        <w:t>Examen périodique des circonstances relatives au placement</w:t>
      </w:r>
      <w:r w:rsidR="00BB438C">
        <w:rPr>
          <w:bCs/>
          <w:lang w:val="fr-FR"/>
        </w:rPr>
        <w:t xml:space="preserve"> </w:t>
      </w:r>
      <w:r w:rsidR="00BB438C" w:rsidRPr="00BB438C">
        <w:rPr>
          <w:bCs/>
          <w:lang w:val="fr-FR"/>
        </w:rPr>
        <w:t>de l</w:t>
      </w:r>
      <w:r w:rsidR="00277023">
        <w:rPr>
          <w:bCs/>
          <w:lang w:val="fr-FR"/>
        </w:rPr>
        <w:t>’</w:t>
      </w:r>
      <w:r w:rsidR="00BB438C" w:rsidRPr="00BB438C">
        <w:rPr>
          <w:bCs/>
          <w:lang w:val="fr-FR"/>
        </w:rPr>
        <w:t xml:space="preserve">enfant </w:t>
      </w:r>
      <w:r w:rsidR="00BB438C">
        <w:rPr>
          <w:bCs/>
          <w:lang w:val="fr-FR"/>
        </w:rPr>
        <w:br/>
      </w:r>
      <w:r w:rsidR="00BB438C" w:rsidRPr="00BB438C">
        <w:rPr>
          <w:bCs/>
          <w:lang w:val="fr-FR"/>
        </w:rPr>
        <w:t>(article 25)</w:t>
      </w:r>
      <w:r w:rsidR="00B21749" w:rsidRPr="00D74CA4">
        <w:rPr>
          <w:lang w:val="es-ES"/>
        </w:rPr>
        <w:tab/>
      </w:r>
      <w:r w:rsidR="00B21749" w:rsidRPr="00D74CA4">
        <w:rPr>
          <w:lang w:val="es-ES"/>
        </w:rPr>
        <w:tab/>
      </w:r>
      <w:r w:rsidR="00CF39B0" w:rsidRPr="00D74CA4">
        <w:rPr>
          <w:lang w:val="es-ES"/>
        </w:rPr>
        <w:t>304</w:t>
      </w:r>
      <w:r w:rsidR="00E91D45" w:rsidRPr="00D74CA4">
        <w:rPr>
          <w:lang w:val="es-ES"/>
        </w:rPr>
        <w:t>–</w:t>
      </w:r>
      <w:r w:rsidR="00CF39B0" w:rsidRPr="00D74CA4">
        <w:rPr>
          <w:lang w:val="es-ES"/>
        </w:rPr>
        <w:t>305</w:t>
      </w:r>
      <w:r w:rsidR="005A25A3" w:rsidRPr="00D74CA4">
        <w:rPr>
          <w:lang w:val="es-ES"/>
        </w:rPr>
        <w:tab/>
      </w:r>
      <w:r w:rsidR="00014606">
        <w:rPr>
          <w:lang w:val="es-ES"/>
        </w:rPr>
        <w:t>68</w:t>
      </w:r>
    </w:p>
    <w:p w:rsidR="00CF39B0" w:rsidRPr="00D74CA4" w:rsidRDefault="00BB438C" w:rsidP="00BB438C">
      <w:pPr>
        <w:tabs>
          <w:tab w:val="right" w:pos="850"/>
          <w:tab w:val="left" w:pos="1134"/>
          <w:tab w:val="left" w:pos="1559"/>
          <w:tab w:val="left" w:pos="1984"/>
          <w:tab w:val="left" w:leader="dot" w:pos="7654"/>
          <w:tab w:val="right" w:pos="8929"/>
          <w:tab w:val="right" w:pos="9638"/>
        </w:tabs>
        <w:spacing w:after="120"/>
        <w:ind w:left="1559" w:hanging="1199"/>
        <w:rPr>
          <w:lang w:val="es-ES"/>
        </w:rPr>
      </w:pPr>
      <w:r w:rsidRPr="00D74CA4">
        <w:rPr>
          <w:lang w:val="es-ES"/>
        </w:rPr>
        <w:tab/>
      </w:r>
      <w:r w:rsidR="00402AEA" w:rsidRPr="00D74CA4">
        <w:rPr>
          <w:lang w:val="es-ES"/>
        </w:rPr>
        <w:tab/>
      </w:r>
      <w:r w:rsidR="00CF39B0" w:rsidRPr="00D74CA4">
        <w:rPr>
          <w:lang w:val="es-ES"/>
        </w:rPr>
        <w:t>J.</w:t>
      </w:r>
      <w:r w:rsidR="00CF39B0" w:rsidRPr="00D74CA4">
        <w:rPr>
          <w:lang w:val="es-ES"/>
        </w:rPr>
        <w:tab/>
      </w:r>
      <w:r w:rsidRPr="00BB438C">
        <w:rPr>
          <w:bCs/>
          <w:lang w:val="fr-FR"/>
        </w:rPr>
        <w:t xml:space="preserve">Maltraitance et négligence (y compris la réadaptation physique </w:t>
      </w:r>
      <w:r>
        <w:rPr>
          <w:bCs/>
          <w:lang w:val="fr-FR"/>
        </w:rPr>
        <w:br/>
      </w:r>
      <w:r w:rsidRPr="00BB438C">
        <w:rPr>
          <w:bCs/>
          <w:lang w:val="fr-FR"/>
        </w:rPr>
        <w:t>et</w:t>
      </w:r>
      <w:r>
        <w:rPr>
          <w:bCs/>
          <w:lang w:val="fr-FR"/>
        </w:rPr>
        <w:t xml:space="preserve"> </w:t>
      </w:r>
      <w:r w:rsidRPr="00BB438C">
        <w:rPr>
          <w:bCs/>
          <w:lang w:val="fr-FR"/>
        </w:rPr>
        <w:t>psychologique et la réinsertion sociale) (articles 19 et 39)</w:t>
      </w:r>
      <w:r w:rsidR="00B21749" w:rsidRPr="00D74CA4">
        <w:rPr>
          <w:lang w:val="es-ES"/>
        </w:rPr>
        <w:tab/>
      </w:r>
      <w:r w:rsidR="00B21749" w:rsidRPr="00D74CA4">
        <w:rPr>
          <w:lang w:val="es-ES"/>
        </w:rPr>
        <w:tab/>
      </w:r>
      <w:r w:rsidR="00CF39B0" w:rsidRPr="00D74CA4">
        <w:rPr>
          <w:lang w:val="es-ES"/>
        </w:rPr>
        <w:t>306</w:t>
      </w:r>
      <w:r w:rsidR="00E91D45" w:rsidRPr="00D74CA4">
        <w:rPr>
          <w:lang w:val="es-ES"/>
        </w:rPr>
        <w:t>–</w:t>
      </w:r>
      <w:r w:rsidR="00CF39B0" w:rsidRPr="00D74CA4">
        <w:rPr>
          <w:lang w:val="es-ES"/>
        </w:rPr>
        <w:t>342</w:t>
      </w:r>
      <w:r w:rsidR="005A25A3" w:rsidRPr="00D74CA4">
        <w:rPr>
          <w:lang w:val="es-ES"/>
        </w:rPr>
        <w:tab/>
      </w:r>
      <w:r w:rsidR="00014606">
        <w:rPr>
          <w:lang w:val="es-ES"/>
        </w:rPr>
        <w:t>69</w:t>
      </w:r>
    </w:p>
    <w:p w:rsidR="00CF39B0" w:rsidRPr="00D74CA4" w:rsidRDefault="00402AEA" w:rsidP="00BB438C">
      <w:pPr>
        <w:tabs>
          <w:tab w:val="right" w:pos="850"/>
          <w:tab w:val="left" w:pos="1134"/>
          <w:tab w:val="left" w:pos="1559"/>
          <w:tab w:val="left" w:pos="1984"/>
          <w:tab w:val="left" w:leader="dot" w:pos="7654"/>
          <w:tab w:val="right" w:pos="8929"/>
          <w:tab w:val="right" w:pos="9638"/>
        </w:tabs>
        <w:spacing w:after="120"/>
        <w:ind w:left="1134" w:hanging="1134"/>
        <w:rPr>
          <w:lang w:val="es-ES"/>
        </w:rPr>
      </w:pPr>
      <w:r w:rsidRPr="00D74CA4">
        <w:rPr>
          <w:lang w:val="es-ES"/>
        </w:rPr>
        <w:tab/>
      </w:r>
      <w:r w:rsidR="00CF39B0" w:rsidRPr="00D74CA4">
        <w:rPr>
          <w:lang w:val="es-ES"/>
        </w:rPr>
        <w:t>VI.</w:t>
      </w:r>
      <w:r w:rsidR="00CF39B0" w:rsidRPr="00D74CA4">
        <w:rPr>
          <w:lang w:val="es-ES"/>
        </w:rPr>
        <w:tab/>
      </w:r>
      <w:r w:rsidR="00BB438C" w:rsidRPr="00BB438C">
        <w:rPr>
          <w:lang w:val="fr-FR"/>
        </w:rPr>
        <w:t>Santé et bien-être de base (article</w:t>
      </w:r>
      <w:r w:rsidR="00014606">
        <w:rPr>
          <w:lang w:val="fr-FR"/>
        </w:rPr>
        <w:t>s</w:t>
      </w:r>
      <w:r w:rsidR="00BB438C" w:rsidRPr="00BB438C">
        <w:rPr>
          <w:lang w:val="fr-FR"/>
        </w:rPr>
        <w:t xml:space="preserve"> 6</w:t>
      </w:r>
      <w:r w:rsidR="00014606">
        <w:rPr>
          <w:lang w:val="fr-FR"/>
        </w:rPr>
        <w:t xml:space="preserve"> et </w:t>
      </w:r>
      <w:r w:rsidR="00BB438C" w:rsidRPr="00BB438C">
        <w:rPr>
          <w:lang w:val="fr-FR"/>
        </w:rPr>
        <w:t xml:space="preserve">18, paragraphe 3, </w:t>
      </w:r>
      <w:r w:rsidR="00BB438C">
        <w:rPr>
          <w:lang w:val="fr-FR"/>
        </w:rPr>
        <w:br/>
      </w:r>
      <w:r w:rsidR="00BB438C" w:rsidRPr="00BB438C">
        <w:rPr>
          <w:lang w:val="fr-FR"/>
        </w:rPr>
        <w:t>articles 23, 24, 26, et 27, paragraphes 1-3)</w:t>
      </w:r>
      <w:r w:rsidR="00B21749" w:rsidRPr="00D74CA4">
        <w:rPr>
          <w:lang w:val="es-ES"/>
        </w:rPr>
        <w:tab/>
      </w:r>
      <w:r w:rsidR="00B21749" w:rsidRPr="00D74CA4">
        <w:rPr>
          <w:lang w:val="es-ES"/>
        </w:rPr>
        <w:tab/>
      </w:r>
      <w:r w:rsidR="00CF39B0" w:rsidRPr="00D74CA4">
        <w:rPr>
          <w:lang w:val="es-ES"/>
        </w:rPr>
        <w:t>343</w:t>
      </w:r>
      <w:r w:rsidR="00E91D45" w:rsidRPr="00D74CA4">
        <w:rPr>
          <w:lang w:val="es-ES"/>
        </w:rPr>
        <w:t>–</w:t>
      </w:r>
      <w:r w:rsidR="00CF39B0" w:rsidRPr="00D74CA4">
        <w:rPr>
          <w:lang w:val="es-ES"/>
        </w:rPr>
        <w:t>389</w:t>
      </w:r>
      <w:r w:rsidR="005A25A3" w:rsidRPr="00D74CA4">
        <w:rPr>
          <w:lang w:val="es-ES"/>
        </w:rPr>
        <w:tab/>
      </w:r>
      <w:r w:rsidR="00014606">
        <w:rPr>
          <w:lang w:val="es-ES"/>
        </w:rPr>
        <w:t>76</w:t>
      </w:r>
    </w:p>
    <w:p w:rsidR="00CF39B0" w:rsidRPr="00D74CA4" w:rsidRDefault="00402AEA"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A.</w:t>
      </w:r>
      <w:r w:rsidR="00CF39B0" w:rsidRPr="00D74CA4">
        <w:rPr>
          <w:lang w:val="es-ES"/>
        </w:rPr>
        <w:tab/>
      </w:r>
      <w:r w:rsidR="00BB438C" w:rsidRPr="00D74CA4">
        <w:rPr>
          <w:bCs/>
          <w:lang w:val="es-ES"/>
        </w:rPr>
        <w:t>Enfants handicapés (article 23)</w:t>
      </w:r>
      <w:r w:rsidR="00B21749" w:rsidRPr="00D74CA4">
        <w:rPr>
          <w:lang w:val="es-ES"/>
        </w:rPr>
        <w:tab/>
      </w:r>
      <w:r w:rsidR="00B21749" w:rsidRPr="00D74CA4">
        <w:rPr>
          <w:lang w:val="es-ES"/>
        </w:rPr>
        <w:tab/>
      </w:r>
      <w:r w:rsidR="00CF39B0" w:rsidRPr="00D74CA4">
        <w:rPr>
          <w:lang w:val="es-ES"/>
        </w:rPr>
        <w:t>343</w:t>
      </w:r>
      <w:r w:rsidR="00E91D45" w:rsidRPr="00D74CA4">
        <w:rPr>
          <w:lang w:val="es-ES"/>
        </w:rPr>
        <w:t>–</w:t>
      </w:r>
      <w:r w:rsidR="00CF39B0" w:rsidRPr="00D74CA4">
        <w:rPr>
          <w:lang w:val="es-ES"/>
        </w:rPr>
        <w:t>361</w:t>
      </w:r>
      <w:r w:rsidR="005A25A3" w:rsidRPr="00D74CA4">
        <w:rPr>
          <w:lang w:val="es-ES"/>
        </w:rPr>
        <w:tab/>
      </w:r>
      <w:r w:rsidR="00014606">
        <w:rPr>
          <w:lang w:val="es-ES"/>
        </w:rPr>
        <w:t>76</w:t>
      </w:r>
    </w:p>
    <w:p w:rsidR="00CF39B0" w:rsidRPr="00D74CA4" w:rsidRDefault="00402AEA"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B.</w:t>
      </w:r>
      <w:r w:rsidR="00CF39B0" w:rsidRPr="00D74CA4">
        <w:rPr>
          <w:lang w:val="es-ES"/>
        </w:rPr>
        <w:tab/>
      </w:r>
      <w:r w:rsidR="00BB438C" w:rsidRPr="00D74CA4">
        <w:rPr>
          <w:bCs/>
          <w:lang w:val="es-ES"/>
        </w:rPr>
        <w:t>Santé et services médicaux (article 24)</w:t>
      </w:r>
      <w:r w:rsidR="00B21749" w:rsidRPr="00D74CA4">
        <w:rPr>
          <w:lang w:val="es-ES"/>
        </w:rPr>
        <w:tab/>
      </w:r>
      <w:r w:rsidR="00B21749" w:rsidRPr="00D74CA4">
        <w:rPr>
          <w:lang w:val="es-ES"/>
        </w:rPr>
        <w:tab/>
      </w:r>
      <w:r w:rsidR="00CF39B0" w:rsidRPr="00D74CA4">
        <w:rPr>
          <w:lang w:val="es-ES"/>
        </w:rPr>
        <w:t>362</w:t>
      </w:r>
      <w:r w:rsidR="00E91D45" w:rsidRPr="00D74CA4">
        <w:rPr>
          <w:lang w:val="es-ES"/>
        </w:rPr>
        <w:t>–</w:t>
      </w:r>
      <w:r w:rsidR="00CF39B0" w:rsidRPr="00D74CA4">
        <w:rPr>
          <w:lang w:val="es-ES"/>
        </w:rPr>
        <w:t>382</w:t>
      </w:r>
      <w:r w:rsidR="005A25A3" w:rsidRPr="00D74CA4">
        <w:rPr>
          <w:lang w:val="es-ES"/>
        </w:rPr>
        <w:tab/>
      </w:r>
      <w:r w:rsidR="00014606">
        <w:rPr>
          <w:lang w:val="es-ES"/>
        </w:rPr>
        <w:t>83</w:t>
      </w:r>
    </w:p>
    <w:p w:rsidR="00CF39B0" w:rsidRPr="00D74CA4" w:rsidRDefault="00402AEA" w:rsidP="00BB438C">
      <w:pPr>
        <w:tabs>
          <w:tab w:val="right" w:pos="850"/>
          <w:tab w:val="left" w:pos="1134"/>
          <w:tab w:val="left" w:pos="1559"/>
          <w:tab w:val="left" w:pos="1984"/>
          <w:tab w:val="left" w:leader="dot" w:pos="7654"/>
          <w:tab w:val="right" w:pos="8929"/>
          <w:tab w:val="right" w:pos="9638"/>
        </w:tabs>
        <w:spacing w:after="120"/>
        <w:ind w:left="1559" w:hanging="1559"/>
        <w:rPr>
          <w:lang w:val="es-ES"/>
        </w:rPr>
      </w:pPr>
      <w:r w:rsidRPr="00D74CA4">
        <w:rPr>
          <w:lang w:val="es-ES"/>
        </w:rPr>
        <w:tab/>
      </w:r>
      <w:r w:rsidRPr="00D74CA4">
        <w:rPr>
          <w:lang w:val="es-ES"/>
        </w:rPr>
        <w:tab/>
      </w:r>
      <w:r w:rsidR="00CF39B0" w:rsidRPr="00D74CA4">
        <w:rPr>
          <w:lang w:val="es-ES"/>
        </w:rPr>
        <w:t>C.</w:t>
      </w:r>
      <w:r w:rsidR="00CF39B0" w:rsidRPr="00D74CA4">
        <w:rPr>
          <w:lang w:val="es-ES"/>
        </w:rPr>
        <w:tab/>
      </w:r>
      <w:r w:rsidR="00BB438C" w:rsidRPr="00BB438C">
        <w:rPr>
          <w:bCs/>
          <w:lang w:val="fr-FR"/>
        </w:rPr>
        <w:t>Sécurité sociale, services et établissements de garde d</w:t>
      </w:r>
      <w:r w:rsidR="00277023">
        <w:rPr>
          <w:bCs/>
          <w:lang w:val="fr-FR"/>
        </w:rPr>
        <w:t>’</w:t>
      </w:r>
      <w:r w:rsidR="00BB438C" w:rsidRPr="00BB438C">
        <w:rPr>
          <w:bCs/>
          <w:lang w:val="fr-FR"/>
        </w:rPr>
        <w:t>enfants</w:t>
      </w:r>
      <w:r w:rsidR="00BB438C">
        <w:rPr>
          <w:bCs/>
          <w:lang w:val="fr-FR"/>
        </w:rPr>
        <w:t xml:space="preserve"> </w:t>
      </w:r>
      <w:r w:rsidR="00BB438C">
        <w:rPr>
          <w:bCs/>
          <w:lang w:val="fr-FR"/>
        </w:rPr>
        <w:br/>
      </w:r>
      <w:r w:rsidR="00BB438C" w:rsidRPr="00BB438C">
        <w:rPr>
          <w:bCs/>
          <w:lang w:val="fr-FR"/>
        </w:rPr>
        <w:t>(</w:t>
      </w:r>
      <w:r w:rsidR="00014606" w:rsidRPr="00DA18AE">
        <w:rPr>
          <w:lang w:val="fr-FR"/>
        </w:rPr>
        <w:t>article 26 et paragraphe 3 de l</w:t>
      </w:r>
      <w:r w:rsidR="00014606">
        <w:rPr>
          <w:lang w:val="fr-FR"/>
        </w:rPr>
        <w:t>’</w:t>
      </w:r>
      <w:r w:rsidR="00014606" w:rsidRPr="00DA18AE">
        <w:rPr>
          <w:lang w:val="fr-FR"/>
        </w:rPr>
        <w:t>article 18</w:t>
      </w:r>
      <w:r w:rsidR="00BB438C" w:rsidRPr="00BB438C">
        <w:rPr>
          <w:bCs/>
          <w:lang w:val="fr-FR"/>
        </w:rPr>
        <w:t>)</w:t>
      </w:r>
      <w:r w:rsidR="00B21749" w:rsidRPr="00D74CA4">
        <w:rPr>
          <w:lang w:val="es-ES"/>
        </w:rPr>
        <w:tab/>
      </w:r>
      <w:r w:rsidR="00B21749" w:rsidRPr="00D74CA4">
        <w:rPr>
          <w:lang w:val="es-ES"/>
        </w:rPr>
        <w:tab/>
      </w:r>
      <w:r w:rsidR="00E91D45" w:rsidRPr="00D74CA4">
        <w:rPr>
          <w:lang w:val="es-ES"/>
        </w:rPr>
        <w:t>383–</w:t>
      </w:r>
      <w:r w:rsidR="00CF39B0" w:rsidRPr="00D74CA4">
        <w:rPr>
          <w:lang w:val="es-ES"/>
        </w:rPr>
        <w:t>386</w:t>
      </w:r>
      <w:r w:rsidR="005A25A3" w:rsidRPr="00D74CA4">
        <w:rPr>
          <w:lang w:val="es-ES"/>
        </w:rPr>
        <w:tab/>
      </w:r>
      <w:r w:rsidR="00014606">
        <w:rPr>
          <w:lang w:val="es-ES"/>
        </w:rPr>
        <w:t>86</w:t>
      </w:r>
    </w:p>
    <w:p w:rsidR="00CF39B0" w:rsidRPr="00D74CA4" w:rsidRDefault="00402AEA" w:rsidP="00CF39B0">
      <w:pPr>
        <w:tabs>
          <w:tab w:val="right" w:pos="850"/>
          <w:tab w:val="left" w:pos="1134"/>
          <w:tab w:val="left" w:pos="1559"/>
          <w:tab w:val="left" w:pos="1984"/>
          <w:tab w:val="left" w:leader="dot" w:pos="7654"/>
          <w:tab w:val="right" w:pos="8929"/>
          <w:tab w:val="right" w:pos="9638"/>
        </w:tabs>
        <w:spacing w:after="120"/>
        <w:rPr>
          <w:lang w:val="es-ES"/>
        </w:rPr>
      </w:pPr>
      <w:r w:rsidRPr="00D74CA4">
        <w:rPr>
          <w:lang w:val="es-ES"/>
        </w:rPr>
        <w:tab/>
      </w:r>
      <w:r w:rsidRPr="00D74CA4">
        <w:rPr>
          <w:lang w:val="es-ES"/>
        </w:rPr>
        <w:tab/>
      </w:r>
      <w:r w:rsidR="00CF39B0" w:rsidRPr="00D74CA4">
        <w:rPr>
          <w:lang w:val="es-ES"/>
        </w:rPr>
        <w:t>D.</w:t>
      </w:r>
      <w:r w:rsidR="00CF39B0" w:rsidRPr="00D74CA4">
        <w:rPr>
          <w:lang w:val="es-ES"/>
        </w:rPr>
        <w:tab/>
      </w:r>
      <w:r w:rsidR="00BB438C" w:rsidRPr="00D74CA4">
        <w:rPr>
          <w:bCs/>
          <w:lang w:val="es-ES"/>
        </w:rPr>
        <w:t>Niveau de vie (</w:t>
      </w:r>
      <w:r w:rsidR="00014606" w:rsidRPr="00DA18AE">
        <w:rPr>
          <w:lang w:val="fr-FR"/>
        </w:rPr>
        <w:t>paragraphes 1-3 de l</w:t>
      </w:r>
      <w:r w:rsidR="00014606">
        <w:rPr>
          <w:lang w:val="fr-FR"/>
        </w:rPr>
        <w:t>’</w:t>
      </w:r>
      <w:r w:rsidR="00014606" w:rsidRPr="00DA18AE">
        <w:rPr>
          <w:lang w:val="fr-FR"/>
        </w:rPr>
        <w:t>article 27</w:t>
      </w:r>
      <w:r w:rsidR="00BB438C" w:rsidRPr="00D74CA4">
        <w:rPr>
          <w:bCs/>
          <w:lang w:val="es-ES"/>
        </w:rPr>
        <w:t>)</w:t>
      </w:r>
      <w:r w:rsidR="00B21749" w:rsidRPr="00D74CA4">
        <w:rPr>
          <w:lang w:val="es-ES"/>
        </w:rPr>
        <w:tab/>
      </w:r>
      <w:r w:rsidR="00B21749" w:rsidRPr="00D74CA4">
        <w:rPr>
          <w:lang w:val="es-ES"/>
        </w:rPr>
        <w:tab/>
      </w:r>
      <w:r w:rsidR="00CF39B0" w:rsidRPr="00D74CA4">
        <w:rPr>
          <w:lang w:val="es-ES"/>
        </w:rPr>
        <w:t>3</w:t>
      </w:r>
      <w:r w:rsidR="00E91D45" w:rsidRPr="00D74CA4">
        <w:rPr>
          <w:lang w:val="es-ES"/>
        </w:rPr>
        <w:t>87–</w:t>
      </w:r>
      <w:r w:rsidR="00CF39B0" w:rsidRPr="00D74CA4">
        <w:rPr>
          <w:lang w:val="es-ES"/>
        </w:rPr>
        <w:t>389</w:t>
      </w:r>
      <w:r w:rsidR="005A25A3" w:rsidRPr="00D74CA4">
        <w:rPr>
          <w:lang w:val="es-ES"/>
        </w:rPr>
        <w:tab/>
      </w:r>
      <w:r w:rsidR="00014606">
        <w:rPr>
          <w:lang w:val="es-ES"/>
        </w:rPr>
        <w:t>87</w:t>
      </w:r>
    </w:p>
    <w:p w:rsidR="00CF39B0" w:rsidRPr="005F24AC" w:rsidRDefault="00402AEA" w:rsidP="00BB438C">
      <w:pPr>
        <w:tabs>
          <w:tab w:val="right" w:pos="850"/>
          <w:tab w:val="left" w:pos="1134"/>
          <w:tab w:val="left" w:pos="1559"/>
          <w:tab w:val="left" w:pos="1984"/>
          <w:tab w:val="left" w:leader="dot" w:pos="7654"/>
          <w:tab w:val="right" w:pos="8929"/>
          <w:tab w:val="right" w:pos="9638"/>
        </w:tabs>
        <w:spacing w:after="120"/>
        <w:ind w:left="850" w:hanging="850"/>
      </w:pPr>
      <w:r w:rsidRPr="00D74CA4">
        <w:rPr>
          <w:lang w:val="es-ES"/>
        </w:rPr>
        <w:tab/>
      </w:r>
      <w:r w:rsidR="00CF39B0" w:rsidRPr="005F24AC">
        <w:t>VII.</w:t>
      </w:r>
      <w:r w:rsidR="00CF39B0" w:rsidRPr="005F24AC">
        <w:tab/>
      </w:r>
      <w:r w:rsidR="00BB438C" w:rsidRPr="005F24AC">
        <w:t>É</w:t>
      </w:r>
      <w:r w:rsidR="00BB438C" w:rsidRPr="00BB438C">
        <w:rPr>
          <w:bCs/>
          <w:lang w:val="fr-FR"/>
        </w:rPr>
        <w:t>ducation, activit</w:t>
      </w:r>
      <w:r w:rsidR="005F24AC">
        <w:rPr>
          <w:bCs/>
          <w:lang w:val="fr-FR"/>
        </w:rPr>
        <w:t>é</w:t>
      </w:r>
      <w:r w:rsidR="00BB438C" w:rsidRPr="00BB438C">
        <w:rPr>
          <w:bCs/>
          <w:lang w:val="fr-FR"/>
        </w:rPr>
        <w:t>s recreatives et culturelles (articles 28, 29 et 31)</w:t>
      </w:r>
      <w:r w:rsidR="00B21749" w:rsidRPr="005F24AC">
        <w:tab/>
      </w:r>
      <w:r w:rsidR="00B21749" w:rsidRPr="005F24AC">
        <w:tab/>
      </w:r>
      <w:r w:rsidR="00CF39B0" w:rsidRPr="005F24AC">
        <w:t>390</w:t>
      </w:r>
      <w:r w:rsidR="00E91D45" w:rsidRPr="005F24AC">
        <w:t>–</w:t>
      </w:r>
      <w:r w:rsidR="00CF39B0" w:rsidRPr="005F24AC">
        <w:t>435</w:t>
      </w:r>
      <w:r w:rsidR="005A25A3" w:rsidRPr="005F24AC">
        <w:tab/>
      </w:r>
      <w:r w:rsidR="00014606">
        <w:t>88</w:t>
      </w:r>
    </w:p>
    <w:p w:rsidR="00CF39B0" w:rsidRPr="008E5027" w:rsidRDefault="00402AEA" w:rsidP="00BB438C">
      <w:pPr>
        <w:tabs>
          <w:tab w:val="right" w:pos="850"/>
          <w:tab w:val="left" w:pos="1134"/>
          <w:tab w:val="left" w:pos="1559"/>
          <w:tab w:val="left" w:pos="1984"/>
          <w:tab w:val="left" w:leader="dot" w:pos="7654"/>
          <w:tab w:val="right" w:pos="8929"/>
          <w:tab w:val="right" w:pos="9638"/>
        </w:tabs>
        <w:spacing w:after="120"/>
        <w:ind w:left="1559" w:hanging="1559"/>
      </w:pPr>
      <w:r w:rsidRPr="005F24AC">
        <w:tab/>
      </w:r>
      <w:r w:rsidRPr="005F24AC">
        <w:tab/>
      </w:r>
      <w:r w:rsidR="00CF39B0" w:rsidRPr="008E5027">
        <w:t>A.</w:t>
      </w:r>
      <w:r w:rsidR="00CF39B0" w:rsidRPr="008E5027">
        <w:tab/>
      </w:r>
      <w:r w:rsidR="00BB438C">
        <w:t>É</w:t>
      </w:r>
      <w:r w:rsidR="00BB438C" w:rsidRPr="00BB438C">
        <w:rPr>
          <w:bCs/>
          <w:lang w:val="fr-FR"/>
        </w:rPr>
        <w:t>ducation (y compris la formation et l</w:t>
      </w:r>
      <w:r w:rsidR="00277023">
        <w:rPr>
          <w:bCs/>
          <w:lang w:val="fr-FR"/>
        </w:rPr>
        <w:t>’</w:t>
      </w:r>
      <w:r w:rsidR="00BB438C" w:rsidRPr="00BB438C">
        <w:rPr>
          <w:bCs/>
          <w:lang w:val="fr-FR"/>
        </w:rPr>
        <w:t xml:space="preserve">orientation professionnelles) </w:t>
      </w:r>
      <w:r w:rsidR="00BB438C" w:rsidRPr="00BB438C">
        <w:rPr>
          <w:bCs/>
          <w:lang w:val="fr-FR"/>
        </w:rPr>
        <w:br/>
        <w:t>(article 28)</w:t>
      </w:r>
      <w:r w:rsidR="00CD2191" w:rsidRPr="008E5027">
        <w:tab/>
      </w:r>
      <w:r w:rsidR="00CD2191" w:rsidRPr="008E5027">
        <w:tab/>
      </w:r>
      <w:r w:rsidR="00CF39B0" w:rsidRPr="008E5027">
        <w:t>390</w:t>
      </w:r>
      <w:r w:rsidR="00E91D45" w:rsidRPr="008E5027">
        <w:t>–</w:t>
      </w:r>
      <w:r w:rsidR="00CF39B0" w:rsidRPr="008E5027">
        <w:t>417</w:t>
      </w:r>
      <w:r w:rsidR="005A25A3" w:rsidRPr="008E5027">
        <w:tab/>
      </w:r>
      <w:r w:rsidR="00014606">
        <w:t>88</w:t>
      </w:r>
    </w:p>
    <w:p w:rsidR="00CF39B0" w:rsidRPr="008E5027" w:rsidRDefault="00402AEA" w:rsidP="00CF39B0">
      <w:pPr>
        <w:tabs>
          <w:tab w:val="right" w:pos="850"/>
          <w:tab w:val="left" w:pos="1134"/>
          <w:tab w:val="left" w:pos="1559"/>
          <w:tab w:val="left" w:pos="1984"/>
          <w:tab w:val="left" w:leader="dot" w:pos="7654"/>
          <w:tab w:val="right" w:pos="8929"/>
          <w:tab w:val="right" w:pos="9638"/>
        </w:tabs>
        <w:spacing w:after="120"/>
      </w:pPr>
      <w:r w:rsidRPr="008E5027">
        <w:tab/>
      </w:r>
      <w:r w:rsidRPr="008E5027">
        <w:tab/>
      </w:r>
      <w:r w:rsidR="00CF39B0" w:rsidRPr="008E5027">
        <w:t>B.</w:t>
      </w:r>
      <w:r w:rsidR="00CD2191" w:rsidRPr="008E5027">
        <w:tab/>
      </w:r>
      <w:r w:rsidR="00BB438C" w:rsidRPr="00E64C5D">
        <w:rPr>
          <w:bCs/>
        </w:rPr>
        <w:t>Objectifs de l</w:t>
      </w:r>
      <w:r w:rsidR="00277023">
        <w:rPr>
          <w:bCs/>
        </w:rPr>
        <w:t>’</w:t>
      </w:r>
      <w:r w:rsidR="00BB438C" w:rsidRPr="00E64C5D">
        <w:rPr>
          <w:bCs/>
        </w:rPr>
        <w:t>éducation (article 29)</w:t>
      </w:r>
      <w:r w:rsidR="00CD2191" w:rsidRPr="008E5027">
        <w:tab/>
      </w:r>
      <w:r w:rsidR="00CD2191" w:rsidRPr="008E5027">
        <w:tab/>
      </w:r>
      <w:r w:rsidR="00CF39B0" w:rsidRPr="008E5027">
        <w:t>418</w:t>
      </w:r>
      <w:r w:rsidR="00E91D45" w:rsidRPr="008E5027">
        <w:t>–</w:t>
      </w:r>
      <w:r w:rsidR="00CF39B0" w:rsidRPr="008E5027">
        <w:t>427</w:t>
      </w:r>
      <w:r w:rsidR="005A25A3" w:rsidRPr="008E5027">
        <w:tab/>
      </w:r>
      <w:r w:rsidR="00014606">
        <w:t>92</w:t>
      </w:r>
    </w:p>
    <w:p w:rsidR="00CF39B0" w:rsidRPr="008E5027" w:rsidRDefault="00402AEA" w:rsidP="00CF39B0">
      <w:pPr>
        <w:tabs>
          <w:tab w:val="right" w:pos="850"/>
          <w:tab w:val="left" w:pos="1134"/>
          <w:tab w:val="left" w:pos="1559"/>
          <w:tab w:val="left" w:pos="1984"/>
          <w:tab w:val="left" w:leader="dot" w:pos="7654"/>
          <w:tab w:val="right" w:pos="8929"/>
          <w:tab w:val="right" w:pos="9638"/>
        </w:tabs>
        <w:spacing w:after="120"/>
      </w:pPr>
      <w:r w:rsidRPr="008E5027">
        <w:tab/>
      </w:r>
      <w:r w:rsidRPr="008E5027">
        <w:tab/>
      </w:r>
      <w:r w:rsidR="00CF39B0" w:rsidRPr="008E5027">
        <w:t>C.</w:t>
      </w:r>
      <w:r w:rsidR="00CF39B0" w:rsidRPr="008E5027">
        <w:tab/>
      </w:r>
      <w:r w:rsidR="00BB438C" w:rsidRPr="00E64C5D">
        <w:rPr>
          <w:bCs/>
        </w:rPr>
        <w:t>Loisirs, activités récréatives et culturelles (article 31)</w:t>
      </w:r>
      <w:r w:rsidR="00CD2191" w:rsidRPr="008E5027">
        <w:tab/>
      </w:r>
      <w:r w:rsidR="00CD2191" w:rsidRPr="008E5027">
        <w:tab/>
      </w:r>
      <w:r w:rsidR="00CF39B0" w:rsidRPr="008E5027">
        <w:t>428</w:t>
      </w:r>
      <w:r w:rsidR="00E91D45" w:rsidRPr="008E5027">
        <w:t>–</w:t>
      </w:r>
      <w:r w:rsidR="00CF39B0" w:rsidRPr="008E5027">
        <w:t>435</w:t>
      </w:r>
      <w:r w:rsidR="005A25A3" w:rsidRPr="008E5027">
        <w:tab/>
      </w:r>
      <w:r w:rsidR="00014606">
        <w:t>93</w:t>
      </w:r>
    </w:p>
    <w:p w:rsidR="00CF39B0" w:rsidRPr="008E5027" w:rsidRDefault="00402AEA" w:rsidP="00CF39B0">
      <w:pPr>
        <w:tabs>
          <w:tab w:val="right" w:pos="850"/>
          <w:tab w:val="left" w:pos="1134"/>
          <w:tab w:val="left" w:pos="1559"/>
          <w:tab w:val="left" w:pos="1984"/>
          <w:tab w:val="left" w:leader="dot" w:pos="7654"/>
          <w:tab w:val="right" w:pos="8929"/>
          <w:tab w:val="right" w:pos="9638"/>
        </w:tabs>
        <w:spacing w:after="120"/>
      </w:pPr>
      <w:r w:rsidRPr="008E5027">
        <w:tab/>
      </w:r>
      <w:r w:rsidR="00CF39B0" w:rsidRPr="008E5027">
        <w:t>VIII.</w:t>
      </w:r>
      <w:r w:rsidR="00CF39B0" w:rsidRPr="008E5027">
        <w:tab/>
      </w:r>
      <w:r w:rsidR="005F6017" w:rsidRPr="005F6017">
        <w:rPr>
          <w:lang w:val="fr-FR"/>
        </w:rPr>
        <w:t>Mesures sp</w:t>
      </w:r>
      <w:r w:rsidR="008F55B7">
        <w:rPr>
          <w:lang w:val="fr-FR"/>
        </w:rPr>
        <w:t>é</w:t>
      </w:r>
      <w:r w:rsidR="005F6017" w:rsidRPr="005F6017">
        <w:rPr>
          <w:lang w:val="fr-FR"/>
        </w:rPr>
        <w:t>ciales de protection</w:t>
      </w:r>
      <w:r w:rsidR="005F6017">
        <w:rPr>
          <w:lang w:val="fr-FR"/>
        </w:rPr>
        <w:t xml:space="preserve"> </w:t>
      </w:r>
      <w:r w:rsidR="005F6017" w:rsidRPr="005F6017">
        <w:rPr>
          <w:lang w:val="fr-FR"/>
        </w:rPr>
        <w:t>(articles 22, 38, 39, 40, 37 b)-d), 32-36)</w:t>
      </w:r>
      <w:r w:rsidR="00CD2191" w:rsidRPr="008E5027">
        <w:tab/>
      </w:r>
      <w:r w:rsidR="00CD2191" w:rsidRPr="008E5027">
        <w:tab/>
      </w:r>
      <w:r w:rsidR="00CF39B0" w:rsidRPr="008E5027">
        <w:t>436</w:t>
      </w:r>
      <w:r w:rsidR="00E91D45" w:rsidRPr="008E5027">
        <w:t>–</w:t>
      </w:r>
      <w:r w:rsidR="00CF39B0" w:rsidRPr="008E5027">
        <w:t>582</w:t>
      </w:r>
      <w:r w:rsidR="005A25A3" w:rsidRPr="008E5027">
        <w:tab/>
      </w:r>
      <w:r w:rsidR="00014606">
        <w:t>95</w:t>
      </w:r>
    </w:p>
    <w:p w:rsidR="00CF39B0" w:rsidRPr="008E5027" w:rsidRDefault="00402AEA" w:rsidP="00CF39B0">
      <w:pPr>
        <w:tabs>
          <w:tab w:val="right" w:pos="850"/>
          <w:tab w:val="left" w:pos="1134"/>
          <w:tab w:val="left" w:pos="1559"/>
          <w:tab w:val="left" w:pos="1984"/>
          <w:tab w:val="left" w:leader="dot" w:pos="7654"/>
          <w:tab w:val="right" w:pos="8929"/>
          <w:tab w:val="right" w:pos="9638"/>
        </w:tabs>
        <w:spacing w:after="120"/>
      </w:pPr>
      <w:r w:rsidRPr="008E5027">
        <w:tab/>
      </w:r>
      <w:r w:rsidRPr="008E5027">
        <w:tab/>
      </w:r>
      <w:r w:rsidR="00CF39B0" w:rsidRPr="008E5027">
        <w:t>A.</w:t>
      </w:r>
      <w:r w:rsidR="00CF39B0" w:rsidRPr="008E5027">
        <w:tab/>
      </w:r>
      <w:r w:rsidR="005F6017" w:rsidRPr="00E64C5D">
        <w:rPr>
          <w:bCs/>
        </w:rPr>
        <w:t>Enfants en situation d</w:t>
      </w:r>
      <w:r w:rsidR="00277023">
        <w:rPr>
          <w:bCs/>
        </w:rPr>
        <w:t>’</w:t>
      </w:r>
      <w:r w:rsidR="005F6017" w:rsidRPr="00E64C5D">
        <w:rPr>
          <w:bCs/>
        </w:rPr>
        <w:t>urgence</w:t>
      </w:r>
      <w:r w:rsidR="00CD2191" w:rsidRPr="008E5027">
        <w:tab/>
      </w:r>
      <w:r w:rsidR="00CD2191" w:rsidRPr="008E5027">
        <w:tab/>
      </w:r>
      <w:r w:rsidR="00CF39B0" w:rsidRPr="008E5027">
        <w:t>436</w:t>
      </w:r>
      <w:r w:rsidR="00E91D45" w:rsidRPr="008E5027">
        <w:t>–</w:t>
      </w:r>
      <w:r w:rsidR="00CF39B0" w:rsidRPr="008E5027">
        <w:t>454</w:t>
      </w:r>
      <w:r w:rsidR="005A25A3" w:rsidRPr="008E5027">
        <w:tab/>
      </w:r>
      <w:r w:rsidR="00014606">
        <w:t>95</w:t>
      </w:r>
    </w:p>
    <w:p w:rsidR="00CF39B0" w:rsidRPr="008E5027" w:rsidRDefault="00402AEA" w:rsidP="00CF39B0">
      <w:pPr>
        <w:tabs>
          <w:tab w:val="right" w:pos="850"/>
          <w:tab w:val="left" w:pos="1134"/>
          <w:tab w:val="left" w:pos="1559"/>
          <w:tab w:val="left" w:pos="1984"/>
          <w:tab w:val="left" w:leader="dot" w:pos="7654"/>
          <w:tab w:val="right" w:pos="8929"/>
          <w:tab w:val="right" w:pos="9638"/>
        </w:tabs>
        <w:spacing w:after="120"/>
      </w:pPr>
      <w:r w:rsidRPr="008E5027">
        <w:tab/>
      </w:r>
      <w:r w:rsidRPr="008E5027">
        <w:tab/>
      </w:r>
      <w:r w:rsidR="00CF39B0" w:rsidRPr="008E5027">
        <w:t>B.</w:t>
      </w:r>
      <w:r w:rsidR="00CF39B0" w:rsidRPr="008E5027">
        <w:tab/>
      </w:r>
      <w:r w:rsidR="005F6017">
        <w:rPr>
          <w:bCs/>
        </w:rPr>
        <w:t>Les e</w:t>
      </w:r>
      <w:r w:rsidR="005F6017" w:rsidRPr="00E64C5D">
        <w:rPr>
          <w:bCs/>
        </w:rPr>
        <w:t xml:space="preserve">nfants </w:t>
      </w:r>
      <w:r w:rsidR="005F6017">
        <w:rPr>
          <w:bCs/>
        </w:rPr>
        <w:t>dans</w:t>
      </w:r>
      <w:r w:rsidR="005F6017" w:rsidRPr="00E64C5D">
        <w:rPr>
          <w:bCs/>
        </w:rPr>
        <w:t xml:space="preserve"> l</w:t>
      </w:r>
      <w:r w:rsidR="00277023">
        <w:rPr>
          <w:bCs/>
        </w:rPr>
        <w:t>’</w:t>
      </w:r>
      <w:r w:rsidR="005F6017" w:rsidRPr="00E64C5D">
        <w:rPr>
          <w:bCs/>
        </w:rPr>
        <w:t>administration de la justice pour mineurs</w:t>
      </w:r>
      <w:r w:rsidR="00CD2191" w:rsidRPr="008E5027">
        <w:tab/>
      </w:r>
      <w:r w:rsidR="00CD2191" w:rsidRPr="008E5027">
        <w:tab/>
      </w:r>
      <w:r w:rsidR="00CF39B0" w:rsidRPr="008E5027">
        <w:t>455</w:t>
      </w:r>
      <w:r w:rsidR="00E91D45" w:rsidRPr="008E5027">
        <w:t>–</w:t>
      </w:r>
      <w:r w:rsidR="00CF39B0" w:rsidRPr="008E5027">
        <w:t>514</w:t>
      </w:r>
      <w:r w:rsidR="005A25A3" w:rsidRPr="008E5027">
        <w:tab/>
      </w:r>
      <w:r w:rsidR="00014606">
        <w:t>97</w:t>
      </w:r>
    </w:p>
    <w:p w:rsidR="00CF39B0" w:rsidRPr="008E5027" w:rsidRDefault="00402AEA" w:rsidP="005F6017">
      <w:pPr>
        <w:tabs>
          <w:tab w:val="right" w:pos="850"/>
          <w:tab w:val="left" w:pos="1134"/>
          <w:tab w:val="left" w:pos="1559"/>
          <w:tab w:val="left" w:pos="1984"/>
          <w:tab w:val="left" w:leader="dot" w:pos="7654"/>
          <w:tab w:val="right" w:pos="8929"/>
          <w:tab w:val="right" w:pos="9638"/>
        </w:tabs>
        <w:spacing w:after="120"/>
        <w:ind w:left="1559" w:hanging="1559"/>
      </w:pPr>
      <w:r w:rsidRPr="008E5027">
        <w:tab/>
      </w:r>
      <w:r w:rsidRPr="008E5027">
        <w:tab/>
      </w:r>
      <w:r w:rsidR="00CF39B0" w:rsidRPr="008E5027">
        <w:t>C.</w:t>
      </w:r>
      <w:r w:rsidR="00CF39B0" w:rsidRPr="008E5027">
        <w:tab/>
      </w:r>
      <w:r w:rsidR="005F6017" w:rsidRPr="005F6017">
        <w:rPr>
          <w:bCs/>
          <w:lang w:val="fr-FR"/>
        </w:rPr>
        <w:t>Enfants en situation d</w:t>
      </w:r>
      <w:r w:rsidR="00277023">
        <w:rPr>
          <w:bCs/>
          <w:lang w:val="fr-FR"/>
        </w:rPr>
        <w:t>’</w:t>
      </w:r>
      <w:r w:rsidR="005F6017" w:rsidRPr="005F6017">
        <w:rPr>
          <w:bCs/>
          <w:lang w:val="fr-FR"/>
        </w:rPr>
        <w:t xml:space="preserve">exploitation </w:t>
      </w:r>
      <w:r w:rsidR="005F6017" w:rsidRPr="008E5027">
        <w:t>–</w:t>
      </w:r>
      <w:r w:rsidR="005F6017" w:rsidRPr="005F6017">
        <w:rPr>
          <w:bCs/>
          <w:lang w:val="fr-FR"/>
        </w:rPr>
        <w:t xml:space="preserve"> réadaptation physique </w:t>
      </w:r>
      <w:r w:rsidR="005F6017">
        <w:rPr>
          <w:bCs/>
          <w:lang w:val="fr-FR"/>
        </w:rPr>
        <w:br/>
      </w:r>
      <w:r w:rsidR="005F6017" w:rsidRPr="005F6017">
        <w:rPr>
          <w:bCs/>
          <w:lang w:val="fr-FR"/>
        </w:rPr>
        <w:t>et</w:t>
      </w:r>
      <w:r w:rsidR="005F6017">
        <w:rPr>
          <w:bCs/>
          <w:lang w:val="fr-FR"/>
        </w:rPr>
        <w:t xml:space="preserve"> </w:t>
      </w:r>
      <w:r w:rsidR="005F6017" w:rsidRPr="005F6017">
        <w:rPr>
          <w:bCs/>
          <w:lang w:val="fr-FR"/>
        </w:rPr>
        <w:t>psychologique et réinsertion sociale</w:t>
      </w:r>
      <w:r w:rsidR="00CD2191" w:rsidRPr="008E5027">
        <w:tab/>
      </w:r>
      <w:r w:rsidR="00CD2191" w:rsidRPr="008E5027">
        <w:tab/>
      </w:r>
      <w:r w:rsidR="00CF39B0" w:rsidRPr="008E5027">
        <w:t>515</w:t>
      </w:r>
      <w:r w:rsidR="00E91D45" w:rsidRPr="008E5027">
        <w:t>–</w:t>
      </w:r>
      <w:r w:rsidR="00CF39B0" w:rsidRPr="008E5027">
        <w:t>579</w:t>
      </w:r>
      <w:r w:rsidR="005A25A3" w:rsidRPr="008E5027">
        <w:tab/>
      </w:r>
      <w:r w:rsidR="00014606">
        <w:t>110</w:t>
      </w:r>
    </w:p>
    <w:p w:rsidR="00CF39B0" w:rsidRPr="008E5027" w:rsidRDefault="00402AEA" w:rsidP="00964912">
      <w:pPr>
        <w:tabs>
          <w:tab w:val="right" w:pos="850"/>
          <w:tab w:val="left" w:pos="1134"/>
          <w:tab w:val="left" w:pos="1559"/>
          <w:tab w:val="left" w:pos="1984"/>
          <w:tab w:val="left" w:leader="dot" w:pos="7654"/>
          <w:tab w:val="right" w:pos="8929"/>
          <w:tab w:val="right" w:pos="9638"/>
        </w:tabs>
        <w:spacing w:after="120"/>
        <w:ind w:left="1559" w:hanging="1559"/>
      </w:pPr>
      <w:r w:rsidRPr="008E5027">
        <w:tab/>
      </w:r>
      <w:r w:rsidRPr="008E5027">
        <w:tab/>
      </w:r>
      <w:r w:rsidR="00CF39B0" w:rsidRPr="008E5027">
        <w:t>D.</w:t>
      </w:r>
      <w:r w:rsidRPr="008E5027">
        <w:tab/>
      </w:r>
      <w:r w:rsidR="005F6017" w:rsidRPr="005F6017">
        <w:rPr>
          <w:bCs/>
          <w:lang w:val="fr-FR"/>
        </w:rPr>
        <w:t>Enfants appartenant à un groupe minoritaire ou autochtone</w:t>
      </w:r>
      <w:r w:rsidR="005F6017">
        <w:rPr>
          <w:bCs/>
          <w:lang w:val="fr-FR"/>
        </w:rPr>
        <w:t xml:space="preserve"> </w:t>
      </w:r>
      <w:r w:rsidR="005F6017" w:rsidRPr="005F6017">
        <w:rPr>
          <w:bCs/>
          <w:lang w:val="fr-FR"/>
        </w:rPr>
        <w:t>(article 30)</w:t>
      </w:r>
      <w:r w:rsidR="00FD194C" w:rsidRPr="008E5027">
        <w:tab/>
      </w:r>
      <w:r w:rsidR="00FD194C" w:rsidRPr="008E5027">
        <w:tab/>
      </w:r>
      <w:r w:rsidR="00CF39B0" w:rsidRPr="008E5027">
        <w:t>580</w:t>
      </w:r>
      <w:r w:rsidR="00E91D45" w:rsidRPr="008E5027">
        <w:t>–</w:t>
      </w:r>
      <w:r w:rsidR="00CF39B0" w:rsidRPr="008E5027">
        <w:t>582</w:t>
      </w:r>
      <w:r w:rsidR="005A25A3" w:rsidRPr="008E5027">
        <w:tab/>
      </w:r>
      <w:r w:rsidR="00014606">
        <w:t>124</w:t>
      </w:r>
    </w:p>
    <w:p w:rsidR="00EF3723" w:rsidRPr="00D74CA4" w:rsidRDefault="00CD11F4" w:rsidP="00CD11F4">
      <w:pPr>
        <w:tabs>
          <w:tab w:val="left" w:pos="300"/>
          <w:tab w:val="left" w:pos="1134"/>
          <w:tab w:val="left" w:pos="1559"/>
          <w:tab w:val="left" w:pos="1984"/>
          <w:tab w:val="left" w:leader="dot" w:pos="7654"/>
          <w:tab w:val="right" w:pos="8929"/>
          <w:tab w:val="right" w:pos="9638"/>
        </w:tabs>
        <w:spacing w:after="120"/>
        <w:rPr>
          <w:lang w:val="es-ES"/>
        </w:rPr>
      </w:pPr>
      <w:r>
        <w:rPr>
          <w:lang w:val="fr-FR"/>
        </w:rPr>
        <w:tab/>
      </w:r>
      <w:r w:rsidR="005F6017" w:rsidRPr="005F6017">
        <w:rPr>
          <w:lang w:val="fr-FR"/>
        </w:rPr>
        <w:t>Liste des tableaux</w:t>
      </w:r>
    </w:p>
    <w:p w:rsidR="008F0153"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1</w:t>
      </w:r>
      <w:r w:rsidR="00CF39B0" w:rsidRPr="00D74CA4">
        <w:rPr>
          <w:lang w:val="es-ES"/>
        </w:rPr>
        <w:tab/>
      </w:r>
      <w:r w:rsidR="005F6017" w:rsidRPr="005F6017">
        <w:rPr>
          <w:bCs/>
          <w:lang w:val="fr-FR"/>
        </w:rPr>
        <w:t>Données relatives au budget alloué à la politique de la jeunesse</w:t>
      </w:r>
      <w:r w:rsidR="00C7657C" w:rsidRPr="00D74CA4">
        <w:rPr>
          <w:lang w:val="es-ES"/>
        </w:rPr>
        <w:tab/>
      </w:r>
      <w:r w:rsidR="00005696" w:rsidRPr="00D74CA4">
        <w:rPr>
          <w:lang w:val="es-ES"/>
        </w:rPr>
        <w:tab/>
      </w:r>
      <w:r w:rsidR="004A252F">
        <w:rPr>
          <w:lang w:val="es-ES"/>
        </w:rPr>
        <w:t>22</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D74CA4">
        <w:rPr>
          <w:lang w:val="es-ES"/>
        </w:rPr>
        <w:tab/>
      </w:r>
      <w:r w:rsidRPr="00D74CA4">
        <w:rPr>
          <w:lang w:val="es-ES"/>
        </w:rPr>
        <w:tab/>
      </w:r>
      <w:r w:rsidR="005F6017">
        <w:t>Tableau</w:t>
      </w:r>
      <w:r w:rsidR="00CF39B0" w:rsidRPr="008E5027">
        <w:t xml:space="preserve"> 2</w:t>
      </w:r>
      <w:r w:rsidR="00CF39B0" w:rsidRPr="008E5027">
        <w:tab/>
      </w:r>
      <w:r w:rsidR="005F6017">
        <w:rPr>
          <w:bCs/>
        </w:rPr>
        <w:t>Allocations</w:t>
      </w:r>
      <w:r w:rsidR="005F6017" w:rsidRPr="00E64C5D">
        <w:rPr>
          <w:bCs/>
        </w:rPr>
        <w:t xml:space="preserve"> pour enfant à charge</w:t>
      </w:r>
      <w:r w:rsidR="00C7657C" w:rsidRPr="008E5027">
        <w:tab/>
      </w:r>
      <w:r w:rsidR="00005696" w:rsidRPr="008E5027">
        <w:tab/>
      </w:r>
      <w:r w:rsidR="004A252F">
        <w:t>23</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8E5027">
        <w:tab/>
      </w:r>
      <w:r w:rsidRPr="008E5027">
        <w:tab/>
      </w:r>
      <w:r w:rsidR="005F6017">
        <w:t>Tableau</w:t>
      </w:r>
      <w:r w:rsidR="00CF39B0" w:rsidRPr="008E5027">
        <w:t xml:space="preserve"> 3</w:t>
      </w:r>
      <w:r w:rsidR="00CF39B0" w:rsidRPr="008E5027">
        <w:tab/>
      </w:r>
      <w:r w:rsidR="005F6017" w:rsidRPr="00E64C5D">
        <w:rPr>
          <w:color w:val="000000"/>
        </w:rPr>
        <w:t>Allocations d</w:t>
      </w:r>
      <w:r w:rsidR="00277023">
        <w:rPr>
          <w:color w:val="000000"/>
        </w:rPr>
        <w:t>’</w:t>
      </w:r>
      <w:r w:rsidR="005F6017" w:rsidRPr="00E64C5D">
        <w:rPr>
          <w:color w:val="000000"/>
        </w:rPr>
        <w:t>éducation</w:t>
      </w:r>
      <w:r w:rsidR="00C7657C" w:rsidRPr="008E5027">
        <w:tab/>
      </w:r>
      <w:r w:rsidR="00005696" w:rsidRPr="008E5027">
        <w:tab/>
      </w:r>
      <w:r w:rsidR="004A252F">
        <w:t>24</w:t>
      </w:r>
    </w:p>
    <w:p w:rsidR="008F0153" w:rsidRPr="008E5027" w:rsidRDefault="008F0153" w:rsidP="005F6017">
      <w:pPr>
        <w:tabs>
          <w:tab w:val="right" w:pos="850"/>
          <w:tab w:val="left" w:pos="1134"/>
          <w:tab w:val="left" w:pos="1559"/>
          <w:tab w:val="left" w:pos="2156"/>
          <w:tab w:val="left" w:leader="dot" w:pos="8930"/>
          <w:tab w:val="right" w:pos="9638"/>
        </w:tabs>
        <w:spacing w:after="120"/>
        <w:ind w:left="2156" w:hanging="2156"/>
      </w:pPr>
      <w:r w:rsidRPr="008E5027">
        <w:tab/>
      </w:r>
      <w:r w:rsidRPr="008E5027">
        <w:tab/>
      </w:r>
      <w:r w:rsidR="005F6017">
        <w:t>Tableau</w:t>
      </w:r>
      <w:r w:rsidR="00CF39B0" w:rsidRPr="008E5027">
        <w:t xml:space="preserve"> 4</w:t>
      </w:r>
      <w:r w:rsidR="00CF39B0" w:rsidRPr="008E5027">
        <w:tab/>
      </w:r>
      <w:r w:rsidR="005F6017" w:rsidRPr="00E64C5D">
        <w:rPr>
          <w:color w:val="000000"/>
        </w:rPr>
        <w:t xml:space="preserve">Liste des projets soutenus par le </w:t>
      </w:r>
      <w:r w:rsidR="005F6017">
        <w:rPr>
          <w:color w:val="000000"/>
        </w:rPr>
        <w:t>fonds</w:t>
      </w:r>
      <w:r w:rsidR="005F6017" w:rsidRPr="00E64C5D">
        <w:rPr>
          <w:color w:val="000000"/>
        </w:rPr>
        <w:t xml:space="preserve"> d</w:t>
      </w:r>
      <w:r w:rsidR="00277023">
        <w:rPr>
          <w:color w:val="000000"/>
        </w:rPr>
        <w:t>’</w:t>
      </w:r>
      <w:r w:rsidR="005F6017" w:rsidRPr="00E64C5D">
        <w:rPr>
          <w:color w:val="000000"/>
        </w:rPr>
        <w:t xml:space="preserve">affectation spécial des Nations Unies </w:t>
      </w:r>
      <w:r w:rsidR="005F6017">
        <w:rPr>
          <w:color w:val="000000"/>
        </w:rPr>
        <w:br/>
      </w:r>
      <w:r w:rsidR="005F6017" w:rsidRPr="00E64C5D">
        <w:rPr>
          <w:color w:val="000000"/>
        </w:rPr>
        <w:t>pour la sécurité humaine</w:t>
      </w:r>
      <w:r w:rsidR="00C7657C" w:rsidRPr="008E5027">
        <w:tab/>
      </w:r>
      <w:r w:rsidR="00005696" w:rsidRPr="008E5027">
        <w:tab/>
      </w:r>
      <w:r w:rsidR="00594341" w:rsidRPr="008E5027">
        <w:t>2</w:t>
      </w:r>
      <w:r w:rsidR="00270871">
        <w:t>9</w:t>
      </w:r>
    </w:p>
    <w:p w:rsidR="008F0153" w:rsidRPr="008E5027" w:rsidRDefault="008F0153" w:rsidP="005F6017">
      <w:pPr>
        <w:tabs>
          <w:tab w:val="right" w:pos="850"/>
          <w:tab w:val="left" w:pos="1134"/>
          <w:tab w:val="left" w:pos="1559"/>
          <w:tab w:val="left" w:pos="2156"/>
          <w:tab w:val="left" w:leader="dot" w:pos="8930"/>
          <w:tab w:val="right" w:pos="9638"/>
        </w:tabs>
        <w:spacing w:after="120"/>
        <w:ind w:left="2156" w:hanging="2156"/>
      </w:pPr>
      <w:r w:rsidRPr="008E5027">
        <w:tab/>
      </w:r>
      <w:r w:rsidRPr="008E5027">
        <w:tab/>
      </w:r>
      <w:r w:rsidR="005F6017">
        <w:t>Tableau</w:t>
      </w:r>
      <w:r w:rsidR="00CF39B0" w:rsidRPr="008E5027">
        <w:t xml:space="preserve"> 5</w:t>
      </w:r>
      <w:r w:rsidR="00CF39B0" w:rsidRPr="008E5027">
        <w:tab/>
      </w:r>
      <w:r w:rsidR="005F6017" w:rsidRPr="005F6017">
        <w:rPr>
          <w:lang w:val="fr-FR"/>
        </w:rPr>
        <w:t xml:space="preserve">Données relatives aux réalisations du Gouvernement japonais en matière de projets </w:t>
      </w:r>
      <w:r w:rsidR="005F6017">
        <w:rPr>
          <w:lang w:val="fr-FR"/>
        </w:rPr>
        <w:br/>
      </w:r>
      <w:r w:rsidR="005F6017" w:rsidRPr="005F6017">
        <w:rPr>
          <w:lang w:val="fr-FR"/>
        </w:rPr>
        <w:t>d</w:t>
      </w:r>
      <w:r w:rsidR="00277023">
        <w:rPr>
          <w:lang w:val="fr-FR"/>
        </w:rPr>
        <w:t>’</w:t>
      </w:r>
      <w:r w:rsidR="005F6017" w:rsidRPr="005F6017">
        <w:rPr>
          <w:lang w:val="fr-FR"/>
        </w:rPr>
        <w:t>aide dans les domaines des soins de santé et de l</w:t>
      </w:r>
      <w:r w:rsidR="00277023">
        <w:rPr>
          <w:lang w:val="fr-FR"/>
        </w:rPr>
        <w:t>’</w:t>
      </w:r>
      <w:r w:rsidR="005F6017" w:rsidRPr="005F6017">
        <w:rPr>
          <w:lang w:val="fr-FR"/>
        </w:rPr>
        <w:t>éducation</w:t>
      </w:r>
      <w:r w:rsidR="00C7657C" w:rsidRPr="008E5027">
        <w:tab/>
      </w:r>
      <w:r w:rsidR="00005696" w:rsidRPr="008E5027">
        <w:tab/>
      </w:r>
      <w:r w:rsidR="00270871">
        <w:t>30</w:t>
      </w:r>
    </w:p>
    <w:p w:rsidR="008F0153" w:rsidRPr="008E5027" w:rsidRDefault="008F0153" w:rsidP="005F6017">
      <w:pPr>
        <w:tabs>
          <w:tab w:val="right" w:pos="850"/>
          <w:tab w:val="left" w:pos="1134"/>
          <w:tab w:val="left" w:pos="1559"/>
          <w:tab w:val="left" w:pos="2156"/>
          <w:tab w:val="left" w:leader="dot" w:pos="8930"/>
          <w:tab w:val="right" w:pos="9638"/>
        </w:tabs>
        <w:spacing w:after="120"/>
        <w:ind w:left="2156" w:hanging="2156"/>
      </w:pPr>
      <w:r w:rsidRPr="008E5027">
        <w:tab/>
      </w:r>
      <w:r w:rsidRPr="008E5027">
        <w:tab/>
      </w:r>
      <w:r w:rsidR="005F6017">
        <w:t>Tableau</w:t>
      </w:r>
      <w:r w:rsidR="00CF39B0" w:rsidRPr="008E5027">
        <w:t xml:space="preserve"> 6</w:t>
      </w:r>
      <w:r w:rsidR="00CF39B0" w:rsidRPr="008E5027">
        <w:tab/>
      </w:r>
      <w:r w:rsidR="005F6017" w:rsidRPr="00E64C5D">
        <w:rPr>
          <w:bCs/>
        </w:rPr>
        <w:t xml:space="preserve">Données </w:t>
      </w:r>
      <w:r w:rsidR="005F6017">
        <w:rPr>
          <w:bCs/>
        </w:rPr>
        <w:t>relatives aux</w:t>
      </w:r>
      <w:r w:rsidR="005F6017" w:rsidRPr="00E64C5D">
        <w:rPr>
          <w:bCs/>
        </w:rPr>
        <w:t xml:space="preserve"> réalisations du </w:t>
      </w:r>
      <w:r w:rsidR="005F6017">
        <w:rPr>
          <w:bCs/>
        </w:rPr>
        <w:t>Gouvernement</w:t>
      </w:r>
      <w:r w:rsidR="005F6017" w:rsidRPr="00E64C5D">
        <w:rPr>
          <w:bCs/>
        </w:rPr>
        <w:t xml:space="preserve"> japonais en matière de projets </w:t>
      </w:r>
      <w:r w:rsidR="005F6017">
        <w:rPr>
          <w:bCs/>
        </w:rPr>
        <w:br/>
      </w:r>
      <w:r w:rsidR="005F6017" w:rsidRPr="00E64C5D">
        <w:rPr>
          <w:bCs/>
        </w:rPr>
        <w:t>d</w:t>
      </w:r>
      <w:r w:rsidR="00277023">
        <w:rPr>
          <w:bCs/>
        </w:rPr>
        <w:t>’</w:t>
      </w:r>
      <w:r w:rsidR="005F6017" w:rsidRPr="00E64C5D">
        <w:rPr>
          <w:bCs/>
        </w:rPr>
        <w:t>aide dans le domaine de l</w:t>
      </w:r>
      <w:r w:rsidR="00277023">
        <w:rPr>
          <w:bCs/>
        </w:rPr>
        <w:t>’</w:t>
      </w:r>
      <w:r w:rsidR="005F6017" w:rsidRPr="00E64C5D">
        <w:rPr>
          <w:bCs/>
        </w:rPr>
        <w:t>éducation</w:t>
      </w:r>
      <w:r w:rsidR="00C7657C" w:rsidRPr="008E5027">
        <w:tab/>
      </w:r>
      <w:r w:rsidR="00005696" w:rsidRPr="008E5027">
        <w:tab/>
      </w:r>
      <w:r w:rsidR="00270871">
        <w:t>31</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8E5027">
        <w:tab/>
      </w:r>
      <w:r w:rsidRPr="008E5027">
        <w:tab/>
      </w:r>
      <w:r w:rsidR="005F6017">
        <w:t>Tableau</w:t>
      </w:r>
      <w:r w:rsidR="00CF39B0" w:rsidRPr="008E5027">
        <w:t xml:space="preserve"> 7</w:t>
      </w:r>
      <w:r w:rsidR="00CF39B0" w:rsidRPr="008E5027">
        <w:tab/>
      </w:r>
      <w:r w:rsidR="005F6017" w:rsidRPr="00E64C5D">
        <w:rPr>
          <w:bCs/>
        </w:rPr>
        <w:t xml:space="preserve">Subventions versées au </w:t>
      </w:r>
      <w:r w:rsidR="005F6017">
        <w:rPr>
          <w:bCs/>
        </w:rPr>
        <w:t>centre</w:t>
      </w:r>
      <w:r w:rsidR="005F6017" w:rsidRPr="00E64C5D">
        <w:rPr>
          <w:bCs/>
        </w:rPr>
        <w:t xml:space="preserve"> culturel Asie/Pacifique pour </w:t>
      </w:r>
      <w:r w:rsidR="00270871">
        <w:rPr>
          <w:bCs/>
        </w:rPr>
        <w:t>l’</w:t>
      </w:r>
      <w:r w:rsidR="00270871" w:rsidRPr="00E64C5D">
        <w:rPr>
          <w:bCs/>
        </w:rPr>
        <w:t>UNESCO</w:t>
      </w:r>
      <w:r w:rsidR="00C7657C" w:rsidRPr="008E5027">
        <w:tab/>
      </w:r>
      <w:r w:rsidR="00005696" w:rsidRPr="008E5027">
        <w:tab/>
      </w:r>
      <w:r w:rsidR="00270871">
        <w:t>55</w:t>
      </w:r>
    </w:p>
    <w:p w:rsidR="008F0153"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8E5027">
        <w:tab/>
      </w:r>
      <w:r w:rsidRPr="008E5027">
        <w:tab/>
      </w:r>
      <w:r w:rsidR="005F6017" w:rsidRPr="00D74CA4">
        <w:rPr>
          <w:lang w:val="es-ES"/>
        </w:rPr>
        <w:t>Tableau</w:t>
      </w:r>
      <w:r w:rsidR="00CF39B0" w:rsidRPr="00D74CA4">
        <w:rPr>
          <w:lang w:val="es-ES"/>
        </w:rPr>
        <w:t xml:space="preserve"> 8</w:t>
      </w:r>
      <w:r w:rsidR="00CF39B0" w:rsidRPr="00D74CA4">
        <w:rPr>
          <w:lang w:val="es-ES"/>
        </w:rPr>
        <w:tab/>
      </w:r>
      <w:r w:rsidR="005F6017" w:rsidRPr="00D74CA4">
        <w:rPr>
          <w:bCs/>
          <w:lang w:val="es-ES"/>
        </w:rPr>
        <w:t>Niveau d</w:t>
      </w:r>
      <w:r w:rsidR="00277023">
        <w:rPr>
          <w:bCs/>
          <w:lang w:val="es-ES"/>
        </w:rPr>
        <w:t>’</w:t>
      </w:r>
      <w:r w:rsidR="005F6017" w:rsidRPr="00D74CA4">
        <w:rPr>
          <w:bCs/>
          <w:lang w:val="es-ES"/>
        </w:rPr>
        <w:t>autoréglementation des milieux d</w:t>
      </w:r>
      <w:r w:rsidR="00277023">
        <w:rPr>
          <w:bCs/>
          <w:lang w:val="es-ES"/>
        </w:rPr>
        <w:t>’</w:t>
      </w:r>
      <w:r w:rsidR="005F6017" w:rsidRPr="00D74CA4">
        <w:rPr>
          <w:bCs/>
          <w:lang w:val="es-ES"/>
        </w:rPr>
        <w:t>affaires concernés</w:t>
      </w:r>
      <w:r w:rsidR="00C7657C" w:rsidRPr="00D74CA4">
        <w:rPr>
          <w:lang w:val="es-ES"/>
        </w:rPr>
        <w:tab/>
      </w:r>
      <w:r w:rsidR="00005696" w:rsidRPr="00D74CA4">
        <w:rPr>
          <w:lang w:val="es-ES"/>
        </w:rPr>
        <w:tab/>
      </w:r>
      <w:r w:rsidR="00270871">
        <w:rPr>
          <w:lang w:val="es-ES"/>
        </w:rPr>
        <w:t>56</w:t>
      </w:r>
    </w:p>
    <w:p w:rsidR="008F0153" w:rsidRPr="00D74CA4" w:rsidRDefault="008F0153" w:rsidP="005F6017">
      <w:pPr>
        <w:tabs>
          <w:tab w:val="right" w:pos="850"/>
          <w:tab w:val="left" w:pos="1134"/>
          <w:tab w:val="left" w:pos="1559"/>
          <w:tab w:val="left" w:pos="2156"/>
          <w:tab w:val="left" w:leader="dot" w:pos="8930"/>
          <w:tab w:val="right" w:pos="9638"/>
        </w:tabs>
        <w:spacing w:after="120"/>
        <w:ind w:left="2156" w:hanging="2156"/>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9</w:t>
      </w:r>
      <w:r w:rsidR="00CF39B0" w:rsidRPr="00D74CA4">
        <w:rPr>
          <w:lang w:val="es-ES"/>
        </w:rPr>
        <w:tab/>
      </w:r>
      <w:r w:rsidR="00270871">
        <w:rPr>
          <w:lang w:val="es-ES"/>
        </w:rPr>
        <w:t>É</w:t>
      </w:r>
      <w:r w:rsidR="005F6017" w:rsidRPr="00D74CA4">
        <w:rPr>
          <w:bCs/>
          <w:lang w:val="es-ES"/>
        </w:rPr>
        <w:t xml:space="preserve">volution du nombre de cas considérés comme dangereux en vertu </w:t>
      </w:r>
      <w:r w:rsidR="005F6017" w:rsidRPr="00D74CA4">
        <w:rPr>
          <w:bCs/>
          <w:lang w:val="es-ES"/>
        </w:rPr>
        <w:br/>
        <w:t>des ordonnances de protection de la jeunesse</w:t>
      </w:r>
      <w:r w:rsidR="00C7657C" w:rsidRPr="00D74CA4">
        <w:rPr>
          <w:lang w:val="es-ES"/>
        </w:rPr>
        <w:tab/>
      </w:r>
      <w:r w:rsidR="00005696" w:rsidRPr="00D74CA4">
        <w:rPr>
          <w:lang w:val="es-ES"/>
        </w:rPr>
        <w:tab/>
      </w:r>
      <w:r w:rsidR="00270871">
        <w:rPr>
          <w:lang w:val="es-ES"/>
        </w:rPr>
        <w:t>60</w:t>
      </w:r>
    </w:p>
    <w:p w:rsidR="008F0153"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10</w:t>
      </w:r>
      <w:r w:rsidR="00CF39B0" w:rsidRPr="00D74CA4">
        <w:rPr>
          <w:lang w:val="es-ES"/>
        </w:rPr>
        <w:tab/>
      </w:r>
      <w:r w:rsidR="005F6017" w:rsidRPr="00D74CA4">
        <w:rPr>
          <w:bCs/>
          <w:lang w:val="es-ES"/>
        </w:rPr>
        <w:t>Nombre de dossiers d</w:t>
      </w:r>
      <w:r w:rsidR="00277023">
        <w:rPr>
          <w:bCs/>
          <w:lang w:val="es-ES"/>
        </w:rPr>
        <w:t>’</w:t>
      </w:r>
      <w:r w:rsidR="005F6017" w:rsidRPr="00D74CA4">
        <w:rPr>
          <w:bCs/>
          <w:lang w:val="es-ES"/>
        </w:rPr>
        <w:t>adoption</w:t>
      </w:r>
      <w:r w:rsidR="00C7657C" w:rsidRPr="00D74CA4">
        <w:rPr>
          <w:lang w:val="es-ES"/>
        </w:rPr>
        <w:tab/>
      </w:r>
      <w:r w:rsidR="00005696" w:rsidRPr="00D74CA4">
        <w:rPr>
          <w:lang w:val="es-ES"/>
        </w:rPr>
        <w:tab/>
      </w:r>
      <w:r w:rsidR="00270871">
        <w:rPr>
          <w:lang w:val="es-ES"/>
        </w:rPr>
        <w:t>68</w:t>
      </w:r>
    </w:p>
    <w:p w:rsidR="008F0153" w:rsidRPr="00D74CA4" w:rsidRDefault="008F0153" w:rsidP="005F6017">
      <w:pPr>
        <w:tabs>
          <w:tab w:val="right" w:pos="850"/>
          <w:tab w:val="left" w:pos="1134"/>
          <w:tab w:val="left" w:pos="1559"/>
          <w:tab w:val="left" w:pos="2156"/>
          <w:tab w:val="left" w:leader="dot" w:pos="8930"/>
          <w:tab w:val="right" w:pos="9638"/>
        </w:tabs>
        <w:spacing w:after="120"/>
        <w:ind w:left="2156" w:hanging="2156"/>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11</w:t>
      </w:r>
      <w:r w:rsidR="00CF39B0" w:rsidRPr="00D74CA4">
        <w:rPr>
          <w:lang w:val="es-ES"/>
        </w:rPr>
        <w:tab/>
      </w:r>
      <w:r w:rsidR="005F6017" w:rsidRPr="00D74CA4">
        <w:rPr>
          <w:bCs/>
          <w:lang w:val="es-ES"/>
        </w:rPr>
        <w:t>Évolution du nombre de consultations pour maltraitance à l</w:t>
      </w:r>
      <w:r w:rsidR="00277023">
        <w:rPr>
          <w:bCs/>
          <w:lang w:val="es-ES"/>
        </w:rPr>
        <w:t>’</w:t>
      </w:r>
      <w:r w:rsidR="005F6017" w:rsidRPr="00D74CA4">
        <w:rPr>
          <w:bCs/>
          <w:lang w:val="es-ES"/>
        </w:rPr>
        <w:t>égard d</w:t>
      </w:r>
      <w:r w:rsidR="00277023">
        <w:rPr>
          <w:bCs/>
          <w:lang w:val="es-ES"/>
        </w:rPr>
        <w:t>’</w:t>
      </w:r>
      <w:r w:rsidR="005F6017" w:rsidRPr="00D74CA4">
        <w:rPr>
          <w:bCs/>
          <w:lang w:val="es-ES"/>
        </w:rPr>
        <w:t xml:space="preserve">enfants </w:t>
      </w:r>
      <w:r w:rsidR="005F6017" w:rsidRPr="00D74CA4">
        <w:rPr>
          <w:bCs/>
          <w:lang w:val="es-ES"/>
        </w:rPr>
        <w:br/>
        <w:t>dans les établissements de protection de l</w:t>
      </w:r>
      <w:r w:rsidR="00277023">
        <w:rPr>
          <w:bCs/>
          <w:lang w:val="es-ES"/>
        </w:rPr>
        <w:t>’</w:t>
      </w:r>
      <w:r w:rsidR="005F6017" w:rsidRPr="00D74CA4">
        <w:rPr>
          <w:bCs/>
          <w:lang w:val="es-ES"/>
        </w:rPr>
        <w:t>enfance</w:t>
      </w:r>
      <w:r w:rsidR="00C7657C" w:rsidRPr="00D74CA4">
        <w:rPr>
          <w:lang w:val="es-ES"/>
        </w:rPr>
        <w:tab/>
      </w:r>
      <w:r w:rsidR="00005696" w:rsidRPr="00D74CA4">
        <w:rPr>
          <w:lang w:val="es-ES"/>
        </w:rPr>
        <w:tab/>
      </w:r>
      <w:r w:rsidR="00270871">
        <w:rPr>
          <w:lang w:val="es-ES"/>
        </w:rPr>
        <w:t>75</w:t>
      </w:r>
    </w:p>
    <w:p w:rsidR="008F0153" w:rsidRPr="00D74CA4" w:rsidRDefault="008F0153" w:rsidP="005F6017">
      <w:pPr>
        <w:tabs>
          <w:tab w:val="right" w:pos="850"/>
          <w:tab w:val="left" w:pos="1134"/>
          <w:tab w:val="left" w:pos="1559"/>
          <w:tab w:val="left" w:pos="2156"/>
          <w:tab w:val="left" w:leader="dot" w:pos="8930"/>
          <w:tab w:val="right" w:pos="9638"/>
        </w:tabs>
        <w:spacing w:after="120"/>
        <w:ind w:left="2156" w:hanging="2156"/>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12</w:t>
      </w:r>
      <w:r w:rsidR="00CF39B0" w:rsidRPr="00D74CA4">
        <w:rPr>
          <w:lang w:val="es-ES"/>
        </w:rPr>
        <w:tab/>
      </w:r>
      <w:r w:rsidR="005F6017" w:rsidRPr="00D74CA4">
        <w:rPr>
          <w:bCs/>
          <w:lang w:val="es-ES"/>
        </w:rPr>
        <w:t>Évolution du nombre de consultations pour maltraitance à l</w:t>
      </w:r>
      <w:r w:rsidR="00277023">
        <w:rPr>
          <w:bCs/>
          <w:lang w:val="es-ES"/>
        </w:rPr>
        <w:t>’</w:t>
      </w:r>
      <w:r w:rsidR="005F6017" w:rsidRPr="00D74CA4">
        <w:rPr>
          <w:bCs/>
          <w:lang w:val="es-ES"/>
        </w:rPr>
        <w:t>égard d</w:t>
      </w:r>
      <w:r w:rsidR="00277023">
        <w:rPr>
          <w:bCs/>
          <w:lang w:val="es-ES"/>
        </w:rPr>
        <w:t>’</w:t>
      </w:r>
      <w:r w:rsidR="005F6017" w:rsidRPr="00D74CA4">
        <w:rPr>
          <w:bCs/>
          <w:lang w:val="es-ES"/>
        </w:rPr>
        <w:t xml:space="preserve">enfants </w:t>
      </w:r>
      <w:r w:rsidR="00457B70" w:rsidRPr="00D74CA4">
        <w:rPr>
          <w:bCs/>
          <w:lang w:val="es-ES"/>
        </w:rPr>
        <w:br/>
      </w:r>
      <w:r w:rsidR="005F6017" w:rsidRPr="00D74CA4">
        <w:rPr>
          <w:bCs/>
          <w:lang w:val="es-ES"/>
        </w:rPr>
        <w:t>dans les postes de police</w:t>
      </w:r>
      <w:r w:rsidR="00C7657C" w:rsidRPr="00D74CA4">
        <w:rPr>
          <w:lang w:val="es-ES"/>
        </w:rPr>
        <w:tab/>
      </w:r>
      <w:r w:rsidR="00005696" w:rsidRPr="00D74CA4">
        <w:rPr>
          <w:lang w:val="es-ES"/>
        </w:rPr>
        <w:tab/>
      </w:r>
      <w:r w:rsidR="00270871">
        <w:rPr>
          <w:lang w:val="es-ES"/>
        </w:rPr>
        <w:t>75</w:t>
      </w:r>
    </w:p>
    <w:p w:rsidR="008F0153" w:rsidRPr="008E5027" w:rsidRDefault="008F0153" w:rsidP="004C2844">
      <w:pPr>
        <w:tabs>
          <w:tab w:val="right" w:pos="850"/>
          <w:tab w:val="left" w:pos="1134"/>
          <w:tab w:val="left" w:pos="1559"/>
          <w:tab w:val="left" w:pos="2156"/>
          <w:tab w:val="left" w:leader="dot" w:pos="8930"/>
          <w:tab w:val="right" w:pos="9638"/>
        </w:tabs>
        <w:spacing w:after="120"/>
        <w:ind w:left="2156" w:hanging="2156"/>
      </w:pPr>
      <w:r w:rsidRPr="00D74CA4">
        <w:rPr>
          <w:lang w:val="es-ES"/>
        </w:rPr>
        <w:tab/>
      </w:r>
      <w:r w:rsidRPr="00D74CA4">
        <w:rPr>
          <w:lang w:val="es-ES"/>
        </w:rPr>
        <w:tab/>
      </w:r>
      <w:r w:rsidR="005F6017">
        <w:t>Tableau</w:t>
      </w:r>
      <w:r w:rsidR="00CF39B0" w:rsidRPr="008E5027">
        <w:t xml:space="preserve"> 13</w:t>
      </w:r>
      <w:r w:rsidR="00CF39B0" w:rsidRPr="008E5027">
        <w:tab/>
      </w:r>
      <w:r w:rsidR="004C2844" w:rsidRPr="004C2844">
        <w:rPr>
          <w:bCs/>
          <w:lang w:val="fr-FR"/>
        </w:rPr>
        <w:t>Évolution du nombre d</w:t>
      </w:r>
      <w:r w:rsidR="00277023">
        <w:rPr>
          <w:bCs/>
          <w:lang w:val="fr-FR"/>
        </w:rPr>
        <w:t>’</w:t>
      </w:r>
      <w:r w:rsidR="004C2844" w:rsidRPr="004C2844">
        <w:rPr>
          <w:bCs/>
          <w:lang w:val="fr-FR"/>
        </w:rPr>
        <w:t>arrestations pour maltraitance à l</w:t>
      </w:r>
      <w:r w:rsidR="00277023">
        <w:rPr>
          <w:bCs/>
          <w:lang w:val="fr-FR"/>
        </w:rPr>
        <w:t>’</w:t>
      </w:r>
      <w:r w:rsidR="004C2844" w:rsidRPr="004C2844">
        <w:rPr>
          <w:bCs/>
          <w:lang w:val="fr-FR"/>
        </w:rPr>
        <w:t>égard d</w:t>
      </w:r>
      <w:r w:rsidR="00277023">
        <w:rPr>
          <w:bCs/>
          <w:lang w:val="fr-FR"/>
        </w:rPr>
        <w:t>’</w:t>
      </w:r>
      <w:r w:rsidR="004C2844" w:rsidRPr="004C2844">
        <w:rPr>
          <w:bCs/>
          <w:lang w:val="fr-FR"/>
        </w:rPr>
        <w:t xml:space="preserve">enfants, </w:t>
      </w:r>
      <w:r w:rsidR="004C2844">
        <w:rPr>
          <w:bCs/>
          <w:lang w:val="fr-FR"/>
        </w:rPr>
        <w:br/>
      </w:r>
      <w:r w:rsidR="004C2844" w:rsidRPr="004C2844">
        <w:rPr>
          <w:bCs/>
          <w:lang w:val="fr-FR"/>
        </w:rPr>
        <w:t>classées par type d</w:t>
      </w:r>
      <w:r w:rsidR="00277023">
        <w:rPr>
          <w:bCs/>
          <w:lang w:val="fr-FR"/>
        </w:rPr>
        <w:t>’</w:t>
      </w:r>
      <w:r w:rsidR="004C2844" w:rsidRPr="004C2844">
        <w:rPr>
          <w:bCs/>
          <w:lang w:val="fr-FR"/>
        </w:rPr>
        <w:t>infraction</w:t>
      </w:r>
      <w:r w:rsidR="00C7657C" w:rsidRPr="008E5027">
        <w:tab/>
      </w:r>
      <w:r w:rsidR="00C7657C" w:rsidRPr="008E5027">
        <w:tab/>
      </w:r>
      <w:r w:rsidR="00270871">
        <w:t>75</w:t>
      </w:r>
    </w:p>
    <w:p w:rsidR="008F0153"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8E5027">
        <w:tab/>
      </w:r>
      <w:r w:rsidRPr="008E5027">
        <w:tab/>
      </w:r>
      <w:r w:rsidR="005F6017" w:rsidRPr="00D74CA4">
        <w:rPr>
          <w:lang w:val="es-ES"/>
        </w:rPr>
        <w:t>Tableau</w:t>
      </w:r>
      <w:r w:rsidR="00CF39B0" w:rsidRPr="00D74CA4">
        <w:rPr>
          <w:lang w:val="es-ES"/>
        </w:rPr>
        <w:t xml:space="preserve"> 14</w:t>
      </w:r>
      <w:r w:rsidR="00CF39B0" w:rsidRPr="00D74CA4">
        <w:rPr>
          <w:lang w:val="es-ES"/>
        </w:rPr>
        <w:tab/>
      </w:r>
      <w:r w:rsidR="004C2844" w:rsidRPr="00D74CA4">
        <w:rPr>
          <w:bCs/>
          <w:lang w:val="es-ES"/>
        </w:rPr>
        <w:t>Nombres d</w:t>
      </w:r>
      <w:r w:rsidR="00277023">
        <w:rPr>
          <w:bCs/>
          <w:lang w:val="es-ES"/>
        </w:rPr>
        <w:t>’</w:t>
      </w:r>
      <w:r w:rsidR="004C2844" w:rsidRPr="00D74CA4">
        <w:rPr>
          <w:bCs/>
          <w:lang w:val="es-ES"/>
        </w:rPr>
        <w:t>enfants handicapés</w:t>
      </w:r>
      <w:r w:rsidR="00C7657C" w:rsidRPr="00D74CA4">
        <w:rPr>
          <w:lang w:val="es-ES"/>
        </w:rPr>
        <w:tab/>
      </w:r>
      <w:r w:rsidR="00005696" w:rsidRPr="00D74CA4">
        <w:rPr>
          <w:lang w:val="es-ES"/>
        </w:rPr>
        <w:tab/>
      </w:r>
      <w:r w:rsidR="00270871">
        <w:rPr>
          <w:lang w:val="es-ES"/>
        </w:rPr>
        <w:t>76</w:t>
      </w:r>
    </w:p>
    <w:p w:rsidR="008F0153"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15</w:t>
      </w:r>
      <w:r w:rsidR="00CF39B0" w:rsidRPr="00D74CA4">
        <w:rPr>
          <w:lang w:val="es-ES"/>
        </w:rPr>
        <w:tab/>
      </w:r>
      <w:r w:rsidR="004C2844" w:rsidRPr="00D74CA4">
        <w:rPr>
          <w:bCs/>
          <w:lang w:val="es-ES"/>
        </w:rPr>
        <w:t>Évolution du nombre d</w:t>
      </w:r>
      <w:r w:rsidR="00277023">
        <w:rPr>
          <w:bCs/>
          <w:lang w:val="es-ES"/>
        </w:rPr>
        <w:t>’</w:t>
      </w:r>
      <w:r w:rsidR="004C2844" w:rsidRPr="00D74CA4">
        <w:rPr>
          <w:bCs/>
          <w:lang w:val="es-ES"/>
        </w:rPr>
        <w:t>aides médicales à domicile</w:t>
      </w:r>
      <w:r w:rsidR="00C7657C" w:rsidRPr="00D74CA4">
        <w:rPr>
          <w:lang w:val="es-ES"/>
        </w:rPr>
        <w:tab/>
      </w:r>
      <w:r w:rsidR="00005696" w:rsidRPr="00D74CA4">
        <w:rPr>
          <w:lang w:val="es-ES"/>
        </w:rPr>
        <w:tab/>
      </w:r>
      <w:r w:rsidR="00270871">
        <w:rPr>
          <w:lang w:val="es-ES"/>
        </w:rPr>
        <w:t>78</w:t>
      </w:r>
    </w:p>
    <w:p w:rsidR="008F0153"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16</w:t>
      </w:r>
      <w:r w:rsidR="00CF39B0" w:rsidRPr="00D74CA4">
        <w:rPr>
          <w:lang w:val="es-ES"/>
        </w:rPr>
        <w:tab/>
      </w:r>
      <w:r w:rsidR="004C2844" w:rsidRPr="00D74CA4">
        <w:rPr>
          <w:lang w:val="es-ES"/>
        </w:rPr>
        <w:t>Évolution du nombre de garderies</w:t>
      </w:r>
      <w:r w:rsidR="00C7657C" w:rsidRPr="00D74CA4">
        <w:rPr>
          <w:lang w:val="es-ES"/>
        </w:rPr>
        <w:tab/>
      </w:r>
      <w:r w:rsidR="00005696" w:rsidRPr="00D74CA4">
        <w:rPr>
          <w:lang w:val="es-ES"/>
        </w:rPr>
        <w:tab/>
      </w:r>
      <w:r w:rsidR="00270871">
        <w:rPr>
          <w:lang w:val="es-ES"/>
        </w:rPr>
        <w:t>78</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D74CA4">
        <w:rPr>
          <w:lang w:val="es-ES"/>
        </w:rPr>
        <w:tab/>
      </w:r>
      <w:r w:rsidRPr="00D74CA4">
        <w:rPr>
          <w:lang w:val="es-ES"/>
        </w:rPr>
        <w:tab/>
      </w:r>
      <w:r w:rsidR="005F6017">
        <w:t>Tableau</w:t>
      </w:r>
      <w:r w:rsidR="00CF39B0" w:rsidRPr="008E5027">
        <w:t xml:space="preserve"> 17</w:t>
      </w:r>
      <w:r w:rsidR="00CF39B0" w:rsidRPr="008E5027">
        <w:tab/>
      </w:r>
      <w:r w:rsidR="004C2844" w:rsidRPr="00E64C5D">
        <w:rPr>
          <w:bCs/>
        </w:rPr>
        <w:t xml:space="preserve">Situation actuelle des </w:t>
      </w:r>
      <w:r w:rsidR="004C2844">
        <w:rPr>
          <w:bCs/>
        </w:rPr>
        <w:t>établissements pour enfants handicapés</w:t>
      </w:r>
      <w:r w:rsidR="00C7657C" w:rsidRPr="008E5027">
        <w:tab/>
      </w:r>
      <w:r w:rsidR="00005696" w:rsidRPr="008E5027">
        <w:tab/>
      </w:r>
      <w:r w:rsidR="00270871">
        <w:t>79</w:t>
      </w:r>
    </w:p>
    <w:p w:rsidR="008F0153" w:rsidRPr="00D74CA4" w:rsidRDefault="008F0153" w:rsidP="004C2844">
      <w:pPr>
        <w:tabs>
          <w:tab w:val="right" w:pos="850"/>
          <w:tab w:val="left" w:pos="1134"/>
          <w:tab w:val="left" w:pos="1559"/>
          <w:tab w:val="left" w:pos="2156"/>
          <w:tab w:val="left" w:leader="dot" w:pos="8930"/>
          <w:tab w:val="right" w:pos="9638"/>
        </w:tabs>
        <w:spacing w:after="120"/>
        <w:ind w:left="2156" w:hanging="2156"/>
        <w:rPr>
          <w:lang w:val="es-ES"/>
        </w:rPr>
      </w:pPr>
      <w:r w:rsidRPr="008E5027">
        <w:tab/>
      </w:r>
      <w:r w:rsidRPr="008E5027">
        <w:tab/>
      </w:r>
      <w:r w:rsidR="005F6017" w:rsidRPr="00D74CA4">
        <w:rPr>
          <w:lang w:val="es-ES"/>
        </w:rPr>
        <w:t>Tableau</w:t>
      </w:r>
      <w:r w:rsidR="00CF39B0" w:rsidRPr="00D74CA4">
        <w:rPr>
          <w:lang w:val="es-ES"/>
        </w:rPr>
        <w:t xml:space="preserve"> 18</w:t>
      </w:r>
      <w:r w:rsidR="00CF39B0" w:rsidRPr="00D74CA4">
        <w:rPr>
          <w:lang w:val="es-ES"/>
        </w:rPr>
        <w:tab/>
      </w:r>
      <w:r w:rsidR="004C2844" w:rsidRPr="00D74CA4">
        <w:rPr>
          <w:bCs/>
          <w:lang w:val="es-ES"/>
        </w:rPr>
        <w:t xml:space="preserve">Écoles pour enfants aveugles, sourds, handicapés mentaux, handicapés physiques </w:t>
      </w:r>
      <w:r w:rsidR="004C2844" w:rsidRPr="00D74CA4">
        <w:rPr>
          <w:bCs/>
          <w:lang w:val="es-ES"/>
        </w:rPr>
        <w:br/>
        <w:t>et de santé déficiente</w:t>
      </w:r>
      <w:r w:rsidR="00C7657C" w:rsidRPr="00D74CA4">
        <w:rPr>
          <w:lang w:val="es-ES"/>
        </w:rPr>
        <w:tab/>
      </w:r>
      <w:r w:rsidR="00005696" w:rsidRPr="00D74CA4">
        <w:rPr>
          <w:lang w:val="es-ES"/>
        </w:rPr>
        <w:tab/>
      </w:r>
      <w:r w:rsidR="00270871">
        <w:rPr>
          <w:lang w:val="es-ES"/>
        </w:rPr>
        <w:t>81</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D74CA4">
        <w:rPr>
          <w:lang w:val="es-ES"/>
        </w:rPr>
        <w:tab/>
      </w:r>
      <w:r w:rsidRPr="00D74CA4">
        <w:rPr>
          <w:lang w:val="es-ES"/>
        </w:rPr>
        <w:tab/>
      </w:r>
      <w:r w:rsidR="005F6017">
        <w:t>Tableau</w:t>
      </w:r>
      <w:r w:rsidR="00CF39B0" w:rsidRPr="008E5027">
        <w:t xml:space="preserve"> 19</w:t>
      </w:r>
      <w:r w:rsidR="00CF39B0" w:rsidRPr="008E5027">
        <w:tab/>
      </w:r>
      <w:r w:rsidR="008F55B7">
        <w:t>É</w:t>
      </w:r>
      <w:r w:rsidR="004C2844" w:rsidRPr="00E64C5D">
        <w:rPr>
          <w:bCs/>
        </w:rPr>
        <w:t>tablissements scolaires élémentaires et secondaires de premier cycle</w:t>
      </w:r>
      <w:r w:rsidR="00C7657C" w:rsidRPr="008E5027">
        <w:tab/>
      </w:r>
      <w:r w:rsidR="00005696" w:rsidRPr="008E5027">
        <w:tab/>
      </w:r>
      <w:r w:rsidR="00270871">
        <w:t>82</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8E5027">
        <w:tab/>
      </w:r>
      <w:r w:rsidRPr="008E5027">
        <w:tab/>
      </w:r>
      <w:r w:rsidR="005F6017">
        <w:t>Tableau</w:t>
      </w:r>
      <w:r w:rsidR="00CF39B0" w:rsidRPr="008E5027">
        <w:t xml:space="preserve"> 20</w:t>
      </w:r>
      <w:r w:rsidR="00CF39B0" w:rsidRPr="008E5027">
        <w:tab/>
      </w:r>
      <w:r w:rsidR="004C2844" w:rsidRPr="00E64C5D">
        <w:rPr>
          <w:bCs/>
        </w:rPr>
        <w:t>Scolarisation de l</w:t>
      </w:r>
      <w:r w:rsidR="00277023">
        <w:rPr>
          <w:bCs/>
        </w:rPr>
        <w:t>’</w:t>
      </w:r>
      <w:r w:rsidR="004C2844" w:rsidRPr="00E64C5D">
        <w:rPr>
          <w:bCs/>
        </w:rPr>
        <w:t>ensemble des enfants</w:t>
      </w:r>
      <w:r w:rsidR="00C7657C" w:rsidRPr="008E5027">
        <w:tab/>
      </w:r>
      <w:r w:rsidR="00005696" w:rsidRPr="008E5027">
        <w:tab/>
      </w:r>
      <w:r w:rsidR="00270871">
        <w:t>82</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8E5027">
        <w:tab/>
      </w:r>
      <w:r w:rsidRPr="008E5027">
        <w:tab/>
      </w:r>
      <w:r w:rsidR="005F6017">
        <w:t>Tableau</w:t>
      </w:r>
      <w:r w:rsidR="00CF39B0" w:rsidRPr="008E5027">
        <w:t xml:space="preserve"> 21</w:t>
      </w:r>
      <w:r w:rsidR="00CF39B0" w:rsidRPr="008E5027">
        <w:tab/>
      </w:r>
      <w:r w:rsidR="004C2844" w:rsidRPr="00E64C5D">
        <w:rPr>
          <w:bCs/>
        </w:rPr>
        <w:t xml:space="preserve">Nouveau-nés </w:t>
      </w:r>
      <w:r w:rsidR="004C2844">
        <w:rPr>
          <w:bCs/>
        </w:rPr>
        <w:t>souffrant</w:t>
      </w:r>
      <w:r w:rsidR="004C2844" w:rsidRPr="00E64C5D">
        <w:rPr>
          <w:bCs/>
        </w:rPr>
        <w:t xml:space="preserve"> d</w:t>
      </w:r>
      <w:r w:rsidR="00277023">
        <w:rPr>
          <w:bCs/>
        </w:rPr>
        <w:t>’</w:t>
      </w:r>
      <w:r w:rsidR="004C2844" w:rsidRPr="00E64C5D">
        <w:rPr>
          <w:bCs/>
        </w:rPr>
        <w:t>une insuffisance pondérale à la naissance</w:t>
      </w:r>
      <w:r w:rsidR="00C7657C" w:rsidRPr="008E5027">
        <w:tab/>
      </w:r>
      <w:r w:rsidR="00005696" w:rsidRPr="008E5027">
        <w:tab/>
      </w:r>
      <w:r w:rsidR="00354E34">
        <w:t>85</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8E5027">
        <w:tab/>
      </w:r>
      <w:r w:rsidRPr="008E5027">
        <w:tab/>
      </w:r>
      <w:r w:rsidR="005F6017">
        <w:t>Tableau</w:t>
      </w:r>
      <w:r w:rsidR="00CF39B0" w:rsidRPr="008E5027">
        <w:t xml:space="preserve"> 22</w:t>
      </w:r>
      <w:r w:rsidR="00CF39B0" w:rsidRPr="008E5027">
        <w:tab/>
      </w:r>
      <w:r w:rsidR="004C2844">
        <w:rPr>
          <w:bCs/>
        </w:rPr>
        <w:t>Chiffres relatifs aux crèches</w:t>
      </w:r>
      <w:r w:rsidR="00C7657C" w:rsidRPr="008E5027">
        <w:tab/>
      </w:r>
      <w:r w:rsidR="00005696" w:rsidRPr="008E5027">
        <w:tab/>
      </w:r>
      <w:r w:rsidR="000233D7" w:rsidRPr="008E5027">
        <w:t>8</w:t>
      </w:r>
      <w:r w:rsidR="00354E34">
        <w:t>7</w:t>
      </w:r>
    </w:p>
    <w:p w:rsidR="008F0153" w:rsidRPr="008E5027" w:rsidRDefault="008F0153" w:rsidP="004C2844">
      <w:pPr>
        <w:tabs>
          <w:tab w:val="right" w:pos="850"/>
          <w:tab w:val="left" w:pos="1134"/>
          <w:tab w:val="left" w:pos="1559"/>
          <w:tab w:val="left" w:pos="2156"/>
          <w:tab w:val="left" w:leader="dot" w:pos="8930"/>
          <w:tab w:val="right" w:pos="9638"/>
        </w:tabs>
        <w:spacing w:after="120"/>
        <w:ind w:left="2156" w:hanging="2156"/>
      </w:pPr>
      <w:r w:rsidRPr="008E5027">
        <w:tab/>
      </w:r>
      <w:r w:rsidRPr="008E5027">
        <w:tab/>
      </w:r>
      <w:r w:rsidR="005F6017">
        <w:t>Tableau</w:t>
      </w:r>
      <w:r w:rsidR="00CF39B0" w:rsidRPr="008E5027">
        <w:t xml:space="preserve"> 23</w:t>
      </w:r>
      <w:r w:rsidR="00CF39B0" w:rsidRPr="008E5027">
        <w:tab/>
      </w:r>
      <w:r w:rsidR="004C2844" w:rsidRPr="00E64C5D">
        <w:rPr>
          <w:bCs/>
        </w:rPr>
        <w:t xml:space="preserve">Interprètes/traducteurs engagés </w:t>
      </w:r>
      <w:r w:rsidR="00D35307">
        <w:rPr>
          <w:bCs/>
        </w:rPr>
        <w:t>à l’occasion d’</w:t>
      </w:r>
      <w:r w:rsidR="004C2844" w:rsidRPr="00E64C5D">
        <w:rPr>
          <w:bCs/>
        </w:rPr>
        <w:t>incidents d</w:t>
      </w:r>
      <w:r w:rsidR="00277023">
        <w:rPr>
          <w:bCs/>
        </w:rPr>
        <w:t>’</w:t>
      </w:r>
      <w:r w:rsidR="004C2844" w:rsidRPr="00E64C5D">
        <w:rPr>
          <w:bCs/>
        </w:rPr>
        <w:t xml:space="preserve">ordre général commis </w:t>
      </w:r>
      <w:r w:rsidR="004C2844">
        <w:rPr>
          <w:bCs/>
        </w:rPr>
        <w:br/>
      </w:r>
      <w:r w:rsidR="004C2844" w:rsidRPr="00E64C5D">
        <w:rPr>
          <w:bCs/>
        </w:rPr>
        <w:t>par des jeunes de nationalité étrangère</w:t>
      </w:r>
      <w:r w:rsidR="00C7657C" w:rsidRPr="008E5027">
        <w:tab/>
      </w:r>
      <w:r w:rsidR="00005696" w:rsidRPr="008E5027">
        <w:tab/>
      </w:r>
      <w:r w:rsidR="00D35307">
        <w:t>103</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8E5027">
        <w:tab/>
      </w:r>
      <w:r w:rsidRPr="008E5027">
        <w:tab/>
      </w:r>
      <w:r w:rsidR="005F6017">
        <w:t>Tableau</w:t>
      </w:r>
      <w:r w:rsidR="00CF39B0" w:rsidRPr="008E5027">
        <w:t xml:space="preserve"> 24</w:t>
      </w:r>
      <w:r w:rsidR="00CF39B0" w:rsidRPr="008E5027">
        <w:tab/>
      </w:r>
      <w:r w:rsidR="004C2844" w:rsidRPr="00E64C5D">
        <w:rPr>
          <w:bCs/>
        </w:rPr>
        <w:t xml:space="preserve">Mesures de </w:t>
      </w:r>
      <w:r w:rsidR="004C2844">
        <w:rPr>
          <w:bCs/>
        </w:rPr>
        <w:t xml:space="preserve">placement en </w:t>
      </w:r>
      <w:r w:rsidR="004C2844" w:rsidRPr="00E64C5D">
        <w:rPr>
          <w:bCs/>
        </w:rPr>
        <w:t xml:space="preserve">détention </w:t>
      </w:r>
      <w:r w:rsidR="00D35307">
        <w:rPr>
          <w:bCs/>
        </w:rPr>
        <w:t xml:space="preserve">ou </w:t>
      </w:r>
      <w:r w:rsidR="004C2844">
        <w:rPr>
          <w:bCs/>
        </w:rPr>
        <w:t>en foyer d</w:t>
      </w:r>
      <w:r w:rsidR="00277023">
        <w:rPr>
          <w:bCs/>
        </w:rPr>
        <w:t>’</w:t>
      </w:r>
      <w:r w:rsidR="004C2844">
        <w:rPr>
          <w:bCs/>
        </w:rPr>
        <w:t>accueil</w:t>
      </w:r>
      <w:r w:rsidR="00C7657C" w:rsidRPr="008E5027">
        <w:tab/>
      </w:r>
      <w:r w:rsidR="00005696" w:rsidRPr="008E5027">
        <w:tab/>
      </w:r>
      <w:r w:rsidR="00D35307">
        <w:t>104</w:t>
      </w:r>
    </w:p>
    <w:p w:rsidR="008F0153"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8E5027">
        <w:tab/>
      </w:r>
      <w:r w:rsidRPr="008E5027">
        <w:tab/>
      </w:r>
      <w:r w:rsidR="005F6017" w:rsidRPr="00D74CA4">
        <w:rPr>
          <w:lang w:val="es-ES"/>
        </w:rPr>
        <w:t>Tableau</w:t>
      </w:r>
      <w:r w:rsidR="00CF39B0" w:rsidRPr="00D74CA4">
        <w:rPr>
          <w:lang w:val="es-ES"/>
        </w:rPr>
        <w:t xml:space="preserve"> 25</w:t>
      </w:r>
      <w:r w:rsidR="00CF39B0" w:rsidRPr="00D74CA4">
        <w:rPr>
          <w:lang w:val="es-ES"/>
        </w:rPr>
        <w:tab/>
      </w:r>
      <w:r w:rsidR="004C2844" w:rsidRPr="00D74CA4">
        <w:rPr>
          <w:lang w:val="es-ES"/>
        </w:rPr>
        <w:t xml:space="preserve">Nombre de </w:t>
      </w:r>
      <w:r w:rsidR="00D35307" w:rsidRPr="00D35307">
        <w:rPr>
          <w:lang w:val="fr-FR"/>
        </w:rPr>
        <w:t>mineurs</w:t>
      </w:r>
      <w:r w:rsidR="00D35307" w:rsidRPr="00FD082E">
        <w:rPr>
          <w:b/>
          <w:lang w:val="fr-FR"/>
        </w:rPr>
        <w:t xml:space="preserve"> </w:t>
      </w:r>
      <w:r w:rsidR="004C2844" w:rsidRPr="00D74CA4">
        <w:rPr>
          <w:lang w:val="es-ES"/>
        </w:rPr>
        <w:t>impliqués dans des affaires, selon le type de décision</w:t>
      </w:r>
      <w:r w:rsidR="00C7657C" w:rsidRPr="00D74CA4">
        <w:rPr>
          <w:lang w:val="es-ES"/>
        </w:rPr>
        <w:tab/>
      </w:r>
      <w:r w:rsidR="00005696" w:rsidRPr="00D74CA4">
        <w:rPr>
          <w:lang w:val="es-ES"/>
        </w:rPr>
        <w:tab/>
      </w:r>
      <w:r w:rsidR="00D35307">
        <w:rPr>
          <w:lang w:val="es-ES"/>
        </w:rPr>
        <w:t>105</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D74CA4">
        <w:rPr>
          <w:lang w:val="es-ES"/>
        </w:rPr>
        <w:tab/>
      </w:r>
      <w:r w:rsidRPr="00D74CA4">
        <w:rPr>
          <w:lang w:val="es-ES"/>
        </w:rPr>
        <w:tab/>
      </w:r>
      <w:r w:rsidR="005F6017">
        <w:t>Tableau</w:t>
      </w:r>
      <w:r w:rsidR="00CF39B0" w:rsidRPr="008E5027">
        <w:t xml:space="preserve"> 26</w:t>
      </w:r>
      <w:r w:rsidR="00CF39B0" w:rsidRPr="008E5027">
        <w:tab/>
      </w:r>
      <w:r w:rsidR="004C2844" w:rsidRPr="00E64C5D">
        <w:rPr>
          <w:bCs/>
        </w:rPr>
        <w:t xml:space="preserve">Population journalière moyenne dans les </w:t>
      </w:r>
      <w:r w:rsidR="004C2844">
        <w:rPr>
          <w:bCs/>
        </w:rPr>
        <w:t>foyers</w:t>
      </w:r>
      <w:r w:rsidR="004C2844" w:rsidRPr="00E64C5D">
        <w:rPr>
          <w:bCs/>
        </w:rPr>
        <w:t xml:space="preserve"> de classification pour mineurs</w:t>
      </w:r>
      <w:r w:rsidR="00C7657C" w:rsidRPr="008E5027">
        <w:tab/>
      </w:r>
      <w:r w:rsidR="00005696" w:rsidRPr="008E5027">
        <w:tab/>
      </w:r>
      <w:r w:rsidR="00D35307">
        <w:t>106</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8E5027">
        <w:tab/>
      </w:r>
      <w:r w:rsidRPr="008E5027">
        <w:tab/>
      </w:r>
      <w:r w:rsidR="005F6017">
        <w:t>Tableau</w:t>
      </w:r>
      <w:r w:rsidR="00CF39B0" w:rsidRPr="008E5027">
        <w:t xml:space="preserve"> 27</w:t>
      </w:r>
      <w:r w:rsidR="00CF39B0" w:rsidRPr="008E5027">
        <w:tab/>
      </w:r>
      <w:r w:rsidR="004C2844" w:rsidRPr="00E64C5D">
        <w:rPr>
          <w:bCs/>
        </w:rPr>
        <w:t>Population journalière moyenne dans les centres de formation pour mineurs</w:t>
      </w:r>
      <w:r w:rsidR="00C7657C" w:rsidRPr="008E5027">
        <w:tab/>
      </w:r>
      <w:r w:rsidR="00005696" w:rsidRPr="008E5027">
        <w:tab/>
      </w:r>
      <w:r w:rsidR="00D35307">
        <w:t>106</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8E5027">
        <w:tab/>
      </w:r>
      <w:r w:rsidRPr="008E5027">
        <w:tab/>
      </w:r>
      <w:r w:rsidR="005F6017">
        <w:t>Tableau</w:t>
      </w:r>
      <w:r w:rsidR="00CF39B0" w:rsidRPr="008E5027">
        <w:t xml:space="preserve"> 28</w:t>
      </w:r>
      <w:r w:rsidR="00CF39B0" w:rsidRPr="008E5027">
        <w:tab/>
      </w:r>
      <w:r w:rsidR="004C2844" w:rsidRPr="00E64C5D">
        <w:rPr>
          <w:bCs/>
        </w:rPr>
        <w:t>Population journalière moyenne de détenus</w:t>
      </w:r>
      <w:r w:rsidR="004C2844">
        <w:rPr>
          <w:bCs/>
        </w:rPr>
        <w:t xml:space="preserve"> mineurs</w:t>
      </w:r>
      <w:r w:rsidR="00C7657C" w:rsidRPr="008E5027">
        <w:tab/>
      </w:r>
      <w:r w:rsidR="00005696" w:rsidRPr="008E5027">
        <w:tab/>
      </w:r>
      <w:r w:rsidR="00D35307">
        <w:t>107</w:t>
      </w:r>
    </w:p>
    <w:p w:rsidR="008F0153" w:rsidRPr="00D74CA4" w:rsidRDefault="008F0153" w:rsidP="004C2844">
      <w:pPr>
        <w:tabs>
          <w:tab w:val="right" w:pos="850"/>
          <w:tab w:val="left" w:pos="1134"/>
          <w:tab w:val="left" w:pos="1559"/>
          <w:tab w:val="left" w:pos="2156"/>
          <w:tab w:val="left" w:leader="dot" w:pos="8930"/>
          <w:tab w:val="right" w:pos="9638"/>
        </w:tabs>
        <w:spacing w:after="120"/>
        <w:ind w:left="2156" w:hanging="2156"/>
        <w:rPr>
          <w:lang w:val="es-ES"/>
        </w:rPr>
      </w:pPr>
      <w:r w:rsidRPr="008E5027">
        <w:tab/>
      </w:r>
      <w:r w:rsidRPr="008E5027">
        <w:tab/>
      </w:r>
      <w:r w:rsidR="005F6017" w:rsidRPr="00D74CA4">
        <w:rPr>
          <w:lang w:val="es-ES"/>
        </w:rPr>
        <w:t>Tableau</w:t>
      </w:r>
      <w:r w:rsidR="00CF39B0" w:rsidRPr="00D74CA4">
        <w:rPr>
          <w:lang w:val="es-ES"/>
        </w:rPr>
        <w:t xml:space="preserve"> 29</w:t>
      </w:r>
      <w:r w:rsidR="00CF39B0" w:rsidRPr="00D74CA4">
        <w:rPr>
          <w:lang w:val="es-ES"/>
        </w:rPr>
        <w:tab/>
      </w:r>
      <w:r w:rsidR="004C2844" w:rsidRPr="00D74CA4">
        <w:rPr>
          <w:bCs/>
          <w:lang w:val="es-ES"/>
        </w:rPr>
        <w:t>Nombre de personnes ayant interjeté un appel interlocutoire à l</w:t>
      </w:r>
      <w:r w:rsidR="00277023">
        <w:rPr>
          <w:bCs/>
          <w:lang w:val="es-ES"/>
        </w:rPr>
        <w:t>’</w:t>
      </w:r>
      <w:r w:rsidR="004C2844" w:rsidRPr="00D74CA4">
        <w:rPr>
          <w:bCs/>
          <w:lang w:val="es-ES"/>
        </w:rPr>
        <w:t xml:space="preserve">encontre </w:t>
      </w:r>
      <w:r w:rsidR="004C2844" w:rsidRPr="00D74CA4">
        <w:rPr>
          <w:bCs/>
          <w:lang w:val="es-ES"/>
        </w:rPr>
        <w:br/>
        <w:t>de mesures de protection</w:t>
      </w:r>
      <w:r w:rsidR="00C7657C" w:rsidRPr="00D74CA4">
        <w:rPr>
          <w:lang w:val="es-ES"/>
        </w:rPr>
        <w:tab/>
      </w:r>
      <w:r w:rsidR="00005696" w:rsidRPr="00D74CA4">
        <w:rPr>
          <w:lang w:val="es-ES"/>
        </w:rPr>
        <w:tab/>
      </w:r>
      <w:r w:rsidR="00D35307">
        <w:rPr>
          <w:lang w:val="es-ES"/>
        </w:rPr>
        <w:t>109</w:t>
      </w:r>
    </w:p>
    <w:p w:rsidR="008F0153" w:rsidRPr="00D74CA4" w:rsidRDefault="008F0153" w:rsidP="004C2844">
      <w:pPr>
        <w:tabs>
          <w:tab w:val="right" w:pos="850"/>
          <w:tab w:val="left" w:pos="1134"/>
          <w:tab w:val="left" w:pos="1559"/>
          <w:tab w:val="left" w:pos="2156"/>
          <w:tab w:val="left" w:leader="dot" w:pos="8930"/>
          <w:tab w:val="right" w:pos="9638"/>
        </w:tabs>
        <w:spacing w:after="120"/>
        <w:ind w:left="2156" w:hanging="2156"/>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30</w:t>
      </w:r>
      <w:r w:rsidR="00CF39B0" w:rsidRPr="00D74CA4">
        <w:rPr>
          <w:lang w:val="es-ES"/>
        </w:rPr>
        <w:tab/>
      </w:r>
      <w:r w:rsidR="004C2844" w:rsidRPr="00D74CA4">
        <w:rPr>
          <w:bCs/>
          <w:lang w:val="es-ES"/>
        </w:rPr>
        <w:t>Nombre d</w:t>
      </w:r>
      <w:r w:rsidR="00277023">
        <w:rPr>
          <w:bCs/>
          <w:lang w:val="es-ES"/>
        </w:rPr>
        <w:t>’</w:t>
      </w:r>
      <w:r w:rsidR="004C2844" w:rsidRPr="00D74CA4">
        <w:rPr>
          <w:bCs/>
          <w:lang w:val="es-ES"/>
        </w:rPr>
        <w:t xml:space="preserve">arrestations liées à des infractions à </w:t>
      </w:r>
      <w:smartTag w:uri="urn:schemas-microsoft-com:office:smarttags" w:element="PersonName">
        <w:smartTagPr>
          <w:attr w:name="ProductID" w:val="la Loi"/>
        </w:smartTagPr>
        <w:r w:rsidR="004C2844" w:rsidRPr="00D74CA4">
          <w:rPr>
            <w:bCs/>
            <w:lang w:val="es-ES"/>
          </w:rPr>
          <w:t>la Loi</w:t>
        </w:r>
      </w:smartTag>
      <w:r w:rsidR="004C2844" w:rsidRPr="00D74CA4">
        <w:rPr>
          <w:bCs/>
          <w:lang w:val="es-ES"/>
        </w:rPr>
        <w:t xml:space="preserve"> sur la protection de l</w:t>
      </w:r>
      <w:r w:rsidR="00277023">
        <w:rPr>
          <w:bCs/>
          <w:lang w:val="es-ES"/>
        </w:rPr>
        <w:t>’</w:t>
      </w:r>
      <w:r w:rsidR="004C2844" w:rsidRPr="00D74CA4">
        <w:rPr>
          <w:bCs/>
          <w:lang w:val="es-ES"/>
        </w:rPr>
        <w:t xml:space="preserve">enfance </w:t>
      </w:r>
      <w:r w:rsidR="004C2844" w:rsidRPr="00D74CA4">
        <w:rPr>
          <w:bCs/>
          <w:lang w:val="es-ES"/>
        </w:rPr>
        <w:br/>
        <w:t>contre des environnements dangereux</w:t>
      </w:r>
      <w:r w:rsidR="00C7657C" w:rsidRPr="00D74CA4">
        <w:rPr>
          <w:lang w:val="es-ES"/>
        </w:rPr>
        <w:tab/>
      </w:r>
      <w:r w:rsidR="00005696" w:rsidRPr="00D74CA4">
        <w:rPr>
          <w:lang w:val="es-ES"/>
        </w:rPr>
        <w:tab/>
      </w:r>
      <w:r w:rsidR="00D35307">
        <w:rPr>
          <w:lang w:val="es-ES"/>
        </w:rPr>
        <w:t>111</w:t>
      </w:r>
    </w:p>
    <w:p w:rsidR="008F0153" w:rsidRPr="00D74CA4" w:rsidRDefault="008F0153" w:rsidP="004C2844">
      <w:pPr>
        <w:tabs>
          <w:tab w:val="right" w:pos="850"/>
          <w:tab w:val="left" w:pos="1134"/>
          <w:tab w:val="left" w:pos="1559"/>
          <w:tab w:val="left" w:pos="2156"/>
          <w:tab w:val="left" w:leader="dot" w:pos="8930"/>
          <w:tab w:val="right" w:pos="9638"/>
        </w:tabs>
        <w:spacing w:after="120"/>
        <w:ind w:left="2156" w:hanging="2156"/>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31</w:t>
      </w:r>
      <w:r w:rsidR="00CF39B0" w:rsidRPr="00D74CA4">
        <w:rPr>
          <w:lang w:val="es-ES"/>
        </w:rPr>
        <w:tab/>
      </w:r>
      <w:r w:rsidR="00007C02">
        <w:rPr>
          <w:lang w:val="es-ES"/>
        </w:rPr>
        <w:t>É</w:t>
      </w:r>
      <w:r w:rsidR="004C2844" w:rsidRPr="00D74CA4">
        <w:rPr>
          <w:bCs/>
          <w:lang w:val="es-ES"/>
        </w:rPr>
        <w:t xml:space="preserve">volution du nombre de mineurs arrêtés pour des infractions liées </w:t>
      </w:r>
      <w:r w:rsidR="004C2844" w:rsidRPr="00D74CA4">
        <w:rPr>
          <w:bCs/>
          <w:lang w:val="es-ES"/>
        </w:rPr>
        <w:br/>
        <w:t>à la toxicomanie</w:t>
      </w:r>
      <w:r w:rsidR="00C7657C" w:rsidRPr="00D74CA4">
        <w:rPr>
          <w:lang w:val="es-ES"/>
        </w:rPr>
        <w:tab/>
      </w:r>
      <w:r w:rsidR="00005696" w:rsidRPr="00D74CA4">
        <w:rPr>
          <w:lang w:val="es-ES"/>
        </w:rPr>
        <w:tab/>
      </w:r>
      <w:r w:rsidR="000233D7" w:rsidRPr="00D74CA4">
        <w:rPr>
          <w:lang w:val="es-ES"/>
        </w:rPr>
        <w:t>1</w:t>
      </w:r>
      <w:r w:rsidR="00D35307">
        <w:rPr>
          <w:lang w:val="es-ES"/>
        </w:rPr>
        <w:t>13</w:t>
      </w:r>
    </w:p>
    <w:p w:rsidR="008F0153" w:rsidRPr="00D74CA4" w:rsidRDefault="008F0153" w:rsidP="004C2844">
      <w:pPr>
        <w:tabs>
          <w:tab w:val="right" w:pos="850"/>
          <w:tab w:val="left" w:pos="1134"/>
          <w:tab w:val="left" w:pos="1559"/>
          <w:tab w:val="left" w:pos="2156"/>
          <w:tab w:val="left" w:leader="dot" w:pos="8930"/>
          <w:tab w:val="right" w:pos="9638"/>
        </w:tabs>
        <w:spacing w:after="120"/>
        <w:ind w:left="2156" w:hanging="2156"/>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32</w:t>
      </w:r>
      <w:r w:rsidR="00CF39B0" w:rsidRPr="00D74CA4">
        <w:rPr>
          <w:lang w:val="es-ES"/>
        </w:rPr>
        <w:tab/>
      </w:r>
      <w:r w:rsidR="00007C02">
        <w:rPr>
          <w:lang w:val="es-ES"/>
        </w:rPr>
        <w:t>É</w:t>
      </w:r>
      <w:r w:rsidR="004C2844" w:rsidRPr="00D74CA4">
        <w:rPr>
          <w:bCs/>
          <w:lang w:val="es-ES"/>
        </w:rPr>
        <w:t xml:space="preserve">volution du nombre de mineurs placés en détention provisoire en application </w:t>
      </w:r>
      <w:r w:rsidR="004C2844" w:rsidRPr="00D74CA4">
        <w:rPr>
          <w:bCs/>
          <w:lang w:val="es-ES"/>
        </w:rPr>
        <w:br/>
        <w:t xml:space="preserve">de </w:t>
      </w:r>
      <w:smartTag w:uri="urn:schemas-microsoft-com:office:smarttags" w:element="PersonName">
        <w:smartTagPr>
          <w:attr w:name="ProductID" w:val="la Loi"/>
        </w:smartTagPr>
        <w:r w:rsidR="004C2844" w:rsidRPr="00D74CA4">
          <w:rPr>
            <w:bCs/>
            <w:lang w:val="es-ES"/>
          </w:rPr>
          <w:t>la Loi</w:t>
        </w:r>
      </w:smartTag>
      <w:r w:rsidR="004C2844" w:rsidRPr="00D74CA4">
        <w:rPr>
          <w:bCs/>
          <w:lang w:val="es-ES"/>
        </w:rPr>
        <w:t xml:space="preserve"> sur l</w:t>
      </w:r>
      <w:r w:rsidR="00277023">
        <w:rPr>
          <w:bCs/>
          <w:lang w:val="es-ES"/>
        </w:rPr>
        <w:t>’</w:t>
      </w:r>
      <w:r w:rsidR="004C2844" w:rsidRPr="00D74CA4">
        <w:rPr>
          <w:bCs/>
          <w:lang w:val="es-ES"/>
        </w:rPr>
        <w:t>interdiction faite aux mineurs de consommer de l</w:t>
      </w:r>
      <w:r w:rsidR="00277023">
        <w:rPr>
          <w:bCs/>
          <w:lang w:val="es-ES"/>
        </w:rPr>
        <w:t>’</w:t>
      </w:r>
      <w:r w:rsidR="004C2844" w:rsidRPr="00D74CA4">
        <w:rPr>
          <w:bCs/>
          <w:lang w:val="es-ES"/>
        </w:rPr>
        <w:t xml:space="preserve">alcool </w:t>
      </w:r>
      <w:r w:rsidR="004C2844" w:rsidRPr="00D74CA4">
        <w:rPr>
          <w:bCs/>
          <w:lang w:val="es-ES"/>
        </w:rPr>
        <w:br/>
        <w:t xml:space="preserve">et de </w:t>
      </w:r>
      <w:smartTag w:uri="urn:schemas-microsoft-com:office:smarttags" w:element="PersonName">
        <w:smartTagPr>
          <w:attr w:name="ProductID" w:val="la Loi"/>
        </w:smartTagPr>
        <w:r w:rsidR="004C2844" w:rsidRPr="00D74CA4">
          <w:rPr>
            <w:bCs/>
            <w:lang w:val="es-ES"/>
          </w:rPr>
          <w:t>la Loi</w:t>
        </w:r>
      </w:smartTag>
      <w:r w:rsidR="004C2844" w:rsidRPr="00D74CA4">
        <w:rPr>
          <w:bCs/>
          <w:lang w:val="es-ES"/>
        </w:rPr>
        <w:t xml:space="preserve"> sur l</w:t>
      </w:r>
      <w:r w:rsidR="00277023">
        <w:rPr>
          <w:bCs/>
          <w:lang w:val="es-ES"/>
        </w:rPr>
        <w:t>’</w:t>
      </w:r>
      <w:r w:rsidR="004C2844" w:rsidRPr="00D74CA4">
        <w:rPr>
          <w:bCs/>
          <w:lang w:val="es-ES"/>
        </w:rPr>
        <w:t>interdiction faite aux mineurs de fumer</w:t>
      </w:r>
      <w:r w:rsidR="00C7657C" w:rsidRPr="00D74CA4">
        <w:rPr>
          <w:lang w:val="es-ES"/>
        </w:rPr>
        <w:tab/>
      </w:r>
      <w:r w:rsidR="00005696" w:rsidRPr="00D74CA4">
        <w:rPr>
          <w:lang w:val="es-ES"/>
        </w:rPr>
        <w:tab/>
      </w:r>
      <w:r w:rsidR="00D35307">
        <w:rPr>
          <w:lang w:val="es-ES"/>
        </w:rPr>
        <w:t>114</w:t>
      </w:r>
    </w:p>
    <w:p w:rsidR="008F0153" w:rsidRPr="008E5027" w:rsidRDefault="008F0153" w:rsidP="005F6017">
      <w:pPr>
        <w:tabs>
          <w:tab w:val="right" w:pos="850"/>
          <w:tab w:val="left" w:pos="1134"/>
          <w:tab w:val="left" w:pos="1559"/>
          <w:tab w:val="left" w:pos="2156"/>
          <w:tab w:val="left" w:leader="dot" w:pos="8930"/>
          <w:tab w:val="right" w:pos="9638"/>
        </w:tabs>
        <w:spacing w:after="120"/>
      </w:pPr>
      <w:r w:rsidRPr="00D74CA4">
        <w:rPr>
          <w:lang w:val="es-ES"/>
        </w:rPr>
        <w:tab/>
      </w:r>
      <w:r w:rsidRPr="00D74CA4">
        <w:rPr>
          <w:lang w:val="es-ES"/>
        </w:rPr>
        <w:tab/>
      </w:r>
      <w:r w:rsidR="005F6017">
        <w:t>Tableau</w:t>
      </w:r>
      <w:r w:rsidR="00CF39B0" w:rsidRPr="008E5027">
        <w:t xml:space="preserve"> 33</w:t>
      </w:r>
      <w:r w:rsidR="00CF39B0" w:rsidRPr="008E5027">
        <w:tab/>
      </w:r>
      <w:r w:rsidR="00007C02" w:rsidRPr="00007C02">
        <w:t>É</w:t>
      </w:r>
      <w:r w:rsidR="004C2844" w:rsidRPr="00E64C5D">
        <w:t>volution du nombre d</w:t>
      </w:r>
      <w:r w:rsidR="00277023">
        <w:t>’</w:t>
      </w:r>
      <w:r w:rsidR="004C2844" w:rsidRPr="00E64C5D">
        <w:t>arrestations liées à l</w:t>
      </w:r>
      <w:r w:rsidR="00277023">
        <w:t>’</w:t>
      </w:r>
      <w:r w:rsidR="004C2844" w:rsidRPr="00E64C5D">
        <w:t>exploitation sexuelle</w:t>
      </w:r>
      <w:r w:rsidR="00C7657C" w:rsidRPr="008E5027">
        <w:tab/>
      </w:r>
      <w:r w:rsidR="00005696" w:rsidRPr="008E5027">
        <w:tab/>
      </w:r>
      <w:r w:rsidR="00D35307">
        <w:t>119</w:t>
      </w:r>
    </w:p>
    <w:p w:rsidR="008F0153"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8E5027">
        <w:tab/>
      </w:r>
      <w:r w:rsidRPr="008E5027">
        <w:tab/>
      </w:r>
      <w:r w:rsidR="005F6017" w:rsidRPr="00D74CA4">
        <w:rPr>
          <w:lang w:val="es-ES"/>
        </w:rPr>
        <w:t>Tableau</w:t>
      </w:r>
      <w:r w:rsidR="00CF39B0" w:rsidRPr="00D74CA4">
        <w:rPr>
          <w:lang w:val="es-ES"/>
        </w:rPr>
        <w:t xml:space="preserve"> 34</w:t>
      </w:r>
      <w:r w:rsidR="00CF39B0" w:rsidRPr="00D74CA4">
        <w:rPr>
          <w:lang w:val="es-ES"/>
        </w:rPr>
        <w:tab/>
      </w:r>
      <w:r w:rsidR="004C2844" w:rsidRPr="00D74CA4">
        <w:rPr>
          <w:lang w:val="es-ES"/>
        </w:rPr>
        <w:t>Nombre d</w:t>
      </w:r>
      <w:r w:rsidR="00277023">
        <w:rPr>
          <w:lang w:val="es-ES"/>
        </w:rPr>
        <w:t>’</w:t>
      </w:r>
      <w:r w:rsidR="004C2844" w:rsidRPr="00D74CA4">
        <w:rPr>
          <w:lang w:val="es-ES"/>
        </w:rPr>
        <w:t xml:space="preserve">injonctions exécutées en application de </w:t>
      </w:r>
      <w:smartTag w:uri="urn:schemas-microsoft-com:office:smarttags" w:element="PersonName">
        <w:smartTagPr>
          <w:attr w:name="ProductID" w:val="la Loi Anti-Boryokudan"/>
        </w:smartTagPr>
        <w:smartTag w:uri="urn:schemas-microsoft-com:office:smarttags" w:element="PersonName">
          <w:smartTagPr>
            <w:attr w:name="ProductID" w:val="la Loi"/>
          </w:smartTagPr>
          <w:r w:rsidR="004C2844" w:rsidRPr="00D74CA4">
            <w:rPr>
              <w:lang w:val="es-ES"/>
            </w:rPr>
            <w:t>la Loi</w:t>
          </w:r>
        </w:smartTag>
        <w:r w:rsidR="004C2844" w:rsidRPr="00D74CA4">
          <w:rPr>
            <w:lang w:val="es-ES"/>
          </w:rPr>
          <w:t xml:space="preserve"> </w:t>
        </w:r>
        <w:r w:rsidR="004C2844" w:rsidRPr="00D74CA4">
          <w:rPr>
            <w:i/>
            <w:iCs/>
            <w:lang w:val="es-ES"/>
          </w:rPr>
          <w:t>Anti-Boryokudan</w:t>
        </w:r>
      </w:smartTag>
      <w:r w:rsidR="00C7657C" w:rsidRPr="00D74CA4">
        <w:rPr>
          <w:lang w:val="es-ES"/>
        </w:rPr>
        <w:tab/>
      </w:r>
      <w:r w:rsidR="00005696" w:rsidRPr="00D74CA4">
        <w:rPr>
          <w:lang w:val="es-ES"/>
        </w:rPr>
        <w:tab/>
      </w:r>
      <w:r w:rsidR="00D35307">
        <w:rPr>
          <w:lang w:val="es-ES"/>
        </w:rPr>
        <w:t>124</w:t>
      </w:r>
    </w:p>
    <w:p w:rsidR="00005696" w:rsidRPr="00D74CA4" w:rsidRDefault="008F0153" w:rsidP="005F6017">
      <w:pPr>
        <w:tabs>
          <w:tab w:val="right" w:pos="850"/>
          <w:tab w:val="left" w:pos="1134"/>
          <w:tab w:val="left" w:pos="1559"/>
          <w:tab w:val="left" w:pos="2156"/>
          <w:tab w:val="left" w:leader="dot" w:pos="8930"/>
          <w:tab w:val="right" w:pos="9638"/>
        </w:tabs>
        <w:spacing w:after="120"/>
        <w:rPr>
          <w:lang w:val="es-ES"/>
        </w:rPr>
      </w:pPr>
      <w:r w:rsidRPr="00D74CA4">
        <w:rPr>
          <w:lang w:val="es-ES"/>
        </w:rPr>
        <w:tab/>
      </w:r>
      <w:r w:rsidRPr="00D74CA4">
        <w:rPr>
          <w:lang w:val="es-ES"/>
        </w:rPr>
        <w:tab/>
      </w:r>
      <w:r w:rsidR="005F6017" w:rsidRPr="00D74CA4">
        <w:rPr>
          <w:lang w:val="es-ES"/>
        </w:rPr>
        <w:t>Tableau</w:t>
      </w:r>
      <w:r w:rsidR="00CF39B0" w:rsidRPr="00D74CA4">
        <w:rPr>
          <w:lang w:val="es-ES"/>
        </w:rPr>
        <w:t xml:space="preserve"> 35</w:t>
      </w:r>
      <w:r w:rsidR="00CF39B0" w:rsidRPr="00D74CA4">
        <w:rPr>
          <w:lang w:val="es-ES"/>
        </w:rPr>
        <w:tab/>
      </w:r>
      <w:r w:rsidR="00007C02">
        <w:rPr>
          <w:lang w:val="es-ES"/>
        </w:rPr>
        <w:t>É</w:t>
      </w:r>
      <w:r w:rsidR="004C2844" w:rsidRPr="00D74CA4">
        <w:rPr>
          <w:lang w:val="es-ES"/>
        </w:rPr>
        <w:t>volution du nombre de jeunes fugueurs retrouvés ou protégés</w:t>
      </w:r>
      <w:r w:rsidRPr="00D74CA4">
        <w:rPr>
          <w:lang w:val="es-ES"/>
        </w:rPr>
        <w:tab/>
      </w:r>
      <w:r w:rsidRPr="00D74CA4">
        <w:rPr>
          <w:lang w:val="es-ES"/>
        </w:rPr>
        <w:tab/>
      </w:r>
      <w:r w:rsidR="001E3181">
        <w:rPr>
          <w:lang w:val="es-ES"/>
        </w:rPr>
        <w:t>124</w:t>
      </w:r>
    </w:p>
    <w:p w:rsidR="006350BE" w:rsidRPr="00D74CA4" w:rsidRDefault="007D2AFA" w:rsidP="007C7AFB">
      <w:pPr>
        <w:pStyle w:val="HChG"/>
        <w:rPr>
          <w:lang w:val="es-ES"/>
        </w:rPr>
      </w:pPr>
      <w:r w:rsidRPr="00D74CA4">
        <w:rPr>
          <w:lang w:val="es-ES"/>
        </w:rPr>
        <w:br w:type="page"/>
      </w:r>
      <w:r w:rsidR="006350BE" w:rsidRPr="00D74CA4">
        <w:rPr>
          <w:lang w:val="es-ES"/>
        </w:rPr>
        <w:tab/>
      </w:r>
      <w:r w:rsidR="006350BE" w:rsidRPr="00D74CA4">
        <w:rPr>
          <w:lang w:val="es-ES"/>
        </w:rPr>
        <w:tab/>
      </w:r>
      <w:r w:rsidR="007C29B2" w:rsidRPr="007C29B2">
        <w:rPr>
          <w:lang w:val="fr-FR"/>
        </w:rPr>
        <w:t>Introduction</w:t>
      </w:r>
    </w:p>
    <w:p w:rsidR="006350BE" w:rsidRPr="007C29B2" w:rsidRDefault="007C29B2" w:rsidP="00253D16">
      <w:pPr>
        <w:pStyle w:val="SingleTxtG"/>
        <w:spacing w:after="0"/>
        <w:jc w:val="left"/>
        <w:rPr>
          <w:i/>
          <w:lang w:val="fr-FR"/>
        </w:rPr>
      </w:pPr>
      <w:r w:rsidRPr="007C29B2">
        <w:rPr>
          <w:i/>
          <w:lang w:val="fr-FR"/>
        </w:rPr>
        <w:t>L</w:t>
      </w:r>
      <w:r w:rsidR="00277023">
        <w:rPr>
          <w:i/>
          <w:lang w:val="fr-FR"/>
        </w:rPr>
        <w:t>’</w:t>
      </w:r>
      <w:r w:rsidRPr="007C29B2">
        <w:rPr>
          <w:i/>
          <w:lang w:val="fr-FR"/>
        </w:rPr>
        <w:t>enfant sera respecté en tant qu</w:t>
      </w:r>
      <w:r w:rsidR="00277023">
        <w:rPr>
          <w:i/>
          <w:lang w:val="fr-FR"/>
        </w:rPr>
        <w:t>’</w:t>
      </w:r>
      <w:r w:rsidRPr="007C29B2">
        <w:rPr>
          <w:i/>
          <w:lang w:val="fr-FR"/>
        </w:rPr>
        <w:t>être humain</w:t>
      </w:r>
    </w:p>
    <w:p w:rsidR="006350BE" w:rsidRPr="007C29B2" w:rsidRDefault="007C29B2" w:rsidP="00253D16">
      <w:pPr>
        <w:pStyle w:val="SingleTxtG"/>
        <w:spacing w:after="0"/>
        <w:jc w:val="left"/>
        <w:rPr>
          <w:i/>
          <w:lang w:val="fr-FR"/>
        </w:rPr>
      </w:pPr>
      <w:r w:rsidRPr="007C29B2">
        <w:rPr>
          <w:i/>
          <w:lang w:val="fr-FR"/>
        </w:rPr>
        <w:t>L</w:t>
      </w:r>
      <w:r w:rsidR="00277023">
        <w:rPr>
          <w:i/>
          <w:lang w:val="fr-FR"/>
        </w:rPr>
        <w:t>’</w:t>
      </w:r>
      <w:r w:rsidRPr="007C29B2">
        <w:rPr>
          <w:i/>
          <w:lang w:val="fr-FR"/>
        </w:rPr>
        <w:t>enfant sera estimé en tant que membre de la société</w:t>
      </w:r>
    </w:p>
    <w:p w:rsidR="006350BE" w:rsidRPr="007C29B2" w:rsidRDefault="007C29B2" w:rsidP="00253D16">
      <w:pPr>
        <w:pStyle w:val="SingleTxtG"/>
        <w:jc w:val="left"/>
        <w:rPr>
          <w:i/>
          <w:lang w:val="fr-FR"/>
        </w:rPr>
      </w:pPr>
      <w:r w:rsidRPr="007C29B2">
        <w:rPr>
          <w:i/>
          <w:lang w:val="fr-FR"/>
        </w:rPr>
        <w:t>L</w:t>
      </w:r>
      <w:r w:rsidR="00277023">
        <w:rPr>
          <w:i/>
          <w:lang w:val="fr-FR"/>
        </w:rPr>
        <w:t>’</w:t>
      </w:r>
      <w:r w:rsidRPr="007C29B2">
        <w:rPr>
          <w:i/>
          <w:lang w:val="fr-FR"/>
        </w:rPr>
        <w:t>enfant sera élevé dans un environnement favorable</w:t>
      </w:r>
    </w:p>
    <w:p w:rsidR="006350BE" w:rsidRPr="007C29B2" w:rsidRDefault="007C29B2" w:rsidP="00253D16">
      <w:pPr>
        <w:pStyle w:val="SingleTxtG"/>
        <w:jc w:val="left"/>
        <w:rPr>
          <w:lang w:val="fr-FR"/>
        </w:rPr>
      </w:pPr>
      <w:r w:rsidRPr="007C29B2">
        <w:rPr>
          <w:lang w:val="fr-FR"/>
        </w:rPr>
        <w:t xml:space="preserve">(extrait de </w:t>
      </w:r>
      <w:smartTag w:uri="urn:schemas-microsoft-com:office:smarttags" w:element="PersonName">
        <w:smartTagPr>
          <w:attr w:name="ProductID" w:val="la Charte"/>
        </w:smartTagPr>
        <w:r w:rsidRPr="007C29B2">
          <w:rPr>
            <w:lang w:val="fr-FR"/>
          </w:rPr>
          <w:t>la Charte</w:t>
        </w:r>
      </w:smartTag>
      <w:r w:rsidRPr="007C29B2">
        <w:rPr>
          <w:lang w:val="fr-FR"/>
        </w:rPr>
        <w:t xml:space="preserve"> des enfants du Japon promulguée en 1951)</w:t>
      </w:r>
    </w:p>
    <w:p w:rsidR="007C29B2" w:rsidRPr="007C29B2" w:rsidRDefault="007C29B2" w:rsidP="007C29B2">
      <w:pPr>
        <w:pStyle w:val="SingleTxtG"/>
        <w:rPr>
          <w:lang w:val="fr-FR"/>
        </w:rPr>
      </w:pPr>
      <w:r w:rsidRPr="007C29B2">
        <w:rPr>
          <w:lang w:val="fr-FR"/>
        </w:rPr>
        <w:t>1.</w:t>
      </w:r>
      <w:r w:rsidRPr="007C29B2">
        <w:rPr>
          <w:lang w:val="fr-FR"/>
        </w:rPr>
        <w:tab/>
        <w:t xml:space="preserve">Depuis que le Japon a ratifié </w:t>
      </w:r>
      <w:smartTag w:uri="urn:schemas-microsoft-com:office:smarttags" w:element="PersonName">
        <w:smartTagPr>
          <w:attr w:name="ProductID" w:val="LA CONVENTION"/>
        </w:smartTagPr>
        <w:r w:rsidRPr="007C29B2">
          <w:rPr>
            <w:lang w:val="fr-FR"/>
          </w:rPr>
          <w:t>la Convention</w:t>
        </w:r>
      </w:smartTag>
      <w:r w:rsidRPr="007C29B2">
        <w:rPr>
          <w:lang w:val="fr-FR"/>
        </w:rPr>
        <w:t xml:space="preserve"> relative aux droits de l</w:t>
      </w:r>
      <w:r w:rsidR="00277023">
        <w:rPr>
          <w:lang w:val="fr-FR"/>
        </w:rPr>
        <w:t>’</w:t>
      </w:r>
      <w:r w:rsidRPr="007C29B2">
        <w:rPr>
          <w:lang w:val="fr-FR"/>
        </w:rPr>
        <w:t>enfant en mai 1994, le pays s</w:t>
      </w:r>
      <w:r w:rsidR="00277023">
        <w:rPr>
          <w:lang w:val="fr-FR"/>
        </w:rPr>
        <w:t>’</w:t>
      </w:r>
      <w:r w:rsidRPr="007C29B2">
        <w:rPr>
          <w:lang w:val="fr-FR"/>
        </w:rPr>
        <w:t>emploie à protéger et à promouvoir les droits de l</w:t>
      </w:r>
      <w:r w:rsidR="00277023">
        <w:rPr>
          <w:lang w:val="fr-FR"/>
        </w:rPr>
        <w:t>’</w:t>
      </w:r>
      <w:r w:rsidRPr="007C29B2">
        <w:rPr>
          <w:lang w:val="fr-FR"/>
        </w:rPr>
        <w:t>enfant selon l</w:t>
      </w:r>
      <w:r w:rsidR="00277023">
        <w:rPr>
          <w:lang w:val="fr-FR"/>
        </w:rPr>
        <w:t>’</w:t>
      </w:r>
      <w:r w:rsidRPr="007C29B2">
        <w:rPr>
          <w:lang w:val="fr-FR"/>
        </w:rPr>
        <w:t xml:space="preserve">esprit de </w:t>
      </w:r>
      <w:smartTag w:uri="urn:schemas-microsoft-com:office:smarttags" w:element="PersonName">
        <w:smartTagPr>
          <w:attr w:name="ProductID" w:val="la Convention. Conform￩ment"/>
        </w:smartTagPr>
        <w:r w:rsidRPr="007C29B2">
          <w:rPr>
            <w:lang w:val="fr-FR"/>
          </w:rPr>
          <w:t>la Convention. Conformément</w:t>
        </w:r>
      </w:smartTag>
      <w:r w:rsidRPr="007C29B2">
        <w:rPr>
          <w:lang w:val="fr-FR"/>
        </w:rPr>
        <w:t xml:space="preserve"> aux dispositions du premier paragraphe de l</w:t>
      </w:r>
      <w:r w:rsidR="00277023">
        <w:rPr>
          <w:lang w:val="fr-FR"/>
        </w:rPr>
        <w:t>’</w:t>
      </w:r>
      <w:r w:rsidRPr="007C29B2">
        <w:rPr>
          <w:lang w:val="fr-FR"/>
        </w:rPr>
        <w:t xml:space="preserve">article 44, le Gouvernement a soumis un premier rapport en 1996 et un deuxième rapport en 2001, dans lesquels il présentait le système juridique fondamental du Japon au regard de la mise en oeuvre de </w:t>
      </w:r>
      <w:smartTag w:uri="urn:schemas-microsoft-com:office:smarttags" w:element="PersonName">
        <w:smartTagPr>
          <w:attr w:name="ProductID" w:val="LA CONVENTION"/>
        </w:smartTagPr>
        <w:r w:rsidRPr="007C29B2">
          <w:rPr>
            <w:lang w:val="fr-FR"/>
          </w:rPr>
          <w:t>la Convention</w:t>
        </w:r>
      </w:smartTag>
      <w:r w:rsidRPr="007C29B2">
        <w:rPr>
          <w:lang w:val="fr-FR"/>
        </w:rPr>
        <w:t xml:space="preserve"> et les efforts déployés au cours des périodes considérées.</w:t>
      </w:r>
    </w:p>
    <w:p w:rsidR="007C29B2" w:rsidRPr="007C29B2" w:rsidRDefault="007C29B2" w:rsidP="007C29B2">
      <w:pPr>
        <w:pStyle w:val="SingleTxtG"/>
        <w:rPr>
          <w:lang w:val="fr-FR"/>
        </w:rPr>
      </w:pPr>
      <w:r w:rsidRPr="007C29B2">
        <w:rPr>
          <w:lang w:val="fr-FR"/>
        </w:rPr>
        <w:t>2.</w:t>
      </w:r>
      <w:r w:rsidRPr="007C29B2">
        <w:rPr>
          <w:lang w:val="fr-FR"/>
        </w:rPr>
        <w:tab/>
        <w:t>Au Japon, le nombre d</w:t>
      </w:r>
      <w:r w:rsidR="00277023">
        <w:rPr>
          <w:lang w:val="fr-FR"/>
        </w:rPr>
        <w:t>’</w:t>
      </w:r>
      <w:r w:rsidRPr="007C29B2">
        <w:rPr>
          <w:lang w:val="fr-FR"/>
        </w:rPr>
        <w:t>enfants (mineurs âgés de moins de 18 ans) s</w:t>
      </w:r>
      <w:r w:rsidR="00277023">
        <w:rPr>
          <w:lang w:val="fr-FR"/>
        </w:rPr>
        <w:t>’</w:t>
      </w:r>
      <w:r w:rsidRPr="007C29B2">
        <w:rPr>
          <w:lang w:val="fr-FR"/>
        </w:rPr>
        <w:t>élevait en octobre 2004 à 21</w:t>
      </w:r>
      <w:r w:rsidR="005F24AC">
        <w:rPr>
          <w:lang w:val="fr-FR"/>
        </w:rPr>
        <w:t>.</w:t>
      </w:r>
      <w:r w:rsidRPr="007C29B2">
        <w:rPr>
          <w:lang w:val="fr-FR"/>
        </w:rPr>
        <w:t>677</w:t>
      </w:r>
      <w:r w:rsidR="005F24AC">
        <w:rPr>
          <w:lang w:val="fr-FR"/>
        </w:rPr>
        <w:t>.</w:t>
      </w:r>
      <w:r w:rsidRPr="007C29B2">
        <w:rPr>
          <w:lang w:val="fr-FR"/>
        </w:rPr>
        <w:t>000 (voir note), soit 17</w:t>
      </w:r>
      <w:r w:rsidR="00277023">
        <w:rPr>
          <w:lang w:val="fr-FR"/>
        </w:rPr>
        <w:t>%</w:t>
      </w:r>
      <w:r w:rsidRPr="007C29B2">
        <w:rPr>
          <w:lang w:val="fr-FR"/>
        </w:rPr>
        <w:t xml:space="preserve"> de la population totale. Le nombre de naissances a rapidement chuté ces dernières années, avec environ 1.111.000 naissances en 2004, soit une diminution de 13.000 par rapport à l</w:t>
      </w:r>
      <w:r w:rsidR="00277023">
        <w:rPr>
          <w:lang w:val="fr-FR"/>
        </w:rPr>
        <w:t>’</w:t>
      </w:r>
      <w:r w:rsidRPr="007C29B2">
        <w:rPr>
          <w:lang w:val="fr-FR"/>
        </w:rPr>
        <w:t xml:space="preserve">année précédente, tandis que le taux global de fécondité se situe à 1,29, le taux de natalité et le taux global de fécondité étant les chiffres les plus bas jamais enregistrés. </w:t>
      </w:r>
    </w:p>
    <w:p w:rsidR="007C29B2" w:rsidRPr="007C29B2" w:rsidRDefault="007C29B2" w:rsidP="007C29B2">
      <w:pPr>
        <w:pStyle w:val="SingleTxtG"/>
        <w:rPr>
          <w:lang w:val="fr-FR"/>
        </w:rPr>
      </w:pPr>
      <w:r w:rsidRPr="007C29B2">
        <w:rPr>
          <w:lang w:val="fr-FR"/>
        </w:rPr>
        <w:t>3.</w:t>
      </w:r>
      <w:r w:rsidRPr="007C29B2">
        <w:rPr>
          <w:lang w:val="fr-FR"/>
        </w:rPr>
        <w:tab/>
        <w:t>Dans un climat de modifications importantes de l</w:t>
      </w:r>
      <w:r w:rsidR="00277023">
        <w:rPr>
          <w:lang w:val="fr-FR"/>
        </w:rPr>
        <w:t>’</w:t>
      </w:r>
      <w:r w:rsidRPr="007C29B2">
        <w:rPr>
          <w:lang w:val="fr-FR"/>
        </w:rPr>
        <w:t>environnement social des enfants et des familles, dues à une société de plus en plus complexe et à son évolution vers une société de l</w:t>
      </w:r>
      <w:r w:rsidR="00277023">
        <w:rPr>
          <w:lang w:val="fr-FR"/>
        </w:rPr>
        <w:t>’</w:t>
      </w:r>
      <w:r w:rsidRPr="007C29B2">
        <w:rPr>
          <w:lang w:val="fr-FR"/>
        </w:rPr>
        <w:t>information, des mutations telles que la mondialisation, la société de consommation et la nucléarisation des familles, des problèmes comme la prostitution enfantine, la pornographie mettant en scène des enfants, la maltraitance à l</w:t>
      </w:r>
      <w:r w:rsidR="00277023">
        <w:rPr>
          <w:lang w:val="fr-FR"/>
        </w:rPr>
        <w:t>’</w:t>
      </w:r>
      <w:r w:rsidRPr="007C29B2">
        <w:rPr>
          <w:lang w:val="fr-FR"/>
        </w:rPr>
        <w:t>égard des enfants, la toxicomanie et la délinquance deviennent préoccupantes. S</w:t>
      </w:r>
      <w:r w:rsidR="00277023">
        <w:rPr>
          <w:lang w:val="fr-FR"/>
        </w:rPr>
        <w:t>’</w:t>
      </w:r>
      <w:r w:rsidRPr="007C29B2">
        <w:rPr>
          <w:lang w:val="fr-FR"/>
        </w:rPr>
        <w:t xml:space="preserve">agissant de répondre à ces changements, le Gouvernement japonais a élaboré </w:t>
      </w:r>
      <w:smartTag w:uri="urn:schemas-microsoft-com:office:smarttags" w:element="PersonName">
        <w:smartTagPr>
          <w:attr w:name="ProductID" w:val="la Politique"/>
        </w:smartTagPr>
        <w:r w:rsidRPr="007C29B2">
          <w:rPr>
            <w:lang w:val="fr-FR"/>
          </w:rPr>
          <w:t>la Politique</w:t>
        </w:r>
      </w:smartTag>
      <w:r w:rsidRPr="007C29B2">
        <w:rPr>
          <w:lang w:val="fr-FR"/>
        </w:rPr>
        <w:t xml:space="preserve"> nationale en faveur de la jeunesse en 2003 et, en coopération avec les ministères et organismes concernés, il a fermement appuyé les actions en faveur des droits des enfants et d</w:t>
      </w:r>
      <w:r w:rsidR="00277023">
        <w:rPr>
          <w:lang w:val="fr-FR"/>
        </w:rPr>
        <w:t>’</w:t>
      </w:r>
      <w:r w:rsidRPr="007C29B2">
        <w:rPr>
          <w:lang w:val="fr-FR"/>
        </w:rPr>
        <w:t>une éducation de qualité. Par ailleurs, la protection des droits et le bon développement des enfants qui seront les acteurs de la prochaine génération sont de la responsabilité de la société internationale, et le Japon prend part à différentes activités de coopération internationale afin de faire face à ses responsabilités internationales dans le domaine des droits de l</w:t>
      </w:r>
      <w:r w:rsidR="00277023">
        <w:rPr>
          <w:lang w:val="fr-FR"/>
        </w:rPr>
        <w:t>’</w:t>
      </w:r>
      <w:r w:rsidRPr="007C29B2">
        <w:rPr>
          <w:lang w:val="fr-FR"/>
        </w:rPr>
        <w:t>homme.</w:t>
      </w:r>
    </w:p>
    <w:p w:rsidR="007C29B2" w:rsidRPr="007C29B2" w:rsidRDefault="007C29B2" w:rsidP="007C29B2">
      <w:pPr>
        <w:pStyle w:val="SingleTxtG"/>
        <w:rPr>
          <w:lang w:val="fr-FR"/>
        </w:rPr>
      </w:pPr>
      <w:r w:rsidRPr="007C29B2">
        <w:rPr>
          <w:lang w:val="fr-FR"/>
        </w:rPr>
        <w:t>4.</w:t>
      </w:r>
      <w:r w:rsidRPr="007C29B2">
        <w:rPr>
          <w:lang w:val="fr-FR"/>
        </w:rPr>
        <w:tab/>
        <w:t>Il est possible d</w:t>
      </w:r>
      <w:r w:rsidR="00277023">
        <w:rPr>
          <w:lang w:val="fr-FR"/>
        </w:rPr>
        <w:t>’</w:t>
      </w:r>
      <w:r w:rsidRPr="007C29B2">
        <w:rPr>
          <w:lang w:val="fr-FR"/>
        </w:rPr>
        <w:t>améliorer l</w:t>
      </w:r>
      <w:r w:rsidR="00277023">
        <w:rPr>
          <w:lang w:val="fr-FR"/>
        </w:rPr>
        <w:t>’</w:t>
      </w:r>
      <w:r w:rsidRPr="007C29B2">
        <w:rPr>
          <w:lang w:val="fr-FR"/>
        </w:rPr>
        <w:t>environnement des enfants grâce à l</w:t>
      </w:r>
      <w:r w:rsidR="00277023">
        <w:rPr>
          <w:lang w:val="fr-FR"/>
        </w:rPr>
        <w:t>’</w:t>
      </w:r>
      <w:r w:rsidRPr="007C29B2">
        <w:rPr>
          <w:lang w:val="fr-FR"/>
        </w:rPr>
        <w:t>action de tous ceux qui sont impliqués aux différents niveaux, y compris celui de la vie quotidienne, et ainsi ce n</w:t>
      </w:r>
      <w:r w:rsidR="00277023">
        <w:rPr>
          <w:lang w:val="fr-FR"/>
        </w:rPr>
        <w:t>’</w:t>
      </w:r>
      <w:r w:rsidRPr="007C29B2">
        <w:rPr>
          <w:lang w:val="fr-FR"/>
        </w:rPr>
        <w:t xml:space="preserve">est pas le seul Gouvernement mais également la société civile qui jouent un rôle important à cet égard. Pour mettre en oeuvre </w:t>
      </w:r>
      <w:smartTag w:uri="urn:schemas-microsoft-com:office:smarttags" w:element="PersonName">
        <w:smartTagPr>
          <w:attr w:name="ProductID" w:val="LA CONVENTION"/>
        </w:smartTagPr>
        <w:r w:rsidRPr="007C29B2">
          <w:rPr>
            <w:lang w:val="fr-FR"/>
          </w:rPr>
          <w:t>la Convention</w:t>
        </w:r>
      </w:smartTag>
      <w:r w:rsidRPr="007C29B2">
        <w:rPr>
          <w:lang w:val="fr-FR"/>
        </w:rPr>
        <w:t xml:space="preserve"> de manière efficace, il est important que le Gouvernement et la société civile, s</w:t>
      </w:r>
      <w:r w:rsidR="00277023">
        <w:rPr>
          <w:lang w:val="fr-FR"/>
        </w:rPr>
        <w:t>’</w:t>
      </w:r>
      <w:r w:rsidRPr="007C29B2">
        <w:rPr>
          <w:lang w:val="fr-FR"/>
        </w:rPr>
        <w:t xml:space="preserve">appuyant sur une confiance mutuelle, coopèrent de façon constructive tout en tenant leurs rôles respectifs, et que chaque citoyen approfondisse sa compréhension de </w:t>
      </w:r>
      <w:smartTag w:uri="urn:schemas-microsoft-com:office:smarttags" w:element="PersonName">
        <w:smartTagPr>
          <w:attr w:name="ProductID" w:val="LA CONVENTION"/>
        </w:smartTagPr>
        <w:r w:rsidRPr="007C29B2">
          <w:rPr>
            <w:lang w:val="fr-FR"/>
          </w:rPr>
          <w:t>la Convention</w:t>
        </w:r>
      </w:smartTag>
      <w:r w:rsidRPr="007C29B2">
        <w:rPr>
          <w:lang w:val="fr-FR"/>
        </w:rPr>
        <w:t xml:space="preserve"> et participe à sa mise en oeuvre. </w:t>
      </w:r>
    </w:p>
    <w:p w:rsidR="007C29B2" w:rsidRPr="007C29B2" w:rsidRDefault="007C29B2" w:rsidP="007C29B2">
      <w:pPr>
        <w:pStyle w:val="SingleTxtG"/>
        <w:rPr>
          <w:lang w:val="fr-FR"/>
        </w:rPr>
      </w:pPr>
      <w:r w:rsidRPr="007C29B2">
        <w:rPr>
          <w:lang w:val="fr-FR"/>
        </w:rPr>
        <w:t>5.</w:t>
      </w:r>
      <w:r w:rsidRPr="007C29B2">
        <w:rPr>
          <w:lang w:val="fr-FR"/>
        </w:rPr>
        <w:tab/>
        <w:t xml:space="preserve">Ce troisième rapport du Japon présente les mesures adoptées par le Gouvernement japonais à partir de cet état des lieux pour appliquer </w:t>
      </w:r>
      <w:smartTag w:uri="urn:schemas-microsoft-com:office:smarttags" w:element="PersonName">
        <w:smartTagPr>
          <w:attr w:name="ProductID" w:val="LA CONVENTION"/>
        </w:smartTagPr>
        <w:r w:rsidRPr="007C29B2">
          <w:rPr>
            <w:lang w:val="fr-FR"/>
          </w:rPr>
          <w:t>la Convention</w:t>
        </w:r>
      </w:smartTag>
      <w:r w:rsidRPr="007C29B2">
        <w:rPr>
          <w:lang w:val="fr-FR"/>
        </w:rPr>
        <w:t>, ainsi que les progrès réalisés sur la période allant de la présentation du deuxième rapport en mai 2001 à mars 2006 (à juillet 2007 pour des mesures et des amendements juridiques majeurs).</w:t>
      </w:r>
    </w:p>
    <w:p w:rsidR="007C29B2" w:rsidRDefault="007C29B2" w:rsidP="007C29B2">
      <w:pPr>
        <w:pStyle w:val="H4G"/>
        <w:rPr>
          <w:lang w:val="fr-FR"/>
        </w:rPr>
      </w:pPr>
      <w:r>
        <w:rPr>
          <w:lang w:val="fr-FR"/>
        </w:rPr>
        <w:tab/>
      </w:r>
      <w:r>
        <w:rPr>
          <w:lang w:val="fr-FR"/>
        </w:rPr>
        <w:tab/>
      </w:r>
      <w:r w:rsidRPr="007C29B2">
        <w:rPr>
          <w:lang w:val="fr-FR"/>
        </w:rPr>
        <w:t>Note</w:t>
      </w:r>
    </w:p>
    <w:p w:rsidR="006350BE" w:rsidRPr="007C29B2" w:rsidRDefault="007C29B2" w:rsidP="007C29B2">
      <w:pPr>
        <w:pStyle w:val="SingleTxtG"/>
        <w:rPr>
          <w:lang w:val="fr-FR"/>
        </w:rPr>
      </w:pPr>
      <w:r w:rsidRPr="007C29B2">
        <w:rPr>
          <w:lang w:val="fr-FR"/>
        </w:rPr>
        <w:t>Population estimée au 1er octobre 2004</w:t>
      </w:r>
    </w:p>
    <w:p w:rsidR="006350BE" w:rsidRPr="00D74CA4" w:rsidRDefault="006350BE" w:rsidP="006350BE">
      <w:pPr>
        <w:pStyle w:val="HChG"/>
        <w:rPr>
          <w:lang w:val="fr-FR"/>
        </w:rPr>
      </w:pPr>
      <w:r w:rsidRPr="007C29B2">
        <w:rPr>
          <w:lang w:val="fr-FR"/>
        </w:rPr>
        <w:tab/>
      </w:r>
      <w:r w:rsidRPr="00D74CA4">
        <w:rPr>
          <w:lang w:val="fr-FR"/>
        </w:rPr>
        <w:t>I.</w:t>
      </w:r>
      <w:r w:rsidRPr="00D74CA4">
        <w:rPr>
          <w:lang w:val="fr-FR"/>
        </w:rPr>
        <w:tab/>
      </w:r>
      <w:r w:rsidR="007C29B2" w:rsidRPr="007C29B2">
        <w:rPr>
          <w:bCs/>
          <w:lang w:val="fr-FR"/>
        </w:rPr>
        <w:t>Mesures d</w:t>
      </w:r>
      <w:r w:rsidR="00277023">
        <w:rPr>
          <w:bCs/>
          <w:lang w:val="fr-FR"/>
        </w:rPr>
        <w:t>’</w:t>
      </w:r>
      <w:r w:rsidR="007C29B2" w:rsidRPr="007C29B2">
        <w:rPr>
          <w:bCs/>
          <w:lang w:val="fr-FR"/>
        </w:rPr>
        <w:t>application générales</w:t>
      </w:r>
    </w:p>
    <w:p w:rsidR="006350BE" w:rsidRPr="00D74CA4" w:rsidRDefault="006350BE" w:rsidP="006350BE">
      <w:pPr>
        <w:pStyle w:val="H1G"/>
        <w:rPr>
          <w:lang w:val="fr-FR"/>
        </w:rPr>
      </w:pPr>
      <w:r w:rsidRPr="00D74CA4">
        <w:rPr>
          <w:lang w:val="fr-FR"/>
        </w:rPr>
        <w:tab/>
        <w:t>A.</w:t>
      </w:r>
      <w:r w:rsidRPr="00D74CA4">
        <w:rPr>
          <w:lang w:val="fr-FR"/>
        </w:rPr>
        <w:tab/>
      </w:r>
      <w:r w:rsidR="007C29B2" w:rsidRPr="007C29B2">
        <w:rPr>
          <w:bCs/>
          <w:lang w:val="fr-FR"/>
        </w:rPr>
        <w:t>Position du Gouvernement japonais concernant sa décision de formuler des réserves</w:t>
      </w:r>
    </w:p>
    <w:p w:rsidR="007C29B2" w:rsidRPr="00FE4A04" w:rsidRDefault="007C29B2" w:rsidP="007C29B2">
      <w:pPr>
        <w:pStyle w:val="SingleTxtG"/>
        <w:rPr>
          <w:lang w:val="es-ES"/>
        </w:rPr>
      </w:pPr>
      <w:r w:rsidRPr="00D74CA4">
        <w:rPr>
          <w:lang w:val="fr-FR"/>
        </w:rPr>
        <w:t>6.</w:t>
      </w:r>
      <w:r w:rsidRPr="00D74CA4">
        <w:rPr>
          <w:lang w:val="fr-FR"/>
        </w:rPr>
        <w:tab/>
        <w:t>En réponse au rapport initial du Japon présenté en mai 1996, le Gouvernement japonais a pris connaissance des observations finales du Comité des droits de l</w:t>
      </w:r>
      <w:r w:rsidR="00277023">
        <w:rPr>
          <w:lang w:val="fr-FR"/>
        </w:rPr>
        <w:t>’</w:t>
      </w:r>
      <w:r w:rsidRPr="00D74CA4">
        <w:rPr>
          <w:lang w:val="fr-FR"/>
        </w:rPr>
        <w:t>enfant, dans lesquelles le Comité encourageait l</w:t>
      </w:r>
      <w:r w:rsidR="00277023">
        <w:rPr>
          <w:lang w:val="fr-FR"/>
        </w:rPr>
        <w:t>’</w:t>
      </w:r>
      <w:r w:rsidRPr="00D74CA4">
        <w:rPr>
          <w:lang w:val="fr-FR"/>
        </w:rPr>
        <w:t>État partie à réexaminer sa réserve faite à l</w:t>
      </w:r>
      <w:r w:rsidR="00277023">
        <w:rPr>
          <w:lang w:val="fr-FR"/>
        </w:rPr>
        <w:t>’</w:t>
      </w:r>
      <w:r w:rsidRPr="00D74CA4">
        <w:rPr>
          <w:lang w:val="fr-FR"/>
        </w:rPr>
        <w:t>article 37 c) ainsi que sa déclaration sur le premier paragraphe de l</w:t>
      </w:r>
      <w:r w:rsidR="00277023">
        <w:rPr>
          <w:lang w:val="fr-FR"/>
        </w:rPr>
        <w:t>’</w:t>
      </w:r>
      <w:r w:rsidRPr="00D74CA4">
        <w:rPr>
          <w:lang w:val="fr-FR"/>
        </w:rPr>
        <w:t>article 9 et sur l</w:t>
      </w:r>
      <w:r w:rsidR="00277023">
        <w:rPr>
          <w:lang w:val="fr-FR"/>
        </w:rPr>
        <w:t>’</w:t>
      </w:r>
      <w:r w:rsidRPr="00D74CA4">
        <w:rPr>
          <w:lang w:val="fr-FR"/>
        </w:rPr>
        <w:t>article 10 dans l</w:t>
      </w:r>
      <w:r w:rsidR="00277023">
        <w:rPr>
          <w:lang w:val="fr-FR"/>
        </w:rPr>
        <w:t>’</w:t>
      </w:r>
      <w:r w:rsidRPr="00D74CA4">
        <w:rPr>
          <w:lang w:val="fr-FR"/>
        </w:rPr>
        <w:t xml:space="preserve">objectif de les retirer. </w:t>
      </w:r>
      <w:r w:rsidRPr="00FE4A04">
        <w:rPr>
          <w:lang w:val="es-ES"/>
        </w:rPr>
        <w:t>Le Japon a également examiné les observations finales sur le deuxième rapport du Japon présenté en novembre 2001, dans lesquelles le Comité recommandait à l</w:t>
      </w:r>
      <w:r w:rsidR="00277023">
        <w:rPr>
          <w:lang w:val="es-ES"/>
        </w:rPr>
        <w:t>’</w:t>
      </w:r>
      <w:r w:rsidRPr="00FE4A04">
        <w:rPr>
          <w:lang w:val="es-ES"/>
        </w:rPr>
        <w:t>État partie de retirer sa réserve et ses déclarations. Bien que le Gouvernement envisage la possibilité de réexaminer sa réserve et ses déclarations, il n</w:t>
      </w:r>
      <w:r w:rsidR="00277023">
        <w:rPr>
          <w:lang w:val="es-ES"/>
        </w:rPr>
        <w:t>’</w:t>
      </w:r>
      <w:r w:rsidRPr="00FE4A04">
        <w:rPr>
          <w:lang w:val="es-ES"/>
        </w:rPr>
        <w:t>existe actuellement aucun projet de retrait de l</w:t>
      </w:r>
      <w:r w:rsidR="00277023">
        <w:rPr>
          <w:lang w:val="es-ES"/>
        </w:rPr>
        <w:t>’</w:t>
      </w:r>
      <w:r w:rsidRPr="00FE4A04">
        <w:rPr>
          <w:lang w:val="es-ES"/>
        </w:rPr>
        <w:t>une ou des autres pour les raisons suivantes</w:t>
      </w:r>
      <w:r w:rsidR="00277023">
        <w:rPr>
          <w:lang w:val="es-ES"/>
        </w:rPr>
        <w:t>:</w:t>
      </w:r>
    </w:p>
    <w:p w:rsidR="007C29B2" w:rsidRPr="007C29B2" w:rsidRDefault="007C29B2" w:rsidP="007C29B2">
      <w:pPr>
        <w:pStyle w:val="SingleTxtG"/>
        <w:rPr>
          <w:lang w:val="fr-FR"/>
        </w:rPr>
      </w:pPr>
      <w:r w:rsidRPr="007C29B2">
        <w:rPr>
          <w:lang w:val="fr-FR"/>
        </w:rPr>
        <w:t>(Réserve à l</w:t>
      </w:r>
      <w:r w:rsidR="00277023">
        <w:rPr>
          <w:lang w:val="fr-FR"/>
        </w:rPr>
        <w:t>’</w:t>
      </w:r>
      <w:r w:rsidRPr="007C29B2">
        <w:rPr>
          <w:lang w:val="fr-FR"/>
        </w:rPr>
        <w:t>article 37 c))</w:t>
      </w:r>
    </w:p>
    <w:p w:rsidR="007C29B2" w:rsidRPr="00FE4A04" w:rsidRDefault="007C29B2" w:rsidP="007C29B2">
      <w:pPr>
        <w:pStyle w:val="SingleTxtG"/>
        <w:rPr>
          <w:lang w:val="es-ES"/>
        </w:rPr>
      </w:pPr>
      <w:r w:rsidRPr="007C29B2">
        <w:rPr>
          <w:lang w:val="fr-FR"/>
        </w:rPr>
        <w:t>7.</w:t>
      </w:r>
      <w:r w:rsidRPr="007C29B2">
        <w:rPr>
          <w:lang w:val="fr-FR"/>
        </w:rPr>
        <w:tab/>
        <w:t>1)</w:t>
      </w:r>
      <w:r>
        <w:rPr>
          <w:lang w:val="fr-FR"/>
        </w:rPr>
        <w:tab/>
      </w:r>
      <w:r w:rsidRPr="007C29B2">
        <w:rPr>
          <w:lang w:val="fr-FR"/>
        </w:rPr>
        <w:t xml:space="preserve">Au Japon, les personnes privées de liberté âgées de moins de 20 ans sont généralement séparées des détenus âgés de 20 ans et plus en vertu du droit national. </w:t>
      </w:r>
      <w:r w:rsidRPr="00FE4A04">
        <w:rPr>
          <w:lang w:val="es-ES"/>
        </w:rPr>
        <w:t>Partant, en application de l</w:t>
      </w:r>
      <w:r w:rsidR="00277023">
        <w:rPr>
          <w:lang w:val="es-ES"/>
        </w:rPr>
        <w:t>’</w:t>
      </w:r>
      <w:r w:rsidRPr="00FE4A04">
        <w:rPr>
          <w:lang w:val="es-ES"/>
        </w:rPr>
        <w:t xml:space="preserve">article 37 c) de </w:t>
      </w:r>
      <w:smartTag w:uri="urn:schemas-microsoft-com:office:smarttags" w:element="PersonName">
        <w:smartTagPr>
          <w:attr w:name="ProductID" w:val="LA CONVENTION"/>
        </w:smartTagPr>
        <w:r w:rsidRPr="00FE4A04">
          <w:rPr>
            <w:lang w:val="es-ES"/>
          </w:rPr>
          <w:t>la Convention</w:t>
        </w:r>
      </w:smartTag>
      <w:r w:rsidRPr="00FE4A04">
        <w:rPr>
          <w:lang w:val="es-ES"/>
        </w:rPr>
        <w:t xml:space="preserve"> relative aux droits de l</w:t>
      </w:r>
      <w:r w:rsidR="00277023">
        <w:rPr>
          <w:lang w:val="es-ES"/>
        </w:rPr>
        <w:t>’</w:t>
      </w:r>
      <w:r w:rsidRPr="00FE4A04">
        <w:rPr>
          <w:lang w:val="es-ES"/>
        </w:rPr>
        <w:t xml:space="preserve">enfant, le Gouvernement japonais se réserve le droit de ne pas être lié par la deuxième phrase de la disposition selon laquelle </w:t>
      </w:r>
      <w:r w:rsidR="008E49D4">
        <w:rPr>
          <w:lang w:val="es-ES"/>
        </w:rPr>
        <w:t>“</w:t>
      </w:r>
      <w:r w:rsidRPr="00FE4A04">
        <w:rPr>
          <w:lang w:val="es-ES"/>
        </w:rPr>
        <w:t>tout enfant privé de liberté sera séparé des adultes, à moins que l</w:t>
      </w:r>
      <w:r w:rsidR="00277023">
        <w:rPr>
          <w:lang w:val="es-ES"/>
        </w:rPr>
        <w:t>’</w:t>
      </w:r>
      <w:r w:rsidRPr="00FE4A04">
        <w:rPr>
          <w:lang w:val="es-ES"/>
        </w:rPr>
        <w:t>on estime préférable de ne pas le faire dans l</w:t>
      </w:r>
      <w:r w:rsidR="00277023">
        <w:rPr>
          <w:lang w:val="es-ES"/>
        </w:rPr>
        <w:t>’</w:t>
      </w:r>
      <w:r w:rsidRPr="00FE4A04">
        <w:rPr>
          <w:lang w:val="es-ES"/>
        </w:rPr>
        <w:t>intérêt supérieur de l</w:t>
      </w:r>
      <w:r w:rsidR="00277023">
        <w:rPr>
          <w:lang w:val="es-ES"/>
        </w:rPr>
        <w:t>’</w:t>
      </w:r>
      <w:r w:rsidRPr="00FE4A04">
        <w:rPr>
          <w:lang w:val="es-ES"/>
        </w:rPr>
        <w:t>enfant</w:t>
      </w:r>
      <w:r w:rsidR="008E49D4">
        <w:rPr>
          <w:lang w:val="es-ES"/>
        </w:rPr>
        <w:t>”</w:t>
      </w:r>
      <w:r w:rsidRPr="00FE4A04">
        <w:rPr>
          <w:lang w:val="es-ES"/>
        </w:rPr>
        <w:t xml:space="preserve">. </w:t>
      </w:r>
    </w:p>
    <w:p w:rsidR="007C29B2" w:rsidRPr="00D74CA4" w:rsidRDefault="007C29B2" w:rsidP="007C29B2">
      <w:pPr>
        <w:pStyle w:val="SingleTxtG"/>
        <w:rPr>
          <w:lang w:val="es-ES"/>
        </w:rPr>
      </w:pPr>
      <w:r w:rsidRPr="00FE4A04">
        <w:rPr>
          <w:lang w:val="es-ES"/>
        </w:rPr>
        <w:tab/>
      </w:r>
      <w:r w:rsidRPr="007C29B2">
        <w:rPr>
          <w:lang w:val="fr-FR"/>
        </w:rPr>
        <w:t>2)</w:t>
      </w:r>
      <w:r w:rsidRPr="007C29B2">
        <w:rPr>
          <w:lang w:val="fr-FR"/>
        </w:rPr>
        <w:tab/>
        <w:t xml:space="preserve">En vertu de </w:t>
      </w:r>
      <w:smartTag w:uri="urn:schemas-microsoft-com:office:smarttags" w:element="PersonName">
        <w:smartTagPr>
          <w:attr w:name="ProductID" w:val="la Loi"/>
        </w:smartTagPr>
        <w:r w:rsidRPr="007C29B2">
          <w:rPr>
            <w:lang w:val="fr-FR"/>
          </w:rPr>
          <w:t>la Loi</w:t>
        </w:r>
      </w:smartTag>
      <w:r w:rsidRPr="007C29B2">
        <w:rPr>
          <w:lang w:val="fr-FR"/>
        </w:rPr>
        <w:t xml:space="preserve"> relative aux mineurs, les personnes âgées de moins de 20 ans sont traitées comme des mineurs (article 2 de </w:t>
      </w:r>
      <w:smartTag w:uri="urn:schemas-microsoft-com:office:smarttags" w:element="PersonName">
        <w:smartTagPr>
          <w:attr w:name="ProductID" w:val="la Loi"/>
        </w:smartTagPr>
        <w:r w:rsidRPr="007C29B2">
          <w:rPr>
            <w:lang w:val="fr-FR"/>
          </w:rPr>
          <w:t>la Loi</w:t>
        </w:r>
      </w:smartTag>
      <w:r w:rsidRPr="007C29B2">
        <w:rPr>
          <w:lang w:val="fr-FR"/>
        </w:rPr>
        <w:t>), et cette disposition s</w:t>
      </w:r>
      <w:r w:rsidR="00277023">
        <w:rPr>
          <w:lang w:val="fr-FR"/>
        </w:rPr>
        <w:t>’</w:t>
      </w:r>
      <w:r w:rsidRPr="007C29B2">
        <w:rPr>
          <w:lang w:val="fr-FR"/>
        </w:rPr>
        <w:t xml:space="preserve">applique également aux personnes privées de liberté. </w:t>
      </w:r>
      <w:r w:rsidRPr="00D74CA4">
        <w:rPr>
          <w:lang w:val="es-ES"/>
        </w:rPr>
        <w:t xml:space="preserve">Les détenus de moins de 20 ans (mineurs) sont en principe séparés de ceux âgés de 20 ans ou plus (adultes) (articles 49 et 56 de </w:t>
      </w:r>
      <w:smartTag w:uri="urn:schemas-microsoft-com:office:smarttags" w:element="PersonName">
        <w:smartTagPr>
          <w:attr w:name="ProductID" w:val="la Loi"/>
        </w:smartTagPr>
        <w:r w:rsidRPr="00D74CA4">
          <w:rPr>
            <w:lang w:val="es-ES"/>
          </w:rPr>
          <w:t>la Loi</w:t>
        </w:r>
      </w:smartTag>
      <w:r w:rsidRPr="00D74CA4">
        <w:rPr>
          <w:lang w:val="es-ES"/>
        </w:rPr>
        <w:t xml:space="preserve">). </w:t>
      </w:r>
    </w:p>
    <w:p w:rsidR="007C29B2" w:rsidRPr="00FE4A04" w:rsidRDefault="007C29B2" w:rsidP="007C29B2">
      <w:pPr>
        <w:pStyle w:val="SingleTxtG"/>
        <w:rPr>
          <w:lang w:val="es-ES"/>
        </w:rPr>
      </w:pPr>
      <w:r w:rsidRPr="00D74CA4">
        <w:rPr>
          <w:lang w:val="es-ES"/>
        </w:rPr>
        <w:tab/>
      </w:r>
      <w:r w:rsidRPr="007C29B2">
        <w:rPr>
          <w:lang w:val="fr-FR"/>
        </w:rPr>
        <w:t>3)</w:t>
      </w:r>
      <w:r w:rsidRPr="007C29B2">
        <w:rPr>
          <w:lang w:val="fr-FR"/>
        </w:rPr>
        <w:tab/>
        <w:t xml:space="preserve">Cette disposition peut être considérée comme plus avancée que la disposition de </w:t>
      </w:r>
      <w:smartTag w:uri="urn:schemas-microsoft-com:office:smarttags" w:element="PersonName">
        <w:smartTagPr>
          <w:attr w:name="ProductID" w:val="LA CONVENTION"/>
        </w:smartTagPr>
        <w:r w:rsidRPr="007C29B2">
          <w:rPr>
            <w:lang w:val="fr-FR"/>
          </w:rPr>
          <w:t>la Convention</w:t>
        </w:r>
      </w:smartTag>
      <w:r w:rsidRPr="007C29B2">
        <w:rPr>
          <w:lang w:val="fr-FR"/>
        </w:rPr>
        <w:t>, selon laquelle une personne âgée de moins de 18 ans doit bénéficier d</w:t>
      </w:r>
      <w:r w:rsidR="00277023">
        <w:rPr>
          <w:lang w:val="fr-FR"/>
        </w:rPr>
        <w:t>’</w:t>
      </w:r>
      <w:r w:rsidRPr="007C29B2">
        <w:rPr>
          <w:lang w:val="fr-FR"/>
        </w:rPr>
        <w:t>une protection attentive en tant qu</w:t>
      </w:r>
      <w:r w:rsidR="00277023">
        <w:rPr>
          <w:lang w:val="fr-FR"/>
        </w:rPr>
        <w:t>’</w:t>
      </w:r>
      <w:r w:rsidRPr="007C29B2">
        <w:rPr>
          <w:lang w:val="fr-FR"/>
        </w:rPr>
        <w:t>enfant, car le système japonais couvre, à ce titre, toutes les personnes jusqu</w:t>
      </w:r>
      <w:r w:rsidR="00277023">
        <w:rPr>
          <w:lang w:val="fr-FR"/>
        </w:rPr>
        <w:t>’</w:t>
      </w:r>
      <w:r w:rsidRPr="007C29B2">
        <w:rPr>
          <w:lang w:val="fr-FR"/>
        </w:rPr>
        <w:t xml:space="preserve">à leurs 20 ans. </w:t>
      </w:r>
      <w:r w:rsidRPr="00FE4A04">
        <w:rPr>
          <w:lang w:val="fr-FR"/>
        </w:rPr>
        <w:t>Cette disposition est conforme à l</w:t>
      </w:r>
      <w:r w:rsidR="00277023">
        <w:rPr>
          <w:lang w:val="fr-FR"/>
        </w:rPr>
        <w:t>’</w:t>
      </w:r>
      <w:r w:rsidRPr="00FE4A04">
        <w:rPr>
          <w:lang w:val="fr-FR"/>
        </w:rPr>
        <w:t>objectif de l</w:t>
      </w:r>
      <w:r w:rsidR="00277023">
        <w:rPr>
          <w:lang w:val="fr-FR"/>
        </w:rPr>
        <w:t>’</w:t>
      </w:r>
      <w:r w:rsidRPr="00FE4A04">
        <w:rPr>
          <w:lang w:val="fr-FR"/>
        </w:rPr>
        <w:t>article 37 c), à savoir protéger les mineurs d</w:t>
      </w:r>
      <w:r w:rsidR="00277023">
        <w:rPr>
          <w:lang w:val="fr-FR"/>
        </w:rPr>
        <w:t>’</w:t>
      </w:r>
      <w:r w:rsidRPr="00FE4A04">
        <w:rPr>
          <w:lang w:val="fr-FR"/>
        </w:rPr>
        <w:t xml:space="preserve">une influence néfaste en les séparant des adultes. </w:t>
      </w:r>
      <w:r w:rsidRPr="007C29B2">
        <w:t>S</w:t>
      </w:r>
      <w:r w:rsidR="00277023">
        <w:t>’</w:t>
      </w:r>
      <w:r w:rsidRPr="007C29B2">
        <w:t>agissant du traitement concret des mineurs dans les établissements pénitentiaires du Japon, ceux dont l</w:t>
      </w:r>
      <w:r w:rsidR="00277023">
        <w:t>’</w:t>
      </w:r>
      <w:r w:rsidRPr="007C29B2">
        <w:t>aptitude et les capacités sont relativement normales et qui sont reconnus nécessiter un traitement collectif sont traités en groupe, de sorte qu</w:t>
      </w:r>
      <w:r w:rsidR="00277023">
        <w:t>’</w:t>
      </w:r>
      <w:r w:rsidRPr="007C29B2">
        <w:t>ils ne subissent pas l</w:t>
      </w:r>
      <w:r w:rsidR="00277023">
        <w:t>’</w:t>
      </w:r>
      <w:r w:rsidRPr="007C29B2">
        <w:t>influence négative d</w:t>
      </w:r>
      <w:r w:rsidR="00277023">
        <w:t>’</w:t>
      </w:r>
      <w:r w:rsidRPr="007C29B2">
        <w:t xml:space="preserve">autres détenus présentant des tendances affirmées à la criminalité. </w:t>
      </w:r>
      <w:r w:rsidRPr="00FE4A04">
        <w:rPr>
          <w:lang w:val="es-ES"/>
        </w:rPr>
        <w:t>Ce système est considéré conforme à l</w:t>
      </w:r>
      <w:r w:rsidR="00277023">
        <w:rPr>
          <w:lang w:val="es-ES"/>
        </w:rPr>
        <w:t>’</w:t>
      </w:r>
      <w:r w:rsidRPr="00FE4A04">
        <w:rPr>
          <w:lang w:val="es-ES"/>
        </w:rPr>
        <w:t xml:space="preserve">objet de </w:t>
      </w:r>
      <w:smartTag w:uri="urn:schemas-microsoft-com:office:smarttags" w:element="PersonName">
        <w:smartTagPr>
          <w:attr w:name="ProductID" w:val="la Convention."/>
        </w:smartTagPr>
        <w:r w:rsidRPr="00FE4A04">
          <w:rPr>
            <w:lang w:val="es-ES"/>
          </w:rPr>
          <w:t>la Convention.</w:t>
        </w:r>
      </w:smartTag>
      <w:r w:rsidRPr="00FE4A04">
        <w:rPr>
          <w:lang w:val="es-ES"/>
        </w:rPr>
        <w:t xml:space="preserve"> </w:t>
      </w:r>
    </w:p>
    <w:p w:rsidR="007C29B2" w:rsidRPr="007C29B2" w:rsidRDefault="007C29B2" w:rsidP="007C29B2">
      <w:pPr>
        <w:pStyle w:val="SingleTxtG"/>
        <w:rPr>
          <w:lang w:val="fr-FR"/>
        </w:rPr>
      </w:pPr>
      <w:r w:rsidRPr="007C29B2">
        <w:rPr>
          <w:lang w:val="fr-FR"/>
        </w:rPr>
        <w:t>(Déclarations relatives au premier paragraphe de l</w:t>
      </w:r>
      <w:r w:rsidR="00277023">
        <w:rPr>
          <w:lang w:val="fr-FR"/>
        </w:rPr>
        <w:t>’</w:t>
      </w:r>
      <w:r w:rsidRPr="007C29B2">
        <w:rPr>
          <w:lang w:val="fr-FR"/>
        </w:rPr>
        <w:t>article 9 et à l</w:t>
      </w:r>
      <w:r w:rsidR="00277023">
        <w:rPr>
          <w:lang w:val="fr-FR"/>
        </w:rPr>
        <w:t>’</w:t>
      </w:r>
      <w:r w:rsidRPr="007C29B2">
        <w:rPr>
          <w:lang w:val="fr-FR"/>
        </w:rPr>
        <w:t xml:space="preserve">article 10) </w:t>
      </w:r>
    </w:p>
    <w:p w:rsidR="007C29B2" w:rsidRPr="00FE4A04" w:rsidRDefault="007C29B2" w:rsidP="007C29B2">
      <w:pPr>
        <w:pStyle w:val="SingleTxtG"/>
        <w:rPr>
          <w:lang w:val="es-ES"/>
        </w:rPr>
      </w:pPr>
      <w:r w:rsidRPr="007C29B2">
        <w:rPr>
          <w:lang w:val="fr-FR"/>
        </w:rPr>
        <w:t>8.</w:t>
      </w:r>
      <w:r w:rsidRPr="007C29B2">
        <w:rPr>
          <w:lang w:val="fr-FR"/>
        </w:rPr>
        <w:tab/>
        <w:t>S</w:t>
      </w:r>
      <w:r w:rsidR="00277023">
        <w:rPr>
          <w:lang w:val="fr-FR"/>
        </w:rPr>
        <w:t>’</w:t>
      </w:r>
      <w:r w:rsidRPr="007C29B2">
        <w:rPr>
          <w:lang w:val="fr-FR"/>
        </w:rPr>
        <w:t>agissant du premier paragraphe de l</w:t>
      </w:r>
      <w:r w:rsidR="00277023">
        <w:rPr>
          <w:lang w:val="fr-FR"/>
        </w:rPr>
        <w:t>’</w:t>
      </w:r>
      <w:r w:rsidRPr="007C29B2">
        <w:rPr>
          <w:lang w:val="fr-FR"/>
        </w:rPr>
        <w:t xml:space="preserve">article 9 de </w:t>
      </w:r>
      <w:smartTag w:uri="urn:schemas-microsoft-com:office:smarttags" w:element="PersonName">
        <w:smartTagPr>
          <w:attr w:name="ProductID" w:val="LA CONVENTION"/>
        </w:smartTagPr>
        <w:r w:rsidRPr="007C29B2">
          <w:rPr>
            <w:lang w:val="fr-FR"/>
          </w:rPr>
          <w:t>la Convention</w:t>
        </w:r>
      </w:smartTag>
      <w:r w:rsidRPr="007C29B2">
        <w:rPr>
          <w:lang w:val="fr-FR"/>
        </w:rPr>
        <w:t xml:space="preserve">, </w:t>
      </w:r>
      <w:r w:rsidR="008E49D4">
        <w:rPr>
          <w:lang w:val="fr-FR"/>
        </w:rPr>
        <w:t xml:space="preserve">dont la disposition stipule que </w:t>
      </w:r>
      <w:r w:rsidR="008E49D4" w:rsidRPr="007C29B2">
        <w:rPr>
          <w:bCs/>
          <w:lang w:val="fr-FR"/>
        </w:rPr>
        <w:t>“</w:t>
      </w:r>
      <w:r w:rsidRPr="007C29B2">
        <w:rPr>
          <w:lang w:val="fr-FR"/>
        </w:rPr>
        <w:t>les Etats parties veillent à ce qu</w:t>
      </w:r>
      <w:r w:rsidR="00277023">
        <w:rPr>
          <w:lang w:val="fr-FR"/>
        </w:rPr>
        <w:t>’</w:t>
      </w:r>
      <w:r w:rsidRPr="007C29B2">
        <w:rPr>
          <w:lang w:val="fr-FR"/>
        </w:rPr>
        <w:t>un enfant ne soit pas séparé de ses parents contre leur gré, à moins que les autorités compétentes ne décident, [</w:t>
      </w:r>
      <w:r w:rsidR="008E49D4">
        <w:rPr>
          <w:lang w:val="fr-FR"/>
        </w:rPr>
        <w:t>...</w:t>
      </w:r>
      <w:r w:rsidRPr="007C29B2">
        <w:rPr>
          <w:lang w:val="fr-FR"/>
        </w:rPr>
        <w:t>] conformément aux lois et procédures applicables, que cette séparation est nécessaire dans l</w:t>
      </w:r>
      <w:r w:rsidR="00277023">
        <w:rPr>
          <w:lang w:val="fr-FR"/>
        </w:rPr>
        <w:t>’</w:t>
      </w:r>
      <w:r w:rsidRPr="007C29B2">
        <w:rPr>
          <w:lang w:val="fr-FR"/>
        </w:rPr>
        <w:t>intérêt supérieur de l</w:t>
      </w:r>
      <w:r w:rsidR="00277023">
        <w:rPr>
          <w:lang w:val="fr-FR"/>
        </w:rPr>
        <w:t>’</w:t>
      </w:r>
      <w:r w:rsidRPr="007C29B2">
        <w:rPr>
          <w:lang w:val="fr-FR"/>
        </w:rPr>
        <w:t>enfant,[auquel cas] une décision en ce sens peut être nécessaire dans certains cas particuliers, par exemple lorsque les parents maltraitent ou négligent l</w:t>
      </w:r>
      <w:r w:rsidR="00277023">
        <w:rPr>
          <w:lang w:val="fr-FR"/>
        </w:rPr>
        <w:t>’</w:t>
      </w:r>
      <w:r w:rsidRPr="007C29B2">
        <w:rPr>
          <w:lang w:val="fr-FR"/>
        </w:rPr>
        <w:t>enfant, ou lorsqu</w:t>
      </w:r>
      <w:r w:rsidR="00277023">
        <w:rPr>
          <w:lang w:val="fr-FR"/>
        </w:rPr>
        <w:t>’</w:t>
      </w:r>
      <w:r w:rsidRPr="007C29B2">
        <w:rPr>
          <w:lang w:val="fr-FR"/>
        </w:rPr>
        <w:t>ils vivent séparément</w:t>
      </w:r>
      <w:r w:rsidR="008E49D4">
        <w:rPr>
          <w:lang w:val="fr-FR"/>
        </w:rPr>
        <w:t>”.</w:t>
      </w:r>
      <w:r w:rsidRPr="007C29B2">
        <w:rPr>
          <w:lang w:val="fr-FR"/>
        </w:rPr>
        <w:t xml:space="preserve"> </w:t>
      </w:r>
      <w:r w:rsidRPr="00FE4A04">
        <w:rPr>
          <w:lang w:val="es-ES"/>
        </w:rPr>
        <w:t>Dès lors, il est clair que l</w:t>
      </w:r>
      <w:r w:rsidR="00277023">
        <w:rPr>
          <w:lang w:val="es-ES"/>
        </w:rPr>
        <w:t>’</w:t>
      </w:r>
      <w:r w:rsidRPr="00FE4A04">
        <w:rPr>
          <w:lang w:val="es-ES"/>
        </w:rPr>
        <w:t>enfant/les enfants et le(s) parent(s) peuvent être séparés en application de mesures prises par l</w:t>
      </w:r>
      <w:r w:rsidR="00277023">
        <w:rPr>
          <w:lang w:val="es-ES"/>
        </w:rPr>
        <w:t>’</w:t>
      </w:r>
      <w:r w:rsidRPr="00FE4A04">
        <w:rPr>
          <w:lang w:val="es-ES"/>
        </w:rPr>
        <w:t>État partie, telles que l</w:t>
      </w:r>
      <w:r w:rsidR="00277023">
        <w:rPr>
          <w:lang w:val="es-ES"/>
        </w:rPr>
        <w:t>’</w:t>
      </w:r>
      <w:r w:rsidRPr="00FE4A04">
        <w:rPr>
          <w:lang w:val="es-ES"/>
        </w:rPr>
        <w:t>expulsion, la détention, ou l</w:t>
      </w:r>
      <w:r w:rsidR="00277023">
        <w:rPr>
          <w:lang w:val="es-ES"/>
        </w:rPr>
        <w:t>’</w:t>
      </w:r>
      <w:r w:rsidRPr="00FE4A04">
        <w:rPr>
          <w:lang w:val="es-ES"/>
        </w:rPr>
        <w:t>emprisonnement de l</w:t>
      </w:r>
      <w:r w:rsidR="00277023">
        <w:rPr>
          <w:lang w:val="es-ES"/>
        </w:rPr>
        <w:t>’</w:t>
      </w:r>
      <w:r w:rsidRPr="00FE4A04">
        <w:rPr>
          <w:lang w:val="es-ES"/>
        </w:rPr>
        <w:t>enfant ou l</w:t>
      </w:r>
      <w:r w:rsidR="00277023">
        <w:rPr>
          <w:lang w:val="es-ES"/>
        </w:rPr>
        <w:t>’</w:t>
      </w:r>
      <w:r w:rsidRPr="00FE4A04">
        <w:rPr>
          <w:lang w:val="es-ES"/>
        </w:rPr>
        <w:t>un des parents, ainsi que le stipule le paragraphe 4 de l</w:t>
      </w:r>
      <w:r w:rsidR="00277023">
        <w:rPr>
          <w:lang w:val="es-ES"/>
        </w:rPr>
        <w:t>’</w:t>
      </w:r>
      <w:r w:rsidRPr="00FE4A04">
        <w:rPr>
          <w:lang w:val="es-ES"/>
        </w:rPr>
        <w:t xml:space="preserve">article 9 de </w:t>
      </w:r>
      <w:smartTag w:uri="urn:schemas-microsoft-com:office:smarttags" w:element="PersonName">
        <w:smartTagPr>
          <w:attr w:name="ProductID" w:val="la Convention."/>
        </w:smartTagPr>
        <w:r w:rsidRPr="00FE4A04">
          <w:rPr>
            <w:lang w:val="es-ES"/>
          </w:rPr>
          <w:t>la Convention.</w:t>
        </w:r>
      </w:smartTag>
    </w:p>
    <w:p w:rsidR="007C29B2" w:rsidRPr="00FE4A04" w:rsidRDefault="007C29B2" w:rsidP="007C29B2">
      <w:pPr>
        <w:pStyle w:val="SingleTxtG"/>
        <w:rPr>
          <w:lang w:val="fr-FR"/>
        </w:rPr>
      </w:pPr>
      <w:r w:rsidRPr="007C29B2">
        <w:rPr>
          <w:lang w:val="fr-FR"/>
        </w:rPr>
        <w:t>9.</w:t>
      </w:r>
      <w:r w:rsidRPr="007C29B2">
        <w:rPr>
          <w:lang w:val="fr-FR"/>
        </w:rPr>
        <w:tab/>
        <w:t>En outre, concernant le premier paragraphe de l</w:t>
      </w:r>
      <w:r w:rsidR="00277023">
        <w:rPr>
          <w:lang w:val="fr-FR"/>
        </w:rPr>
        <w:t>’</w:t>
      </w:r>
      <w:r w:rsidRPr="007C29B2">
        <w:rPr>
          <w:lang w:val="fr-FR"/>
        </w:rPr>
        <w:t xml:space="preserve">article 10 de </w:t>
      </w:r>
      <w:smartTag w:uri="urn:schemas-microsoft-com:office:smarttags" w:element="PersonName">
        <w:smartTagPr>
          <w:attr w:name="ProductID" w:val="LA CONVENTION"/>
        </w:smartTagPr>
        <w:r w:rsidRPr="007C29B2">
          <w:rPr>
            <w:lang w:val="fr-FR"/>
          </w:rPr>
          <w:t>la Convention</w:t>
        </w:r>
      </w:smartTag>
      <w:r w:rsidRPr="007C29B2">
        <w:rPr>
          <w:lang w:val="fr-FR"/>
        </w:rPr>
        <w:t xml:space="preserve">, le terme </w:t>
      </w:r>
      <w:r w:rsidR="008E49D4">
        <w:rPr>
          <w:lang w:val="fr-FR"/>
        </w:rPr>
        <w:t>“</w:t>
      </w:r>
      <w:r w:rsidRPr="007C29B2">
        <w:rPr>
          <w:lang w:val="fr-FR"/>
        </w:rPr>
        <w:t>positif</w:t>
      </w:r>
      <w:r w:rsidR="008E49D4">
        <w:rPr>
          <w:lang w:val="fr-FR"/>
        </w:rPr>
        <w:t>”</w:t>
      </w:r>
      <w:r w:rsidRPr="007C29B2">
        <w:rPr>
          <w:lang w:val="fr-FR"/>
        </w:rPr>
        <w:t xml:space="preserve"> fait référence à l</w:t>
      </w:r>
      <w:r w:rsidR="00277023">
        <w:rPr>
          <w:lang w:val="fr-FR"/>
        </w:rPr>
        <w:t>’</w:t>
      </w:r>
      <w:r w:rsidRPr="007C29B2">
        <w:rPr>
          <w:lang w:val="fr-FR"/>
        </w:rPr>
        <w:t>interdiction des traitements hostiles, comme le fait de rejeter une demande d</w:t>
      </w:r>
      <w:r w:rsidR="00277023">
        <w:rPr>
          <w:lang w:val="fr-FR"/>
        </w:rPr>
        <w:t>’</w:t>
      </w:r>
      <w:r w:rsidRPr="007C29B2">
        <w:rPr>
          <w:lang w:val="fr-FR"/>
        </w:rPr>
        <w:t>immigration ou d</w:t>
      </w:r>
      <w:r w:rsidR="00277023">
        <w:rPr>
          <w:lang w:val="fr-FR"/>
        </w:rPr>
        <w:t>’</w:t>
      </w:r>
      <w:r w:rsidRPr="007C29B2">
        <w:rPr>
          <w:lang w:val="fr-FR"/>
        </w:rPr>
        <w:t>émigration</w:t>
      </w:r>
      <w:r w:rsidR="00277023">
        <w:rPr>
          <w:lang w:val="fr-FR"/>
        </w:rPr>
        <w:t>;</w:t>
      </w:r>
      <w:r w:rsidRPr="007C29B2">
        <w:rPr>
          <w:lang w:val="fr-FR"/>
        </w:rPr>
        <w:t xml:space="preserve"> en principe, le qualificatif </w:t>
      </w:r>
      <w:r w:rsidR="008E49D4">
        <w:rPr>
          <w:lang w:val="fr-FR"/>
        </w:rPr>
        <w:t>“</w:t>
      </w:r>
      <w:r w:rsidRPr="007C29B2">
        <w:rPr>
          <w:lang w:val="fr-FR"/>
        </w:rPr>
        <w:t>avec humanité</w:t>
      </w:r>
      <w:r w:rsidR="008E49D4">
        <w:rPr>
          <w:lang w:val="fr-FR"/>
        </w:rPr>
        <w:t>”</w:t>
      </w:r>
      <w:r w:rsidRPr="007C29B2">
        <w:rPr>
          <w:lang w:val="fr-FR"/>
        </w:rPr>
        <w:t xml:space="preserve"> signifie que lorsque des considérations humanitaires sont jugées impérieuses lors de l</w:t>
      </w:r>
      <w:r w:rsidR="00277023">
        <w:rPr>
          <w:lang w:val="fr-FR"/>
        </w:rPr>
        <w:t>’</w:t>
      </w:r>
      <w:r w:rsidRPr="007C29B2">
        <w:rPr>
          <w:lang w:val="fr-FR"/>
        </w:rPr>
        <w:t>examen de procédures d</w:t>
      </w:r>
      <w:r w:rsidR="00277023">
        <w:rPr>
          <w:lang w:val="fr-FR"/>
        </w:rPr>
        <w:t>’</w:t>
      </w:r>
      <w:r w:rsidRPr="007C29B2">
        <w:rPr>
          <w:lang w:val="fr-FR"/>
        </w:rPr>
        <w:t>immigration et d</w:t>
      </w:r>
      <w:r w:rsidR="00277023">
        <w:rPr>
          <w:lang w:val="fr-FR"/>
        </w:rPr>
        <w:t>’</w:t>
      </w:r>
      <w:r w:rsidRPr="007C29B2">
        <w:rPr>
          <w:lang w:val="fr-FR"/>
        </w:rPr>
        <w:t>immigration, elles seront prises en compte</w:t>
      </w:r>
      <w:r w:rsidR="00277023">
        <w:rPr>
          <w:lang w:val="fr-FR"/>
        </w:rPr>
        <w:t>;</w:t>
      </w:r>
      <w:r w:rsidRPr="007C29B2">
        <w:rPr>
          <w:lang w:val="fr-FR"/>
        </w:rPr>
        <w:t xml:space="preserve"> et l</w:t>
      </w:r>
      <w:r w:rsidR="00277023">
        <w:rPr>
          <w:lang w:val="fr-FR"/>
        </w:rPr>
        <w:t>’</w:t>
      </w:r>
      <w:r w:rsidRPr="007C29B2">
        <w:rPr>
          <w:lang w:val="fr-FR"/>
        </w:rPr>
        <w:t xml:space="preserve">expression </w:t>
      </w:r>
      <w:r w:rsidR="008E49D4">
        <w:rPr>
          <w:lang w:val="fr-FR"/>
        </w:rPr>
        <w:t>“</w:t>
      </w:r>
      <w:r w:rsidRPr="007C29B2">
        <w:rPr>
          <w:lang w:val="fr-FR"/>
        </w:rPr>
        <w:t>avec diligence</w:t>
      </w:r>
      <w:r w:rsidR="008E49D4">
        <w:rPr>
          <w:lang w:val="fr-FR"/>
        </w:rPr>
        <w:t>”</w:t>
      </w:r>
      <w:r w:rsidRPr="007C29B2">
        <w:rPr>
          <w:lang w:val="fr-FR"/>
        </w:rPr>
        <w:t xml:space="preserve"> signifie que ces procédures sont conduites de façon appropriée, de manière à ne pas occasionner de retard inutile. </w:t>
      </w:r>
      <w:r w:rsidRPr="00FE4A04">
        <w:rPr>
          <w:lang w:val="fr-FR"/>
        </w:rPr>
        <w:t>Partant, on peut comprendre que la disposition du premier paragraphe de l</w:t>
      </w:r>
      <w:r w:rsidR="00277023">
        <w:rPr>
          <w:lang w:val="fr-FR"/>
        </w:rPr>
        <w:t>’</w:t>
      </w:r>
      <w:r w:rsidRPr="00FE4A04">
        <w:rPr>
          <w:lang w:val="fr-FR"/>
        </w:rPr>
        <w:t xml:space="preserve">article 10 </w:t>
      </w:r>
      <w:r w:rsidR="008E49D4">
        <w:rPr>
          <w:lang w:val="fr-FR"/>
        </w:rPr>
        <w:t>“</w:t>
      </w:r>
      <w:r w:rsidRPr="00FE4A04">
        <w:rPr>
          <w:lang w:val="fr-FR"/>
        </w:rPr>
        <w:t>toute demande [</w:t>
      </w:r>
      <w:r w:rsidR="008E49D4">
        <w:rPr>
          <w:lang w:val="fr-FR"/>
        </w:rPr>
        <w:t>...</w:t>
      </w:r>
      <w:r w:rsidRPr="00FE4A04">
        <w:rPr>
          <w:lang w:val="fr-FR"/>
        </w:rPr>
        <w:t>] est considérée par les Etats parties dans un esprit positif, avec humanité et diligence</w:t>
      </w:r>
      <w:r w:rsidR="008E49D4">
        <w:rPr>
          <w:lang w:val="fr-FR"/>
        </w:rPr>
        <w:t>”</w:t>
      </w:r>
      <w:r w:rsidRPr="00FE4A04">
        <w:rPr>
          <w:lang w:val="fr-FR"/>
        </w:rPr>
        <w:t xml:space="preserve"> ne préjuge pas du résultat de l</w:t>
      </w:r>
      <w:r w:rsidR="00277023">
        <w:rPr>
          <w:lang w:val="fr-FR"/>
        </w:rPr>
        <w:t>’</w:t>
      </w:r>
      <w:r w:rsidRPr="00FE4A04">
        <w:rPr>
          <w:lang w:val="fr-FR"/>
        </w:rPr>
        <w:t>examen des candidatures à l</w:t>
      </w:r>
      <w:r w:rsidR="00277023">
        <w:rPr>
          <w:lang w:val="fr-FR"/>
        </w:rPr>
        <w:t>’</w:t>
      </w:r>
      <w:r w:rsidRPr="00FE4A04">
        <w:rPr>
          <w:lang w:val="fr-FR"/>
        </w:rPr>
        <w:t>immigration ou à l</w:t>
      </w:r>
      <w:r w:rsidR="00277023">
        <w:rPr>
          <w:lang w:val="fr-FR"/>
        </w:rPr>
        <w:t>’</w:t>
      </w:r>
      <w:r w:rsidRPr="00FE4A04">
        <w:rPr>
          <w:lang w:val="fr-FR"/>
        </w:rPr>
        <w:t>émigration et n</w:t>
      </w:r>
      <w:r w:rsidR="00277023">
        <w:rPr>
          <w:lang w:val="fr-FR"/>
        </w:rPr>
        <w:t>’</w:t>
      </w:r>
      <w:r w:rsidRPr="00FE4A04">
        <w:rPr>
          <w:lang w:val="fr-FR"/>
        </w:rPr>
        <w:t>a aucune incidence à cet égard.</w:t>
      </w:r>
    </w:p>
    <w:p w:rsidR="007C29B2" w:rsidRPr="007C29B2" w:rsidRDefault="007C29B2" w:rsidP="007C29B2">
      <w:pPr>
        <w:pStyle w:val="SingleTxtG"/>
        <w:rPr>
          <w:lang w:val="fr-FR"/>
        </w:rPr>
      </w:pPr>
      <w:r w:rsidRPr="007C29B2">
        <w:rPr>
          <w:lang w:val="fr-FR"/>
        </w:rPr>
        <w:t>10.</w:t>
      </w:r>
      <w:r w:rsidRPr="007C29B2">
        <w:rPr>
          <w:lang w:val="fr-FR"/>
        </w:rPr>
        <w:tab/>
        <w:t>Le Gouvernement a fait la déclaration suivante, e</w:t>
      </w:r>
      <w:r w:rsidR="002B5F2D">
        <w:rPr>
          <w:lang w:val="fr-FR"/>
        </w:rPr>
        <w:t>stimant que les explications ci</w:t>
      </w:r>
      <w:r w:rsidR="002B5F2D">
        <w:rPr>
          <w:lang w:val="fr-FR"/>
        </w:rPr>
        <w:noBreakHyphen/>
      </w:r>
      <w:r w:rsidRPr="007C29B2">
        <w:rPr>
          <w:lang w:val="fr-FR"/>
        </w:rPr>
        <w:t>dessus n</w:t>
      </w:r>
      <w:r w:rsidR="00277023">
        <w:rPr>
          <w:lang w:val="fr-FR"/>
        </w:rPr>
        <w:t>’</w:t>
      </w:r>
      <w:r w:rsidRPr="007C29B2">
        <w:rPr>
          <w:lang w:val="fr-FR"/>
        </w:rPr>
        <w:t>étaient pas nécessairement limpides</w:t>
      </w:r>
      <w:r w:rsidR="00277023">
        <w:rPr>
          <w:lang w:val="fr-FR"/>
        </w:rPr>
        <w:t>:</w:t>
      </w:r>
      <w:r w:rsidRPr="007C29B2">
        <w:rPr>
          <w:lang w:val="fr-FR"/>
        </w:rPr>
        <w:t xml:space="preserve"> </w:t>
      </w:r>
    </w:p>
    <w:p w:rsidR="006350BE" w:rsidRPr="007C29B2" w:rsidRDefault="007C29B2" w:rsidP="007C29B2">
      <w:pPr>
        <w:pStyle w:val="SingleTxtG"/>
        <w:ind w:left="1701"/>
        <w:rPr>
          <w:lang w:val="fr-FR"/>
        </w:rPr>
      </w:pPr>
      <w:r w:rsidRPr="007C29B2">
        <w:rPr>
          <w:bCs/>
          <w:lang w:val="fr-FR"/>
        </w:rPr>
        <w:t>“</w:t>
      </w:r>
      <w:r w:rsidRPr="007C29B2">
        <w:rPr>
          <w:lang w:val="fr-FR"/>
        </w:rPr>
        <w:t>Le Gouvernement japonais déclare que le premier paragraphe de l</w:t>
      </w:r>
      <w:r w:rsidR="00277023">
        <w:rPr>
          <w:lang w:val="fr-FR"/>
        </w:rPr>
        <w:t>’</w:t>
      </w:r>
      <w:r w:rsidRPr="007C29B2">
        <w:rPr>
          <w:lang w:val="fr-FR"/>
        </w:rPr>
        <w:t xml:space="preserve">article 9 de </w:t>
      </w:r>
      <w:smartTag w:uri="urn:schemas-microsoft-com:office:smarttags" w:element="PersonName">
        <w:smartTagPr>
          <w:attr w:name="ProductID" w:val="LA CONVENTION"/>
        </w:smartTagPr>
        <w:r w:rsidRPr="007C29B2">
          <w:rPr>
            <w:lang w:val="fr-FR"/>
          </w:rPr>
          <w:t>la Convention</w:t>
        </w:r>
      </w:smartTag>
      <w:r w:rsidRPr="007C29B2">
        <w:rPr>
          <w:lang w:val="fr-FR"/>
        </w:rPr>
        <w:t xml:space="preserve"> relative aux droits de l</w:t>
      </w:r>
      <w:r w:rsidR="00277023">
        <w:rPr>
          <w:lang w:val="fr-FR"/>
        </w:rPr>
        <w:t>’</w:t>
      </w:r>
      <w:r w:rsidRPr="007C29B2">
        <w:rPr>
          <w:lang w:val="fr-FR"/>
        </w:rPr>
        <w:t>enfant ne s</w:t>
      </w:r>
      <w:r w:rsidR="00277023">
        <w:rPr>
          <w:lang w:val="fr-FR"/>
        </w:rPr>
        <w:t>’</w:t>
      </w:r>
      <w:r w:rsidRPr="007C29B2">
        <w:rPr>
          <w:lang w:val="fr-FR"/>
        </w:rPr>
        <w:t>applique pas dans le cas où un enfant est séparé de ses parents à la suite d</w:t>
      </w:r>
      <w:r w:rsidR="00277023">
        <w:rPr>
          <w:lang w:val="fr-FR"/>
        </w:rPr>
        <w:t>’</w:t>
      </w:r>
      <w:r w:rsidRPr="007C29B2">
        <w:rPr>
          <w:lang w:val="fr-FR"/>
        </w:rPr>
        <w:t xml:space="preserve">une expulsion prononcée en application de </w:t>
      </w:r>
      <w:smartTag w:uri="urn:schemas-microsoft-com:office:smarttags" w:element="PersonName">
        <w:smartTagPr>
          <w:attr w:name="ProductID" w:val="la Loi"/>
        </w:smartTagPr>
        <w:r w:rsidRPr="007C29B2">
          <w:rPr>
            <w:lang w:val="fr-FR"/>
          </w:rPr>
          <w:t>la Loi</w:t>
        </w:r>
      </w:smartTag>
      <w:r w:rsidRPr="007C29B2">
        <w:rPr>
          <w:lang w:val="fr-FR"/>
        </w:rPr>
        <w:t xml:space="preserve"> sur le contrôle de l</w:t>
      </w:r>
      <w:r w:rsidR="00277023">
        <w:rPr>
          <w:lang w:val="fr-FR"/>
        </w:rPr>
        <w:t>’</w:t>
      </w:r>
      <w:r w:rsidRPr="007C29B2">
        <w:rPr>
          <w:lang w:val="fr-FR"/>
        </w:rPr>
        <w:t>immigration. Par ailleurs, le Gouvernement déclare que l</w:t>
      </w:r>
      <w:r w:rsidR="00277023">
        <w:rPr>
          <w:lang w:val="fr-FR"/>
        </w:rPr>
        <w:t>’</w:t>
      </w:r>
      <w:r w:rsidRPr="007C29B2">
        <w:rPr>
          <w:lang w:val="fr-FR"/>
        </w:rPr>
        <w:t>obligation de considérer les demandes d</w:t>
      </w:r>
      <w:r w:rsidR="00277023">
        <w:rPr>
          <w:lang w:val="fr-FR"/>
        </w:rPr>
        <w:t>’</w:t>
      </w:r>
      <w:r w:rsidRPr="007C29B2">
        <w:rPr>
          <w:lang w:val="fr-FR"/>
        </w:rPr>
        <w:t xml:space="preserve">entrer dans un État partie ou de le quitter aux fins de réunification familiale </w:t>
      </w:r>
      <w:r w:rsidR="008E49D4">
        <w:rPr>
          <w:lang w:val="fr-FR"/>
        </w:rPr>
        <w:t>“</w:t>
      </w:r>
      <w:r w:rsidRPr="007C29B2">
        <w:rPr>
          <w:lang w:val="fr-FR"/>
        </w:rPr>
        <w:t>dans un esprit positif, avec humanité et diligence</w:t>
      </w:r>
      <w:r w:rsidR="008E49D4">
        <w:rPr>
          <w:lang w:val="fr-FR"/>
        </w:rPr>
        <w:t>”</w:t>
      </w:r>
      <w:r w:rsidRPr="007C29B2">
        <w:rPr>
          <w:lang w:val="fr-FR"/>
        </w:rPr>
        <w:t xml:space="preserve"> ainsi que le stipule le premier paragraphe de l</w:t>
      </w:r>
      <w:r w:rsidR="00277023">
        <w:rPr>
          <w:lang w:val="fr-FR"/>
        </w:rPr>
        <w:t>’</w:t>
      </w:r>
      <w:r w:rsidRPr="007C29B2">
        <w:rPr>
          <w:lang w:val="fr-FR"/>
        </w:rPr>
        <w:t xml:space="preserve">article 10 de </w:t>
      </w:r>
      <w:smartTag w:uri="urn:schemas-microsoft-com:office:smarttags" w:element="PersonName">
        <w:smartTagPr>
          <w:attr w:name="ProductID" w:val="LA CONVENTION"/>
        </w:smartTagPr>
        <w:r w:rsidRPr="007C29B2">
          <w:rPr>
            <w:lang w:val="fr-FR"/>
          </w:rPr>
          <w:t>la Convention</w:t>
        </w:r>
      </w:smartTag>
      <w:r w:rsidRPr="007C29B2">
        <w:rPr>
          <w:lang w:val="fr-FR"/>
        </w:rPr>
        <w:t>, n</w:t>
      </w:r>
      <w:r w:rsidR="00277023">
        <w:rPr>
          <w:lang w:val="fr-FR"/>
        </w:rPr>
        <w:t>’</w:t>
      </w:r>
      <w:r w:rsidRPr="007C29B2">
        <w:rPr>
          <w:lang w:val="fr-FR"/>
        </w:rPr>
        <w:t>a pas d</w:t>
      </w:r>
      <w:r w:rsidR="00277023">
        <w:rPr>
          <w:lang w:val="fr-FR"/>
        </w:rPr>
        <w:t>’</w:t>
      </w:r>
      <w:r w:rsidRPr="007C29B2">
        <w:rPr>
          <w:lang w:val="fr-FR"/>
        </w:rPr>
        <w:t>incidence sur le résultat de ces demandes.”</w:t>
      </w:r>
    </w:p>
    <w:p w:rsidR="006350BE" w:rsidRPr="00FE4A04" w:rsidRDefault="006350BE" w:rsidP="006350BE">
      <w:pPr>
        <w:pStyle w:val="H1G"/>
        <w:rPr>
          <w:lang w:val="fr-FR"/>
        </w:rPr>
      </w:pPr>
      <w:r w:rsidRPr="007C29B2">
        <w:rPr>
          <w:lang w:val="fr-FR"/>
        </w:rPr>
        <w:tab/>
      </w:r>
      <w:r w:rsidRPr="00FE4A04">
        <w:rPr>
          <w:lang w:val="fr-FR"/>
        </w:rPr>
        <w:t>B.</w:t>
      </w:r>
      <w:r w:rsidRPr="00FE4A04">
        <w:rPr>
          <w:lang w:val="fr-FR"/>
        </w:rPr>
        <w:tab/>
      </w:r>
      <w:r w:rsidR="007C29B2" w:rsidRPr="007C29B2">
        <w:rPr>
          <w:bCs/>
          <w:lang w:val="fr-FR"/>
        </w:rPr>
        <w:t xml:space="preserve">Mesures prises pour harmoniser les lois et politiques nationales avec les dispositions de </w:t>
      </w:r>
      <w:smartTag w:uri="urn:schemas-microsoft-com:office:smarttags" w:element="PersonName">
        <w:smartTagPr>
          <w:attr w:name="ProductID" w:val="LA CONVENTION"/>
        </w:smartTagPr>
        <w:r w:rsidR="007C29B2" w:rsidRPr="007C29B2">
          <w:rPr>
            <w:bCs/>
            <w:lang w:val="fr-FR"/>
          </w:rPr>
          <w:t>la Convention</w:t>
        </w:r>
      </w:smartTag>
      <w:r w:rsidR="007C29B2" w:rsidRPr="007C29B2">
        <w:rPr>
          <w:bCs/>
          <w:lang w:val="fr-FR"/>
        </w:rPr>
        <w:t xml:space="preserve"> (article 4)</w:t>
      </w:r>
    </w:p>
    <w:p w:rsidR="006350BE" w:rsidRPr="00FE4A04" w:rsidRDefault="007453E9" w:rsidP="007453E9">
      <w:pPr>
        <w:pStyle w:val="H23G"/>
        <w:rPr>
          <w:lang w:val="fr-FR"/>
        </w:rPr>
      </w:pPr>
      <w:r w:rsidRPr="00FE4A04">
        <w:rPr>
          <w:lang w:val="fr-FR"/>
        </w:rPr>
        <w:tab/>
      </w:r>
      <w:r w:rsidR="006350BE" w:rsidRPr="00FE4A04">
        <w:rPr>
          <w:lang w:val="fr-FR"/>
        </w:rPr>
        <w:t>a)</w:t>
      </w:r>
      <w:r w:rsidR="006350BE" w:rsidRPr="00FE4A04">
        <w:rPr>
          <w:lang w:val="fr-FR"/>
        </w:rPr>
        <w:tab/>
      </w:r>
      <w:r w:rsidR="007C29B2" w:rsidRPr="007C29B2">
        <w:rPr>
          <w:lang w:val="fr-FR"/>
        </w:rPr>
        <w:t xml:space="preserve">Examen approfondi de la législation interne pour assurer sa conformité avec </w:t>
      </w:r>
      <w:smartTag w:uri="urn:schemas-microsoft-com:office:smarttags" w:element="PersonName">
        <w:smartTagPr>
          <w:attr w:name="ProductID" w:val="LA CONVENTION"/>
        </w:smartTagPr>
        <w:r w:rsidR="007C29B2" w:rsidRPr="007C29B2">
          <w:rPr>
            <w:lang w:val="fr-FR"/>
          </w:rPr>
          <w:t>la Convention</w:t>
        </w:r>
      </w:smartTag>
    </w:p>
    <w:p w:rsidR="006350BE" w:rsidRPr="0062462B" w:rsidRDefault="006350BE" w:rsidP="0062462B">
      <w:pPr>
        <w:pStyle w:val="SingleTxtG"/>
      </w:pPr>
      <w:r w:rsidRPr="008E5027">
        <w:t>11.</w:t>
      </w:r>
      <w:r w:rsidRPr="008E5027">
        <w:tab/>
      </w:r>
      <w:r w:rsidR="007C29B2" w:rsidRPr="00184A74">
        <w:t>Voir paragraphes 12 et 14 du rapport initial du Japon.</w:t>
      </w:r>
    </w:p>
    <w:p w:rsidR="006350BE" w:rsidRPr="008E5027" w:rsidRDefault="007453E9" w:rsidP="007453E9">
      <w:pPr>
        <w:pStyle w:val="H23G"/>
      </w:pPr>
      <w:r w:rsidRPr="008E5027">
        <w:tab/>
      </w:r>
      <w:r w:rsidR="006350BE" w:rsidRPr="008E5027">
        <w:t>b)</w:t>
      </w:r>
      <w:r w:rsidR="006350BE" w:rsidRPr="008E5027">
        <w:tab/>
      </w:r>
      <w:r w:rsidR="00595D79" w:rsidRPr="00595D79">
        <w:rPr>
          <w:lang w:val="fr-FR"/>
        </w:rPr>
        <w:t>Nouvelles législations et amendements partiels des lois pertinentes afin d</w:t>
      </w:r>
      <w:r w:rsidR="00277023">
        <w:rPr>
          <w:lang w:val="fr-FR"/>
        </w:rPr>
        <w:t>’</w:t>
      </w:r>
      <w:r w:rsidR="00595D79" w:rsidRPr="00595D79">
        <w:rPr>
          <w:lang w:val="fr-FR"/>
        </w:rPr>
        <w:t xml:space="preserve">assurer la mise en oeuvre de </w:t>
      </w:r>
      <w:smartTag w:uri="urn:schemas-microsoft-com:office:smarttags" w:element="PersonName">
        <w:smartTagPr>
          <w:attr w:name="ProductID" w:val="LA CONVENTION"/>
        </w:smartTagPr>
        <w:r w:rsidR="00595D79" w:rsidRPr="00595D79">
          <w:rPr>
            <w:lang w:val="fr-FR"/>
          </w:rPr>
          <w:t>la Convention</w:t>
        </w:r>
      </w:smartTag>
    </w:p>
    <w:p w:rsidR="00595D79" w:rsidRPr="00595D79" w:rsidRDefault="00595D79" w:rsidP="00595D79">
      <w:pPr>
        <w:pStyle w:val="SingleTxtG"/>
        <w:rPr>
          <w:lang w:val="fr-FR"/>
        </w:rPr>
      </w:pPr>
      <w:r w:rsidRPr="00595D79">
        <w:rPr>
          <w:lang w:val="fr-FR"/>
        </w:rPr>
        <w:t>12.</w:t>
      </w:r>
      <w:r w:rsidRPr="00595D79">
        <w:rPr>
          <w:lang w:val="fr-FR"/>
        </w:rPr>
        <w:tab/>
        <w:t>Ci-dessous sont énumérés les principaux textes de loi promulgués en faveur des droits de l</w:t>
      </w:r>
      <w:r w:rsidR="00277023">
        <w:rPr>
          <w:lang w:val="fr-FR"/>
        </w:rPr>
        <w:t>’</w:t>
      </w:r>
      <w:r w:rsidRPr="00595D79">
        <w:rPr>
          <w:lang w:val="fr-FR"/>
        </w:rPr>
        <w:t>enfant et les lois pertinentes partiellement modifiées au cours de la période considérée (des détails sont fournis dans chacune des sections correspondantes du présent rapport).</w:t>
      </w:r>
    </w:p>
    <w:p w:rsidR="00595D79" w:rsidRPr="00595D79" w:rsidRDefault="00595D79" w:rsidP="00595D79">
      <w:pPr>
        <w:pStyle w:val="SingleTxtG"/>
        <w:rPr>
          <w:lang w:val="fr-FR"/>
        </w:rPr>
      </w:pPr>
      <w:r w:rsidRPr="00595D79">
        <w:rPr>
          <w:lang w:val="fr-FR"/>
        </w:rPr>
        <w:t xml:space="preserve">(Amendements partiels de </w:t>
      </w:r>
      <w:smartTag w:uri="urn:schemas-microsoft-com:office:smarttags" w:element="PersonName">
        <w:smartTagPr>
          <w:attr w:name="ProductID" w:val="la Loi"/>
        </w:smartTagPr>
        <w:r w:rsidRPr="00595D79">
          <w:rPr>
            <w:lang w:val="fr-FR"/>
          </w:rPr>
          <w:t>la Loi</w:t>
        </w:r>
      </w:smartTag>
      <w:r w:rsidRPr="00595D79">
        <w:rPr>
          <w:lang w:val="fr-FR"/>
        </w:rPr>
        <w:t xml:space="preserve"> sur l</w:t>
      </w:r>
      <w:r w:rsidR="00277023">
        <w:rPr>
          <w:lang w:val="fr-FR"/>
        </w:rPr>
        <w:t>’</w:t>
      </w:r>
      <w:r w:rsidRPr="00595D79">
        <w:rPr>
          <w:lang w:val="fr-FR"/>
        </w:rPr>
        <w:t xml:space="preserve">interdiction faite au mineurs de fumer et de </w:t>
      </w:r>
      <w:smartTag w:uri="urn:schemas-microsoft-com:office:smarttags" w:element="PersonName">
        <w:smartTagPr>
          <w:attr w:name="ProductID" w:val="la Loi"/>
        </w:smartTagPr>
        <w:r w:rsidRPr="00595D79">
          <w:rPr>
            <w:lang w:val="fr-FR"/>
          </w:rPr>
          <w:t>la Loi</w:t>
        </w:r>
      </w:smartTag>
      <w:r w:rsidRPr="00595D79">
        <w:rPr>
          <w:lang w:val="fr-FR"/>
        </w:rPr>
        <w:t xml:space="preserve"> sur l</w:t>
      </w:r>
      <w:r w:rsidR="00277023">
        <w:rPr>
          <w:lang w:val="fr-FR"/>
        </w:rPr>
        <w:t>’</w:t>
      </w:r>
      <w:r w:rsidRPr="00595D79">
        <w:rPr>
          <w:lang w:val="fr-FR"/>
        </w:rPr>
        <w:t>interdiction faite aux mineurs de consommer de l</w:t>
      </w:r>
      <w:r w:rsidR="00277023">
        <w:rPr>
          <w:lang w:val="fr-FR"/>
        </w:rPr>
        <w:t>’</w:t>
      </w:r>
      <w:r w:rsidRPr="00595D79">
        <w:rPr>
          <w:lang w:val="fr-FR"/>
        </w:rPr>
        <w:t xml:space="preserve">alcool) </w:t>
      </w:r>
    </w:p>
    <w:p w:rsidR="00595D79" w:rsidRPr="00595D79" w:rsidRDefault="00595D79" w:rsidP="00595D79">
      <w:pPr>
        <w:pStyle w:val="SingleTxtG"/>
        <w:rPr>
          <w:lang w:val="fr-FR"/>
        </w:rPr>
      </w:pPr>
      <w:r w:rsidRPr="00595D79">
        <w:rPr>
          <w:lang w:val="fr-FR"/>
        </w:rPr>
        <w:t>13.</w:t>
      </w:r>
      <w:r w:rsidRPr="00595D79">
        <w:rPr>
          <w:lang w:val="fr-FR"/>
        </w:rPr>
        <w:tab/>
      </w:r>
      <w:smartTag w:uri="urn:schemas-microsoft-com:office:smarttags" w:element="PersonName">
        <w:smartTagPr>
          <w:attr w:name="ProductID" w:val="la Loi"/>
        </w:smartTagPr>
        <w:r w:rsidRPr="00595D79">
          <w:rPr>
            <w:lang w:val="fr-FR"/>
          </w:rPr>
          <w:t>La Loi</w:t>
        </w:r>
      </w:smartTag>
      <w:r w:rsidRPr="00595D79">
        <w:rPr>
          <w:lang w:val="fr-FR"/>
        </w:rPr>
        <w:t xml:space="preserve"> portant modification partielle de </w:t>
      </w:r>
      <w:smartTag w:uri="urn:schemas-microsoft-com:office:smarttags" w:element="PersonName">
        <w:smartTagPr>
          <w:attr w:name="ProductID" w:val="la Loi"/>
        </w:smartTagPr>
        <w:r w:rsidRPr="00595D79">
          <w:rPr>
            <w:lang w:val="fr-FR"/>
          </w:rPr>
          <w:t>la Loi</w:t>
        </w:r>
      </w:smartTag>
      <w:r w:rsidRPr="00595D79">
        <w:rPr>
          <w:lang w:val="fr-FR"/>
        </w:rPr>
        <w:t xml:space="preserve"> sur l</w:t>
      </w:r>
      <w:r w:rsidR="00277023">
        <w:rPr>
          <w:lang w:val="fr-FR"/>
        </w:rPr>
        <w:t>’</w:t>
      </w:r>
      <w:r w:rsidRPr="00595D79">
        <w:rPr>
          <w:lang w:val="fr-FR"/>
        </w:rPr>
        <w:t xml:space="preserve">interdiction faite au mineurs de fumer et de </w:t>
      </w:r>
      <w:smartTag w:uri="urn:schemas-microsoft-com:office:smarttags" w:element="PersonName">
        <w:smartTagPr>
          <w:attr w:name="ProductID" w:val="la Loi"/>
        </w:smartTagPr>
        <w:r w:rsidRPr="00595D79">
          <w:rPr>
            <w:lang w:val="fr-FR"/>
          </w:rPr>
          <w:t>la Loi</w:t>
        </w:r>
      </w:smartTag>
      <w:r w:rsidRPr="00595D79">
        <w:rPr>
          <w:lang w:val="fr-FR"/>
        </w:rPr>
        <w:t xml:space="preserve"> sur l</w:t>
      </w:r>
      <w:r w:rsidR="00277023">
        <w:rPr>
          <w:lang w:val="fr-FR"/>
        </w:rPr>
        <w:t>’</w:t>
      </w:r>
      <w:r w:rsidRPr="00595D79">
        <w:rPr>
          <w:lang w:val="fr-FR"/>
        </w:rPr>
        <w:t>interdiction faite aux mineurs de consommer de l</w:t>
      </w:r>
      <w:r w:rsidR="00277023">
        <w:rPr>
          <w:lang w:val="fr-FR"/>
        </w:rPr>
        <w:t>’</w:t>
      </w:r>
      <w:r w:rsidRPr="00595D79">
        <w:rPr>
          <w:lang w:val="fr-FR"/>
        </w:rPr>
        <w:t>alcool a été promulguée en décembre 2001</w:t>
      </w:r>
      <w:r w:rsidR="00277023">
        <w:rPr>
          <w:lang w:val="fr-FR"/>
        </w:rPr>
        <w:t>;</w:t>
      </w:r>
      <w:r w:rsidRPr="00595D79">
        <w:rPr>
          <w:lang w:val="fr-FR"/>
        </w:rPr>
        <w:t xml:space="preserve"> elle stipule que les distributeurs doivent prendre les mesures nécessaires, comme la vérification de l</w:t>
      </w:r>
      <w:r w:rsidR="00277023">
        <w:rPr>
          <w:lang w:val="fr-FR"/>
        </w:rPr>
        <w:t>’</w:t>
      </w:r>
      <w:r w:rsidRPr="00595D79">
        <w:rPr>
          <w:lang w:val="fr-FR"/>
        </w:rPr>
        <w:t>âge, pour empêcher les mineurs de fumer et de consommer de l</w:t>
      </w:r>
      <w:r w:rsidR="00277023">
        <w:rPr>
          <w:lang w:val="fr-FR"/>
        </w:rPr>
        <w:t>’</w:t>
      </w:r>
      <w:r w:rsidRPr="00595D79">
        <w:rPr>
          <w:lang w:val="fr-FR"/>
        </w:rPr>
        <w:t>alcool. Les ministères et organismes concernés demandent à ces deux secteurs industriels de renforcer leurs mesures volontaires, qui assureront la prévention de la consommation de tabac et d</w:t>
      </w:r>
      <w:r w:rsidR="00277023">
        <w:rPr>
          <w:lang w:val="fr-FR"/>
        </w:rPr>
        <w:t>’</w:t>
      </w:r>
      <w:r w:rsidRPr="00595D79">
        <w:rPr>
          <w:lang w:val="fr-FR"/>
        </w:rPr>
        <w:t>alcool par les mineurs.</w:t>
      </w:r>
    </w:p>
    <w:p w:rsidR="00595D79" w:rsidRPr="00595D79" w:rsidRDefault="00595D79" w:rsidP="00595D79">
      <w:pPr>
        <w:pStyle w:val="SingleTxtG"/>
        <w:rPr>
          <w:lang w:val="fr-FR"/>
        </w:rPr>
      </w:pPr>
      <w:r w:rsidRPr="00595D79">
        <w:rPr>
          <w:lang w:val="fr-FR"/>
        </w:rPr>
        <w:t>(Loi sur la réglementation des actes de détournement de mineurs sur des sites Internet de rencontre et autres mesures)</w:t>
      </w:r>
    </w:p>
    <w:p w:rsidR="00595D79" w:rsidRPr="00595D79" w:rsidRDefault="00595D79" w:rsidP="00595D79">
      <w:pPr>
        <w:pStyle w:val="SingleTxtG"/>
        <w:rPr>
          <w:lang w:val="fr-FR"/>
        </w:rPr>
      </w:pPr>
      <w:r w:rsidRPr="00595D79">
        <w:rPr>
          <w:lang w:val="fr-FR"/>
        </w:rPr>
        <w:t>14.</w:t>
      </w:r>
      <w:r w:rsidRPr="00595D79">
        <w:rPr>
          <w:lang w:val="fr-FR"/>
        </w:rPr>
        <w:tab/>
        <w:t xml:space="preserve">En juin </w:t>
      </w:r>
      <w:smartTag w:uri="urn:schemas-microsoft-com:office:smarttags" w:element="metricconverter">
        <w:smartTagPr>
          <w:attr w:name="ProductID" w:val="2003 a"/>
        </w:smartTagPr>
        <w:r w:rsidRPr="00595D79">
          <w:rPr>
            <w:lang w:val="fr-FR"/>
          </w:rPr>
          <w:t>2003 a</w:t>
        </w:r>
      </w:smartTag>
      <w:r w:rsidRPr="00595D79">
        <w:rPr>
          <w:lang w:val="fr-FR"/>
        </w:rPr>
        <w:t xml:space="preserve"> été promulguée </w:t>
      </w:r>
      <w:smartTag w:uri="urn:schemas-microsoft-com:office:smarttags" w:element="PersonName">
        <w:smartTagPr>
          <w:attr w:name="ProductID" w:val="la Loi"/>
        </w:smartTagPr>
        <w:r w:rsidRPr="00595D79">
          <w:rPr>
            <w:lang w:val="fr-FR"/>
          </w:rPr>
          <w:t>la Loi</w:t>
        </w:r>
      </w:smartTag>
      <w:r w:rsidRPr="00595D79">
        <w:rPr>
          <w:lang w:val="fr-FR"/>
        </w:rPr>
        <w:t xml:space="preserve"> sur la réglementation des actes de détournement de mineurs sur des sites Internet de rencontre et autres mesures (</w:t>
      </w:r>
      <w:r w:rsidR="008E49D4">
        <w:rPr>
          <w:lang w:val="fr-FR"/>
        </w:rPr>
        <w:t>“</w:t>
      </w:r>
      <w:r w:rsidRPr="00595D79">
        <w:rPr>
          <w:lang w:val="fr-FR"/>
        </w:rPr>
        <w:t>Loi sur les sites de rencontre sur Internet</w:t>
      </w:r>
      <w:r w:rsidR="008E49D4">
        <w:rPr>
          <w:lang w:val="fr-FR"/>
        </w:rPr>
        <w:t>”</w:t>
      </w:r>
      <w:r w:rsidRPr="00595D79">
        <w:rPr>
          <w:lang w:val="fr-FR"/>
        </w:rPr>
        <w:t xml:space="preserve">) et les dispositions ont commencé à être appliquées en décembre de la même année. </w:t>
      </w:r>
      <w:smartTag w:uri="urn:schemas-microsoft-com:office:smarttags" w:element="PersonName">
        <w:smartTagPr>
          <w:attr w:name="ProductID" w:val="la Loi"/>
        </w:smartTagPr>
        <w:r w:rsidRPr="00595D79">
          <w:rPr>
            <w:lang w:val="fr-FR"/>
          </w:rPr>
          <w:t>La Loi</w:t>
        </w:r>
      </w:smartTag>
      <w:r w:rsidRPr="00595D79">
        <w:rPr>
          <w:lang w:val="fr-FR"/>
        </w:rPr>
        <w:t xml:space="preserve"> interdit les actes qui incitent les enfants à se livrer à des relations sexuelles en utilisant les sites de rencontres sur Internet, et elle stipule des mesures visant à empêcher les enfants d</w:t>
      </w:r>
      <w:r w:rsidR="00277023">
        <w:rPr>
          <w:lang w:val="fr-FR"/>
        </w:rPr>
        <w:t>’</w:t>
      </w:r>
      <w:r w:rsidRPr="00595D79">
        <w:rPr>
          <w:lang w:val="fr-FR"/>
        </w:rPr>
        <w:t>aller sur ces sites de rencontre, en vue de les protéger de la prostitution enfantine due à ces sites et d</w:t>
      </w:r>
      <w:r w:rsidR="00277023">
        <w:rPr>
          <w:lang w:val="fr-FR"/>
        </w:rPr>
        <w:t>’</w:t>
      </w:r>
      <w:r w:rsidRPr="00595D79">
        <w:rPr>
          <w:lang w:val="fr-FR"/>
        </w:rPr>
        <w:t>assurer une éducation de qualité et un développement équilibré des enfants.</w:t>
      </w:r>
    </w:p>
    <w:p w:rsidR="00595D79" w:rsidRPr="00595D79" w:rsidRDefault="00595D79" w:rsidP="00595D79">
      <w:pPr>
        <w:pStyle w:val="SingleTxtG"/>
        <w:rPr>
          <w:bCs/>
          <w:lang w:val="fr-FR"/>
        </w:rPr>
      </w:pPr>
      <w:r w:rsidRPr="00595D79">
        <w:rPr>
          <w:lang w:val="fr-FR"/>
        </w:rPr>
        <w:t xml:space="preserve">(Amendement partiel de </w:t>
      </w:r>
      <w:smartTag w:uri="urn:schemas-microsoft-com:office:smarttags" w:element="PersonName">
        <w:smartTagPr>
          <w:attr w:name="ProductID" w:val="la Loi"/>
        </w:smartTagPr>
        <w:r w:rsidRPr="00595D79">
          <w:rPr>
            <w:lang w:val="fr-FR"/>
          </w:rPr>
          <w:t>la Loi</w:t>
        </w:r>
      </w:smartTag>
      <w:r w:rsidRPr="00595D79">
        <w:rPr>
          <w:lang w:val="fr-FR"/>
        </w:rPr>
        <w:t xml:space="preserve"> relative à la répression de la prostitution des enfants et de la pornographie mettant en scène des enfants, et à la protection des enfants</w:t>
      </w:r>
      <w:r w:rsidRPr="00595D79">
        <w:rPr>
          <w:bCs/>
          <w:lang w:val="fr-FR"/>
        </w:rPr>
        <w:t>)</w:t>
      </w:r>
    </w:p>
    <w:p w:rsidR="00595D79" w:rsidRPr="00595D79" w:rsidRDefault="00595D79" w:rsidP="00595D79">
      <w:pPr>
        <w:pStyle w:val="SingleTxtG"/>
        <w:rPr>
          <w:lang w:val="fr-FR"/>
        </w:rPr>
      </w:pPr>
      <w:r w:rsidRPr="00595D79">
        <w:rPr>
          <w:lang w:val="fr-FR"/>
        </w:rPr>
        <w:t>15.</w:t>
      </w:r>
      <w:r w:rsidRPr="00595D79">
        <w:rPr>
          <w:lang w:val="fr-FR"/>
        </w:rPr>
        <w:tab/>
        <w:t>Voir paragraphe 9 du deuxième rapport du Japon.</w:t>
      </w:r>
    </w:p>
    <w:p w:rsidR="00595D79" w:rsidRPr="00595D79" w:rsidRDefault="00595D79" w:rsidP="00595D79">
      <w:pPr>
        <w:pStyle w:val="SingleTxtG"/>
        <w:rPr>
          <w:lang w:val="fr-FR"/>
        </w:rPr>
      </w:pPr>
      <w:r w:rsidRPr="00595D79">
        <w:rPr>
          <w:lang w:val="fr-FR"/>
        </w:rPr>
        <w:t>16.</w:t>
      </w:r>
      <w:r w:rsidRPr="00595D79">
        <w:rPr>
          <w:lang w:val="fr-FR"/>
        </w:rPr>
        <w:tab/>
        <w:t xml:space="preserve">En ce qui concerne </w:t>
      </w:r>
      <w:smartTag w:uri="urn:schemas-microsoft-com:office:smarttags" w:element="PersonName">
        <w:smartTagPr>
          <w:attr w:name="ProductID" w:val="la Loi"/>
        </w:smartTagPr>
        <w:r w:rsidRPr="00595D79">
          <w:rPr>
            <w:lang w:val="fr-FR"/>
          </w:rPr>
          <w:t>la Loi</w:t>
        </w:r>
      </w:smartTag>
      <w:r w:rsidRPr="00595D79">
        <w:rPr>
          <w:lang w:val="fr-FR"/>
        </w:rPr>
        <w:t xml:space="preserve"> relative à la répression de la prostitution des enfants et de la pornographie mettant en scène des enfants, et à la protection des enfants (</w:t>
      </w:r>
      <w:r w:rsidR="008E49D4">
        <w:rPr>
          <w:lang w:val="fr-FR"/>
        </w:rPr>
        <w:t>“</w:t>
      </w:r>
      <w:r w:rsidRPr="00595D79">
        <w:rPr>
          <w:lang w:val="fr-FR"/>
        </w:rPr>
        <w:t>Loi sur l</w:t>
      </w:r>
      <w:r w:rsidR="00277023">
        <w:rPr>
          <w:lang w:val="fr-FR"/>
        </w:rPr>
        <w:t>’</w:t>
      </w:r>
      <w:r w:rsidRPr="00595D79">
        <w:rPr>
          <w:lang w:val="fr-FR"/>
        </w:rPr>
        <w:t>interdiction de la prostitution enfantine et de la pornographie mettant en scène des enfants</w:t>
      </w:r>
      <w:r w:rsidR="008E49D4">
        <w:rPr>
          <w:lang w:val="fr-FR"/>
        </w:rPr>
        <w:t>”</w:t>
      </w:r>
      <w:r w:rsidRPr="00595D79">
        <w:rPr>
          <w:lang w:val="fr-FR"/>
        </w:rPr>
        <w:t xml:space="preserve">), tenant compte du degré de mise en œuvre de </w:t>
      </w:r>
      <w:smartTag w:uri="urn:schemas-microsoft-com:office:smarttags" w:element="PersonName">
        <w:smartTagPr>
          <w:attr w:name="ProductID" w:val="la Loi"/>
        </w:smartTagPr>
        <w:r w:rsidRPr="00595D79">
          <w:rPr>
            <w:lang w:val="fr-FR"/>
          </w:rPr>
          <w:t>la Loi</w:t>
        </w:r>
      </w:smartTag>
      <w:r w:rsidRPr="00595D79">
        <w:rPr>
          <w:lang w:val="fr-FR"/>
        </w:rPr>
        <w:t xml:space="preserve"> et de l</w:t>
      </w:r>
      <w:r w:rsidR="00277023">
        <w:rPr>
          <w:lang w:val="fr-FR"/>
        </w:rPr>
        <w:t>’</w:t>
      </w:r>
      <w:r w:rsidRPr="00595D79">
        <w:rPr>
          <w:lang w:val="fr-FR"/>
        </w:rPr>
        <w:t>évolution internationale</w:t>
      </w:r>
      <w:r w:rsidR="00EA1115">
        <w:rPr>
          <w:lang w:val="fr-FR"/>
        </w:rPr>
        <w:t xml:space="preserve"> </w:t>
      </w:r>
      <w:r w:rsidRPr="00595D79">
        <w:rPr>
          <w:lang w:val="fr-FR"/>
        </w:rPr>
        <w:t>en matière de protection des droits de l</w:t>
      </w:r>
      <w:r w:rsidR="00277023">
        <w:rPr>
          <w:lang w:val="fr-FR"/>
        </w:rPr>
        <w:t>’</w:t>
      </w:r>
      <w:r w:rsidRPr="00595D79">
        <w:rPr>
          <w:lang w:val="fr-FR"/>
        </w:rPr>
        <w:t>enfant, des amendements partiels ont été apportés en juin 2004, tels que l</w:t>
      </w:r>
      <w:r w:rsidR="00277023">
        <w:rPr>
          <w:lang w:val="fr-FR"/>
        </w:rPr>
        <w:t>’</w:t>
      </w:r>
      <w:r w:rsidRPr="00595D79">
        <w:rPr>
          <w:lang w:val="fr-FR"/>
        </w:rPr>
        <w:t>aggravation des peines pour des crimes liés à la prostitution enfantine et à la pédopornographie, ainsi que la criminalisation de l</w:t>
      </w:r>
      <w:r w:rsidR="00277023">
        <w:rPr>
          <w:lang w:val="fr-FR"/>
        </w:rPr>
        <w:t>’</w:t>
      </w:r>
      <w:r w:rsidRPr="00595D79">
        <w:rPr>
          <w:lang w:val="fr-FR"/>
        </w:rPr>
        <w:t>acte de proposer des enregistrements électromagnétiques de pédopornographie sur les lignes de télécommunication. Ces amendements partiels sont appliqués depuis le mois de juillet de la même année.</w:t>
      </w:r>
    </w:p>
    <w:p w:rsidR="00595D79" w:rsidRPr="00595D79" w:rsidRDefault="00595D79" w:rsidP="00595D79">
      <w:pPr>
        <w:pStyle w:val="SingleTxtG"/>
        <w:rPr>
          <w:lang w:val="fr-FR"/>
        </w:rPr>
      </w:pPr>
      <w:r w:rsidRPr="00595D79">
        <w:rPr>
          <w:lang w:val="fr-FR"/>
        </w:rPr>
        <w:t xml:space="preserve">(Promulgation de </w:t>
      </w:r>
      <w:smartTag w:uri="urn:schemas-microsoft-com:office:smarttags" w:element="PersonName">
        <w:smartTagPr>
          <w:attr w:name="ProductID" w:val="la Loi"/>
        </w:smartTagPr>
        <w:r w:rsidRPr="00595D79">
          <w:rPr>
            <w:lang w:val="fr-FR"/>
          </w:rPr>
          <w:t>la Loi</w:t>
        </w:r>
      </w:smartTag>
      <w:r w:rsidRPr="00595D79">
        <w:rPr>
          <w:lang w:val="fr-FR"/>
        </w:rPr>
        <w:t xml:space="preserve"> fondamentale relative aux mesures destinées à une société accusant une baisse de la natalité et de </w:t>
      </w:r>
      <w:smartTag w:uri="urn:schemas-microsoft-com:office:smarttags" w:element="PersonName">
        <w:smartTagPr>
          <w:attr w:name="ProductID" w:val="la Loi"/>
        </w:smartTagPr>
        <w:r w:rsidRPr="00595D79">
          <w:rPr>
            <w:lang w:val="fr-FR"/>
          </w:rPr>
          <w:t>la Loi</w:t>
        </w:r>
      </w:smartTag>
      <w:r w:rsidRPr="00595D79">
        <w:rPr>
          <w:lang w:val="fr-FR"/>
        </w:rPr>
        <w:t xml:space="preserve"> relative aux mesures destinées à soutenir le bon développement de la nouvelle génération</w:t>
      </w:r>
      <w:r w:rsidRPr="00595D79">
        <w:rPr>
          <w:iCs/>
          <w:lang w:val="fr-FR"/>
        </w:rPr>
        <w:t>)</w:t>
      </w:r>
      <w:r w:rsidRPr="00595D79">
        <w:rPr>
          <w:lang w:val="fr-FR"/>
        </w:rPr>
        <w:t xml:space="preserve"> </w:t>
      </w:r>
    </w:p>
    <w:p w:rsidR="00595D79" w:rsidRPr="00595D79" w:rsidRDefault="00595D79" w:rsidP="00595D79">
      <w:pPr>
        <w:pStyle w:val="SingleTxtG"/>
        <w:rPr>
          <w:lang w:val="fr-FR"/>
        </w:rPr>
      </w:pPr>
      <w:r>
        <w:rPr>
          <w:lang w:val="fr-FR"/>
        </w:rPr>
        <w:t>17.</w:t>
      </w:r>
      <w:r>
        <w:rPr>
          <w:lang w:val="fr-FR"/>
        </w:rPr>
        <w:tab/>
      </w:r>
      <w:r w:rsidRPr="00595D79">
        <w:rPr>
          <w:lang w:val="fr-FR"/>
        </w:rPr>
        <w:t>Au Japon, compte tenu de la baisse rapide du taux de natalité, le vieillissement démographique a une incidence sérieuse et majeure sur la vie de</w:t>
      </w:r>
      <w:r w:rsidRPr="00595D79">
        <w:rPr>
          <w:iCs/>
          <w:lang w:val="fr-FR"/>
        </w:rPr>
        <w:t xml:space="preserve"> la population au XXIe siècle, et tout porte à craindre que la poursuite de la baisse du taux de natalité ne génère une société peu propice à une éducation de qualité des enfants. Pour trouver une solution à ces problèmes, </w:t>
      </w:r>
      <w:smartTag w:uri="urn:schemas-microsoft-com:office:smarttags" w:element="PersonName">
        <w:smartTagPr>
          <w:attr w:name="ProductID" w:val="la Loi"/>
        </w:smartTagPr>
        <w:r w:rsidRPr="00595D79">
          <w:rPr>
            <w:iCs/>
            <w:lang w:val="fr-FR"/>
          </w:rPr>
          <w:t>la Loi</w:t>
        </w:r>
      </w:smartTag>
      <w:r w:rsidRPr="00595D79">
        <w:rPr>
          <w:iCs/>
          <w:lang w:val="fr-FR"/>
        </w:rPr>
        <w:t xml:space="preserve"> fondamentale relative aux mesures destinées à une société accusant une baisse de la natalité a été promulguée en juillet 2003 pour formuler les principes directeurs de mesures pour une société accusant une baisse du taux de natalité et d</w:t>
      </w:r>
      <w:r w:rsidR="00277023">
        <w:rPr>
          <w:iCs/>
          <w:lang w:val="fr-FR"/>
        </w:rPr>
        <w:t>’</w:t>
      </w:r>
      <w:r w:rsidRPr="00595D79">
        <w:rPr>
          <w:iCs/>
          <w:lang w:val="fr-FR"/>
        </w:rPr>
        <w:t xml:space="preserve">en promouvoir les principes de façon adaptée et approfondie. Le Gouvernement japonais a également pris des mesures visant à inverser la baisse du taux de natalité et élaboré un cadre de mesures à cet effet en juin 2004, inspiré de </w:t>
      </w:r>
      <w:smartTag w:uri="urn:schemas-microsoft-com:office:smarttags" w:element="PersonName">
        <w:smartTagPr>
          <w:attr w:name="ProductID" w:val="la Loi. En"/>
        </w:smartTagPr>
        <w:r w:rsidRPr="00595D79">
          <w:rPr>
            <w:iCs/>
            <w:lang w:val="fr-FR"/>
          </w:rPr>
          <w:t>la Loi. En</w:t>
        </w:r>
      </w:smartTag>
      <w:r w:rsidRPr="00595D79">
        <w:rPr>
          <w:iCs/>
          <w:lang w:val="fr-FR"/>
        </w:rPr>
        <w:t xml:space="preserve"> septembre de la même année a été formulé le Plan de soutien parental</w:t>
      </w:r>
      <w:r w:rsidR="00277023">
        <w:rPr>
          <w:iCs/>
          <w:lang w:val="fr-FR"/>
        </w:rPr>
        <w:t>;</w:t>
      </w:r>
      <w:r w:rsidRPr="00595D79">
        <w:rPr>
          <w:iCs/>
          <w:lang w:val="fr-FR"/>
        </w:rPr>
        <w:t xml:space="preserve"> il s</w:t>
      </w:r>
      <w:r w:rsidR="00277023">
        <w:rPr>
          <w:iCs/>
          <w:lang w:val="fr-FR"/>
        </w:rPr>
        <w:t>’</w:t>
      </w:r>
      <w:r w:rsidRPr="00595D79">
        <w:rPr>
          <w:iCs/>
          <w:lang w:val="fr-FR"/>
        </w:rPr>
        <w:t>agit d</w:t>
      </w:r>
      <w:r w:rsidR="00277023">
        <w:rPr>
          <w:iCs/>
          <w:lang w:val="fr-FR"/>
        </w:rPr>
        <w:t>’</w:t>
      </w:r>
      <w:r w:rsidRPr="00595D79">
        <w:rPr>
          <w:iCs/>
          <w:lang w:val="fr-FR"/>
        </w:rPr>
        <w:t>un Plan d</w:t>
      </w:r>
      <w:r w:rsidR="00277023">
        <w:rPr>
          <w:iCs/>
          <w:lang w:val="fr-FR"/>
        </w:rPr>
        <w:t>’</w:t>
      </w:r>
      <w:r w:rsidRPr="00595D79">
        <w:rPr>
          <w:iCs/>
          <w:lang w:val="fr-FR"/>
        </w:rPr>
        <w:t xml:space="preserve">exécution spécifique du cadre de mesures. Par ailleurs, en juillet 2003, le Gouvernement a promulgué </w:t>
      </w:r>
      <w:smartTag w:uri="urn:schemas-microsoft-com:office:smarttags" w:element="PersonName">
        <w:smartTagPr>
          <w:attr w:name="ProductID" w:val="la Loi"/>
        </w:smartTagPr>
        <w:r w:rsidRPr="00595D79">
          <w:rPr>
            <w:iCs/>
            <w:lang w:val="fr-FR"/>
          </w:rPr>
          <w:t>la Loi</w:t>
        </w:r>
      </w:smartTag>
      <w:r w:rsidRPr="00595D79">
        <w:rPr>
          <w:iCs/>
          <w:lang w:val="fr-FR"/>
        </w:rPr>
        <w:t xml:space="preserve"> relative aux mesures destinées à soutenir le bon développement de la nouvelle génération, de manière à ce que les collectivités locales et les chefs d</w:t>
      </w:r>
      <w:r w:rsidR="00277023">
        <w:rPr>
          <w:iCs/>
          <w:lang w:val="fr-FR"/>
        </w:rPr>
        <w:t>’</w:t>
      </w:r>
      <w:r w:rsidRPr="00595D79">
        <w:rPr>
          <w:iCs/>
          <w:lang w:val="fr-FR"/>
        </w:rPr>
        <w:t>entreprise développent et mettent en oeuvre des plans d</w:t>
      </w:r>
      <w:r w:rsidR="00277023">
        <w:rPr>
          <w:iCs/>
          <w:lang w:val="fr-FR"/>
        </w:rPr>
        <w:t>’</w:t>
      </w:r>
      <w:r w:rsidRPr="00595D79">
        <w:rPr>
          <w:iCs/>
          <w:lang w:val="fr-FR"/>
        </w:rPr>
        <w:t>action pour soutenir les efforts en faveur de la nouvelle génération.</w:t>
      </w:r>
      <w:r w:rsidRPr="00595D79">
        <w:rPr>
          <w:lang w:val="fr-FR"/>
        </w:rPr>
        <w:t xml:space="preserve"> </w:t>
      </w:r>
    </w:p>
    <w:p w:rsidR="00595D79" w:rsidRPr="00595D79" w:rsidRDefault="00595D79" w:rsidP="00595D79">
      <w:pPr>
        <w:pStyle w:val="SingleTxtG"/>
        <w:rPr>
          <w:lang w:val="fr-FR"/>
        </w:rPr>
      </w:pPr>
      <w:r w:rsidRPr="00595D79">
        <w:rPr>
          <w:lang w:val="fr-FR"/>
        </w:rPr>
        <w:t xml:space="preserve">(Amendement partiel de </w:t>
      </w:r>
      <w:smartTag w:uri="urn:schemas-microsoft-com:office:smarttags" w:element="PersonName">
        <w:smartTagPr>
          <w:attr w:name="ProductID" w:val="la Loi"/>
        </w:smartTagPr>
        <w:r w:rsidRPr="00595D79">
          <w:rPr>
            <w:lang w:val="fr-FR"/>
          </w:rPr>
          <w:t>la Loi</w:t>
        </w:r>
      </w:smartTag>
      <w:r w:rsidRPr="00595D79">
        <w:rPr>
          <w:lang w:val="fr-FR"/>
        </w:rPr>
        <w:t xml:space="preserve"> sur la prévention de la violence faite aux enfants et de </w:t>
      </w:r>
      <w:smartTag w:uri="urn:schemas-microsoft-com:office:smarttags" w:element="PersonName">
        <w:smartTagPr>
          <w:attr w:name="ProductID" w:val="la Loi"/>
        </w:smartTagPr>
        <w:r w:rsidRPr="00595D79">
          <w:rPr>
            <w:lang w:val="fr-FR"/>
          </w:rPr>
          <w:t>la Loi</w:t>
        </w:r>
      </w:smartTag>
      <w:r w:rsidRPr="00595D79">
        <w:rPr>
          <w:lang w:val="fr-FR"/>
        </w:rPr>
        <w:t xml:space="preserve"> sur la protection de l</w:t>
      </w:r>
      <w:r w:rsidR="00277023">
        <w:rPr>
          <w:lang w:val="fr-FR"/>
        </w:rPr>
        <w:t>’</w:t>
      </w:r>
      <w:r w:rsidRPr="00595D79">
        <w:rPr>
          <w:lang w:val="fr-FR"/>
        </w:rPr>
        <w:t>enfance)</w:t>
      </w:r>
    </w:p>
    <w:p w:rsidR="00595D79" w:rsidRPr="00595D79" w:rsidRDefault="00595D79" w:rsidP="00595D79">
      <w:pPr>
        <w:pStyle w:val="SingleTxtG"/>
        <w:rPr>
          <w:lang w:val="fr-FR"/>
        </w:rPr>
      </w:pPr>
      <w:r w:rsidRPr="00595D79">
        <w:rPr>
          <w:lang w:val="fr-FR"/>
        </w:rPr>
        <w:t>18.</w:t>
      </w:r>
      <w:r w:rsidRPr="00595D79">
        <w:rPr>
          <w:lang w:val="fr-FR"/>
        </w:rPr>
        <w:tab/>
        <w:t>S</w:t>
      </w:r>
      <w:r w:rsidR="00277023">
        <w:rPr>
          <w:lang w:val="fr-FR"/>
        </w:rPr>
        <w:t>’</w:t>
      </w:r>
      <w:r w:rsidRPr="00595D79">
        <w:rPr>
          <w:lang w:val="fr-FR"/>
        </w:rPr>
        <w:t>agissant de répondre à l</w:t>
      </w:r>
      <w:r w:rsidR="00277023">
        <w:rPr>
          <w:lang w:val="fr-FR"/>
        </w:rPr>
        <w:t>’</w:t>
      </w:r>
      <w:r w:rsidRPr="00595D79">
        <w:rPr>
          <w:lang w:val="fr-FR"/>
        </w:rPr>
        <w:t>augmentation récente et rapide du nombre de cas de maltraitance à l</w:t>
      </w:r>
      <w:r w:rsidR="00277023">
        <w:rPr>
          <w:lang w:val="fr-FR"/>
        </w:rPr>
        <w:t>’</w:t>
      </w:r>
      <w:r w:rsidRPr="00595D79">
        <w:rPr>
          <w:lang w:val="fr-FR"/>
        </w:rPr>
        <w:t xml:space="preserve">égard des enfants, </w:t>
      </w:r>
      <w:smartTag w:uri="urn:schemas-microsoft-com:office:smarttags" w:element="PersonName">
        <w:smartTagPr>
          <w:attr w:name="ProductID" w:val="la Loi"/>
        </w:smartTagPr>
        <w:r w:rsidRPr="00595D79">
          <w:rPr>
            <w:lang w:val="fr-FR"/>
          </w:rPr>
          <w:t>la Loi</w:t>
        </w:r>
      </w:smartTag>
      <w:r w:rsidRPr="00595D79">
        <w:rPr>
          <w:lang w:val="fr-FR"/>
        </w:rPr>
        <w:t xml:space="preserve"> sur la prévention de la violence faite aux enfants a été partiellement modifiée en avril 2004 comme suit</w:t>
      </w:r>
      <w:r w:rsidR="00277023">
        <w:rPr>
          <w:lang w:val="fr-FR"/>
        </w:rPr>
        <w:t>:</w:t>
      </w:r>
      <w:r w:rsidRPr="00595D79">
        <w:rPr>
          <w:lang w:val="fr-FR"/>
        </w:rPr>
        <w:t xml:space="preserve"> la définition de la maltraitance à l</w:t>
      </w:r>
      <w:r w:rsidR="00277023">
        <w:rPr>
          <w:lang w:val="fr-FR"/>
        </w:rPr>
        <w:t>’</w:t>
      </w:r>
      <w:r w:rsidRPr="00595D79">
        <w:rPr>
          <w:lang w:val="fr-FR"/>
        </w:rPr>
        <w:t>égard des enfants a été remaniée, les responsabilités du Gouvernement et des collectivités locales ont été clarifiées, l</w:t>
      </w:r>
      <w:r w:rsidR="00277023">
        <w:rPr>
          <w:lang w:val="fr-FR"/>
        </w:rPr>
        <w:t>’</w:t>
      </w:r>
      <w:r w:rsidRPr="00595D79">
        <w:rPr>
          <w:lang w:val="fr-FR"/>
        </w:rPr>
        <w:t>obligation de signaler les cas de maltraitance a été étendue, la demande d</w:t>
      </w:r>
      <w:r w:rsidR="00277023">
        <w:rPr>
          <w:lang w:val="fr-FR"/>
        </w:rPr>
        <w:t>’</w:t>
      </w:r>
      <w:r w:rsidRPr="00595D79">
        <w:rPr>
          <w:lang w:val="fr-FR"/>
        </w:rPr>
        <w:t>aide de la police pour assurer la sécurité des enfants est devenue obligatoire, et des dispositions sur</w:t>
      </w:r>
      <w:r w:rsidR="00EA1115">
        <w:rPr>
          <w:lang w:val="fr-FR"/>
        </w:rPr>
        <w:t xml:space="preserve"> </w:t>
      </w:r>
      <w:r w:rsidRPr="00595D79">
        <w:rPr>
          <w:lang w:val="fr-FR"/>
        </w:rPr>
        <w:t>le conseil aux parents abusifs et sur le soutien aux enfants maltraités pour leur permettre de poursuivre leurs études et accéder à l</w:t>
      </w:r>
      <w:r w:rsidR="00277023">
        <w:rPr>
          <w:lang w:val="fr-FR"/>
        </w:rPr>
        <w:t>’</w:t>
      </w:r>
      <w:r w:rsidRPr="00595D79">
        <w:rPr>
          <w:lang w:val="fr-FR"/>
        </w:rPr>
        <w:t xml:space="preserve">emploi ont été ajoutées. </w:t>
      </w:r>
      <w:smartTag w:uri="urn:schemas-microsoft-com:office:smarttags" w:element="PersonName">
        <w:smartTagPr>
          <w:attr w:name="ProductID" w:val="la Loi"/>
        </w:smartTagPr>
        <w:r w:rsidRPr="00595D79">
          <w:rPr>
            <w:lang w:val="fr-FR"/>
          </w:rPr>
          <w:t>La Loi</w:t>
        </w:r>
      </w:smartTag>
      <w:r w:rsidRPr="00595D79">
        <w:rPr>
          <w:lang w:val="fr-FR"/>
        </w:rPr>
        <w:t xml:space="preserve"> sur la protection de l</w:t>
      </w:r>
      <w:r w:rsidR="00277023">
        <w:rPr>
          <w:lang w:val="fr-FR"/>
        </w:rPr>
        <w:t>’</w:t>
      </w:r>
      <w:r w:rsidRPr="00595D79">
        <w:rPr>
          <w:lang w:val="fr-FR"/>
        </w:rPr>
        <w:t>enfance a été partiellement modifiée en novembre de la même année, la guidance infantile étant désormais juridiquement définie comme un service offert par les collectivités locales, et le rôle des centres de guidance infantile est essentiellement d</w:t>
      </w:r>
      <w:r w:rsidR="00277023">
        <w:rPr>
          <w:lang w:val="fr-FR"/>
        </w:rPr>
        <w:t>’</w:t>
      </w:r>
      <w:r w:rsidRPr="00595D79">
        <w:rPr>
          <w:lang w:val="fr-FR"/>
        </w:rPr>
        <w:t>apporter une réponse aux cas difficiles qui demandent des compétences de haut niveau, tandis que les collectivités locales sont autorisées à mettre en place des conseils locaux sur les mesures en faveur des enfants nécessitant une protection, en coopération avec les organisations compétentes, dans le but d</w:t>
      </w:r>
      <w:r w:rsidR="00277023">
        <w:rPr>
          <w:lang w:val="fr-FR"/>
        </w:rPr>
        <w:t>’</w:t>
      </w:r>
      <w:r w:rsidRPr="00595D79">
        <w:rPr>
          <w:lang w:val="fr-FR"/>
        </w:rPr>
        <w:t xml:space="preserve">améliorer le système local de guidance infantile. </w:t>
      </w:r>
    </w:p>
    <w:p w:rsidR="00595D79" w:rsidRPr="00595D79" w:rsidRDefault="00FE4A04" w:rsidP="00595D79">
      <w:pPr>
        <w:pStyle w:val="SingleTxtG"/>
        <w:rPr>
          <w:lang w:val="fr-FR"/>
        </w:rPr>
      </w:pPr>
      <w:r>
        <w:rPr>
          <w:lang w:val="fr-FR"/>
        </w:rPr>
        <w:t>19.</w:t>
      </w:r>
      <w:r w:rsidR="00595D79" w:rsidRPr="00595D79">
        <w:rPr>
          <w:lang w:val="fr-FR"/>
        </w:rPr>
        <w:tab/>
        <w:t xml:space="preserve">Par ailleurs, se fondant sur une disposition additionnelle des amendements de 2004 stipulant le réexamen de </w:t>
      </w:r>
      <w:smartTag w:uri="urn:schemas-microsoft-com:office:smarttags" w:element="PersonName">
        <w:smartTagPr>
          <w:attr w:name="ProductID" w:val="la Loi"/>
        </w:smartTagPr>
        <w:r w:rsidR="00595D79" w:rsidRPr="00595D79">
          <w:rPr>
            <w:lang w:val="fr-FR"/>
          </w:rPr>
          <w:t>la Loi</w:t>
        </w:r>
      </w:smartTag>
      <w:r w:rsidR="00595D79" w:rsidRPr="00595D79">
        <w:rPr>
          <w:lang w:val="fr-FR"/>
        </w:rPr>
        <w:t xml:space="preserve">, </w:t>
      </w:r>
      <w:smartTag w:uri="urn:schemas-microsoft-com:office:smarttags" w:element="PersonName">
        <w:smartTagPr>
          <w:attr w:name="ProductID" w:val="la Loi"/>
        </w:smartTagPr>
        <w:r w:rsidR="00595D79" w:rsidRPr="00595D79">
          <w:rPr>
            <w:lang w:val="fr-FR"/>
          </w:rPr>
          <w:t>la Loi</w:t>
        </w:r>
      </w:smartTag>
      <w:r w:rsidR="00595D79" w:rsidRPr="00595D79">
        <w:rPr>
          <w:lang w:val="fr-FR"/>
        </w:rPr>
        <w:t xml:space="preserve"> sur la prévention de la violence faite aux enfants et </w:t>
      </w:r>
      <w:smartTag w:uri="urn:schemas-microsoft-com:office:smarttags" w:element="PersonName">
        <w:smartTagPr>
          <w:attr w:name="ProductID" w:val="la Loi"/>
        </w:smartTagPr>
        <w:r w:rsidR="00595D79" w:rsidRPr="00595D79">
          <w:rPr>
            <w:lang w:val="fr-FR"/>
          </w:rPr>
          <w:t>la Loi</w:t>
        </w:r>
      </w:smartTag>
      <w:r w:rsidR="00595D79" w:rsidRPr="00595D79">
        <w:rPr>
          <w:lang w:val="fr-FR"/>
        </w:rPr>
        <w:t xml:space="preserve"> sur la protection de l</w:t>
      </w:r>
      <w:r w:rsidR="00277023">
        <w:rPr>
          <w:lang w:val="fr-FR"/>
        </w:rPr>
        <w:t>’</w:t>
      </w:r>
      <w:r w:rsidR="00595D79" w:rsidRPr="00595D79">
        <w:rPr>
          <w:lang w:val="fr-FR"/>
        </w:rPr>
        <w:t>enfance ont été révisées en mai 2007. En conséquence, les mesures suivantes ont été prises pour assurer la protection des enfants contre la maltraitance (prise d</w:t>
      </w:r>
      <w:r w:rsidR="00277023">
        <w:rPr>
          <w:lang w:val="fr-FR"/>
        </w:rPr>
        <w:t>’</w:t>
      </w:r>
      <w:r w:rsidR="00595D79" w:rsidRPr="00595D79">
        <w:rPr>
          <w:lang w:val="fr-FR"/>
        </w:rPr>
        <w:t>effet en avril 2008):</w:t>
      </w:r>
    </w:p>
    <w:p w:rsidR="00595D79" w:rsidRPr="00595D79" w:rsidRDefault="00EB711D" w:rsidP="00EB711D">
      <w:pPr>
        <w:pStyle w:val="SingleTxtG"/>
        <w:rPr>
          <w:lang w:val="fr-FR"/>
        </w:rPr>
      </w:pPr>
      <w:r>
        <w:rPr>
          <w:lang w:val="fr-FR"/>
        </w:rPr>
        <w:tab/>
      </w:r>
      <w:r w:rsidR="00595D79">
        <w:rPr>
          <w:lang w:val="fr-FR"/>
        </w:rPr>
        <w:t>1)</w:t>
      </w:r>
      <w:r w:rsidR="00595D79">
        <w:rPr>
          <w:lang w:val="fr-FR"/>
        </w:rPr>
        <w:tab/>
      </w:r>
      <w:r w:rsidR="00595D79" w:rsidRPr="00595D79">
        <w:rPr>
          <w:lang w:val="fr-FR"/>
        </w:rPr>
        <w:t>L</w:t>
      </w:r>
      <w:r w:rsidR="00277023">
        <w:rPr>
          <w:lang w:val="fr-FR"/>
        </w:rPr>
        <w:t>’</w:t>
      </w:r>
      <w:r w:rsidR="00595D79" w:rsidRPr="00595D79">
        <w:rPr>
          <w:lang w:val="fr-FR"/>
        </w:rPr>
        <w:t>entrée dans des locaux fermés dans le but d</w:t>
      </w:r>
      <w:r w:rsidR="00277023">
        <w:rPr>
          <w:lang w:val="fr-FR"/>
        </w:rPr>
        <w:t>’</w:t>
      </w:r>
      <w:r w:rsidR="00595D79" w:rsidRPr="00595D79">
        <w:rPr>
          <w:lang w:val="fr-FR"/>
        </w:rPr>
        <w:t>assurer la sécurité d</w:t>
      </w:r>
      <w:r w:rsidR="00277023">
        <w:rPr>
          <w:lang w:val="fr-FR"/>
        </w:rPr>
        <w:t>’</w:t>
      </w:r>
      <w:r w:rsidR="00595D79" w:rsidRPr="00595D79">
        <w:rPr>
          <w:lang w:val="fr-FR"/>
        </w:rPr>
        <w:t>un enfant a été récemment autorisée sur autorisation d</w:t>
      </w:r>
      <w:r w:rsidR="00277023">
        <w:rPr>
          <w:lang w:val="fr-FR"/>
        </w:rPr>
        <w:t>’</w:t>
      </w:r>
      <w:r w:rsidR="00595D79" w:rsidRPr="00595D79">
        <w:rPr>
          <w:lang w:val="fr-FR"/>
        </w:rPr>
        <w:t>un juge, en plus des visites d</w:t>
      </w:r>
      <w:r w:rsidR="00277023">
        <w:rPr>
          <w:lang w:val="fr-FR"/>
        </w:rPr>
        <w:t>’</w:t>
      </w:r>
      <w:r w:rsidR="00595D79" w:rsidRPr="00595D79">
        <w:rPr>
          <w:lang w:val="fr-FR"/>
        </w:rPr>
        <w:t>inspection sur place déjà autorisées aux centres de guidance infantile;</w:t>
      </w:r>
    </w:p>
    <w:p w:rsidR="00595D79" w:rsidRPr="00EB711D" w:rsidRDefault="00EB711D" w:rsidP="00EB711D">
      <w:pPr>
        <w:pStyle w:val="SingleTxtG"/>
        <w:rPr>
          <w:lang w:val="es-ES"/>
        </w:rPr>
      </w:pPr>
      <w:r>
        <w:rPr>
          <w:lang w:val="fr-FR"/>
        </w:rPr>
        <w:tab/>
      </w:r>
      <w:r w:rsidR="00595D79">
        <w:rPr>
          <w:lang w:val="fr-FR"/>
        </w:rPr>
        <w:t>2)</w:t>
      </w:r>
      <w:r w:rsidR="00595D79">
        <w:rPr>
          <w:lang w:val="fr-FR"/>
        </w:rPr>
        <w:tab/>
      </w:r>
      <w:r w:rsidR="00595D79" w:rsidRPr="00595D79">
        <w:rPr>
          <w:lang w:val="fr-FR"/>
        </w:rPr>
        <w:t>Les restrictions applicables aux visites et aux échanges avec les représentants légaux sont renforcées et les gouverneurs sont autorisés à leur interdire de suivre l</w:t>
      </w:r>
      <w:r w:rsidR="00277023">
        <w:rPr>
          <w:lang w:val="fr-FR"/>
        </w:rPr>
        <w:t>’</w:t>
      </w:r>
      <w:r w:rsidR="00595D79" w:rsidRPr="00595D79">
        <w:rPr>
          <w:lang w:val="fr-FR"/>
        </w:rPr>
        <w:t>enfant ou de s</w:t>
      </w:r>
      <w:r w:rsidR="00277023">
        <w:rPr>
          <w:lang w:val="fr-FR"/>
        </w:rPr>
        <w:t>’</w:t>
      </w:r>
      <w:r w:rsidR="00595D79" w:rsidRPr="00595D79">
        <w:rPr>
          <w:lang w:val="fr-FR"/>
        </w:rPr>
        <w:t>approcher du domicile de l</w:t>
      </w:r>
      <w:r w:rsidR="00277023">
        <w:rPr>
          <w:lang w:val="fr-FR"/>
        </w:rPr>
        <w:t>’</w:t>
      </w:r>
      <w:r w:rsidR="00595D79" w:rsidRPr="00595D79">
        <w:rPr>
          <w:lang w:val="fr-FR"/>
        </w:rPr>
        <w:t xml:space="preserve">enfant. </w:t>
      </w:r>
      <w:r w:rsidR="00595D79" w:rsidRPr="00EB711D">
        <w:rPr>
          <w:lang w:val="es-ES"/>
        </w:rPr>
        <w:t>Une peine est prévue pour la violation de la décision de restriction ou d</w:t>
      </w:r>
      <w:r w:rsidR="00277023">
        <w:rPr>
          <w:lang w:val="es-ES"/>
        </w:rPr>
        <w:t>’</w:t>
      </w:r>
      <w:r w:rsidR="00595D79" w:rsidRPr="00EB711D">
        <w:rPr>
          <w:lang w:val="es-ES"/>
        </w:rPr>
        <w:t>interdiction;</w:t>
      </w:r>
    </w:p>
    <w:p w:rsidR="00595D79" w:rsidRPr="00595D79" w:rsidRDefault="00EB711D" w:rsidP="00EB711D">
      <w:pPr>
        <w:pStyle w:val="SingleTxtG"/>
        <w:rPr>
          <w:lang w:val="fr-FR"/>
        </w:rPr>
      </w:pPr>
      <w:r>
        <w:rPr>
          <w:lang w:val="fr-FR"/>
        </w:rPr>
        <w:tab/>
      </w:r>
      <w:r w:rsidR="00595D79" w:rsidRPr="00595D79">
        <w:rPr>
          <w:lang w:val="fr-FR"/>
        </w:rPr>
        <w:t>3)</w:t>
      </w:r>
      <w:r w:rsidR="00595D79" w:rsidRPr="00595D79">
        <w:rPr>
          <w:lang w:val="fr-FR"/>
        </w:rPr>
        <w:tab/>
        <w:t>Des mesures de sécurité sont prises, telles que le placement temporaire en foyer ou l</w:t>
      </w:r>
      <w:r w:rsidR="00277023">
        <w:rPr>
          <w:lang w:val="fr-FR"/>
        </w:rPr>
        <w:t>’</w:t>
      </w:r>
      <w:r w:rsidR="00595D79" w:rsidRPr="00595D79">
        <w:rPr>
          <w:lang w:val="fr-FR"/>
        </w:rPr>
        <w:t>admission forcée de l</w:t>
      </w:r>
      <w:r w:rsidR="00277023">
        <w:rPr>
          <w:lang w:val="fr-FR"/>
        </w:rPr>
        <w:t>’</w:t>
      </w:r>
      <w:r w:rsidR="00595D79" w:rsidRPr="00595D79">
        <w:rPr>
          <w:lang w:val="fr-FR"/>
        </w:rPr>
        <w:t xml:space="preserve">enfant dans un centre de guidance infantile, si les représentants légaux ne respectent pas la décision qui leur a été notifiée. </w:t>
      </w:r>
    </w:p>
    <w:p w:rsidR="00595D79" w:rsidRPr="00595D79" w:rsidRDefault="00595D79" w:rsidP="00595D79">
      <w:pPr>
        <w:pStyle w:val="SingleTxtG"/>
        <w:rPr>
          <w:lang w:val="fr-FR"/>
        </w:rPr>
      </w:pPr>
      <w:r w:rsidRPr="00595D79">
        <w:rPr>
          <w:lang w:val="fr-FR"/>
        </w:rPr>
        <w:t xml:space="preserve">(Promulgation des lois visant à prévenir la traite des êtres humains) </w:t>
      </w:r>
    </w:p>
    <w:p w:rsidR="006350BE" w:rsidRPr="00595D79" w:rsidRDefault="00595D79" w:rsidP="00595D79">
      <w:pPr>
        <w:pStyle w:val="SingleTxtG"/>
        <w:rPr>
          <w:lang w:val="fr-FR"/>
        </w:rPr>
      </w:pPr>
      <w:r w:rsidRPr="00595D79">
        <w:rPr>
          <w:lang w:val="fr-FR"/>
        </w:rPr>
        <w:t>20.</w:t>
      </w:r>
      <w:r w:rsidRPr="00595D79">
        <w:rPr>
          <w:lang w:val="fr-FR"/>
        </w:rPr>
        <w:tab/>
        <w:t>Le Gouvernement japonais a élaboré un Plan d</w:t>
      </w:r>
      <w:r w:rsidR="00277023">
        <w:rPr>
          <w:lang w:val="fr-FR"/>
        </w:rPr>
        <w:t>’</w:t>
      </w:r>
      <w:r w:rsidRPr="00595D79">
        <w:rPr>
          <w:lang w:val="fr-FR"/>
        </w:rPr>
        <w:t>action contre la traite des êtres humains en décembre 2004 pour mettre en place une collaboration étroite entre les ministères et les organismes gouvernementaux et ainsi promouvoir des mesures en faveur de la prévention et de l</w:t>
      </w:r>
      <w:r w:rsidR="00277023">
        <w:rPr>
          <w:lang w:val="fr-FR"/>
        </w:rPr>
        <w:t>’</w:t>
      </w:r>
      <w:r w:rsidRPr="00595D79">
        <w:rPr>
          <w:lang w:val="fr-FR"/>
        </w:rPr>
        <w:t>élimination de la traite des être humain, y compris des enfants, et de la protection des victimes de la traite. Reposant sur ce Plan d</w:t>
      </w:r>
      <w:r w:rsidR="00277023">
        <w:rPr>
          <w:lang w:val="fr-FR"/>
        </w:rPr>
        <w:t>’</w:t>
      </w:r>
      <w:r w:rsidRPr="00595D79">
        <w:rPr>
          <w:lang w:val="fr-FR"/>
        </w:rPr>
        <w:t>action, le Code pénal a été partiellement modifié en juin 2005 (prise d</w:t>
      </w:r>
      <w:r w:rsidR="00277023">
        <w:rPr>
          <w:lang w:val="fr-FR"/>
        </w:rPr>
        <w:t>’</w:t>
      </w:r>
      <w:r w:rsidRPr="00595D79">
        <w:rPr>
          <w:lang w:val="fr-FR"/>
        </w:rPr>
        <w:t>effet en juillet 2005), ce qui permet maintenant d</w:t>
      </w:r>
      <w:r w:rsidR="00277023">
        <w:rPr>
          <w:lang w:val="fr-FR"/>
        </w:rPr>
        <w:t>’</w:t>
      </w:r>
      <w:r w:rsidRPr="00595D79">
        <w:rPr>
          <w:lang w:val="fr-FR"/>
        </w:rPr>
        <w:t>ériger en infraction pénale le fait d</w:t>
      </w:r>
      <w:r w:rsidR="00277023">
        <w:rPr>
          <w:lang w:val="fr-FR"/>
        </w:rPr>
        <w:t>’</w:t>
      </w:r>
      <w:r w:rsidRPr="00595D79">
        <w:rPr>
          <w:lang w:val="fr-FR"/>
        </w:rPr>
        <w:t xml:space="preserve">acheter et de vendre des personnes. Parallèlement, </w:t>
      </w:r>
      <w:smartTag w:uri="urn:schemas-microsoft-com:office:smarttags" w:element="PersonName">
        <w:smartTagPr>
          <w:attr w:name="ProductID" w:val="la Loi"/>
        </w:smartTagPr>
        <w:r w:rsidRPr="00595D79">
          <w:rPr>
            <w:lang w:val="fr-FR"/>
          </w:rPr>
          <w:t>la Loi</w:t>
        </w:r>
      </w:smartTag>
      <w:r w:rsidRPr="00595D79">
        <w:rPr>
          <w:lang w:val="fr-FR"/>
        </w:rPr>
        <w:t xml:space="preserve"> sur le contrôle de l</w:t>
      </w:r>
      <w:r w:rsidR="00277023">
        <w:rPr>
          <w:lang w:val="fr-FR"/>
        </w:rPr>
        <w:t>’</w:t>
      </w:r>
      <w:r w:rsidRPr="00595D79">
        <w:rPr>
          <w:lang w:val="fr-FR"/>
        </w:rPr>
        <w:t>immigration et la reconnaissance du statut de réfugié a été partiellement modifiée (adoptée en juin 2005 et appliquée depuis le mois de juillet de la même année), ce qui a permis de mettre en place des dispositifs juridiques pour veiller à ce que les victimes de la traite ne fassent pas l</w:t>
      </w:r>
      <w:r w:rsidR="00277023">
        <w:rPr>
          <w:lang w:val="fr-FR"/>
        </w:rPr>
        <w:t>’</w:t>
      </w:r>
      <w:r w:rsidRPr="00595D79">
        <w:rPr>
          <w:lang w:val="fr-FR"/>
        </w:rPr>
        <w:t>objet d</w:t>
      </w:r>
      <w:r w:rsidR="00277023">
        <w:rPr>
          <w:lang w:val="fr-FR"/>
        </w:rPr>
        <w:t>’</w:t>
      </w:r>
      <w:r w:rsidRPr="00595D79">
        <w:rPr>
          <w:lang w:val="fr-FR"/>
        </w:rPr>
        <w:t xml:space="preserve">une expulsion, même si elles se livraient à la prostitution. </w:t>
      </w:r>
      <w:smartTag w:uri="urn:schemas-microsoft-com:office:smarttags" w:element="PersonName">
        <w:smartTagPr>
          <w:attr w:name="ProductID" w:val="la Loi"/>
        </w:smartTagPr>
        <w:r w:rsidRPr="00595D79">
          <w:rPr>
            <w:lang w:val="fr-FR"/>
          </w:rPr>
          <w:t>La Loi</w:t>
        </w:r>
      </w:smartTag>
      <w:r w:rsidRPr="00595D79">
        <w:rPr>
          <w:lang w:val="fr-FR"/>
        </w:rPr>
        <w:t xml:space="preserve"> sur le contrôle et l</w:t>
      </w:r>
      <w:r w:rsidR="00277023">
        <w:rPr>
          <w:lang w:val="fr-FR"/>
        </w:rPr>
        <w:t>’</w:t>
      </w:r>
      <w:r w:rsidRPr="00595D79">
        <w:rPr>
          <w:lang w:val="fr-FR"/>
        </w:rPr>
        <w:t>amélioration de l</w:t>
      </w:r>
      <w:r w:rsidR="00277023">
        <w:rPr>
          <w:lang w:val="fr-FR"/>
        </w:rPr>
        <w:t>’</w:t>
      </w:r>
      <w:r w:rsidRPr="00595D79">
        <w:rPr>
          <w:lang w:val="fr-FR"/>
        </w:rPr>
        <w:t>industrie du divertissement et des loisirs a été partiellement modifiée (adoptée en octobre 2005 et entrée en vigueur en mai 2006), ajoutant le crime d</w:t>
      </w:r>
      <w:r w:rsidR="00277023">
        <w:rPr>
          <w:lang w:val="fr-FR"/>
        </w:rPr>
        <w:t>’</w:t>
      </w:r>
      <w:r w:rsidRPr="00595D79">
        <w:rPr>
          <w:lang w:val="fr-FR"/>
        </w:rPr>
        <w:t>achat et de vente de personnes aux motifs de refus de la délivrance d</w:t>
      </w:r>
      <w:r w:rsidR="00277023">
        <w:rPr>
          <w:lang w:val="fr-FR"/>
        </w:rPr>
        <w:t>’</w:t>
      </w:r>
      <w:r w:rsidRPr="00595D79">
        <w:rPr>
          <w:lang w:val="fr-FR"/>
        </w:rPr>
        <w:t>un permis d</w:t>
      </w:r>
      <w:r w:rsidR="00277023">
        <w:rPr>
          <w:lang w:val="fr-FR"/>
        </w:rPr>
        <w:t>’</w:t>
      </w:r>
      <w:r w:rsidRPr="00595D79">
        <w:rPr>
          <w:lang w:val="fr-FR"/>
        </w:rPr>
        <w:t>exploitation dans l</w:t>
      </w:r>
      <w:r w:rsidR="00277023">
        <w:rPr>
          <w:lang w:val="fr-FR"/>
        </w:rPr>
        <w:t>’</w:t>
      </w:r>
      <w:r w:rsidRPr="00595D79">
        <w:rPr>
          <w:lang w:val="fr-FR"/>
        </w:rPr>
        <w:t>industrie du divertissement et des loisirs, dans l</w:t>
      </w:r>
      <w:r w:rsidR="00277023">
        <w:rPr>
          <w:lang w:val="fr-FR"/>
        </w:rPr>
        <w:t>’</w:t>
      </w:r>
      <w:r w:rsidRPr="00595D79">
        <w:rPr>
          <w:lang w:val="fr-FR"/>
        </w:rPr>
        <w:t>objectif de résoudre la situation des femmes étrangères victimes de la traite, exploitées et contraintes à se prostituer dans l</w:t>
      </w:r>
      <w:r w:rsidR="00277023">
        <w:rPr>
          <w:lang w:val="fr-FR"/>
        </w:rPr>
        <w:t>’</w:t>
      </w:r>
      <w:r w:rsidRPr="00595D79">
        <w:rPr>
          <w:lang w:val="fr-FR"/>
        </w:rPr>
        <w:t>industrie des loisirs pour adultes</w:t>
      </w:r>
      <w:r w:rsidRPr="00595D79">
        <w:rPr>
          <w:bCs/>
          <w:lang w:val="fr-FR"/>
        </w:rPr>
        <w:t>.</w:t>
      </w:r>
      <w:r w:rsidR="006350BE" w:rsidRPr="00595D79">
        <w:rPr>
          <w:lang w:val="fr-FR"/>
        </w:rPr>
        <w:t xml:space="preserve"> </w:t>
      </w:r>
    </w:p>
    <w:p w:rsidR="006350BE" w:rsidRPr="00FE4A04" w:rsidRDefault="00DA561F" w:rsidP="00DA561F">
      <w:pPr>
        <w:pStyle w:val="H1G"/>
        <w:rPr>
          <w:lang w:val="fr-FR"/>
        </w:rPr>
      </w:pPr>
      <w:r w:rsidRPr="00595D79">
        <w:rPr>
          <w:lang w:val="fr-FR"/>
        </w:rPr>
        <w:tab/>
      </w:r>
      <w:r w:rsidR="006350BE" w:rsidRPr="00FE4A04">
        <w:rPr>
          <w:lang w:val="fr-FR"/>
        </w:rPr>
        <w:t>C.</w:t>
      </w:r>
      <w:r w:rsidRPr="00FE4A04">
        <w:rPr>
          <w:lang w:val="fr-FR"/>
        </w:rPr>
        <w:tab/>
      </w:r>
      <w:r w:rsidR="00595D79" w:rsidRPr="00595D79">
        <w:rPr>
          <w:bCs/>
          <w:lang w:val="fr-FR"/>
        </w:rPr>
        <w:t xml:space="preserve">Statut de </w:t>
      </w:r>
      <w:smartTag w:uri="urn:schemas-microsoft-com:office:smarttags" w:element="PersonName">
        <w:smartTagPr>
          <w:attr w:name="ProductID" w:val="LA CONVENTION"/>
        </w:smartTagPr>
        <w:r w:rsidR="00595D79" w:rsidRPr="00595D79">
          <w:rPr>
            <w:bCs/>
            <w:lang w:val="fr-FR"/>
          </w:rPr>
          <w:t>la Convention</w:t>
        </w:r>
      </w:smartTag>
      <w:r w:rsidR="00595D79" w:rsidRPr="00595D79">
        <w:rPr>
          <w:bCs/>
          <w:lang w:val="fr-FR"/>
        </w:rPr>
        <w:t xml:space="preserve"> au regard du droit interne</w:t>
      </w:r>
    </w:p>
    <w:p w:rsidR="00595D79" w:rsidRPr="00595D79" w:rsidRDefault="00595D79" w:rsidP="00595D79">
      <w:pPr>
        <w:pStyle w:val="SingleTxtG"/>
        <w:rPr>
          <w:lang w:val="fr-FR"/>
        </w:rPr>
      </w:pPr>
      <w:r w:rsidRPr="00595D79">
        <w:rPr>
          <w:lang w:val="fr-FR"/>
        </w:rPr>
        <w:t xml:space="preserve">(Respect des droits consacrés par </w:t>
      </w:r>
      <w:smartTag w:uri="urn:schemas-microsoft-com:office:smarttags" w:element="PersonName">
        <w:smartTagPr>
          <w:attr w:name="ProductID" w:val="la Constitution"/>
        </w:smartTagPr>
        <w:r w:rsidRPr="00595D79">
          <w:rPr>
            <w:lang w:val="fr-FR"/>
          </w:rPr>
          <w:t>la Constitution</w:t>
        </w:r>
      </w:smartTag>
      <w:r w:rsidRPr="00595D79">
        <w:rPr>
          <w:lang w:val="fr-FR"/>
        </w:rPr>
        <w:t xml:space="preserve"> et d</w:t>
      </w:r>
      <w:r w:rsidR="00277023">
        <w:rPr>
          <w:lang w:val="fr-FR"/>
        </w:rPr>
        <w:t>’</w:t>
      </w:r>
      <w:r w:rsidRPr="00595D79">
        <w:rPr>
          <w:lang w:val="fr-FR"/>
        </w:rPr>
        <w:t xml:space="preserve">autres lois internes) </w:t>
      </w:r>
    </w:p>
    <w:p w:rsidR="00595D79" w:rsidRPr="00595D79" w:rsidRDefault="00595D79" w:rsidP="00595D79">
      <w:pPr>
        <w:pStyle w:val="SingleTxtG"/>
        <w:rPr>
          <w:lang w:val="fr-FR"/>
        </w:rPr>
      </w:pPr>
      <w:r w:rsidRPr="00595D79">
        <w:rPr>
          <w:lang w:val="fr-FR"/>
        </w:rPr>
        <w:t>21.</w:t>
      </w:r>
      <w:r w:rsidRPr="00595D79">
        <w:rPr>
          <w:lang w:val="fr-FR"/>
        </w:rPr>
        <w:tab/>
        <w:t>Voir paragraphe 11 du deuxième rapport du Japon (paragraphes 2-3 du rapport initial du Japon)</w:t>
      </w:r>
    </w:p>
    <w:p w:rsidR="00595D79" w:rsidRPr="00595D79" w:rsidRDefault="00595D79" w:rsidP="00595D79">
      <w:pPr>
        <w:pStyle w:val="SingleTxtG"/>
        <w:rPr>
          <w:lang w:val="fr-FR"/>
        </w:rPr>
      </w:pPr>
      <w:r w:rsidRPr="00595D79">
        <w:rPr>
          <w:lang w:val="fr-FR"/>
        </w:rPr>
        <w:t>(Rapport entre les traités et la législation nationale)</w:t>
      </w:r>
    </w:p>
    <w:p w:rsidR="00595D79" w:rsidRPr="00595D79" w:rsidRDefault="00595D79" w:rsidP="00595D79">
      <w:pPr>
        <w:pStyle w:val="SingleTxtG"/>
        <w:rPr>
          <w:lang w:val="fr-FR"/>
        </w:rPr>
      </w:pPr>
      <w:r w:rsidRPr="00595D79">
        <w:rPr>
          <w:lang w:val="fr-FR"/>
        </w:rPr>
        <w:t>22.</w:t>
      </w:r>
      <w:r w:rsidRPr="00595D79">
        <w:rPr>
          <w:lang w:val="fr-FR"/>
        </w:rPr>
        <w:tab/>
        <w:t>Voir paragraphe 12 du deuxième rapport du Japon (deuxième réponse à la question posée par le Comité des droits de l</w:t>
      </w:r>
      <w:r w:rsidR="00277023">
        <w:rPr>
          <w:lang w:val="fr-FR"/>
        </w:rPr>
        <w:t>’</w:t>
      </w:r>
      <w:r w:rsidRPr="00595D79">
        <w:rPr>
          <w:lang w:val="fr-FR"/>
        </w:rPr>
        <w:t>enfant posée lors de l</w:t>
      </w:r>
      <w:r w:rsidR="00277023">
        <w:rPr>
          <w:lang w:val="fr-FR"/>
        </w:rPr>
        <w:t>’</w:t>
      </w:r>
      <w:r w:rsidRPr="00595D79">
        <w:rPr>
          <w:lang w:val="fr-FR"/>
        </w:rPr>
        <w:t xml:space="preserve">examen du rapport initial du Gouvernement japonais). Ceci concerne également le Protocole facultatif à </w:t>
      </w:r>
      <w:smartTag w:uri="urn:schemas-microsoft-com:office:smarttags" w:element="PersonName">
        <w:smartTagPr>
          <w:attr w:name="ProductID" w:val="LA CONVENTION"/>
        </w:smartTagPr>
        <w:r w:rsidRPr="00595D79">
          <w:rPr>
            <w:lang w:val="fr-FR"/>
          </w:rPr>
          <w:t>la Convention</w:t>
        </w:r>
      </w:smartTag>
      <w:r w:rsidRPr="00595D79">
        <w:rPr>
          <w:lang w:val="fr-FR"/>
        </w:rPr>
        <w:t xml:space="preserve"> relative aux droits de l</w:t>
      </w:r>
      <w:r w:rsidR="00277023">
        <w:rPr>
          <w:lang w:val="fr-FR"/>
        </w:rPr>
        <w:t>’</w:t>
      </w:r>
      <w:r w:rsidRPr="00595D79">
        <w:rPr>
          <w:lang w:val="fr-FR"/>
        </w:rPr>
        <w:t>enfant concernant l</w:t>
      </w:r>
      <w:r w:rsidR="00277023">
        <w:rPr>
          <w:lang w:val="fr-FR"/>
        </w:rPr>
        <w:t>’</w:t>
      </w:r>
      <w:r w:rsidRPr="00595D79">
        <w:rPr>
          <w:lang w:val="fr-FR"/>
        </w:rPr>
        <w:t>implication d</w:t>
      </w:r>
      <w:r w:rsidR="00277023">
        <w:rPr>
          <w:lang w:val="fr-FR"/>
        </w:rPr>
        <w:t>’</w:t>
      </w:r>
      <w:r w:rsidRPr="00595D79">
        <w:rPr>
          <w:lang w:val="fr-FR"/>
        </w:rPr>
        <w:t xml:space="preserve">enfants dans les conflits armés et le Protocole facultatif à </w:t>
      </w:r>
      <w:smartTag w:uri="urn:schemas-microsoft-com:office:smarttags" w:element="PersonName">
        <w:smartTagPr>
          <w:attr w:name="ProductID" w:val="LA CONVENTION"/>
        </w:smartTagPr>
        <w:r w:rsidRPr="00595D79">
          <w:rPr>
            <w:lang w:val="fr-FR"/>
          </w:rPr>
          <w:t>la Convention</w:t>
        </w:r>
      </w:smartTag>
      <w:r w:rsidRPr="00595D79">
        <w:rPr>
          <w:lang w:val="fr-FR"/>
        </w:rPr>
        <w:t xml:space="preserve"> des droits de l</w:t>
      </w:r>
      <w:r w:rsidR="00277023">
        <w:rPr>
          <w:lang w:val="fr-FR"/>
        </w:rPr>
        <w:t>’</w:t>
      </w:r>
      <w:r w:rsidRPr="00595D79">
        <w:rPr>
          <w:lang w:val="fr-FR"/>
        </w:rPr>
        <w:t>enfant concernant la vente d</w:t>
      </w:r>
      <w:r w:rsidR="00277023">
        <w:rPr>
          <w:lang w:val="fr-FR"/>
        </w:rPr>
        <w:t>’</w:t>
      </w:r>
      <w:r w:rsidRPr="00595D79">
        <w:rPr>
          <w:lang w:val="fr-FR"/>
        </w:rPr>
        <w:t>enfants, la prostitution des enfants et la pornographie mettant en scène des enfants.</w:t>
      </w:r>
    </w:p>
    <w:p w:rsidR="00595D79" w:rsidRPr="00595D79" w:rsidRDefault="00595D79" w:rsidP="00595D79">
      <w:pPr>
        <w:pStyle w:val="SingleTxtG"/>
        <w:rPr>
          <w:lang w:val="fr-FR"/>
        </w:rPr>
      </w:pPr>
      <w:r w:rsidRPr="00595D79">
        <w:rPr>
          <w:lang w:val="fr-FR"/>
        </w:rPr>
        <w:t>(Possibilités d</w:t>
      </w:r>
      <w:r w:rsidR="00277023">
        <w:rPr>
          <w:lang w:val="fr-FR"/>
        </w:rPr>
        <w:t>’</w:t>
      </w:r>
      <w:r w:rsidRPr="00595D79">
        <w:rPr>
          <w:lang w:val="fr-FR"/>
        </w:rPr>
        <w:t xml:space="preserve">application directe de </w:t>
      </w:r>
      <w:smartTag w:uri="urn:schemas-microsoft-com:office:smarttags" w:element="PersonName">
        <w:smartTagPr>
          <w:attr w:name="ProductID" w:val="LA CONVENTION"/>
        </w:smartTagPr>
        <w:r w:rsidRPr="00595D79">
          <w:rPr>
            <w:lang w:val="fr-FR"/>
          </w:rPr>
          <w:t>la Convention</w:t>
        </w:r>
      </w:smartTag>
      <w:r w:rsidRPr="00595D79">
        <w:rPr>
          <w:lang w:val="fr-FR"/>
        </w:rPr>
        <w:t xml:space="preserve"> aux décisions judiciaires nationales)</w:t>
      </w:r>
    </w:p>
    <w:p w:rsidR="006350BE" w:rsidRPr="00595D79" w:rsidRDefault="00595D79" w:rsidP="00595D79">
      <w:pPr>
        <w:pStyle w:val="SingleTxtG"/>
        <w:rPr>
          <w:lang w:val="fr-FR"/>
        </w:rPr>
      </w:pPr>
      <w:r w:rsidRPr="00595D79">
        <w:rPr>
          <w:lang w:val="fr-FR"/>
        </w:rPr>
        <w:t>23.</w:t>
      </w:r>
      <w:r w:rsidRPr="00595D79">
        <w:rPr>
          <w:lang w:val="fr-FR"/>
        </w:rPr>
        <w:tab/>
        <w:t>Voir paragraphe 13 du deuxième rapport du Japon.</w:t>
      </w:r>
    </w:p>
    <w:p w:rsidR="006350BE" w:rsidRPr="00FE4A04" w:rsidRDefault="00DA561F" w:rsidP="00DA561F">
      <w:pPr>
        <w:pStyle w:val="H1G"/>
        <w:rPr>
          <w:lang w:val="fr-FR"/>
        </w:rPr>
      </w:pPr>
      <w:r w:rsidRPr="00595D79">
        <w:rPr>
          <w:lang w:val="fr-FR"/>
        </w:rPr>
        <w:tab/>
      </w:r>
      <w:r w:rsidR="006350BE" w:rsidRPr="00FE4A04">
        <w:rPr>
          <w:lang w:val="fr-FR"/>
        </w:rPr>
        <w:t>D.</w:t>
      </w:r>
      <w:r w:rsidRPr="00FE4A04">
        <w:rPr>
          <w:lang w:val="fr-FR"/>
        </w:rPr>
        <w:tab/>
      </w:r>
      <w:r w:rsidR="00595D79" w:rsidRPr="00595D79">
        <w:rPr>
          <w:bCs/>
          <w:lang w:val="fr-FR"/>
        </w:rPr>
        <w:t xml:space="preserve">Rapport entre </w:t>
      </w:r>
      <w:smartTag w:uri="urn:schemas-microsoft-com:office:smarttags" w:element="PersonName">
        <w:smartTagPr>
          <w:attr w:name="ProductID" w:val="LA CONVENTION"/>
        </w:smartTagPr>
        <w:r w:rsidR="00595D79" w:rsidRPr="00595D79">
          <w:rPr>
            <w:bCs/>
            <w:lang w:val="fr-FR"/>
          </w:rPr>
          <w:t>la Convention</w:t>
        </w:r>
      </w:smartTag>
      <w:r w:rsidR="00595D79" w:rsidRPr="00595D79">
        <w:rPr>
          <w:bCs/>
          <w:lang w:val="fr-FR"/>
        </w:rPr>
        <w:t xml:space="preserve"> et la législation nationale et internationale (article 41)</w:t>
      </w:r>
    </w:p>
    <w:p w:rsidR="00595D79" w:rsidRPr="00595D79" w:rsidRDefault="00595D79" w:rsidP="00595D79">
      <w:pPr>
        <w:pStyle w:val="SingleTxtG"/>
        <w:rPr>
          <w:lang w:val="fr-FR"/>
        </w:rPr>
      </w:pPr>
      <w:r w:rsidRPr="00595D79">
        <w:rPr>
          <w:lang w:val="fr-FR"/>
        </w:rPr>
        <w:t>(Législation nationale contribuant à la réalisation des droits de l</w:t>
      </w:r>
      <w:r w:rsidR="00277023">
        <w:rPr>
          <w:lang w:val="fr-FR"/>
        </w:rPr>
        <w:t>’</w:t>
      </w:r>
      <w:r w:rsidRPr="00595D79">
        <w:rPr>
          <w:lang w:val="fr-FR"/>
        </w:rPr>
        <w:t>enfant)</w:t>
      </w:r>
    </w:p>
    <w:p w:rsidR="00595D79" w:rsidRPr="00595D79" w:rsidRDefault="00595D79" w:rsidP="00595D79">
      <w:pPr>
        <w:pStyle w:val="SingleTxtG"/>
        <w:rPr>
          <w:lang w:val="fr-FR"/>
        </w:rPr>
      </w:pPr>
      <w:r w:rsidRPr="00595D79">
        <w:rPr>
          <w:lang w:val="fr-FR"/>
        </w:rPr>
        <w:t>24.</w:t>
      </w:r>
      <w:r w:rsidRPr="00595D79">
        <w:rPr>
          <w:lang w:val="fr-FR"/>
        </w:rPr>
        <w:tab/>
        <w:t xml:space="preserve">Voir paragraphe 14 du deuxième rapport du Japon (paragraphes 4-8 du rapport initial du Japon) </w:t>
      </w:r>
    </w:p>
    <w:p w:rsidR="006350BE" w:rsidRPr="00595D79" w:rsidRDefault="00595D79" w:rsidP="00595D79">
      <w:pPr>
        <w:pStyle w:val="SingleTxtG"/>
        <w:rPr>
          <w:lang w:val="fr-FR"/>
        </w:rPr>
      </w:pPr>
      <w:r w:rsidRPr="00595D79">
        <w:rPr>
          <w:lang w:val="fr-FR"/>
        </w:rPr>
        <w:t>25.</w:t>
      </w:r>
      <w:r w:rsidRPr="00595D79">
        <w:rPr>
          <w:lang w:val="fr-FR"/>
        </w:rPr>
        <w:tab/>
        <w:t>L</w:t>
      </w:r>
      <w:r w:rsidR="00277023">
        <w:rPr>
          <w:lang w:val="fr-FR"/>
        </w:rPr>
        <w:t>’</w:t>
      </w:r>
      <w:r w:rsidRPr="00595D79">
        <w:rPr>
          <w:lang w:val="fr-FR"/>
        </w:rPr>
        <w:t>éducation est essentielle pour permettre aux enfants de réaliser leur potentiel et de devenir des êtres humains capables de s</w:t>
      </w:r>
      <w:r w:rsidR="00277023">
        <w:rPr>
          <w:lang w:val="fr-FR"/>
        </w:rPr>
        <w:t>’</w:t>
      </w:r>
      <w:r w:rsidRPr="00595D79">
        <w:rPr>
          <w:lang w:val="fr-FR"/>
        </w:rPr>
        <w:t>adapter à la société. Le Gouvernement s</w:t>
      </w:r>
      <w:r w:rsidR="00277023">
        <w:rPr>
          <w:lang w:val="fr-FR"/>
        </w:rPr>
        <w:t>’</w:t>
      </w:r>
      <w:r w:rsidRPr="00595D79">
        <w:rPr>
          <w:lang w:val="fr-FR"/>
        </w:rPr>
        <w:t>est efforcé de généraliser l</w:t>
      </w:r>
      <w:r w:rsidR="00277023">
        <w:rPr>
          <w:lang w:val="fr-FR"/>
        </w:rPr>
        <w:t>’</w:t>
      </w:r>
      <w:r w:rsidRPr="00595D79">
        <w:rPr>
          <w:lang w:val="fr-FR"/>
        </w:rPr>
        <w:t xml:space="preserve">éducation en vertu de </w:t>
      </w:r>
      <w:smartTag w:uri="urn:schemas-microsoft-com:office:smarttags" w:element="PersonName">
        <w:smartTagPr>
          <w:attr w:name="ProductID" w:val="la Loi"/>
        </w:smartTagPr>
        <w:r w:rsidRPr="00595D79">
          <w:rPr>
            <w:lang w:val="fr-FR"/>
          </w:rPr>
          <w:t>la Loi</w:t>
        </w:r>
      </w:smartTag>
      <w:r w:rsidRPr="00595D79">
        <w:rPr>
          <w:lang w:val="fr-FR"/>
        </w:rPr>
        <w:t xml:space="preserve"> fondamentale sur l</w:t>
      </w:r>
      <w:r w:rsidR="00277023">
        <w:rPr>
          <w:lang w:val="fr-FR"/>
        </w:rPr>
        <w:t>’</w:t>
      </w:r>
      <w:r w:rsidRPr="00595D79">
        <w:rPr>
          <w:lang w:val="fr-FR"/>
        </w:rPr>
        <w:t xml:space="preserve">éducation et de </w:t>
      </w:r>
      <w:smartTag w:uri="urn:schemas-microsoft-com:office:smarttags" w:element="PersonName">
        <w:smartTagPr>
          <w:attr w:name="ProductID" w:val="la Loi"/>
        </w:smartTagPr>
        <w:r w:rsidRPr="00595D79">
          <w:rPr>
            <w:lang w:val="fr-FR"/>
          </w:rPr>
          <w:t>la Loi</w:t>
        </w:r>
      </w:smartTag>
      <w:r w:rsidRPr="00595D79">
        <w:rPr>
          <w:lang w:val="fr-FR"/>
        </w:rPr>
        <w:t xml:space="preserve"> sur l</w:t>
      </w:r>
      <w:r w:rsidR="00277023">
        <w:rPr>
          <w:lang w:val="fr-FR"/>
        </w:rPr>
        <w:t>’</w:t>
      </w:r>
      <w:r w:rsidRPr="00595D79">
        <w:rPr>
          <w:lang w:val="fr-FR"/>
        </w:rPr>
        <w:t>enseignement scolaire, et à ce jour il est parvenu à près de 100</w:t>
      </w:r>
      <w:r w:rsidR="00277023">
        <w:rPr>
          <w:lang w:val="fr-FR"/>
        </w:rPr>
        <w:t>%</w:t>
      </w:r>
      <w:r w:rsidRPr="00595D79">
        <w:rPr>
          <w:lang w:val="fr-FR"/>
        </w:rPr>
        <w:t xml:space="preserve"> d</w:t>
      </w:r>
      <w:r w:rsidR="00277023">
        <w:rPr>
          <w:lang w:val="fr-FR"/>
        </w:rPr>
        <w:t>’</w:t>
      </w:r>
      <w:r w:rsidRPr="00595D79">
        <w:rPr>
          <w:lang w:val="fr-FR"/>
        </w:rPr>
        <w:t>inscription au niveau de l</w:t>
      </w:r>
      <w:r w:rsidR="00277023">
        <w:rPr>
          <w:lang w:val="fr-FR"/>
        </w:rPr>
        <w:t>’</w:t>
      </w:r>
      <w:r w:rsidRPr="00595D79">
        <w:rPr>
          <w:lang w:val="fr-FR"/>
        </w:rPr>
        <w:t xml:space="preserve">enseignement obligatoire. </w:t>
      </w:r>
      <w:smartTag w:uri="urn:schemas-microsoft-com:office:smarttags" w:element="PersonName">
        <w:smartTagPr>
          <w:attr w:name="ProductID" w:val="la Loi"/>
        </w:smartTagPr>
        <w:r w:rsidRPr="00595D79">
          <w:rPr>
            <w:lang w:val="fr-FR"/>
          </w:rPr>
          <w:t>La Loi</w:t>
        </w:r>
      </w:smartTag>
      <w:r w:rsidRPr="00595D79">
        <w:rPr>
          <w:lang w:val="fr-FR"/>
        </w:rPr>
        <w:t xml:space="preserve"> fondamentale sur l</w:t>
      </w:r>
      <w:r w:rsidR="00277023">
        <w:rPr>
          <w:lang w:val="fr-FR"/>
        </w:rPr>
        <w:t>’</w:t>
      </w:r>
      <w:r w:rsidRPr="00595D79">
        <w:rPr>
          <w:lang w:val="fr-FR"/>
        </w:rPr>
        <w:t>éducation prévoit d</w:t>
      </w:r>
      <w:r w:rsidR="00277023">
        <w:rPr>
          <w:lang w:val="fr-FR"/>
        </w:rPr>
        <w:t>’</w:t>
      </w:r>
      <w:r w:rsidRPr="00595D79">
        <w:rPr>
          <w:lang w:val="fr-FR"/>
        </w:rPr>
        <w:t>étendre l</w:t>
      </w:r>
      <w:r w:rsidR="00277023">
        <w:rPr>
          <w:lang w:val="fr-FR"/>
        </w:rPr>
        <w:t>’</w:t>
      </w:r>
      <w:r w:rsidRPr="00595D79">
        <w:rPr>
          <w:lang w:val="fr-FR"/>
        </w:rPr>
        <w:t xml:space="preserve">éducation au respect de la dignité personnelle. Cette Loi a été révisée en décembre 2006 et reprend les principes éducatifs de </w:t>
      </w:r>
      <w:smartTag w:uri="urn:schemas-microsoft-com:office:smarttags" w:element="PersonName">
        <w:smartTagPr>
          <w:attr w:name="ProductID" w:val="la Loi"/>
        </w:smartTagPr>
        <w:r w:rsidRPr="00595D79">
          <w:rPr>
            <w:lang w:val="fr-FR"/>
          </w:rPr>
          <w:t>la Loi</w:t>
        </w:r>
      </w:smartTag>
      <w:r w:rsidRPr="00595D79">
        <w:rPr>
          <w:lang w:val="fr-FR"/>
        </w:rPr>
        <w:t xml:space="preserve"> initiale.</w:t>
      </w:r>
    </w:p>
    <w:p w:rsidR="006350BE" w:rsidRPr="00FE4A04" w:rsidRDefault="00DA561F" w:rsidP="00DA561F">
      <w:pPr>
        <w:pStyle w:val="H1G"/>
        <w:rPr>
          <w:lang w:val="fr-FR"/>
        </w:rPr>
      </w:pPr>
      <w:r w:rsidRPr="00595D79">
        <w:rPr>
          <w:lang w:val="fr-FR"/>
        </w:rPr>
        <w:tab/>
      </w:r>
      <w:r w:rsidR="006350BE" w:rsidRPr="00FE4A04">
        <w:rPr>
          <w:lang w:val="fr-FR"/>
        </w:rPr>
        <w:t>E</w:t>
      </w:r>
      <w:r w:rsidRPr="00FE4A04">
        <w:rPr>
          <w:lang w:val="fr-FR"/>
        </w:rPr>
        <w:t>.</w:t>
      </w:r>
      <w:r w:rsidRPr="00FE4A04">
        <w:rPr>
          <w:lang w:val="fr-FR"/>
        </w:rPr>
        <w:tab/>
      </w:r>
      <w:r w:rsidR="00595D79" w:rsidRPr="00595D79">
        <w:rPr>
          <w:bCs/>
          <w:lang w:val="fr-FR"/>
        </w:rPr>
        <w:t>Précédents relatifs à l</w:t>
      </w:r>
      <w:r w:rsidR="00277023">
        <w:rPr>
          <w:bCs/>
          <w:lang w:val="fr-FR"/>
        </w:rPr>
        <w:t>’</w:t>
      </w:r>
      <w:r w:rsidR="00595D79" w:rsidRPr="00595D79">
        <w:rPr>
          <w:bCs/>
          <w:lang w:val="fr-FR"/>
        </w:rPr>
        <w:t xml:space="preserve">application des principes ou dispositions de </w:t>
      </w:r>
      <w:smartTag w:uri="urn:schemas-microsoft-com:office:smarttags" w:element="PersonName">
        <w:smartTagPr>
          <w:attr w:name="ProductID" w:val="LA CONVENTION"/>
        </w:smartTagPr>
        <w:r w:rsidR="00595D79" w:rsidRPr="00595D79">
          <w:rPr>
            <w:bCs/>
            <w:lang w:val="fr-FR"/>
          </w:rPr>
          <w:t>la Convention</w:t>
        </w:r>
      </w:smartTag>
      <w:r w:rsidR="00595D79" w:rsidRPr="00595D79">
        <w:rPr>
          <w:bCs/>
          <w:lang w:val="fr-FR"/>
        </w:rPr>
        <w:t xml:space="preserve"> à des décisions judiciaires au Japon</w:t>
      </w:r>
    </w:p>
    <w:p w:rsidR="006350BE" w:rsidRPr="00595D79" w:rsidRDefault="00595D79" w:rsidP="00185E62">
      <w:pPr>
        <w:pStyle w:val="SingleTxtG"/>
        <w:rPr>
          <w:b/>
          <w:bCs/>
          <w:lang w:val="fr-FR"/>
        </w:rPr>
      </w:pPr>
      <w:r w:rsidRPr="00595D79">
        <w:rPr>
          <w:lang w:val="fr-FR"/>
        </w:rPr>
        <w:t>26.</w:t>
      </w:r>
      <w:r w:rsidRPr="00595D79">
        <w:rPr>
          <w:lang w:val="fr-FR"/>
        </w:rPr>
        <w:tab/>
        <w:t>S</w:t>
      </w:r>
      <w:r w:rsidR="00277023">
        <w:rPr>
          <w:lang w:val="fr-FR"/>
        </w:rPr>
        <w:t>’</w:t>
      </w:r>
      <w:r w:rsidRPr="00595D79">
        <w:rPr>
          <w:lang w:val="fr-FR"/>
        </w:rPr>
        <w:t>agissant des affaires portées devant des tribunaux japonais, il n</w:t>
      </w:r>
      <w:r w:rsidR="00277023">
        <w:rPr>
          <w:lang w:val="fr-FR"/>
        </w:rPr>
        <w:t>’</w:t>
      </w:r>
      <w:r w:rsidRPr="00595D79">
        <w:rPr>
          <w:lang w:val="fr-FR"/>
        </w:rPr>
        <w:t xml:space="preserve">existe aucun précédent dans lequel le principe et les dispositions de </w:t>
      </w:r>
      <w:smartTag w:uri="urn:schemas-microsoft-com:office:smarttags" w:element="PersonName">
        <w:smartTagPr>
          <w:attr w:name="ProductID" w:val="LA CONVENTION"/>
        </w:smartTagPr>
        <w:r w:rsidRPr="00595D79">
          <w:rPr>
            <w:lang w:val="fr-FR"/>
          </w:rPr>
          <w:t>la Convention</w:t>
        </w:r>
      </w:smartTag>
      <w:r w:rsidRPr="00595D79">
        <w:rPr>
          <w:lang w:val="fr-FR"/>
        </w:rPr>
        <w:t xml:space="preserve"> ont été appliqués directement aux décisions judiciaires.</w:t>
      </w:r>
      <w:r w:rsidR="006350BE" w:rsidRPr="00595D79">
        <w:rPr>
          <w:b/>
          <w:bCs/>
          <w:lang w:val="fr-FR"/>
        </w:rPr>
        <w:t xml:space="preserve"> </w:t>
      </w:r>
    </w:p>
    <w:p w:rsidR="006350BE" w:rsidRPr="00FE4A04" w:rsidRDefault="00DA561F" w:rsidP="00DA561F">
      <w:pPr>
        <w:pStyle w:val="H1G"/>
        <w:rPr>
          <w:lang w:val="es-ES"/>
        </w:rPr>
      </w:pPr>
      <w:r w:rsidRPr="00595D79">
        <w:rPr>
          <w:lang w:val="fr-FR"/>
        </w:rPr>
        <w:tab/>
      </w:r>
      <w:r w:rsidR="006350BE" w:rsidRPr="00FE4A04">
        <w:rPr>
          <w:lang w:val="es-ES"/>
        </w:rPr>
        <w:t>F.</w:t>
      </w:r>
      <w:r w:rsidRPr="00FE4A04">
        <w:rPr>
          <w:lang w:val="es-ES"/>
        </w:rPr>
        <w:tab/>
      </w:r>
      <w:r w:rsidR="00595D79" w:rsidRPr="00595D79">
        <w:rPr>
          <w:bCs/>
          <w:lang w:val="fr-FR"/>
        </w:rPr>
        <w:t>Mesures de réparation en cas de violation des droits de l</w:t>
      </w:r>
      <w:r w:rsidR="00277023">
        <w:rPr>
          <w:bCs/>
          <w:lang w:val="fr-FR"/>
        </w:rPr>
        <w:t>’</w:t>
      </w:r>
      <w:r w:rsidR="00595D79" w:rsidRPr="00595D79">
        <w:rPr>
          <w:bCs/>
          <w:lang w:val="fr-FR"/>
        </w:rPr>
        <w:t xml:space="preserve">enfant en application de </w:t>
      </w:r>
      <w:smartTag w:uri="urn:schemas-microsoft-com:office:smarttags" w:element="PersonName">
        <w:smartTagPr>
          <w:attr w:name="ProductID" w:val="LA CONVENTION"/>
        </w:smartTagPr>
        <w:r w:rsidR="00595D79" w:rsidRPr="00595D79">
          <w:rPr>
            <w:bCs/>
            <w:lang w:val="fr-FR"/>
          </w:rPr>
          <w:t>la Convention</w:t>
        </w:r>
      </w:smartTag>
    </w:p>
    <w:p w:rsidR="00F206B8" w:rsidRPr="00F206B8" w:rsidRDefault="00F206B8" w:rsidP="00F206B8">
      <w:pPr>
        <w:pStyle w:val="SingleTxtG"/>
        <w:rPr>
          <w:lang w:val="fr-FR"/>
        </w:rPr>
      </w:pPr>
      <w:r w:rsidRPr="00F206B8">
        <w:rPr>
          <w:lang w:val="fr-FR"/>
        </w:rPr>
        <w:t>27.</w:t>
      </w:r>
      <w:r w:rsidRPr="00F206B8">
        <w:rPr>
          <w:lang w:val="fr-FR"/>
        </w:rPr>
        <w:tab/>
        <w:t>Les organes de protection des droits de l</w:t>
      </w:r>
      <w:r w:rsidR="00277023">
        <w:rPr>
          <w:lang w:val="fr-FR"/>
        </w:rPr>
        <w:t>’</w:t>
      </w:r>
      <w:r w:rsidRPr="00F206B8">
        <w:rPr>
          <w:lang w:val="fr-FR"/>
        </w:rPr>
        <w:t>homme relevant du Ministère de la justice sont saisis de demandes relatives aux droits de l</w:t>
      </w:r>
      <w:r w:rsidR="00277023">
        <w:rPr>
          <w:lang w:val="fr-FR"/>
        </w:rPr>
        <w:t>’</w:t>
      </w:r>
      <w:r w:rsidRPr="00F206B8">
        <w:rPr>
          <w:lang w:val="fr-FR"/>
        </w:rPr>
        <w:t>enfant, y compris la violence à l</w:t>
      </w:r>
      <w:r w:rsidR="00277023">
        <w:rPr>
          <w:lang w:val="fr-FR"/>
        </w:rPr>
        <w:t>’</w:t>
      </w:r>
      <w:r w:rsidRPr="00F206B8">
        <w:rPr>
          <w:lang w:val="fr-FR"/>
        </w:rPr>
        <w:t>égard des enfants, par le biais des services consultatifs en la matière et la permanence téléphonique spécialisée dans les droits de l</w:t>
      </w:r>
      <w:r w:rsidR="00277023">
        <w:rPr>
          <w:lang w:val="fr-FR"/>
        </w:rPr>
        <w:t>’</w:t>
      </w:r>
      <w:r w:rsidRPr="00F206B8">
        <w:rPr>
          <w:lang w:val="fr-FR"/>
        </w:rPr>
        <w:t>enfant.</w:t>
      </w:r>
    </w:p>
    <w:p w:rsidR="00F206B8" w:rsidRPr="00F206B8" w:rsidRDefault="00F206B8" w:rsidP="00F206B8">
      <w:pPr>
        <w:pStyle w:val="SingleTxtG"/>
        <w:rPr>
          <w:lang w:val="fr-FR"/>
        </w:rPr>
      </w:pPr>
      <w:r w:rsidRPr="00F206B8">
        <w:rPr>
          <w:lang w:val="fr-FR"/>
        </w:rPr>
        <w:t>28.</w:t>
      </w:r>
      <w:r w:rsidRPr="00F206B8">
        <w:rPr>
          <w:lang w:val="fr-FR"/>
        </w:rPr>
        <w:tab/>
        <w:t>Par ailleurs, lorsque les organes de protection des droits de l</w:t>
      </w:r>
      <w:r w:rsidR="00277023">
        <w:rPr>
          <w:lang w:val="fr-FR"/>
        </w:rPr>
        <w:t>’</w:t>
      </w:r>
      <w:r w:rsidRPr="00F206B8">
        <w:rPr>
          <w:lang w:val="fr-FR"/>
        </w:rPr>
        <w:t>homme reçoivent une plainte pour violation des droits d</w:t>
      </w:r>
      <w:r w:rsidR="00277023">
        <w:rPr>
          <w:lang w:val="fr-FR"/>
        </w:rPr>
        <w:t>’</w:t>
      </w:r>
      <w:r w:rsidRPr="00F206B8">
        <w:rPr>
          <w:lang w:val="fr-FR"/>
        </w:rPr>
        <w:t>un enfant, ou l</w:t>
      </w:r>
      <w:r w:rsidR="00277023">
        <w:rPr>
          <w:lang w:val="fr-FR"/>
        </w:rPr>
        <w:t>’</w:t>
      </w:r>
      <w:r w:rsidRPr="00F206B8">
        <w:rPr>
          <w:lang w:val="fr-FR"/>
        </w:rPr>
        <w:t>information d</w:t>
      </w:r>
      <w:r w:rsidR="00277023">
        <w:rPr>
          <w:lang w:val="fr-FR"/>
        </w:rPr>
        <w:t>’</w:t>
      </w:r>
      <w:r w:rsidRPr="00F206B8">
        <w:rPr>
          <w:lang w:val="fr-FR"/>
        </w:rPr>
        <w:t>une violation de cette nature, des services consultatifs en matière de droits de l</w:t>
      </w:r>
      <w:r w:rsidR="00277023">
        <w:rPr>
          <w:lang w:val="fr-FR"/>
        </w:rPr>
        <w:t>’</w:t>
      </w:r>
      <w:r w:rsidRPr="00F206B8">
        <w:rPr>
          <w:lang w:val="fr-FR"/>
        </w:rPr>
        <w:t>homme ou d</w:t>
      </w:r>
      <w:r w:rsidR="00277023">
        <w:rPr>
          <w:lang w:val="fr-FR"/>
        </w:rPr>
        <w:t>’</w:t>
      </w:r>
      <w:r w:rsidRPr="00F206B8">
        <w:rPr>
          <w:lang w:val="fr-FR"/>
        </w:rPr>
        <w:t>autres sources, ils mènent une enquête et s</w:t>
      </w:r>
      <w:r w:rsidR="00277023">
        <w:rPr>
          <w:lang w:val="fr-FR"/>
        </w:rPr>
        <w:t>’</w:t>
      </w:r>
      <w:r w:rsidRPr="00F206B8">
        <w:rPr>
          <w:lang w:val="fr-FR"/>
        </w:rPr>
        <w:t>ils concluent qu</w:t>
      </w:r>
      <w:r w:rsidR="00277023">
        <w:rPr>
          <w:lang w:val="fr-FR"/>
        </w:rPr>
        <w:t>’</w:t>
      </w:r>
      <w:r w:rsidRPr="00F206B8">
        <w:rPr>
          <w:lang w:val="fr-FR"/>
        </w:rPr>
        <w:t>il y a bien eu violation des droits fondamentaux, qui inclut la maltraitance faite aux enfants, ils prennent différentes mesures en fonction du type de l</w:t>
      </w:r>
      <w:r w:rsidR="00277023">
        <w:rPr>
          <w:lang w:val="fr-FR"/>
        </w:rPr>
        <w:t>’</w:t>
      </w:r>
      <w:r w:rsidRPr="00F206B8">
        <w:rPr>
          <w:lang w:val="fr-FR"/>
        </w:rPr>
        <w:t>affaire pour secourir l</w:t>
      </w:r>
      <w:r w:rsidR="00277023">
        <w:rPr>
          <w:lang w:val="fr-FR"/>
        </w:rPr>
        <w:t>’</w:t>
      </w:r>
      <w:r w:rsidRPr="00F206B8">
        <w:rPr>
          <w:lang w:val="fr-FR"/>
        </w:rPr>
        <w:t>enfant victime, comme adresser une mise en garde à l</w:t>
      </w:r>
      <w:r w:rsidR="00277023">
        <w:rPr>
          <w:lang w:val="fr-FR"/>
        </w:rPr>
        <w:t>’</w:t>
      </w:r>
      <w:r w:rsidRPr="00F206B8">
        <w:rPr>
          <w:lang w:val="fr-FR"/>
        </w:rPr>
        <w:t>auteur pour qu</w:t>
      </w:r>
      <w:r w:rsidR="00277023">
        <w:rPr>
          <w:lang w:val="fr-FR"/>
        </w:rPr>
        <w:t>’</w:t>
      </w:r>
      <w:r w:rsidRPr="00F206B8">
        <w:rPr>
          <w:lang w:val="fr-FR"/>
        </w:rPr>
        <w:t>il cesse ses agissements et demander à ceux qui peuvent protéger la victime de prendre les mesures requises, ainsi que dispenser une éducation aux droits de l</w:t>
      </w:r>
      <w:r w:rsidR="00277023">
        <w:rPr>
          <w:lang w:val="fr-FR"/>
        </w:rPr>
        <w:t>’</w:t>
      </w:r>
      <w:r w:rsidRPr="00F206B8">
        <w:rPr>
          <w:lang w:val="fr-FR"/>
        </w:rPr>
        <w:t>homme aux parties concernées de manière à empêcher toute récidive. Les organes de protection des droits de l</w:t>
      </w:r>
      <w:r w:rsidR="00277023">
        <w:rPr>
          <w:lang w:val="fr-FR"/>
        </w:rPr>
        <w:t>’</w:t>
      </w:r>
      <w:r w:rsidRPr="00F206B8">
        <w:rPr>
          <w:lang w:val="fr-FR"/>
        </w:rPr>
        <w:t>homme ont renforcé leur coopération avec les réseaux locaux d</w:t>
      </w:r>
      <w:r w:rsidR="00277023">
        <w:rPr>
          <w:lang w:val="fr-FR"/>
        </w:rPr>
        <w:t>’</w:t>
      </w:r>
      <w:r w:rsidRPr="00F206B8">
        <w:rPr>
          <w:lang w:val="fr-FR"/>
        </w:rPr>
        <w:t>organisations connexes dont l</w:t>
      </w:r>
      <w:r w:rsidR="00277023">
        <w:rPr>
          <w:lang w:val="fr-FR"/>
        </w:rPr>
        <w:t>’</w:t>
      </w:r>
      <w:r w:rsidRPr="00F206B8">
        <w:rPr>
          <w:lang w:val="fr-FR"/>
        </w:rPr>
        <w:t>objectif est de prévenir la maltraitance à l</w:t>
      </w:r>
      <w:r w:rsidR="00277023">
        <w:rPr>
          <w:lang w:val="fr-FR"/>
        </w:rPr>
        <w:t>’</w:t>
      </w:r>
      <w:r w:rsidRPr="00F206B8">
        <w:rPr>
          <w:lang w:val="fr-FR"/>
        </w:rPr>
        <w:t xml:space="preserve">égard des enfants. </w:t>
      </w:r>
    </w:p>
    <w:p w:rsidR="00F206B8" w:rsidRPr="00F206B8" w:rsidRDefault="00F206B8" w:rsidP="00F206B8">
      <w:pPr>
        <w:pStyle w:val="SingleTxtG"/>
        <w:rPr>
          <w:lang w:val="fr-FR"/>
        </w:rPr>
      </w:pPr>
      <w:r w:rsidRPr="00F206B8">
        <w:rPr>
          <w:lang w:val="fr-FR"/>
        </w:rPr>
        <w:t>29.</w:t>
      </w:r>
      <w:r w:rsidRPr="00F206B8">
        <w:rPr>
          <w:lang w:val="fr-FR"/>
        </w:rPr>
        <w:tab/>
        <w:t>S</w:t>
      </w:r>
      <w:r w:rsidR="00277023">
        <w:rPr>
          <w:lang w:val="fr-FR"/>
        </w:rPr>
        <w:t>’</w:t>
      </w:r>
      <w:r w:rsidRPr="00F206B8">
        <w:rPr>
          <w:lang w:val="fr-FR"/>
        </w:rPr>
        <w:t>agissant des volontaires pour la protection des droits de l</w:t>
      </w:r>
      <w:r w:rsidR="00277023">
        <w:rPr>
          <w:lang w:val="fr-FR"/>
        </w:rPr>
        <w:t>’</w:t>
      </w:r>
      <w:r w:rsidRPr="00F206B8">
        <w:rPr>
          <w:lang w:val="fr-FR"/>
        </w:rPr>
        <w:t>enfant, voir paragraphe 17 du deuxième rapport du Japon. Le 1er juillet 2005, le nombre de volontaires était passé à 954 afin de traiter les questions relatives aux droits de l</w:t>
      </w:r>
      <w:r w:rsidR="00277023">
        <w:rPr>
          <w:lang w:val="fr-FR"/>
        </w:rPr>
        <w:t>’</w:t>
      </w:r>
      <w:r w:rsidRPr="00F206B8">
        <w:rPr>
          <w:lang w:val="fr-FR"/>
        </w:rPr>
        <w:t xml:space="preserve">enfant de façon plus efficace. </w:t>
      </w:r>
    </w:p>
    <w:p w:rsidR="00F206B8" w:rsidRPr="00F206B8" w:rsidRDefault="00F206B8" w:rsidP="00F206B8">
      <w:pPr>
        <w:pStyle w:val="SingleTxtG"/>
        <w:rPr>
          <w:bCs/>
          <w:lang w:val="fr-FR"/>
        </w:rPr>
      </w:pPr>
      <w:r w:rsidRPr="00F206B8">
        <w:rPr>
          <w:bCs/>
          <w:lang w:val="fr-FR"/>
        </w:rPr>
        <w:t>30.</w:t>
      </w:r>
      <w:r w:rsidRPr="00F206B8">
        <w:rPr>
          <w:bCs/>
          <w:lang w:val="fr-FR"/>
        </w:rPr>
        <w:tab/>
        <w:t xml:space="preserve">Les réparations administratives spécifiques des violations des droits dans les différents domaines sont exposées à chacune des sections correspondantes du présent rapport. </w:t>
      </w:r>
    </w:p>
    <w:p w:rsidR="00F206B8" w:rsidRPr="00F206B8" w:rsidRDefault="00F206B8" w:rsidP="00F206B8">
      <w:pPr>
        <w:pStyle w:val="H1G"/>
        <w:rPr>
          <w:lang w:val="fr-FR"/>
        </w:rPr>
      </w:pPr>
      <w:r>
        <w:rPr>
          <w:lang w:val="fr-FR"/>
        </w:rPr>
        <w:tab/>
        <w:t>G.</w:t>
      </w:r>
      <w:r>
        <w:rPr>
          <w:lang w:val="fr-FR"/>
        </w:rPr>
        <w:tab/>
      </w:r>
      <w:r w:rsidRPr="00F206B8">
        <w:rPr>
          <w:lang w:val="fr-FR"/>
        </w:rPr>
        <w:t>Stratégie nationale globale relative aux droits de l</w:t>
      </w:r>
      <w:r w:rsidR="00277023">
        <w:rPr>
          <w:lang w:val="fr-FR"/>
        </w:rPr>
        <w:t>’</w:t>
      </w:r>
      <w:r w:rsidRPr="00F206B8">
        <w:rPr>
          <w:lang w:val="fr-FR"/>
        </w:rPr>
        <w:t xml:space="preserve">enfant dans le cadre de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relative aux droits de l</w:t>
      </w:r>
      <w:r w:rsidR="00277023">
        <w:rPr>
          <w:lang w:val="fr-FR"/>
        </w:rPr>
        <w:t>’</w:t>
      </w:r>
      <w:r w:rsidRPr="00F206B8">
        <w:rPr>
          <w:lang w:val="fr-FR"/>
        </w:rPr>
        <w:t>enfant, y compris le Plan d</w:t>
      </w:r>
      <w:r w:rsidR="00277023">
        <w:rPr>
          <w:lang w:val="fr-FR"/>
        </w:rPr>
        <w:t>’</w:t>
      </w:r>
      <w:r w:rsidRPr="00F206B8">
        <w:rPr>
          <w:lang w:val="fr-FR"/>
        </w:rPr>
        <w:t>action national pour la réalisation des droits de l</w:t>
      </w:r>
      <w:r w:rsidR="00277023">
        <w:rPr>
          <w:lang w:val="fr-FR"/>
        </w:rPr>
        <w:t>’</w:t>
      </w:r>
      <w:r w:rsidRPr="00F206B8">
        <w:rPr>
          <w:lang w:val="fr-FR"/>
        </w:rPr>
        <w:t>enfant</w:t>
      </w:r>
    </w:p>
    <w:p w:rsidR="00F206B8" w:rsidRPr="00F206B8" w:rsidRDefault="00F206B8" w:rsidP="00F206B8">
      <w:pPr>
        <w:pStyle w:val="SingleTxtG"/>
        <w:rPr>
          <w:lang w:val="fr-FR"/>
        </w:rPr>
      </w:pPr>
      <w:r w:rsidRPr="00F206B8">
        <w:rPr>
          <w:lang w:val="fr-FR"/>
        </w:rPr>
        <w:t>(Actions menées à la suite du Sommet mondial pour les enfants et du Congrès mondial contre l</w:t>
      </w:r>
      <w:r w:rsidR="00277023">
        <w:rPr>
          <w:lang w:val="fr-FR"/>
        </w:rPr>
        <w:t>’</w:t>
      </w:r>
      <w:r w:rsidRPr="00F206B8">
        <w:rPr>
          <w:lang w:val="fr-FR"/>
        </w:rPr>
        <w:t>exploitation sexuelle des enfants à des fins commerciales)</w:t>
      </w:r>
    </w:p>
    <w:p w:rsidR="00F206B8" w:rsidRPr="00F206B8" w:rsidRDefault="00F206B8" w:rsidP="00F206B8">
      <w:pPr>
        <w:pStyle w:val="SingleTxtG"/>
        <w:rPr>
          <w:lang w:val="fr-FR"/>
        </w:rPr>
      </w:pPr>
      <w:r w:rsidRPr="00F206B8">
        <w:rPr>
          <w:lang w:val="fr-FR"/>
        </w:rPr>
        <w:t>31.</w:t>
      </w:r>
      <w:r w:rsidRPr="00F206B8">
        <w:rPr>
          <w:lang w:val="fr-FR"/>
        </w:rPr>
        <w:tab/>
        <w:t>En application du Plan d</w:t>
      </w:r>
      <w:r w:rsidR="00277023">
        <w:rPr>
          <w:lang w:val="fr-FR"/>
        </w:rPr>
        <w:t>’</w:t>
      </w:r>
      <w:r w:rsidRPr="00F206B8">
        <w:rPr>
          <w:lang w:val="fr-FR"/>
        </w:rPr>
        <w:t xml:space="preserve">action pour la mise en œuvre de </w:t>
      </w:r>
      <w:smartTag w:uri="urn:schemas-microsoft-com:office:smarttags" w:element="PersonName">
        <w:smartTagPr>
          <w:attr w:name="ProductID" w:val="la D￩claration"/>
        </w:smartTagPr>
        <w:r w:rsidRPr="00F206B8">
          <w:rPr>
            <w:lang w:val="fr-FR"/>
          </w:rPr>
          <w:t>la Déclaration</w:t>
        </w:r>
      </w:smartTag>
      <w:r w:rsidRPr="00F206B8">
        <w:rPr>
          <w:lang w:val="fr-FR"/>
        </w:rPr>
        <w:t xml:space="preserve"> mondiale adoptée lors du Sommet mondial pour les enfants tenu en septembre 1990, un Plan d</w:t>
      </w:r>
      <w:r w:rsidR="00277023">
        <w:rPr>
          <w:lang w:val="fr-FR"/>
        </w:rPr>
        <w:t>’</w:t>
      </w:r>
      <w:r w:rsidRPr="00F206B8">
        <w:rPr>
          <w:lang w:val="fr-FR"/>
        </w:rPr>
        <w:t>action national a été formulé en décembre 1991. Le Gouvernement a préparé par ailleurs son rapport national dans l</w:t>
      </w:r>
      <w:r w:rsidR="00277023">
        <w:rPr>
          <w:lang w:val="fr-FR"/>
        </w:rPr>
        <w:t>’</w:t>
      </w:r>
      <w:r w:rsidRPr="00F206B8">
        <w:rPr>
          <w:lang w:val="fr-FR"/>
        </w:rPr>
        <w:t>objectif d</w:t>
      </w:r>
      <w:r w:rsidR="00277023">
        <w:rPr>
          <w:lang w:val="fr-FR"/>
        </w:rPr>
        <w:t>’</w:t>
      </w:r>
      <w:r w:rsidRPr="00F206B8">
        <w:rPr>
          <w:lang w:val="fr-FR"/>
        </w:rPr>
        <w:t>examiner les actions menées après le Sommet mondial pour les enfants, à l</w:t>
      </w:r>
      <w:r w:rsidR="00277023">
        <w:rPr>
          <w:lang w:val="fr-FR"/>
        </w:rPr>
        <w:t>’</w:t>
      </w:r>
      <w:r w:rsidRPr="00F206B8">
        <w:rPr>
          <w:lang w:val="fr-FR"/>
        </w:rPr>
        <w:t>occasion de la session extraordinaire de l</w:t>
      </w:r>
      <w:r w:rsidR="00277023">
        <w:rPr>
          <w:lang w:val="fr-FR"/>
        </w:rPr>
        <w:t>’</w:t>
      </w:r>
      <w:r w:rsidRPr="00F206B8">
        <w:rPr>
          <w:lang w:val="fr-FR"/>
        </w:rPr>
        <w:t xml:space="preserve">Assemblée générale sur le suivi du Sommet mondial pour les enfants de septembre 2001. Conformément à </w:t>
      </w:r>
      <w:smartTag w:uri="urn:schemas-microsoft-com:office:smarttags" w:element="PersonName">
        <w:smartTagPr>
          <w:attr w:name="ProductID" w:val="la D￩claration"/>
        </w:smartTagPr>
        <w:r w:rsidRPr="00F206B8">
          <w:rPr>
            <w:lang w:val="fr-FR"/>
          </w:rPr>
          <w:t>la Déclaration</w:t>
        </w:r>
      </w:smartTag>
      <w:r w:rsidRPr="00F206B8">
        <w:rPr>
          <w:lang w:val="fr-FR"/>
        </w:rPr>
        <w:t xml:space="preserve"> et au Plan d</w:t>
      </w:r>
      <w:r w:rsidR="00277023">
        <w:rPr>
          <w:lang w:val="fr-FR"/>
        </w:rPr>
        <w:t>’</w:t>
      </w:r>
      <w:r w:rsidRPr="00F206B8">
        <w:rPr>
          <w:lang w:val="fr-FR"/>
        </w:rPr>
        <w:t>action adoptés lors du Congrès mondial contre l</w:t>
      </w:r>
      <w:r w:rsidR="00277023">
        <w:rPr>
          <w:lang w:val="fr-FR"/>
        </w:rPr>
        <w:t>’</w:t>
      </w:r>
      <w:r w:rsidRPr="00F206B8">
        <w:rPr>
          <w:lang w:val="fr-FR"/>
        </w:rPr>
        <w:t>exploitation sexuelle des enfants à des fins commerciales tenu à Stockholm en août 1996, le Gouvernement japonais a également élaboré en février 2001 le Plan d</w:t>
      </w:r>
      <w:r w:rsidR="00277023">
        <w:rPr>
          <w:lang w:val="fr-FR"/>
        </w:rPr>
        <w:t>’</w:t>
      </w:r>
      <w:r w:rsidRPr="00F206B8">
        <w:rPr>
          <w:lang w:val="fr-FR"/>
        </w:rPr>
        <w:t>action national contre l</w:t>
      </w:r>
      <w:r w:rsidR="00277023">
        <w:rPr>
          <w:lang w:val="fr-FR"/>
        </w:rPr>
        <w:t>’</w:t>
      </w:r>
      <w:r w:rsidRPr="00F206B8">
        <w:rPr>
          <w:lang w:val="fr-FR"/>
        </w:rPr>
        <w:t xml:space="preserve">exploitation sexuelle des enfants à des fins commerciales et préparé un rapport sur ses avancées pour </w:t>
      </w:r>
      <w:smartTag w:uri="urn:schemas-microsoft-com:office:smarttags" w:element="PersonName">
        <w:smartTagPr>
          <w:attr w:name="ProductID" w:val="la Conf￩rence"/>
        </w:smartTagPr>
        <w:r w:rsidRPr="00F206B8">
          <w:rPr>
            <w:lang w:val="fr-FR"/>
          </w:rPr>
          <w:t>la Conférence</w:t>
        </w:r>
      </w:smartTag>
      <w:r w:rsidRPr="00F206B8">
        <w:rPr>
          <w:lang w:val="fr-FR"/>
        </w:rPr>
        <w:t xml:space="preserve"> de suivi du deuxième Congrès. </w:t>
      </w:r>
    </w:p>
    <w:p w:rsidR="00F206B8" w:rsidRPr="00F206B8" w:rsidRDefault="00F206B8" w:rsidP="00F206B8">
      <w:pPr>
        <w:pStyle w:val="SingleTxtG"/>
        <w:rPr>
          <w:lang w:val="fr-FR"/>
        </w:rPr>
      </w:pPr>
      <w:r w:rsidRPr="00F206B8">
        <w:rPr>
          <w:lang w:val="fr-FR"/>
        </w:rPr>
        <w:t>(Formulation de la politique nationale en faveur de la jeunesse)</w:t>
      </w:r>
    </w:p>
    <w:p w:rsidR="00F206B8" w:rsidRPr="00F206B8" w:rsidRDefault="00F206B8" w:rsidP="00F206B8">
      <w:pPr>
        <w:pStyle w:val="SingleTxtG"/>
        <w:rPr>
          <w:lang w:val="fr-FR"/>
        </w:rPr>
      </w:pPr>
      <w:r w:rsidRPr="00F206B8">
        <w:rPr>
          <w:lang w:val="fr-FR"/>
        </w:rPr>
        <w:t>32.</w:t>
      </w:r>
      <w:r w:rsidRPr="00F206B8">
        <w:rPr>
          <w:lang w:val="fr-FR"/>
        </w:rPr>
        <w:tab/>
        <w:t>S</w:t>
      </w:r>
      <w:r w:rsidR="00277023">
        <w:rPr>
          <w:lang w:val="fr-FR"/>
        </w:rPr>
        <w:t>’</w:t>
      </w:r>
      <w:r w:rsidRPr="00F206B8">
        <w:rPr>
          <w:lang w:val="fr-FR"/>
        </w:rPr>
        <w:t>agissant de faire connaître les principes directeurs guidant l</w:t>
      </w:r>
      <w:r w:rsidR="00277023">
        <w:rPr>
          <w:lang w:val="fr-FR"/>
        </w:rPr>
        <w:t>’</w:t>
      </w:r>
      <w:r w:rsidRPr="00F206B8">
        <w:rPr>
          <w:lang w:val="fr-FR"/>
        </w:rPr>
        <w:t>action du Gouvernement et l</w:t>
      </w:r>
      <w:r w:rsidR="00277023">
        <w:rPr>
          <w:lang w:val="fr-FR"/>
        </w:rPr>
        <w:t>’</w:t>
      </w:r>
      <w:r w:rsidRPr="00F206B8">
        <w:rPr>
          <w:lang w:val="fr-FR"/>
        </w:rPr>
        <w:t>orientation des mesures à moyen et long terme en faveur du bon développement de</w:t>
      </w:r>
      <w:r w:rsidR="00EA1115">
        <w:rPr>
          <w:lang w:val="fr-FR"/>
        </w:rPr>
        <w:t xml:space="preserve"> </w:t>
      </w:r>
      <w:r w:rsidRPr="00F206B8">
        <w:rPr>
          <w:lang w:val="fr-FR"/>
        </w:rPr>
        <w:t>la jeunesse, et de soutenir ces mesures de manière globale et efficace dans un large éventail de domaines parmi lesquels les soins de santé, le bien-être, l</w:t>
      </w:r>
      <w:r w:rsidR="00277023">
        <w:rPr>
          <w:lang w:val="fr-FR"/>
        </w:rPr>
        <w:t>’</w:t>
      </w:r>
      <w:r w:rsidRPr="00F206B8">
        <w:rPr>
          <w:lang w:val="fr-FR"/>
        </w:rPr>
        <w:t xml:space="preserve">éducation, le travail et la lutte contre la délinquance, le Gouvernement a formulé en décembre 2003 </w:t>
      </w:r>
      <w:smartTag w:uri="urn:schemas-microsoft-com:office:smarttags" w:element="PersonName">
        <w:smartTagPr>
          <w:attr w:name="ProductID" w:val="la Politique"/>
        </w:smartTagPr>
        <w:r w:rsidRPr="00F206B8">
          <w:rPr>
            <w:lang w:val="fr-FR"/>
          </w:rPr>
          <w:t>la Politique</w:t>
        </w:r>
      </w:smartTag>
      <w:r w:rsidRPr="00F206B8">
        <w:rPr>
          <w:lang w:val="fr-FR"/>
        </w:rPr>
        <w:t xml:space="preserve"> nationale en faveur de la jeunesse par le biais du Centre pour le développement de la jeunesse présidé par le premier Ministre (voir paragraphe 36 pour de plus amples détails sur le contexte de la formulation). Le Gouvernement a ainsi soutenu des mesures fondées sur cette Politique, intégrant l</w:t>
      </w:r>
      <w:r w:rsidR="00277023">
        <w:rPr>
          <w:lang w:val="fr-FR"/>
        </w:rPr>
        <w:t>’</w:t>
      </w:r>
      <w:r w:rsidRPr="00F206B8">
        <w:rPr>
          <w:lang w:val="fr-FR"/>
        </w:rPr>
        <w:t>objectif de promouvoir le respect et la protection de droits des jeunes tels qu</w:t>
      </w:r>
      <w:r w:rsidR="00277023">
        <w:rPr>
          <w:lang w:val="fr-FR"/>
        </w:rPr>
        <w:t>’</w:t>
      </w:r>
      <w:r w:rsidRPr="00F206B8">
        <w:rPr>
          <w:lang w:val="fr-FR"/>
        </w:rPr>
        <w:t xml:space="preserve">ils sont énoncés dans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w:t>
      </w:r>
    </w:p>
    <w:p w:rsidR="00F206B8" w:rsidRPr="00F206B8" w:rsidRDefault="00F206B8" w:rsidP="00F206B8">
      <w:pPr>
        <w:pStyle w:val="SingleTxtG"/>
        <w:rPr>
          <w:lang w:val="fr-FR"/>
        </w:rPr>
      </w:pPr>
      <w:r w:rsidRPr="00F206B8">
        <w:rPr>
          <w:lang w:val="fr-FR"/>
        </w:rPr>
        <w:t>(Création du Conseil de réforme de l</w:t>
      </w:r>
      <w:r w:rsidR="00277023">
        <w:rPr>
          <w:lang w:val="fr-FR"/>
        </w:rPr>
        <w:t>’</w:t>
      </w:r>
      <w:r w:rsidRPr="00F206B8">
        <w:rPr>
          <w:lang w:val="fr-FR"/>
        </w:rPr>
        <w:t>éducation)</w:t>
      </w:r>
    </w:p>
    <w:p w:rsidR="00F206B8" w:rsidRPr="00F206B8" w:rsidRDefault="00F206B8" w:rsidP="00F206B8">
      <w:pPr>
        <w:pStyle w:val="SingleTxtG"/>
        <w:rPr>
          <w:lang w:val="fr-FR"/>
        </w:rPr>
      </w:pPr>
      <w:r w:rsidRPr="00F206B8">
        <w:rPr>
          <w:lang w:val="fr-FR"/>
        </w:rPr>
        <w:t>33.</w:t>
      </w:r>
      <w:r w:rsidRPr="00F206B8">
        <w:rPr>
          <w:lang w:val="fr-FR"/>
        </w:rPr>
        <w:tab/>
        <w:t>En octobre 2006, le Bureau du Cabinet a établi le Conseil de réforme de l</w:t>
      </w:r>
      <w:r w:rsidR="00277023">
        <w:rPr>
          <w:lang w:val="fr-FR"/>
        </w:rPr>
        <w:t>’</w:t>
      </w:r>
      <w:r w:rsidRPr="00F206B8">
        <w:rPr>
          <w:lang w:val="fr-FR"/>
        </w:rPr>
        <w:t>éducation dans le but d</w:t>
      </w:r>
      <w:r w:rsidR="00277023">
        <w:rPr>
          <w:lang w:val="fr-FR"/>
        </w:rPr>
        <w:t>’</w:t>
      </w:r>
      <w:r w:rsidRPr="00F206B8">
        <w:rPr>
          <w:lang w:val="fr-FR"/>
        </w:rPr>
        <w:t>examiner des politiques fondamentales de rénovation de l</w:t>
      </w:r>
      <w:r w:rsidR="00277023">
        <w:rPr>
          <w:lang w:val="fr-FR"/>
        </w:rPr>
        <w:t>’</w:t>
      </w:r>
      <w:r w:rsidRPr="00F206B8">
        <w:rPr>
          <w:lang w:val="fr-FR"/>
        </w:rPr>
        <w:t>éducation dans une large perspective. Lors de la séance, le Conseil s</w:t>
      </w:r>
      <w:r w:rsidR="00277023">
        <w:rPr>
          <w:lang w:val="fr-FR"/>
        </w:rPr>
        <w:t>’</w:t>
      </w:r>
      <w:r w:rsidRPr="00F206B8">
        <w:rPr>
          <w:lang w:val="fr-FR"/>
        </w:rPr>
        <w:t>est penché sur la refonte de l</w:t>
      </w:r>
      <w:r w:rsidR="00277023">
        <w:rPr>
          <w:lang w:val="fr-FR"/>
        </w:rPr>
        <w:t>’</w:t>
      </w:r>
      <w:r w:rsidRPr="00F206B8">
        <w:rPr>
          <w:lang w:val="fr-FR"/>
        </w:rPr>
        <w:t>enseignement public et la fonction éducative des familles et des communautés dans l</w:t>
      </w:r>
      <w:r w:rsidR="00277023">
        <w:rPr>
          <w:lang w:val="fr-FR"/>
        </w:rPr>
        <w:t>’</w:t>
      </w:r>
      <w:r w:rsidRPr="00F206B8">
        <w:rPr>
          <w:lang w:val="fr-FR"/>
        </w:rPr>
        <w:t>objectif de garantir aux enfants la possibilité d</w:t>
      </w:r>
      <w:r w:rsidR="00277023">
        <w:rPr>
          <w:lang w:val="fr-FR"/>
        </w:rPr>
        <w:t>’</w:t>
      </w:r>
      <w:r w:rsidRPr="00F206B8">
        <w:rPr>
          <w:lang w:val="fr-FR"/>
        </w:rPr>
        <w:t>accéder à un niveau d</w:t>
      </w:r>
      <w:r w:rsidR="00277023">
        <w:rPr>
          <w:lang w:val="fr-FR"/>
        </w:rPr>
        <w:t>’</w:t>
      </w:r>
      <w:r w:rsidRPr="00F206B8">
        <w:rPr>
          <w:lang w:val="fr-FR"/>
        </w:rPr>
        <w:t>études élevé et d</w:t>
      </w:r>
      <w:r w:rsidR="00277023">
        <w:rPr>
          <w:lang w:val="fr-FR"/>
        </w:rPr>
        <w:t>’</w:t>
      </w:r>
      <w:r w:rsidRPr="00F206B8">
        <w:rPr>
          <w:lang w:val="fr-FR"/>
        </w:rPr>
        <w:t xml:space="preserve">acquérir le sens de la discipline. Selon le premier rapport soumis en janvier 2007, et le deuxième en juin de la même année, les mesures élaborées ont été dûment mises en œuvre. </w:t>
      </w:r>
    </w:p>
    <w:p w:rsidR="00F206B8" w:rsidRPr="00F206B8" w:rsidRDefault="00F206B8" w:rsidP="00F206B8">
      <w:pPr>
        <w:pStyle w:val="SingleTxtG"/>
        <w:rPr>
          <w:lang w:val="fr-FR"/>
        </w:rPr>
      </w:pPr>
      <w:r w:rsidRPr="00F206B8">
        <w:rPr>
          <w:lang w:val="fr-FR"/>
        </w:rPr>
        <w:t xml:space="preserve">(Formulation de </w:t>
      </w:r>
      <w:smartTag w:uri="urn:schemas-microsoft-com:office:smarttags" w:element="PersonName">
        <w:smartTagPr>
          <w:attr w:name="ProductID" w:val="la Strat￩gie"/>
        </w:smartTagPr>
        <w:r w:rsidRPr="00F206B8">
          <w:rPr>
            <w:lang w:val="fr-FR"/>
          </w:rPr>
          <w:t>la Stratégie</w:t>
        </w:r>
      </w:smartTag>
      <w:r w:rsidRPr="00F206B8">
        <w:rPr>
          <w:lang w:val="fr-FR"/>
        </w:rPr>
        <w:t xml:space="preserve"> ciblée </w:t>
      </w:r>
      <w:r w:rsidR="008E49D4">
        <w:rPr>
          <w:lang w:val="fr-FR"/>
        </w:rPr>
        <w:t>“</w:t>
      </w:r>
      <w:r w:rsidRPr="00F206B8">
        <w:rPr>
          <w:lang w:val="fr-FR"/>
        </w:rPr>
        <w:t>le Japon soutient les enfants et les familles</w:t>
      </w:r>
      <w:r w:rsidR="008E49D4">
        <w:rPr>
          <w:lang w:val="fr-FR"/>
        </w:rPr>
        <w:t>”</w:t>
      </w:r>
      <w:r w:rsidRPr="00F206B8">
        <w:rPr>
          <w:lang w:val="fr-FR"/>
        </w:rPr>
        <w:t>)</w:t>
      </w:r>
    </w:p>
    <w:p w:rsidR="00F206B8" w:rsidRPr="00F206B8" w:rsidRDefault="00F206B8" w:rsidP="00F206B8">
      <w:pPr>
        <w:pStyle w:val="SingleTxtG"/>
        <w:rPr>
          <w:bCs/>
          <w:lang w:val="fr-FR"/>
        </w:rPr>
      </w:pPr>
      <w:r w:rsidRPr="00F206B8">
        <w:rPr>
          <w:lang w:val="fr-FR"/>
        </w:rPr>
        <w:t>34.</w:t>
      </w:r>
      <w:r w:rsidRPr="00F206B8">
        <w:rPr>
          <w:lang w:val="fr-FR"/>
        </w:rPr>
        <w:tab/>
        <w:t>En juin 2006, de nouvelles politiques de réponse à la chute du taux de natalité ont été adoptées par le Conseil des ministres pour inverser la tendance et étendre, renforcer et réexaminer les mesures prises pour enrayer le phénomène. Les politiques ont été inscrites au budget de l</w:t>
      </w:r>
      <w:r w:rsidR="00277023">
        <w:rPr>
          <w:lang w:val="fr-FR"/>
        </w:rPr>
        <w:t>’</w:t>
      </w:r>
      <w:r w:rsidRPr="00F206B8">
        <w:rPr>
          <w:lang w:val="fr-FR"/>
        </w:rPr>
        <w:t>exercice 2007. En outre, les projections démographiques (décembre 2006) sont sombres et prévoient la poursuite et même l</w:t>
      </w:r>
      <w:r w:rsidR="00277023">
        <w:rPr>
          <w:lang w:val="fr-FR"/>
        </w:rPr>
        <w:t>’</w:t>
      </w:r>
      <w:r w:rsidRPr="00F206B8">
        <w:rPr>
          <w:lang w:val="fr-FR"/>
        </w:rPr>
        <w:t xml:space="preserve">accélération de la baisse du taux de natalité et du vieillissement démographique. Partant, le Gouvernement a présenté un rapport intérimaire sur la formulation de </w:t>
      </w:r>
      <w:smartTag w:uri="urn:schemas-microsoft-com:office:smarttags" w:element="PersonName">
        <w:smartTagPr>
          <w:attr w:name="ProductID" w:val="la Strat￩gie"/>
        </w:smartTagPr>
        <w:r w:rsidRPr="00F206B8">
          <w:rPr>
            <w:lang w:val="fr-FR"/>
          </w:rPr>
          <w:t>la Stratégie</w:t>
        </w:r>
      </w:smartTag>
      <w:r w:rsidRPr="00F206B8">
        <w:rPr>
          <w:lang w:val="fr-FR"/>
        </w:rPr>
        <w:t xml:space="preserve"> ciblée </w:t>
      </w:r>
      <w:r w:rsidR="008E49D4">
        <w:rPr>
          <w:lang w:val="fr-FR"/>
        </w:rPr>
        <w:t>“</w:t>
      </w:r>
      <w:r w:rsidRPr="00F206B8">
        <w:rPr>
          <w:lang w:val="fr-FR"/>
        </w:rPr>
        <w:t>le Japon soutient les enfants et les familles</w:t>
      </w:r>
      <w:r w:rsidR="008E49D4">
        <w:rPr>
          <w:lang w:val="fr-FR"/>
        </w:rPr>
        <w:t>”</w:t>
      </w:r>
      <w:r w:rsidRPr="00F206B8">
        <w:rPr>
          <w:lang w:val="fr-FR"/>
        </w:rPr>
        <w:t xml:space="preserve"> en juin 2007, dans l</w:t>
      </w:r>
      <w:r w:rsidR="00277023">
        <w:rPr>
          <w:lang w:val="fr-FR"/>
        </w:rPr>
        <w:t>’</w:t>
      </w:r>
      <w:r w:rsidRPr="00F206B8">
        <w:rPr>
          <w:lang w:val="fr-FR"/>
        </w:rPr>
        <w:t>objectif de reformuler et d</w:t>
      </w:r>
      <w:r w:rsidR="00277023">
        <w:rPr>
          <w:lang w:val="fr-FR"/>
        </w:rPr>
        <w:t>’</w:t>
      </w:r>
      <w:r w:rsidRPr="00F206B8">
        <w:rPr>
          <w:lang w:val="fr-FR"/>
        </w:rPr>
        <w:t>appliquer des politiques efficaces centrées sur les moyens de satisfaire les aspirations de la population japonaise en matière de mariage et de naissances. Le Gouvernement envisage de poursuivre l</w:t>
      </w:r>
      <w:r w:rsidR="00277023">
        <w:rPr>
          <w:lang w:val="fr-FR"/>
        </w:rPr>
        <w:t>’</w:t>
      </w:r>
      <w:r w:rsidRPr="00F206B8">
        <w:rPr>
          <w:lang w:val="fr-FR"/>
        </w:rPr>
        <w:t xml:space="preserve">examen des mesures concrètes et de présenter </w:t>
      </w:r>
      <w:smartTag w:uri="urn:schemas-microsoft-com:office:smarttags" w:element="PersonName">
        <w:smartTagPr>
          <w:attr w:name="ProductID" w:val="la Strat￩gie"/>
        </w:smartTagPr>
        <w:r w:rsidRPr="00F206B8">
          <w:rPr>
            <w:lang w:val="fr-FR"/>
          </w:rPr>
          <w:t>la Stratégie</w:t>
        </w:r>
      </w:smartTag>
      <w:r w:rsidRPr="00F206B8">
        <w:rPr>
          <w:lang w:val="fr-FR"/>
        </w:rPr>
        <w:t xml:space="preserve"> ciblée d</w:t>
      </w:r>
      <w:r w:rsidR="00277023">
        <w:rPr>
          <w:lang w:val="fr-FR"/>
        </w:rPr>
        <w:t>’</w:t>
      </w:r>
      <w:r w:rsidRPr="00F206B8">
        <w:rPr>
          <w:lang w:val="fr-FR"/>
        </w:rPr>
        <w:t>ici la fin de 2007, tout en suivant les débats sur la réforme fiscale et d</w:t>
      </w:r>
      <w:r w:rsidR="00277023">
        <w:rPr>
          <w:lang w:val="fr-FR"/>
        </w:rPr>
        <w:t>’</w:t>
      </w:r>
      <w:r w:rsidRPr="00F206B8">
        <w:rPr>
          <w:lang w:val="fr-FR"/>
        </w:rPr>
        <w:t xml:space="preserve">autres questions connexes. </w:t>
      </w:r>
    </w:p>
    <w:p w:rsidR="00F206B8" w:rsidRPr="00F206B8" w:rsidRDefault="00F206B8" w:rsidP="00F206B8">
      <w:pPr>
        <w:pStyle w:val="H1G"/>
        <w:rPr>
          <w:lang w:val="fr-FR"/>
        </w:rPr>
      </w:pPr>
      <w:r>
        <w:rPr>
          <w:lang w:val="fr-FR"/>
        </w:rPr>
        <w:tab/>
      </w:r>
      <w:r w:rsidRPr="00F206B8">
        <w:rPr>
          <w:lang w:val="fr-FR"/>
        </w:rPr>
        <w:t>H</w:t>
      </w:r>
      <w:r>
        <w:rPr>
          <w:lang w:val="fr-FR"/>
        </w:rPr>
        <w:t>.</w:t>
      </w:r>
      <w:r>
        <w:rPr>
          <w:lang w:val="fr-FR"/>
        </w:rPr>
        <w:tab/>
      </w:r>
      <w:r w:rsidRPr="00F206B8">
        <w:rPr>
          <w:lang w:val="fr-FR"/>
        </w:rPr>
        <w:t xml:space="preserve">Programme national de mise en œuvre de </w:t>
      </w:r>
      <w:smartTag w:uri="urn:schemas-microsoft-com:office:smarttags" w:element="PersonName">
        <w:smartTagPr>
          <w:attr w:name="ProductID" w:val="LA CONVENTION"/>
        </w:smartTagPr>
        <w:r w:rsidRPr="00F206B8">
          <w:rPr>
            <w:lang w:val="fr-FR"/>
          </w:rPr>
          <w:t>la Convention</w:t>
        </w:r>
      </w:smartTag>
    </w:p>
    <w:p w:rsidR="00F206B8" w:rsidRPr="00F206B8" w:rsidRDefault="00F206B8" w:rsidP="00F206B8">
      <w:pPr>
        <w:pStyle w:val="H23G"/>
        <w:rPr>
          <w:lang w:val="fr-FR"/>
        </w:rPr>
      </w:pPr>
      <w:r>
        <w:rPr>
          <w:lang w:val="fr-FR"/>
        </w:rPr>
        <w:tab/>
        <w:t>a)</w:t>
      </w:r>
      <w:r>
        <w:rPr>
          <w:lang w:val="fr-FR"/>
        </w:rPr>
        <w:tab/>
      </w:r>
      <w:r w:rsidRPr="00F206B8">
        <w:rPr>
          <w:lang w:val="fr-FR"/>
        </w:rPr>
        <w:t>Autorités responsables de l</w:t>
      </w:r>
      <w:r w:rsidR="00277023">
        <w:rPr>
          <w:lang w:val="fr-FR"/>
        </w:rPr>
        <w:t>’</w:t>
      </w:r>
      <w:r w:rsidRPr="00F206B8">
        <w:rPr>
          <w:lang w:val="fr-FR"/>
        </w:rPr>
        <w:t xml:space="preserve">application des différents aspects de </w:t>
      </w:r>
      <w:smartTag w:uri="urn:schemas-microsoft-com:office:smarttags" w:element="PersonName">
        <w:smartTagPr>
          <w:attr w:name="ProductID" w:val="LA CONVENTION"/>
        </w:smartTagPr>
        <w:r w:rsidRPr="00F206B8">
          <w:rPr>
            <w:lang w:val="fr-FR"/>
          </w:rPr>
          <w:t>la Convention</w:t>
        </w:r>
      </w:smartTag>
      <w:r w:rsidRPr="00F206B8">
        <w:rPr>
          <w:lang w:val="fr-FR"/>
        </w:rPr>
        <w:t>, de la coordination des activités menées par chaque autorité et mesures de suivi de l</w:t>
      </w:r>
      <w:r w:rsidR="00277023">
        <w:rPr>
          <w:lang w:val="fr-FR"/>
        </w:rPr>
        <w:t>’</w:t>
      </w:r>
      <w:r w:rsidRPr="00F206B8">
        <w:rPr>
          <w:lang w:val="fr-FR"/>
        </w:rPr>
        <w:t>état d</w:t>
      </w:r>
      <w:r w:rsidR="00277023">
        <w:rPr>
          <w:lang w:val="fr-FR"/>
        </w:rPr>
        <w:t>’avancement de ces activités</w:t>
      </w:r>
    </w:p>
    <w:p w:rsidR="00F206B8" w:rsidRPr="00F206B8" w:rsidRDefault="00F206B8" w:rsidP="00F206B8">
      <w:pPr>
        <w:pStyle w:val="SingleTxtG"/>
        <w:rPr>
          <w:lang w:val="fr-FR"/>
        </w:rPr>
      </w:pPr>
      <w:r w:rsidRPr="00F206B8">
        <w:rPr>
          <w:lang w:val="fr-FR"/>
        </w:rPr>
        <w:t>35.</w:t>
      </w:r>
      <w:r w:rsidRPr="00F206B8">
        <w:rPr>
          <w:lang w:val="fr-FR"/>
        </w:rPr>
        <w:tab/>
        <w:t>Ainsi que l</w:t>
      </w:r>
      <w:r w:rsidR="00277023">
        <w:rPr>
          <w:lang w:val="fr-FR"/>
        </w:rPr>
        <w:t>’</w:t>
      </w:r>
      <w:r w:rsidRPr="00F206B8">
        <w:rPr>
          <w:lang w:val="fr-FR"/>
        </w:rPr>
        <w:t>énonce le paragraphe 24 du deuxième rapport du Japon (paragraphe 26 du rapport initial), les mesures relatives aux enfants couvrent une grande diversité de domaines, notamment les soins de santé, le bien-être, l</w:t>
      </w:r>
      <w:r w:rsidR="00277023">
        <w:rPr>
          <w:lang w:val="fr-FR"/>
        </w:rPr>
        <w:t>’</w:t>
      </w:r>
      <w:r w:rsidRPr="00F206B8">
        <w:rPr>
          <w:lang w:val="fr-FR"/>
        </w:rPr>
        <w:t>éducation et la lutte contre la délinquance, auxquelles participent nombre d</w:t>
      </w:r>
      <w:r w:rsidR="00277023">
        <w:rPr>
          <w:lang w:val="fr-FR"/>
        </w:rPr>
        <w:t>’</w:t>
      </w:r>
      <w:r w:rsidRPr="00F206B8">
        <w:rPr>
          <w:lang w:val="fr-FR"/>
        </w:rPr>
        <w:t>organes administratifs. Ainsi, le Bureau du Cabinet coordonne les mesures relatives aux jeunes appliquées par les autorités compétentes afin d</w:t>
      </w:r>
      <w:r w:rsidR="00277023">
        <w:rPr>
          <w:lang w:val="fr-FR"/>
        </w:rPr>
        <w:t>’</w:t>
      </w:r>
      <w:r w:rsidRPr="00F206B8">
        <w:rPr>
          <w:lang w:val="fr-FR"/>
        </w:rPr>
        <w:t>assurer leur application globale et efficace (voir réponse B5 à la question du Comité des droits de l</w:t>
      </w:r>
      <w:r w:rsidR="00277023">
        <w:rPr>
          <w:lang w:val="fr-FR"/>
        </w:rPr>
        <w:t>’</w:t>
      </w:r>
      <w:r w:rsidRPr="00F206B8">
        <w:rPr>
          <w:lang w:val="fr-FR"/>
        </w:rPr>
        <w:t>enfant posée lors de l</w:t>
      </w:r>
      <w:r w:rsidR="00277023">
        <w:rPr>
          <w:lang w:val="fr-FR"/>
        </w:rPr>
        <w:t>’</w:t>
      </w:r>
      <w:r w:rsidRPr="00F206B8">
        <w:rPr>
          <w:lang w:val="fr-FR"/>
        </w:rPr>
        <w:t>examen du rapport initial).</w:t>
      </w:r>
    </w:p>
    <w:p w:rsidR="00F206B8" w:rsidRPr="00F206B8" w:rsidRDefault="00F206B8" w:rsidP="00F206B8">
      <w:pPr>
        <w:pStyle w:val="SingleTxtG"/>
        <w:rPr>
          <w:lang w:val="fr-FR"/>
        </w:rPr>
      </w:pPr>
      <w:r w:rsidRPr="00F206B8">
        <w:rPr>
          <w:lang w:val="fr-FR"/>
        </w:rPr>
        <w:t>36.</w:t>
      </w:r>
      <w:r w:rsidRPr="00F206B8">
        <w:rPr>
          <w:lang w:val="fr-FR"/>
        </w:rPr>
        <w:tab/>
        <w:t>En juin 2003, le centre pour le développement de la jeunesse présidé par le premier Ministre a été établi avec la participation de tous les ministres du Cabinet</w:t>
      </w:r>
      <w:r w:rsidR="00277023">
        <w:rPr>
          <w:lang w:val="fr-FR"/>
        </w:rPr>
        <w:t>;</w:t>
      </w:r>
      <w:r w:rsidRPr="00F206B8">
        <w:rPr>
          <w:lang w:val="fr-FR"/>
        </w:rPr>
        <w:t xml:space="preserve"> cette structure est destinée à promouvoir le développement de la jeunesse et à mettre en place une coopération plus étroite entre les différents organes administratifs concernés. Le mandat du Ministre d</w:t>
      </w:r>
      <w:r w:rsidR="00277023">
        <w:rPr>
          <w:lang w:val="fr-FR"/>
        </w:rPr>
        <w:t>’</w:t>
      </w:r>
      <w:r w:rsidRPr="00F206B8">
        <w:rPr>
          <w:lang w:val="fr-FR"/>
        </w:rPr>
        <w:t xml:space="preserve">Etat chargé des affaires de la jeunesse et des mesures relatives à la baisse du taux de natalité a également été défini et, sous la supervision du Ministre, des comités constitués des vice-présidents (ministres particulièrement impliqués dans le développement de la jeunesse) du centre ont été mis sur pied comme il convient pour renforcer la coopération. En décembre 2003, le centre a formulé </w:t>
      </w:r>
      <w:smartTag w:uri="urn:schemas-microsoft-com:office:smarttags" w:element="PersonName">
        <w:smartTagPr>
          <w:attr w:name="ProductID" w:val="la Politique"/>
        </w:smartTagPr>
        <w:r w:rsidRPr="00F206B8">
          <w:rPr>
            <w:lang w:val="fr-FR"/>
          </w:rPr>
          <w:t>la Politique</w:t>
        </w:r>
      </w:smartTag>
      <w:r w:rsidRPr="00F206B8">
        <w:rPr>
          <w:lang w:val="fr-FR"/>
        </w:rPr>
        <w:t xml:space="preserve"> nationale en faveur de la jeunesse pour faire connaître les principes directeurs guidant l</w:t>
      </w:r>
      <w:r w:rsidR="00277023">
        <w:rPr>
          <w:lang w:val="fr-FR"/>
        </w:rPr>
        <w:t>’</w:t>
      </w:r>
      <w:r w:rsidRPr="00F206B8">
        <w:rPr>
          <w:lang w:val="fr-FR"/>
        </w:rPr>
        <w:t>action du Gouvernement et l</w:t>
      </w:r>
      <w:r w:rsidR="00277023">
        <w:rPr>
          <w:lang w:val="fr-FR"/>
        </w:rPr>
        <w:t>’</w:t>
      </w:r>
      <w:r w:rsidRPr="00F206B8">
        <w:rPr>
          <w:lang w:val="fr-FR"/>
        </w:rPr>
        <w:t>orientation des mesures à moyen et long terme dans ce domaine.</w:t>
      </w:r>
    </w:p>
    <w:p w:rsidR="00F206B8" w:rsidRPr="00F206B8" w:rsidRDefault="00F206B8" w:rsidP="00F206B8">
      <w:pPr>
        <w:pStyle w:val="SingleTxtG"/>
        <w:rPr>
          <w:lang w:val="fr-FR"/>
        </w:rPr>
      </w:pPr>
      <w:r w:rsidRPr="00F206B8">
        <w:rPr>
          <w:lang w:val="fr-FR"/>
        </w:rPr>
        <w:t>37.</w:t>
      </w:r>
      <w:r w:rsidRPr="00F206B8">
        <w:rPr>
          <w:lang w:val="fr-FR"/>
        </w:rPr>
        <w:tab/>
        <w:t>S</w:t>
      </w:r>
      <w:r w:rsidR="00277023">
        <w:rPr>
          <w:lang w:val="fr-FR"/>
        </w:rPr>
        <w:t>’</w:t>
      </w:r>
      <w:r w:rsidRPr="00F206B8">
        <w:rPr>
          <w:lang w:val="fr-FR"/>
        </w:rPr>
        <w:t xml:space="preserve">appuyant sur cette structure, les pouvoirs publics ont appuyé des mesures en faveur de la jeunesse de façon globale, tout en tenant compte de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et des observations finales du Comité des droits de l</w:t>
      </w:r>
      <w:r w:rsidR="00277023">
        <w:rPr>
          <w:lang w:val="fr-FR"/>
        </w:rPr>
        <w:t>’</w:t>
      </w:r>
      <w:r w:rsidRPr="00F206B8">
        <w:rPr>
          <w:lang w:val="fr-FR"/>
        </w:rPr>
        <w:t xml:space="preserve">enfant relatives au deuxième rapport du pays. Le bilan de mise en œuvre des mesures issues de </w:t>
      </w:r>
      <w:smartTag w:uri="urn:schemas-microsoft-com:office:smarttags" w:element="PersonName">
        <w:smartTagPr>
          <w:attr w:name="ProductID" w:val="la Politique"/>
        </w:smartTagPr>
        <w:r w:rsidRPr="00F206B8">
          <w:rPr>
            <w:lang w:val="fr-FR"/>
          </w:rPr>
          <w:t>la Politique</w:t>
        </w:r>
      </w:smartTag>
      <w:r w:rsidRPr="00F206B8">
        <w:rPr>
          <w:lang w:val="fr-FR"/>
        </w:rPr>
        <w:t xml:space="preserve"> nationale en faveur de la jeunesse sera publié dans le Livre blanc sur la jeunesse. Parallèlement, des mesures de suivi seront engagées essentiellement par le centre pour le développement de la jeunesse et il est prévu de réexaminer </w:t>
      </w:r>
      <w:smartTag w:uri="urn:schemas-microsoft-com:office:smarttags" w:element="PersonName">
        <w:smartTagPr>
          <w:attr w:name="ProductID" w:val="la Politique"/>
        </w:smartTagPr>
        <w:r w:rsidRPr="00F206B8">
          <w:rPr>
            <w:lang w:val="fr-FR"/>
          </w:rPr>
          <w:t>la Politique</w:t>
        </w:r>
      </w:smartTag>
      <w:r w:rsidRPr="00F206B8">
        <w:rPr>
          <w:lang w:val="fr-FR"/>
        </w:rPr>
        <w:t xml:space="preserve"> en 2008. S</w:t>
      </w:r>
      <w:r w:rsidR="00277023">
        <w:rPr>
          <w:lang w:val="fr-FR"/>
        </w:rPr>
        <w:t>’</w:t>
      </w:r>
      <w:r w:rsidRPr="00F206B8">
        <w:rPr>
          <w:lang w:val="fr-FR"/>
        </w:rPr>
        <w:t>agissant des conclusions finales du Comité des droits de l</w:t>
      </w:r>
      <w:r w:rsidR="00277023">
        <w:rPr>
          <w:lang w:val="fr-FR"/>
        </w:rPr>
        <w:t>’</w:t>
      </w:r>
      <w:r w:rsidRPr="00F206B8">
        <w:rPr>
          <w:lang w:val="fr-FR"/>
        </w:rPr>
        <w:t>enfant sur le deuxième rapport du Japon, le bilan d</w:t>
      </w:r>
      <w:r w:rsidR="00277023">
        <w:rPr>
          <w:lang w:val="fr-FR"/>
        </w:rPr>
        <w:t>’</w:t>
      </w:r>
      <w:r w:rsidRPr="00F206B8">
        <w:rPr>
          <w:lang w:val="fr-FR"/>
        </w:rPr>
        <w:t>avancement prévu par les recommandations est régulièrement examiné et suivi, dans le cadre de la coopération mise en place entre le Ministère des affaires étrangères et le Bureau du Cabinet qui sont responsables de l</w:t>
      </w:r>
      <w:r w:rsidR="00277023">
        <w:rPr>
          <w:lang w:val="fr-FR"/>
        </w:rPr>
        <w:t>’</w:t>
      </w:r>
      <w:r w:rsidRPr="00F206B8">
        <w:rPr>
          <w:lang w:val="fr-FR"/>
        </w:rPr>
        <w:t xml:space="preserve">application de différentes Conventions. </w:t>
      </w:r>
    </w:p>
    <w:p w:rsidR="00F206B8" w:rsidRPr="00F206B8" w:rsidRDefault="00F206B8" w:rsidP="00F206B8">
      <w:pPr>
        <w:pStyle w:val="SingleTxtG"/>
        <w:rPr>
          <w:lang w:val="fr-FR"/>
        </w:rPr>
      </w:pPr>
      <w:r w:rsidRPr="00F206B8">
        <w:rPr>
          <w:lang w:val="fr-FR"/>
        </w:rPr>
        <w:t>38.</w:t>
      </w:r>
      <w:r w:rsidRPr="00F206B8">
        <w:rPr>
          <w:lang w:val="fr-FR"/>
        </w:rPr>
        <w:tab/>
        <w:t>S</w:t>
      </w:r>
      <w:r w:rsidR="00277023">
        <w:rPr>
          <w:lang w:val="fr-FR"/>
        </w:rPr>
        <w:t>’</w:t>
      </w:r>
      <w:r w:rsidRPr="00F206B8">
        <w:rPr>
          <w:lang w:val="fr-FR"/>
        </w:rPr>
        <w:t>agissant du mécanisme de contrôle de l</w:t>
      </w:r>
      <w:r w:rsidR="00277023">
        <w:rPr>
          <w:lang w:val="fr-FR"/>
        </w:rPr>
        <w:t>’</w:t>
      </w:r>
      <w:r w:rsidRPr="00F206B8">
        <w:rPr>
          <w:lang w:val="fr-FR"/>
        </w:rPr>
        <w:t xml:space="preserve">application de </w:t>
      </w:r>
      <w:smartTag w:uri="urn:schemas-microsoft-com:office:smarttags" w:element="PersonName">
        <w:smartTagPr>
          <w:attr w:name="ProductID" w:val="LA CONVENTION"/>
        </w:smartTagPr>
        <w:r w:rsidRPr="00F206B8">
          <w:rPr>
            <w:lang w:val="fr-FR"/>
          </w:rPr>
          <w:t>la Convention</w:t>
        </w:r>
      </w:smartTag>
      <w:r w:rsidRPr="00F206B8">
        <w:rPr>
          <w:lang w:val="fr-FR"/>
        </w:rPr>
        <w:t>, voir paragraphe 28 du deuxième rapport du Japon (réponse 6 aux questions du Comité des droits de l</w:t>
      </w:r>
      <w:r w:rsidR="00277023">
        <w:rPr>
          <w:lang w:val="fr-FR"/>
        </w:rPr>
        <w:t>’</w:t>
      </w:r>
      <w:r w:rsidRPr="00F206B8">
        <w:rPr>
          <w:lang w:val="fr-FR"/>
        </w:rPr>
        <w:t xml:space="preserve">enfant relatives au rapport initial) </w:t>
      </w:r>
    </w:p>
    <w:p w:rsidR="00F206B8" w:rsidRPr="00F206B8" w:rsidRDefault="00F206B8" w:rsidP="00F206B8">
      <w:pPr>
        <w:pStyle w:val="H23G"/>
        <w:rPr>
          <w:lang w:val="fr-FR"/>
        </w:rPr>
      </w:pPr>
      <w:r>
        <w:rPr>
          <w:lang w:val="fr-FR"/>
        </w:rPr>
        <w:tab/>
        <w:t>b)</w:t>
      </w:r>
      <w:r>
        <w:rPr>
          <w:lang w:val="fr-FR"/>
        </w:rPr>
        <w:tab/>
      </w:r>
      <w:r w:rsidRPr="00F206B8">
        <w:rPr>
          <w:lang w:val="fr-FR"/>
        </w:rPr>
        <w:t>Mesures de coordination entre les pouvoirs publics nationaux et locaux</w:t>
      </w:r>
    </w:p>
    <w:p w:rsidR="00F206B8" w:rsidRPr="00F206B8" w:rsidRDefault="00F206B8" w:rsidP="00F206B8">
      <w:pPr>
        <w:pStyle w:val="SingleTxtG"/>
        <w:rPr>
          <w:lang w:val="fr-FR"/>
        </w:rPr>
      </w:pPr>
      <w:r w:rsidRPr="00F206B8">
        <w:rPr>
          <w:lang w:val="fr-FR"/>
        </w:rPr>
        <w:t>(Assurer la coordination entre les pouvoirs publics nationaux et locaux)</w:t>
      </w:r>
    </w:p>
    <w:p w:rsidR="00F206B8" w:rsidRPr="00F206B8" w:rsidRDefault="00F206B8" w:rsidP="00F206B8">
      <w:pPr>
        <w:pStyle w:val="SingleTxtG"/>
        <w:rPr>
          <w:lang w:val="fr-FR"/>
        </w:rPr>
      </w:pPr>
      <w:r w:rsidRPr="00F206B8">
        <w:rPr>
          <w:lang w:val="fr-FR"/>
        </w:rPr>
        <w:t>39.</w:t>
      </w:r>
      <w:r w:rsidRPr="00F206B8">
        <w:rPr>
          <w:lang w:val="fr-FR"/>
        </w:rPr>
        <w:tab/>
        <w:t>Voir paragraphes 29-31 du deuxième rapport du Japon et réponse 4 aux questions du Comité des droits de l</w:t>
      </w:r>
      <w:r w:rsidR="00277023">
        <w:rPr>
          <w:lang w:val="fr-FR"/>
        </w:rPr>
        <w:t>’</w:t>
      </w:r>
      <w:r w:rsidRPr="00F206B8">
        <w:rPr>
          <w:lang w:val="fr-FR"/>
        </w:rPr>
        <w:t>enfant posées lors de l</w:t>
      </w:r>
      <w:r w:rsidR="00277023">
        <w:rPr>
          <w:lang w:val="fr-FR"/>
        </w:rPr>
        <w:t>’</w:t>
      </w:r>
      <w:r w:rsidRPr="00F206B8">
        <w:rPr>
          <w:lang w:val="fr-FR"/>
        </w:rPr>
        <w:t xml:space="preserve">examen du rapport initial) </w:t>
      </w:r>
    </w:p>
    <w:p w:rsidR="00F206B8" w:rsidRPr="00F206B8" w:rsidRDefault="00F206B8" w:rsidP="00E67B78">
      <w:pPr>
        <w:pStyle w:val="SingleTxtG"/>
        <w:keepNext/>
        <w:rPr>
          <w:lang w:val="fr-FR"/>
        </w:rPr>
      </w:pPr>
      <w:r w:rsidRPr="00F206B8">
        <w:rPr>
          <w:lang w:val="fr-FR"/>
        </w:rPr>
        <w:t>(Arrêtés des collectivités locales concernant les droits de l</w:t>
      </w:r>
      <w:r w:rsidR="00277023">
        <w:rPr>
          <w:lang w:val="fr-FR"/>
        </w:rPr>
        <w:t>’</w:t>
      </w:r>
      <w:r w:rsidRPr="00F206B8">
        <w:rPr>
          <w:lang w:val="fr-FR"/>
        </w:rPr>
        <w:t>enfant)</w:t>
      </w:r>
    </w:p>
    <w:p w:rsidR="00F206B8" w:rsidRPr="00F206B8" w:rsidRDefault="00F206B8" w:rsidP="00F206B8">
      <w:pPr>
        <w:pStyle w:val="SingleTxtG"/>
        <w:rPr>
          <w:lang w:val="fr-FR"/>
        </w:rPr>
      </w:pPr>
      <w:r w:rsidRPr="00F206B8">
        <w:rPr>
          <w:lang w:val="fr-FR"/>
        </w:rPr>
        <w:t>40.</w:t>
      </w:r>
      <w:r w:rsidRPr="00F206B8">
        <w:rPr>
          <w:lang w:val="fr-FR"/>
        </w:rPr>
        <w:tab/>
        <w:t xml:space="preserve">Conformément à </w:t>
      </w:r>
      <w:smartTag w:uri="urn:schemas-microsoft-com:office:smarttags" w:element="PersonName">
        <w:smartTagPr>
          <w:attr w:name="ProductID" w:val="LA CONVENTION"/>
        </w:smartTagPr>
        <w:r w:rsidRPr="00F206B8">
          <w:rPr>
            <w:lang w:val="fr-FR"/>
          </w:rPr>
          <w:t>la Convention</w:t>
        </w:r>
      </w:smartTag>
      <w:r w:rsidRPr="00F206B8">
        <w:rPr>
          <w:lang w:val="fr-FR"/>
        </w:rPr>
        <w:t>, certaines collectivités locales formulent des dispositions qui incluent le droit des enfants d</w:t>
      </w:r>
      <w:r w:rsidR="00277023">
        <w:rPr>
          <w:lang w:val="fr-FR"/>
        </w:rPr>
        <w:t>’</w:t>
      </w:r>
      <w:r w:rsidRPr="00F206B8">
        <w:rPr>
          <w:lang w:val="fr-FR"/>
        </w:rPr>
        <w:t>exprimer leur opinion librement, leur participation sociale et l</w:t>
      </w:r>
      <w:r w:rsidR="00277023">
        <w:rPr>
          <w:lang w:val="fr-FR"/>
        </w:rPr>
        <w:t>’</w:t>
      </w:r>
      <w:r w:rsidRPr="00F206B8">
        <w:rPr>
          <w:lang w:val="fr-FR"/>
        </w:rPr>
        <w:t xml:space="preserve">exercice de leurs droits comme le prévoit </w:t>
      </w:r>
      <w:smartTag w:uri="urn:schemas-microsoft-com:office:smarttags" w:element="PersonName">
        <w:smartTagPr>
          <w:attr w:name="ProductID" w:val="la Convention. Selon"/>
        </w:smartTagPr>
        <w:r w:rsidRPr="00F206B8">
          <w:rPr>
            <w:lang w:val="fr-FR"/>
          </w:rPr>
          <w:t>la Convention. Selon</w:t>
        </w:r>
      </w:smartTag>
      <w:r w:rsidRPr="00F206B8">
        <w:rPr>
          <w:lang w:val="fr-FR"/>
        </w:rPr>
        <w:t xml:space="preserve"> les informations du Bureau du Cabinet, à ce jour 10 collectivités locales ont pris de tels arrêtés et 18 élaborent actuellement des dispositions de cette nature (janvier 2006). </w:t>
      </w:r>
    </w:p>
    <w:p w:rsidR="00F206B8" w:rsidRPr="00F206B8" w:rsidRDefault="00F206B8" w:rsidP="00F206B8">
      <w:pPr>
        <w:pStyle w:val="H23G"/>
        <w:rPr>
          <w:lang w:val="fr-FR"/>
        </w:rPr>
      </w:pPr>
      <w:r>
        <w:rPr>
          <w:lang w:val="fr-FR"/>
        </w:rPr>
        <w:tab/>
        <w:t>c)</w:t>
      </w:r>
      <w:r>
        <w:rPr>
          <w:lang w:val="fr-FR"/>
        </w:rPr>
        <w:tab/>
      </w:r>
      <w:r w:rsidRPr="00F206B8">
        <w:rPr>
          <w:lang w:val="fr-FR"/>
        </w:rPr>
        <w:t>Relations entre les organisations gouvernementales responsables des droits des enfants et les ONG</w:t>
      </w:r>
    </w:p>
    <w:p w:rsidR="00F206B8" w:rsidRPr="00F206B8" w:rsidRDefault="00F206B8" w:rsidP="00F206B8">
      <w:pPr>
        <w:pStyle w:val="SingleTxtG"/>
        <w:rPr>
          <w:lang w:val="fr-FR"/>
        </w:rPr>
      </w:pPr>
      <w:r w:rsidRPr="00F206B8">
        <w:rPr>
          <w:lang w:val="fr-FR"/>
        </w:rPr>
        <w:t>41.</w:t>
      </w:r>
      <w:r w:rsidRPr="00F206B8">
        <w:rPr>
          <w:lang w:val="fr-FR"/>
        </w:rPr>
        <w:tab/>
        <w:t>Au Japon, chaque ministère appuie les droits de l</w:t>
      </w:r>
      <w:r w:rsidR="00277023">
        <w:rPr>
          <w:lang w:val="fr-FR"/>
        </w:rPr>
        <w:t>’</w:t>
      </w:r>
      <w:r w:rsidRPr="00F206B8">
        <w:rPr>
          <w:lang w:val="fr-FR"/>
        </w:rPr>
        <w:t>enfant par différentes mesures, et les ministères et organismes travaillent en coopération avec les organisations gouvernementales compétentes à cet égard.</w:t>
      </w:r>
    </w:p>
    <w:p w:rsidR="00F206B8" w:rsidRPr="00F206B8" w:rsidRDefault="00F206B8" w:rsidP="00F206B8">
      <w:pPr>
        <w:pStyle w:val="SingleTxtG"/>
        <w:rPr>
          <w:lang w:val="fr-FR"/>
        </w:rPr>
      </w:pPr>
      <w:r w:rsidRPr="00F206B8">
        <w:rPr>
          <w:lang w:val="fr-FR"/>
        </w:rPr>
        <w:t>42.</w:t>
      </w:r>
      <w:r w:rsidRPr="00F206B8">
        <w:rPr>
          <w:lang w:val="fr-FR"/>
        </w:rPr>
        <w:tab/>
        <w:t xml:space="preserve">Voir paragraphe 33 du deuxième rapport du Japon sur les services et organisations publics de conseils relatifs aux problèmes de la jeunesse (paragraphe 28 du rapport initial du Japon). </w:t>
      </w:r>
    </w:p>
    <w:p w:rsidR="00F206B8" w:rsidRPr="00F206B8" w:rsidRDefault="00F206B8" w:rsidP="00F206B8">
      <w:pPr>
        <w:pStyle w:val="SingleTxtG"/>
        <w:rPr>
          <w:lang w:val="fr-FR"/>
        </w:rPr>
      </w:pPr>
      <w:r w:rsidRPr="00F206B8">
        <w:rPr>
          <w:lang w:val="fr-FR"/>
        </w:rPr>
        <w:t>43.</w:t>
      </w:r>
      <w:r w:rsidRPr="00F206B8">
        <w:rPr>
          <w:lang w:val="fr-FR"/>
        </w:rPr>
        <w:tab/>
        <w:t>En vue de l</w:t>
      </w:r>
      <w:r w:rsidR="00277023">
        <w:rPr>
          <w:lang w:val="fr-FR"/>
        </w:rPr>
        <w:t>’</w:t>
      </w:r>
      <w:r w:rsidRPr="00F206B8">
        <w:rPr>
          <w:lang w:val="fr-FR"/>
        </w:rPr>
        <w:t xml:space="preserve">application effective de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il est nécessaire que toute la société unisse ses efforts. Dans cette perspective, le Gouvernement reconnaît pleinement les activités des organisations de la société civile visant à promouvoir la protection et la facilitation des droits des enfants, ainsi que le rôle et la contribution de ces activités la mise en oeuvre de </w:t>
      </w:r>
      <w:smartTag w:uri="urn:schemas-microsoft-com:office:smarttags" w:element="PersonName">
        <w:smartTagPr>
          <w:attr w:name="ProductID" w:val="la Convention. Partant"/>
        </w:smartTagPr>
        <w:r w:rsidRPr="00F206B8">
          <w:rPr>
            <w:lang w:val="fr-FR"/>
          </w:rPr>
          <w:t>la Convention. Partant</w:t>
        </w:r>
      </w:smartTag>
      <w:r w:rsidRPr="00F206B8">
        <w:rPr>
          <w:lang w:val="fr-FR"/>
        </w:rPr>
        <w:t>, le Gouvernement veille à recourir aux compétences d</w:t>
      </w:r>
      <w:r w:rsidR="00277023">
        <w:rPr>
          <w:lang w:val="fr-FR"/>
        </w:rPr>
        <w:t>’</w:t>
      </w:r>
      <w:r w:rsidRPr="00F206B8">
        <w:rPr>
          <w:lang w:val="fr-FR"/>
        </w:rPr>
        <w:t xml:space="preserve">organisations non gouvernementales spécialisées dans la mise en oeuvre de </w:t>
      </w:r>
      <w:smartTag w:uri="urn:schemas-microsoft-com:office:smarttags" w:element="PersonName">
        <w:smartTagPr>
          <w:attr w:name="ProductID" w:val="la Convention. Ci-dessous"/>
        </w:smartTagPr>
        <w:r w:rsidRPr="00F206B8">
          <w:rPr>
            <w:lang w:val="fr-FR"/>
          </w:rPr>
          <w:t>la Convention. Ci-dessous</w:t>
        </w:r>
      </w:smartTag>
      <w:r w:rsidRPr="00F206B8">
        <w:rPr>
          <w:lang w:val="fr-FR"/>
        </w:rPr>
        <w:t xml:space="preserve"> quelques-unes des réalisations dues à la coopération du Gouvernement et d</w:t>
      </w:r>
      <w:r w:rsidR="00277023">
        <w:rPr>
          <w:lang w:val="fr-FR"/>
        </w:rPr>
        <w:t>’</w:t>
      </w:r>
      <w:r w:rsidRPr="00F206B8">
        <w:rPr>
          <w:lang w:val="fr-FR"/>
        </w:rPr>
        <w:t xml:space="preserve">une organisation non gouvernementale: </w:t>
      </w:r>
    </w:p>
    <w:p w:rsidR="00F206B8" w:rsidRPr="00F206B8" w:rsidRDefault="00F206B8" w:rsidP="00F206B8">
      <w:pPr>
        <w:pStyle w:val="SingleTxtG"/>
        <w:rPr>
          <w:lang w:val="fr-FR"/>
        </w:rPr>
      </w:pPr>
      <w:r>
        <w:rPr>
          <w:lang w:val="fr-FR"/>
        </w:rPr>
        <w:tab/>
        <w:t>1)</w:t>
      </w:r>
      <w:r>
        <w:rPr>
          <w:lang w:val="fr-FR"/>
        </w:rPr>
        <w:tab/>
      </w:r>
      <w:r w:rsidRPr="00F206B8">
        <w:rPr>
          <w:lang w:val="fr-FR"/>
        </w:rPr>
        <w:t xml:space="preserve">Discussions avec la société civile et des ONG sur </w:t>
      </w:r>
      <w:smartTag w:uri="urn:schemas-microsoft-com:office:smarttags" w:element="PersonName">
        <w:smartTagPr>
          <w:attr w:name="ProductID" w:val="LA CONVENTION"/>
        </w:smartTagPr>
        <w:r w:rsidRPr="00F206B8">
          <w:rPr>
            <w:lang w:val="fr-FR"/>
          </w:rPr>
          <w:t>la Convention</w:t>
        </w:r>
      </w:smartTag>
    </w:p>
    <w:p w:rsidR="00F206B8" w:rsidRPr="00F206B8" w:rsidRDefault="00F206B8" w:rsidP="00F206B8">
      <w:pPr>
        <w:pStyle w:val="SingleTxtG"/>
        <w:rPr>
          <w:lang w:val="fr-FR"/>
        </w:rPr>
      </w:pPr>
      <w:r>
        <w:rPr>
          <w:lang w:val="fr-FR"/>
        </w:rPr>
        <w:tab/>
      </w:r>
      <w:r w:rsidRPr="00F206B8">
        <w:rPr>
          <w:lang w:val="fr-FR"/>
        </w:rPr>
        <w:t xml:space="preserve">Dans le cadre de la mise en oeuvre de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le Ministère des affaires étrangères a rencontré des représentants de la société civile et des ONG intéressés par les mesures gouvernementales ayant trait à </w:t>
      </w:r>
      <w:smartTag w:uri="urn:schemas-microsoft-com:office:smarttags" w:element="PersonName">
        <w:smartTagPr>
          <w:attr w:name="ProductID" w:val="la Convention. Dans"/>
        </w:smartTagPr>
        <w:r w:rsidRPr="00F206B8">
          <w:rPr>
            <w:lang w:val="fr-FR"/>
          </w:rPr>
          <w:t>la Convention. Dans</w:t>
        </w:r>
      </w:smartTag>
      <w:r w:rsidRPr="00F206B8">
        <w:rPr>
          <w:lang w:val="fr-FR"/>
        </w:rPr>
        <w:t xml:space="preserve"> le processus de préparation du rapport, des réunions ont eu lieu pour connaître leurs points de vue et les intégrer au rapport lorsqu</w:t>
      </w:r>
      <w:r w:rsidR="00277023">
        <w:rPr>
          <w:lang w:val="fr-FR"/>
        </w:rPr>
        <w:t>’</w:t>
      </w:r>
      <w:r w:rsidRPr="00F206B8">
        <w:rPr>
          <w:lang w:val="fr-FR"/>
        </w:rPr>
        <w:t xml:space="preserve">ils étaient considérés nécessaires et pertinents. </w:t>
      </w:r>
    </w:p>
    <w:p w:rsidR="00F206B8" w:rsidRPr="00F206B8" w:rsidRDefault="00F206B8" w:rsidP="00F206B8">
      <w:pPr>
        <w:pStyle w:val="SingleTxtG"/>
        <w:rPr>
          <w:lang w:val="fr-FR"/>
        </w:rPr>
      </w:pPr>
      <w:r>
        <w:rPr>
          <w:lang w:val="fr-FR"/>
        </w:rPr>
        <w:tab/>
        <w:t>2)</w:t>
      </w:r>
      <w:r>
        <w:rPr>
          <w:lang w:val="fr-FR"/>
        </w:rPr>
        <w:tab/>
      </w:r>
      <w:r w:rsidRPr="00F206B8">
        <w:rPr>
          <w:lang w:val="fr-FR"/>
        </w:rPr>
        <w:t xml:space="preserve">Symposium sur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relative aux droits de l</w:t>
      </w:r>
      <w:r w:rsidR="00277023">
        <w:rPr>
          <w:lang w:val="fr-FR"/>
        </w:rPr>
        <w:t>’</w:t>
      </w:r>
      <w:r w:rsidRPr="00F206B8">
        <w:rPr>
          <w:lang w:val="fr-FR"/>
        </w:rPr>
        <w:t>enfant en commémoration du 10e anniversaire de sa ratification, coorganisé avec le fonds des Nations Unies pour l</w:t>
      </w:r>
      <w:r w:rsidR="00277023">
        <w:rPr>
          <w:lang w:val="fr-FR"/>
        </w:rPr>
        <w:t>’</w:t>
      </w:r>
      <w:r w:rsidRPr="00F206B8">
        <w:rPr>
          <w:lang w:val="fr-FR"/>
        </w:rPr>
        <w:t>enfance (UNICEF).</w:t>
      </w:r>
    </w:p>
    <w:p w:rsidR="00F206B8" w:rsidRPr="00F206B8" w:rsidRDefault="00F206B8" w:rsidP="00F206B8">
      <w:pPr>
        <w:pStyle w:val="SingleTxtG"/>
        <w:rPr>
          <w:lang w:val="fr-FR"/>
        </w:rPr>
      </w:pPr>
      <w:r>
        <w:rPr>
          <w:lang w:val="fr-FR"/>
        </w:rPr>
        <w:tab/>
      </w:r>
      <w:r w:rsidRPr="00F206B8">
        <w:rPr>
          <w:lang w:val="fr-FR"/>
        </w:rPr>
        <w:t>Dans le cadre de la suite donnée à l</w:t>
      </w:r>
      <w:r w:rsidR="00277023">
        <w:rPr>
          <w:lang w:val="fr-FR"/>
        </w:rPr>
        <w:t>’</w:t>
      </w:r>
      <w:r w:rsidRPr="00F206B8">
        <w:rPr>
          <w:lang w:val="fr-FR"/>
        </w:rPr>
        <w:t>examen par le Comité des droits de l</w:t>
      </w:r>
      <w:r w:rsidR="00277023">
        <w:rPr>
          <w:lang w:val="fr-FR"/>
        </w:rPr>
        <w:t>’</w:t>
      </w:r>
      <w:r w:rsidRPr="00F206B8">
        <w:rPr>
          <w:lang w:val="fr-FR"/>
        </w:rPr>
        <w:t xml:space="preserve">enfant du 2e rapport du Japon en janvier 2004, le Ministère des affaires étrangères a organisé un symposium sur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en commémoration du 10e anniversaire de sa ratification en mars 2004, coparrainé par l</w:t>
      </w:r>
      <w:r w:rsidR="00277023">
        <w:rPr>
          <w:lang w:val="fr-FR"/>
        </w:rPr>
        <w:t>’</w:t>
      </w:r>
      <w:r w:rsidRPr="00F206B8">
        <w:rPr>
          <w:lang w:val="fr-FR"/>
        </w:rPr>
        <w:t>UNICEF. Ce symposium a contribué à davantage sensibiliser le public à l</w:t>
      </w:r>
      <w:r w:rsidR="00277023">
        <w:rPr>
          <w:lang w:val="fr-FR"/>
        </w:rPr>
        <w:t>’</w:t>
      </w:r>
      <w:r w:rsidRPr="00F206B8">
        <w:rPr>
          <w:lang w:val="fr-FR"/>
        </w:rPr>
        <w:t xml:space="preserve">importance et aux objectifs de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et à nourrir les discussions engagées entre les différents intervenants concernés par les questions ayant trait aux enfants au Japon. </w:t>
      </w:r>
    </w:p>
    <w:p w:rsidR="00F206B8" w:rsidRPr="00F206B8" w:rsidRDefault="00F206B8" w:rsidP="00F206B8">
      <w:pPr>
        <w:pStyle w:val="SingleTxtG"/>
        <w:rPr>
          <w:lang w:val="fr-FR"/>
        </w:rPr>
      </w:pPr>
      <w:r>
        <w:rPr>
          <w:lang w:val="fr-FR"/>
        </w:rPr>
        <w:tab/>
        <w:t>3)</w:t>
      </w:r>
      <w:r>
        <w:rPr>
          <w:lang w:val="fr-FR"/>
        </w:rPr>
        <w:tab/>
      </w:r>
      <w:r w:rsidRPr="00F206B8">
        <w:rPr>
          <w:lang w:val="fr-FR"/>
        </w:rPr>
        <w:t>Coopération en faveur de la protection des enfants contre l</w:t>
      </w:r>
      <w:r w:rsidR="00277023">
        <w:rPr>
          <w:lang w:val="fr-FR"/>
        </w:rPr>
        <w:t>’</w:t>
      </w:r>
      <w:r w:rsidRPr="00F206B8">
        <w:rPr>
          <w:lang w:val="fr-FR"/>
        </w:rPr>
        <w:t xml:space="preserve">exploitation sexuelle à des fins commerciales </w:t>
      </w:r>
    </w:p>
    <w:p w:rsidR="00F206B8" w:rsidRPr="00F206B8" w:rsidRDefault="00F206B8" w:rsidP="00F206B8">
      <w:pPr>
        <w:pStyle w:val="SingleTxtG"/>
        <w:rPr>
          <w:lang w:val="fr-FR"/>
        </w:rPr>
      </w:pPr>
      <w:r>
        <w:rPr>
          <w:lang w:val="fr-FR"/>
        </w:rPr>
        <w:tab/>
      </w:r>
      <w:r w:rsidRPr="00F206B8">
        <w:rPr>
          <w:lang w:val="fr-FR"/>
        </w:rPr>
        <w:t>Les pouvoirs publics travaillent en coopération avec les ONG compétentes, y compris le Comité japonais pour l</w:t>
      </w:r>
      <w:r w:rsidR="00277023">
        <w:rPr>
          <w:lang w:val="fr-FR"/>
        </w:rPr>
        <w:t>’</w:t>
      </w:r>
      <w:r w:rsidRPr="00F206B8">
        <w:rPr>
          <w:lang w:val="fr-FR"/>
        </w:rPr>
        <w:t>UNICEF et l</w:t>
      </w:r>
      <w:r w:rsidR="00277023">
        <w:rPr>
          <w:lang w:val="fr-FR"/>
        </w:rPr>
        <w:t>’</w:t>
      </w:r>
      <w:r w:rsidRPr="00F206B8">
        <w:rPr>
          <w:lang w:val="fr-FR"/>
        </w:rPr>
        <w:t>ECPAT (Réseau contre la prostitution enfantine, la pornographie enfantine et la traite d</w:t>
      </w:r>
      <w:r w:rsidR="00277023">
        <w:rPr>
          <w:lang w:val="fr-FR"/>
        </w:rPr>
        <w:t>’</w:t>
      </w:r>
      <w:r w:rsidRPr="00F206B8">
        <w:rPr>
          <w:lang w:val="fr-FR"/>
        </w:rPr>
        <w:t>enfants à des fins sexuelles) et conduit des activités éducatives en faveur de l</w:t>
      </w:r>
      <w:r w:rsidR="00277023">
        <w:rPr>
          <w:lang w:val="fr-FR"/>
        </w:rPr>
        <w:t>’</w:t>
      </w:r>
      <w:r w:rsidRPr="00F206B8">
        <w:rPr>
          <w:lang w:val="fr-FR"/>
        </w:rPr>
        <w:t>éradication de la prostitution enfantine, dans un souci de protéger les enfants de l</w:t>
      </w:r>
      <w:r w:rsidR="00277023">
        <w:rPr>
          <w:lang w:val="fr-FR"/>
        </w:rPr>
        <w:t>’</w:t>
      </w:r>
      <w:r w:rsidRPr="00F206B8">
        <w:rPr>
          <w:lang w:val="fr-FR"/>
        </w:rPr>
        <w:t>exploitation sexuelle et de la maltraitance. En décembre 2001, le Gouvernement japonais, conjointement avec l</w:t>
      </w:r>
      <w:r w:rsidR="00277023">
        <w:rPr>
          <w:lang w:val="fr-FR"/>
        </w:rPr>
        <w:t>’</w:t>
      </w:r>
      <w:r w:rsidRPr="00F206B8">
        <w:rPr>
          <w:lang w:val="fr-FR"/>
        </w:rPr>
        <w:t>UNICEF, ECPAT international, et le Groupe d</w:t>
      </w:r>
      <w:r w:rsidR="00277023">
        <w:rPr>
          <w:lang w:val="fr-FR"/>
        </w:rPr>
        <w:t>’</w:t>
      </w:r>
      <w:r w:rsidRPr="00F206B8">
        <w:rPr>
          <w:lang w:val="fr-FR"/>
        </w:rPr>
        <w:t xml:space="preserve">ONG pour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relative aux droits de l</w:t>
      </w:r>
      <w:r w:rsidR="00277023">
        <w:rPr>
          <w:lang w:val="fr-FR"/>
        </w:rPr>
        <w:t>’</w:t>
      </w:r>
      <w:r w:rsidRPr="00F206B8">
        <w:rPr>
          <w:lang w:val="fr-FR"/>
        </w:rPr>
        <w:t>enfant a organisé le 2e Congrès mondial contre l</w:t>
      </w:r>
      <w:r w:rsidR="00277023">
        <w:rPr>
          <w:lang w:val="fr-FR"/>
        </w:rPr>
        <w:t>’</w:t>
      </w:r>
      <w:r w:rsidRPr="00F206B8">
        <w:rPr>
          <w:lang w:val="fr-FR"/>
        </w:rPr>
        <w:t>exploitation sexuelle des enfants à des fins commerciales à Yokohama. Avant le Congrès, le Comité japonais pour l</w:t>
      </w:r>
      <w:r w:rsidR="00277023">
        <w:rPr>
          <w:lang w:val="fr-FR"/>
        </w:rPr>
        <w:t>’</w:t>
      </w:r>
      <w:r w:rsidRPr="00F206B8">
        <w:rPr>
          <w:lang w:val="fr-FR"/>
        </w:rPr>
        <w:t>UNICEF a travaillé en étroite collaboration avec ECPAT international et organisé un séminaire destiné aux enfants qui a permis à ces derniers de prendre part au processus. De même, le Comité et des ONG se sont associés dans le cadre de la préparation du Symposium international de Tokyo sur la traite d</w:t>
      </w:r>
      <w:r w:rsidR="00277023">
        <w:rPr>
          <w:lang w:val="fr-FR"/>
        </w:rPr>
        <w:t>’</w:t>
      </w:r>
      <w:r w:rsidRPr="00F206B8">
        <w:rPr>
          <w:lang w:val="fr-FR"/>
        </w:rPr>
        <w:t>enfants, organisé par le Ministère des affaires étrangères en février 2003. Parallèlement au parrainage du symposium relatif aux dommages de la pornographie enfantine sur Internet organisé en mars 2005 par ECPAT Japon, le Ministère des affaires étrangères a offert son concours en invitant les conférenciers au Japon.</w:t>
      </w:r>
    </w:p>
    <w:p w:rsidR="00F206B8" w:rsidRPr="00F206B8" w:rsidRDefault="00F206B8" w:rsidP="00F206B8">
      <w:pPr>
        <w:pStyle w:val="SingleTxtG"/>
        <w:rPr>
          <w:lang w:val="fr-FR"/>
        </w:rPr>
      </w:pPr>
      <w:r>
        <w:rPr>
          <w:lang w:val="fr-FR"/>
        </w:rPr>
        <w:tab/>
      </w:r>
      <w:r w:rsidRPr="00F206B8">
        <w:rPr>
          <w:lang w:val="fr-FR"/>
        </w:rPr>
        <w:t>Chaque année depuis 2002, la police nationale invite des représentants des services chargés de l</w:t>
      </w:r>
      <w:r w:rsidR="00277023">
        <w:rPr>
          <w:lang w:val="fr-FR"/>
        </w:rPr>
        <w:t>’</w:t>
      </w:r>
      <w:r w:rsidRPr="00F206B8">
        <w:rPr>
          <w:lang w:val="fr-FR"/>
        </w:rPr>
        <w:t>application de la loi, des institutions judiciaires et des ONG de pays de l</w:t>
      </w:r>
      <w:r w:rsidR="00277023">
        <w:rPr>
          <w:lang w:val="fr-FR"/>
        </w:rPr>
        <w:t>’</w:t>
      </w:r>
      <w:r w:rsidRPr="00F206B8">
        <w:rPr>
          <w:lang w:val="fr-FR"/>
        </w:rPr>
        <w:t>Asie du Sud-est qui travaillent sur la question de l</w:t>
      </w:r>
      <w:r w:rsidR="00277023">
        <w:rPr>
          <w:lang w:val="fr-FR"/>
        </w:rPr>
        <w:t>’</w:t>
      </w:r>
      <w:r w:rsidRPr="00F206B8">
        <w:rPr>
          <w:lang w:val="fr-FR"/>
        </w:rPr>
        <w:t>exploitation sexuelle à des fins commerciales des enfants à tenir un séminaire sur ce thème et un Conseil des responsables des enquêtes (4e année en novembre 2005), à l</w:t>
      </w:r>
      <w:r w:rsidR="00277023">
        <w:rPr>
          <w:lang w:val="fr-FR"/>
        </w:rPr>
        <w:t>’</w:t>
      </w:r>
      <w:r w:rsidRPr="00F206B8">
        <w:rPr>
          <w:lang w:val="fr-FR"/>
        </w:rPr>
        <w:t xml:space="preserve">occasion desquels des vues sont échangées sur le bilan des actions menées à cet égard et sur la protection des enfants victimes. </w:t>
      </w:r>
    </w:p>
    <w:p w:rsidR="00F206B8" w:rsidRPr="00F206B8" w:rsidRDefault="00F206B8" w:rsidP="00F206B8">
      <w:pPr>
        <w:pStyle w:val="SingleTxtG"/>
        <w:rPr>
          <w:lang w:val="fr-FR"/>
        </w:rPr>
      </w:pPr>
      <w:r>
        <w:rPr>
          <w:lang w:val="fr-FR"/>
        </w:rPr>
        <w:tab/>
        <w:t>4)</w:t>
      </w:r>
      <w:r>
        <w:rPr>
          <w:lang w:val="fr-FR"/>
        </w:rPr>
        <w:tab/>
      </w:r>
      <w:r w:rsidRPr="00F206B8">
        <w:rPr>
          <w:lang w:val="fr-FR"/>
        </w:rPr>
        <w:t>Coopération avec des ONG offrant une assistance aux</w:t>
      </w:r>
      <w:r>
        <w:rPr>
          <w:lang w:val="fr-FR"/>
        </w:rPr>
        <w:t xml:space="preserve"> pays en développement</w:t>
      </w:r>
    </w:p>
    <w:p w:rsidR="00F206B8" w:rsidRPr="00F206B8" w:rsidRDefault="00F206B8" w:rsidP="00F206B8">
      <w:pPr>
        <w:pStyle w:val="SingleTxtG"/>
        <w:rPr>
          <w:lang w:val="fr-FR"/>
        </w:rPr>
      </w:pPr>
      <w:r>
        <w:rPr>
          <w:lang w:val="fr-FR"/>
        </w:rPr>
        <w:tab/>
      </w:r>
      <w:r w:rsidRPr="00F206B8">
        <w:rPr>
          <w:lang w:val="fr-FR"/>
        </w:rPr>
        <w:t>Le Gouvernement japonais appuie également les activités d</w:t>
      </w:r>
      <w:r w:rsidR="00277023">
        <w:rPr>
          <w:lang w:val="fr-FR"/>
        </w:rPr>
        <w:t>’</w:t>
      </w:r>
      <w:r w:rsidRPr="00F206B8">
        <w:rPr>
          <w:lang w:val="fr-FR"/>
        </w:rPr>
        <w:t>ONG, d</w:t>
      </w:r>
      <w:r w:rsidR="00277023">
        <w:rPr>
          <w:lang w:val="fr-FR"/>
        </w:rPr>
        <w:t>’</w:t>
      </w:r>
      <w:r w:rsidRPr="00F206B8">
        <w:rPr>
          <w:lang w:val="fr-FR"/>
        </w:rPr>
        <w:t>organisations publiques locales, d</w:t>
      </w:r>
      <w:r w:rsidR="00277023">
        <w:rPr>
          <w:lang w:val="fr-FR"/>
        </w:rPr>
        <w:t>’</w:t>
      </w:r>
      <w:r w:rsidRPr="00F206B8">
        <w:rPr>
          <w:lang w:val="fr-FR"/>
        </w:rPr>
        <w:t>établissements éducatifs, d</w:t>
      </w:r>
      <w:r w:rsidR="00277023">
        <w:rPr>
          <w:lang w:val="fr-FR"/>
        </w:rPr>
        <w:t>’</w:t>
      </w:r>
      <w:r w:rsidRPr="00F206B8">
        <w:rPr>
          <w:lang w:val="fr-FR"/>
        </w:rPr>
        <w:t>institutions médicales et d</w:t>
      </w:r>
      <w:r w:rsidR="00277023">
        <w:rPr>
          <w:lang w:val="fr-FR"/>
        </w:rPr>
        <w:t>’</w:t>
      </w:r>
      <w:r w:rsidRPr="00F206B8">
        <w:rPr>
          <w:lang w:val="fr-FR"/>
        </w:rPr>
        <w:t>autres organisations privées qui participent à des projets visant à améliorer le bien-être des enfants, y compris l</w:t>
      </w:r>
      <w:r w:rsidR="00277023">
        <w:rPr>
          <w:lang w:val="fr-FR"/>
        </w:rPr>
        <w:t>’</w:t>
      </w:r>
      <w:r w:rsidRPr="00F206B8">
        <w:rPr>
          <w:lang w:val="fr-FR"/>
        </w:rPr>
        <w:t>éducation et les soins de santé maternelle et infantile dans les pays en développement, en participant au financement au titre des subventions de projets d</w:t>
      </w:r>
      <w:r w:rsidR="00277023">
        <w:rPr>
          <w:lang w:val="fr-FR"/>
        </w:rPr>
        <w:t>’</w:t>
      </w:r>
      <w:r w:rsidRPr="00F206B8">
        <w:rPr>
          <w:lang w:val="fr-FR"/>
        </w:rPr>
        <w:t>ONG japonaises, du système de financement de projets d</w:t>
      </w:r>
      <w:r w:rsidR="00277023">
        <w:rPr>
          <w:lang w:val="fr-FR"/>
        </w:rPr>
        <w:t>’</w:t>
      </w:r>
      <w:r w:rsidRPr="00F206B8">
        <w:rPr>
          <w:lang w:val="fr-FR"/>
        </w:rPr>
        <w:t>ONG et de subventions pour des projets d</w:t>
      </w:r>
      <w:r w:rsidR="00277023">
        <w:rPr>
          <w:lang w:val="fr-FR"/>
        </w:rPr>
        <w:t>’</w:t>
      </w:r>
      <w:r w:rsidRPr="00F206B8">
        <w:rPr>
          <w:lang w:val="fr-FR"/>
        </w:rPr>
        <w:t xml:space="preserve">activités de terrain relatifs à la sécurité humaine. </w:t>
      </w:r>
    </w:p>
    <w:p w:rsidR="00F206B8" w:rsidRPr="00F206B8" w:rsidRDefault="00F206B8" w:rsidP="00F206B8">
      <w:pPr>
        <w:pStyle w:val="SingleTxtG"/>
        <w:rPr>
          <w:lang w:val="fr-FR"/>
        </w:rPr>
      </w:pPr>
      <w:r>
        <w:rPr>
          <w:lang w:val="fr-FR"/>
        </w:rPr>
        <w:tab/>
        <w:t>5)</w:t>
      </w:r>
      <w:r>
        <w:rPr>
          <w:lang w:val="fr-FR"/>
        </w:rPr>
        <w:tab/>
      </w:r>
      <w:r w:rsidRPr="00F206B8">
        <w:rPr>
          <w:lang w:val="fr-FR"/>
        </w:rPr>
        <w:t>Coopération avec les intervenants de la protection des droits de l</w:t>
      </w:r>
      <w:r w:rsidR="00277023">
        <w:rPr>
          <w:lang w:val="fr-FR"/>
        </w:rPr>
        <w:t>’</w:t>
      </w:r>
      <w:r w:rsidRPr="00F206B8">
        <w:rPr>
          <w:lang w:val="fr-FR"/>
        </w:rPr>
        <w:t>enfant, s</w:t>
      </w:r>
      <w:r w:rsidR="00277023">
        <w:rPr>
          <w:lang w:val="fr-FR"/>
        </w:rPr>
        <w:t>’</w:t>
      </w:r>
      <w:r w:rsidRPr="00F206B8">
        <w:rPr>
          <w:lang w:val="fr-FR"/>
        </w:rPr>
        <w:t>agissant par exemple des mesures de protection contre la maltraitance à</w:t>
      </w:r>
      <w:r w:rsidR="00EA1115">
        <w:rPr>
          <w:lang w:val="fr-FR"/>
        </w:rPr>
        <w:t xml:space="preserve"> </w:t>
      </w:r>
      <w:r w:rsidRPr="00F206B8">
        <w:rPr>
          <w:lang w:val="fr-FR"/>
        </w:rPr>
        <w:t>l</w:t>
      </w:r>
      <w:r w:rsidR="00277023">
        <w:rPr>
          <w:lang w:val="fr-FR"/>
        </w:rPr>
        <w:t>’</w:t>
      </w:r>
      <w:r w:rsidRPr="00F206B8">
        <w:rPr>
          <w:lang w:val="fr-FR"/>
        </w:rPr>
        <w:t xml:space="preserve">égard des enfants </w:t>
      </w:r>
    </w:p>
    <w:p w:rsidR="00F206B8" w:rsidRPr="00F206B8" w:rsidRDefault="00F206B8" w:rsidP="00F206B8">
      <w:pPr>
        <w:pStyle w:val="SingleTxtG"/>
        <w:rPr>
          <w:lang w:val="fr-FR"/>
        </w:rPr>
      </w:pPr>
      <w:r>
        <w:rPr>
          <w:lang w:val="fr-FR"/>
        </w:rPr>
        <w:tab/>
      </w:r>
      <w:r w:rsidRPr="00F206B8">
        <w:rPr>
          <w:lang w:val="fr-FR"/>
        </w:rPr>
        <w:t>Voir paragraphe 34 du deuxième rapport du Japon.</w:t>
      </w:r>
    </w:p>
    <w:p w:rsidR="00F206B8" w:rsidRPr="00F206B8" w:rsidRDefault="00F206B8" w:rsidP="00F206B8">
      <w:pPr>
        <w:pStyle w:val="SingleTxtG"/>
        <w:rPr>
          <w:lang w:val="fr-FR"/>
        </w:rPr>
      </w:pPr>
      <w:r>
        <w:rPr>
          <w:lang w:val="fr-FR"/>
        </w:rPr>
        <w:tab/>
      </w:r>
      <w:r w:rsidRPr="00F206B8">
        <w:rPr>
          <w:lang w:val="fr-FR"/>
        </w:rPr>
        <w:t>Les centres de guidance infantile sont des services administratifs qui visent à répondre aux demandes formulées par les familles, comprendre précisément les problèmes rencontrés par un enfant ou l</w:t>
      </w:r>
      <w:r w:rsidR="00277023">
        <w:rPr>
          <w:lang w:val="fr-FR"/>
        </w:rPr>
        <w:t>’</w:t>
      </w:r>
      <w:r w:rsidRPr="00F206B8">
        <w:rPr>
          <w:lang w:val="fr-FR"/>
        </w:rPr>
        <w:t>environnement dans lequel l</w:t>
      </w:r>
      <w:r w:rsidR="00277023">
        <w:rPr>
          <w:lang w:val="fr-FR"/>
        </w:rPr>
        <w:t>’</w:t>
      </w:r>
      <w:r w:rsidRPr="00F206B8">
        <w:rPr>
          <w:lang w:val="fr-FR"/>
        </w:rPr>
        <w:t>enfant se trouve, offrir l</w:t>
      </w:r>
      <w:r w:rsidR="00277023">
        <w:rPr>
          <w:lang w:val="fr-FR"/>
        </w:rPr>
        <w:t>’</w:t>
      </w:r>
      <w:r w:rsidRPr="00F206B8">
        <w:rPr>
          <w:lang w:val="fr-FR"/>
        </w:rPr>
        <w:t>appui le plus efficace adapté à chaque enfant ou famille, prendre en compte le bien-être de l</w:t>
      </w:r>
      <w:r w:rsidR="00277023">
        <w:rPr>
          <w:lang w:val="fr-FR"/>
        </w:rPr>
        <w:t>’</w:t>
      </w:r>
      <w:r w:rsidRPr="00F206B8">
        <w:rPr>
          <w:lang w:val="fr-FR"/>
        </w:rPr>
        <w:t>enfant et protéger ses droits. Parallèlement, dans les directives sur la gestion des centres de guidance infantile, les pouvoirs publics conseillent aux collectivités locales, en vue d</w:t>
      </w:r>
      <w:r w:rsidR="00277023">
        <w:rPr>
          <w:lang w:val="fr-FR"/>
        </w:rPr>
        <w:t>’</w:t>
      </w:r>
      <w:r w:rsidRPr="00F206B8">
        <w:rPr>
          <w:lang w:val="fr-FR"/>
        </w:rPr>
        <w:t>offrir une aide individualisée et efficace à un enfant ou à sa famille, de travailler en collaboration avec des organismes tels que des organisations privées capables d</w:t>
      </w:r>
      <w:r w:rsidR="00277023">
        <w:rPr>
          <w:lang w:val="fr-FR"/>
        </w:rPr>
        <w:t>’</w:t>
      </w:r>
      <w:r w:rsidRPr="00F206B8">
        <w:rPr>
          <w:lang w:val="fr-FR"/>
        </w:rPr>
        <w:t>offrir un appui personnalisé. S</w:t>
      </w:r>
      <w:r w:rsidR="00277023">
        <w:rPr>
          <w:lang w:val="fr-FR"/>
        </w:rPr>
        <w:t>’</w:t>
      </w:r>
      <w:r w:rsidRPr="00F206B8">
        <w:rPr>
          <w:lang w:val="fr-FR"/>
        </w:rPr>
        <w:t>agissant d</w:t>
      </w:r>
      <w:r w:rsidR="00277023">
        <w:rPr>
          <w:lang w:val="fr-FR"/>
        </w:rPr>
        <w:t>’</w:t>
      </w:r>
      <w:r w:rsidRPr="00F206B8">
        <w:rPr>
          <w:lang w:val="fr-FR"/>
        </w:rPr>
        <w:t>identifier la maltraitance à un stade précoce et d</w:t>
      </w:r>
      <w:r w:rsidR="00277023">
        <w:rPr>
          <w:lang w:val="fr-FR"/>
        </w:rPr>
        <w:t>’</w:t>
      </w:r>
      <w:r w:rsidRPr="00F206B8">
        <w:rPr>
          <w:lang w:val="fr-FR"/>
        </w:rPr>
        <w:t>y répondre sans délai, les ministères, organismes et organisations compétents participant à la lutte contre la maltraitance à l</w:t>
      </w:r>
      <w:r w:rsidR="00277023">
        <w:rPr>
          <w:lang w:val="fr-FR"/>
        </w:rPr>
        <w:t>’</w:t>
      </w:r>
      <w:r w:rsidRPr="00F206B8">
        <w:rPr>
          <w:lang w:val="fr-FR"/>
        </w:rPr>
        <w:t>égard des enfants ont établi un Comité consultatif contre la maltraitance faite aux enfants, qui vise à faciliter les actions d</w:t>
      </w:r>
      <w:r w:rsidR="00277023">
        <w:rPr>
          <w:lang w:val="fr-FR"/>
        </w:rPr>
        <w:t>’</w:t>
      </w:r>
      <w:r w:rsidRPr="00F206B8">
        <w:rPr>
          <w:lang w:val="fr-FR"/>
        </w:rPr>
        <w:t>ordre général, par exemple l</w:t>
      </w:r>
      <w:r w:rsidR="00277023">
        <w:rPr>
          <w:lang w:val="fr-FR"/>
        </w:rPr>
        <w:t>’</w:t>
      </w:r>
      <w:r w:rsidRPr="00F206B8">
        <w:rPr>
          <w:lang w:val="fr-FR"/>
        </w:rPr>
        <w:t>appui à la déclaration et le partage d</w:t>
      </w:r>
      <w:r w:rsidR="00277023">
        <w:rPr>
          <w:lang w:val="fr-FR"/>
        </w:rPr>
        <w:t>’</w:t>
      </w:r>
      <w:r w:rsidRPr="00F206B8">
        <w:rPr>
          <w:lang w:val="fr-FR"/>
        </w:rPr>
        <w:t>informations concernant la maltraitance et le renforcement de la coopération avec les organisations compétentes. En outre, l</w:t>
      </w:r>
      <w:r w:rsidR="00277023">
        <w:rPr>
          <w:lang w:val="fr-FR"/>
        </w:rPr>
        <w:t>’</w:t>
      </w:r>
      <w:r w:rsidRPr="00F206B8">
        <w:rPr>
          <w:lang w:val="fr-FR"/>
        </w:rPr>
        <w:t>administration centrale a encouragé l</w:t>
      </w:r>
      <w:r w:rsidR="00277023">
        <w:rPr>
          <w:lang w:val="fr-FR"/>
        </w:rPr>
        <w:t>’</w:t>
      </w:r>
      <w:r w:rsidRPr="00F206B8">
        <w:rPr>
          <w:lang w:val="fr-FR"/>
        </w:rPr>
        <w:t>organisation de conférences régionales sur les mesures destinées aux enfants nécessitant une protection (réseau pour la prévention de la maltraitance) afin de permettre aux organisations locales (composées de services intervenant dans les domaines des soins de santé, des services médicaux, du bien-être, de l</w:t>
      </w:r>
      <w:r w:rsidR="00277023">
        <w:rPr>
          <w:lang w:val="fr-FR"/>
        </w:rPr>
        <w:t>’</w:t>
      </w:r>
      <w:r w:rsidRPr="00F206B8">
        <w:rPr>
          <w:lang w:val="fr-FR"/>
        </w:rPr>
        <w:t>éducation, de la police et des organisations juridiques) d</w:t>
      </w:r>
      <w:r w:rsidR="00277023">
        <w:rPr>
          <w:lang w:val="fr-FR"/>
        </w:rPr>
        <w:t>’</w:t>
      </w:r>
      <w:r w:rsidRPr="00F206B8">
        <w:rPr>
          <w:lang w:val="fr-FR"/>
        </w:rPr>
        <w:t xml:space="preserve">échanger des informations et des vues ayant trait aux enfants et de mettre en place une collaboration adaptée. </w:t>
      </w:r>
    </w:p>
    <w:p w:rsidR="00F206B8" w:rsidRPr="00F206B8" w:rsidRDefault="00F206B8" w:rsidP="00F206B8">
      <w:pPr>
        <w:pStyle w:val="H23G"/>
        <w:rPr>
          <w:lang w:val="fr-FR"/>
        </w:rPr>
      </w:pPr>
      <w:r>
        <w:rPr>
          <w:lang w:val="fr-FR"/>
        </w:rPr>
        <w:tab/>
        <w:t>d)</w:t>
      </w:r>
      <w:r>
        <w:rPr>
          <w:lang w:val="fr-FR"/>
        </w:rPr>
        <w:tab/>
      </w:r>
      <w:r w:rsidRPr="00F206B8">
        <w:rPr>
          <w:lang w:val="fr-FR"/>
        </w:rPr>
        <w:t>Organisations indépendantes, y compris les médiateurs pour la pr</w:t>
      </w:r>
      <w:r>
        <w:rPr>
          <w:lang w:val="fr-FR"/>
        </w:rPr>
        <w:t>otection des droits de l</w:t>
      </w:r>
      <w:r w:rsidR="00277023">
        <w:rPr>
          <w:lang w:val="fr-FR"/>
        </w:rPr>
        <w:t>’</w:t>
      </w:r>
      <w:r>
        <w:rPr>
          <w:lang w:val="fr-FR"/>
        </w:rPr>
        <w:t>enfant</w:t>
      </w:r>
    </w:p>
    <w:p w:rsidR="00F206B8" w:rsidRPr="00F206B8" w:rsidRDefault="00F206B8" w:rsidP="00F206B8">
      <w:pPr>
        <w:pStyle w:val="SingleTxtG"/>
        <w:rPr>
          <w:lang w:val="fr-FR"/>
        </w:rPr>
      </w:pPr>
      <w:r w:rsidRPr="00F206B8">
        <w:rPr>
          <w:lang w:val="fr-FR"/>
        </w:rPr>
        <w:t>(Mise en place d</w:t>
      </w:r>
      <w:r w:rsidR="00277023">
        <w:rPr>
          <w:lang w:val="fr-FR"/>
        </w:rPr>
        <w:t>’</w:t>
      </w:r>
      <w:r w:rsidRPr="00F206B8">
        <w:rPr>
          <w:lang w:val="fr-FR"/>
        </w:rPr>
        <w:t>un mécanisme national de défense des droits de l</w:t>
      </w:r>
      <w:r w:rsidR="00277023">
        <w:rPr>
          <w:lang w:val="fr-FR"/>
        </w:rPr>
        <w:t>’</w:t>
      </w:r>
      <w:r w:rsidRPr="00F206B8">
        <w:rPr>
          <w:lang w:val="fr-FR"/>
        </w:rPr>
        <w:t>homme)</w:t>
      </w:r>
    </w:p>
    <w:p w:rsidR="00F206B8" w:rsidRPr="00F206B8" w:rsidRDefault="00F206B8" w:rsidP="00F206B8">
      <w:pPr>
        <w:pStyle w:val="SingleTxtG"/>
        <w:rPr>
          <w:lang w:val="fr-FR"/>
        </w:rPr>
      </w:pPr>
      <w:r w:rsidRPr="00F206B8">
        <w:rPr>
          <w:lang w:val="fr-FR"/>
        </w:rPr>
        <w:t>44.</w:t>
      </w:r>
      <w:r w:rsidRPr="00F206B8">
        <w:rPr>
          <w:lang w:val="fr-FR"/>
        </w:rPr>
        <w:tab/>
        <w:t>Voir paragraphe 35 du deuxième rapport du Japon.</w:t>
      </w:r>
    </w:p>
    <w:p w:rsidR="00F206B8" w:rsidRPr="00F206B8" w:rsidRDefault="00F206B8" w:rsidP="00F206B8">
      <w:pPr>
        <w:pStyle w:val="SingleTxtG"/>
        <w:rPr>
          <w:lang w:val="fr-FR"/>
        </w:rPr>
      </w:pPr>
      <w:r w:rsidRPr="00F206B8">
        <w:rPr>
          <w:lang w:val="fr-FR"/>
        </w:rPr>
        <w:t>45.</w:t>
      </w:r>
      <w:r w:rsidRPr="00F206B8">
        <w:rPr>
          <w:lang w:val="fr-FR"/>
        </w:rPr>
        <w:tab/>
        <w:t xml:space="preserve">En mars 2002, le Gouvernement a présenté à </w:t>
      </w:r>
      <w:smartTag w:uri="urn:schemas-microsoft-com:office:smarttags" w:element="PersonName">
        <w:smartTagPr>
          <w:attr w:name="ProductID" w:val="la Di￨te"/>
        </w:smartTagPr>
        <w:r w:rsidRPr="00F206B8">
          <w:rPr>
            <w:lang w:val="fr-FR"/>
          </w:rPr>
          <w:t>la Diète</w:t>
        </w:r>
      </w:smartTag>
      <w:r w:rsidRPr="00F206B8">
        <w:rPr>
          <w:lang w:val="fr-FR"/>
        </w:rPr>
        <w:t xml:space="preserve"> le projet de Loi relatif à la protection des droits de l</w:t>
      </w:r>
      <w:r w:rsidR="00277023">
        <w:rPr>
          <w:lang w:val="fr-FR"/>
        </w:rPr>
        <w:t>’</w:t>
      </w:r>
      <w:r w:rsidRPr="00F206B8">
        <w:rPr>
          <w:lang w:val="fr-FR"/>
        </w:rPr>
        <w:t>homme qui prévoit l</w:t>
      </w:r>
      <w:r w:rsidR="00277023">
        <w:rPr>
          <w:lang w:val="fr-FR"/>
        </w:rPr>
        <w:t>’</w:t>
      </w:r>
      <w:r w:rsidRPr="00F206B8">
        <w:rPr>
          <w:lang w:val="fr-FR"/>
        </w:rPr>
        <w:t>établissement d</w:t>
      </w:r>
      <w:r w:rsidR="00277023">
        <w:rPr>
          <w:lang w:val="fr-FR"/>
        </w:rPr>
        <w:t>’</w:t>
      </w:r>
      <w:r w:rsidRPr="00F206B8">
        <w:rPr>
          <w:lang w:val="fr-FR"/>
        </w:rPr>
        <w:t>une Commission des droits de l</w:t>
      </w:r>
      <w:r w:rsidR="00277023">
        <w:rPr>
          <w:lang w:val="fr-FR"/>
        </w:rPr>
        <w:t>’</w:t>
      </w:r>
      <w:r w:rsidRPr="00F206B8">
        <w:rPr>
          <w:lang w:val="fr-FR"/>
        </w:rPr>
        <w:t>homme, organe administratif indépendant, en application du paragraphe 2 de l</w:t>
      </w:r>
      <w:r w:rsidR="00277023">
        <w:rPr>
          <w:lang w:val="fr-FR"/>
        </w:rPr>
        <w:t>’</w:t>
      </w:r>
      <w:r w:rsidRPr="00F206B8">
        <w:rPr>
          <w:lang w:val="fr-FR"/>
        </w:rPr>
        <w:t xml:space="preserve">article 3 de </w:t>
      </w:r>
      <w:smartTag w:uri="urn:schemas-microsoft-com:office:smarttags" w:element="PersonName">
        <w:smartTagPr>
          <w:attr w:name="ProductID" w:val="la Loi"/>
        </w:smartTagPr>
        <w:r w:rsidRPr="00F206B8">
          <w:rPr>
            <w:lang w:val="fr-FR"/>
          </w:rPr>
          <w:t>la Loi</w:t>
        </w:r>
      </w:smartTag>
      <w:r w:rsidRPr="00F206B8">
        <w:rPr>
          <w:lang w:val="fr-FR"/>
        </w:rPr>
        <w:t xml:space="preserve"> sur l</w:t>
      </w:r>
      <w:r w:rsidR="00277023">
        <w:rPr>
          <w:lang w:val="fr-FR"/>
        </w:rPr>
        <w:t>’</w:t>
      </w:r>
      <w:r w:rsidRPr="00F206B8">
        <w:rPr>
          <w:lang w:val="fr-FR"/>
        </w:rPr>
        <w:t>organisation de l</w:t>
      </w:r>
      <w:r w:rsidR="00277023">
        <w:rPr>
          <w:lang w:val="fr-FR"/>
        </w:rPr>
        <w:t>’</w:t>
      </w:r>
      <w:r w:rsidRPr="00F206B8">
        <w:rPr>
          <w:lang w:val="fr-FR"/>
        </w:rPr>
        <w:t xml:space="preserve">administration centrale. Aux termes du projet de loi, </w:t>
      </w:r>
      <w:smartTag w:uri="urn:schemas-microsoft-com:office:smarttags" w:element="PersonName">
        <w:smartTagPr>
          <w:attr w:name="ProductID" w:val="la Commission"/>
        </w:smartTagPr>
        <w:r w:rsidRPr="00F206B8">
          <w:rPr>
            <w:lang w:val="fr-FR"/>
          </w:rPr>
          <w:t>la Commission</w:t>
        </w:r>
      </w:smartTag>
      <w:r w:rsidRPr="00F206B8">
        <w:rPr>
          <w:lang w:val="fr-FR"/>
        </w:rPr>
        <w:t xml:space="preserve"> des droits de l</w:t>
      </w:r>
      <w:r w:rsidR="00277023">
        <w:rPr>
          <w:lang w:val="fr-FR"/>
        </w:rPr>
        <w:t>’</w:t>
      </w:r>
      <w:r w:rsidRPr="00F206B8">
        <w:rPr>
          <w:lang w:val="fr-FR"/>
        </w:rPr>
        <w:t>homme se voit bénéficier d</w:t>
      </w:r>
      <w:r w:rsidR="00277023">
        <w:rPr>
          <w:lang w:val="fr-FR"/>
        </w:rPr>
        <w:t>’</w:t>
      </w:r>
      <w:r w:rsidRPr="00F206B8">
        <w:rPr>
          <w:lang w:val="fr-FR"/>
        </w:rPr>
        <w:t>un degré élevé d</w:t>
      </w:r>
      <w:r w:rsidR="00277023">
        <w:rPr>
          <w:lang w:val="fr-FR"/>
        </w:rPr>
        <w:t>’</w:t>
      </w:r>
      <w:r w:rsidRPr="00F206B8">
        <w:rPr>
          <w:lang w:val="fr-FR"/>
        </w:rPr>
        <w:t>indépendance grâce au processus de nomination du président et des membres, qui garantit leur statut et leur indépendance dans l</w:t>
      </w:r>
      <w:r w:rsidR="00277023">
        <w:rPr>
          <w:lang w:val="fr-FR"/>
        </w:rPr>
        <w:t>’</w:t>
      </w:r>
      <w:r w:rsidRPr="00F206B8">
        <w:rPr>
          <w:lang w:val="fr-FR"/>
        </w:rPr>
        <w:t xml:space="preserve">exercice de leur mandat, de telle manière que leurs décisions ne peuvent être influencées par le Cabinet ou les ministres concernés. </w:t>
      </w:r>
      <w:smartTag w:uri="urn:schemas-microsoft-com:office:smarttags" w:element="PersonName">
        <w:smartTagPr>
          <w:attr w:name="ProductID" w:val="la Commission"/>
        </w:smartTagPr>
        <w:r w:rsidRPr="00F206B8">
          <w:rPr>
            <w:lang w:val="fr-FR"/>
          </w:rPr>
          <w:t>La Commission</w:t>
        </w:r>
      </w:smartTag>
      <w:r w:rsidRPr="00F206B8">
        <w:rPr>
          <w:lang w:val="fr-FR"/>
        </w:rPr>
        <w:t xml:space="preserve"> est habilitée à présenter des avis au Gouvernement et à </w:t>
      </w:r>
      <w:smartTag w:uri="urn:schemas-microsoft-com:office:smarttags" w:element="PersonName">
        <w:smartTagPr>
          <w:attr w:name="ProductID" w:val="la Di￨te"/>
        </w:smartTagPr>
        <w:r w:rsidRPr="00F206B8">
          <w:rPr>
            <w:lang w:val="fr-FR"/>
          </w:rPr>
          <w:t>la Diète</w:t>
        </w:r>
      </w:smartTag>
      <w:r w:rsidRPr="00F206B8">
        <w:rPr>
          <w:lang w:val="fr-FR"/>
        </w:rPr>
        <w:t xml:space="preserve"> et est responsable de la promotion des droits de l</w:t>
      </w:r>
      <w:r w:rsidR="00277023">
        <w:rPr>
          <w:lang w:val="fr-FR"/>
        </w:rPr>
        <w:t>’</w:t>
      </w:r>
      <w:r w:rsidRPr="00F206B8">
        <w:rPr>
          <w:lang w:val="fr-FR"/>
        </w:rPr>
        <w:t xml:space="preserve">homme et de la réparation effective des violations de ces droits. Compte tenu de ce qui précède, </w:t>
      </w:r>
      <w:smartTag w:uri="urn:schemas-microsoft-com:office:smarttags" w:element="PersonName">
        <w:smartTagPr>
          <w:attr w:name="ProductID" w:val="la Commission"/>
        </w:smartTagPr>
        <w:r w:rsidRPr="00F206B8">
          <w:rPr>
            <w:lang w:val="fr-FR"/>
          </w:rPr>
          <w:t>la Commission</w:t>
        </w:r>
      </w:smartTag>
      <w:r w:rsidRPr="00F206B8">
        <w:rPr>
          <w:lang w:val="fr-FR"/>
        </w:rPr>
        <w:t xml:space="preserve"> des droits de l</w:t>
      </w:r>
      <w:r w:rsidR="00277023">
        <w:rPr>
          <w:lang w:val="fr-FR"/>
        </w:rPr>
        <w:t>’</w:t>
      </w:r>
      <w:r w:rsidRPr="00F206B8">
        <w:rPr>
          <w:lang w:val="fr-FR"/>
        </w:rPr>
        <w:t>homme créée en vertu du projet de Loi est considérée comme une institution nationale de défense des droits de l</w:t>
      </w:r>
      <w:r w:rsidR="00277023">
        <w:rPr>
          <w:lang w:val="fr-FR"/>
        </w:rPr>
        <w:t>’</w:t>
      </w:r>
      <w:r w:rsidRPr="00F206B8">
        <w:rPr>
          <w:lang w:val="fr-FR"/>
        </w:rPr>
        <w:t>homme conforme aux Principes de Paris. Bien que le projet de loi n</w:t>
      </w:r>
      <w:r w:rsidR="00277023">
        <w:rPr>
          <w:lang w:val="fr-FR"/>
        </w:rPr>
        <w:t>’</w:t>
      </w:r>
      <w:r w:rsidRPr="00F206B8">
        <w:rPr>
          <w:lang w:val="fr-FR"/>
        </w:rPr>
        <w:t xml:space="preserve">ait pas été voté en raison de la dissolution de </w:t>
      </w:r>
      <w:smartTag w:uri="urn:schemas-microsoft-com:office:smarttags" w:element="PersonName">
        <w:smartTagPr>
          <w:attr w:name="ProductID" w:val="la Chambre"/>
        </w:smartTagPr>
        <w:r w:rsidRPr="00F206B8">
          <w:rPr>
            <w:lang w:val="fr-FR"/>
          </w:rPr>
          <w:t>la Chambre</w:t>
        </w:r>
      </w:smartTag>
      <w:r w:rsidRPr="00F206B8">
        <w:rPr>
          <w:lang w:val="fr-FR"/>
        </w:rPr>
        <w:t xml:space="preserve"> des représentants, le Gouvernement procède actuellement à son nouvel examen.</w:t>
      </w:r>
    </w:p>
    <w:p w:rsidR="00F206B8" w:rsidRPr="00F206B8" w:rsidRDefault="00F206B8" w:rsidP="00F206B8">
      <w:pPr>
        <w:pStyle w:val="SingleTxtG"/>
        <w:rPr>
          <w:lang w:val="fr-FR"/>
        </w:rPr>
      </w:pPr>
      <w:r w:rsidRPr="00F206B8">
        <w:rPr>
          <w:lang w:val="fr-FR"/>
        </w:rPr>
        <w:t>(Institution de médiateurs à l</w:t>
      </w:r>
      <w:r w:rsidR="00277023">
        <w:rPr>
          <w:lang w:val="fr-FR"/>
        </w:rPr>
        <w:t>’</w:t>
      </w:r>
      <w:r w:rsidRPr="00F206B8">
        <w:rPr>
          <w:lang w:val="fr-FR"/>
        </w:rPr>
        <w:t xml:space="preserve">échelon local) </w:t>
      </w:r>
    </w:p>
    <w:p w:rsidR="00F206B8" w:rsidRPr="00F206B8" w:rsidRDefault="00F206B8" w:rsidP="00F206B8">
      <w:pPr>
        <w:pStyle w:val="SingleTxtG"/>
        <w:rPr>
          <w:lang w:val="fr-FR"/>
        </w:rPr>
      </w:pPr>
      <w:r w:rsidRPr="00F206B8">
        <w:rPr>
          <w:lang w:val="fr-FR"/>
        </w:rPr>
        <w:t>46.</w:t>
      </w:r>
      <w:r w:rsidRPr="00F206B8">
        <w:rPr>
          <w:lang w:val="fr-FR"/>
        </w:rPr>
        <w:tab/>
        <w:t xml:space="preserve">Conformément à </w:t>
      </w:r>
      <w:smartTag w:uri="urn:schemas-microsoft-com:office:smarttags" w:element="PersonName">
        <w:smartTagPr>
          <w:attr w:name="ProductID" w:val="LA CONVENTION"/>
        </w:smartTagPr>
        <w:r w:rsidRPr="00F206B8">
          <w:rPr>
            <w:lang w:val="fr-FR"/>
          </w:rPr>
          <w:t>la Convention</w:t>
        </w:r>
      </w:smartTag>
      <w:r w:rsidRPr="00F206B8">
        <w:rPr>
          <w:lang w:val="fr-FR"/>
        </w:rPr>
        <w:t>, certaines collectivités locales ont établi des organisations indépendantes pour assurer une réparation en cas de violation des droits de l</w:t>
      </w:r>
      <w:r w:rsidR="00277023">
        <w:rPr>
          <w:lang w:val="fr-FR"/>
        </w:rPr>
        <w:t>’</w:t>
      </w:r>
      <w:r w:rsidRPr="00F206B8">
        <w:rPr>
          <w:lang w:val="fr-FR"/>
        </w:rPr>
        <w:t xml:space="preserve">homme, comme par exemple dans le cas de brutalités, de brimades, de châtiments corporels, ou de maltraitance. Selon les informations du Bureau du Cabinet, cinq collectivités locales ont mis en place un médiateur des enfants depuis janvier 2006. </w:t>
      </w:r>
    </w:p>
    <w:p w:rsidR="00F206B8" w:rsidRPr="00F206B8" w:rsidRDefault="00F206B8" w:rsidP="00F206B8">
      <w:pPr>
        <w:pStyle w:val="H23G"/>
        <w:rPr>
          <w:i/>
          <w:lang w:val="fr-FR"/>
        </w:rPr>
      </w:pPr>
      <w:r>
        <w:rPr>
          <w:lang w:val="fr-FR"/>
        </w:rPr>
        <w:tab/>
        <w:t>e)</w:t>
      </w:r>
      <w:r>
        <w:rPr>
          <w:lang w:val="fr-FR"/>
        </w:rPr>
        <w:tab/>
      </w:r>
      <w:r w:rsidRPr="00F206B8">
        <w:rPr>
          <w:lang w:val="fr-FR"/>
        </w:rPr>
        <w:t>Collecte de données et promotion d</w:t>
      </w:r>
      <w:r w:rsidR="00277023">
        <w:rPr>
          <w:lang w:val="fr-FR"/>
        </w:rPr>
        <w:t>’</w:t>
      </w:r>
      <w:r w:rsidRPr="00F206B8">
        <w:rPr>
          <w:lang w:val="fr-FR"/>
        </w:rPr>
        <w:t>une utilisation efficace</w:t>
      </w:r>
      <w:r>
        <w:rPr>
          <w:lang w:val="fr-FR"/>
        </w:rPr>
        <w:t xml:space="preserve"> des statistiques</w:t>
      </w:r>
    </w:p>
    <w:p w:rsidR="00F206B8" w:rsidRPr="00F206B8" w:rsidRDefault="00F206B8" w:rsidP="00F206B8">
      <w:pPr>
        <w:pStyle w:val="SingleTxtG"/>
        <w:rPr>
          <w:lang w:val="fr-FR"/>
        </w:rPr>
      </w:pPr>
      <w:r w:rsidRPr="00F206B8">
        <w:rPr>
          <w:lang w:val="fr-FR"/>
        </w:rPr>
        <w:t>47.</w:t>
      </w:r>
      <w:r w:rsidRPr="00F206B8">
        <w:rPr>
          <w:lang w:val="fr-FR"/>
        </w:rPr>
        <w:tab/>
        <w:t>Voir paragraphe 36 du deuxième rapport du Japon (réponse 5 à la question du Comité des droits de l</w:t>
      </w:r>
      <w:r w:rsidR="00277023">
        <w:rPr>
          <w:lang w:val="fr-FR"/>
        </w:rPr>
        <w:t>’</w:t>
      </w:r>
      <w:r w:rsidRPr="00F206B8">
        <w:rPr>
          <w:lang w:val="fr-FR"/>
        </w:rPr>
        <w:t>enfant posée lors de l</w:t>
      </w:r>
      <w:r w:rsidR="00277023">
        <w:rPr>
          <w:lang w:val="fr-FR"/>
        </w:rPr>
        <w:t>’</w:t>
      </w:r>
      <w:r w:rsidRPr="00F206B8">
        <w:rPr>
          <w:lang w:val="fr-FR"/>
        </w:rPr>
        <w:t>examen du rapport initial du Japon) et réponse B3 à la question du Comité des droits de l</w:t>
      </w:r>
      <w:r w:rsidR="00277023">
        <w:rPr>
          <w:lang w:val="fr-FR"/>
        </w:rPr>
        <w:t>’</w:t>
      </w:r>
      <w:r w:rsidRPr="00F206B8">
        <w:rPr>
          <w:lang w:val="fr-FR"/>
        </w:rPr>
        <w:t>enfant posée lors de l</w:t>
      </w:r>
      <w:r w:rsidR="00277023">
        <w:rPr>
          <w:lang w:val="fr-FR"/>
        </w:rPr>
        <w:t>’</w:t>
      </w:r>
      <w:r w:rsidRPr="00F206B8">
        <w:rPr>
          <w:lang w:val="fr-FR"/>
        </w:rPr>
        <w:t>examen du deuxième rapport du Japon.</w:t>
      </w:r>
    </w:p>
    <w:p w:rsidR="00F206B8" w:rsidRPr="00F206B8" w:rsidRDefault="00F206B8" w:rsidP="00F206B8">
      <w:pPr>
        <w:pStyle w:val="SingleTxtG"/>
        <w:rPr>
          <w:lang w:val="fr-FR"/>
        </w:rPr>
      </w:pPr>
      <w:r w:rsidRPr="00F206B8">
        <w:rPr>
          <w:lang w:val="fr-FR"/>
        </w:rPr>
        <w:t>48.</w:t>
      </w:r>
      <w:r w:rsidRPr="00F206B8">
        <w:rPr>
          <w:lang w:val="fr-FR"/>
        </w:rPr>
        <w:tab/>
        <w:t>Chaque année, le Gouvernement japonais prépare les budgets en faveur du développement de la jeunesse, recueille systématiquement des données sur la situation actuelle de la jeunesse, y compris des enfants, dans un grand nombre de domaines tels que la démographie, la santé et la sécurité, l</w:t>
      </w:r>
      <w:r w:rsidR="00277023">
        <w:rPr>
          <w:lang w:val="fr-FR"/>
        </w:rPr>
        <w:t>’</w:t>
      </w:r>
      <w:r w:rsidRPr="00F206B8">
        <w:rPr>
          <w:lang w:val="fr-FR"/>
        </w:rPr>
        <w:t>éducation, le travail et les comportements à problèmes, dont la délinquance, et publie ces données compilées dans des publications gouvernementales comme le Livre blanc sur la jeunesse, divers rapports, et sur son site Web. Ces données permettent au public d</w:t>
      </w:r>
      <w:r w:rsidR="00277023">
        <w:rPr>
          <w:lang w:val="fr-FR"/>
        </w:rPr>
        <w:t>’</w:t>
      </w:r>
      <w:r w:rsidRPr="00F206B8">
        <w:rPr>
          <w:lang w:val="fr-FR"/>
        </w:rPr>
        <w:t xml:space="preserve">avoir une vision précise de la situation de la jeunesse et servent à planifier et à élaborer des mesures pertinentes. </w:t>
      </w:r>
    </w:p>
    <w:p w:rsidR="00F206B8" w:rsidRPr="00F206B8" w:rsidRDefault="00F206B8" w:rsidP="00F206B8">
      <w:pPr>
        <w:pStyle w:val="H23G"/>
        <w:rPr>
          <w:lang w:val="fr-FR"/>
        </w:rPr>
      </w:pPr>
      <w:r>
        <w:rPr>
          <w:lang w:val="fr-FR"/>
        </w:rPr>
        <w:tab/>
      </w:r>
      <w:r w:rsidRPr="00F206B8">
        <w:rPr>
          <w:lang w:val="fr-FR"/>
        </w:rPr>
        <w:t>f</w:t>
      </w:r>
      <w:r>
        <w:rPr>
          <w:lang w:val="fr-FR"/>
        </w:rPr>
        <w:t>)</w:t>
      </w:r>
      <w:r>
        <w:rPr>
          <w:lang w:val="fr-FR"/>
        </w:rPr>
        <w:tab/>
      </w:r>
      <w:r w:rsidRPr="00F206B8">
        <w:rPr>
          <w:lang w:val="fr-FR"/>
        </w:rPr>
        <w:t>Mesures d</w:t>
      </w:r>
      <w:r w:rsidR="00277023">
        <w:rPr>
          <w:lang w:val="fr-FR"/>
        </w:rPr>
        <w:t>’</w:t>
      </w:r>
      <w:r w:rsidRPr="00F206B8">
        <w:rPr>
          <w:lang w:val="fr-FR"/>
        </w:rPr>
        <w:t>évaluation régulière de l</w:t>
      </w:r>
      <w:r w:rsidR="00277023">
        <w:rPr>
          <w:lang w:val="fr-FR"/>
        </w:rPr>
        <w:t>’</w:t>
      </w:r>
      <w:r w:rsidRPr="00F206B8">
        <w:rPr>
          <w:lang w:val="fr-FR"/>
        </w:rPr>
        <w:t xml:space="preserve">application de </w:t>
      </w:r>
      <w:smartTag w:uri="urn:schemas-microsoft-com:office:smarttags" w:element="PersonName">
        <w:smartTagPr>
          <w:attr w:name="ProductID" w:val="LA CONVENTION"/>
        </w:smartTagPr>
        <w:r w:rsidRPr="00F206B8">
          <w:rPr>
            <w:lang w:val="fr-FR"/>
          </w:rPr>
          <w:t>la Convention</w:t>
        </w:r>
      </w:smartTag>
    </w:p>
    <w:p w:rsidR="00F206B8" w:rsidRPr="00F206B8" w:rsidRDefault="00F206B8" w:rsidP="00F206B8">
      <w:pPr>
        <w:pStyle w:val="SingleTxtG"/>
        <w:rPr>
          <w:lang w:val="fr-FR"/>
        </w:rPr>
      </w:pPr>
      <w:r w:rsidRPr="00F206B8">
        <w:rPr>
          <w:lang w:val="fr-FR"/>
        </w:rPr>
        <w:t>49.</w:t>
      </w:r>
      <w:r w:rsidRPr="00F206B8">
        <w:rPr>
          <w:lang w:val="fr-FR"/>
        </w:rPr>
        <w:tab/>
        <w:t>Bien que le Gouvernement n</w:t>
      </w:r>
      <w:r w:rsidR="00277023">
        <w:rPr>
          <w:lang w:val="fr-FR"/>
        </w:rPr>
        <w:t>’</w:t>
      </w:r>
      <w:r w:rsidRPr="00F206B8">
        <w:rPr>
          <w:lang w:val="fr-FR"/>
        </w:rPr>
        <w:t>ait pas adopté des mesures spécifiques en vue d</w:t>
      </w:r>
      <w:r w:rsidR="00277023">
        <w:rPr>
          <w:lang w:val="fr-FR"/>
        </w:rPr>
        <w:t>’</w:t>
      </w:r>
      <w:r w:rsidRPr="00F206B8">
        <w:rPr>
          <w:lang w:val="fr-FR"/>
        </w:rPr>
        <w:t xml:space="preserve">évaluer régulièrement la mise en oeuvre de </w:t>
      </w:r>
      <w:smartTag w:uri="urn:schemas-microsoft-com:office:smarttags" w:element="PersonName">
        <w:smartTagPr>
          <w:attr w:name="ProductID" w:val="LA CONVENTION"/>
        </w:smartTagPr>
        <w:r w:rsidRPr="00F206B8">
          <w:rPr>
            <w:lang w:val="fr-FR"/>
          </w:rPr>
          <w:t>la Convention</w:t>
        </w:r>
      </w:smartTag>
      <w:r w:rsidRPr="00F206B8">
        <w:rPr>
          <w:lang w:val="fr-FR"/>
        </w:rPr>
        <w:t>, des rapports sur les actions gouvernementales menées en application des recommandations figurant dans les observations finales du Comité des droits de l</w:t>
      </w:r>
      <w:r w:rsidR="00277023">
        <w:rPr>
          <w:lang w:val="fr-FR"/>
        </w:rPr>
        <w:t>’</w:t>
      </w:r>
      <w:r w:rsidRPr="00F206B8">
        <w:rPr>
          <w:lang w:val="fr-FR"/>
        </w:rPr>
        <w:t xml:space="preserve">enfant en réponse au 2e rapport du Japon ont été compilés en juillet 2004 et mars 2005, et des activités de suivi ont été menées de différentes façons, y compris par des rapports adressés aux membres de </w:t>
      </w:r>
      <w:smartTag w:uri="urn:schemas-microsoft-com:office:smarttags" w:element="PersonName">
        <w:smartTagPr>
          <w:attr w:name="ProductID" w:val="la Di￨te"/>
        </w:smartTagPr>
        <w:r w:rsidRPr="00F206B8">
          <w:rPr>
            <w:lang w:val="fr-FR"/>
          </w:rPr>
          <w:t>la Diète</w:t>
        </w:r>
      </w:smartTag>
      <w:r w:rsidRPr="00F206B8">
        <w:rPr>
          <w:lang w:val="fr-FR"/>
        </w:rPr>
        <w:t xml:space="preserve"> et aux ONG intéressés. </w:t>
      </w:r>
    </w:p>
    <w:p w:rsidR="00F206B8" w:rsidRPr="00F206B8" w:rsidRDefault="00F206B8" w:rsidP="00F206B8">
      <w:pPr>
        <w:pStyle w:val="H1G"/>
        <w:rPr>
          <w:lang w:val="fr-FR"/>
        </w:rPr>
      </w:pPr>
      <w:r>
        <w:rPr>
          <w:lang w:val="fr-FR"/>
        </w:rPr>
        <w:tab/>
        <w:t>I.</w:t>
      </w:r>
      <w:r>
        <w:rPr>
          <w:lang w:val="fr-FR"/>
        </w:rPr>
        <w:tab/>
      </w:r>
      <w:r w:rsidRPr="00F206B8">
        <w:rPr>
          <w:lang w:val="fr-FR"/>
        </w:rPr>
        <w:t>Mise en oeuvre conjointe de la politique en faveur de la jeunesse avec des organisations non gouvernementales et d</w:t>
      </w:r>
      <w:r w:rsidR="00277023">
        <w:rPr>
          <w:lang w:val="fr-FR"/>
        </w:rPr>
        <w:t>’</w:t>
      </w:r>
      <w:r w:rsidRPr="00F206B8">
        <w:rPr>
          <w:lang w:val="fr-FR"/>
        </w:rPr>
        <w:t>autres groupes de la société civile</w:t>
      </w:r>
    </w:p>
    <w:p w:rsidR="00F206B8" w:rsidRPr="00F206B8" w:rsidRDefault="00F206B8" w:rsidP="00F206B8">
      <w:pPr>
        <w:pStyle w:val="SingleTxtG"/>
        <w:rPr>
          <w:b/>
          <w:bCs/>
          <w:lang w:val="fr-FR"/>
        </w:rPr>
      </w:pPr>
      <w:r w:rsidRPr="00F206B8">
        <w:rPr>
          <w:lang w:val="fr-FR"/>
        </w:rPr>
        <w:t>50.</w:t>
      </w:r>
      <w:r w:rsidRPr="00F206B8">
        <w:rPr>
          <w:lang w:val="fr-FR"/>
        </w:rPr>
        <w:tab/>
        <w:t>Ainsi que l</w:t>
      </w:r>
      <w:r w:rsidR="00277023">
        <w:rPr>
          <w:lang w:val="fr-FR"/>
        </w:rPr>
        <w:t>’</w:t>
      </w:r>
      <w:r w:rsidRPr="00F206B8">
        <w:rPr>
          <w:lang w:val="fr-FR"/>
        </w:rPr>
        <w:t>énonce le paragraphe précédent du présent rapport, le Gouvernement a compilé en juillet 2004 et mars 2005 les rapports sur les progrès réalisés au regard de questions soulevées dans les observations finales du Comité des droits de l</w:t>
      </w:r>
      <w:r w:rsidR="00277023">
        <w:rPr>
          <w:lang w:val="fr-FR"/>
        </w:rPr>
        <w:t>’</w:t>
      </w:r>
      <w:r w:rsidRPr="00F206B8">
        <w:rPr>
          <w:lang w:val="fr-FR"/>
        </w:rPr>
        <w:t xml:space="preserve">enfant en réponse au 2e rapport du Japon et en a rendu compte lors de débats organisés en juillet 2004 et septembre 2005, au cours desquels des membres de </w:t>
      </w:r>
      <w:smartTag w:uri="urn:schemas-microsoft-com:office:smarttags" w:element="PersonName">
        <w:smartTagPr>
          <w:attr w:name="ProductID" w:val="la Di￨te"/>
        </w:smartTagPr>
        <w:r w:rsidRPr="00F206B8">
          <w:rPr>
            <w:lang w:val="fr-FR"/>
          </w:rPr>
          <w:t>la Diète</w:t>
        </w:r>
      </w:smartTag>
      <w:r w:rsidRPr="00F206B8">
        <w:rPr>
          <w:lang w:val="fr-FR"/>
        </w:rPr>
        <w:t>, des ministères et institutions, des ONG et des groupes de la société civile ont également échangé des vues sur l</w:t>
      </w:r>
      <w:r w:rsidR="00277023">
        <w:rPr>
          <w:lang w:val="fr-FR"/>
        </w:rPr>
        <w:t>’</w:t>
      </w:r>
      <w:r w:rsidRPr="00F206B8">
        <w:rPr>
          <w:lang w:val="fr-FR"/>
        </w:rPr>
        <w:t>état d</w:t>
      </w:r>
      <w:r w:rsidR="00277023">
        <w:rPr>
          <w:lang w:val="fr-FR"/>
        </w:rPr>
        <w:t>’</w:t>
      </w:r>
      <w:r w:rsidRPr="00F206B8">
        <w:rPr>
          <w:lang w:val="fr-FR"/>
        </w:rPr>
        <w:t xml:space="preserve">avancement des mesures. </w:t>
      </w:r>
    </w:p>
    <w:p w:rsidR="00F206B8" w:rsidRPr="00F206B8" w:rsidRDefault="00F206B8" w:rsidP="00F206B8">
      <w:pPr>
        <w:pStyle w:val="H1G"/>
        <w:rPr>
          <w:lang w:val="fr-FR"/>
        </w:rPr>
      </w:pPr>
      <w:r>
        <w:rPr>
          <w:lang w:val="fr-FR"/>
        </w:rPr>
        <w:tab/>
        <w:t>J.</w:t>
      </w:r>
      <w:r>
        <w:rPr>
          <w:lang w:val="fr-FR"/>
        </w:rPr>
        <w:tab/>
      </w:r>
      <w:r w:rsidRPr="00F206B8">
        <w:rPr>
          <w:lang w:val="fr-FR"/>
        </w:rPr>
        <w:t>Mise en oeuvre des mesures de protection des droits économiques, sociaux et culturels des enfants dans la mesure des ressources disponibles</w:t>
      </w:r>
    </w:p>
    <w:p w:rsidR="00F206B8" w:rsidRPr="00F206B8" w:rsidRDefault="00F206B8" w:rsidP="00F206B8">
      <w:pPr>
        <w:pStyle w:val="SingleTxtG"/>
        <w:rPr>
          <w:lang w:val="fr-FR"/>
        </w:rPr>
      </w:pPr>
      <w:r w:rsidRPr="00F206B8">
        <w:rPr>
          <w:lang w:val="fr-FR"/>
        </w:rPr>
        <w:t xml:space="preserve">(Budget alloué aux prestations sociales pour les enfants) </w:t>
      </w:r>
    </w:p>
    <w:p w:rsidR="00F206B8" w:rsidRPr="00F206B8" w:rsidRDefault="00F206B8" w:rsidP="00F206B8">
      <w:pPr>
        <w:pStyle w:val="SingleTxtG"/>
        <w:rPr>
          <w:lang w:val="fr-FR"/>
        </w:rPr>
      </w:pPr>
      <w:r w:rsidRPr="00F206B8">
        <w:rPr>
          <w:lang w:val="fr-FR"/>
        </w:rPr>
        <w:t>51.</w:t>
      </w:r>
      <w:r w:rsidRPr="00F206B8">
        <w:rPr>
          <w:lang w:val="fr-FR"/>
        </w:rPr>
        <w:tab/>
        <w:t>Le budget général de l</w:t>
      </w:r>
      <w:r w:rsidR="00277023">
        <w:rPr>
          <w:lang w:val="fr-FR"/>
        </w:rPr>
        <w:t>’</w:t>
      </w:r>
      <w:r w:rsidRPr="00F206B8">
        <w:rPr>
          <w:lang w:val="fr-FR"/>
        </w:rPr>
        <w:t>administration centrale du Japon pour 2006 s</w:t>
      </w:r>
      <w:r w:rsidR="00277023">
        <w:rPr>
          <w:lang w:val="fr-FR"/>
        </w:rPr>
        <w:t>’</w:t>
      </w:r>
      <w:r w:rsidRPr="00F206B8">
        <w:rPr>
          <w:lang w:val="fr-FR"/>
        </w:rPr>
        <w:t>élevait à 46.366 milliards de yen (budget initialement alloué compte non tenu des obligations d</w:t>
      </w:r>
      <w:r w:rsidR="00277023">
        <w:rPr>
          <w:lang w:val="fr-FR"/>
        </w:rPr>
        <w:t>’</w:t>
      </w:r>
      <w:r w:rsidRPr="00F206B8">
        <w:rPr>
          <w:lang w:val="fr-FR"/>
        </w:rPr>
        <w:t>Etat), dont quelque 3.309,8 milliards de yen, soit 7,1</w:t>
      </w:r>
      <w:r w:rsidR="00277023">
        <w:rPr>
          <w:lang w:val="fr-FR"/>
        </w:rPr>
        <w:t>%</w:t>
      </w:r>
      <w:r w:rsidRPr="00F206B8">
        <w:rPr>
          <w:lang w:val="fr-FR"/>
        </w:rPr>
        <w:t xml:space="preserve">, étaient alloués à la politique de la jeunesse. Le Gouvernement est certain que les ressources nécessaires à la protection des droits des enfants, stipulées par </w:t>
      </w:r>
      <w:smartTag w:uri="urn:schemas-microsoft-com:office:smarttags" w:element="PersonName">
        <w:smartTagPr>
          <w:attr w:name="ProductID" w:val="LA CONVENTION"/>
        </w:smartTagPr>
        <w:r w:rsidRPr="00F206B8">
          <w:rPr>
            <w:lang w:val="fr-FR"/>
          </w:rPr>
          <w:t>la Convention</w:t>
        </w:r>
      </w:smartTag>
      <w:r w:rsidRPr="00F206B8">
        <w:rPr>
          <w:lang w:val="fr-FR"/>
        </w:rPr>
        <w:t>, sont distribuées comme il convient. Sur le budget de la politique de la jeunesse, quelque 15,7 milliards de yen sont réservés aux soins de santé, comme la promotion de la santé, des sports et des soins maternels et infantiles, tandis qu</w:t>
      </w:r>
      <w:r w:rsidR="00277023">
        <w:rPr>
          <w:lang w:val="fr-FR"/>
        </w:rPr>
        <w:t>’</w:t>
      </w:r>
      <w:r w:rsidRPr="00F206B8">
        <w:rPr>
          <w:lang w:val="fr-FR"/>
        </w:rPr>
        <w:t>environ 1.856,6 milliards de yen financent les mesures en matière d</w:t>
      </w:r>
      <w:r w:rsidR="00277023">
        <w:rPr>
          <w:lang w:val="fr-FR"/>
        </w:rPr>
        <w:t>’</w:t>
      </w:r>
      <w:r w:rsidRPr="00F206B8">
        <w:rPr>
          <w:lang w:val="fr-FR"/>
        </w:rPr>
        <w:t>éducation telles que la promotion des directives pédagogiques et de l</w:t>
      </w:r>
      <w:r w:rsidR="00277023">
        <w:rPr>
          <w:lang w:val="fr-FR"/>
        </w:rPr>
        <w:t>’</w:t>
      </w:r>
      <w:r w:rsidRPr="00F206B8">
        <w:rPr>
          <w:lang w:val="fr-FR"/>
        </w:rPr>
        <w:t>éducation à domicile, l</w:t>
      </w:r>
      <w:r w:rsidR="00277023">
        <w:rPr>
          <w:lang w:val="fr-FR"/>
        </w:rPr>
        <w:t>’</w:t>
      </w:r>
      <w:r w:rsidRPr="00F206B8">
        <w:rPr>
          <w:lang w:val="fr-FR"/>
        </w:rPr>
        <w:t>amélioration des programmes d</w:t>
      </w:r>
      <w:r w:rsidR="00277023">
        <w:rPr>
          <w:lang w:val="fr-FR"/>
        </w:rPr>
        <w:t>’</w:t>
      </w:r>
      <w:r w:rsidRPr="00F206B8">
        <w:rPr>
          <w:lang w:val="fr-FR"/>
        </w:rPr>
        <w:t>enseignement et de formation professionnelle pour les jeunes. Environ 546,1 milliards de yen sont consacrés aux services sociaux tels que les services d</w:t>
      </w:r>
      <w:r w:rsidR="00277023">
        <w:rPr>
          <w:lang w:val="fr-FR"/>
        </w:rPr>
        <w:t>’</w:t>
      </w:r>
      <w:r w:rsidRPr="00F206B8">
        <w:rPr>
          <w:lang w:val="fr-FR"/>
        </w:rPr>
        <w:t>aide à l</w:t>
      </w:r>
      <w:r w:rsidR="00277023">
        <w:rPr>
          <w:lang w:val="fr-FR"/>
        </w:rPr>
        <w:t>’</w:t>
      </w:r>
      <w:r w:rsidRPr="00F206B8">
        <w:rPr>
          <w:lang w:val="fr-FR"/>
        </w:rPr>
        <w:t>éducation des enfants, les services maternels et de protection, les mesures en faveur des enfants handicapés, les allocations pour enfant à charge et les mesures d</w:t>
      </w:r>
      <w:r w:rsidR="00277023">
        <w:rPr>
          <w:lang w:val="fr-FR"/>
        </w:rPr>
        <w:t>’</w:t>
      </w:r>
      <w:r w:rsidRPr="00F206B8">
        <w:rPr>
          <w:lang w:val="fr-FR"/>
        </w:rPr>
        <w:t>amélioration des institutions de protection de l</w:t>
      </w:r>
      <w:r w:rsidR="00277023">
        <w:rPr>
          <w:lang w:val="fr-FR"/>
        </w:rPr>
        <w:t>’</w:t>
      </w:r>
      <w:r w:rsidRPr="00F206B8">
        <w:rPr>
          <w:lang w:val="fr-FR"/>
        </w:rPr>
        <w:t>enfance. Il convient de noter que ces budgets globaux ont en principe un rapport direct ou indirect avec le bon développement des jeunes, notamment des enfants. Certains d</w:t>
      </w:r>
      <w:r w:rsidR="00277023">
        <w:rPr>
          <w:lang w:val="fr-FR"/>
        </w:rPr>
        <w:t>’</w:t>
      </w:r>
      <w:r w:rsidRPr="00F206B8">
        <w:rPr>
          <w:lang w:val="fr-FR"/>
        </w:rPr>
        <w:t>entre eux incluent les sommes allouées à des services sociaux ouverts à l</w:t>
      </w:r>
      <w:r w:rsidR="00277023">
        <w:rPr>
          <w:lang w:val="fr-FR"/>
        </w:rPr>
        <w:t>’</w:t>
      </w:r>
      <w:r w:rsidRPr="00F206B8">
        <w:rPr>
          <w:lang w:val="fr-FR"/>
        </w:rPr>
        <w:t xml:space="preserve">ensemble du public, ce qui rend difficile de calculer précisément le montant consacré spécifiquement aux jeunes, car toutes les générations profitent de ces budgets, y compris les enfants. </w:t>
      </w:r>
    </w:p>
    <w:p w:rsidR="00F206B8" w:rsidRPr="00F206B8" w:rsidRDefault="00F206B8" w:rsidP="00F206B8">
      <w:pPr>
        <w:pStyle w:val="SingleTxtG"/>
        <w:rPr>
          <w:lang w:val="fr-FR"/>
        </w:rPr>
      </w:pPr>
      <w:r w:rsidRPr="00F206B8">
        <w:rPr>
          <w:lang w:val="fr-FR"/>
        </w:rPr>
        <w:t>52.</w:t>
      </w:r>
      <w:r w:rsidRPr="00F206B8">
        <w:rPr>
          <w:lang w:val="fr-FR"/>
        </w:rPr>
        <w:tab/>
        <w:t>S</w:t>
      </w:r>
      <w:r w:rsidR="00277023">
        <w:rPr>
          <w:lang w:val="fr-FR"/>
        </w:rPr>
        <w:t>’</w:t>
      </w:r>
      <w:r w:rsidRPr="00F206B8">
        <w:rPr>
          <w:lang w:val="fr-FR"/>
        </w:rPr>
        <w:t>agissant des budgets des collectivités locales, les autorités nationales ne disposent pas toujours d</w:t>
      </w:r>
      <w:r w:rsidR="00277023">
        <w:rPr>
          <w:lang w:val="fr-FR"/>
        </w:rPr>
        <w:t>’</w:t>
      </w:r>
      <w:r w:rsidRPr="00F206B8">
        <w:rPr>
          <w:lang w:val="fr-FR"/>
        </w:rPr>
        <w:t>une ventilation détaillée, mais il est certain que chaque préfecture alloue des fonds suffisants à la politique de la jeunesse, comme le font les ministères et les administrations centrales, dans la limite des ressources dont ils disposent, ainsi que le stipule l</w:t>
      </w:r>
      <w:r w:rsidR="00277023">
        <w:rPr>
          <w:lang w:val="fr-FR"/>
        </w:rPr>
        <w:t>’</w:t>
      </w:r>
      <w:r w:rsidRPr="00F206B8">
        <w:rPr>
          <w:lang w:val="fr-FR"/>
        </w:rPr>
        <w:t xml:space="preserve">article 4 de </w:t>
      </w:r>
      <w:smartTag w:uri="urn:schemas-microsoft-com:office:smarttags" w:element="PersonName">
        <w:smartTagPr>
          <w:attr w:name="ProductID" w:val="la Convention."/>
        </w:smartTagPr>
        <w:r w:rsidRPr="00F206B8">
          <w:rPr>
            <w:lang w:val="fr-FR"/>
          </w:rPr>
          <w:t>la Convention.</w:t>
        </w:r>
      </w:smartTag>
      <w:r w:rsidRPr="00F206B8">
        <w:rPr>
          <w:lang w:val="fr-FR"/>
        </w:rPr>
        <w:t xml:space="preserve"> </w:t>
      </w:r>
    </w:p>
    <w:p w:rsidR="00F206B8" w:rsidRPr="00F206B8" w:rsidRDefault="00F206B8" w:rsidP="00F206B8">
      <w:pPr>
        <w:pStyle w:val="SingleTxtG"/>
        <w:rPr>
          <w:lang w:val="fr-FR"/>
        </w:rPr>
      </w:pPr>
      <w:r w:rsidRPr="00F206B8">
        <w:rPr>
          <w:lang w:val="fr-FR"/>
        </w:rPr>
        <w:t xml:space="preserve">(Évolution des dotations budgétaires allouées à la politique en faveur de la jeunesse) </w:t>
      </w:r>
    </w:p>
    <w:p w:rsidR="00F206B8" w:rsidRPr="00F206B8" w:rsidRDefault="00F206B8" w:rsidP="00F206B8">
      <w:pPr>
        <w:pStyle w:val="SingleTxtG"/>
        <w:rPr>
          <w:lang w:val="fr-FR"/>
        </w:rPr>
      </w:pPr>
      <w:r w:rsidRPr="00F206B8">
        <w:rPr>
          <w:lang w:val="fr-FR"/>
        </w:rPr>
        <w:t>53.</w:t>
      </w:r>
      <w:r w:rsidRPr="00F206B8">
        <w:rPr>
          <w:lang w:val="fr-FR"/>
        </w:rPr>
        <w:tab/>
        <w:t>Le tableau suivant montre l</w:t>
      </w:r>
      <w:r w:rsidR="00277023">
        <w:rPr>
          <w:lang w:val="fr-FR"/>
        </w:rPr>
        <w:t>’</w:t>
      </w:r>
      <w:r w:rsidRPr="00F206B8">
        <w:rPr>
          <w:lang w:val="fr-FR"/>
        </w:rPr>
        <w:t>évolution du budget alloué à la politique de la jeunesse, selon l</w:t>
      </w:r>
      <w:r w:rsidR="00277023">
        <w:rPr>
          <w:lang w:val="fr-FR"/>
        </w:rPr>
        <w:t>’</w:t>
      </w:r>
      <w:r w:rsidRPr="00F206B8">
        <w:rPr>
          <w:lang w:val="fr-FR"/>
        </w:rPr>
        <w:t xml:space="preserve">analyse du Bureau du Cabinet. </w:t>
      </w:r>
    </w:p>
    <w:p w:rsidR="000858B1" w:rsidRPr="00F206B8" w:rsidRDefault="00F206B8" w:rsidP="009B26C2">
      <w:pPr>
        <w:pStyle w:val="Heading1"/>
        <w:keepNext/>
        <w:rPr>
          <w:lang w:val="es-ES"/>
        </w:rPr>
      </w:pPr>
      <w:r w:rsidRPr="00F206B8">
        <w:rPr>
          <w:lang w:val="fr-FR"/>
        </w:rPr>
        <w:t>Tableau</w:t>
      </w:r>
      <w:r w:rsidRPr="00F206B8">
        <w:rPr>
          <w:lang w:val="es-ES"/>
        </w:rPr>
        <w:t xml:space="preserve"> </w:t>
      </w:r>
      <w:r w:rsidR="000858B1" w:rsidRPr="00F206B8">
        <w:rPr>
          <w:lang w:val="es-ES"/>
        </w:rPr>
        <w:t>1</w:t>
      </w:r>
    </w:p>
    <w:p w:rsidR="000858B1" w:rsidRPr="00F206B8" w:rsidRDefault="00F206B8" w:rsidP="009B26C2">
      <w:pPr>
        <w:pStyle w:val="SingleTxtG"/>
        <w:keepNext/>
        <w:jc w:val="left"/>
        <w:rPr>
          <w:b/>
          <w:lang w:val="es-ES"/>
        </w:rPr>
      </w:pPr>
      <w:r w:rsidRPr="00F206B8">
        <w:rPr>
          <w:b/>
          <w:bCs/>
          <w:lang w:val="fr-FR"/>
        </w:rPr>
        <w:t>Données relatives au budget alloué à la politique de la jeunesse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66"/>
        <w:gridCol w:w="2400"/>
        <w:gridCol w:w="2100"/>
        <w:gridCol w:w="1704"/>
      </w:tblGrid>
      <w:tr w:rsidR="00BF47DB" w:rsidRPr="008E5027">
        <w:tc>
          <w:tcPr>
            <w:tcW w:w="1166" w:type="dxa"/>
            <w:tcBorders>
              <w:top w:val="single" w:sz="4" w:space="0" w:color="auto"/>
              <w:bottom w:val="single" w:sz="12" w:space="0" w:color="auto"/>
            </w:tcBorders>
            <w:shd w:val="clear" w:color="auto" w:fill="auto"/>
            <w:vAlign w:val="bottom"/>
          </w:tcPr>
          <w:p w:rsidR="00BF47DB" w:rsidRPr="008E5027" w:rsidRDefault="009B26C2" w:rsidP="009B26C2">
            <w:pPr>
              <w:keepNext/>
              <w:spacing w:before="80" w:after="80" w:line="200" w:lineRule="exact"/>
              <w:rPr>
                <w:i/>
                <w:sz w:val="16"/>
              </w:rPr>
            </w:pPr>
            <w:r w:rsidRPr="009B26C2">
              <w:rPr>
                <w:bCs/>
                <w:i/>
                <w:sz w:val="16"/>
                <w:lang w:val="fr-FR"/>
              </w:rPr>
              <w:t>Exercice</w:t>
            </w:r>
          </w:p>
        </w:tc>
        <w:tc>
          <w:tcPr>
            <w:tcW w:w="2400" w:type="dxa"/>
            <w:tcBorders>
              <w:top w:val="single" w:sz="4" w:space="0" w:color="auto"/>
              <w:bottom w:val="single" w:sz="12" w:space="0" w:color="auto"/>
            </w:tcBorders>
            <w:shd w:val="clear" w:color="auto" w:fill="auto"/>
            <w:vAlign w:val="bottom"/>
          </w:tcPr>
          <w:p w:rsidR="00BF47DB" w:rsidRPr="008E5027" w:rsidRDefault="009B26C2" w:rsidP="009B26C2">
            <w:pPr>
              <w:keepNext/>
              <w:spacing w:before="80" w:after="80" w:line="200" w:lineRule="exact"/>
              <w:jc w:val="right"/>
              <w:rPr>
                <w:i/>
                <w:sz w:val="16"/>
              </w:rPr>
            </w:pPr>
            <w:r w:rsidRPr="009B26C2">
              <w:rPr>
                <w:bCs/>
                <w:i/>
                <w:sz w:val="16"/>
                <w:lang w:val="fr-FR"/>
              </w:rPr>
              <w:t>Budget total (initialement alloué) hormis les obligations d</w:t>
            </w:r>
            <w:r w:rsidR="00277023">
              <w:rPr>
                <w:bCs/>
                <w:i/>
                <w:sz w:val="16"/>
                <w:lang w:val="fr-FR"/>
              </w:rPr>
              <w:t>’</w:t>
            </w:r>
            <w:r w:rsidRPr="009B26C2">
              <w:rPr>
                <w:bCs/>
                <w:i/>
                <w:sz w:val="16"/>
                <w:lang w:val="fr-FR"/>
              </w:rPr>
              <w:t xml:space="preserve">Etat) </w:t>
            </w:r>
            <w:r>
              <w:rPr>
                <w:bCs/>
                <w:i/>
                <w:sz w:val="16"/>
                <w:lang w:val="fr-FR"/>
              </w:rPr>
              <w:br/>
            </w:r>
            <w:r w:rsidRPr="009B26C2">
              <w:rPr>
                <w:bCs/>
                <w:i/>
                <w:sz w:val="16"/>
                <w:lang w:val="fr-FR"/>
              </w:rPr>
              <w:t>(en milliers de yen)</w:t>
            </w:r>
          </w:p>
        </w:tc>
        <w:tc>
          <w:tcPr>
            <w:tcW w:w="2100" w:type="dxa"/>
            <w:tcBorders>
              <w:top w:val="single" w:sz="4" w:space="0" w:color="auto"/>
              <w:bottom w:val="single" w:sz="12" w:space="0" w:color="auto"/>
            </w:tcBorders>
            <w:shd w:val="clear" w:color="auto" w:fill="auto"/>
            <w:vAlign w:val="bottom"/>
          </w:tcPr>
          <w:p w:rsidR="00BF47DB" w:rsidRPr="009B26C2" w:rsidRDefault="009B26C2" w:rsidP="009B26C2">
            <w:pPr>
              <w:keepNext/>
              <w:spacing w:before="80" w:after="80" w:line="200" w:lineRule="exact"/>
              <w:jc w:val="right"/>
              <w:rPr>
                <w:i/>
                <w:sz w:val="16"/>
                <w:lang w:val="es-ES"/>
              </w:rPr>
            </w:pPr>
            <w:r w:rsidRPr="009B26C2">
              <w:rPr>
                <w:bCs/>
                <w:i/>
                <w:sz w:val="16"/>
                <w:lang w:val="fr-FR"/>
              </w:rPr>
              <w:t xml:space="preserve">Budget alloué à la </w:t>
            </w:r>
            <w:r>
              <w:rPr>
                <w:bCs/>
                <w:i/>
                <w:sz w:val="16"/>
                <w:lang w:val="fr-FR"/>
              </w:rPr>
              <w:br/>
            </w:r>
            <w:r w:rsidRPr="009B26C2">
              <w:rPr>
                <w:bCs/>
                <w:i/>
                <w:sz w:val="16"/>
                <w:lang w:val="fr-FR"/>
              </w:rPr>
              <w:t>politique</w:t>
            </w:r>
            <w:r>
              <w:rPr>
                <w:bCs/>
                <w:i/>
                <w:sz w:val="16"/>
                <w:lang w:val="fr-FR"/>
              </w:rPr>
              <w:t xml:space="preserve"> </w:t>
            </w:r>
            <w:r w:rsidRPr="009B26C2">
              <w:rPr>
                <w:bCs/>
                <w:i/>
                <w:sz w:val="16"/>
                <w:lang w:val="fr-FR"/>
              </w:rPr>
              <w:t xml:space="preserve">de la jeunesse </w:t>
            </w:r>
            <w:r>
              <w:rPr>
                <w:bCs/>
                <w:i/>
                <w:sz w:val="16"/>
                <w:lang w:val="fr-FR"/>
              </w:rPr>
              <w:br/>
            </w:r>
            <w:r w:rsidRPr="009B26C2">
              <w:rPr>
                <w:bCs/>
                <w:i/>
                <w:sz w:val="16"/>
                <w:lang w:val="fr-FR"/>
              </w:rPr>
              <w:t>(en milliers de yen)</w:t>
            </w:r>
          </w:p>
        </w:tc>
        <w:tc>
          <w:tcPr>
            <w:tcW w:w="1704" w:type="dxa"/>
            <w:tcBorders>
              <w:top w:val="single" w:sz="4" w:space="0" w:color="auto"/>
              <w:bottom w:val="single" w:sz="12" w:space="0" w:color="auto"/>
            </w:tcBorders>
            <w:shd w:val="clear" w:color="auto" w:fill="auto"/>
            <w:vAlign w:val="bottom"/>
          </w:tcPr>
          <w:p w:rsidR="00BF47DB" w:rsidRPr="008E5027" w:rsidRDefault="009B26C2" w:rsidP="009B26C2">
            <w:pPr>
              <w:keepNext/>
              <w:spacing w:before="80" w:after="80" w:line="200" w:lineRule="exact"/>
              <w:jc w:val="right"/>
              <w:rPr>
                <w:i/>
                <w:sz w:val="16"/>
              </w:rPr>
            </w:pPr>
            <w:r w:rsidRPr="009B26C2">
              <w:rPr>
                <w:bCs/>
                <w:i/>
                <w:sz w:val="16"/>
                <w:lang w:val="fr-FR"/>
              </w:rPr>
              <w:t xml:space="preserve">Pourcentage du budget alloué à la politique </w:t>
            </w:r>
            <w:r>
              <w:rPr>
                <w:bCs/>
                <w:i/>
                <w:sz w:val="16"/>
                <w:lang w:val="fr-FR"/>
              </w:rPr>
              <w:br/>
            </w:r>
            <w:r w:rsidRPr="009B26C2">
              <w:rPr>
                <w:bCs/>
                <w:i/>
                <w:sz w:val="16"/>
                <w:lang w:val="fr-FR"/>
              </w:rPr>
              <w:t>de la jeunesse (%)</w:t>
            </w:r>
          </w:p>
        </w:tc>
      </w:tr>
      <w:tr w:rsidR="00BF47DB" w:rsidRPr="008E5027">
        <w:tc>
          <w:tcPr>
            <w:tcW w:w="1166" w:type="dxa"/>
            <w:tcBorders>
              <w:top w:val="single" w:sz="12" w:space="0" w:color="auto"/>
            </w:tcBorders>
            <w:shd w:val="clear" w:color="auto" w:fill="auto"/>
            <w:vAlign w:val="bottom"/>
          </w:tcPr>
          <w:p w:rsidR="00BF47DB" w:rsidRPr="008E5027" w:rsidRDefault="00BF47DB" w:rsidP="00390373">
            <w:pPr>
              <w:suppressAutoHyphens w:val="0"/>
              <w:spacing w:before="40" w:after="40" w:line="220" w:lineRule="exact"/>
              <w:rPr>
                <w:sz w:val="18"/>
              </w:rPr>
            </w:pPr>
            <w:r w:rsidRPr="008E5027">
              <w:rPr>
                <w:sz w:val="18"/>
              </w:rPr>
              <w:t>2001</w:t>
            </w:r>
          </w:p>
        </w:tc>
        <w:tc>
          <w:tcPr>
            <w:tcW w:w="2400" w:type="dxa"/>
            <w:tcBorders>
              <w:top w:val="single" w:sz="12" w:space="0" w:color="auto"/>
            </w:tcBorders>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65 481 845 457</w:t>
            </w:r>
          </w:p>
        </w:tc>
        <w:tc>
          <w:tcPr>
            <w:tcW w:w="2100" w:type="dxa"/>
            <w:tcBorders>
              <w:top w:val="single" w:sz="12" w:space="0" w:color="auto"/>
            </w:tcBorders>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5 373 492 321</w:t>
            </w:r>
          </w:p>
        </w:tc>
        <w:tc>
          <w:tcPr>
            <w:tcW w:w="1704" w:type="dxa"/>
            <w:tcBorders>
              <w:top w:val="single" w:sz="12" w:space="0" w:color="auto"/>
            </w:tcBorders>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8</w:t>
            </w:r>
            <w:r w:rsidR="00BB2855">
              <w:rPr>
                <w:color w:val="000000"/>
                <w:sz w:val="18"/>
                <w:szCs w:val="18"/>
              </w:rPr>
              <w:t>,</w:t>
            </w:r>
            <w:r w:rsidRPr="008E5027">
              <w:rPr>
                <w:color w:val="000000"/>
                <w:sz w:val="18"/>
                <w:szCs w:val="18"/>
              </w:rPr>
              <w:t>2</w:t>
            </w:r>
          </w:p>
        </w:tc>
      </w:tr>
      <w:tr w:rsidR="00BF47DB" w:rsidRPr="008E5027">
        <w:tc>
          <w:tcPr>
            <w:tcW w:w="1166" w:type="dxa"/>
            <w:shd w:val="clear" w:color="auto" w:fill="auto"/>
            <w:vAlign w:val="bottom"/>
          </w:tcPr>
          <w:p w:rsidR="00BF47DB" w:rsidRPr="008E5027" w:rsidRDefault="00BF47DB" w:rsidP="00390373">
            <w:pPr>
              <w:suppressAutoHyphens w:val="0"/>
              <w:spacing w:before="40" w:after="40" w:line="220" w:lineRule="exact"/>
              <w:rPr>
                <w:sz w:val="18"/>
              </w:rPr>
            </w:pPr>
            <w:r w:rsidRPr="008E5027">
              <w:rPr>
                <w:sz w:val="18"/>
              </w:rPr>
              <w:t>2002</w:t>
            </w:r>
          </w:p>
        </w:tc>
        <w:tc>
          <w:tcPr>
            <w:tcW w:w="2400"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64 558 780 945</w:t>
            </w:r>
          </w:p>
        </w:tc>
        <w:tc>
          <w:tcPr>
            <w:tcW w:w="2100"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5 298 962 101</w:t>
            </w:r>
          </w:p>
        </w:tc>
        <w:tc>
          <w:tcPr>
            <w:tcW w:w="1704"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8</w:t>
            </w:r>
            <w:r w:rsidR="00BB2855">
              <w:rPr>
                <w:color w:val="000000"/>
                <w:sz w:val="18"/>
                <w:szCs w:val="18"/>
              </w:rPr>
              <w:t>,</w:t>
            </w:r>
            <w:r w:rsidRPr="008E5027">
              <w:rPr>
                <w:color w:val="000000"/>
                <w:sz w:val="18"/>
                <w:szCs w:val="18"/>
              </w:rPr>
              <w:t>2</w:t>
            </w:r>
          </w:p>
        </w:tc>
      </w:tr>
      <w:tr w:rsidR="00BF47DB" w:rsidRPr="008E5027">
        <w:tc>
          <w:tcPr>
            <w:tcW w:w="1166" w:type="dxa"/>
            <w:shd w:val="clear" w:color="auto" w:fill="auto"/>
            <w:vAlign w:val="bottom"/>
          </w:tcPr>
          <w:p w:rsidR="00BF47DB" w:rsidRPr="008E5027" w:rsidRDefault="00BF47DB" w:rsidP="00390373">
            <w:pPr>
              <w:suppressAutoHyphens w:val="0"/>
              <w:spacing w:before="40" w:after="40" w:line="220" w:lineRule="exact"/>
              <w:rPr>
                <w:sz w:val="18"/>
              </w:rPr>
            </w:pPr>
            <w:r w:rsidRPr="008E5027">
              <w:rPr>
                <w:sz w:val="18"/>
              </w:rPr>
              <w:t>2003</w:t>
            </w:r>
          </w:p>
        </w:tc>
        <w:tc>
          <w:tcPr>
            <w:tcW w:w="2400"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64 991 008 956</w:t>
            </w:r>
          </w:p>
        </w:tc>
        <w:tc>
          <w:tcPr>
            <w:tcW w:w="2100"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5 064 419 310</w:t>
            </w:r>
          </w:p>
        </w:tc>
        <w:tc>
          <w:tcPr>
            <w:tcW w:w="1704"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7</w:t>
            </w:r>
            <w:r w:rsidR="00BB2855">
              <w:rPr>
                <w:color w:val="000000"/>
                <w:sz w:val="18"/>
                <w:szCs w:val="18"/>
              </w:rPr>
              <w:t>,</w:t>
            </w:r>
            <w:r w:rsidRPr="008E5027">
              <w:rPr>
                <w:color w:val="000000"/>
                <w:sz w:val="18"/>
                <w:szCs w:val="18"/>
              </w:rPr>
              <w:t>8</w:t>
            </w:r>
          </w:p>
        </w:tc>
      </w:tr>
      <w:tr w:rsidR="00BF47DB" w:rsidRPr="008E5027">
        <w:tc>
          <w:tcPr>
            <w:tcW w:w="1166" w:type="dxa"/>
            <w:shd w:val="clear" w:color="auto" w:fill="auto"/>
            <w:vAlign w:val="bottom"/>
          </w:tcPr>
          <w:p w:rsidR="00BF47DB" w:rsidRPr="008E5027" w:rsidRDefault="00BF47DB" w:rsidP="00390373">
            <w:pPr>
              <w:suppressAutoHyphens w:val="0"/>
              <w:spacing w:before="40" w:after="40" w:line="220" w:lineRule="exact"/>
              <w:rPr>
                <w:sz w:val="18"/>
              </w:rPr>
            </w:pPr>
            <w:r w:rsidRPr="008E5027">
              <w:rPr>
                <w:sz w:val="18"/>
              </w:rPr>
              <w:t>2004</w:t>
            </w:r>
          </w:p>
        </w:tc>
        <w:tc>
          <w:tcPr>
            <w:tcW w:w="2400"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64 542 344 348</w:t>
            </w:r>
          </w:p>
        </w:tc>
        <w:tc>
          <w:tcPr>
            <w:tcW w:w="2100"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4 024 749 000</w:t>
            </w:r>
          </w:p>
        </w:tc>
        <w:tc>
          <w:tcPr>
            <w:tcW w:w="1704" w:type="dxa"/>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6</w:t>
            </w:r>
            <w:r w:rsidR="00BB2855">
              <w:rPr>
                <w:color w:val="000000"/>
                <w:sz w:val="18"/>
                <w:szCs w:val="18"/>
              </w:rPr>
              <w:t>,</w:t>
            </w:r>
            <w:r w:rsidRPr="008E5027">
              <w:rPr>
                <w:color w:val="000000"/>
                <w:sz w:val="18"/>
                <w:szCs w:val="18"/>
              </w:rPr>
              <w:t>2</w:t>
            </w:r>
          </w:p>
        </w:tc>
      </w:tr>
      <w:tr w:rsidR="00BF47DB" w:rsidRPr="008E5027">
        <w:tc>
          <w:tcPr>
            <w:tcW w:w="1166" w:type="dxa"/>
            <w:tcBorders>
              <w:bottom w:val="single" w:sz="12" w:space="0" w:color="auto"/>
            </w:tcBorders>
            <w:shd w:val="clear" w:color="auto" w:fill="auto"/>
            <w:vAlign w:val="bottom"/>
          </w:tcPr>
          <w:p w:rsidR="00BF47DB" w:rsidRPr="008E5027" w:rsidRDefault="00BF47DB" w:rsidP="00390373">
            <w:pPr>
              <w:suppressAutoHyphens w:val="0"/>
              <w:spacing w:before="40" w:after="40" w:line="220" w:lineRule="exact"/>
              <w:rPr>
                <w:sz w:val="18"/>
              </w:rPr>
            </w:pPr>
            <w:r w:rsidRPr="008E5027">
              <w:rPr>
                <w:sz w:val="18"/>
              </w:rPr>
              <w:t>2005</w:t>
            </w:r>
          </w:p>
        </w:tc>
        <w:tc>
          <w:tcPr>
            <w:tcW w:w="2400" w:type="dxa"/>
            <w:tcBorders>
              <w:bottom w:val="single" w:sz="12" w:space="0" w:color="auto"/>
            </w:tcBorders>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63 740 743 212</w:t>
            </w:r>
          </w:p>
        </w:tc>
        <w:tc>
          <w:tcPr>
            <w:tcW w:w="2100" w:type="dxa"/>
            <w:tcBorders>
              <w:bottom w:val="single" w:sz="12" w:space="0" w:color="auto"/>
            </w:tcBorders>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3 500 660 000</w:t>
            </w:r>
          </w:p>
        </w:tc>
        <w:tc>
          <w:tcPr>
            <w:tcW w:w="1704" w:type="dxa"/>
            <w:tcBorders>
              <w:bottom w:val="single" w:sz="12" w:space="0" w:color="auto"/>
            </w:tcBorders>
            <w:shd w:val="clear" w:color="auto" w:fill="auto"/>
            <w:vAlign w:val="bottom"/>
          </w:tcPr>
          <w:p w:rsidR="00BF47DB" w:rsidRPr="008E5027" w:rsidRDefault="00BF47DB" w:rsidP="00390373">
            <w:pPr>
              <w:spacing w:before="40" w:after="40" w:line="220" w:lineRule="exact"/>
              <w:jc w:val="right"/>
              <w:rPr>
                <w:color w:val="000000"/>
                <w:sz w:val="18"/>
                <w:szCs w:val="18"/>
              </w:rPr>
            </w:pPr>
            <w:r w:rsidRPr="008E5027">
              <w:rPr>
                <w:color w:val="000000"/>
                <w:sz w:val="18"/>
                <w:szCs w:val="18"/>
              </w:rPr>
              <w:t>5</w:t>
            </w:r>
            <w:r w:rsidR="00BB2855">
              <w:rPr>
                <w:color w:val="000000"/>
                <w:sz w:val="18"/>
                <w:szCs w:val="18"/>
              </w:rPr>
              <w:t>,</w:t>
            </w:r>
            <w:r w:rsidRPr="008E5027">
              <w:rPr>
                <w:color w:val="000000"/>
                <w:sz w:val="18"/>
                <w:szCs w:val="18"/>
              </w:rPr>
              <w:t>5</w:t>
            </w:r>
          </w:p>
        </w:tc>
      </w:tr>
    </w:tbl>
    <w:p w:rsidR="00F206B8" w:rsidRPr="00F206B8" w:rsidRDefault="00F206B8" w:rsidP="00F206B8">
      <w:pPr>
        <w:spacing w:before="120"/>
        <w:ind w:left="1134" w:right="1134" w:firstLine="170"/>
        <w:rPr>
          <w:sz w:val="18"/>
          <w:szCs w:val="18"/>
          <w:lang w:val="fr-FR"/>
        </w:rPr>
      </w:pPr>
      <w:r w:rsidRPr="00F206B8">
        <w:rPr>
          <w:i/>
          <w:sz w:val="18"/>
          <w:szCs w:val="18"/>
          <w:lang w:val="fr-FR"/>
        </w:rPr>
        <w:t xml:space="preserve">Notes: </w:t>
      </w:r>
      <w:r w:rsidR="00553D30" w:rsidRPr="00F206B8">
        <w:rPr>
          <w:sz w:val="18"/>
          <w:szCs w:val="18"/>
          <w:lang w:val="fr-FR"/>
        </w:rPr>
        <w:t xml:space="preserve">Pour </w:t>
      </w:r>
      <w:r w:rsidRPr="00F206B8">
        <w:rPr>
          <w:sz w:val="18"/>
          <w:szCs w:val="18"/>
          <w:lang w:val="fr-FR"/>
        </w:rPr>
        <w:t>les raisons indiquées ci-dessous, il n</w:t>
      </w:r>
      <w:r w:rsidR="00277023">
        <w:rPr>
          <w:sz w:val="18"/>
          <w:szCs w:val="18"/>
          <w:lang w:val="fr-FR"/>
        </w:rPr>
        <w:t>’</w:t>
      </w:r>
      <w:r w:rsidRPr="00F206B8">
        <w:rPr>
          <w:sz w:val="18"/>
          <w:szCs w:val="18"/>
          <w:lang w:val="fr-FR"/>
        </w:rPr>
        <w:t>est pas possible d</w:t>
      </w:r>
      <w:r w:rsidR="00277023">
        <w:rPr>
          <w:sz w:val="18"/>
          <w:szCs w:val="18"/>
          <w:lang w:val="fr-FR"/>
        </w:rPr>
        <w:t>’</w:t>
      </w:r>
      <w:r w:rsidRPr="00F206B8">
        <w:rPr>
          <w:sz w:val="18"/>
          <w:szCs w:val="18"/>
          <w:lang w:val="fr-FR"/>
        </w:rPr>
        <w:t>établir de simples comparaisons d</w:t>
      </w:r>
      <w:r w:rsidR="00277023">
        <w:rPr>
          <w:sz w:val="18"/>
          <w:szCs w:val="18"/>
          <w:lang w:val="fr-FR"/>
        </w:rPr>
        <w:t>’</w:t>
      </w:r>
      <w:r w:rsidRPr="00F206B8">
        <w:rPr>
          <w:sz w:val="18"/>
          <w:szCs w:val="18"/>
          <w:lang w:val="fr-FR"/>
        </w:rPr>
        <w:t>une année sur l</w:t>
      </w:r>
      <w:r w:rsidR="00277023">
        <w:rPr>
          <w:sz w:val="18"/>
          <w:szCs w:val="18"/>
          <w:lang w:val="fr-FR"/>
        </w:rPr>
        <w:t>’</w:t>
      </w:r>
      <w:r w:rsidRPr="00F206B8">
        <w:rPr>
          <w:sz w:val="18"/>
          <w:szCs w:val="18"/>
          <w:lang w:val="fr-FR"/>
        </w:rPr>
        <w:t xml:space="preserve">autre pour les budgets et pourcentages ci-dessus. </w:t>
      </w:r>
    </w:p>
    <w:p w:rsidR="00F206B8" w:rsidRPr="00F206B8" w:rsidRDefault="00F206B8" w:rsidP="00F206B8">
      <w:pPr>
        <w:ind w:left="1134" w:right="1134" w:firstLine="170"/>
        <w:rPr>
          <w:sz w:val="18"/>
          <w:szCs w:val="18"/>
          <w:lang w:val="fr-FR"/>
        </w:rPr>
      </w:pPr>
      <w:r>
        <w:rPr>
          <w:sz w:val="18"/>
          <w:szCs w:val="18"/>
          <w:lang w:val="fr-FR"/>
        </w:rPr>
        <w:t>1)</w:t>
      </w:r>
      <w:r>
        <w:rPr>
          <w:sz w:val="18"/>
          <w:szCs w:val="18"/>
          <w:lang w:val="fr-FR"/>
        </w:rPr>
        <w:tab/>
      </w:r>
      <w:r w:rsidRPr="00F206B8">
        <w:rPr>
          <w:sz w:val="18"/>
          <w:szCs w:val="18"/>
          <w:lang w:val="fr-FR"/>
        </w:rPr>
        <w:t>La méthode de compilation des budgets a été modifiée en 2004, ce qui explique l</w:t>
      </w:r>
      <w:r w:rsidR="00277023">
        <w:rPr>
          <w:sz w:val="18"/>
          <w:szCs w:val="18"/>
          <w:lang w:val="fr-FR"/>
        </w:rPr>
        <w:t>’</w:t>
      </w:r>
      <w:r w:rsidRPr="00F206B8">
        <w:rPr>
          <w:sz w:val="18"/>
          <w:szCs w:val="18"/>
          <w:lang w:val="fr-FR"/>
        </w:rPr>
        <w:t>absence de continuité entre les données recueillies jusqu</w:t>
      </w:r>
      <w:r w:rsidR="00277023">
        <w:rPr>
          <w:sz w:val="18"/>
          <w:szCs w:val="18"/>
          <w:lang w:val="fr-FR"/>
        </w:rPr>
        <w:t>’</w:t>
      </w:r>
      <w:r w:rsidRPr="00F206B8">
        <w:rPr>
          <w:sz w:val="18"/>
          <w:szCs w:val="18"/>
          <w:lang w:val="fr-FR"/>
        </w:rPr>
        <w:t xml:space="preserve">en 2003 et les suivantes. </w:t>
      </w:r>
    </w:p>
    <w:p w:rsidR="00F206B8" w:rsidRPr="00F206B8" w:rsidRDefault="00F206B8" w:rsidP="00F206B8">
      <w:pPr>
        <w:ind w:left="1134" w:right="1134" w:firstLine="170"/>
        <w:rPr>
          <w:sz w:val="18"/>
          <w:szCs w:val="18"/>
          <w:lang w:val="fr-FR"/>
        </w:rPr>
      </w:pPr>
      <w:r>
        <w:rPr>
          <w:sz w:val="18"/>
          <w:szCs w:val="18"/>
          <w:lang w:val="fr-FR"/>
        </w:rPr>
        <w:t>2)</w:t>
      </w:r>
      <w:r>
        <w:rPr>
          <w:sz w:val="18"/>
          <w:szCs w:val="18"/>
          <w:lang w:val="fr-FR"/>
        </w:rPr>
        <w:tab/>
      </w:r>
      <w:r w:rsidRPr="00F206B8">
        <w:rPr>
          <w:sz w:val="18"/>
          <w:szCs w:val="18"/>
          <w:lang w:val="fr-FR"/>
        </w:rPr>
        <w:t>Au Japon, on se dirige actuellement vers une réduction des subventions de l</w:t>
      </w:r>
      <w:r w:rsidR="00277023">
        <w:rPr>
          <w:sz w:val="18"/>
          <w:szCs w:val="18"/>
          <w:lang w:val="fr-FR"/>
        </w:rPr>
        <w:t>’</w:t>
      </w:r>
      <w:r w:rsidRPr="00F206B8">
        <w:rPr>
          <w:sz w:val="18"/>
          <w:szCs w:val="18"/>
          <w:lang w:val="fr-FR"/>
        </w:rPr>
        <w:t xml:space="preserve">administration centrale aux collectivités locales et vers un déplacement des recettes fiscales du niveau national au niveau régional. En conséquence, certains des budgets alloués à la politique de la jeunesse ne sont plus inclus dans les budgets généraux ci-dessus. </w:t>
      </w:r>
    </w:p>
    <w:p w:rsidR="006B702B" w:rsidRPr="00F206B8" w:rsidRDefault="00F206B8" w:rsidP="00F206B8">
      <w:pPr>
        <w:spacing w:after="240"/>
        <w:ind w:left="1134" w:right="1134" w:firstLine="170"/>
        <w:rPr>
          <w:sz w:val="18"/>
          <w:szCs w:val="18"/>
          <w:lang w:val="fr-FR"/>
        </w:rPr>
      </w:pPr>
      <w:r>
        <w:rPr>
          <w:sz w:val="18"/>
          <w:szCs w:val="18"/>
          <w:lang w:val="fr-FR"/>
        </w:rPr>
        <w:t>3)</w:t>
      </w:r>
      <w:r>
        <w:rPr>
          <w:sz w:val="18"/>
          <w:szCs w:val="18"/>
          <w:lang w:val="fr-FR"/>
        </w:rPr>
        <w:tab/>
      </w:r>
      <w:r w:rsidRPr="00F206B8">
        <w:rPr>
          <w:sz w:val="18"/>
          <w:szCs w:val="18"/>
          <w:lang w:val="fr-FR"/>
        </w:rPr>
        <w:t>Concernant le paragraphe 2), en raison du passage de subventions de l</w:t>
      </w:r>
      <w:r w:rsidR="00277023">
        <w:rPr>
          <w:sz w:val="18"/>
          <w:szCs w:val="18"/>
          <w:lang w:val="fr-FR"/>
        </w:rPr>
        <w:t>’</w:t>
      </w:r>
      <w:r w:rsidRPr="00F206B8">
        <w:rPr>
          <w:sz w:val="18"/>
          <w:szCs w:val="18"/>
          <w:lang w:val="fr-FR"/>
        </w:rPr>
        <w:t>administration centrale aux collectivités locales, certains des montants assimilés à des budgets alloués à la politique de la jeunesse ne peuvent plus être calculés en tant que tels et ne sont donc pas inclus dans les budgets ci</w:t>
      </w:r>
      <w:r w:rsidR="002B5F2D">
        <w:rPr>
          <w:sz w:val="18"/>
          <w:szCs w:val="18"/>
          <w:lang w:val="fr-FR"/>
        </w:rPr>
        <w:noBreakHyphen/>
      </w:r>
      <w:r w:rsidRPr="00F206B8">
        <w:rPr>
          <w:sz w:val="18"/>
          <w:szCs w:val="18"/>
          <w:lang w:val="fr-FR"/>
        </w:rPr>
        <w:t>dessus.</w:t>
      </w:r>
      <w:r w:rsidR="006B702B" w:rsidRPr="00F206B8">
        <w:rPr>
          <w:sz w:val="18"/>
          <w:szCs w:val="18"/>
          <w:lang w:val="fr-FR"/>
        </w:rPr>
        <w:t xml:space="preserve"> </w:t>
      </w:r>
    </w:p>
    <w:p w:rsidR="00F206B8" w:rsidRPr="00F206B8" w:rsidRDefault="00F206B8" w:rsidP="00F206B8">
      <w:pPr>
        <w:pStyle w:val="SingleTxtG"/>
        <w:rPr>
          <w:lang w:val="fr-FR"/>
        </w:rPr>
      </w:pPr>
      <w:r w:rsidRPr="00F206B8">
        <w:rPr>
          <w:lang w:val="fr-FR"/>
        </w:rPr>
        <w:t>(Respect de l</w:t>
      </w:r>
      <w:r w:rsidR="00277023">
        <w:rPr>
          <w:lang w:val="fr-FR"/>
        </w:rPr>
        <w:t>’</w:t>
      </w:r>
      <w:r w:rsidRPr="00F206B8">
        <w:rPr>
          <w:lang w:val="fr-FR"/>
        </w:rPr>
        <w:t>intérêt supérieur de l</w:t>
      </w:r>
      <w:r w:rsidR="00277023">
        <w:rPr>
          <w:lang w:val="fr-FR"/>
        </w:rPr>
        <w:t>’</w:t>
      </w:r>
      <w:r w:rsidRPr="00F206B8">
        <w:rPr>
          <w:lang w:val="fr-FR"/>
        </w:rPr>
        <w:t>enfant lors de la préparation du budget de l</w:t>
      </w:r>
      <w:r w:rsidR="00277023">
        <w:rPr>
          <w:lang w:val="fr-FR"/>
        </w:rPr>
        <w:t>’</w:t>
      </w:r>
      <w:r w:rsidRPr="00F206B8">
        <w:rPr>
          <w:lang w:val="fr-FR"/>
        </w:rPr>
        <w:t>Etat)</w:t>
      </w:r>
    </w:p>
    <w:p w:rsidR="00F206B8" w:rsidRPr="00F206B8" w:rsidRDefault="00F206B8" w:rsidP="00F206B8">
      <w:pPr>
        <w:pStyle w:val="SingleTxtG"/>
        <w:rPr>
          <w:lang w:val="fr-FR"/>
        </w:rPr>
      </w:pPr>
      <w:r w:rsidRPr="00F206B8">
        <w:rPr>
          <w:lang w:val="fr-FR"/>
        </w:rPr>
        <w:t>54.</w:t>
      </w:r>
      <w:r w:rsidRPr="00F206B8">
        <w:rPr>
          <w:lang w:val="fr-FR"/>
        </w:rPr>
        <w:tab/>
        <w:t>Voir paragraphes 52-53.</w:t>
      </w:r>
    </w:p>
    <w:p w:rsidR="00F206B8" w:rsidRPr="00F206B8" w:rsidRDefault="00F206B8" w:rsidP="00F206B8">
      <w:pPr>
        <w:pStyle w:val="SingleTxtG"/>
        <w:rPr>
          <w:lang w:val="fr-FR"/>
        </w:rPr>
      </w:pPr>
      <w:r w:rsidRPr="00F206B8">
        <w:rPr>
          <w:lang w:val="fr-FR"/>
        </w:rPr>
        <w:t>55.</w:t>
      </w:r>
      <w:r w:rsidRPr="00F206B8">
        <w:rPr>
          <w:lang w:val="fr-FR"/>
        </w:rPr>
        <w:tab/>
        <w:t>Compte tenu d</w:t>
      </w:r>
      <w:r w:rsidR="00277023">
        <w:rPr>
          <w:lang w:val="fr-FR"/>
        </w:rPr>
        <w:t>’</w:t>
      </w:r>
      <w:r w:rsidRPr="00F206B8">
        <w:rPr>
          <w:lang w:val="fr-FR"/>
        </w:rPr>
        <w:t>éventuelles conséquences désastreuses sur le bon développement des enfants de la baisse du taux de natalité de ces dernières années, diverses activités sont actuellement menées, reposant sur le Plan quinquennal d</w:t>
      </w:r>
      <w:r w:rsidR="00277023">
        <w:rPr>
          <w:lang w:val="fr-FR"/>
        </w:rPr>
        <w:t>’</w:t>
      </w:r>
      <w:r w:rsidRPr="00F206B8">
        <w:rPr>
          <w:lang w:val="fr-FR"/>
        </w:rPr>
        <w:t>aide à l</w:t>
      </w:r>
      <w:r w:rsidR="00277023">
        <w:rPr>
          <w:lang w:val="fr-FR"/>
        </w:rPr>
        <w:t>’</w:t>
      </w:r>
      <w:r w:rsidRPr="00F206B8">
        <w:rPr>
          <w:lang w:val="fr-FR"/>
        </w:rPr>
        <w:t xml:space="preserve">enfance démarré en 2005. Ce Plan représente une avancée par rapport au </w:t>
      </w:r>
      <w:r w:rsidR="008E49D4">
        <w:rPr>
          <w:lang w:val="fr-FR"/>
        </w:rPr>
        <w:t>“</w:t>
      </w:r>
      <w:r w:rsidRPr="00F206B8">
        <w:rPr>
          <w:lang w:val="fr-FR"/>
        </w:rPr>
        <w:t>nouveau Plan poupons</w:t>
      </w:r>
      <w:r w:rsidR="008E49D4">
        <w:rPr>
          <w:lang w:val="fr-FR"/>
        </w:rPr>
        <w:t>”</w:t>
      </w:r>
      <w:r w:rsidRPr="00F206B8">
        <w:rPr>
          <w:lang w:val="fr-FR"/>
        </w:rPr>
        <w:t>, précédent plan quinquennal, renforçant les mesures adoptées, y compris l</w:t>
      </w:r>
      <w:r w:rsidR="00277023">
        <w:rPr>
          <w:lang w:val="fr-FR"/>
        </w:rPr>
        <w:t>’</w:t>
      </w:r>
      <w:r w:rsidRPr="00F206B8">
        <w:rPr>
          <w:lang w:val="fr-FR"/>
        </w:rPr>
        <w:t>extension des services de soutien à l</w:t>
      </w:r>
      <w:r w:rsidR="00277023">
        <w:rPr>
          <w:lang w:val="fr-FR"/>
        </w:rPr>
        <w:t>’</w:t>
      </w:r>
      <w:r w:rsidRPr="00F206B8">
        <w:rPr>
          <w:lang w:val="fr-FR"/>
        </w:rPr>
        <w:t>éducation des enfants tels que les crèches et l</w:t>
      </w:r>
      <w:r w:rsidR="00277023">
        <w:rPr>
          <w:lang w:val="fr-FR"/>
        </w:rPr>
        <w:t>’</w:t>
      </w:r>
      <w:r w:rsidRPr="00F206B8">
        <w:rPr>
          <w:lang w:val="fr-FR"/>
        </w:rPr>
        <w:t>instauration de conditions d</w:t>
      </w:r>
      <w:r w:rsidR="00277023">
        <w:rPr>
          <w:lang w:val="fr-FR"/>
        </w:rPr>
        <w:t>’</w:t>
      </w:r>
      <w:r w:rsidRPr="00F206B8">
        <w:rPr>
          <w:lang w:val="fr-FR"/>
        </w:rPr>
        <w:t>emploi qui permettent de concilier le travail et l</w:t>
      </w:r>
      <w:r w:rsidR="00277023">
        <w:rPr>
          <w:lang w:val="fr-FR"/>
        </w:rPr>
        <w:t>’</w:t>
      </w:r>
      <w:r w:rsidRPr="00F206B8">
        <w:rPr>
          <w:lang w:val="fr-FR"/>
        </w:rPr>
        <w:t>éducation des enfants. En application de ce Plan, des budgets sont affectés ponctuellement à des services aux enfants et à la famille, comme l</w:t>
      </w:r>
      <w:r w:rsidR="00277023">
        <w:rPr>
          <w:lang w:val="fr-FR"/>
        </w:rPr>
        <w:t>’</w:t>
      </w:r>
      <w:r w:rsidRPr="00F206B8">
        <w:rPr>
          <w:lang w:val="fr-FR"/>
        </w:rPr>
        <w:t>amélioration des services de garderie et la promotion d</w:t>
      </w:r>
      <w:r w:rsidR="00277023">
        <w:rPr>
          <w:lang w:val="fr-FR"/>
        </w:rPr>
        <w:t>’</w:t>
      </w:r>
      <w:r w:rsidRPr="00F206B8">
        <w:rPr>
          <w:lang w:val="fr-FR"/>
        </w:rPr>
        <w:t xml:space="preserve">activités extrascolaires pour les enfants (clubs). </w:t>
      </w:r>
    </w:p>
    <w:p w:rsidR="00F206B8" w:rsidRPr="00F206B8" w:rsidRDefault="00F206B8" w:rsidP="00F206B8">
      <w:pPr>
        <w:pStyle w:val="SingleTxtG"/>
        <w:rPr>
          <w:lang w:val="fr-FR"/>
        </w:rPr>
      </w:pPr>
      <w:r w:rsidRPr="00F206B8">
        <w:rPr>
          <w:lang w:val="fr-FR"/>
        </w:rPr>
        <w:t>(Actions visant à supprimer les disparités régionales et sociales en matière d</w:t>
      </w:r>
      <w:r w:rsidR="00277023">
        <w:rPr>
          <w:lang w:val="fr-FR"/>
        </w:rPr>
        <w:t>’</w:t>
      </w:r>
      <w:r w:rsidRPr="00F206B8">
        <w:rPr>
          <w:lang w:val="fr-FR"/>
        </w:rPr>
        <w:t xml:space="preserve">accès aux services sociaux) </w:t>
      </w:r>
    </w:p>
    <w:p w:rsidR="00F206B8" w:rsidRPr="00F206B8" w:rsidRDefault="00F206B8" w:rsidP="00F206B8">
      <w:pPr>
        <w:pStyle w:val="SingleTxtG"/>
        <w:rPr>
          <w:lang w:val="fr-FR"/>
        </w:rPr>
      </w:pPr>
      <w:r w:rsidRPr="00F206B8">
        <w:rPr>
          <w:lang w:val="fr-FR"/>
        </w:rPr>
        <w:t>56.</w:t>
      </w:r>
      <w:r w:rsidRPr="00F206B8">
        <w:rPr>
          <w:lang w:val="fr-FR"/>
        </w:rPr>
        <w:tab/>
        <w:t>En application du Plan d</w:t>
      </w:r>
      <w:r w:rsidR="00277023">
        <w:rPr>
          <w:lang w:val="fr-FR"/>
        </w:rPr>
        <w:t>’</w:t>
      </w:r>
      <w:r w:rsidRPr="00F206B8">
        <w:rPr>
          <w:lang w:val="fr-FR"/>
        </w:rPr>
        <w:t>aide à l</w:t>
      </w:r>
      <w:r w:rsidR="00277023">
        <w:rPr>
          <w:lang w:val="fr-FR"/>
        </w:rPr>
        <w:t>’</w:t>
      </w:r>
      <w:r w:rsidRPr="00F206B8">
        <w:rPr>
          <w:lang w:val="fr-FR"/>
        </w:rPr>
        <w:t>enfance, le Gouvernement s</w:t>
      </w:r>
      <w:r w:rsidR="00277023">
        <w:rPr>
          <w:lang w:val="fr-FR"/>
        </w:rPr>
        <w:t>’</w:t>
      </w:r>
      <w:r w:rsidRPr="00F206B8">
        <w:rPr>
          <w:lang w:val="fr-FR"/>
        </w:rPr>
        <w:t>est employé à améliorer les services de garderie et d</w:t>
      </w:r>
      <w:r w:rsidR="00277023">
        <w:rPr>
          <w:lang w:val="fr-FR"/>
        </w:rPr>
        <w:t>’</w:t>
      </w:r>
      <w:r w:rsidRPr="00F206B8">
        <w:rPr>
          <w:lang w:val="fr-FR"/>
        </w:rPr>
        <w:t>autres services de soutien à l</w:t>
      </w:r>
      <w:r w:rsidR="00277023">
        <w:rPr>
          <w:lang w:val="fr-FR"/>
        </w:rPr>
        <w:t>’</w:t>
      </w:r>
      <w:r w:rsidRPr="00F206B8">
        <w:rPr>
          <w:lang w:val="fr-FR"/>
        </w:rPr>
        <w:t>éducation des enfants, de manière à améliorer la qualité et le nombre de ces services sur tout le territoire. Le Plan vise particulièrement à étendre la capacité des crèches accueillant des enfants en bas âge, promouvoir la mise en place d</w:t>
      </w:r>
      <w:r w:rsidR="00277023">
        <w:rPr>
          <w:lang w:val="fr-FR"/>
        </w:rPr>
        <w:t>’</w:t>
      </w:r>
      <w:r w:rsidRPr="00F206B8">
        <w:rPr>
          <w:lang w:val="fr-FR"/>
        </w:rPr>
        <w:t>un système élargi de garderies et de garderies de vacances ainsi que les clubs d</w:t>
      </w:r>
      <w:r w:rsidR="00277023">
        <w:rPr>
          <w:lang w:val="fr-FR"/>
        </w:rPr>
        <w:t>’</w:t>
      </w:r>
      <w:r w:rsidRPr="00F206B8">
        <w:rPr>
          <w:lang w:val="fr-FR"/>
        </w:rPr>
        <w:t>enfants après l</w:t>
      </w:r>
      <w:r w:rsidR="00277023">
        <w:rPr>
          <w:lang w:val="fr-FR"/>
        </w:rPr>
        <w:t>’</w:t>
      </w:r>
      <w:r w:rsidRPr="00F206B8">
        <w:rPr>
          <w:lang w:val="fr-FR"/>
        </w:rPr>
        <w:t xml:space="preserve">école pour soulager les parents qui travaillent. </w:t>
      </w:r>
    </w:p>
    <w:p w:rsidR="00F206B8" w:rsidRPr="00F206B8" w:rsidRDefault="00F206B8" w:rsidP="004A252F">
      <w:pPr>
        <w:pStyle w:val="SingleTxtG"/>
        <w:keepNext/>
        <w:rPr>
          <w:lang w:val="fr-FR"/>
        </w:rPr>
      </w:pPr>
      <w:r w:rsidRPr="00F206B8">
        <w:rPr>
          <w:lang w:val="fr-FR"/>
        </w:rPr>
        <w:t xml:space="preserve">(Protection des enfants contre les effets négatifs des mesures économiques gouvernementales) </w:t>
      </w:r>
    </w:p>
    <w:p w:rsidR="00F206B8" w:rsidRPr="00F206B8" w:rsidRDefault="00F206B8" w:rsidP="004A252F">
      <w:pPr>
        <w:pStyle w:val="SingleTxtG"/>
        <w:keepLines/>
        <w:rPr>
          <w:lang w:val="fr-FR"/>
        </w:rPr>
      </w:pPr>
      <w:r w:rsidRPr="00F206B8">
        <w:rPr>
          <w:lang w:val="fr-FR"/>
        </w:rPr>
        <w:t>57.</w:t>
      </w:r>
      <w:r w:rsidRPr="00F206B8">
        <w:rPr>
          <w:lang w:val="fr-FR"/>
        </w:rPr>
        <w:tab/>
        <w:t>Le Japon a institué les allocations pour enfant à charge et les allocations d</w:t>
      </w:r>
      <w:r w:rsidR="00277023">
        <w:rPr>
          <w:lang w:val="fr-FR"/>
        </w:rPr>
        <w:t>’</w:t>
      </w:r>
      <w:r w:rsidRPr="00F206B8">
        <w:rPr>
          <w:lang w:val="fr-FR"/>
        </w:rPr>
        <w:t>éducation qui font partie du système de prestations sociales destiné à l</w:t>
      </w:r>
      <w:r w:rsidR="00277023">
        <w:rPr>
          <w:lang w:val="fr-FR"/>
        </w:rPr>
        <w:t>’</w:t>
      </w:r>
      <w:r w:rsidRPr="00F206B8">
        <w:rPr>
          <w:lang w:val="fr-FR"/>
        </w:rPr>
        <w:t>éducation des enfants. Les indemnités pour enfant à charge, créées en 1972, visent à stabiliser la vie familiale en allégeant la charge économique des ménages liée à l</w:t>
      </w:r>
      <w:r w:rsidR="00277023">
        <w:rPr>
          <w:lang w:val="fr-FR"/>
        </w:rPr>
        <w:t>’</w:t>
      </w:r>
      <w:r w:rsidRPr="00F206B8">
        <w:rPr>
          <w:lang w:val="fr-FR"/>
        </w:rPr>
        <w:t>éducation et à soutenir le développement des enfants qui seront les acteurs de la société de demain. Ce programme a été modifié en 2004 et la tranche d</w:t>
      </w:r>
      <w:r w:rsidR="00277023">
        <w:rPr>
          <w:lang w:val="fr-FR"/>
        </w:rPr>
        <w:t>’</w:t>
      </w:r>
      <w:r w:rsidRPr="00F206B8">
        <w:rPr>
          <w:lang w:val="fr-FR"/>
        </w:rPr>
        <w:t>âge des bénéficiaires a été élargie jusqu</w:t>
      </w:r>
      <w:r w:rsidR="00277023">
        <w:rPr>
          <w:lang w:val="fr-FR"/>
        </w:rPr>
        <w:t>’</w:t>
      </w:r>
      <w:r w:rsidRPr="00F206B8">
        <w:rPr>
          <w:lang w:val="fr-FR"/>
        </w:rPr>
        <w:t>à la fin de la troisième année du cycle élémentaire (en d</w:t>
      </w:r>
      <w:r w:rsidR="00277023">
        <w:rPr>
          <w:lang w:val="fr-FR"/>
        </w:rPr>
        <w:t>’</w:t>
      </w:r>
      <w:r w:rsidRPr="00F206B8">
        <w:rPr>
          <w:lang w:val="fr-FR"/>
        </w:rPr>
        <w:t>autres termes, les indemnités cessent d</w:t>
      </w:r>
      <w:r w:rsidR="00277023">
        <w:rPr>
          <w:lang w:val="fr-FR"/>
        </w:rPr>
        <w:t>’</w:t>
      </w:r>
      <w:r w:rsidRPr="00F206B8">
        <w:rPr>
          <w:lang w:val="fr-FR"/>
        </w:rPr>
        <w:t>être versées le premier jour de l</w:t>
      </w:r>
      <w:r w:rsidR="00277023">
        <w:rPr>
          <w:lang w:val="fr-FR"/>
        </w:rPr>
        <w:t>’</w:t>
      </w:r>
      <w:r w:rsidRPr="00F206B8">
        <w:rPr>
          <w:lang w:val="fr-FR"/>
        </w:rPr>
        <w:t>année fiscale suivant l</w:t>
      </w:r>
      <w:r w:rsidR="00277023">
        <w:rPr>
          <w:lang w:val="fr-FR"/>
        </w:rPr>
        <w:t>’</w:t>
      </w:r>
      <w:r w:rsidRPr="00F206B8">
        <w:rPr>
          <w:lang w:val="fr-FR"/>
        </w:rPr>
        <w:t>anniversaire des neuf ans de l</w:t>
      </w:r>
      <w:r w:rsidR="00277023">
        <w:rPr>
          <w:lang w:val="fr-FR"/>
        </w:rPr>
        <w:t>’</w:t>
      </w:r>
      <w:r w:rsidRPr="00F206B8">
        <w:rPr>
          <w:lang w:val="fr-FR"/>
        </w:rPr>
        <w:t>enfant). Cette modification vise à répondre à la baisse accélérée du taux de natalité et aux changements de l</w:t>
      </w:r>
      <w:r w:rsidR="00277023">
        <w:rPr>
          <w:lang w:val="fr-FR"/>
        </w:rPr>
        <w:t>’</w:t>
      </w:r>
      <w:r w:rsidRPr="00F206B8">
        <w:rPr>
          <w:lang w:val="fr-FR"/>
        </w:rPr>
        <w:t>environnement social des enfants et des familles au Japon, de manière à renforcer le soutien économique aux familles ayant des enfants à éduquer. Le programme d</w:t>
      </w:r>
      <w:r w:rsidR="00277023">
        <w:rPr>
          <w:lang w:val="fr-FR"/>
        </w:rPr>
        <w:t>’</w:t>
      </w:r>
      <w:r w:rsidRPr="00F206B8">
        <w:rPr>
          <w:lang w:val="fr-FR"/>
        </w:rPr>
        <w:t>allocation d</w:t>
      </w:r>
      <w:r w:rsidR="00277023">
        <w:rPr>
          <w:lang w:val="fr-FR"/>
        </w:rPr>
        <w:t>’</w:t>
      </w:r>
      <w:r w:rsidRPr="00F206B8">
        <w:rPr>
          <w:lang w:val="fr-FR"/>
        </w:rPr>
        <w:t>éducation entend pour sa part renforcer la stabilité et l</w:t>
      </w:r>
      <w:r w:rsidR="00277023">
        <w:rPr>
          <w:lang w:val="fr-FR"/>
        </w:rPr>
        <w:t>’</w:t>
      </w:r>
      <w:r w:rsidRPr="00F206B8">
        <w:rPr>
          <w:lang w:val="fr-FR"/>
        </w:rPr>
        <w:t>indépendance économique des familles monoparentales (mères seules) après un divorce ou la séparation des parents</w:t>
      </w:r>
      <w:r w:rsidR="00277023">
        <w:rPr>
          <w:lang w:val="fr-FR"/>
        </w:rPr>
        <w:t>;</w:t>
      </w:r>
      <w:r w:rsidRPr="00F206B8">
        <w:rPr>
          <w:lang w:val="fr-FR"/>
        </w:rPr>
        <w:t xml:space="preserve"> l</w:t>
      </w:r>
      <w:r w:rsidR="00277023">
        <w:rPr>
          <w:lang w:val="fr-FR"/>
        </w:rPr>
        <w:t>’</w:t>
      </w:r>
      <w:r w:rsidRPr="00F206B8">
        <w:rPr>
          <w:lang w:val="fr-FR"/>
        </w:rPr>
        <w:t xml:space="preserve">allocation est prévue pour les enfants qui remplissent les conditions en vertu de la politique en faveur de leur bien-être. </w:t>
      </w:r>
    </w:p>
    <w:p w:rsidR="00BE04F4" w:rsidRPr="008E5027" w:rsidRDefault="00F206B8" w:rsidP="002F0C75">
      <w:pPr>
        <w:pStyle w:val="Heading1"/>
        <w:tabs>
          <w:tab w:val="left" w:pos="2160"/>
        </w:tabs>
      </w:pPr>
      <w:r w:rsidRPr="00F206B8">
        <w:rPr>
          <w:lang w:val="fr-FR"/>
        </w:rPr>
        <w:t>Tableau</w:t>
      </w:r>
      <w:r w:rsidRPr="00365506">
        <w:t xml:space="preserve"> </w:t>
      </w:r>
      <w:r w:rsidR="00BE04F4" w:rsidRPr="008E5027">
        <w:t>2</w:t>
      </w:r>
    </w:p>
    <w:p w:rsidR="00BE04F4" w:rsidRPr="008E5027" w:rsidRDefault="00365506" w:rsidP="00AC5677">
      <w:pPr>
        <w:pStyle w:val="SingleTxtG"/>
        <w:jc w:val="left"/>
        <w:rPr>
          <w:b/>
        </w:rPr>
      </w:pPr>
      <w:r w:rsidRPr="00365506">
        <w:rPr>
          <w:b/>
          <w:bCs/>
          <w:lang w:val="fr-FR"/>
        </w:rPr>
        <w:t>Allocations pour enfant à charge</w:t>
      </w:r>
    </w:p>
    <w:tbl>
      <w:tblPr>
        <w:tblStyle w:val="TableGrid"/>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066"/>
        <w:gridCol w:w="4300"/>
      </w:tblGrid>
      <w:tr w:rsidR="00553D30" w:rsidRPr="008E5027">
        <w:tc>
          <w:tcPr>
            <w:tcW w:w="3066" w:type="dxa"/>
            <w:tcBorders>
              <w:top w:val="single" w:sz="4" w:space="0" w:color="auto"/>
            </w:tcBorders>
            <w:shd w:val="clear" w:color="auto" w:fill="auto"/>
          </w:tcPr>
          <w:p w:rsidR="00553D30" w:rsidRPr="008E5027" w:rsidRDefault="00553D30" w:rsidP="003C7370">
            <w:pPr>
              <w:keepNext/>
              <w:spacing w:before="40" w:after="120"/>
              <w:rPr>
                <w:color w:val="000000"/>
              </w:rPr>
            </w:pPr>
            <w:r w:rsidRPr="00553D30">
              <w:rPr>
                <w:color w:val="000000"/>
                <w:lang w:val="fr-FR"/>
              </w:rPr>
              <w:t>Condition d</w:t>
            </w:r>
            <w:r w:rsidR="00277023">
              <w:rPr>
                <w:color w:val="000000"/>
                <w:lang w:val="fr-FR"/>
              </w:rPr>
              <w:t>’</w:t>
            </w:r>
            <w:r w:rsidRPr="00553D30">
              <w:rPr>
                <w:color w:val="000000"/>
                <w:lang w:val="fr-FR"/>
              </w:rPr>
              <w:t>admission</w:t>
            </w:r>
          </w:p>
        </w:tc>
        <w:tc>
          <w:tcPr>
            <w:tcW w:w="4300" w:type="dxa"/>
            <w:tcBorders>
              <w:top w:val="single" w:sz="4" w:space="0" w:color="auto"/>
            </w:tcBorders>
            <w:shd w:val="clear" w:color="auto" w:fill="auto"/>
          </w:tcPr>
          <w:p w:rsidR="00553D30" w:rsidRPr="00E64C5D" w:rsidRDefault="00553D30" w:rsidP="00553D30">
            <w:pPr>
              <w:spacing w:before="40" w:after="120"/>
              <w:rPr>
                <w:color w:val="000000"/>
              </w:rPr>
            </w:pPr>
            <w:r w:rsidRPr="00E64C5D">
              <w:rPr>
                <w:color w:val="000000"/>
              </w:rPr>
              <w:t>Tout enfant</w:t>
            </w:r>
          </w:p>
        </w:tc>
      </w:tr>
      <w:tr w:rsidR="00553D30" w:rsidRPr="00553D30" w:rsidTr="00553D30">
        <w:tc>
          <w:tcPr>
            <w:tcW w:w="3066" w:type="dxa"/>
            <w:shd w:val="clear" w:color="auto" w:fill="auto"/>
          </w:tcPr>
          <w:p w:rsidR="00553D30" w:rsidRPr="00E64C5D" w:rsidRDefault="00553D30" w:rsidP="00553D30">
            <w:pPr>
              <w:spacing w:before="40" w:after="120"/>
              <w:rPr>
                <w:color w:val="000000"/>
              </w:rPr>
            </w:pPr>
            <w:r w:rsidRPr="00E64C5D">
              <w:rPr>
                <w:color w:val="000000"/>
              </w:rPr>
              <w:t>Durée des versements</w:t>
            </w:r>
          </w:p>
        </w:tc>
        <w:tc>
          <w:tcPr>
            <w:tcW w:w="4300" w:type="dxa"/>
            <w:shd w:val="clear" w:color="auto" w:fill="auto"/>
          </w:tcPr>
          <w:p w:rsidR="00553D30" w:rsidRPr="00553D30" w:rsidRDefault="00553D30" w:rsidP="00553D30">
            <w:pPr>
              <w:spacing w:before="40" w:after="120"/>
              <w:rPr>
                <w:color w:val="000000"/>
                <w:lang w:val="es-ES"/>
              </w:rPr>
            </w:pPr>
            <w:r w:rsidRPr="00553D30">
              <w:rPr>
                <w:color w:val="000000"/>
                <w:lang w:val="es-ES"/>
              </w:rPr>
              <w:t>Jusqu</w:t>
            </w:r>
            <w:r w:rsidR="00277023">
              <w:rPr>
                <w:color w:val="000000"/>
                <w:lang w:val="es-ES"/>
              </w:rPr>
              <w:t>’</w:t>
            </w:r>
            <w:r w:rsidRPr="00553D30">
              <w:rPr>
                <w:color w:val="000000"/>
                <w:lang w:val="es-ES"/>
              </w:rPr>
              <w:t xml:space="preserve">à la fin de la troisième année du cycle élémentaire </w:t>
            </w:r>
          </w:p>
        </w:tc>
      </w:tr>
      <w:tr w:rsidR="00553D30" w:rsidRPr="00553D30" w:rsidTr="00553D30">
        <w:tc>
          <w:tcPr>
            <w:tcW w:w="3066" w:type="dxa"/>
            <w:shd w:val="clear" w:color="auto" w:fill="auto"/>
          </w:tcPr>
          <w:p w:rsidR="00553D30" w:rsidRPr="00E64C5D" w:rsidRDefault="00553D30" w:rsidP="00553D30">
            <w:pPr>
              <w:spacing w:before="40" w:after="120"/>
              <w:rPr>
                <w:color w:val="000000"/>
              </w:rPr>
            </w:pPr>
            <w:r w:rsidRPr="00E64C5D">
              <w:rPr>
                <w:color w:val="000000"/>
              </w:rPr>
              <w:t>Montant (mensuel)</w:t>
            </w:r>
          </w:p>
        </w:tc>
        <w:tc>
          <w:tcPr>
            <w:tcW w:w="4300" w:type="dxa"/>
            <w:shd w:val="clear" w:color="auto" w:fill="auto"/>
          </w:tcPr>
          <w:p w:rsidR="00553D30" w:rsidRPr="00553D30" w:rsidRDefault="00553D30" w:rsidP="00553D30">
            <w:pPr>
              <w:spacing w:before="40" w:after="120"/>
              <w:rPr>
                <w:color w:val="000000"/>
                <w:lang w:val="es-ES"/>
              </w:rPr>
            </w:pPr>
            <w:r w:rsidRPr="00553D30">
              <w:rPr>
                <w:color w:val="000000"/>
                <w:lang w:val="es-ES"/>
              </w:rPr>
              <w:t>Premier ou deuxième enfant</w:t>
            </w:r>
            <w:r w:rsidR="00277023">
              <w:rPr>
                <w:color w:val="000000"/>
                <w:lang w:val="es-ES"/>
              </w:rPr>
              <w:t>:</w:t>
            </w:r>
            <w:r w:rsidRPr="00553D30">
              <w:rPr>
                <w:color w:val="000000"/>
                <w:lang w:val="es-ES"/>
              </w:rPr>
              <w:t xml:space="preserve"> 5.000 yen</w:t>
            </w:r>
            <w:r w:rsidR="003B6268">
              <w:rPr>
                <w:color w:val="000000"/>
                <w:lang w:val="es-ES"/>
              </w:rPr>
              <w:t xml:space="preserve"> </w:t>
            </w:r>
            <w:r w:rsidRPr="00553D30">
              <w:rPr>
                <w:color w:val="000000"/>
                <w:lang w:val="es-ES"/>
              </w:rPr>
              <w:br/>
              <w:t>A partir du troisième enfant</w:t>
            </w:r>
            <w:r w:rsidR="00277023">
              <w:rPr>
                <w:color w:val="000000"/>
                <w:lang w:val="es-ES"/>
              </w:rPr>
              <w:t>:</w:t>
            </w:r>
            <w:r w:rsidRPr="00553D30">
              <w:rPr>
                <w:color w:val="000000"/>
                <w:lang w:val="es-ES"/>
              </w:rPr>
              <w:t xml:space="preserve"> 10.000 yen</w:t>
            </w:r>
          </w:p>
        </w:tc>
      </w:tr>
      <w:tr w:rsidR="00553D30" w:rsidRPr="008E5027" w:rsidTr="00553D30">
        <w:tc>
          <w:tcPr>
            <w:tcW w:w="3066" w:type="dxa"/>
            <w:shd w:val="clear" w:color="auto" w:fill="auto"/>
          </w:tcPr>
          <w:p w:rsidR="00553D30" w:rsidRPr="00E64C5D" w:rsidRDefault="00553D30" w:rsidP="00553D30">
            <w:pPr>
              <w:spacing w:before="40" w:after="120"/>
              <w:rPr>
                <w:color w:val="000000"/>
              </w:rPr>
            </w:pPr>
            <w:r>
              <w:rPr>
                <w:color w:val="000000"/>
              </w:rPr>
              <w:t>Condition</w:t>
            </w:r>
            <w:r w:rsidRPr="00E64C5D">
              <w:rPr>
                <w:color w:val="000000"/>
              </w:rPr>
              <w:t xml:space="preserve"> de revenus du ménage</w:t>
            </w:r>
          </w:p>
        </w:tc>
        <w:tc>
          <w:tcPr>
            <w:tcW w:w="4300" w:type="dxa"/>
            <w:shd w:val="clear" w:color="auto" w:fill="auto"/>
          </w:tcPr>
          <w:p w:rsidR="00553D30" w:rsidRPr="00E64C5D" w:rsidRDefault="00553D30" w:rsidP="00553D30">
            <w:pPr>
              <w:spacing w:before="40" w:after="120"/>
              <w:rPr>
                <w:color w:val="000000"/>
              </w:rPr>
            </w:pPr>
            <w:r w:rsidRPr="00E64C5D">
              <w:rPr>
                <w:color w:val="000000"/>
              </w:rPr>
              <w:t xml:space="preserve">Les revenus annuels ne doivent pas dépasser 4.150.000 yen (ménage de 4 personnes) </w:t>
            </w:r>
          </w:p>
        </w:tc>
      </w:tr>
      <w:tr w:rsidR="00553D30" w:rsidRPr="008E5027" w:rsidTr="00553D30">
        <w:tc>
          <w:tcPr>
            <w:tcW w:w="3066" w:type="dxa"/>
            <w:shd w:val="clear" w:color="auto" w:fill="auto"/>
          </w:tcPr>
          <w:p w:rsidR="00553D30" w:rsidRPr="00E64C5D" w:rsidRDefault="00553D30" w:rsidP="00553D30">
            <w:pPr>
              <w:spacing w:before="40" w:after="120"/>
              <w:rPr>
                <w:color w:val="000000"/>
              </w:rPr>
            </w:pPr>
            <w:r w:rsidRPr="00E64C5D">
              <w:rPr>
                <w:color w:val="000000"/>
              </w:rPr>
              <w:t>Allocation spéciale</w:t>
            </w:r>
          </w:p>
        </w:tc>
        <w:tc>
          <w:tcPr>
            <w:tcW w:w="4300" w:type="dxa"/>
            <w:shd w:val="clear" w:color="auto" w:fill="auto"/>
          </w:tcPr>
          <w:p w:rsidR="00553D30" w:rsidRPr="00E64C5D" w:rsidRDefault="00553D30" w:rsidP="00553D30">
            <w:pPr>
              <w:spacing w:before="40" w:after="120"/>
              <w:rPr>
                <w:color w:val="000000"/>
              </w:rPr>
            </w:pPr>
            <w:r w:rsidRPr="00E64C5D">
              <w:rPr>
                <w:color w:val="000000"/>
              </w:rPr>
              <w:t xml:space="preserve">Les salariés du public ou du privé </w:t>
            </w:r>
            <w:r>
              <w:rPr>
                <w:color w:val="000000"/>
              </w:rPr>
              <w:t>n</w:t>
            </w:r>
            <w:r w:rsidR="00277023">
              <w:rPr>
                <w:color w:val="000000"/>
              </w:rPr>
              <w:t>’</w:t>
            </w:r>
            <w:r w:rsidRPr="00E64C5D">
              <w:rPr>
                <w:color w:val="000000"/>
              </w:rPr>
              <w:t xml:space="preserve">ayant pas droit aux indemnités </w:t>
            </w:r>
            <w:r>
              <w:rPr>
                <w:color w:val="000000"/>
              </w:rPr>
              <w:t xml:space="preserve">sur la base des </w:t>
            </w:r>
            <w:r w:rsidRPr="00E64C5D">
              <w:rPr>
                <w:color w:val="000000"/>
              </w:rPr>
              <w:t>conditions ci-dessus</w:t>
            </w:r>
            <w:r>
              <w:rPr>
                <w:color w:val="000000"/>
              </w:rPr>
              <w:t>,</w:t>
            </w:r>
            <w:r w:rsidRPr="00E64C5D">
              <w:rPr>
                <w:color w:val="000000"/>
              </w:rPr>
              <w:t xml:space="preserve"> dont le revenu annuel est inférieur à 5.740.000 yen (pour un ménage de 4 personnes) peuvent bénéficier d</w:t>
            </w:r>
            <w:r w:rsidR="00277023">
              <w:rPr>
                <w:color w:val="000000"/>
              </w:rPr>
              <w:t>’</w:t>
            </w:r>
            <w:r w:rsidRPr="00E64C5D">
              <w:rPr>
                <w:color w:val="000000"/>
              </w:rPr>
              <w:t>une prestation équival</w:t>
            </w:r>
            <w:r>
              <w:rPr>
                <w:color w:val="000000"/>
              </w:rPr>
              <w:t>ente</w:t>
            </w:r>
            <w:r w:rsidRPr="00E64C5D">
              <w:rPr>
                <w:color w:val="000000"/>
              </w:rPr>
              <w:t xml:space="preserve"> au montant des </w:t>
            </w:r>
            <w:r>
              <w:rPr>
                <w:color w:val="000000"/>
              </w:rPr>
              <w:t>allocations</w:t>
            </w:r>
            <w:r w:rsidRPr="00E64C5D">
              <w:rPr>
                <w:color w:val="000000"/>
              </w:rPr>
              <w:t xml:space="preserve"> pour enfant à charge</w:t>
            </w:r>
            <w:r>
              <w:rPr>
                <w:color w:val="000000"/>
              </w:rPr>
              <w:t xml:space="preserve"> et</w:t>
            </w:r>
            <w:r w:rsidRPr="00E64C5D">
              <w:rPr>
                <w:color w:val="000000"/>
              </w:rPr>
              <w:t xml:space="preserve"> ve</w:t>
            </w:r>
            <w:r>
              <w:rPr>
                <w:color w:val="000000"/>
              </w:rPr>
              <w:t>rsée par leur employeur public ou privé</w:t>
            </w:r>
            <w:r w:rsidRPr="00E64C5D">
              <w:rPr>
                <w:color w:val="000000"/>
              </w:rPr>
              <w:t xml:space="preserve">. </w:t>
            </w:r>
          </w:p>
        </w:tc>
      </w:tr>
      <w:tr w:rsidR="00553D30" w:rsidRPr="008E5027" w:rsidTr="00553D30">
        <w:tc>
          <w:tcPr>
            <w:tcW w:w="3066" w:type="dxa"/>
            <w:tcBorders>
              <w:bottom w:val="single" w:sz="12" w:space="0" w:color="auto"/>
            </w:tcBorders>
            <w:shd w:val="clear" w:color="auto" w:fill="auto"/>
          </w:tcPr>
          <w:p w:rsidR="00553D30" w:rsidRPr="00E64C5D" w:rsidRDefault="00553D30" w:rsidP="00553D30">
            <w:pPr>
              <w:spacing w:before="40" w:after="120"/>
              <w:rPr>
                <w:color w:val="000000"/>
              </w:rPr>
            </w:pPr>
            <w:r w:rsidRPr="00E64C5D">
              <w:rPr>
                <w:color w:val="000000"/>
              </w:rPr>
              <w:t>Nombre d</w:t>
            </w:r>
            <w:r w:rsidR="00277023">
              <w:rPr>
                <w:color w:val="000000"/>
              </w:rPr>
              <w:t>’</w:t>
            </w:r>
            <w:r w:rsidRPr="00E64C5D">
              <w:rPr>
                <w:color w:val="000000"/>
              </w:rPr>
              <w:t xml:space="preserve">enfants </w:t>
            </w:r>
            <w:r>
              <w:rPr>
                <w:color w:val="000000"/>
              </w:rPr>
              <w:t xml:space="preserve">remplissant </w:t>
            </w:r>
            <w:r>
              <w:rPr>
                <w:color w:val="000000"/>
              </w:rPr>
              <w:br/>
              <w:t>les conditions d</w:t>
            </w:r>
            <w:r w:rsidR="00277023">
              <w:rPr>
                <w:color w:val="000000"/>
              </w:rPr>
              <w:t>’</w:t>
            </w:r>
            <w:r>
              <w:rPr>
                <w:color w:val="000000"/>
              </w:rPr>
              <w:t xml:space="preserve">allocation </w:t>
            </w:r>
            <w:r>
              <w:rPr>
                <w:color w:val="000000"/>
              </w:rPr>
              <w:br/>
              <w:t>pour enfant à charge</w:t>
            </w:r>
          </w:p>
        </w:tc>
        <w:tc>
          <w:tcPr>
            <w:tcW w:w="4300" w:type="dxa"/>
            <w:tcBorders>
              <w:bottom w:val="single" w:sz="12" w:space="0" w:color="auto"/>
            </w:tcBorders>
            <w:shd w:val="clear" w:color="auto" w:fill="auto"/>
          </w:tcPr>
          <w:p w:rsidR="00553D30" w:rsidRPr="008E5027" w:rsidRDefault="00553D30" w:rsidP="003C7370">
            <w:pPr>
              <w:keepNext/>
              <w:spacing w:before="40" w:after="120"/>
              <w:rPr>
                <w:color w:val="000000"/>
              </w:rPr>
            </w:pPr>
            <w:r w:rsidRPr="008E5027">
              <w:rPr>
                <w:color w:val="000000"/>
              </w:rPr>
              <w:t>9</w:t>
            </w:r>
            <w:r>
              <w:rPr>
                <w:color w:val="000000"/>
              </w:rPr>
              <w:t>.</w:t>
            </w:r>
            <w:r w:rsidRPr="008E5027">
              <w:rPr>
                <w:color w:val="000000"/>
              </w:rPr>
              <w:t>644</w:t>
            </w:r>
            <w:r>
              <w:rPr>
                <w:color w:val="000000"/>
              </w:rPr>
              <w:t>.</w:t>
            </w:r>
            <w:r w:rsidRPr="008E5027">
              <w:rPr>
                <w:color w:val="000000"/>
              </w:rPr>
              <w:t>674 (</w:t>
            </w:r>
            <w:r w:rsidRPr="00553D30">
              <w:rPr>
                <w:color w:val="000000"/>
                <w:lang w:val="fr-FR"/>
              </w:rPr>
              <w:t>au 28 février 2005</w:t>
            </w:r>
            <w:r w:rsidRPr="008E5027">
              <w:rPr>
                <w:color w:val="000000"/>
              </w:rPr>
              <w:t>)</w:t>
            </w:r>
          </w:p>
        </w:tc>
      </w:tr>
    </w:tbl>
    <w:p w:rsidR="003A4D2C" w:rsidRPr="008E5027" w:rsidRDefault="00F206B8" w:rsidP="00365506">
      <w:pPr>
        <w:pStyle w:val="Heading1"/>
        <w:keepNext/>
        <w:keepLines/>
        <w:spacing w:before="240"/>
      </w:pPr>
      <w:r w:rsidRPr="00F206B8">
        <w:rPr>
          <w:lang w:val="fr-FR"/>
        </w:rPr>
        <w:t>Tableau</w:t>
      </w:r>
      <w:r w:rsidRPr="00365506">
        <w:t xml:space="preserve"> </w:t>
      </w:r>
      <w:r w:rsidR="003A4D2C" w:rsidRPr="008E5027">
        <w:t>3</w:t>
      </w:r>
    </w:p>
    <w:p w:rsidR="000A71A7" w:rsidRPr="008E5027" w:rsidRDefault="00365506" w:rsidP="00AC5677">
      <w:pPr>
        <w:pStyle w:val="SingleTxtG"/>
        <w:keepNext/>
        <w:jc w:val="left"/>
        <w:rPr>
          <w:b/>
          <w:bCs/>
        </w:rPr>
      </w:pPr>
      <w:r w:rsidRPr="00365506">
        <w:rPr>
          <w:b/>
          <w:lang w:val="fr-FR"/>
        </w:rPr>
        <w:t>Allocations d</w:t>
      </w:r>
      <w:r w:rsidR="00277023">
        <w:rPr>
          <w:b/>
          <w:lang w:val="fr-FR"/>
        </w:rPr>
        <w:t>’</w:t>
      </w:r>
      <w:r w:rsidRPr="00365506">
        <w:rPr>
          <w:b/>
          <w:lang w:val="fr-FR"/>
        </w:rPr>
        <w:t>éducation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066"/>
        <w:gridCol w:w="4304"/>
      </w:tblGrid>
      <w:tr w:rsidR="00BA6C33" w:rsidRPr="008E5027">
        <w:tc>
          <w:tcPr>
            <w:tcW w:w="3066" w:type="dxa"/>
            <w:tcBorders>
              <w:top w:val="single" w:sz="4" w:space="0" w:color="auto"/>
            </w:tcBorders>
            <w:shd w:val="clear" w:color="auto" w:fill="auto"/>
          </w:tcPr>
          <w:p w:rsidR="00BA6C33" w:rsidRPr="008E5027" w:rsidRDefault="006347DD" w:rsidP="00E17A28">
            <w:pPr>
              <w:keepNext/>
              <w:keepLines/>
              <w:spacing w:before="40" w:after="120"/>
              <w:rPr>
                <w:color w:val="000000"/>
              </w:rPr>
            </w:pPr>
            <w:r w:rsidRPr="006347DD">
              <w:rPr>
                <w:color w:val="000000"/>
                <w:lang w:val="fr-FR"/>
              </w:rPr>
              <w:t>Condition d</w:t>
            </w:r>
            <w:r w:rsidR="00277023">
              <w:rPr>
                <w:color w:val="000000"/>
                <w:lang w:val="fr-FR"/>
              </w:rPr>
              <w:t>’</w:t>
            </w:r>
            <w:r w:rsidRPr="006347DD">
              <w:rPr>
                <w:color w:val="000000"/>
                <w:lang w:val="fr-FR"/>
              </w:rPr>
              <w:t>admission</w:t>
            </w:r>
          </w:p>
        </w:tc>
        <w:tc>
          <w:tcPr>
            <w:tcW w:w="4304" w:type="dxa"/>
            <w:tcBorders>
              <w:top w:val="single" w:sz="4" w:space="0" w:color="auto"/>
            </w:tcBorders>
            <w:shd w:val="clear" w:color="auto" w:fill="auto"/>
          </w:tcPr>
          <w:p w:rsidR="00BA6C33" w:rsidRPr="008E5027" w:rsidRDefault="006347DD" w:rsidP="00E17A28">
            <w:pPr>
              <w:keepNext/>
              <w:keepLines/>
              <w:spacing w:before="40" w:after="120"/>
              <w:rPr>
                <w:color w:val="000000"/>
              </w:rPr>
            </w:pPr>
            <w:r w:rsidRPr="006347DD">
              <w:rPr>
                <w:color w:val="000000"/>
                <w:lang w:val="fr-FR"/>
              </w:rPr>
              <w:t>Une mère ou le représentant légal d</w:t>
            </w:r>
            <w:r w:rsidR="00277023">
              <w:rPr>
                <w:color w:val="000000"/>
                <w:lang w:val="fr-FR"/>
              </w:rPr>
              <w:t>’</w:t>
            </w:r>
            <w:r w:rsidRPr="006347DD">
              <w:rPr>
                <w:color w:val="000000"/>
                <w:lang w:val="fr-FR"/>
              </w:rPr>
              <w:t>un enfant dont le père vit dans un autre foyer et n</w:t>
            </w:r>
            <w:r w:rsidR="00277023">
              <w:rPr>
                <w:color w:val="000000"/>
                <w:lang w:val="fr-FR"/>
              </w:rPr>
              <w:t>’</w:t>
            </w:r>
            <w:r w:rsidRPr="006347DD">
              <w:rPr>
                <w:color w:val="000000"/>
                <w:lang w:val="fr-FR"/>
              </w:rPr>
              <w:t>est donc pas tenu d</w:t>
            </w:r>
            <w:r w:rsidR="00277023">
              <w:rPr>
                <w:color w:val="000000"/>
                <w:lang w:val="fr-FR"/>
              </w:rPr>
              <w:t>’</w:t>
            </w:r>
            <w:r w:rsidRPr="006347DD">
              <w:rPr>
                <w:color w:val="000000"/>
                <w:lang w:val="fr-FR"/>
              </w:rPr>
              <w:t>aider l</w:t>
            </w:r>
            <w:r w:rsidR="00277023">
              <w:rPr>
                <w:color w:val="000000"/>
                <w:lang w:val="fr-FR"/>
              </w:rPr>
              <w:t>’</w:t>
            </w:r>
            <w:r w:rsidRPr="006347DD">
              <w:rPr>
                <w:color w:val="000000"/>
                <w:lang w:val="fr-FR"/>
              </w:rPr>
              <w:t>enfant</w:t>
            </w:r>
            <w:r w:rsidR="00277023">
              <w:rPr>
                <w:color w:val="000000"/>
                <w:lang w:val="fr-FR"/>
              </w:rPr>
              <w:t>;</w:t>
            </w:r>
            <w:r w:rsidRPr="006347DD">
              <w:rPr>
                <w:color w:val="000000"/>
                <w:lang w:val="fr-FR"/>
              </w:rPr>
              <w:t xml:space="preserve"> cette mère ou ce représentant légal peut bénéficier de cette allocation jusqu</w:t>
            </w:r>
            <w:r w:rsidR="00277023">
              <w:rPr>
                <w:color w:val="000000"/>
                <w:lang w:val="fr-FR"/>
              </w:rPr>
              <w:t>’</w:t>
            </w:r>
            <w:r w:rsidRPr="006347DD">
              <w:rPr>
                <w:color w:val="000000"/>
                <w:lang w:val="fr-FR"/>
              </w:rPr>
              <w:t>à la fin du mois de mars suivant les 18 ans de l</w:t>
            </w:r>
            <w:r w:rsidR="00277023">
              <w:rPr>
                <w:color w:val="000000"/>
                <w:lang w:val="fr-FR"/>
              </w:rPr>
              <w:t>’</w:t>
            </w:r>
            <w:r w:rsidRPr="006347DD">
              <w:rPr>
                <w:color w:val="000000"/>
                <w:lang w:val="fr-FR"/>
              </w:rPr>
              <w:t>enfant (dans le cas d</w:t>
            </w:r>
            <w:r w:rsidR="00277023">
              <w:rPr>
                <w:color w:val="000000"/>
                <w:lang w:val="fr-FR"/>
              </w:rPr>
              <w:t>’</w:t>
            </w:r>
            <w:r w:rsidRPr="006347DD">
              <w:rPr>
                <w:color w:val="000000"/>
                <w:lang w:val="fr-FR"/>
              </w:rPr>
              <w:t>un enfant handicapé, jusqu</w:t>
            </w:r>
            <w:r w:rsidR="00277023">
              <w:rPr>
                <w:color w:val="000000"/>
                <w:lang w:val="fr-FR"/>
              </w:rPr>
              <w:t>’</w:t>
            </w:r>
            <w:r w:rsidRPr="006347DD">
              <w:rPr>
                <w:color w:val="000000"/>
                <w:lang w:val="fr-FR"/>
              </w:rPr>
              <w:t>à ses 20 ans)</w:t>
            </w:r>
          </w:p>
        </w:tc>
      </w:tr>
      <w:tr w:rsidR="00782E0E" w:rsidRPr="00277023">
        <w:tc>
          <w:tcPr>
            <w:tcW w:w="3066" w:type="dxa"/>
            <w:shd w:val="clear" w:color="auto" w:fill="auto"/>
          </w:tcPr>
          <w:p w:rsidR="00782E0E" w:rsidRPr="008E5027" w:rsidRDefault="006347DD" w:rsidP="00E17A28">
            <w:pPr>
              <w:keepNext/>
              <w:spacing w:before="40" w:after="120"/>
              <w:rPr>
                <w:color w:val="000000"/>
              </w:rPr>
            </w:pPr>
            <w:r w:rsidRPr="006347DD">
              <w:rPr>
                <w:color w:val="000000"/>
                <w:lang w:val="fr-FR"/>
              </w:rPr>
              <w:t>Montant (mensuel)</w:t>
            </w:r>
          </w:p>
        </w:tc>
        <w:tc>
          <w:tcPr>
            <w:tcW w:w="4304" w:type="dxa"/>
            <w:shd w:val="clear" w:color="auto" w:fill="auto"/>
          </w:tcPr>
          <w:p w:rsidR="006347DD" w:rsidRPr="006347DD" w:rsidRDefault="006347DD" w:rsidP="006347DD">
            <w:pPr>
              <w:spacing w:before="40" w:after="120"/>
              <w:rPr>
                <w:color w:val="000000"/>
                <w:lang w:val="fr-FR"/>
              </w:rPr>
            </w:pPr>
            <w:r w:rsidRPr="006347DD">
              <w:rPr>
                <w:color w:val="000000"/>
                <w:lang w:val="fr-FR"/>
              </w:rPr>
              <w:t>Dans le cas d</w:t>
            </w:r>
            <w:r w:rsidR="00277023">
              <w:rPr>
                <w:color w:val="000000"/>
                <w:lang w:val="fr-FR"/>
              </w:rPr>
              <w:t>’</w:t>
            </w:r>
            <w:r w:rsidRPr="006347DD">
              <w:rPr>
                <w:color w:val="000000"/>
                <w:lang w:val="fr-FR"/>
              </w:rPr>
              <w:t>un seul enfant</w:t>
            </w:r>
            <w:r w:rsidR="00277023">
              <w:rPr>
                <w:color w:val="000000"/>
                <w:lang w:val="fr-FR"/>
              </w:rPr>
              <w:t>:</w:t>
            </w:r>
            <w:r w:rsidRPr="006347DD">
              <w:rPr>
                <w:color w:val="000000"/>
                <w:lang w:val="fr-FR"/>
              </w:rPr>
              <w:t xml:space="preserve"> </w:t>
            </w:r>
          </w:p>
          <w:p w:rsidR="006347DD" w:rsidRPr="006347DD" w:rsidRDefault="006347DD" w:rsidP="006347DD">
            <w:pPr>
              <w:spacing w:before="40" w:after="120"/>
              <w:rPr>
                <w:color w:val="000000"/>
                <w:lang w:val="fr-FR"/>
              </w:rPr>
            </w:pPr>
            <w:r w:rsidRPr="006347DD">
              <w:rPr>
                <w:color w:val="000000"/>
                <w:lang w:val="fr-FR"/>
              </w:rPr>
              <w:t>(allocation complète) 41.880 yen</w:t>
            </w:r>
          </w:p>
          <w:p w:rsidR="006347DD" w:rsidRPr="006347DD" w:rsidRDefault="006347DD" w:rsidP="006347DD">
            <w:pPr>
              <w:spacing w:before="40" w:after="120"/>
              <w:rPr>
                <w:color w:val="000000"/>
                <w:lang w:val="fr-FR"/>
              </w:rPr>
            </w:pPr>
            <w:r w:rsidRPr="006347DD">
              <w:rPr>
                <w:color w:val="000000"/>
                <w:lang w:val="fr-FR"/>
              </w:rPr>
              <w:t xml:space="preserve">(allocation partielle) entre 41.870 yen et 9.880 yen </w:t>
            </w:r>
          </w:p>
          <w:p w:rsidR="006347DD" w:rsidRPr="006347DD" w:rsidRDefault="006347DD" w:rsidP="006347DD">
            <w:pPr>
              <w:spacing w:before="40" w:after="120"/>
              <w:rPr>
                <w:color w:val="000000"/>
                <w:lang w:val="fr-FR"/>
              </w:rPr>
            </w:pPr>
            <w:r w:rsidRPr="006347DD">
              <w:rPr>
                <w:color w:val="000000"/>
                <w:lang w:val="fr-FR"/>
              </w:rPr>
              <w:t xml:space="preserve">Dans le cas de 2 enfants: majoration de 5.000 yen </w:t>
            </w:r>
          </w:p>
          <w:p w:rsidR="00782E0E" w:rsidRPr="00277023" w:rsidRDefault="006347DD" w:rsidP="006347DD">
            <w:pPr>
              <w:keepNext/>
              <w:spacing w:before="40" w:after="120"/>
              <w:rPr>
                <w:color w:val="000000"/>
                <w:lang w:val="fr-FR"/>
              </w:rPr>
            </w:pPr>
            <w:r w:rsidRPr="006347DD">
              <w:rPr>
                <w:color w:val="000000"/>
                <w:lang w:val="fr-FR"/>
              </w:rPr>
              <w:t>Dans le cas de 3 enfants: majoration de 3.000 yen</w:t>
            </w:r>
          </w:p>
        </w:tc>
      </w:tr>
      <w:tr w:rsidR="00782E0E" w:rsidRPr="008E5027">
        <w:tc>
          <w:tcPr>
            <w:tcW w:w="3066" w:type="dxa"/>
            <w:tcBorders>
              <w:bottom w:val="single" w:sz="12" w:space="0" w:color="auto"/>
            </w:tcBorders>
            <w:shd w:val="clear" w:color="auto" w:fill="auto"/>
          </w:tcPr>
          <w:p w:rsidR="00782E0E" w:rsidRPr="008E5027" w:rsidRDefault="006347DD" w:rsidP="00E17A28">
            <w:pPr>
              <w:keepNext/>
              <w:spacing w:before="40" w:after="120"/>
              <w:rPr>
                <w:color w:val="000000"/>
              </w:rPr>
            </w:pPr>
            <w:r w:rsidRPr="006347DD">
              <w:rPr>
                <w:color w:val="000000"/>
                <w:lang w:val="fr-FR"/>
              </w:rPr>
              <w:t>Nombre d</w:t>
            </w:r>
            <w:r w:rsidR="00277023">
              <w:rPr>
                <w:color w:val="000000"/>
                <w:lang w:val="fr-FR"/>
              </w:rPr>
              <w:t>’</w:t>
            </w:r>
            <w:r w:rsidRPr="006347DD">
              <w:rPr>
                <w:color w:val="000000"/>
                <w:lang w:val="fr-FR"/>
              </w:rPr>
              <w:t>enfants remplissant les conditions d</w:t>
            </w:r>
            <w:r w:rsidR="00277023">
              <w:rPr>
                <w:color w:val="000000"/>
                <w:lang w:val="fr-FR"/>
              </w:rPr>
              <w:t>’</w:t>
            </w:r>
            <w:r w:rsidRPr="006347DD">
              <w:rPr>
                <w:color w:val="000000"/>
                <w:lang w:val="fr-FR"/>
              </w:rPr>
              <w:t>allocation d</w:t>
            </w:r>
            <w:r w:rsidR="00277023">
              <w:rPr>
                <w:color w:val="000000"/>
                <w:lang w:val="fr-FR"/>
              </w:rPr>
              <w:t>’</w:t>
            </w:r>
            <w:r w:rsidRPr="006347DD">
              <w:rPr>
                <w:color w:val="000000"/>
                <w:lang w:val="fr-FR"/>
              </w:rPr>
              <w:t>éducation</w:t>
            </w:r>
          </w:p>
        </w:tc>
        <w:tc>
          <w:tcPr>
            <w:tcW w:w="4304" w:type="dxa"/>
            <w:tcBorders>
              <w:bottom w:val="single" w:sz="12" w:space="0" w:color="auto"/>
            </w:tcBorders>
            <w:shd w:val="clear" w:color="auto" w:fill="auto"/>
          </w:tcPr>
          <w:p w:rsidR="00782E0E" w:rsidRPr="008E5027" w:rsidRDefault="00BA6C33" w:rsidP="00E17A28">
            <w:pPr>
              <w:keepNext/>
              <w:spacing w:before="40" w:after="120"/>
              <w:rPr>
                <w:color w:val="000000"/>
              </w:rPr>
            </w:pPr>
            <w:r w:rsidRPr="008E5027">
              <w:rPr>
                <w:color w:val="000000"/>
              </w:rPr>
              <w:t>911</w:t>
            </w:r>
            <w:r w:rsidR="006347DD">
              <w:rPr>
                <w:color w:val="000000"/>
              </w:rPr>
              <w:t>.</w:t>
            </w:r>
            <w:r w:rsidRPr="008E5027">
              <w:rPr>
                <w:color w:val="000000"/>
              </w:rPr>
              <w:t>852 (</w:t>
            </w:r>
            <w:r w:rsidR="006347DD" w:rsidRPr="006347DD">
              <w:rPr>
                <w:color w:val="000000"/>
                <w:lang w:val="fr-FR"/>
              </w:rPr>
              <w:t>au 31 mars 2006; chiffres estimatifs</w:t>
            </w:r>
            <w:r w:rsidRPr="008E5027">
              <w:rPr>
                <w:color w:val="000000"/>
              </w:rPr>
              <w:t>)</w:t>
            </w:r>
          </w:p>
        </w:tc>
      </w:tr>
    </w:tbl>
    <w:p w:rsidR="00365506" w:rsidRPr="00365506" w:rsidRDefault="00365506" w:rsidP="00365506">
      <w:pPr>
        <w:pStyle w:val="SingleTxtG"/>
        <w:spacing w:before="240"/>
        <w:rPr>
          <w:lang w:val="fr-FR"/>
        </w:rPr>
      </w:pPr>
      <w:r w:rsidRPr="00365506">
        <w:rPr>
          <w:lang w:val="fr-FR"/>
        </w:rPr>
        <w:t>58.</w:t>
      </w:r>
      <w:r w:rsidRPr="00365506">
        <w:rPr>
          <w:lang w:val="fr-FR"/>
        </w:rPr>
        <w:tab/>
      </w:r>
      <w:smartTag w:uri="urn:schemas-microsoft-com:office:smarttags" w:element="PersonName">
        <w:smartTagPr>
          <w:attr w:name="ProductID" w:val="la Loi"/>
        </w:smartTagPr>
        <w:r w:rsidRPr="00365506">
          <w:rPr>
            <w:lang w:val="fr-FR"/>
          </w:rPr>
          <w:t>La Loi</w:t>
        </w:r>
      </w:smartTag>
      <w:r w:rsidRPr="00365506">
        <w:rPr>
          <w:lang w:val="fr-FR"/>
        </w:rPr>
        <w:t xml:space="preserve"> sur l</w:t>
      </w:r>
      <w:r w:rsidR="00277023">
        <w:rPr>
          <w:lang w:val="fr-FR"/>
        </w:rPr>
        <w:t>’</w:t>
      </w:r>
      <w:r w:rsidRPr="00365506">
        <w:rPr>
          <w:lang w:val="fr-FR"/>
        </w:rPr>
        <w:t>assistance publique sert de loi générale pour offrir des prestations d</w:t>
      </w:r>
      <w:r w:rsidR="00277023">
        <w:rPr>
          <w:lang w:val="fr-FR"/>
        </w:rPr>
        <w:t>’</w:t>
      </w:r>
      <w:r w:rsidRPr="00365506">
        <w:rPr>
          <w:lang w:val="fr-FR"/>
        </w:rPr>
        <w:t>aide sociale aux personnes qui, en raison de leur pauvreté, ne sont pas en mesure d</w:t>
      </w:r>
      <w:r w:rsidR="00277023">
        <w:rPr>
          <w:lang w:val="fr-FR"/>
        </w:rPr>
        <w:t>’</w:t>
      </w:r>
      <w:r w:rsidRPr="00365506">
        <w:rPr>
          <w:lang w:val="fr-FR"/>
        </w:rPr>
        <w:t xml:space="preserve">atteindre le niveau de vie minimal garanti par </w:t>
      </w:r>
      <w:smartTag w:uri="urn:schemas-microsoft-com:office:smarttags" w:element="PersonName">
        <w:smartTagPr>
          <w:attr w:name="ProductID" w:val="la Constitution"/>
        </w:smartTagPr>
        <w:r w:rsidRPr="00365506">
          <w:rPr>
            <w:lang w:val="fr-FR"/>
          </w:rPr>
          <w:t>la Constitution</w:t>
        </w:r>
      </w:smartTag>
      <w:r w:rsidRPr="00365506">
        <w:rPr>
          <w:lang w:val="fr-FR"/>
        </w:rPr>
        <w:t xml:space="preserve"> du Japon. Dans le cadre de ce programme, les ménages peuvent bénéficier de ces prestations si leur revenu est inférieur au minimum vital fixé par le Ministère de la santé, du travail et de la protection sociale. Les allocations d</w:t>
      </w:r>
      <w:r w:rsidR="00277023">
        <w:rPr>
          <w:lang w:val="fr-FR"/>
        </w:rPr>
        <w:t>’</w:t>
      </w:r>
      <w:r w:rsidRPr="00365506">
        <w:rPr>
          <w:lang w:val="fr-FR"/>
        </w:rPr>
        <w:t>aide sociale sont versées en espèces ou, s</w:t>
      </w:r>
      <w:r w:rsidR="00277023">
        <w:rPr>
          <w:lang w:val="fr-FR"/>
        </w:rPr>
        <w:t>’</w:t>
      </w:r>
      <w:r w:rsidRPr="00365506">
        <w:rPr>
          <w:lang w:val="fr-FR"/>
        </w:rPr>
        <w:t>il y a lieu, en nature, afin de subvenir aux besoins en nourriture, vêtements et autres besoins en produits d</w:t>
      </w:r>
      <w:r w:rsidR="00277023">
        <w:rPr>
          <w:lang w:val="fr-FR"/>
        </w:rPr>
        <w:t>’</w:t>
      </w:r>
      <w:r w:rsidRPr="00365506">
        <w:rPr>
          <w:lang w:val="fr-FR"/>
        </w:rPr>
        <w:t>usage quotidien, tandis que les allocations d</w:t>
      </w:r>
      <w:r w:rsidR="00277023">
        <w:rPr>
          <w:lang w:val="fr-FR"/>
        </w:rPr>
        <w:t>’</w:t>
      </w:r>
      <w:r w:rsidRPr="00365506">
        <w:rPr>
          <w:lang w:val="fr-FR"/>
        </w:rPr>
        <w:t>aide au logement sont versées en espèces ou, s</w:t>
      </w:r>
      <w:r w:rsidR="00277023">
        <w:rPr>
          <w:lang w:val="fr-FR"/>
        </w:rPr>
        <w:t>’</w:t>
      </w:r>
      <w:r w:rsidRPr="00365506">
        <w:rPr>
          <w:lang w:val="fr-FR"/>
        </w:rPr>
        <w:t>il y a lieu, en nature, pour répondre aux besoins de logement, de réparations et autres travaux d</w:t>
      </w:r>
      <w:r w:rsidR="00277023">
        <w:rPr>
          <w:lang w:val="fr-FR"/>
        </w:rPr>
        <w:t>’</w:t>
      </w:r>
      <w:r w:rsidRPr="00365506">
        <w:rPr>
          <w:lang w:val="fr-FR"/>
        </w:rPr>
        <w:t xml:space="preserve">entretien. </w:t>
      </w:r>
    </w:p>
    <w:p w:rsidR="00365506" w:rsidRPr="00365506" w:rsidRDefault="00365506" w:rsidP="00365506">
      <w:pPr>
        <w:pStyle w:val="H1G"/>
        <w:rPr>
          <w:lang w:val="fr-FR"/>
        </w:rPr>
      </w:pPr>
      <w:r>
        <w:rPr>
          <w:lang w:val="fr-FR"/>
        </w:rPr>
        <w:tab/>
        <w:t>K.</w:t>
      </w:r>
      <w:r>
        <w:rPr>
          <w:lang w:val="fr-FR"/>
        </w:rPr>
        <w:tab/>
      </w:r>
      <w:r w:rsidRPr="00365506">
        <w:rPr>
          <w:lang w:val="fr-FR"/>
        </w:rPr>
        <w:t>Coopération internationale pour l</w:t>
      </w:r>
      <w:r w:rsidR="00277023">
        <w:rPr>
          <w:lang w:val="fr-FR"/>
        </w:rPr>
        <w:t>’</w:t>
      </w:r>
      <w:r w:rsidRPr="00365506">
        <w:rPr>
          <w:lang w:val="fr-FR"/>
        </w:rPr>
        <w:t xml:space="preserve">application de </w:t>
      </w:r>
      <w:smartTag w:uri="urn:schemas-microsoft-com:office:smarttags" w:element="PersonName">
        <w:smartTagPr>
          <w:attr w:name="ProductID" w:val="LA CONVENTION"/>
        </w:smartTagPr>
        <w:r w:rsidRPr="00365506">
          <w:rPr>
            <w:lang w:val="fr-FR"/>
          </w:rPr>
          <w:t>la Convention</w:t>
        </w:r>
      </w:smartTag>
    </w:p>
    <w:p w:rsidR="00365506" w:rsidRPr="00365506" w:rsidRDefault="00365506" w:rsidP="00365506">
      <w:pPr>
        <w:pStyle w:val="SingleTxtG"/>
        <w:rPr>
          <w:lang w:val="fr-FR"/>
        </w:rPr>
      </w:pPr>
      <w:r w:rsidRPr="00365506">
        <w:rPr>
          <w:lang w:val="fr-FR"/>
        </w:rPr>
        <w:t>(Coopération par le biais de l</w:t>
      </w:r>
      <w:r w:rsidR="00277023">
        <w:rPr>
          <w:lang w:val="fr-FR"/>
        </w:rPr>
        <w:t>’</w:t>
      </w:r>
      <w:r w:rsidRPr="00365506">
        <w:rPr>
          <w:lang w:val="fr-FR"/>
        </w:rPr>
        <w:t>UNICEF)</w:t>
      </w:r>
    </w:p>
    <w:p w:rsidR="00365506" w:rsidRPr="00365506" w:rsidRDefault="00365506" w:rsidP="00365506">
      <w:pPr>
        <w:pStyle w:val="SingleTxtG"/>
        <w:rPr>
          <w:lang w:val="fr-FR"/>
        </w:rPr>
      </w:pPr>
      <w:r w:rsidRPr="00365506">
        <w:rPr>
          <w:lang w:val="fr-FR"/>
        </w:rPr>
        <w:t>59.</w:t>
      </w:r>
      <w:r w:rsidRPr="00365506">
        <w:rPr>
          <w:lang w:val="fr-FR"/>
        </w:rPr>
        <w:tab/>
        <w:t>L</w:t>
      </w:r>
      <w:r w:rsidR="00277023">
        <w:rPr>
          <w:lang w:val="fr-FR"/>
        </w:rPr>
        <w:t>’</w:t>
      </w:r>
      <w:r w:rsidRPr="00365506">
        <w:rPr>
          <w:lang w:val="fr-FR"/>
        </w:rPr>
        <w:t>UNICEF est l</w:t>
      </w:r>
      <w:r w:rsidR="00277023">
        <w:rPr>
          <w:lang w:val="fr-FR"/>
        </w:rPr>
        <w:t>’</w:t>
      </w:r>
      <w:r w:rsidRPr="00365506">
        <w:rPr>
          <w:lang w:val="fr-FR"/>
        </w:rPr>
        <w:t>un des organismes majeurs des Nations Unies dont l</w:t>
      </w:r>
      <w:r w:rsidR="00277023">
        <w:rPr>
          <w:lang w:val="fr-FR"/>
        </w:rPr>
        <w:t>’</w:t>
      </w:r>
      <w:r w:rsidRPr="00365506">
        <w:rPr>
          <w:lang w:val="fr-FR"/>
        </w:rPr>
        <w:t>objectif est d</w:t>
      </w:r>
      <w:r w:rsidR="00277023">
        <w:rPr>
          <w:lang w:val="fr-FR"/>
        </w:rPr>
        <w:t>’</w:t>
      </w:r>
      <w:r w:rsidRPr="00365506">
        <w:rPr>
          <w:lang w:val="fr-FR"/>
        </w:rPr>
        <w:t>aider les enfants du monde entier et d</w:t>
      </w:r>
      <w:r w:rsidR="00277023">
        <w:rPr>
          <w:lang w:val="fr-FR"/>
        </w:rPr>
        <w:t>’</w:t>
      </w:r>
      <w:r w:rsidRPr="00365506">
        <w:rPr>
          <w:lang w:val="fr-FR"/>
        </w:rPr>
        <w:t xml:space="preserve">appuyer la défense de leurs droits, </w:t>
      </w:r>
      <w:smartTag w:uri="urn:schemas-microsoft-com:office:smarttags" w:element="PersonName">
        <w:smartTagPr>
          <w:attr w:name="ProductID" w:val="LA CONVENTION"/>
        </w:smartTagPr>
        <w:r w:rsidRPr="00365506">
          <w:rPr>
            <w:lang w:val="fr-FR"/>
          </w:rPr>
          <w:t>la Convention</w:t>
        </w:r>
      </w:smartTag>
      <w:r w:rsidRPr="00365506">
        <w:rPr>
          <w:lang w:val="fr-FR"/>
        </w:rPr>
        <w:t xml:space="preserve"> relative aux droits de l</w:t>
      </w:r>
      <w:r w:rsidR="00277023">
        <w:rPr>
          <w:lang w:val="fr-FR"/>
        </w:rPr>
        <w:t>’</w:t>
      </w:r>
      <w:r w:rsidRPr="00365506">
        <w:rPr>
          <w:lang w:val="fr-FR"/>
        </w:rPr>
        <w:t>enfant représentant le principe directeur de son activité. Le Gouvernement japonais soutient activement l</w:t>
      </w:r>
      <w:r w:rsidR="00277023">
        <w:rPr>
          <w:lang w:val="fr-FR"/>
        </w:rPr>
        <w:t>’</w:t>
      </w:r>
      <w:r w:rsidRPr="00365506">
        <w:rPr>
          <w:lang w:val="fr-FR"/>
        </w:rPr>
        <w:t>action de l</w:t>
      </w:r>
      <w:r w:rsidR="00277023">
        <w:rPr>
          <w:lang w:val="fr-FR"/>
        </w:rPr>
        <w:t>’</w:t>
      </w:r>
      <w:r w:rsidRPr="00365506">
        <w:rPr>
          <w:lang w:val="fr-FR"/>
        </w:rPr>
        <w:t>UNICEF, et en 2004, la contribution du Japon s</w:t>
      </w:r>
      <w:r w:rsidR="00277023">
        <w:rPr>
          <w:lang w:val="fr-FR"/>
        </w:rPr>
        <w:t>’</w:t>
      </w:r>
      <w:r w:rsidRPr="00365506">
        <w:rPr>
          <w:lang w:val="fr-FR"/>
        </w:rPr>
        <w:t>est élevée à quelque 156 millions de dollars tandis qu</w:t>
      </w:r>
      <w:r w:rsidR="00277023">
        <w:rPr>
          <w:lang w:val="fr-FR"/>
        </w:rPr>
        <w:t>’</w:t>
      </w:r>
      <w:r w:rsidRPr="00365506">
        <w:rPr>
          <w:lang w:val="fr-FR"/>
        </w:rPr>
        <w:t xml:space="preserve">en 2005 le montant a atteint les 184 millions de dollars. </w:t>
      </w:r>
    </w:p>
    <w:p w:rsidR="00365506" w:rsidRPr="00365506" w:rsidRDefault="00365506" w:rsidP="00365506">
      <w:pPr>
        <w:pStyle w:val="SingleTxtG"/>
        <w:rPr>
          <w:lang w:val="fr-FR"/>
        </w:rPr>
      </w:pPr>
      <w:r w:rsidRPr="00365506">
        <w:rPr>
          <w:lang w:val="fr-FR"/>
        </w:rPr>
        <w:t>(Appui financier aux secteurs connexes)</w:t>
      </w:r>
    </w:p>
    <w:p w:rsidR="00365506" w:rsidRPr="00365506" w:rsidRDefault="00365506" w:rsidP="00365506">
      <w:pPr>
        <w:pStyle w:val="SingleTxtG"/>
        <w:rPr>
          <w:lang w:val="fr-FR"/>
        </w:rPr>
      </w:pPr>
      <w:r w:rsidRPr="00365506">
        <w:rPr>
          <w:lang w:val="fr-FR"/>
        </w:rPr>
        <w:t>60.</w:t>
      </w:r>
      <w:r w:rsidRPr="00365506">
        <w:rPr>
          <w:lang w:val="fr-FR"/>
        </w:rPr>
        <w:tab/>
        <w:t>Le Japon a pris une part active à l</w:t>
      </w:r>
      <w:r w:rsidR="00277023">
        <w:rPr>
          <w:lang w:val="fr-FR"/>
        </w:rPr>
        <w:t>’</w:t>
      </w:r>
      <w:r w:rsidRPr="00365506">
        <w:rPr>
          <w:lang w:val="fr-FR"/>
        </w:rPr>
        <w:t>Aide publique au développement (APD) dans le secteur du développement social. En 2005, 20</w:t>
      </w:r>
      <w:r w:rsidR="00277023">
        <w:rPr>
          <w:lang w:val="fr-FR"/>
        </w:rPr>
        <w:t>%</w:t>
      </w:r>
      <w:r w:rsidRPr="00365506">
        <w:rPr>
          <w:lang w:val="fr-FR"/>
        </w:rPr>
        <w:t xml:space="preserve"> de l</w:t>
      </w:r>
      <w:r w:rsidR="00277023">
        <w:rPr>
          <w:lang w:val="fr-FR"/>
        </w:rPr>
        <w:t>’</w:t>
      </w:r>
      <w:r w:rsidRPr="00365506">
        <w:rPr>
          <w:lang w:val="fr-FR"/>
        </w:rPr>
        <w:t xml:space="preserve">aide publique bilatérale au développement ont été consacrés à ce domaine. </w:t>
      </w:r>
    </w:p>
    <w:p w:rsidR="00365506" w:rsidRPr="00365506" w:rsidRDefault="00365506" w:rsidP="00365506">
      <w:pPr>
        <w:pStyle w:val="H23G"/>
        <w:rPr>
          <w:lang w:val="fr-FR"/>
        </w:rPr>
      </w:pPr>
      <w:r>
        <w:rPr>
          <w:lang w:val="fr-FR"/>
        </w:rPr>
        <w:tab/>
        <w:t>1)</w:t>
      </w:r>
      <w:r>
        <w:rPr>
          <w:lang w:val="fr-FR"/>
        </w:rPr>
        <w:tab/>
        <w:t>Education</w:t>
      </w:r>
    </w:p>
    <w:p w:rsidR="00365506" w:rsidRPr="00365506" w:rsidRDefault="00365506" w:rsidP="00365506">
      <w:pPr>
        <w:pStyle w:val="SingleTxtG"/>
        <w:rPr>
          <w:lang w:val="fr-FR"/>
        </w:rPr>
      </w:pPr>
      <w:r w:rsidRPr="00365506">
        <w:rPr>
          <w:lang w:val="fr-FR"/>
        </w:rPr>
        <w:t>61.</w:t>
      </w:r>
      <w:r w:rsidRPr="00365506">
        <w:rPr>
          <w:lang w:val="fr-FR"/>
        </w:rPr>
        <w:tab/>
        <w:t>Le Japon reconnaît l</w:t>
      </w:r>
      <w:r w:rsidR="00277023">
        <w:rPr>
          <w:lang w:val="fr-FR"/>
        </w:rPr>
        <w:t>’</w:t>
      </w:r>
      <w:r w:rsidRPr="00365506">
        <w:rPr>
          <w:lang w:val="fr-FR"/>
        </w:rPr>
        <w:t>importance d</w:t>
      </w:r>
      <w:r w:rsidR="00277023">
        <w:rPr>
          <w:lang w:val="fr-FR"/>
        </w:rPr>
        <w:t>’</w:t>
      </w:r>
      <w:r w:rsidRPr="00365506">
        <w:rPr>
          <w:lang w:val="fr-FR"/>
        </w:rPr>
        <w:t>encourager l</w:t>
      </w:r>
      <w:r w:rsidR="00277023">
        <w:rPr>
          <w:lang w:val="fr-FR"/>
        </w:rPr>
        <w:t>’</w:t>
      </w:r>
      <w:r w:rsidRPr="00365506">
        <w:rPr>
          <w:lang w:val="fr-FR"/>
        </w:rPr>
        <w:t>éducation pour permettre le développement personnel et s</w:t>
      </w:r>
      <w:r w:rsidR="00277023">
        <w:rPr>
          <w:lang w:val="fr-FR"/>
        </w:rPr>
        <w:t>’</w:t>
      </w:r>
      <w:r w:rsidRPr="00365506">
        <w:rPr>
          <w:lang w:val="fr-FR"/>
        </w:rPr>
        <w:t>associe aux efforts d</w:t>
      </w:r>
      <w:r w:rsidR="00277023">
        <w:rPr>
          <w:lang w:val="fr-FR"/>
        </w:rPr>
        <w:t>’</w:t>
      </w:r>
      <w:r w:rsidRPr="00365506">
        <w:rPr>
          <w:lang w:val="fr-FR"/>
        </w:rPr>
        <w:t xml:space="preserve">édification des nations. Se fondant sur </w:t>
      </w:r>
      <w:smartTag w:uri="urn:schemas-microsoft-com:office:smarttags" w:element="PersonName">
        <w:smartTagPr>
          <w:attr w:name="ProductID" w:val="la Charte"/>
        </w:smartTagPr>
        <w:r w:rsidRPr="00365506">
          <w:rPr>
            <w:lang w:val="fr-FR"/>
          </w:rPr>
          <w:t>la Charte</w:t>
        </w:r>
      </w:smartTag>
      <w:r w:rsidRPr="00365506">
        <w:rPr>
          <w:lang w:val="fr-FR"/>
        </w:rPr>
        <w:t xml:space="preserve"> de l</w:t>
      </w:r>
      <w:r w:rsidR="00277023">
        <w:rPr>
          <w:lang w:val="fr-FR"/>
        </w:rPr>
        <w:t>’</w:t>
      </w:r>
      <w:r w:rsidRPr="00365506">
        <w:rPr>
          <w:lang w:val="fr-FR"/>
        </w:rPr>
        <w:t>APD et sa politique à moyen terme, le Gouvernement accorde une importance particulière à l</w:t>
      </w:r>
      <w:r w:rsidR="00277023">
        <w:rPr>
          <w:lang w:val="fr-FR"/>
        </w:rPr>
        <w:t>’</w:t>
      </w:r>
      <w:r w:rsidRPr="00365506">
        <w:rPr>
          <w:lang w:val="fr-FR"/>
        </w:rPr>
        <w:t>éducation dans ses activités de coopération internationale. En 2004, le montant total dédié aux projets relatifs à l</w:t>
      </w:r>
      <w:r w:rsidR="00277023">
        <w:rPr>
          <w:lang w:val="fr-FR"/>
        </w:rPr>
        <w:t>’</w:t>
      </w:r>
      <w:r w:rsidRPr="00365506">
        <w:rPr>
          <w:lang w:val="fr-FR"/>
        </w:rPr>
        <w:t>éducation, y compris les</w:t>
      </w:r>
      <w:r w:rsidR="00EA1115">
        <w:rPr>
          <w:lang w:val="fr-FR"/>
        </w:rPr>
        <w:t xml:space="preserve"> </w:t>
      </w:r>
      <w:r w:rsidRPr="00365506">
        <w:rPr>
          <w:lang w:val="fr-FR"/>
        </w:rPr>
        <w:t>subventions, les prêts et l</w:t>
      </w:r>
      <w:r w:rsidR="00277023">
        <w:rPr>
          <w:lang w:val="fr-FR"/>
        </w:rPr>
        <w:t>’</w:t>
      </w:r>
      <w:r w:rsidRPr="00365506">
        <w:rPr>
          <w:lang w:val="fr-FR"/>
        </w:rPr>
        <w:t>assistance technique s</w:t>
      </w:r>
      <w:r w:rsidR="00277023">
        <w:rPr>
          <w:lang w:val="fr-FR"/>
        </w:rPr>
        <w:t>’</w:t>
      </w:r>
      <w:r w:rsidRPr="00365506">
        <w:rPr>
          <w:lang w:val="fr-FR"/>
        </w:rPr>
        <w:t>est élevé à environ 0,9 milliard de dollars, ce qui représente 5,1</w:t>
      </w:r>
      <w:r w:rsidR="00277023">
        <w:rPr>
          <w:lang w:val="fr-FR"/>
        </w:rPr>
        <w:t>%</w:t>
      </w:r>
      <w:r w:rsidRPr="00365506">
        <w:rPr>
          <w:lang w:val="fr-FR"/>
        </w:rPr>
        <w:t xml:space="preserve"> de l</w:t>
      </w:r>
      <w:r w:rsidR="00277023">
        <w:rPr>
          <w:lang w:val="fr-FR"/>
        </w:rPr>
        <w:t>’</w:t>
      </w:r>
      <w:r w:rsidRPr="00365506">
        <w:rPr>
          <w:lang w:val="fr-FR"/>
        </w:rPr>
        <w:t xml:space="preserve">APD bilatérale. </w:t>
      </w:r>
    </w:p>
    <w:p w:rsidR="00365506" w:rsidRPr="00365506" w:rsidRDefault="00365506" w:rsidP="00365506">
      <w:pPr>
        <w:pStyle w:val="SingleTxtG"/>
        <w:rPr>
          <w:lang w:val="fr-FR"/>
        </w:rPr>
      </w:pPr>
      <w:r w:rsidRPr="00365506">
        <w:rPr>
          <w:lang w:val="fr-FR"/>
        </w:rPr>
        <w:t>62.</w:t>
      </w:r>
      <w:r w:rsidRPr="00365506">
        <w:rPr>
          <w:lang w:val="fr-FR"/>
        </w:rPr>
        <w:tab/>
        <w:t>S</w:t>
      </w:r>
      <w:r w:rsidR="00277023">
        <w:rPr>
          <w:lang w:val="fr-FR"/>
        </w:rPr>
        <w:t>’</w:t>
      </w:r>
      <w:r w:rsidRPr="00365506">
        <w:rPr>
          <w:lang w:val="fr-FR"/>
        </w:rPr>
        <w:t>agissant de promouvoir l</w:t>
      </w:r>
      <w:r w:rsidR="00277023">
        <w:rPr>
          <w:lang w:val="fr-FR"/>
        </w:rPr>
        <w:t>’</w:t>
      </w:r>
      <w:r w:rsidRPr="00365506">
        <w:rPr>
          <w:lang w:val="fr-FR"/>
        </w:rPr>
        <w:t>éducation des enfants afin de protéger leurs droits en matière d</w:t>
      </w:r>
      <w:r w:rsidR="00277023">
        <w:rPr>
          <w:lang w:val="fr-FR"/>
        </w:rPr>
        <w:t>’</w:t>
      </w:r>
      <w:r w:rsidRPr="00365506">
        <w:rPr>
          <w:lang w:val="fr-FR"/>
        </w:rPr>
        <w:t xml:space="preserve">éducation, ainsi que le stipule </w:t>
      </w:r>
      <w:smartTag w:uri="urn:schemas-microsoft-com:office:smarttags" w:element="PersonName">
        <w:smartTagPr>
          <w:attr w:name="ProductID" w:val="LA CONVENTION"/>
        </w:smartTagPr>
        <w:r w:rsidRPr="00365506">
          <w:rPr>
            <w:lang w:val="fr-FR"/>
          </w:rPr>
          <w:t>la Convention</w:t>
        </w:r>
      </w:smartTag>
      <w:r w:rsidRPr="00365506">
        <w:rPr>
          <w:lang w:val="fr-FR"/>
        </w:rPr>
        <w:t>, et de réaliser le Cadre d</w:t>
      </w:r>
      <w:r w:rsidR="00277023">
        <w:rPr>
          <w:lang w:val="fr-FR"/>
        </w:rPr>
        <w:t>’</w:t>
      </w:r>
      <w:r w:rsidRPr="00365506">
        <w:rPr>
          <w:lang w:val="fr-FR"/>
        </w:rPr>
        <w:t>action de Dakar sur l</w:t>
      </w:r>
      <w:r w:rsidR="00277023">
        <w:rPr>
          <w:lang w:val="fr-FR"/>
        </w:rPr>
        <w:t>’</w:t>
      </w:r>
      <w:r w:rsidRPr="00365506">
        <w:rPr>
          <w:lang w:val="fr-FR"/>
        </w:rPr>
        <w:t>éducation pour tous (adopté lors du Forum mondial sur l</w:t>
      </w:r>
      <w:r w:rsidR="00277023">
        <w:rPr>
          <w:lang w:val="fr-FR"/>
        </w:rPr>
        <w:t>’</w:t>
      </w:r>
      <w:r w:rsidRPr="00365506">
        <w:rPr>
          <w:lang w:val="fr-FR"/>
        </w:rPr>
        <w:t>éducation qui s</w:t>
      </w:r>
      <w:r w:rsidR="00277023">
        <w:rPr>
          <w:lang w:val="fr-FR"/>
        </w:rPr>
        <w:t>’</w:t>
      </w:r>
      <w:r w:rsidRPr="00365506">
        <w:rPr>
          <w:lang w:val="fr-FR"/>
        </w:rPr>
        <w:t>est tenu en avril 2000) qui affirme que d</w:t>
      </w:r>
      <w:r w:rsidR="00277023">
        <w:rPr>
          <w:lang w:val="fr-FR"/>
        </w:rPr>
        <w:t>’</w:t>
      </w:r>
      <w:r w:rsidRPr="00365506">
        <w:rPr>
          <w:lang w:val="fr-FR"/>
        </w:rPr>
        <w:t>ici à 2015 tous les enfants auront accès à l</w:t>
      </w:r>
      <w:r w:rsidR="00277023">
        <w:rPr>
          <w:lang w:val="fr-FR"/>
        </w:rPr>
        <w:t>’</w:t>
      </w:r>
      <w:r w:rsidRPr="00365506">
        <w:rPr>
          <w:lang w:val="fr-FR"/>
        </w:rPr>
        <w:t>éducation primaire, ainsi que les Objectifs du Millénaire pour le développement, le Gouvernement japonais a renforcé son action en faveur de l</w:t>
      </w:r>
      <w:r w:rsidR="00277023">
        <w:rPr>
          <w:lang w:val="fr-FR"/>
        </w:rPr>
        <w:t>’</w:t>
      </w:r>
      <w:r w:rsidRPr="00365506">
        <w:rPr>
          <w:lang w:val="fr-FR"/>
        </w:rPr>
        <w:t>éducation. Il se fonde sur sa propre vision de l</w:t>
      </w:r>
      <w:r w:rsidR="00277023">
        <w:rPr>
          <w:lang w:val="fr-FR"/>
        </w:rPr>
        <w:t>’</w:t>
      </w:r>
      <w:r w:rsidRPr="00365506">
        <w:rPr>
          <w:lang w:val="fr-FR"/>
        </w:rPr>
        <w:t>éducation, fondement de l</w:t>
      </w:r>
      <w:r w:rsidR="00277023">
        <w:rPr>
          <w:lang w:val="fr-FR"/>
        </w:rPr>
        <w:t>’</w:t>
      </w:r>
      <w:r w:rsidRPr="00365506">
        <w:rPr>
          <w:lang w:val="fr-FR"/>
        </w:rPr>
        <w:t>édification de la nation, ainsi que sur l</w:t>
      </w:r>
      <w:r w:rsidR="00277023">
        <w:rPr>
          <w:lang w:val="fr-FR"/>
        </w:rPr>
        <w:t>’</w:t>
      </w:r>
      <w:r w:rsidRPr="00365506">
        <w:rPr>
          <w:lang w:val="fr-FR"/>
        </w:rPr>
        <w:t xml:space="preserve">esprit de </w:t>
      </w:r>
      <w:r w:rsidR="008E49D4" w:rsidRPr="007C29B2">
        <w:rPr>
          <w:bCs/>
          <w:lang w:val="fr-FR"/>
        </w:rPr>
        <w:t>“</w:t>
      </w:r>
      <w:r w:rsidRPr="00365506">
        <w:rPr>
          <w:i/>
          <w:lang w:val="fr-FR"/>
        </w:rPr>
        <w:t>kome hyappyo</w:t>
      </w:r>
      <w:r w:rsidR="008E49D4">
        <w:rPr>
          <w:lang w:val="fr-FR"/>
        </w:rPr>
        <w:t>”</w:t>
      </w:r>
      <w:r w:rsidRPr="00365506">
        <w:rPr>
          <w:lang w:val="fr-FR"/>
        </w:rPr>
        <w:t xml:space="preserve"> (100 sacs de riz) (une expression née d</w:t>
      </w:r>
      <w:r w:rsidR="00277023">
        <w:rPr>
          <w:lang w:val="fr-FR"/>
        </w:rPr>
        <w:t>’</w:t>
      </w:r>
      <w:r w:rsidRPr="00365506">
        <w:rPr>
          <w:lang w:val="fr-FR"/>
        </w:rPr>
        <w:t>une anecdote, dont le thème est l</w:t>
      </w:r>
      <w:r w:rsidR="00277023">
        <w:rPr>
          <w:lang w:val="fr-FR"/>
        </w:rPr>
        <w:t>’</w:t>
      </w:r>
      <w:r w:rsidRPr="00365506">
        <w:rPr>
          <w:lang w:val="fr-FR"/>
        </w:rPr>
        <w:t>importance de soutenir l</w:t>
      </w:r>
      <w:r w:rsidR="00277023">
        <w:rPr>
          <w:lang w:val="fr-FR"/>
        </w:rPr>
        <w:t>’</w:t>
      </w:r>
      <w:r w:rsidRPr="00365506">
        <w:rPr>
          <w:lang w:val="fr-FR"/>
        </w:rPr>
        <w:t>éducation pour l</w:t>
      </w:r>
      <w:r w:rsidR="00277023">
        <w:rPr>
          <w:lang w:val="fr-FR"/>
        </w:rPr>
        <w:t>’</w:t>
      </w:r>
      <w:r w:rsidRPr="00365506">
        <w:rPr>
          <w:lang w:val="fr-FR"/>
        </w:rPr>
        <w:t>avenir de la population japonaise). En particulier, outre le fait de verser plus de 250 milliards de yen sur cinq ans à des pays à faible revenu, le Gouvernement japonais a annoncé l</w:t>
      </w:r>
      <w:r w:rsidR="00277023">
        <w:rPr>
          <w:lang w:val="fr-FR"/>
        </w:rPr>
        <w:t>’</w:t>
      </w:r>
      <w:r w:rsidRPr="00365506">
        <w:rPr>
          <w:lang w:val="fr-FR"/>
        </w:rPr>
        <w:t>Initiative sur l</w:t>
      </w:r>
      <w:r w:rsidR="00277023">
        <w:rPr>
          <w:lang w:val="fr-FR"/>
        </w:rPr>
        <w:t>’</w:t>
      </w:r>
      <w:r w:rsidRPr="00365506">
        <w:rPr>
          <w:lang w:val="fr-FR"/>
        </w:rPr>
        <w:t>éducation de base pour la croissance (BEGIN) lors du Sommet de Kananaskis tenu en juin 2002, dans le but d</w:t>
      </w:r>
      <w:r w:rsidR="00277023">
        <w:rPr>
          <w:lang w:val="fr-FR"/>
        </w:rPr>
        <w:t>’</w:t>
      </w:r>
      <w:r w:rsidRPr="00365506">
        <w:rPr>
          <w:lang w:val="fr-FR"/>
        </w:rPr>
        <w:t>appuyer la réalisation du Cadre d</w:t>
      </w:r>
      <w:r w:rsidR="00277023">
        <w:rPr>
          <w:lang w:val="fr-FR"/>
        </w:rPr>
        <w:t>’</w:t>
      </w:r>
      <w:r w:rsidRPr="00365506">
        <w:rPr>
          <w:lang w:val="fr-FR"/>
        </w:rPr>
        <w:t>action de Dakar en faveur des pays en développement. Le Japon soutient les efforts d</w:t>
      </w:r>
      <w:r w:rsidR="00277023">
        <w:rPr>
          <w:lang w:val="fr-FR"/>
        </w:rPr>
        <w:t>’</w:t>
      </w:r>
      <w:r w:rsidRPr="00365506">
        <w:rPr>
          <w:lang w:val="fr-FR"/>
        </w:rPr>
        <w:t>éducation pour tous dans ces pays en s</w:t>
      </w:r>
      <w:r w:rsidR="00277023">
        <w:rPr>
          <w:lang w:val="fr-FR"/>
        </w:rPr>
        <w:t>’</w:t>
      </w:r>
      <w:r w:rsidRPr="00365506">
        <w:rPr>
          <w:lang w:val="fr-FR"/>
        </w:rPr>
        <w:t>appuyant sur l</w:t>
      </w:r>
      <w:r w:rsidR="00277023">
        <w:rPr>
          <w:lang w:val="fr-FR"/>
        </w:rPr>
        <w:t>’</w:t>
      </w:r>
      <w:r w:rsidRPr="00365506">
        <w:rPr>
          <w:lang w:val="fr-FR"/>
        </w:rPr>
        <w:t>initiative BEGIN et cible les trois domaines prioritaires suivants</w:t>
      </w:r>
      <w:r w:rsidR="00277023">
        <w:rPr>
          <w:lang w:val="fr-FR"/>
        </w:rPr>
        <w:t>:</w:t>
      </w:r>
      <w:r w:rsidRPr="00365506">
        <w:rPr>
          <w:lang w:val="fr-FR"/>
        </w:rPr>
        <w:t xml:space="preserve"> 1) assurer l</w:t>
      </w:r>
      <w:r w:rsidR="00277023">
        <w:rPr>
          <w:lang w:val="fr-FR"/>
        </w:rPr>
        <w:t>’</w:t>
      </w:r>
      <w:r w:rsidRPr="00365506">
        <w:rPr>
          <w:lang w:val="fr-FR"/>
        </w:rPr>
        <w:t>accès à l</w:t>
      </w:r>
      <w:r w:rsidR="00277023">
        <w:rPr>
          <w:lang w:val="fr-FR"/>
        </w:rPr>
        <w:t>’</w:t>
      </w:r>
      <w:r w:rsidRPr="00365506">
        <w:rPr>
          <w:lang w:val="fr-FR"/>
        </w:rPr>
        <w:t>éducation de base, 2) encourager une meilleure qualité de l</w:t>
      </w:r>
      <w:r w:rsidR="00277023">
        <w:rPr>
          <w:lang w:val="fr-FR"/>
        </w:rPr>
        <w:t>’</w:t>
      </w:r>
      <w:r w:rsidRPr="00365506">
        <w:rPr>
          <w:lang w:val="fr-FR"/>
        </w:rPr>
        <w:t>éducation et 3) renforcer l</w:t>
      </w:r>
      <w:r w:rsidR="00277023">
        <w:rPr>
          <w:lang w:val="fr-FR"/>
        </w:rPr>
        <w:t>’</w:t>
      </w:r>
      <w:r w:rsidRPr="00365506">
        <w:rPr>
          <w:lang w:val="fr-FR"/>
        </w:rPr>
        <w:t>administration scolaire. Certaines des mesures concrètes prises par le Japon comprennent la construction et la rénovation d</w:t>
      </w:r>
      <w:r w:rsidR="00277023">
        <w:rPr>
          <w:lang w:val="fr-FR"/>
        </w:rPr>
        <w:t>’</w:t>
      </w:r>
      <w:r w:rsidRPr="00365506">
        <w:rPr>
          <w:lang w:val="fr-FR"/>
        </w:rPr>
        <w:t>établissements scolaires, la formation des enseignants en privilégiant les sciences et les mathématiques, le développement et la promotion de méthodes pédagogiques qui ciblent les besoins des enfants et le renforcement de l</w:t>
      </w:r>
      <w:r w:rsidR="00277023">
        <w:rPr>
          <w:lang w:val="fr-FR"/>
        </w:rPr>
        <w:t>’</w:t>
      </w:r>
      <w:r w:rsidRPr="00365506">
        <w:rPr>
          <w:lang w:val="fr-FR"/>
        </w:rPr>
        <w:t>administration scolaire locale. Au cours de l</w:t>
      </w:r>
      <w:r w:rsidR="00277023">
        <w:rPr>
          <w:lang w:val="fr-FR"/>
        </w:rPr>
        <w:t>’</w:t>
      </w:r>
      <w:r w:rsidRPr="00365506">
        <w:rPr>
          <w:lang w:val="fr-FR"/>
        </w:rPr>
        <w:t>exercice 2003, quelque 41,9 milliards de yen ont été consacrés à l</w:t>
      </w:r>
      <w:r w:rsidR="00277023">
        <w:rPr>
          <w:lang w:val="fr-FR"/>
        </w:rPr>
        <w:t>’</w:t>
      </w:r>
      <w:r w:rsidRPr="00365506">
        <w:rPr>
          <w:lang w:val="fr-FR"/>
        </w:rPr>
        <w:t>éducation de base à travers l</w:t>
      </w:r>
      <w:r w:rsidR="00277023">
        <w:rPr>
          <w:lang w:val="fr-FR"/>
        </w:rPr>
        <w:t>’</w:t>
      </w:r>
      <w:r w:rsidRPr="00365506">
        <w:rPr>
          <w:lang w:val="fr-FR"/>
        </w:rPr>
        <w:t>APD bilatérale et des fonds d</w:t>
      </w:r>
      <w:r w:rsidR="00277023">
        <w:rPr>
          <w:lang w:val="fr-FR"/>
        </w:rPr>
        <w:t>’</w:t>
      </w:r>
      <w:r w:rsidRPr="00365506">
        <w:rPr>
          <w:lang w:val="fr-FR"/>
        </w:rPr>
        <w:t xml:space="preserve">affectation spéciale ont été constitués dans des organisations internationales. Ce chiffre inclut la contribution à la campagne </w:t>
      </w:r>
      <w:r w:rsidR="008E49D4">
        <w:rPr>
          <w:lang w:val="fr-FR"/>
        </w:rPr>
        <w:t>“</w:t>
      </w:r>
      <w:r w:rsidRPr="00365506">
        <w:rPr>
          <w:lang w:val="fr-FR"/>
        </w:rPr>
        <w:t>retour à l</w:t>
      </w:r>
      <w:r w:rsidR="00277023">
        <w:rPr>
          <w:lang w:val="fr-FR"/>
        </w:rPr>
        <w:t>’</w:t>
      </w:r>
      <w:r w:rsidRPr="00365506">
        <w:rPr>
          <w:lang w:val="fr-FR"/>
        </w:rPr>
        <w:t>école</w:t>
      </w:r>
      <w:r w:rsidR="008E49D4">
        <w:rPr>
          <w:lang w:val="fr-FR"/>
        </w:rPr>
        <w:t>”</w:t>
      </w:r>
      <w:r w:rsidRPr="00365506">
        <w:rPr>
          <w:lang w:val="fr-FR"/>
        </w:rPr>
        <w:t xml:space="preserve"> engagée dans des pays comme l</w:t>
      </w:r>
      <w:r w:rsidR="00277023">
        <w:rPr>
          <w:lang w:val="fr-FR"/>
        </w:rPr>
        <w:t>’</w:t>
      </w:r>
      <w:r w:rsidRPr="00365506">
        <w:rPr>
          <w:lang w:val="fr-FR"/>
        </w:rPr>
        <w:t>Iraq et l</w:t>
      </w:r>
      <w:r w:rsidR="00277023">
        <w:rPr>
          <w:lang w:val="fr-FR"/>
        </w:rPr>
        <w:t>’</w:t>
      </w:r>
      <w:r w:rsidRPr="00365506">
        <w:rPr>
          <w:lang w:val="fr-FR"/>
        </w:rPr>
        <w:t>Afghanistan et soutenue par l</w:t>
      </w:r>
      <w:r w:rsidR="00277023">
        <w:rPr>
          <w:lang w:val="fr-FR"/>
        </w:rPr>
        <w:t>’</w:t>
      </w:r>
      <w:r w:rsidRPr="00365506">
        <w:rPr>
          <w:lang w:val="fr-FR"/>
        </w:rPr>
        <w:t>UNICEF, qui vise à offrir aux enfants touchés par les conflits ou les catastrophes la possibilité de suivre un enseignement.</w:t>
      </w:r>
    </w:p>
    <w:p w:rsidR="00365506" w:rsidRPr="00365506" w:rsidRDefault="00365506" w:rsidP="00365506">
      <w:pPr>
        <w:pStyle w:val="SingleTxtG"/>
        <w:rPr>
          <w:lang w:val="fr-FR"/>
        </w:rPr>
      </w:pPr>
      <w:r w:rsidRPr="00365506">
        <w:rPr>
          <w:lang w:val="fr-FR"/>
        </w:rPr>
        <w:t>63.</w:t>
      </w:r>
      <w:r w:rsidRPr="00365506">
        <w:rPr>
          <w:lang w:val="fr-FR"/>
        </w:rPr>
        <w:tab/>
        <w:t>Le Japon a également étendu sa coopération dans le domaine de l</w:t>
      </w:r>
      <w:r w:rsidR="00277023">
        <w:rPr>
          <w:lang w:val="fr-FR"/>
        </w:rPr>
        <w:t>’</w:t>
      </w:r>
      <w:r w:rsidRPr="00365506">
        <w:rPr>
          <w:lang w:val="fr-FR"/>
        </w:rPr>
        <w:t>éducation à travers les fonds d</w:t>
      </w:r>
      <w:r w:rsidR="00277023">
        <w:rPr>
          <w:lang w:val="fr-FR"/>
        </w:rPr>
        <w:t>’</w:t>
      </w:r>
      <w:r w:rsidRPr="00365506">
        <w:rPr>
          <w:lang w:val="fr-FR"/>
        </w:rPr>
        <w:t>affectation spéciale suivants de l</w:t>
      </w:r>
      <w:r w:rsidR="00277023">
        <w:rPr>
          <w:lang w:val="fr-FR"/>
        </w:rPr>
        <w:t>’</w:t>
      </w:r>
      <w:r w:rsidRPr="00365506">
        <w:rPr>
          <w:lang w:val="fr-FR"/>
        </w:rPr>
        <w:t>UNESCO: 1) le fonds d</w:t>
      </w:r>
      <w:r w:rsidR="00277023">
        <w:rPr>
          <w:lang w:val="fr-FR"/>
        </w:rPr>
        <w:t>’</w:t>
      </w:r>
      <w:r w:rsidRPr="00365506">
        <w:rPr>
          <w:lang w:val="fr-FR"/>
        </w:rPr>
        <w:t>affectation spéciale japonais pour la promotion de l</w:t>
      </w:r>
      <w:r w:rsidR="00277023">
        <w:rPr>
          <w:lang w:val="fr-FR"/>
        </w:rPr>
        <w:t>’</w:t>
      </w:r>
      <w:r w:rsidRPr="00365506">
        <w:rPr>
          <w:lang w:val="fr-FR"/>
        </w:rPr>
        <w:t>alphabétisation (44,4 millions de yen en 2001) et le fonds d</w:t>
      </w:r>
      <w:r w:rsidR="00277023">
        <w:rPr>
          <w:lang w:val="fr-FR"/>
        </w:rPr>
        <w:t>’</w:t>
      </w:r>
      <w:r w:rsidRPr="00365506">
        <w:rPr>
          <w:lang w:val="fr-FR"/>
        </w:rPr>
        <w:t>affectation spéciale japonais pour les centres communautaires d</w:t>
      </w:r>
      <w:r w:rsidR="00277023">
        <w:rPr>
          <w:lang w:val="fr-FR"/>
        </w:rPr>
        <w:t>’</w:t>
      </w:r>
      <w:r w:rsidRPr="00365506">
        <w:rPr>
          <w:lang w:val="fr-FR"/>
        </w:rPr>
        <w:t>alphabétisation (20,87 millions de yen en 2001) dans le cadre du Programme relatif à l</w:t>
      </w:r>
      <w:r w:rsidR="00277023">
        <w:rPr>
          <w:lang w:val="fr-FR"/>
        </w:rPr>
        <w:t>’</w:t>
      </w:r>
      <w:r w:rsidRPr="00365506">
        <w:rPr>
          <w:lang w:val="fr-FR"/>
        </w:rPr>
        <w:t>éducation pour tous en Asie et dans le Pacifique (APPEAL), qui contribue à étendre l</w:t>
      </w:r>
      <w:r w:rsidR="00277023">
        <w:rPr>
          <w:lang w:val="fr-FR"/>
        </w:rPr>
        <w:t>’</w:t>
      </w:r>
      <w:r w:rsidRPr="00365506">
        <w:rPr>
          <w:lang w:val="fr-FR"/>
        </w:rPr>
        <w:t>éducation aux populations analphabètes et à rendre l</w:t>
      </w:r>
      <w:r w:rsidR="00277023">
        <w:rPr>
          <w:lang w:val="fr-FR"/>
        </w:rPr>
        <w:t>’</w:t>
      </w:r>
      <w:r w:rsidRPr="00365506">
        <w:rPr>
          <w:lang w:val="fr-FR"/>
        </w:rPr>
        <w:t>éducation primaire accessible à tous les enfants de la région Asie</w:t>
      </w:r>
      <w:r w:rsidR="002B5F2D">
        <w:rPr>
          <w:lang w:val="fr-FR"/>
        </w:rPr>
        <w:noBreakHyphen/>
      </w:r>
      <w:r w:rsidRPr="00365506">
        <w:rPr>
          <w:lang w:val="fr-FR"/>
        </w:rPr>
        <w:t>Pacifique</w:t>
      </w:r>
      <w:r w:rsidR="00277023">
        <w:rPr>
          <w:lang w:val="fr-FR"/>
        </w:rPr>
        <w:t>;</w:t>
      </w:r>
      <w:r w:rsidRPr="00365506">
        <w:rPr>
          <w:lang w:val="fr-FR"/>
        </w:rPr>
        <w:t xml:space="preserve"> en conséquence, le fonds d</w:t>
      </w:r>
      <w:r w:rsidR="00277023">
        <w:rPr>
          <w:lang w:val="fr-FR"/>
        </w:rPr>
        <w:t>’</w:t>
      </w:r>
      <w:r w:rsidRPr="00365506">
        <w:rPr>
          <w:lang w:val="fr-FR"/>
        </w:rPr>
        <w:t>affectation spéciale japonais en faveur de l</w:t>
      </w:r>
      <w:r w:rsidR="00277023">
        <w:rPr>
          <w:lang w:val="fr-FR"/>
        </w:rPr>
        <w:t>’</w:t>
      </w:r>
      <w:r w:rsidRPr="00365506">
        <w:rPr>
          <w:lang w:val="fr-FR"/>
        </w:rPr>
        <w:t>éducation pour tous qui réunit les fonds d</w:t>
      </w:r>
      <w:r w:rsidR="00277023">
        <w:rPr>
          <w:lang w:val="fr-FR"/>
        </w:rPr>
        <w:t>’</w:t>
      </w:r>
      <w:r w:rsidRPr="00365506">
        <w:rPr>
          <w:lang w:val="fr-FR"/>
        </w:rPr>
        <w:t>affection spéciale susmentionnés s</w:t>
      </w:r>
      <w:r w:rsidR="00277023">
        <w:rPr>
          <w:lang w:val="fr-FR"/>
        </w:rPr>
        <w:t>’</w:t>
      </w:r>
      <w:r w:rsidRPr="00365506">
        <w:rPr>
          <w:lang w:val="fr-FR"/>
        </w:rPr>
        <w:t>élevait à 411 millions de yen pour les exercices budgétaires 2002 à 2005</w:t>
      </w:r>
      <w:r w:rsidR="00277023">
        <w:rPr>
          <w:lang w:val="fr-FR"/>
        </w:rPr>
        <w:t>;</w:t>
      </w:r>
      <w:r w:rsidRPr="00365506">
        <w:rPr>
          <w:lang w:val="fr-FR"/>
        </w:rPr>
        <w:t xml:space="preserve"> 2) le fonds d</w:t>
      </w:r>
      <w:r w:rsidR="00277023">
        <w:rPr>
          <w:lang w:val="fr-FR"/>
        </w:rPr>
        <w:t>’</w:t>
      </w:r>
      <w:r w:rsidRPr="00365506">
        <w:rPr>
          <w:lang w:val="fr-FR"/>
        </w:rPr>
        <w:t>affectation spéciale japonais dédié aux équipes de formation itinérantes (un total de 70,85 millions de yen sur la période 2001-2005) établi dans le cadre du Programme d</w:t>
      </w:r>
      <w:r w:rsidR="00277023">
        <w:rPr>
          <w:lang w:val="fr-FR"/>
        </w:rPr>
        <w:t>’</w:t>
      </w:r>
      <w:r w:rsidRPr="00365506">
        <w:rPr>
          <w:lang w:val="fr-FR"/>
        </w:rPr>
        <w:t>innovation éducative en vue du développement en Asie et dans le Pacifique (APEID), destiné à renforcer la coopération en matière d</w:t>
      </w:r>
      <w:r w:rsidR="00277023">
        <w:rPr>
          <w:lang w:val="fr-FR"/>
        </w:rPr>
        <w:t>’</w:t>
      </w:r>
      <w:r w:rsidRPr="00365506">
        <w:rPr>
          <w:lang w:val="fr-FR"/>
        </w:rPr>
        <w:t>éducation dans les pays de la région et à aider les pays en développement à améliorer leurs systèmes, programmes e</w:t>
      </w:r>
      <w:r w:rsidR="002B5F2D">
        <w:rPr>
          <w:lang w:val="fr-FR"/>
        </w:rPr>
        <w:t>t méthodes pédagogiques par eux</w:t>
      </w:r>
      <w:r w:rsidR="002B5F2D">
        <w:rPr>
          <w:lang w:val="fr-FR"/>
        </w:rPr>
        <w:noBreakHyphen/>
      </w:r>
      <w:r w:rsidRPr="00365506">
        <w:rPr>
          <w:lang w:val="fr-FR"/>
        </w:rPr>
        <w:t>mêmes</w:t>
      </w:r>
      <w:r w:rsidR="00277023">
        <w:rPr>
          <w:lang w:val="fr-FR"/>
        </w:rPr>
        <w:t>;</w:t>
      </w:r>
      <w:r w:rsidRPr="00365506">
        <w:rPr>
          <w:lang w:val="fr-FR"/>
        </w:rPr>
        <w:t xml:space="preserve"> 3) le fonds d</w:t>
      </w:r>
      <w:r w:rsidR="00277023">
        <w:rPr>
          <w:lang w:val="fr-FR"/>
        </w:rPr>
        <w:t>’</w:t>
      </w:r>
      <w:r w:rsidRPr="00365506">
        <w:rPr>
          <w:lang w:val="fr-FR"/>
        </w:rPr>
        <w:t>affectation spéciale japonais alloué à l</w:t>
      </w:r>
      <w:r w:rsidR="00277023">
        <w:rPr>
          <w:lang w:val="fr-FR"/>
        </w:rPr>
        <w:t>’</w:t>
      </w:r>
      <w:r w:rsidRPr="00365506">
        <w:rPr>
          <w:lang w:val="fr-FR"/>
        </w:rPr>
        <w:t>éducation pour la prévention du VIH/sida (total de 35,08 millions de yen pour les exercices 2001-2005)</w:t>
      </w:r>
      <w:r w:rsidR="00277023">
        <w:rPr>
          <w:lang w:val="fr-FR"/>
        </w:rPr>
        <w:t>;</w:t>
      </w:r>
      <w:r w:rsidRPr="00365506">
        <w:rPr>
          <w:lang w:val="fr-FR"/>
        </w:rPr>
        <w:t xml:space="preserve"> et 4) le fonds d</w:t>
      </w:r>
      <w:r w:rsidR="00277023">
        <w:rPr>
          <w:lang w:val="fr-FR"/>
        </w:rPr>
        <w:t>’</w:t>
      </w:r>
      <w:r w:rsidRPr="00365506">
        <w:rPr>
          <w:lang w:val="fr-FR"/>
        </w:rPr>
        <w:t>affectation spéciale japonais pour l</w:t>
      </w:r>
      <w:r w:rsidR="00277023">
        <w:rPr>
          <w:lang w:val="fr-FR"/>
        </w:rPr>
        <w:t>’</w:t>
      </w:r>
      <w:r w:rsidRPr="00365506">
        <w:rPr>
          <w:lang w:val="fr-FR"/>
        </w:rPr>
        <w:t>éducation au service du développement durable, affecté à l</w:t>
      </w:r>
      <w:r w:rsidR="00277023">
        <w:rPr>
          <w:lang w:val="fr-FR"/>
        </w:rPr>
        <w:t>’</w:t>
      </w:r>
      <w:r w:rsidRPr="00365506">
        <w:rPr>
          <w:lang w:val="fr-FR"/>
        </w:rPr>
        <w:t>appui des programmes dans ce domaine (200 millions de yen en 2005).</w:t>
      </w:r>
    </w:p>
    <w:p w:rsidR="00365506" w:rsidRPr="00365506" w:rsidRDefault="00365506" w:rsidP="00365506">
      <w:pPr>
        <w:pStyle w:val="SingleTxtG"/>
        <w:rPr>
          <w:lang w:val="fr-FR"/>
        </w:rPr>
      </w:pPr>
      <w:r w:rsidRPr="00365506">
        <w:rPr>
          <w:lang w:val="fr-FR"/>
        </w:rPr>
        <w:t>64.</w:t>
      </w:r>
      <w:r w:rsidRPr="00365506">
        <w:rPr>
          <w:lang w:val="fr-FR"/>
        </w:rPr>
        <w:tab/>
        <w:t>Considérant en outre que la protection des ressources humaines est essentielle pour une croissance durable dans les pays en développement, le Japon a constitué et apporté une contribution au fonds d</w:t>
      </w:r>
      <w:r w:rsidR="00277023">
        <w:rPr>
          <w:lang w:val="fr-FR"/>
        </w:rPr>
        <w:t>’</w:t>
      </w:r>
      <w:r w:rsidRPr="00365506">
        <w:rPr>
          <w:lang w:val="fr-FR"/>
        </w:rPr>
        <w:t>affection spéciale japonais pour le renforcement des capacités des ressources humaines de l</w:t>
      </w:r>
      <w:r w:rsidR="00277023">
        <w:rPr>
          <w:lang w:val="fr-FR"/>
        </w:rPr>
        <w:t>’</w:t>
      </w:r>
      <w:r w:rsidRPr="00365506">
        <w:rPr>
          <w:lang w:val="fr-FR"/>
        </w:rPr>
        <w:t>UNESCO (créé en 2000, contribution totale de 40 millions de dollars). Ainsi, les contributions à ce fonds d</w:t>
      </w:r>
      <w:r w:rsidR="00277023">
        <w:rPr>
          <w:lang w:val="fr-FR"/>
        </w:rPr>
        <w:t>’</w:t>
      </w:r>
      <w:r w:rsidRPr="00365506">
        <w:rPr>
          <w:lang w:val="fr-FR"/>
        </w:rPr>
        <w:t>affectation spéciale montrent que le Gouvernement s</w:t>
      </w:r>
      <w:r w:rsidR="00277023">
        <w:rPr>
          <w:lang w:val="fr-FR"/>
        </w:rPr>
        <w:t>’</w:t>
      </w:r>
      <w:r w:rsidRPr="00365506">
        <w:rPr>
          <w:lang w:val="fr-FR"/>
        </w:rPr>
        <w:t>est activement employé à apporter son soutien à la réalisation du Cadre d</w:t>
      </w:r>
      <w:r w:rsidR="00277023">
        <w:rPr>
          <w:lang w:val="fr-FR"/>
        </w:rPr>
        <w:t>’</w:t>
      </w:r>
      <w:r w:rsidRPr="00365506">
        <w:rPr>
          <w:lang w:val="fr-FR"/>
        </w:rPr>
        <w:t>action de Dakar sur l</w:t>
      </w:r>
      <w:r w:rsidR="00277023">
        <w:rPr>
          <w:lang w:val="fr-FR"/>
        </w:rPr>
        <w:t>’</w:t>
      </w:r>
      <w:r w:rsidRPr="00365506">
        <w:rPr>
          <w:lang w:val="fr-FR"/>
        </w:rPr>
        <w:t>éducation pour tous et des objectifs du Millénaire pour le développement, notamment dans le domaine de l</w:t>
      </w:r>
      <w:r w:rsidR="00277023">
        <w:rPr>
          <w:lang w:val="fr-FR"/>
        </w:rPr>
        <w:t>’</w:t>
      </w:r>
      <w:r w:rsidRPr="00365506">
        <w:rPr>
          <w:lang w:val="fr-FR"/>
        </w:rPr>
        <w:t>éducation. Le Japon ne travaille pas uniquement sur des projets d</w:t>
      </w:r>
      <w:r w:rsidR="00277023">
        <w:rPr>
          <w:lang w:val="fr-FR"/>
        </w:rPr>
        <w:t>’</w:t>
      </w:r>
      <w:r w:rsidRPr="00365506">
        <w:rPr>
          <w:lang w:val="fr-FR"/>
        </w:rPr>
        <w:t>alphabétisation dans des pays comme l</w:t>
      </w:r>
      <w:r w:rsidR="00277023">
        <w:rPr>
          <w:lang w:val="fr-FR"/>
        </w:rPr>
        <w:t>’</w:t>
      </w:r>
      <w:r w:rsidRPr="00365506">
        <w:rPr>
          <w:lang w:val="fr-FR"/>
        </w:rPr>
        <w:t>Afghanistan, il offre également son assistance à l</w:t>
      </w:r>
      <w:r w:rsidR="00277023">
        <w:rPr>
          <w:lang w:val="fr-FR"/>
        </w:rPr>
        <w:t>’</w:t>
      </w:r>
      <w:r w:rsidRPr="00365506">
        <w:rPr>
          <w:lang w:val="fr-FR"/>
        </w:rPr>
        <w:t>éducation de base, par exemple élémentaire et secondaire, dans bien des pays d</w:t>
      </w:r>
      <w:r w:rsidR="00277023">
        <w:rPr>
          <w:lang w:val="fr-FR"/>
        </w:rPr>
        <w:t>’</w:t>
      </w:r>
      <w:r w:rsidRPr="00365506">
        <w:rPr>
          <w:lang w:val="fr-FR"/>
        </w:rPr>
        <w:t>Afrique et d</w:t>
      </w:r>
      <w:r w:rsidR="00277023">
        <w:rPr>
          <w:lang w:val="fr-FR"/>
        </w:rPr>
        <w:t>’</w:t>
      </w:r>
      <w:r w:rsidRPr="00365506">
        <w:rPr>
          <w:lang w:val="fr-FR"/>
        </w:rPr>
        <w:t>Amérique latine (notamment en matière de formation des enseignants et d</w:t>
      </w:r>
      <w:r w:rsidR="00277023">
        <w:rPr>
          <w:lang w:val="fr-FR"/>
        </w:rPr>
        <w:t>’</w:t>
      </w:r>
      <w:r w:rsidRPr="00365506">
        <w:rPr>
          <w:lang w:val="fr-FR"/>
        </w:rPr>
        <w:t>éducation à la prévention du VIH/sida).</w:t>
      </w:r>
    </w:p>
    <w:p w:rsidR="00365506" w:rsidRPr="00365506" w:rsidRDefault="00365506" w:rsidP="00365506">
      <w:pPr>
        <w:pStyle w:val="SingleTxtG"/>
        <w:rPr>
          <w:lang w:val="fr-FR"/>
        </w:rPr>
      </w:pPr>
      <w:r w:rsidRPr="00365506">
        <w:rPr>
          <w:lang w:val="fr-FR"/>
        </w:rPr>
        <w:t>65.</w:t>
      </w:r>
      <w:r w:rsidRPr="00365506">
        <w:rPr>
          <w:lang w:val="fr-FR"/>
        </w:rPr>
        <w:tab/>
        <w:t>S</w:t>
      </w:r>
      <w:r w:rsidR="00277023">
        <w:rPr>
          <w:lang w:val="fr-FR"/>
        </w:rPr>
        <w:t>’</w:t>
      </w:r>
      <w:r w:rsidRPr="00365506">
        <w:rPr>
          <w:lang w:val="fr-FR"/>
        </w:rPr>
        <w:t>appuyant sur le rapport final du Comité pour la coopération internationale en matière d</w:t>
      </w:r>
      <w:r w:rsidR="00277023">
        <w:rPr>
          <w:lang w:val="fr-FR"/>
        </w:rPr>
        <w:t>’</w:t>
      </w:r>
      <w:r w:rsidRPr="00365506">
        <w:rPr>
          <w:lang w:val="fr-FR"/>
        </w:rPr>
        <w:t>éducation (soumis en juillet 2002), groupe consultatif constitué de personnes éminentes et établi sur décision du Ministre de l</w:t>
      </w:r>
      <w:r w:rsidR="00277023">
        <w:rPr>
          <w:lang w:val="fr-FR"/>
        </w:rPr>
        <w:t>’</w:t>
      </w:r>
      <w:r w:rsidRPr="00365506">
        <w:rPr>
          <w:lang w:val="fr-FR"/>
        </w:rPr>
        <w:t>éducation, de la culture, des sports, des sciences et de la technologie, le Ministère s</w:t>
      </w:r>
      <w:r w:rsidR="00277023">
        <w:rPr>
          <w:lang w:val="fr-FR"/>
        </w:rPr>
        <w:t>’</w:t>
      </w:r>
      <w:r w:rsidRPr="00365506">
        <w:rPr>
          <w:lang w:val="fr-FR"/>
        </w:rPr>
        <w:t>est attelé au projet suivant. Le Système de base de la coopération (projet réunissant des universités et des ONG pour rationaliser les expériences et compétences de coopération internationale acquises par le Japon en matière d</w:t>
      </w:r>
      <w:r w:rsidR="00277023">
        <w:rPr>
          <w:lang w:val="fr-FR"/>
        </w:rPr>
        <w:t>’</w:t>
      </w:r>
      <w:r w:rsidRPr="00365506">
        <w:rPr>
          <w:lang w:val="fr-FR"/>
        </w:rPr>
        <w:t>éducation et renforcer les systèmes de soutien internes) développe les modèles de coopération éducative en tirant parti des enseignements retirés de l</w:t>
      </w:r>
      <w:r w:rsidR="00277023">
        <w:rPr>
          <w:lang w:val="fr-FR"/>
        </w:rPr>
        <w:t>’</w:t>
      </w:r>
      <w:r w:rsidRPr="00365506">
        <w:rPr>
          <w:lang w:val="fr-FR"/>
        </w:rPr>
        <w:t>expérience en matière d</w:t>
      </w:r>
      <w:r w:rsidR="00277023">
        <w:rPr>
          <w:lang w:val="fr-FR"/>
        </w:rPr>
        <w:t>’</w:t>
      </w:r>
      <w:r w:rsidRPr="00365506">
        <w:rPr>
          <w:lang w:val="fr-FR"/>
        </w:rPr>
        <w:t>enseignement primaire et secondaire et contribue aux activités des enseignants envoyés dans le monde entier en tant que volontaires de la coopération japonaise à l</w:t>
      </w:r>
      <w:r w:rsidR="00277023">
        <w:rPr>
          <w:lang w:val="fr-FR"/>
        </w:rPr>
        <w:t>’</w:t>
      </w:r>
      <w:r w:rsidRPr="00365506">
        <w:rPr>
          <w:lang w:val="fr-FR"/>
        </w:rPr>
        <w:t>étranger.</w:t>
      </w:r>
    </w:p>
    <w:p w:rsidR="00365506" w:rsidRPr="00365506" w:rsidRDefault="00365506" w:rsidP="00365506">
      <w:pPr>
        <w:pStyle w:val="SingleTxtG"/>
        <w:rPr>
          <w:lang w:val="fr-FR"/>
        </w:rPr>
      </w:pPr>
      <w:r w:rsidRPr="00365506">
        <w:rPr>
          <w:lang w:val="fr-FR"/>
        </w:rPr>
        <w:t>66.</w:t>
      </w:r>
      <w:r w:rsidRPr="00365506">
        <w:rPr>
          <w:lang w:val="fr-FR"/>
        </w:rPr>
        <w:tab/>
        <w:t>Concernant les volontaires précités, en vue d</w:t>
      </w:r>
      <w:r w:rsidR="00277023">
        <w:rPr>
          <w:lang w:val="fr-FR"/>
        </w:rPr>
        <w:t>’</w:t>
      </w:r>
      <w:r w:rsidRPr="00365506">
        <w:rPr>
          <w:lang w:val="fr-FR"/>
        </w:rPr>
        <w:t>appuyer une coopération nourrie des expériences éducatives du Japon, un système de participation spécial a été établi en 2001 pour les enseignants en poste dans le cadre du programme des volontaires de la coopération japonaise à l</w:t>
      </w:r>
      <w:r w:rsidR="00277023">
        <w:rPr>
          <w:lang w:val="fr-FR"/>
        </w:rPr>
        <w:t>’</w:t>
      </w:r>
      <w:r w:rsidRPr="00365506">
        <w:rPr>
          <w:lang w:val="fr-FR"/>
        </w:rPr>
        <w:t>étranger, et des mesures ont été prises pour promouvoir la participation des enseignants en exercice aux activités de coopération à l</w:t>
      </w:r>
      <w:r w:rsidR="00277023">
        <w:rPr>
          <w:lang w:val="fr-FR"/>
        </w:rPr>
        <w:t>’</w:t>
      </w:r>
      <w:r w:rsidRPr="00365506">
        <w:rPr>
          <w:lang w:val="fr-FR"/>
        </w:rPr>
        <w:t>étranger. Le Japon a également lancé des actions au regard de son projet de soutien et de coordination de la coopération universitaire dans le développement international en 2003, dans le but de promouvoir la contribution internationale des universités qui comptent parmi les ressources intellectuelles du pays. De plus, s</w:t>
      </w:r>
      <w:r w:rsidR="00277023">
        <w:rPr>
          <w:lang w:val="fr-FR"/>
        </w:rPr>
        <w:t>’</w:t>
      </w:r>
      <w:r w:rsidRPr="00365506">
        <w:rPr>
          <w:lang w:val="fr-FR"/>
        </w:rPr>
        <w:t>agissant des pays sortant d</w:t>
      </w:r>
      <w:r w:rsidR="00277023">
        <w:rPr>
          <w:lang w:val="fr-FR"/>
        </w:rPr>
        <w:t>’</w:t>
      </w:r>
      <w:r w:rsidRPr="00365506">
        <w:rPr>
          <w:lang w:val="fr-FR"/>
        </w:rPr>
        <w:t>un conflit comme l</w:t>
      </w:r>
      <w:r w:rsidR="00277023">
        <w:rPr>
          <w:lang w:val="fr-FR"/>
        </w:rPr>
        <w:t>’</w:t>
      </w:r>
      <w:r w:rsidRPr="00365506">
        <w:rPr>
          <w:lang w:val="fr-FR"/>
        </w:rPr>
        <w:t>Afghanistan, une équipe de projet a été constituée au sein du Ministère de l</w:t>
      </w:r>
      <w:r w:rsidR="00277023">
        <w:rPr>
          <w:lang w:val="fr-FR"/>
        </w:rPr>
        <w:t>’</w:t>
      </w:r>
      <w:r w:rsidRPr="00365506">
        <w:rPr>
          <w:lang w:val="fr-FR"/>
        </w:rPr>
        <w:t>éducation, de la culture, des sports, des sciences et de la technologie afin d</w:t>
      </w:r>
      <w:r w:rsidR="00277023">
        <w:rPr>
          <w:lang w:val="fr-FR"/>
        </w:rPr>
        <w:t>’</w:t>
      </w:r>
      <w:r w:rsidRPr="00365506">
        <w:rPr>
          <w:lang w:val="fr-FR"/>
        </w:rPr>
        <w:t>examiner ces questions de manière approfondie.</w:t>
      </w:r>
    </w:p>
    <w:p w:rsidR="00365506" w:rsidRPr="00365506" w:rsidRDefault="00365506" w:rsidP="00365506">
      <w:pPr>
        <w:pStyle w:val="H23G"/>
        <w:rPr>
          <w:lang w:val="fr-FR"/>
        </w:rPr>
      </w:pPr>
      <w:r>
        <w:rPr>
          <w:lang w:val="fr-FR"/>
        </w:rPr>
        <w:tab/>
        <w:t>2)</w:t>
      </w:r>
      <w:r>
        <w:rPr>
          <w:lang w:val="fr-FR"/>
        </w:rPr>
        <w:tab/>
      </w:r>
      <w:r w:rsidRPr="00365506">
        <w:rPr>
          <w:lang w:val="fr-FR"/>
        </w:rPr>
        <w:t>Soins de santé</w:t>
      </w:r>
    </w:p>
    <w:p w:rsidR="00365506" w:rsidRPr="00365506" w:rsidRDefault="00365506" w:rsidP="00365506">
      <w:pPr>
        <w:pStyle w:val="SingleTxtG"/>
        <w:rPr>
          <w:lang w:val="fr-FR"/>
        </w:rPr>
      </w:pPr>
      <w:r w:rsidRPr="00365506">
        <w:rPr>
          <w:lang w:val="fr-FR"/>
        </w:rPr>
        <w:t>67.</w:t>
      </w:r>
      <w:r w:rsidRPr="00365506">
        <w:rPr>
          <w:lang w:val="fr-FR"/>
        </w:rPr>
        <w:tab/>
        <w:t>Le Japon apporte une assistance aux enfants dans les secteurs de la santé et de la population, privilégiant des questions telles que les maladies infectieuses, la santé maternelle et infantile, la planification démographique et familiale et l</w:t>
      </w:r>
      <w:r w:rsidR="00277023">
        <w:rPr>
          <w:lang w:val="fr-FR"/>
        </w:rPr>
        <w:t>’</w:t>
      </w:r>
      <w:r w:rsidRPr="00365506">
        <w:rPr>
          <w:lang w:val="fr-FR"/>
        </w:rPr>
        <w:t xml:space="preserve">éradication de la poliomyélite. </w:t>
      </w:r>
    </w:p>
    <w:p w:rsidR="00365506" w:rsidRPr="00365506" w:rsidRDefault="00365506" w:rsidP="00365506">
      <w:pPr>
        <w:pStyle w:val="SingleTxtG"/>
        <w:rPr>
          <w:lang w:val="fr-FR"/>
        </w:rPr>
      </w:pPr>
      <w:r w:rsidRPr="00365506">
        <w:rPr>
          <w:lang w:val="fr-FR"/>
        </w:rPr>
        <w:t>68.</w:t>
      </w:r>
      <w:r w:rsidRPr="00365506">
        <w:rPr>
          <w:lang w:val="fr-FR"/>
        </w:rPr>
        <w:tab/>
        <w:t>Le Japon a annoncé l</w:t>
      </w:r>
      <w:r w:rsidR="00277023">
        <w:rPr>
          <w:lang w:val="fr-FR"/>
        </w:rPr>
        <w:t>’</w:t>
      </w:r>
      <w:r w:rsidRPr="00365506">
        <w:rPr>
          <w:lang w:val="fr-FR"/>
        </w:rPr>
        <w:t>Initiative d</w:t>
      </w:r>
      <w:r w:rsidR="00277023">
        <w:rPr>
          <w:lang w:val="fr-FR"/>
        </w:rPr>
        <w:t>’</w:t>
      </w:r>
      <w:r w:rsidRPr="00365506">
        <w:rPr>
          <w:lang w:val="fr-FR"/>
        </w:rPr>
        <w:t>Okinawa concernant les maladies infectieuses lors du Sommet du G 8 de Kyushu-Okinawa en 2000, et son projet de contribution de 3 milliards de dollars sur cinq ans à la lutte contre le VIH/sida, la tuberculose, le paludisme, les parasites et la poliomyélite en particulier. Le Japon a versé 5,8 milliards de dollars au titre de l</w:t>
      </w:r>
      <w:r w:rsidR="00277023">
        <w:rPr>
          <w:lang w:val="fr-FR"/>
        </w:rPr>
        <w:t>’</w:t>
      </w:r>
      <w:r w:rsidRPr="00365506">
        <w:rPr>
          <w:lang w:val="fr-FR"/>
        </w:rPr>
        <w:t>Initiative. Au terme de cette initiative, le Japon a annoncé en juin 2005 l</w:t>
      </w:r>
      <w:r w:rsidR="00277023">
        <w:rPr>
          <w:lang w:val="fr-FR"/>
        </w:rPr>
        <w:t>’</w:t>
      </w:r>
      <w:r w:rsidRPr="00365506">
        <w:rPr>
          <w:lang w:val="fr-FR"/>
        </w:rPr>
        <w:t>Initiative pour la santé et le développement et son projet d</w:t>
      </w:r>
      <w:r w:rsidR="00277023">
        <w:rPr>
          <w:lang w:val="fr-FR"/>
        </w:rPr>
        <w:t>’</w:t>
      </w:r>
      <w:r w:rsidRPr="00365506">
        <w:rPr>
          <w:lang w:val="fr-FR"/>
        </w:rPr>
        <w:t>apporter une contribution globale en vue de réaliser les objectifs du millénaire pour le développement relatifs à la santé, en mettant l</w:t>
      </w:r>
      <w:r w:rsidR="00277023">
        <w:rPr>
          <w:lang w:val="fr-FR"/>
        </w:rPr>
        <w:t>’</w:t>
      </w:r>
      <w:r w:rsidRPr="00365506">
        <w:rPr>
          <w:lang w:val="fr-FR"/>
        </w:rPr>
        <w:t>accent sur la sécurité humaine et les actions interdisciplinaires. De manière plus spécifique, le Japon entend contribuer à la réalisation des objectifs du millénaire en matière de santé, en offrant un appui direct en faveur de la baisse du taux de mortalité maternelle et infantile et en prenant des mesures contre les maladies infectieuses, notamment le VIH/sida, le paludisme, la tuberculose et la poliomyélite, ainsi qu</w:t>
      </w:r>
      <w:r w:rsidR="00277023">
        <w:rPr>
          <w:lang w:val="fr-FR"/>
        </w:rPr>
        <w:t>’</w:t>
      </w:r>
      <w:r w:rsidRPr="00365506">
        <w:rPr>
          <w:lang w:val="fr-FR"/>
        </w:rPr>
        <w:t>en apportant une assistance globale selon une approche intersectorielle qui inclut le renforcement des systèmes de santé, le perfectionnement des ressources humaines, l</w:t>
      </w:r>
      <w:r w:rsidR="00277023">
        <w:rPr>
          <w:lang w:val="fr-FR"/>
        </w:rPr>
        <w:t>’</w:t>
      </w:r>
      <w:r w:rsidRPr="00365506">
        <w:rPr>
          <w:lang w:val="fr-FR"/>
        </w:rPr>
        <w:t>eau, l</w:t>
      </w:r>
      <w:r w:rsidR="00277023">
        <w:rPr>
          <w:lang w:val="fr-FR"/>
        </w:rPr>
        <w:t>’</w:t>
      </w:r>
      <w:r w:rsidRPr="00365506">
        <w:rPr>
          <w:lang w:val="fr-FR"/>
        </w:rPr>
        <w:t>éducation de base et les infrastructures.</w:t>
      </w:r>
    </w:p>
    <w:p w:rsidR="00365506" w:rsidRPr="00365506" w:rsidRDefault="00365506" w:rsidP="004A252F">
      <w:pPr>
        <w:pStyle w:val="SingleTxtG"/>
        <w:keepLines/>
        <w:rPr>
          <w:lang w:val="fr-FR"/>
        </w:rPr>
      </w:pPr>
      <w:r w:rsidRPr="00365506">
        <w:rPr>
          <w:lang w:val="fr-FR"/>
        </w:rPr>
        <w:t>69.</w:t>
      </w:r>
      <w:r w:rsidRPr="00365506">
        <w:rPr>
          <w:lang w:val="fr-FR"/>
        </w:rPr>
        <w:tab/>
        <w:t>Le Japon apporte également son assistance dans le domaine de la santé de la procréation, y compris de la santé périnatale de la mère et de l</w:t>
      </w:r>
      <w:r w:rsidR="00277023">
        <w:rPr>
          <w:lang w:val="fr-FR"/>
        </w:rPr>
        <w:t>’</w:t>
      </w:r>
      <w:r w:rsidRPr="00365506">
        <w:rPr>
          <w:lang w:val="fr-FR"/>
        </w:rPr>
        <w:t xml:space="preserve">enfant et de la planification familiale à travers le fonds des Nations Unies pour la population (PNUP) et </w:t>
      </w:r>
      <w:smartTag w:uri="urn:schemas-microsoft-com:office:smarttags" w:element="PersonName">
        <w:smartTagPr>
          <w:attr w:name="ProductID" w:val="la F￩d￩ration"/>
        </w:smartTagPr>
        <w:r w:rsidRPr="00365506">
          <w:rPr>
            <w:lang w:val="fr-FR"/>
          </w:rPr>
          <w:t>la Fédération</w:t>
        </w:r>
      </w:smartTag>
      <w:r w:rsidRPr="00365506">
        <w:rPr>
          <w:lang w:val="fr-FR"/>
        </w:rPr>
        <w:t xml:space="preserve"> internationale pour la planification familiale (IPPF). En 2000, le Japon a créé le fonds d</w:t>
      </w:r>
      <w:r w:rsidR="00277023">
        <w:rPr>
          <w:lang w:val="fr-FR"/>
        </w:rPr>
        <w:t>’</w:t>
      </w:r>
      <w:r w:rsidRPr="00365506">
        <w:rPr>
          <w:lang w:val="fr-FR"/>
        </w:rPr>
        <w:t>affectation spéciale japonais de lutte contre le VIH/sida dans le cadre de l</w:t>
      </w:r>
      <w:r w:rsidR="00277023">
        <w:rPr>
          <w:lang w:val="fr-FR"/>
        </w:rPr>
        <w:t>’</w:t>
      </w:r>
      <w:r w:rsidRPr="00365506">
        <w:rPr>
          <w:lang w:val="fr-FR"/>
        </w:rPr>
        <w:t>IPPF, dans l</w:t>
      </w:r>
      <w:r w:rsidR="00277023">
        <w:rPr>
          <w:lang w:val="fr-FR"/>
        </w:rPr>
        <w:t>’</w:t>
      </w:r>
      <w:r w:rsidRPr="00365506">
        <w:rPr>
          <w:lang w:val="fr-FR"/>
        </w:rPr>
        <w:t>objectif de prévenir l</w:t>
      </w:r>
      <w:r w:rsidR="00277023">
        <w:rPr>
          <w:lang w:val="fr-FR"/>
        </w:rPr>
        <w:t>’</w:t>
      </w:r>
      <w:r w:rsidRPr="00365506">
        <w:rPr>
          <w:lang w:val="fr-FR"/>
        </w:rPr>
        <w:t>épidémie au niveau local, avec un financement de 6,08 millions de dollars en 2005. Pour citer quelques exemples, ce fonds d</w:t>
      </w:r>
      <w:r w:rsidR="00277023">
        <w:rPr>
          <w:lang w:val="fr-FR"/>
        </w:rPr>
        <w:t>’</w:t>
      </w:r>
      <w:r w:rsidRPr="00365506">
        <w:rPr>
          <w:lang w:val="fr-FR"/>
        </w:rPr>
        <w:t>affectation spéciale a facilité la diffusion d</w:t>
      </w:r>
      <w:r w:rsidR="00277023">
        <w:rPr>
          <w:lang w:val="fr-FR"/>
        </w:rPr>
        <w:t>’</w:t>
      </w:r>
      <w:r w:rsidRPr="00365506">
        <w:rPr>
          <w:lang w:val="fr-FR"/>
        </w:rPr>
        <w:t>informations et de connaissances sur la préve</w:t>
      </w:r>
      <w:r w:rsidR="00E67B78">
        <w:rPr>
          <w:lang w:val="fr-FR"/>
        </w:rPr>
        <w:t>ntion du VIH/sida à quelque 450.</w:t>
      </w:r>
      <w:r w:rsidRPr="00365506">
        <w:rPr>
          <w:lang w:val="fr-FR"/>
        </w:rPr>
        <w:t>000 jeunes vivant des les zones rurales de Chine, et il a permis de mener des activités de sensibilisation à l</w:t>
      </w:r>
      <w:r w:rsidR="00277023">
        <w:rPr>
          <w:lang w:val="fr-FR"/>
        </w:rPr>
        <w:t>’</w:t>
      </w:r>
      <w:r w:rsidRPr="00365506">
        <w:rPr>
          <w:lang w:val="fr-FR"/>
        </w:rPr>
        <w:t>intention des fonctionnaires du Ministère de l</w:t>
      </w:r>
      <w:r w:rsidR="00277023">
        <w:rPr>
          <w:lang w:val="fr-FR"/>
        </w:rPr>
        <w:t>’</w:t>
      </w:r>
      <w:r w:rsidRPr="00365506">
        <w:rPr>
          <w:lang w:val="fr-FR"/>
        </w:rPr>
        <w:t>éducation et des représentants légaux des enfants, dans le but d</w:t>
      </w:r>
      <w:r w:rsidR="00277023">
        <w:rPr>
          <w:lang w:val="fr-FR"/>
        </w:rPr>
        <w:t>’</w:t>
      </w:r>
      <w:r w:rsidRPr="00365506">
        <w:rPr>
          <w:lang w:val="fr-FR"/>
        </w:rPr>
        <w:t>appuyer les services de lutte contre le VIH/sida offerts dans les établissements scolaires du Kenya.</w:t>
      </w:r>
    </w:p>
    <w:p w:rsidR="00365506" w:rsidRPr="00365506" w:rsidRDefault="00365506" w:rsidP="00365506">
      <w:pPr>
        <w:pStyle w:val="SingleTxtG"/>
        <w:rPr>
          <w:lang w:val="fr-FR"/>
        </w:rPr>
      </w:pPr>
      <w:r w:rsidRPr="00365506">
        <w:rPr>
          <w:lang w:val="fr-FR"/>
        </w:rPr>
        <w:t>70.</w:t>
      </w:r>
      <w:r w:rsidRPr="00365506">
        <w:rPr>
          <w:lang w:val="fr-FR"/>
        </w:rPr>
        <w:tab/>
        <w:t>Lors du Sommet du G 8 à Kyushu-Okinawa en juillet 2000, le premier Ministre d</w:t>
      </w:r>
      <w:r w:rsidR="00277023">
        <w:rPr>
          <w:lang w:val="fr-FR"/>
        </w:rPr>
        <w:t>’</w:t>
      </w:r>
      <w:r w:rsidRPr="00365506">
        <w:rPr>
          <w:lang w:val="fr-FR"/>
        </w:rPr>
        <w:t>alors, Yoshiro Mori, a souligné l</w:t>
      </w:r>
      <w:r w:rsidR="00277023">
        <w:rPr>
          <w:lang w:val="fr-FR"/>
        </w:rPr>
        <w:t>’</w:t>
      </w:r>
      <w:r w:rsidRPr="00365506">
        <w:rPr>
          <w:lang w:val="fr-FR"/>
        </w:rPr>
        <w:t>importance de la lutte contre les maladies infectieuses, ce qui a fait naître l</w:t>
      </w:r>
      <w:r w:rsidR="00277023">
        <w:rPr>
          <w:lang w:val="fr-FR"/>
        </w:rPr>
        <w:t>’</w:t>
      </w:r>
      <w:r w:rsidRPr="00365506">
        <w:rPr>
          <w:lang w:val="fr-FR"/>
        </w:rPr>
        <w:t>idée d</w:t>
      </w:r>
      <w:r w:rsidR="00277023">
        <w:rPr>
          <w:lang w:val="fr-FR"/>
        </w:rPr>
        <w:t>’</w:t>
      </w:r>
      <w:r w:rsidRPr="00365506">
        <w:rPr>
          <w:lang w:val="fr-FR"/>
        </w:rPr>
        <w:t>établir un fonds dédié à des mesures contre ces maladies. Après les débats lors de la session spéciale de l</w:t>
      </w:r>
      <w:r w:rsidR="00277023">
        <w:rPr>
          <w:lang w:val="fr-FR"/>
        </w:rPr>
        <w:t>’</w:t>
      </w:r>
      <w:r w:rsidRPr="00365506">
        <w:rPr>
          <w:lang w:val="fr-FR"/>
        </w:rPr>
        <w:t>Assemblée générale sur le VIH/sida et le Sommet du G 8 à Gênes, le fonds mondial de lutte contre le sida, la tuberculose et le paludisme (fonds mondial) a été créé en janvier 2002. En janvier 2006, le Japon avait contribué à hauteur de 346,5 millions de dollars au fonds mondial et il est un partenaire actif du Conseil du fonds. Il faut également signaler que le premier Ministre Junichiro Koizumi a relevé le montant de la contribution fin juin 2005, s</w:t>
      </w:r>
      <w:r w:rsidR="00277023">
        <w:rPr>
          <w:lang w:val="fr-FR"/>
        </w:rPr>
        <w:t>’</w:t>
      </w:r>
      <w:r w:rsidRPr="00365506">
        <w:rPr>
          <w:lang w:val="fr-FR"/>
        </w:rPr>
        <w:t>engageant à verser au cours des prochaines années la somme de 500 millions de dollars au fonds mondial. De plus, s</w:t>
      </w:r>
      <w:r w:rsidR="00277023">
        <w:rPr>
          <w:lang w:val="fr-FR"/>
        </w:rPr>
        <w:t>’</w:t>
      </w:r>
      <w:r w:rsidRPr="00365506">
        <w:rPr>
          <w:lang w:val="fr-FR"/>
        </w:rPr>
        <w:t>agissant des mesures de lutte contre le VIH/sida, le Japon a versé quelque 52,7 millions de dollars au Programme d</w:t>
      </w:r>
      <w:r w:rsidR="00277023">
        <w:rPr>
          <w:lang w:val="fr-FR"/>
        </w:rPr>
        <w:t>’</w:t>
      </w:r>
      <w:r w:rsidRPr="00365506">
        <w:rPr>
          <w:lang w:val="fr-FR"/>
        </w:rPr>
        <w:t xml:space="preserve">action commun des Nations Unies de lutte contre le VIH/sida (ONUSIDA) depuis sa création, en vue de soutenir les mesures de lutte contre le sida dans les pays en développement. </w:t>
      </w:r>
    </w:p>
    <w:p w:rsidR="00365506" w:rsidRPr="00365506" w:rsidRDefault="00365506" w:rsidP="00365506">
      <w:pPr>
        <w:pStyle w:val="H23G"/>
        <w:rPr>
          <w:lang w:val="fr-FR"/>
        </w:rPr>
      </w:pPr>
      <w:r>
        <w:rPr>
          <w:lang w:val="fr-FR"/>
        </w:rPr>
        <w:tab/>
        <w:t>3)</w:t>
      </w:r>
      <w:r>
        <w:rPr>
          <w:lang w:val="fr-FR"/>
        </w:rPr>
        <w:tab/>
      </w:r>
      <w:r w:rsidRPr="00365506">
        <w:rPr>
          <w:lang w:val="fr-FR"/>
        </w:rPr>
        <w:t>Egalité des sexes</w:t>
      </w:r>
    </w:p>
    <w:p w:rsidR="00365506" w:rsidRPr="00365506" w:rsidRDefault="00365506" w:rsidP="00365506">
      <w:pPr>
        <w:pStyle w:val="SingleTxtG"/>
        <w:rPr>
          <w:lang w:val="fr-FR"/>
        </w:rPr>
      </w:pPr>
      <w:r w:rsidRPr="00365506">
        <w:rPr>
          <w:lang w:val="fr-FR"/>
        </w:rPr>
        <w:t>71.</w:t>
      </w:r>
      <w:r w:rsidRPr="00365506">
        <w:rPr>
          <w:lang w:val="fr-FR"/>
        </w:rPr>
        <w:tab/>
        <w:t>Depuis le lancement de l</w:t>
      </w:r>
      <w:r w:rsidR="00277023">
        <w:rPr>
          <w:lang w:val="fr-FR"/>
        </w:rPr>
        <w:t>’</w:t>
      </w:r>
      <w:r w:rsidRPr="00365506">
        <w:rPr>
          <w:lang w:val="fr-FR"/>
        </w:rPr>
        <w:t>initiative d</w:t>
      </w:r>
      <w:r w:rsidR="00277023">
        <w:rPr>
          <w:lang w:val="fr-FR"/>
        </w:rPr>
        <w:t>’</w:t>
      </w:r>
      <w:r w:rsidRPr="00365506">
        <w:rPr>
          <w:lang w:val="fr-FR"/>
        </w:rPr>
        <w:t>intégration des femmes au développement en 1995 en vue de répondre à la problématique hommes-femmes, le Japon a apporté son appui actif dans trois domaines en particulier</w:t>
      </w:r>
      <w:r w:rsidR="00277023">
        <w:rPr>
          <w:lang w:val="fr-FR"/>
        </w:rPr>
        <w:t>:</w:t>
      </w:r>
      <w:r w:rsidR="00EA1115">
        <w:rPr>
          <w:lang w:val="fr-FR"/>
        </w:rPr>
        <w:t xml:space="preserve"> </w:t>
      </w:r>
      <w:r w:rsidRPr="00365506">
        <w:rPr>
          <w:lang w:val="fr-FR"/>
        </w:rPr>
        <w:t>l</w:t>
      </w:r>
      <w:r w:rsidR="00277023">
        <w:rPr>
          <w:lang w:val="fr-FR"/>
        </w:rPr>
        <w:t>’</w:t>
      </w:r>
      <w:r w:rsidRPr="00365506">
        <w:rPr>
          <w:lang w:val="fr-FR"/>
        </w:rPr>
        <w:t>éducation, la santé et la participation économique et sociale des femmes. Au cours de la</w:t>
      </w:r>
      <w:r w:rsidR="00EA1115">
        <w:rPr>
          <w:lang w:val="fr-FR"/>
        </w:rPr>
        <w:t xml:space="preserve"> </w:t>
      </w:r>
      <w:r w:rsidRPr="00365506">
        <w:rPr>
          <w:lang w:val="fr-FR"/>
        </w:rPr>
        <w:t xml:space="preserve">période 1996-2003, il a offert une aide au développement de plus de 900 millions de dollars en moyenne chaque année. </w:t>
      </w:r>
    </w:p>
    <w:p w:rsidR="00365506" w:rsidRPr="00365506" w:rsidRDefault="00365506" w:rsidP="00365506">
      <w:pPr>
        <w:pStyle w:val="SingleTxtG"/>
        <w:rPr>
          <w:lang w:val="fr-FR"/>
        </w:rPr>
      </w:pPr>
      <w:r w:rsidRPr="00365506">
        <w:rPr>
          <w:lang w:val="fr-FR"/>
        </w:rPr>
        <w:t>72.</w:t>
      </w:r>
      <w:r w:rsidRPr="00365506">
        <w:rPr>
          <w:lang w:val="fr-FR"/>
        </w:rPr>
        <w:tab/>
        <w:t>La situation que rencontrent les femmes dans les pays en développement s</w:t>
      </w:r>
      <w:r w:rsidR="00277023">
        <w:rPr>
          <w:lang w:val="fr-FR"/>
        </w:rPr>
        <w:t>’</w:t>
      </w:r>
      <w:r w:rsidRPr="00365506">
        <w:rPr>
          <w:lang w:val="fr-FR"/>
        </w:rPr>
        <w:t>est récemment modifiée, car la communauté internationale entend intégrer l</w:t>
      </w:r>
      <w:r w:rsidR="00277023">
        <w:rPr>
          <w:lang w:val="fr-FR"/>
        </w:rPr>
        <w:t>’</w:t>
      </w:r>
      <w:r w:rsidRPr="00365506">
        <w:rPr>
          <w:lang w:val="fr-FR"/>
        </w:rPr>
        <w:t>égalité des sexes dans les processus de développement. C</w:t>
      </w:r>
      <w:r w:rsidR="00277023">
        <w:rPr>
          <w:lang w:val="fr-FR"/>
        </w:rPr>
        <w:t>’</w:t>
      </w:r>
      <w:r w:rsidRPr="00365506">
        <w:rPr>
          <w:lang w:val="fr-FR"/>
        </w:rPr>
        <w:t>est ainsi que le Gouvernement japonais a réexaminé l</w:t>
      </w:r>
      <w:r w:rsidR="00277023">
        <w:rPr>
          <w:lang w:val="fr-FR"/>
        </w:rPr>
        <w:t>’</w:t>
      </w:r>
      <w:r w:rsidRPr="00365506">
        <w:rPr>
          <w:lang w:val="fr-FR"/>
        </w:rPr>
        <w:t>initiative d</w:t>
      </w:r>
      <w:r w:rsidR="00277023">
        <w:rPr>
          <w:lang w:val="fr-FR"/>
        </w:rPr>
        <w:t>’</w:t>
      </w:r>
      <w:r w:rsidRPr="00365506">
        <w:rPr>
          <w:lang w:val="fr-FR"/>
        </w:rPr>
        <w:t>intégration des femmes au développement et formulé une initiative en faveur des femmes et du développement en mars 2005, afin de renforcer la parité dans le cadre de l</w:t>
      </w:r>
      <w:r w:rsidR="00277023">
        <w:rPr>
          <w:lang w:val="fr-FR"/>
        </w:rPr>
        <w:t>’</w:t>
      </w:r>
      <w:r w:rsidRPr="00365506">
        <w:rPr>
          <w:lang w:val="fr-FR"/>
        </w:rPr>
        <w:t>APD. Cette initiative ne sert pas uniquement à définir l</w:t>
      </w:r>
      <w:r w:rsidR="00277023">
        <w:rPr>
          <w:lang w:val="fr-FR"/>
        </w:rPr>
        <w:t>’</w:t>
      </w:r>
      <w:r w:rsidRPr="00365506">
        <w:rPr>
          <w:lang w:val="fr-FR"/>
        </w:rPr>
        <w:t>approche fondamentale du Japon en matière de parité au regard de l</w:t>
      </w:r>
      <w:r w:rsidR="00277023">
        <w:rPr>
          <w:lang w:val="fr-FR"/>
        </w:rPr>
        <w:t>’</w:t>
      </w:r>
      <w:r w:rsidRPr="00365506">
        <w:rPr>
          <w:lang w:val="fr-FR"/>
        </w:rPr>
        <w:t>APD, elle présente de manière exhaustive les actions spécifiques en vue de l</w:t>
      </w:r>
      <w:r w:rsidR="00277023">
        <w:rPr>
          <w:lang w:val="fr-FR"/>
        </w:rPr>
        <w:t>’</w:t>
      </w:r>
      <w:r w:rsidRPr="00365506">
        <w:rPr>
          <w:lang w:val="fr-FR"/>
        </w:rPr>
        <w:t>égalité des sexes, qu</w:t>
      </w:r>
      <w:r w:rsidR="00277023">
        <w:rPr>
          <w:lang w:val="fr-FR"/>
        </w:rPr>
        <w:t>’</w:t>
      </w:r>
      <w:r w:rsidRPr="00365506">
        <w:rPr>
          <w:lang w:val="fr-FR"/>
        </w:rPr>
        <w:t>il s</w:t>
      </w:r>
      <w:r w:rsidR="00277023">
        <w:rPr>
          <w:lang w:val="fr-FR"/>
        </w:rPr>
        <w:t>’</w:t>
      </w:r>
      <w:r w:rsidRPr="00365506">
        <w:rPr>
          <w:lang w:val="fr-FR"/>
        </w:rPr>
        <w:t xml:space="preserve">agisse de la réduction de la pauvreté, de la croissance durable, de la résolution des problèmes liés à la mondialisation et de la consolidation de la paix, tous ces aspects étant prioritaires dans </w:t>
      </w:r>
      <w:smartTag w:uri="urn:schemas-microsoft-com:office:smarttags" w:element="PersonName">
        <w:smartTagPr>
          <w:attr w:name="ProductID" w:val="la Charte"/>
        </w:smartTagPr>
        <w:r w:rsidRPr="00365506">
          <w:rPr>
            <w:lang w:val="fr-FR"/>
          </w:rPr>
          <w:t>la Charte</w:t>
        </w:r>
      </w:smartTag>
      <w:r w:rsidRPr="00365506">
        <w:rPr>
          <w:lang w:val="fr-FR"/>
        </w:rPr>
        <w:t xml:space="preserve"> de l</w:t>
      </w:r>
      <w:r w:rsidR="00277023">
        <w:rPr>
          <w:lang w:val="fr-FR"/>
        </w:rPr>
        <w:t>’</w:t>
      </w:r>
      <w:r w:rsidRPr="00365506">
        <w:rPr>
          <w:lang w:val="fr-FR"/>
        </w:rPr>
        <w:t>APD. Le Japon envisage de renforcer sa contribution aux efforts des pays en développement pour la réalisation de l</w:t>
      </w:r>
      <w:r w:rsidR="00277023">
        <w:rPr>
          <w:lang w:val="fr-FR"/>
        </w:rPr>
        <w:t>’</w:t>
      </w:r>
      <w:r w:rsidRPr="00365506">
        <w:rPr>
          <w:lang w:val="fr-FR"/>
        </w:rPr>
        <w:t>égalité des sexes et de l</w:t>
      </w:r>
      <w:r w:rsidR="00277023">
        <w:rPr>
          <w:lang w:val="fr-FR"/>
        </w:rPr>
        <w:t>’</w:t>
      </w:r>
      <w:r w:rsidRPr="00365506">
        <w:rPr>
          <w:lang w:val="fr-FR"/>
        </w:rPr>
        <w:t>autonomisation des femmes.</w:t>
      </w:r>
    </w:p>
    <w:p w:rsidR="00365506" w:rsidRPr="00365506" w:rsidRDefault="00365506" w:rsidP="00365506">
      <w:pPr>
        <w:pStyle w:val="SingleTxtG"/>
        <w:rPr>
          <w:lang w:val="fr-FR"/>
        </w:rPr>
      </w:pPr>
      <w:r w:rsidRPr="00365506">
        <w:rPr>
          <w:lang w:val="fr-FR"/>
        </w:rPr>
        <w:t>73.</w:t>
      </w:r>
      <w:r w:rsidRPr="00365506">
        <w:rPr>
          <w:lang w:val="fr-FR"/>
        </w:rPr>
        <w:tab/>
        <w:t>Le Japon apporte par ailleurs une aide au développement qui intègre la perspective de l</w:t>
      </w:r>
      <w:r w:rsidR="00277023">
        <w:rPr>
          <w:lang w:val="fr-FR"/>
        </w:rPr>
        <w:t>’</w:t>
      </w:r>
      <w:r w:rsidRPr="00365506">
        <w:rPr>
          <w:lang w:val="fr-FR"/>
        </w:rPr>
        <w:t>égalité des sexes à travers le Programme des Nations Unies pour le développement (PNUD). En 1995, le Japon a créé le fonds pour l</w:t>
      </w:r>
      <w:r w:rsidR="00277023">
        <w:rPr>
          <w:lang w:val="fr-FR"/>
        </w:rPr>
        <w:t>’</w:t>
      </w:r>
      <w:r w:rsidRPr="00365506">
        <w:rPr>
          <w:lang w:val="fr-FR"/>
        </w:rPr>
        <w:t>intégration des femmes au développement dans le cadre du PNUD afin d</w:t>
      </w:r>
      <w:r w:rsidR="00277023">
        <w:rPr>
          <w:lang w:val="fr-FR"/>
        </w:rPr>
        <w:t>’</w:t>
      </w:r>
      <w:r w:rsidRPr="00365506">
        <w:rPr>
          <w:lang w:val="fr-FR"/>
        </w:rPr>
        <w:t>appuyer l</w:t>
      </w:r>
      <w:r w:rsidR="00277023">
        <w:rPr>
          <w:lang w:val="fr-FR"/>
        </w:rPr>
        <w:t>’</w:t>
      </w:r>
      <w:r w:rsidRPr="00365506">
        <w:rPr>
          <w:lang w:val="fr-FR"/>
        </w:rPr>
        <w:t>autonomisation des femmes dans les pays en développement, totalisant une contribution de 15,5 millions de dollars jusqu</w:t>
      </w:r>
      <w:r w:rsidR="00277023">
        <w:rPr>
          <w:lang w:val="fr-FR"/>
        </w:rPr>
        <w:t>’</w:t>
      </w:r>
      <w:r w:rsidRPr="00365506">
        <w:rPr>
          <w:lang w:val="fr-FR"/>
        </w:rPr>
        <w:t>à la restructuration du fonds en fonds de partenariat Japon/PNUD en 2003. Le fonds appuie des programmes en faveur de l</w:t>
      </w:r>
      <w:r w:rsidR="00277023">
        <w:rPr>
          <w:lang w:val="fr-FR"/>
        </w:rPr>
        <w:t>’</w:t>
      </w:r>
      <w:r w:rsidRPr="00365506">
        <w:rPr>
          <w:lang w:val="fr-FR"/>
        </w:rPr>
        <w:t>égalité des sexes et de l</w:t>
      </w:r>
      <w:r w:rsidR="00277023">
        <w:rPr>
          <w:lang w:val="fr-FR"/>
        </w:rPr>
        <w:t>’</w:t>
      </w:r>
      <w:r w:rsidRPr="00365506">
        <w:rPr>
          <w:lang w:val="fr-FR"/>
        </w:rPr>
        <w:t>autonomisation des femmes et contribue au développement durable des ressources humaines et à la réduction de la pauvreté dans les pays en développement. Ainsi, s</w:t>
      </w:r>
      <w:r w:rsidR="00277023">
        <w:rPr>
          <w:lang w:val="fr-FR"/>
        </w:rPr>
        <w:t>’</w:t>
      </w:r>
      <w:r w:rsidRPr="00365506">
        <w:rPr>
          <w:lang w:val="fr-FR"/>
        </w:rPr>
        <w:t>agissant des enfants, le Gouvernement japonais s</w:t>
      </w:r>
      <w:r w:rsidR="00277023">
        <w:rPr>
          <w:lang w:val="fr-FR"/>
        </w:rPr>
        <w:t>’</w:t>
      </w:r>
      <w:r w:rsidRPr="00365506">
        <w:rPr>
          <w:lang w:val="fr-FR"/>
        </w:rPr>
        <w:t>est associé au PNUD pour contribuer à la réalisation de l</w:t>
      </w:r>
      <w:r w:rsidR="00277023">
        <w:rPr>
          <w:lang w:val="fr-FR"/>
        </w:rPr>
        <w:t>’</w:t>
      </w:r>
      <w:r w:rsidRPr="00365506">
        <w:rPr>
          <w:lang w:val="fr-FR"/>
        </w:rPr>
        <w:t>égalité des sexes dans l</w:t>
      </w:r>
      <w:r w:rsidR="00277023">
        <w:rPr>
          <w:lang w:val="fr-FR"/>
        </w:rPr>
        <w:t>’</w:t>
      </w:r>
      <w:r w:rsidRPr="00365506">
        <w:rPr>
          <w:lang w:val="fr-FR"/>
        </w:rPr>
        <w:t>éducation primaire au Guatemala. Le PNUD a utilisé le fonds pour créer un programme de soutien à l</w:t>
      </w:r>
      <w:r w:rsidR="00277023">
        <w:rPr>
          <w:lang w:val="fr-FR"/>
        </w:rPr>
        <w:t>’</w:t>
      </w:r>
      <w:r w:rsidRPr="00365506">
        <w:rPr>
          <w:lang w:val="fr-FR"/>
        </w:rPr>
        <w:t xml:space="preserve">éducation des filles et offre son assistance dans le cadre de la réforme du système éducatif conforme à la politique du Gouvernement guatémaltèque et de la formulation de </w:t>
      </w:r>
      <w:smartTag w:uri="urn:schemas-microsoft-com:office:smarttags" w:element="PersonName">
        <w:smartTagPr>
          <w:attr w:name="ProductID" w:val="la Strat￩gie"/>
        </w:smartTagPr>
        <w:r w:rsidRPr="00365506">
          <w:rPr>
            <w:lang w:val="fr-FR"/>
          </w:rPr>
          <w:t>la Stratégie</w:t>
        </w:r>
      </w:smartTag>
      <w:r w:rsidRPr="00365506">
        <w:rPr>
          <w:lang w:val="fr-FR"/>
        </w:rPr>
        <w:t xml:space="preserve"> quinquennale en faveur de l</w:t>
      </w:r>
      <w:r w:rsidR="00277023">
        <w:rPr>
          <w:lang w:val="fr-FR"/>
        </w:rPr>
        <w:t>’</w:t>
      </w:r>
      <w:r w:rsidRPr="00365506">
        <w:rPr>
          <w:lang w:val="fr-FR"/>
        </w:rPr>
        <w:t>éducation des filles. En application de ces principes, le Japon encourage la création d</w:t>
      </w:r>
      <w:r w:rsidR="00277023">
        <w:rPr>
          <w:lang w:val="fr-FR"/>
        </w:rPr>
        <w:t>’</w:t>
      </w:r>
      <w:r w:rsidRPr="00365506">
        <w:rPr>
          <w:lang w:val="fr-FR"/>
        </w:rPr>
        <w:t>écoles et de méthodes pédagogiques dans la langue locale et procure une aide de terrain, y compris en matière de formation pour le perfectionnement des ressources humaines. Ce programme contribue sensiblement à l</w:t>
      </w:r>
      <w:r w:rsidR="00277023">
        <w:rPr>
          <w:lang w:val="fr-FR"/>
        </w:rPr>
        <w:t>’</w:t>
      </w:r>
      <w:r w:rsidRPr="00365506">
        <w:rPr>
          <w:lang w:val="fr-FR"/>
        </w:rPr>
        <w:t>égalité des sexes dans l</w:t>
      </w:r>
      <w:r w:rsidR="00277023">
        <w:rPr>
          <w:lang w:val="fr-FR"/>
        </w:rPr>
        <w:t>’</w:t>
      </w:r>
      <w:r w:rsidRPr="00365506">
        <w:rPr>
          <w:lang w:val="fr-FR"/>
        </w:rPr>
        <w:t>éducation primaire guatémaltèque.</w:t>
      </w:r>
    </w:p>
    <w:p w:rsidR="00365506" w:rsidRPr="00365506" w:rsidRDefault="00365506" w:rsidP="00365506">
      <w:pPr>
        <w:pStyle w:val="H23G"/>
        <w:rPr>
          <w:lang w:val="fr-FR"/>
        </w:rPr>
      </w:pPr>
      <w:r>
        <w:rPr>
          <w:lang w:val="fr-FR"/>
        </w:rPr>
        <w:tab/>
        <w:t>4)</w:t>
      </w:r>
      <w:r>
        <w:rPr>
          <w:lang w:val="fr-FR"/>
        </w:rPr>
        <w:tab/>
      </w:r>
      <w:r w:rsidRPr="00365506">
        <w:rPr>
          <w:lang w:val="fr-FR"/>
        </w:rPr>
        <w:t>Fonds d</w:t>
      </w:r>
      <w:r w:rsidR="00277023">
        <w:rPr>
          <w:lang w:val="fr-FR"/>
        </w:rPr>
        <w:t>’</w:t>
      </w:r>
      <w:r w:rsidRPr="00365506">
        <w:rPr>
          <w:lang w:val="fr-FR"/>
        </w:rPr>
        <w:t>affectation sp</w:t>
      </w:r>
      <w:r w:rsidR="00277023">
        <w:rPr>
          <w:lang w:val="fr-FR"/>
        </w:rPr>
        <w:t>éciale pour la sécurité humaine</w:t>
      </w:r>
    </w:p>
    <w:p w:rsidR="00365506" w:rsidRPr="00365506" w:rsidRDefault="00365506" w:rsidP="00365506">
      <w:pPr>
        <w:pStyle w:val="SingleTxtG"/>
        <w:rPr>
          <w:lang w:val="fr-FR"/>
        </w:rPr>
      </w:pPr>
      <w:r w:rsidRPr="00365506">
        <w:rPr>
          <w:lang w:val="fr-FR"/>
        </w:rPr>
        <w:t>74.</w:t>
      </w:r>
      <w:r w:rsidRPr="00365506">
        <w:rPr>
          <w:lang w:val="fr-FR"/>
        </w:rPr>
        <w:tab/>
        <w:t>S</w:t>
      </w:r>
      <w:r w:rsidR="00277023">
        <w:rPr>
          <w:lang w:val="fr-FR"/>
        </w:rPr>
        <w:t>’</w:t>
      </w:r>
      <w:r w:rsidRPr="00365506">
        <w:rPr>
          <w:lang w:val="fr-FR"/>
        </w:rPr>
        <w:t>agissant d</w:t>
      </w:r>
      <w:r w:rsidR="00277023">
        <w:rPr>
          <w:lang w:val="fr-FR"/>
        </w:rPr>
        <w:t>’</w:t>
      </w:r>
      <w:r w:rsidRPr="00365506">
        <w:rPr>
          <w:lang w:val="fr-FR"/>
        </w:rPr>
        <w:t>incorporer la notion de sécurité humaine dans les activités des organismes des Nations Unies en appui aux projets qui cherchent à répondre à diverses menaces pour la communauté internationale, notamment la pauvreté, la dégradation de l</w:t>
      </w:r>
      <w:r w:rsidR="00277023">
        <w:rPr>
          <w:lang w:val="fr-FR"/>
        </w:rPr>
        <w:t>’</w:t>
      </w:r>
      <w:r w:rsidRPr="00365506">
        <w:rPr>
          <w:lang w:val="fr-FR"/>
        </w:rPr>
        <w:t>environnement, les conflits, les mines terrestres, la question des réfugiés, les drogues illicites et les maladies infectieuses comme le VIH/sida, et de sécuriser concrètement la vie, les moyens de subsistance et la dignité des populations, le Japon a créé en mars 1999 le fonds d</w:t>
      </w:r>
      <w:r w:rsidR="00277023">
        <w:rPr>
          <w:lang w:val="fr-FR"/>
        </w:rPr>
        <w:t>’</w:t>
      </w:r>
      <w:r w:rsidRPr="00365506">
        <w:rPr>
          <w:lang w:val="fr-FR"/>
        </w:rPr>
        <w:t>affectation spéciale pour la sécurité humaine au Siège des Nations Unies. Avec ce fonds, le Gouvernement japonais apporte un appui à des projets en faveur de la protection et de la promotion des droits et du bien-être des enfants dans des domaines tels que l</w:t>
      </w:r>
      <w:r w:rsidR="00277023">
        <w:rPr>
          <w:lang w:val="fr-FR"/>
        </w:rPr>
        <w:t>’</w:t>
      </w:r>
      <w:r w:rsidRPr="00365506">
        <w:rPr>
          <w:lang w:val="fr-FR"/>
        </w:rPr>
        <w:t>éducation, la prévention de la traite et la lutte contre le VIH/sida. La liste des principaux projets concernant les enfants mis en œuvre entre 2001 et 2005 est présentée ci-dessous.</w:t>
      </w:r>
    </w:p>
    <w:p w:rsidR="00365506" w:rsidRPr="00365506" w:rsidRDefault="00365506" w:rsidP="00365506">
      <w:pPr>
        <w:pStyle w:val="H23G"/>
        <w:rPr>
          <w:lang w:val="fr-FR"/>
        </w:rPr>
      </w:pPr>
      <w:r>
        <w:rPr>
          <w:lang w:val="fr-FR"/>
        </w:rPr>
        <w:tab/>
        <w:t>5)</w:t>
      </w:r>
      <w:r>
        <w:rPr>
          <w:lang w:val="fr-FR"/>
        </w:rPr>
        <w:tab/>
      </w:r>
      <w:r w:rsidRPr="00365506">
        <w:rPr>
          <w:lang w:val="fr-FR"/>
        </w:rPr>
        <w:t>Soutien aux ONG</w:t>
      </w:r>
    </w:p>
    <w:p w:rsidR="00146E64" w:rsidRDefault="00365506" w:rsidP="00365506">
      <w:pPr>
        <w:pStyle w:val="SingleTxtG"/>
        <w:rPr>
          <w:lang w:val="fr-FR"/>
        </w:rPr>
      </w:pPr>
      <w:r w:rsidRPr="00365506">
        <w:rPr>
          <w:lang w:val="fr-FR"/>
        </w:rPr>
        <w:t>75.</w:t>
      </w:r>
      <w:r w:rsidRPr="00365506">
        <w:rPr>
          <w:lang w:val="fr-FR"/>
        </w:rPr>
        <w:tab/>
        <w:t>Le Japon offre un appui financier à des ONG japonaises qui se livrent à des activités de terrain dans les domaines des soins de santé et de l</w:t>
      </w:r>
      <w:r w:rsidR="00277023">
        <w:rPr>
          <w:lang w:val="fr-FR"/>
        </w:rPr>
        <w:t>’</w:t>
      </w:r>
      <w:r w:rsidRPr="00365506">
        <w:rPr>
          <w:lang w:val="fr-FR"/>
        </w:rPr>
        <w:t>éducation, qui contribuent à l</w:t>
      </w:r>
      <w:r w:rsidR="00277023">
        <w:rPr>
          <w:lang w:val="fr-FR"/>
        </w:rPr>
        <w:t>’</w:t>
      </w:r>
      <w:r w:rsidRPr="00365506">
        <w:rPr>
          <w:lang w:val="fr-FR"/>
        </w:rPr>
        <w:t>amélioration de la santé maternelle et infantile, au bien-être et à l</w:t>
      </w:r>
      <w:r w:rsidR="00277023">
        <w:rPr>
          <w:lang w:val="fr-FR"/>
        </w:rPr>
        <w:t>’</w:t>
      </w:r>
      <w:r w:rsidRPr="00365506">
        <w:rPr>
          <w:lang w:val="fr-FR"/>
        </w:rPr>
        <w:t>éducation des enfants. Elles sont menées dans le cadre de programmes tels que Dons pour des projets d</w:t>
      </w:r>
      <w:r w:rsidR="00277023">
        <w:rPr>
          <w:lang w:val="fr-FR"/>
        </w:rPr>
        <w:t>’</w:t>
      </w:r>
      <w:r w:rsidRPr="00365506">
        <w:rPr>
          <w:lang w:val="fr-FR"/>
        </w:rPr>
        <w:t>ONG japonaises et Subvention à des projets d</w:t>
      </w:r>
      <w:r w:rsidR="00277023">
        <w:rPr>
          <w:lang w:val="fr-FR"/>
        </w:rPr>
        <w:t>’</w:t>
      </w:r>
      <w:r w:rsidRPr="00365506">
        <w:rPr>
          <w:lang w:val="fr-FR"/>
        </w:rPr>
        <w:t>ONG. Ces programmes aident les ONG à fournir une assistance ciblée directement aux communautés locales des pays bénéficiaires. En 2006, ce sont 428,10 millions de yen qui ont été versés pour des projets d</w:t>
      </w:r>
      <w:r w:rsidR="00277023">
        <w:rPr>
          <w:lang w:val="fr-FR"/>
        </w:rPr>
        <w:t>’</w:t>
      </w:r>
      <w:r w:rsidRPr="00365506">
        <w:rPr>
          <w:lang w:val="fr-FR"/>
        </w:rPr>
        <w:t>ONG japonaises (l</w:t>
      </w:r>
      <w:r w:rsidR="00277023">
        <w:rPr>
          <w:lang w:val="fr-FR"/>
        </w:rPr>
        <w:t>’</w:t>
      </w:r>
      <w:r w:rsidRPr="00365506">
        <w:rPr>
          <w:lang w:val="fr-FR"/>
        </w:rPr>
        <w:t>intégralité des projets concernait les soins de santé et l</w:t>
      </w:r>
      <w:r w:rsidR="00277023">
        <w:rPr>
          <w:lang w:val="fr-FR"/>
        </w:rPr>
        <w:t>’</w:t>
      </w:r>
      <w:r w:rsidRPr="00365506">
        <w:rPr>
          <w:lang w:val="fr-FR"/>
        </w:rPr>
        <w:t>éducation), et pour 2006, quelque 33,7 millions de yen ont servi à subventionner des projets d</w:t>
      </w:r>
      <w:r w:rsidR="00277023">
        <w:rPr>
          <w:lang w:val="fr-FR"/>
        </w:rPr>
        <w:t>’</w:t>
      </w:r>
      <w:r w:rsidRPr="00365506">
        <w:rPr>
          <w:lang w:val="fr-FR"/>
        </w:rPr>
        <w:t>ONG (l</w:t>
      </w:r>
      <w:r w:rsidR="00277023">
        <w:rPr>
          <w:lang w:val="fr-FR"/>
        </w:rPr>
        <w:t>’</w:t>
      </w:r>
      <w:r w:rsidRPr="00365506">
        <w:rPr>
          <w:lang w:val="fr-FR"/>
        </w:rPr>
        <w:t>intégralité des projets concernait le perfectionnement des ressources humaines, les services de santé et des projets médicaux). En outre, en 2005, le Japon a versé quelque 14,3 milliards de yen au titre de subventions versées à l</w:t>
      </w:r>
      <w:r w:rsidR="00277023">
        <w:rPr>
          <w:lang w:val="fr-FR"/>
        </w:rPr>
        <w:t>’</w:t>
      </w:r>
      <w:r w:rsidRPr="00365506">
        <w:rPr>
          <w:lang w:val="fr-FR"/>
        </w:rPr>
        <w:t>échelon local en faveur de la sécurité humaine à des organisations étrangères comme des ONG locales de pays en développement et des ONG internationales.</w:t>
      </w:r>
    </w:p>
    <w:p w:rsidR="00146E64" w:rsidRPr="00277023" w:rsidRDefault="00EE5870" w:rsidP="00EE5870">
      <w:pPr>
        <w:pStyle w:val="Heading1"/>
        <w:rPr>
          <w:lang w:val="fr-FR"/>
        </w:rPr>
      </w:pPr>
      <w:r>
        <w:rPr>
          <w:lang w:val="fr-FR"/>
        </w:rPr>
        <w:br w:type="page"/>
      </w:r>
      <w:r w:rsidR="00F206B8" w:rsidRPr="00F206B8">
        <w:rPr>
          <w:lang w:val="fr-FR"/>
        </w:rPr>
        <w:t>Tableau</w:t>
      </w:r>
      <w:r w:rsidR="00F206B8" w:rsidRPr="00277023">
        <w:rPr>
          <w:lang w:val="fr-FR"/>
        </w:rPr>
        <w:t xml:space="preserve"> </w:t>
      </w:r>
      <w:r w:rsidR="00146E64" w:rsidRPr="00277023">
        <w:rPr>
          <w:lang w:val="fr-FR"/>
        </w:rPr>
        <w:t>4</w:t>
      </w:r>
    </w:p>
    <w:p w:rsidR="00146E64" w:rsidRPr="00277023" w:rsidRDefault="00365506" w:rsidP="00AC5677">
      <w:pPr>
        <w:pStyle w:val="SingleTxtG"/>
        <w:spacing w:after="0"/>
        <w:jc w:val="left"/>
        <w:rPr>
          <w:b/>
          <w:lang w:val="fr-FR"/>
        </w:rPr>
      </w:pPr>
      <w:r w:rsidRPr="00365506">
        <w:rPr>
          <w:b/>
          <w:bCs/>
          <w:lang w:val="fr-FR"/>
        </w:rPr>
        <w:t>Liste des projets soutenus par le fonds d</w:t>
      </w:r>
      <w:r w:rsidR="00277023">
        <w:rPr>
          <w:b/>
          <w:bCs/>
          <w:lang w:val="fr-FR"/>
        </w:rPr>
        <w:t>’</w:t>
      </w:r>
      <w:r w:rsidRPr="00365506">
        <w:rPr>
          <w:b/>
          <w:bCs/>
          <w:lang w:val="fr-FR"/>
        </w:rPr>
        <w:t>affectation spéciale des Nations Unies pour la sécurité humaine</w:t>
      </w:r>
    </w:p>
    <w:p w:rsidR="00146E64" w:rsidRPr="00277023" w:rsidRDefault="00146E64" w:rsidP="00AC5677">
      <w:pPr>
        <w:pStyle w:val="SingleTxtG"/>
        <w:jc w:val="left"/>
        <w:rPr>
          <w:sz w:val="16"/>
          <w:szCs w:val="16"/>
          <w:lang w:val="fr-FR"/>
        </w:rPr>
      </w:pPr>
      <w:r w:rsidRPr="00277023">
        <w:rPr>
          <w:sz w:val="16"/>
          <w:szCs w:val="16"/>
          <w:lang w:val="fr-FR"/>
        </w:rPr>
        <w:t>(</w:t>
      </w:r>
      <w:r w:rsidR="00365506" w:rsidRPr="00365506">
        <w:rPr>
          <w:sz w:val="16"/>
          <w:szCs w:val="16"/>
          <w:lang w:val="fr-FR"/>
        </w:rPr>
        <w:t>projets concernant les enfants</w:t>
      </w:r>
      <w:r w:rsidRPr="00277023">
        <w:rPr>
          <w:sz w:val="16"/>
          <w:szCs w:val="16"/>
          <w:lang w:val="fr-FR"/>
        </w:rP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E0" w:firstRow="1" w:lastRow="1" w:firstColumn="1" w:lastColumn="1" w:noHBand="0" w:noVBand="0"/>
      </w:tblPr>
      <w:tblGrid>
        <w:gridCol w:w="2086"/>
        <w:gridCol w:w="2799"/>
        <w:gridCol w:w="980"/>
        <w:gridCol w:w="1274"/>
        <w:gridCol w:w="1366"/>
      </w:tblGrid>
      <w:tr w:rsidR="008D086E" w:rsidRPr="006347DD" w:rsidTr="003B6268">
        <w:trPr>
          <w:tblHeader/>
        </w:trPr>
        <w:tc>
          <w:tcPr>
            <w:tcW w:w="2086" w:type="dxa"/>
            <w:tcBorders>
              <w:top w:val="single" w:sz="4" w:space="0" w:color="auto"/>
              <w:bottom w:val="single" w:sz="12" w:space="0" w:color="auto"/>
            </w:tcBorders>
            <w:shd w:val="clear" w:color="auto" w:fill="auto"/>
            <w:vAlign w:val="bottom"/>
          </w:tcPr>
          <w:p w:rsidR="00A676DD" w:rsidRPr="008E5027" w:rsidRDefault="006347DD" w:rsidP="00B545C9">
            <w:pPr>
              <w:spacing w:before="80" w:after="80" w:line="200" w:lineRule="exact"/>
              <w:rPr>
                <w:i/>
                <w:sz w:val="16"/>
              </w:rPr>
            </w:pPr>
            <w:r w:rsidRPr="006347DD">
              <w:rPr>
                <w:i/>
                <w:sz w:val="16"/>
                <w:lang w:val="fr-FR"/>
              </w:rPr>
              <w:t>Pays</w:t>
            </w:r>
          </w:p>
        </w:tc>
        <w:tc>
          <w:tcPr>
            <w:tcW w:w="2799" w:type="dxa"/>
            <w:tcBorders>
              <w:top w:val="single" w:sz="4" w:space="0" w:color="auto"/>
              <w:bottom w:val="single" w:sz="12" w:space="0" w:color="auto"/>
            </w:tcBorders>
            <w:shd w:val="clear" w:color="auto" w:fill="auto"/>
            <w:vAlign w:val="bottom"/>
          </w:tcPr>
          <w:p w:rsidR="00A676DD" w:rsidRPr="008E5027" w:rsidRDefault="006347DD" w:rsidP="00B545C9">
            <w:pPr>
              <w:spacing w:before="80" w:after="80" w:line="200" w:lineRule="exact"/>
              <w:rPr>
                <w:i/>
                <w:sz w:val="16"/>
              </w:rPr>
            </w:pPr>
            <w:r w:rsidRPr="006347DD">
              <w:rPr>
                <w:i/>
                <w:sz w:val="16"/>
                <w:lang w:val="fr-FR"/>
              </w:rPr>
              <w:t>Nom du projet</w:t>
            </w:r>
          </w:p>
        </w:tc>
        <w:tc>
          <w:tcPr>
            <w:tcW w:w="980" w:type="dxa"/>
            <w:tcBorders>
              <w:top w:val="single" w:sz="4" w:space="0" w:color="auto"/>
              <w:bottom w:val="single" w:sz="12" w:space="0" w:color="auto"/>
            </w:tcBorders>
            <w:shd w:val="clear" w:color="auto" w:fill="auto"/>
            <w:vAlign w:val="bottom"/>
          </w:tcPr>
          <w:p w:rsidR="00A676DD" w:rsidRPr="008E5027" w:rsidRDefault="006347DD" w:rsidP="003B6268">
            <w:pPr>
              <w:spacing w:before="80" w:after="80" w:line="200" w:lineRule="exact"/>
              <w:jc w:val="right"/>
              <w:rPr>
                <w:i/>
                <w:sz w:val="16"/>
              </w:rPr>
            </w:pPr>
            <w:r w:rsidRPr="006347DD">
              <w:rPr>
                <w:i/>
                <w:sz w:val="16"/>
                <w:lang w:val="fr-FR"/>
              </w:rPr>
              <w:t>Budget total</w:t>
            </w:r>
            <w:r>
              <w:rPr>
                <w:i/>
                <w:sz w:val="16"/>
                <w:lang w:val="fr-FR"/>
              </w:rPr>
              <w:br/>
            </w:r>
            <w:r w:rsidRPr="006347DD">
              <w:rPr>
                <w:i/>
                <w:sz w:val="16"/>
                <w:lang w:val="fr-FR"/>
              </w:rPr>
              <w:t>(USD)</w:t>
            </w:r>
          </w:p>
        </w:tc>
        <w:tc>
          <w:tcPr>
            <w:tcW w:w="1274" w:type="dxa"/>
            <w:tcBorders>
              <w:top w:val="single" w:sz="4" w:space="0" w:color="auto"/>
              <w:bottom w:val="single" w:sz="12" w:space="0" w:color="auto"/>
            </w:tcBorders>
            <w:shd w:val="clear" w:color="auto" w:fill="auto"/>
            <w:vAlign w:val="bottom"/>
          </w:tcPr>
          <w:p w:rsidR="00A676DD" w:rsidRPr="008E5027" w:rsidRDefault="006347DD" w:rsidP="003B6268">
            <w:pPr>
              <w:spacing w:before="80" w:after="80" w:line="200" w:lineRule="exact"/>
              <w:ind w:left="57"/>
              <w:rPr>
                <w:i/>
                <w:sz w:val="16"/>
              </w:rPr>
            </w:pPr>
            <w:r w:rsidRPr="006347DD">
              <w:rPr>
                <w:i/>
                <w:sz w:val="16"/>
                <w:lang w:val="fr-FR"/>
              </w:rPr>
              <w:t xml:space="preserve">Agent </w:t>
            </w:r>
            <w:r w:rsidR="00150360">
              <w:rPr>
                <w:i/>
                <w:sz w:val="16"/>
                <w:lang w:val="fr-FR"/>
              </w:rPr>
              <w:br/>
            </w:r>
            <w:r w:rsidRPr="006347DD">
              <w:rPr>
                <w:i/>
                <w:sz w:val="16"/>
                <w:lang w:val="fr-FR"/>
              </w:rPr>
              <w:t>d</w:t>
            </w:r>
            <w:r w:rsidR="00277023">
              <w:rPr>
                <w:i/>
                <w:sz w:val="16"/>
                <w:lang w:val="fr-FR"/>
              </w:rPr>
              <w:t>’</w:t>
            </w:r>
            <w:r w:rsidRPr="006347DD">
              <w:rPr>
                <w:i/>
                <w:sz w:val="16"/>
                <w:lang w:val="fr-FR"/>
              </w:rPr>
              <w:t>exécution</w:t>
            </w:r>
          </w:p>
        </w:tc>
        <w:tc>
          <w:tcPr>
            <w:tcW w:w="1366" w:type="dxa"/>
            <w:tcBorders>
              <w:top w:val="single" w:sz="4" w:space="0" w:color="auto"/>
              <w:bottom w:val="single" w:sz="12" w:space="0" w:color="auto"/>
            </w:tcBorders>
            <w:shd w:val="clear" w:color="auto" w:fill="auto"/>
            <w:vAlign w:val="bottom"/>
          </w:tcPr>
          <w:p w:rsidR="00A676DD" w:rsidRPr="006347DD" w:rsidRDefault="006347DD" w:rsidP="00150360">
            <w:pPr>
              <w:spacing w:before="80" w:after="80" w:line="200" w:lineRule="exact"/>
              <w:rPr>
                <w:i/>
                <w:sz w:val="16"/>
                <w:lang w:val="es-ES"/>
              </w:rPr>
            </w:pPr>
            <w:r w:rsidRPr="006347DD">
              <w:rPr>
                <w:i/>
                <w:sz w:val="16"/>
                <w:lang w:val="fr-FR"/>
              </w:rPr>
              <w:t>Date de l</w:t>
            </w:r>
            <w:r w:rsidR="00277023">
              <w:rPr>
                <w:i/>
                <w:sz w:val="16"/>
                <w:lang w:val="fr-FR"/>
              </w:rPr>
              <w:t>’</w:t>
            </w:r>
            <w:r w:rsidRPr="006347DD">
              <w:rPr>
                <w:i/>
                <w:sz w:val="16"/>
                <w:lang w:val="fr-FR"/>
              </w:rPr>
              <w:t>accord de l</w:t>
            </w:r>
            <w:r w:rsidR="00277023">
              <w:rPr>
                <w:i/>
                <w:sz w:val="16"/>
                <w:lang w:val="fr-FR"/>
              </w:rPr>
              <w:t>’</w:t>
            </w:r>
            <w:r w:rsidRPr="006347DD">
              <w:rPr>
                <w:i/>
                <w:sz w:val="16"/>
                <w:lang w:val="fr-FR"/>
              </w:rPr>
              <w:t>ONU</w:t>
            </w:r>
          </w:p>
        </w:tc>
      </w:tr>
      <w:tr w:rsidR="008D086E" w:rsidRPr="006347DD" w:rsidTr="003B6268">
        <w:trPr>
          <w:trHeight w:hRule="exact" w:val="113"/>
          <w:tblHeader/>
        </w:trPr>
        <w:tc>
          <w:tcPr>
            <w:tcW w:w="2086" w:type="dxa"/>
            <w:tcBorders>
              <w:top w:val="single" w:sz="4" w:space="0" w:color="auto"/>
            </w:tcBorders>
            <w:shd w:val="clear" w:color="auto" w:fill="auto"/>
          </w:tcPr>
          <w:p w:rsidR="00A676DD" w:rsidRPr="006347DD" w:rsidRDefault="00A676DD" w:rsidP="00A03B54">
            <w:pPr>
              <w:spacing w:before="80" w:after="80" w:line="200" w:lineRule="exact"/>
              <w:jc w:val="both"/>
              <w:rPr>
                <w:i/>
                <w:sz w:val="16"/>
                <w:lang w:val="es-ES"/>
              </w:rPr>
            </w:pPr>
          </w:p>
        </w:tc>
        <w:tc>
          <w:tcPr>
            <w:tcW w:w="2799" w:type="dxa"/>
            <w:tcBorders>
              <w:top w:val="single" w:sz="4" w:space="0" w:color="auto"/>
            </w:tcBorders>
            <w:shd w:val="clear" w:color="auto" w:fill="auto"/>
          </w:tcPr>
          <w:p w:rsidR="00A676DD" w:rsidRPr="006347DD" w:rsidRDefault="00A676DD" w:rsidP="009C7828">
            <w:pPr>
              <w:spacing w:before="80" w:after="80" w:line="200" w:lineRule="exact"/>
              <w:rPr>
                <w:i/>
                <w:sz w:val="16"/>
                <w:lang w:val="es-ES"/>
              </w:rPr>
            </w:pPr>
          </w:p>
        </w:tc>
        <w:tc>
          <w:tcPr>
            <w:tcW w:w="980" w:type="dxa"/>
            <w:tcBorders>
              <w:top w:val="single" w:sz="4" w:space="0" w:color="auto"/>
            </w:tcBorders>
            <w:shd w:val="clear" w:color="auto" w:fill="auto"/>
            <w:vAlign w:val="bottom"/>
          </w:tcPr>
          <w:p w:rsidR="00A676DD" w:rsidRPr="006347DD" w:rsidRDefault="00A676DD" w:rsidP="003B6268">
            <w:pPr>
              <w:spacing w:before="80" w:after="80" w:line="200" w:lineRule="exact"/>
              <w:jc w:val="right"/>
              <w:rPr>
                <w:i/>
                <w:sz w:val="16"/>
                <w:lang w:val="es-ES"/>
              </w:rPr>
            </w:pPr>
          </w:p>
        </w:tc>
        <w:tc>
          <w:tcPr>
            <w:tcW w:w="1274" w:type="dxa"/>
            <w:tcBorders>
              <w:top w:val="single" w:sz="4" w:space="0" w:color="auto"/>
            </w:tcBorders>
            <w:shd w:val="clear" w:color="auto" w:fill="auto"/>
          </w:tcPr>
          <w:p w:rsidR="00A676DD" w:rsidRPr="006347DD" w:rsidRDefault="00A676DD" w:rsidP="003B6268">
            <w:pPr>
              <w:spacing w:before="80" w:after="80" w:line="200" w:lineRule="exact"/>
              <w:ind w:left="57"/>
              <w:rPr>
                <w:i/>
                <w:sz w:val="16"/>
                <w:lang w:val="es-ES"/>
              </w:rPr>
            </w:pPr>
          </w:p>
        </w:tc>
        <w:tc>
          <w:tcPr>
            <w:tcW w:w="1366" w:type="dxa"/>
            <w:tcBorders>
              <w:top w:val="single" w:sz="4" w:space="0" w:color="auto"/>
            </w:tcBorders>
            <w:shd w:val="clear" w:color="auto" w:fill="auto"/>
          </w:tcPr>
          <w:p w:rsidR="00A676DD" w:rsidRPr="006347DD" w:rsidRDefault="00A676DD" w:rsidP="00150360">
            <w:pPr>
              <w:spacing w:before="80" w:after="80" w:line="200" w:lineRule="exact"/>
              <w:rPr>
                <w:i/>
                <w:sz w:val="16"/>
                <w:lang w:val="es-ES"/>
              </w:rPr>
            </w:pPr>
          </w:p>
        </w:tc>
      </w:tr>
      <w:tr w:rsidR="008D086E" w:rsidRPr="008E5027" w:rsidTr="003B6268">
        <w:tc>
          <w:tcPr>
            <w:tcW w:w="2086" w:type="dxa"/>
            <w:shd w:val="clear" w:color="auto" w:fill="auto"/>
          </w:tcPr>
          <w:p w:rsidR="00A676DD" w:rsidRPr="00EE5870" w:rsidRDefault="00EE5870" w:rsidP="006D66A3">
            <w:pPr>
              <w:spacing w:before="40" w:after="120"/>
              <w:rPr>
                <w:rFonts w:eastAsia="MS Gothic"/>
                <w:color w:val="000000"/>
                <w:sz w:val="18"/>
              </w:rPr>
            </w:pPr>
            <w:r w:rsidRPr="00EE5870">
              <w:rPr>
                <w:rFonts w:eastAsia="MS Gothic"/>
                <w:color w:val="000000"/>
                <w:lang w:val="fr-FR"/>
              </w:rPr>
              <w:t>Philippines</w:t>
            </w:r>
          </w:p>
        </w:tc>
        <w:tc>
          <w:tcPr>
            <w:tcW w:w="2799" w:type="dxa"/>
            <w:shd w:val="clear" w:color="auto" w:fill="auto"/>
          </w:tcPr>
          <w:p w:rsidR="00A676DD" w:rsidRPr="00EE5870" w:rsidRDefault="00EE5870" w:rsidP="006D66A3">
            <w:pPr>
              <w:spacing w:before="40" w:after="120"/>
              <w:rPr>
                <w:rFonts w:eastAsia="MS Gothic"/>
                <w:color w:val="000000"/>
                <w:sz w:val="18"/>
              </w:rPr>
            </w:pPr>
            <w:r w:rsidRPr="00EE5870">
              <w:rPr>
                <w:rFonts w:eastAsia="MS Gothic"/>
                <w:color w:val="000000"/>
                <w:sz w:val="18"/>
                <w:lang w:val="fr-FR"/>
              </w:rPr>
              <w:t>Actions préventives et interventions précoces contre la maltraitance et l</w:t>
            </w:r>
            <w:r w:rsidR="00277023">
              <w:rPr>
                <w:rFonts w:eastAsia="MS Gothic"/>
                <w:color w:val="000000"/>
                <w:sz w:val="18"/>
                <w:lang w:val="fr-FR"/>
              </w:rPr>
              <w:t>’</w:t>
            </w:r>
            <w:r w:rsidRPr="00EE5870">
              <w:rPr>
                <w:rFonts w:eastAsia="MS Gothic"/>
                <w:color w:val="000000"/>
                <w:sz w:val="18"/>
                <w:lang w:val="fr-FR"/>
              </w:rPr>
              <w:t>exploitation des enfants dans les quartiers urbains pauvres</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214</w:t>
            </w:r>
            <w:r w:rsidR="00DC7E4B" w:rsidRPr="008E5027">
              <w:rPr>
                <w:rFonts w:eastAsia="MS Gothic"/>
                <w:color w:val="000000"/>
              </w:rPr>
              <w:t xml:space="preserve"> </w:t>
            </w:r>
            <w:r w:rsidRPr="008E5027">
              <w:rPr>
                <w:rFonts w:eastAsia="MS Gothic"/>
                <w:color w:val="000000"/>
              </w:rPr>
              <w:t>747</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64C5D">
              <w:rPr>
                <w:rFonts w:eastAsia="MS Gothic"/>
                <w:color w:val="000000"/>
              </w:rPr>
              <w:t>août</w:t>
            </w:r>
            <w:r w:rsidR="00A676DD" w:rsidRPr="008E5027">
              <w:rPr>
                <w:rFonts w:eastAsia="MS Gothic"/>
                <w:color w:val="000000"/>
              </w:rPr>
              <w:t xml:space="preserve"> 2001</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Cambodge</w:t>
            </w:r>
          </w:p>
        </w:tc>
        <w:tc>
          <w:tcPr>
            <w:tcW w:w="2799"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Education de base non scolaire et formation professionnelle pour les enfants et les jeunes vulnérables</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609</w:t>
            </w:r>
            <w:r w:rsidR="00DC7E4B" w:rsidRPr="008E5027">
              <w:rPr>
                <w:rFonts w:eastAsia="MS Gothic"/>
                <w:color w:val="000000"/>
              </w:rPr>
              <w:t xml:space="preserve"> </w:t>
            </w:r>
            <w:r w:rsidRPr="008E5027">
              <w:rPr>
                <w:rFonts w:eastAsia="MS Gothic"/>
                <w:color w:val="000000"/>
              </w:rPr>
              <w:t>248</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UNESCO</w:t>
            </w:r>
          </w:p>
        </w:tc>
        <w:tc>
          <w:tcPr>
            <w:tcW w:w="1366" w:type="dxa"/>
            <w:shd w:val="clear" w:color="auto" w:fill="auto"/>
          </w:tcPr>
          <w:p w:rsidR="00A676DD" w:rsidRPr="008E5027" w:rsidRDefault="00EE5870" w:rsidP="00150360">
            <w:pPr>
              <w:spacing w:before="40" w:after="120"/>
              <w:rPr>
                <w:rFonts w:eastAsia="MS Gothic"/>
                <w:color w:val="000000"/>
              </w:rPr>
            </w:pPr>
            <w:r w:rsidRPr="00E64C5D">
              <w:rPr>
                <w:rFonts w:eastAsia="MS Gothic"/>
                <w:color w:val="000000"/>
              </w:rPr>
              <w:t>octobre</w:t>
            </w:r>
            <w:r w:rsidR="00A676DD" w:rsidRPr="008E5027">
              <w:rPr>
                <w:rFonts w:eastAsia="MS Gothic"/>
                <w:color w:val="000000"/>
              </w:rPr>
              <w:t xml:space="preserve"> 2001</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Indonésie</w:t>
            </w:r>
          </w:p>
        </w:tc>
        <w:tc>
          <w:tcPr>
            <w:tcW w:w="2799" w:type="dxa"/>
            <w:shd w:val="clear" w:color="auto" w:fill="auto"/>
          </w:tcPr>
          <w:p w:rsidR="00A676DD" w:rsidRPr="00EE5870" w:rsidRDefault="00EE5870" w:rsidP="006D66A3">
            <w:pPr>
              <w:spacing w:before="40" w:after="120"/>
              <w:rPr>
                <w:rFonts w:eastAsia="MS Gothic"/>
                <w:color w:val="000000"/>
                <w:lang w:val="es-ES"/>
              </w:rPr>
            </w:pPr>
            <w:r w:rsidRPr="00EE5870">
              <w:rPr>
                <w:rFonts w:eastAsia="MS Gothic"/>
                <w:color w:val="000000"/>
                <w:lang w:val="fr-FR"/>
              </w:rPr>
              <w:t>Développement des écoles et de l</w:t>
            </w:r>
            <w:r w:rsidR="00277023">
              <w:rPr>
                <w:rFonts w:eastAsia="MS Gothic"/>
                <w:color w:val="000000"/>
                <w:lang w:val="fr-FR"/>
              </w:rPr>
              <w:t>’</w:t>
            </w:r>
            <w:r w:rsidRPr="00EE5870">
              <w:rPr>
                <w:rFonts w:eastAsia="MS Gothic"/>
                <w:color w:val="000000"/>
                <w:lang w:val="fr-FR"/>
              </w:rPr>
              <w:t>enseignement pour améliorer la capacité des jeunes et de leur communauté à assurer la sécurité humaine</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007</w:t>
            </w:r>
            <w:r w:rsidR="00DC7E4B" w:rsidRPr="008E5027">
              <w:rPr>
                <w:rFonts w:eastAsia="MS Gothic"/>
                <w:color w:val="000000"/>
              </w:rPr>
              <w:t xml:space="preserve"> </w:t>
            </w:r>
            <w:r w:rsidRPr="008E5027">
              <w:rPr>
                <w:rFonts w:eastAsia="MS Gothic"/>
                <w:color w:val="000000"/>
              </w:rPr>
              <w:t>475</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E5870">
              <w:rPr>
                <w:rFonts w:eastAsia="MS Gothic"/>
                <w:color w:val="000000"/>
                <w:lang w:val="fr-FR"/>
              </w:rPr>
              <w:t>février</w:t>
            </w:r>
            <w:r w:rsidR="00A676DD" w:rsidRPr="008E5027">
              <w:rPr>
                <w:rFonts w:eastAsia="MS Gothic"/>
                <w:color w:val="000000"/>
              </w:rPr>
              <w:t xml:space="preserve"> 2002</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Viet Nam/Cambodge</w:t>
            </w:r>
          </w:p>
        </w:tc>
        <w:tc>
          <w:tcPr>
            <w:tcW w:w="2799" w:type="dxa"/>
            <w:shd w:val="clear" w:color="auto" w:fill="auto"/>
          </w:tcPr>
          <w:p w:rsidR="00A676DD" w:rsidRPr="00EE5870" w:rsidRDefault="00EE5870" w:rsidP="006D66A3">
            <w:pPr>
              <w:spacing w:before="40" w:after="120"/>
              <w:rPr>
                <w:rFonts w:eastAsia="MS Gothic"/>
                <w:color w:val="000000"/>
                <w:lang w:val="es-ES"/>
              </w:rPr>
            </w:pPr>
            <w:r w:rsidRPr="00EE5870">
              <w:rPr>
                <w:rFonts w:eastAsia="MS Gothic"/>
                <w:color w:val="000000"/>
                <w:lang w:val="fr-FR"/>
              </w:rPr>
              <w:t>Soutien aux jeunes vulnérables en milieu urbain</w:t>
            </w:r>
            <w:r w:rsidR="00277023">
              <w:rPr>
                <w:rFonts w:eastAsia="MS Gothic"/>
                <w:color w:val="000000"/>
                <w:lang w:val="fr-FR"/>
              </w:rPr>
              <w:t>:</w:t>
            </w:r>
            <w:r w:rsidRPr="00EE5870">
              <w:rPr>
                <w:rFonts w:eastAsia="MS Gothic"/>
                <w:color w:val="000000"/>
                <w:lang w:val="fr-FR"/>
              </w:rPr>
              <w:t xml:space="preserve"> </w:t>
            </w:r>
            <w:r w:rsidR="008E49D4">
              <w:rPr>
                <w:rFonts w:eastAsia="MS Gothic"/>
                <w:color w:val="000000"/>
                <w:lang w:val="fr-FR"/>
              </w:rPr>
              <w:t>“</w:t>
            </w:r>
            <w:r w:rsidRPr="00EE5870">
              <w:rPr>
                <w:rFonts w:eastAsia="MS Gothic"/>
                <w:color w:val="000000"/>
                <w:lang w:val="fr-FR"/>
              </w:rPr>
              <w:t>Maison pour la jeunesse</w:t>
            </w:r>
            <w:r w:rsidR="008E49D4">
              <w:rPr>
                <w:rFonts w:eastAsia="MS Gothic"/>
                <w:color w:val="000000"/>
                <w:lang w:val="fr-FR"/>
              </w:rPr>
              <w:t>”</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360</w:t>
            </w:r>
            <w:r w:rsidR="00DC7E4B" w:rsidRPr="008E5027">
              <w:rPr>
                <w:rFonts w:eastAsia="MS Gothic"/>
                <w:color w:val="000000"/>
              </w:rPr>
              <w:t xml:space="preserve"> </w:t>
            </w:r>
            <w:r w:rsidRPr="008E5027">
              <w:rPr>
                <w:rFonts w:eastAsia="MS Gothic"/>
                <w:color w:val="000000"/>
              </w:rPr>
              <w:t>628</w:t>
            </w:r>
          </w:p>
        </w:tc>
        <w:tc>
          <w:tcPr>
            <w:tcW w:w="1274" w:type="dxa"/>
            <w:shd w:val="clear" w:color="auto" w:fill="auto"/>
          </w:tcPr>
          <w:p w:rsidR="00A676DD" w:rsidRPr="008E5027" w:rsidRDefault="00EE5870" w:rsidP="003B6268">
            <w:pPr>
              <w:spacing w:before="40" w:after="120"/>
              <w:ind w:left="57"/>
              <w:rPr>
                <w:rFonts w:eastAsia="MS Gothic"/>
                <w:color w:val="000000"/>
              </w:rPr>
            </w:pPr>
            <w:r w:rsidRPr="00EE5870">
              <w:rPr>
                <w:rFonts w:eastAsia="MS Gothic"/>
                <w:color w:val="000000"/>
                <w:lang w:val="fr-FR"/>
              </w:rPr>
              <w:t>ONU-</w:t>
            </w:r>
            <w:r w:rsidR="008D086E" w:rsidRPr="00EE5870">
              <w:rPr>
                <w:rFonts w:eastAsia="MS Gothic"/>
                <w:color w:val="000000"/>
                <w:lang w:val="fr-FR"/>
              </w:rPr>
              <w:t>Habitat</w:t>
            </w:r>
          </w:p>
        </w:tc>
        <w:tc>
          <w:tcPr>
            <w:tcW w:w="1366" w:type="dxa"/>
            <w:shd w:val="clear" w:color="auto" w:fill="auto"/>
          </w:tcPr>
          <w:p w:rsidR="00A676DD" w:rsidRPr="008E5027" w:rsidRDefault="00EE5870" w:rsidP="00150360">
            <w:pPr>
              <w:spacing w:before="40" w:after="120"/>
              <w:rPr>
                <w:rFonts w:eastAsia="MS Gothic"/>
                <w:color w:val="000000"/>
              </w:rPr>
            </w:pPr>
            <w:r w:rsidRPr="00EE5870">
              <w:rPr>
                <w:rFonts w:eastAsia="MS Gothic"/>
                <w:color w:val="000000"/>
                <w:lang w:val="fr-FR"/>
              </w:rPr>
              <w:t>mai</w:t>
            </w:r>
            <w:r w:rsidR="00A676DD" w:rsidRPr="008E5027">
              <w:rPr>
                <w:rFonts w:eastAsia="MS Gothic"/>
                <w:color w:val="000000"/>
              </w:rPr>
              <w:t xml:space="preserve"> 2002</w:t>
            </w:r>
          </w:p>
        </w:tc>
      </w:tr>
      <w:tr w:rsidR="008D086E" w:rsidRPr="008E5027" w:rsidTr="003B6268">
        <w:tc>
          <w:tcPr>
            <w:tcW w:w="2086" w:type="dxa"/>
            <w:shd w:val="clear" w:color="auto" w:fill="auto"/>
          </w:tcPr>
          <w:p w:rsidR="00A676DD" w:rsidRPr="008E5027" w:rsidRDefault="00EE5870" w:rsidP="006D66A3">
            <w:pPr>
              <w:keepNext/>
              <w:keepLines/>
              <w:spacing w:before="40" w:after="120"/>
              <w:rPr>
                <w:rFonts w:eastAsia="MS Gothic"/>
                <w:color w:val="000000"/>
              </w:rPr>
            </w:pPr>
            <w:r w:rsidRPr="00EE5870">
              <w:rPr>
                <w:rFonts w:eastAsia="MS Gothic"/>
                <w:color w:val="000000"/>
                <w:lang w:val="fr-FR"/>
              </w:rPr>
              <w:t>Afghanistan, Inde, Népal, Bangladesh, Pakistan</w:t>
            </w:r>
          </w:p>
        </w:tc>
        <w:tc>
          <w:tcPr>
            <w:tcW w:w="2799" w:type="dxa"/>
            <w:shd w:val="clear" w:color="auto" w:fill="auto"/>
          </w:tcPr>
          <w:p w:rsidR="00A676DD" w:rsidRPr="00EE5870" w:rsidRDefault="00EE5870" w:rsidP="006D66A3">
            <w:pPr>
              <w:keepNext/>
              <w:keepLines/>
              <w:spacing w:before="40" w:after="120"/>
              <w:rPr>
                <w:rFonts w:eastAsia="MS Gothic"/>
                <w:color w:val="000000"/>
                <w:lang w:val="es-ES"/>
              </w:rPr>
            </w:pPr>
            <w:r w:rsidRPr="00EE5870">
              <w:rPr>
                <w:rFonts w:eastAsia="MS Gothic"/>
                <w:color w:val="000000"/>
                <w:lang w:val="fr-FR"/>
              </w:rPr>
              <w:t>Adolescentes, Traite et VIH/sida: renforcement des réponses en Asie du Sud</w:t>
            </w:r>
          </w:p>
        </w:tc>
        <w:tc>
          <w:tcPr>
            <w:tcW w:w="980" w:type="dxa"/>
            <w:shd w:val="clear" w:color="auto" w:fill="auto"/>
            <w:vAlign w:val="bottom"/>
          </w:tcPr>
          <w:p w:rsidR="00A676DD" w:rsidRPr="008E5027" w:rsidRDefault="00A676DD" w:rsidP="003B6268">
            <w:pPr>
              <w:keepNext/>
              <w:keepLines/>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030</w:t>
            </w:r>
            <w:r w:rsidR="00DC7E4B" w:rsidRPr="008E5027">
              <w:rPr>
                <w:rFonts w:eastAsia="MS Gothic"/>
                <w:color w:val="000000"/>
              </w:rPr>
              <w:t xml:space="preserve"> </w:t>
            </w:r>
            <w:r w:rsidRPr="008E5027">
              <w:rPr>
                <w:rFonts w:eastAsia="MS Gothic"/>
                <w:color w:val="000000"/>
              </w:rPr>
              <w:t>000</w:t>
            </w:r>
          </w:p>
        </w:tc>
        <w:tc>
          <w:tcPr>
            <w:tcW w:w="1274" w:type="dxa"/>
            <w:shd w:val="clear" w:color="auto" w:fill="auto"/>
          </w:tcPr>
          <w:p w:rsidR="00A676DD" w:rsidRPr="008E5027" w:rsidRDefault="00EE5870" w:rsidP="003B6268">
            <w:pPr>
              <w:keepNext/>
              <w:keepLines/>
              <w:spacing w:before="40" w:after="120"/>
              <w:ind w:left="57"/>
              <w:rPr>
                <w:rFonts w:eastAsia="MS Gothic"/>
                <w:color w:val="000000"/>
              </w:rPr>
            </w:pPr>
            <w:r w:rsidRPr="00EE5870">
              <w:rPr>
                <w:rFonts w:eastAsia="MS Gothic"/>
                <w:color w:val="000000"/>
                <w:lang w:val="fr-FR"/>
              </w:rPr>
              <w:t>PNUD</w:t>
            </w:r>
          </w:p>
        </w:tc>
        <w:tc>
          <w:tcPr>
            <w:tcW w:w="1366" w:type="dxa"/>
            <w:shd w:val="clear" w:color="auto" w:fill="auto"/>
          </w:tcPr>
          <w:p w:rsidR="00A676DD" w:rsidRPr="008E5027" w:rsidRDefault="00EE5870" w:rsidP="00150360">
            <w:pPr>
              <w:keepNext/>
              <w:keepLines/>
              <w:spacing w:before="40" w:after="120"/>
              <w:rPr>
                <w:rFonts w:eastAsia="MS Gothic"/>
                <w:color w:val="000000"/>
              </w:rPr>
            </w:pPr>
            <w:r w:rsidRPr="00EE5870">
              <w:rPr>
                <w:rFonts w:eastAsia="MS Gothic"/>
                <w:color w:val="000000"/>
                <w:lang w:val="fr-FR"/>
              </w:rPr>
              <w:t>décembre</w:t>
            </w:r>
            <w:r w:rsidR="00A676DD" w:rsidRPr="008E5027">
              <w:rPr>
                <w:rFonts w:eastAsia="MS Gothic"/>
                <w:color w:val="000000"/>
              </w:rPr>
              <w:t xml:space="preserve"> 2002</w:t>
            </w:r>
          </w:p>
        </w:tc>
      </w:tr>
      <w:tr w:rsidR="008D086E" w:rsidRPr="008E5027" w:rsidTr="003B6268">
        <w:tc>
          <w:tcPr>
            <w:tcW w:w="2086" w:type="dxa"/>
            <w:shd w:val="clear" w:color="auto" w:fill="auto"/>
          </w:tcPr>
          <w:p w:rsidR="00A676DD" w:rsidRPr="008E5027" w:rsidRDefault="00EE5870" w:rsidP="00EE5870">
            <w:pPr>
              <w:spacing w:before="40" w:after="120"/>
              <w:rPr>
                <w:rFonts w:eastAsia="MS Gothic"/>
                <w:color w:val="000000"/>
              </w:rPr>
            </w:pPr>
            <w:r w:rsidRPr="00EE5870">
              <w:rPr>
                <w:rFonts w:eastAsia="MS Gothic"/>
                <w:color w:val="000000"/>
                <w:lang w:val="fr-FR"/>
              </w:rPr>
              <w:t>Cambodge,</w:t>
            </w:r>
            <w:r>
              <w:rPr>
                <w:rFonts w:eastAsia="MS Gothic"/>
                <w:color w:val="000000"/>
                <w:lang w:val="fr-FR"/>
              </w:rPr>
              <w:t xml:space="preserve"> </w:t>
            </w:r>
            <w:r w:rsidRPr="00EE5870">
              <w:rPr>
                <w:rFonts w:eastAsia="MS Gothic"/>
                <w:color w:val="000000"/>
                <w:lang w:val="fr-FR"/>
              </w:rPr>
              <w:t>Viet Nam</w:t>
            </w:r>
          </w:p>
        </w:tc>
        <w:tc>
          <w:tcPr>
            <w:tcW w:w="2799"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Prévention de la traite des enfants et des femmes à l</w:t>
            </w:r>
            <w:r w:rsidR="00277023">
              <w:rPr>
                <w:rFonts w:eastAsia="MS Gothic"/>
                <w:color w:val="000000"/>
                <w:lang w:val="fr-FR"/>
              </w:rPr>
              <w:t>’</w:t>
            </w:r>
            <w:r w:rsidRPr="00EE5870">
              <w:rPr>
                <w:rFonts w:eastAsia="MS Gothic"/>
                <w:color w:val="000000"/>
                <w:lang w:val="fr-FR"/>
              </w:rPr>
              <w:t>échelon communautaire au Cambodge et au Viet Nam</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214</w:t>
            </w:r>
            <w:r w:rsidR="00DC7E4B" w:rsidRPr="008E5027">
              <w:rPr>
                <w:rFonts w:eastAsia="MS Gothic"/>
                <w:color w:val="000000"/>
              </w:rPr>
              <w:t xml:space="preserve"> </w:t>
            </w:r>
            <w:r w:rsidRPr="008E5027">
              <w:rPr>
                <w:rFonts w:eastAsia="MS Gothic"/>
                <w:color w:val="000000"/>
              </w:rPr>
              <w:t>465</w:t>
            </w:r>
          </w:p>
        </w:tc>
        <w:tc>
          <w:tcPr>
            <w:tcW w:w="1274" w:type="dxa"/>
            <w:shd w:val="clear" w:color="auto" w:fill="auto"/>
          </w:tcPr>
          <w:p w:rsidR="00A676DD" w:rsidRPr="008E5027" w:rsidRDefault="00EE5870" w:rsidP="003B6268">
            <w:pPr>
              <w:spacing w:before="40" w:after="120"/>
              <w:ind w:left="57"/>
              <w:rPr>
                <w:rFonts w:eastAsia="MS Gothic"/>
                <w:color w:val="000000"/>
              </w:rPr>
            </w:pPr>
            <w:r w:rsidRPr="00EE5870">
              <w:rPr>
                <w:rFonts w:eastAsia="MS Gothic"/>
                <w:color w:val="000000"/>
                <w:lang w:val="fr-FR"/>
              </w:rPr>
              <w:t>OIT</w:t>
            </w:r>
          </w:p>
        </w:tc>
        <w:tc>
          <w:tcPr>
            <w:tcW w:w="1366" w:type="dxa"/>
            <w:shd w:val="clear" w:color="auto" w:fill="auto"/>
          </w:tcPr>
          <w:p w:rsidR="00A676DD" w:rsidRPr="008E5027" w:rsidRDefault="00EE5870" w:rsidP="00150360">
            <w:pPr>
              <w:spacing w:before="40" w:after="120"/>
              <w:rPr>
                <w:rFonts w:eastAsia="MS Gothic"/>
                <w:color w:val="000000"/>
              </w:rPr>
            </w:pPr>
            <w:r w:rsidRPr="00EE5870">
              <w:rPr>
                <w:rFonts w:eastAsia="MS Gothic"/>
                <w:color w:val="000000"/>
                <w:lang w:val="fr-FR"/>
              </w:rPr>
              <w:t>avril</w:t>
            </w:r>
            <w:r w:rsidR="00A676DD" w:rsidRPr="008E5027">
              <w:rPr>
                <w:rFonts w:eastAsia="MS Gothic"/>
                <w:color w:val="000000"/>
              </w:rPr>
              <w:t xml:space="preserve"> 2003</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République démocratique populaire lao</w:t>
            </w:r>
          </w:p>
        </w:tc>
        <w:tc>
          <w:tcPr>
            <w:tcW w:w="2799"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Education des filles et développement communautaire pour sensibiliser et prévenir la traite des filles en République démocratique populaire lao</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506</w:t>
            </w:r>
            <w:r w:rsidR="00DC7E4B" w:rsidRPr="008E5027">
              <w:rPr>
                <w:rFonts w:eastAsia="MS Gothic"/>
                <w:color w:val="000000"/>
              </w:rPr>
              <w:t xml:space="preserve"> </w:t>
            </w:r>
            <w:r w:rsidRPr="008E5027">
              <w:rPr>
                <w:rFonts w:eastAsia="MS Gothic"/>
                <w:color w:val="000000"/>
              </w:rPr>
              <w:t>669</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E5870">
              <w:rPr>
                <w:rFonts w:eastAsia="MS Gothic"/>
                <w:color w:val="000000"/>
                <w:lang w:val="fr-FR"/>
              </w:rPr>
              <w:t>juin</w:t>
            </w:r>
            <w:r w:rsidR="00A676DD" w:rsidRPr="008E5027">
              <w:rPr>
                <w:rFonts w:eastAsia="MS Gothic"/>
                <w:color w:val="000000"/>
              </w:rPr>
              <w:t xml:space="preserve"> 2003</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Cambodge</w:t>
            </w:r>
          </w:p>
        </w:tc>
        <w:tc>
          <w:tcPr>
            <w:tcW w:w="2799" w:type="dxa"/>
            <w:shd w:val="clear" w:color="auto" w:fill="auto"/>
          </w:tcPr>
          <w:p w:rsidR="00A676DD" w:rsidRPr="008E5027" w:rsidRDefault="008E49D4" w:rsidP="006D66A3">
            <w:pPr>
              <w:spacing w:before="40" w:after="120"/>
              <w:rPr>
                <w:rFonts w:eastAsia="MS Gothic"/>
                <w:color w:val="000000"/>
              </w:rPr>
            </w:pPr>
            <w:r>
              <w:rPr>
                <w:rFonts w:eastAsia="MS Gothic"/>
                <w:color w:val="000000"/>
                <w:lang w:val="fr-FR"/>
              </w:rPr>
              <w:t>“</w:t>
            </w:r>
            <w:r w:rsidR="00EE5870" w:rsidRPr="00EE5870">
              <w:rPr>
                <w:rFonts w:eastAsia="MS Gothic"/>
                <w:color w:val="000000"/>
                <w:lang w:val="fr-FR"/>
              </w:rPr>
              <w:t>Seth Koma</w:t>
            </w:r>
            <w:r>
              <w:rPr>
                <w:rFonts w:eastAsia="MS Gothic"/>
                <w:color w:val="000000"/>
                <w:lang w:val="fr-FR"/>
              </w:rPr>
              <w:t>”</w:t>
            </w:r>
            <w:r w:rsidR="00EE5870" w:rsidRPr="00EE5870">
              <w:rPr>
                <w:rFonts w:eastAsia="MS Gothic"/>
                <w:color w:val="000000"/>
                <w:lang w:val="fr-FR"/>
              </w:rPr>
              <w:t xml:space="preserve"> </w:t>
            </w:r>
            <w:r w:rsidR="00150360">
              <w:rPr>
                <w:rFonts w:eastAsia="MS Gothic"/>
                <w:color w:val="000000"/>
                <w:lang w:val="fr-FR"/>
              </w:rPr>
              <w:t>–</w:t>
            </w:r>
            <w:r w:rsidR="00EE5870" w:rsidRPr="00EE5870">
              <w:rPr>
                <w:rFonts w:eastAsia="MS Gothic"/>
                <w:color w:val="000000"/>
                <w:lang w:val="fr-FR"/>
              </w:rPr>
              <w:t xml:space="preserve"> Survie et développement des enfants dans les zones rurales du Cambodge grâce à des plans d</w:t>
            </w:r>
            <w:r w:rsidR="00277023">
              <w:rPr>
                <w:rFonts w:eastAsia="MS Gothic"/>
                <w:color w:val="000000"/>
                <w:lang w:val="fr-FR"/>
              </w:rPr>
              <w:t>’</w:t>
            </w:r>
            <w:r w:rsidR="00EE5870" w:rsidRPr="00EE5870">
              <w:rPr>
                <w:rFonts w:eastAsia="MS Gothic"/>
                <w:color w:val="000000"/>
                <w:lang w:val="fr-FR"/>
              </w:rPr>
              <w:t>action locaux</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027</w:t>
            </w:r>
            <w:r w:rsidR="00DC7E4B" w:rsidRPr="008E5027">
              <w:rPr>
                <w:rFonts w:eastAsia="MS Gothic"/>
                <w:color w:val="000000"/>
              </w:rPr>
              <w:t xml:space="preserve"> </w:t>
            </w:r>
            <w:r w:rsidRPr="008E5027">
              <w:rPr>
                <w:rFonts w:eastAsia="MS Gothic"/>
                <w:color w:val="000000"/>
              </w:rPr>
              <w:t>425</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E5870">
              <w:rPr>
                <w:rFonts w:eastAsia="MS Gothic"/>
                <w:color w:val="000000"/>
                <w:lang w:val="fr-FR"/>
              </w:rPr>
              <w:t>novembre</w:t>
            </w:r>
            <w:r w:rsidR="00A676DD" w:rsidRPr="008E5027">
              <w:rPr>
                <w:rFonts w:eastAsia="MS Gothic"/>
                <w:color w:val="000000"/>
              </w:rPr>
              <w:t xml:space="preserve"> 2003</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Zimbabwe</w:t>
            </w:r>
          </w:p>
        </w:tc>
        <w:tc>
          <w:tcPr>
            <w:tcW w:w="2799" w:type="dxa"/>
            <w:shd w:val="clear" w:color="auto" w:fill="auto"/>
          </w:tcPr>
          <w:p w:rsidR="00A676DD" w:rsidRPr="00EE5870" w:rsidRDefault="00EE5870" w:rsidP="006D66A3">
            <w:pPr>
              <w:spacing w:before="40" w:after="120"/>
              <w:rPr>
                <w:rFonts w:eastAsia="MS Gothic"/>
                <w:color w:val="000000"/>
                <w:lang w:val="es-ES"/>
              </w:rPr>
            </w:pPr>
            <w:r w:rsidRPr="00EE5870">
              <w:rPr>
                <w:rFonts w:eastAsia="MS Gothic"/>
                <w:color w:val="000000"/>
                <w:lang w:val="fr-FR"/>
              </w:rPr>
              <w:t>Promotion de la prévention du VIH/sida, des soins et du soutien aux enfants et adolescents touchés par le VIH/sida</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030</w:t>
            </w:r>
            <w:r w:rsidR="00DC7E4B" w:rsidRPr="008E5027">
              <w:rPr>
                <w:rFonts w:eastAsia="MS Gothic"/>
                <w:color w:val="000000"/>
              </w:rPr>
              <w:t xml:space="preserve"> </w:t>
            </w:r>
            <w:r w:rsidRPr="008E5027">
              <w:rPr>
                <w:rFonts w:eastAsia="MS Gothic"/>
                <w:color w:val="000000"/>
              </w:rPr>
              <w:t>000</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64C5D">
              <w:rPr>
                <w:rFonts w:eastAsia="MS Gothic"/>
                <w:color w:val="000000"/>
              </w:rPr>
              <w:t>novembre</w:t>
            </w:r>
            <w:r w:rsidR="00A676DD" w:rsidRPr="008E5027">
              <w:rPr>
                <w:rFonts w:eastAsia="MS Gothic"/>
                <w:color w:val="000000"/>
              </w:rPr>
              <w:t xml:space="preserve"> 2003</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r w:rsidRPr="00E64C5D">
              <w:rPr>
                <w:rFonts w:eastAsia="MS Gothic"/>
                <w:color w:val="000000"/>
              </w:rPr>
              <w:t>Tanzanie</w:t>
            </w:r>
          </w:p>
        </w:tc>
        <w:tc>
          <w:tcPr>
            <w:tcW w:w="2799"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Education de base et VIH/sida; préparation à la vie active des enfants non scolarisés</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711</w:t>
            </w:r>
            <w:r w:rsidR="00DC7E4B" w:rsidRPr="008E5027">
              <w:rPr>
                <w:rFonts w:eastAsia="MS Gothic"/>
                <w:color w:val="000000"/>
              </w:rPr>
              <w:t xml:space="preserve"> </w:t>
            </w:r>
            <w:r w:rsidRPr="008E5027">
              <w:rPr>
                <w:rFonts w:eastAsia="MS Gothic"/>
                <w:color w:val="000000"/>
              </w:rPr>
              <w:t>263</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E5870">
              <w:rPr>
                <w:rFonts w:eastAsia="MS Gothic"/>
                <w:color w:val="000000"/>
                <w:lang w:val="fr-FR"/>
              </w:rPr>
              <w:t>novembre</w:t>
            </w:r>
            <w:r w:rsidR="00A676DD" w:rsidRPr="008E5027">
              <w:rPr>
                <w:rFonts w:eastAsia="MS Gothic"/>
                <w:color w:val="000000"/>
              </w:rPr>
              <w:t xml:space="preserve"> 2003</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smartTag w:uri="urn:schemas-microsoft-com:office:smarttags" w:element="place">
              <w:smartTag w:uri="urn:schemas-microsoft-com:office:smarttags" w:element="country-region">
                <w:r w:rsidRPr="00E64C5D">
                  <w:rPr>
                    <w:rFonts w:eastAsia="MS Gothic"/>
                    <w:color w:val="000000"/>
                  </w:rPr>
                  <w:t>Swaziland</w:t>
                </w:r>
              </w:smartTag>
            </w:smartTag>
          </w:p>
        </w:tc>
        <w:tc>
          <w:tcPr>
            <w:tcW w:w="2799" w:type="dxa"/>
            <w:shd w:val="clear" w:color="auto" w:fill="auto"/>
          </w:tcPr>
          <w:p w:rsidR="00A676DD" w:rsidRPr="008E5027" w:rsidRDefault="00EE5870" w:rsidP="006D66A3">
            <w:pPr>
              <w:spacing w:before="40" w:after="120"/>
              <w:rPr>
                <w:rFonts w:eastAsia="MS Gothic"/>
                <w:color w:val="000000"/>
              </w:rPr>
            </w:pPr>
            <w:r w:rsidRPr="00EE5870">
              <w:rPr>
                <w:rFonts w:eastAsia="MS Gothic"/>
                <w:color w:val="000000"/>
                <w:lang w:val="fr-FR"/>
              </w:rPr>
              <w:t xml:space="preserve">Prévention de la transmission materno-fœtale du VIH dans les communautés rurales du Swaziland </w:t>
            </w:r>
            <w:r w:rsidR="008D086E">
              <w:rPr>
                <w:rFonts w:eastAsia="MS Gothic"/>
                <w:color w:val="000000"/>
                <w:lang w:val="fr-FR"/>
              </w:rPr>
              <w:t>–</w:t>
            </w:r>
            <w:r w:rsidRPr="00EE5870">
              <w:rPr>
                <w:rFonts w:eastAsia="MS Gothic"/>
                <w:color w:val="000000"/>
                <w:lang w:val="fr-FR"/>
              </w:rPr>
              <w:t xml:space="preserve"> Initiative </w:t>
            </w:r>
            <w:r w:rsidR="008E49D4">
              <w:rPr>
                <w:rFonts w:eastAsia="MS Gothic"/>
                <w:color w:val="000000"/>
                <w:lang w:val="fr-FR"/>
              </w:rPr>
              <w:t>“</w:t>
            </w:r>
            <w:r w:rsidRPr="00EE5870">
              <w:rPr>
                <w:rFonts w:eastAsia="MS Gothic"/>
                <w:color w:val="000000"/>
                <w:lang w:val="fr-FR"/>
              </w:rPr>
              <w:t>Happy Baby Healthy Family</w:t>
            </w:r>
            <w:r w:rsidR="008E49D4">
              <w:rPr>
                <w:rFonts w:eastAsia="MS Gothic"/>
                <w:color w:val="000000"/>
                <w:lang w:val="fr-FR"/>
              </w:rPr>
              <w:t>”</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122</w:t>
            </w:r>
            <w:r w:rsidR="00DC7E4B" w:rsidRPr="008E5027">
              <w:rPr>
                <w:rFonts w:eastAsia="MS Gothic"/>
                <w:color w:val="000000"/>
              </w:rPr>
              <w:t xml:space="preserve"> </w:t>
            </w:r>
            <w:r w:rsidRPr="008E5027">
              <w:rPr>
                <w:rFonts w:eastAsia="MS Gothic"/>
                <w:color w:val="000000"/>
              </w:rPr>
              <w:t>722</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64C5D">
              <w:rPr>
                <w:rFonts w:eastAsia="MS Gothic"/>
                <w:color w:val="000000"/>
              </w:rPr>
              <w:t>décembre</w:t>
            </w:r>
            <w:r w:rsidR="00A676DD" w:rsidRPr="008E5027">
              <w:rPr>
                <w:rFonts w:eastAsia="MS Gothic"/>
                <w:color w:val="000000"/>
              </w:rPr>
              <w:t xml:space="preserve"> 2003</w:t>
            </w:r>
          </w:p>
        </w:tc>
      </w:tr>
      <w:tr w:rsidR="008D086E" w:rsidRPr="008E5027" w:rsidTr="003B6268">
        <w:tc>
          <w:tcPr>
            <w:tcW w:w="2086" w:type="dxa"/>
            <w:shd w:val="clear" w:color="auto" w:fill="auto"/>
          </w:tcPr>
          <w:p w:rsidR="00A676DD" w:rsidRPr="00EE5870" w:rsidRDefault="00EE5870" w:rsidP="006D66A3">
            <w:pPr>
              <w:spacing w:before="40" w:after="120"/>
              <w:rPr>
                <w:rFonts w:eastAsia="MS Gothic"/>
                <w:color w:val="000000"/>
                <w:lang w:val="es-ES"/>
              </w:rPr>
            </w:pPr>
            <w:r w:rsidRPr="00EE5870">
              <w:rPr>
                <w:rFonts w:eastAsia="MS Gothic"/>
                <w:color w:val="000000"/>
                <w:lang w:val="fr-FR"/>
              </w:rPr>
              <w:t>Kazakhstan, Kirghizistan, Tadjikistan, Turkménistan, Ouzbékistan</w:t>
            </w:r>
          </w:p>
        </w:tc>
        <w:tc>
          <w:tcPr>
            <w:tcW w:w="2799" w:type="dxa"/>
            <w:shd w:val="clear" w:color="auto" w:fill="auto"/>
          </w:tcPr>
          <w:p w:rsidR="00A676DD" w:rsidRPr="008E49D4" w:rsidRDefault="00EE5870" w:rsidP="006D66A3">
            <w:pPr>
              <w:spacing w:before="40" w:after="120"/>
              <w:rPr>
                <w:rFonts w:eastAsia="MS Gothic"/>
                <w:color w:val="000000"/>
                <w:lang w:val="es-ES"/>
              </w:rPr>
            </w:pPr>
            <w:r w:rsidRPr="00EE5870">
              <w:rPr>
                <w:rFonts w:eastAsia="MS Gothic"/>
                <w:color w:val="000000"/>
                <w:lang w:val="fr-FR"/>
              </w:rPr>
              <w:t>“Chaque enfant a le droit de grandir dans une famille</w:t>
            </w:r>
            <w:r w:rsidR="008E49D4">
              <w:rPr>
                <w:rFonts w:eastAsia="MS Gothic"/>
                <w:color w:val="000000"/>
                <w:lang w:val="fr-FR"/>
              </w:rPr>
              <w:t>”</w:t>
            </w:r>
            <w:r w:rsidRPr="00EE5870">
              <w:rPr>
                <w:rFonts w:eastAsia="MS Gothic"/>
                <w:color w:val="000000"/>
                <w:lang w:val="fr-FR"/>
              </w:rPr>
              <w:t>. Appuyer les dispositions de protection de remplacement pour les enfants sans famille au Kazakhstan, Kirghizistan, Tadjikistan, Turkménistan et Ouzbékistan</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2</w:t>
            </w:r>
            <w:r w:rsidR="00DC7E4B" w:rsidRPr="008E5027">
              <w:rPr>
                <w:rFonts w:eastAsia="MS Gothic"/>
                <w:color w:val="000000"/>
              </w:rPr>
              <w:t xml:space="preserve"> </w:t>
            </w:r>
            <w:r w:rsidRPr="008E5027">
              <w:rPr>
                <w:rFonts w:eastAsia="MS Gothic"/>
                <w:color w:val="000000"/>
              </w:rPr>
              <w:t>160</w:t>
            </w:r>
            <w:r w:rsidR="00DC7E4B" w:rsidRPr="008E5027">
              <w:rPr>
                <w:rFonts w:eastAsia="MS Gothic"/>
                <w:color w:val="000000"/>
              </w:rPr>
              <w:t xml:space="preserve"> </w:t>
            </w:r>
            <w:r w:rsidRPr="008E5027">
              <w:rPr>
                <w:rFonts w:eastAsia="MS Gothic"/>
                <w:color w:val="000000"/>
              </w:rPr>
              <w:t>000</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64C5D">
              <w:rPr>
                <w:rFonts w:eastAsia="MS Gothic"/>
                <w:color w:val="000000"/>
              </w:rPr>
              <w:t>mai</w:t>
            </w:r>
            <w:r w:rsidR="00A676DD" w:rsidRPr="008E5027">
              <w:rPr>
                <w:rFonts w:eastAsia="MS Gothic"/>
                <w:color w:val="000000"/>
              </w:rPr>
              <w:t xml:space="preserve"> 2004</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r>
              <w:rPr>
                <w:rFonts w:eastAsia="MS Gothic"/>
                <w:color w:val="000000"/>
              </w:rPr>
              <w:t>Timor-Leste</w:t>
            </w:r>
          </w:p>
        </w:tc>
        <w:tc>
          <w:tcPr>
            <w:tcW w:w="2799" w:type="dxa"/>
            <w:shd w:val="clear" w:color="auto" w:fill="auto"/>
          </w:tcPr>
          <w:p w:rsidR="00A676DD" w:rsidRPr="00EE5870" w:rsidRDefault="00EE5870" w:rsidP="006D66A3">
            <w:pPr>
              <w:spacing w:before="40" w:after="120"/>
              <w:rPr>
                <w:rFonts w:eastAsia="MS Gothic"/>
                <w:color w:val="000000"/>
                <w:lang w:val="es-ES"/>
              </w:rPr>
            </w:pPr>
            <w:r w:rsidRPr="00EE5870">
              <w:rPr>
                <w:rFonts w:eastAsia="MS Gothic"/>
                <w:color w:val="000000"/>
                <w:lang w:val="fr-FR"/>
              </w:rPr>
              <w:t xml:space="preserve">Projet </w:t>
            </w:r>
            <w:r w:rsidR="008E49D4">
              <w:rPr>
                <w:rFonts w:eastAsia="MS Gothic"/>
                <w:color w:val="000000"/>
                <w:lang w:val="fr-FR"/>
              </w:rPr>
              <w:t>“</w:t>
            </w:r>
            <w:r w:rsidRPr="00EE5870">
              <w:rPr>
                <w:rFonts w:eastAsia="MS Gothic"/>
                <w:color w:val="000000"/>
                <w:lang w:val="fr-FR"/>
              </w:rPr>
              <w:t>100 écoles</w:t>
            </w:r>
            <w:r w:rsidR="008E49D4">
              <w:rPr>
                <w:rFonts w:eastAsia="MS Gothic"/>
                <w:color w:val="000000"/>
                <w:lang w:val="fr-FR"/>
              </w:rPr>
              <w:t>”</w:t>
            </w:r>
            <w:r w:rsidRPr="00EE5870">
              <w:rPr>
                <w:rFonts w:eastAsia="MS Gothic"/>
                <w:color w:val="000000"/>
                <w:lang w:val="fr-FR"/>
              </w:rPr>
              <w:t>: améliorer la qualité de l</w:t>
            </w:r>
            <w:r w:rsidR="00277023">
              <w:rPr>
                <w:rFonts w:eastAsia="MS Gothic"/>
                <w:color w:val="000000"/>
                <w:lang w:val="fr-FR"/>
              </w:rPr>
              <w:t>’</w:t>
            </w:r>
            <w:r w:rsidRPr="00EE5870">
              <w:rPr>
                <w:rFonts w:eastAsia="MS Gothic"/>
                <w:color w:val="000000"/>
                <w:lang w:val="fr-FR"/>
              </w:rPr>
              <w:t>éducation primaire au Timor-Leste</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169</w:t>
            </w:r>
            <w:r w:rsidR="00DC7E4B" w:rsidRPr="008E5027">
              <w:rPr>
                <w:rFonts w:eastAsia="MS Gothic"/>
                <w:color w:val="000000"/>
              </w:rPr>
              <w:t xml:space="preserve"> </w:t>
            </w:r>
            <w:r w:rsidRPr="008E5027">
              <w:rPr>
                <w:rFonts w:eastAsia="MS Gothic"/>
                <w:color w:val="000000"/>
              </w:rPr>
              <w:t>964</w:t>
            </w:r>
          </w:p>
        </w:tc>
        <w:tc>
          <w:tcPr>
            <w:tcW w:w="1274" w:type="dxa"/>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shd w:val="clear" w:color="auto" w:fill="auto"/>
          </w:tcPr>
          <w:p w:rsidR="00A676DD" w:rsidRPr="008E5027" w:rsidRDefault="00EE5870" w:rsidP="00150360">
            <w:pPr>
              <w:spacing w:before="40" w:after="120"/>
              <w:rPr>
                <w:rFonts w:eastAsia="MS Gothic"/>
                <w:color w:val="000000"/>
              </w:rPr>
            </w:pPr>
            <w:r w:rsidRPr="00E64C5D">
              <w:rPr>
                <w:rFonts w:eastAsia="MS Gothic"/>
                <w:color w:val="000000"/>
              </w:rPr>
              <w:t>novembre</w:t>
            </w:r>
            <w:r w:rsidR="00A676DD" w:rsidRPr="008E5027">
              <w:rPr>
                <w:rFonts w:eastAsia="MS Gothic"/>
                <w:color w:val="000000"/>
              </w:rPr>
              <w:t xml:space="preserve"> 2004</w:t>
            </w:r>
          </w:p>
        </w:tc>
      </w:tr>
      <w:tr w:rsidR="008D086E" w:rsidRPr="008E5027" w:rsidTr="003B6268">
        <w:tc>
          <w:tcPr>
            <w:tcW w:w="2086" w:type="dxa"/>
            <w:shd w:val="clear" w:color="auto" w:fill="auto"/>
          </w:tcPr>
          <w:p w:rsidR="00A676DD" w:rsidRPr="008E5027" w:rsidRDefault="00EE5870" w:rsidP="006D66A3">
            <w:pPr>
              <w:spacing w:before="40" w:after="120"/>
              <w:rPr>
                <w:rFonts w:eastAsia="MS Gothic"/>
                <w:color w:val="000000"/>
              </w:rPr>
            </w:pPr>
            <w:smartTag w:uri="urn:schemas-microsoft-com:office:smarttags" w:element="place">
              <w:smartTag w:uri="urn:schemas-microsoft-com:office:smarttags" w:element="country-region">
                <w:r w:rsidRPr="00E64C5D">
                  <w:rPr>
                    <w:rFonts w:eastAsia="MS Gothic"/>
                    <w:color w:val="000000"/>
                  </w:rPr>
                  <w:t>Angola</w:t>
                </w:r>
              </w:smartTag>
            </w:smartTag>
          </w:p>
        </w:tc>
        <w:tc>
          <w:tcPr>
            <w:tcW w:w="2799" w:type="dxa"/>
            <w:shd w:val="clear" w:color="auto" w:fill="auto"/>
          </w:tcPr>
          <w:p w:rsidR="00A676DD" w:rsidRPr="00EE5870" w:rsidRDefault="00EE5870" w:rsidP="006D66A3">
            <w:pPr>
              <w:spacing w:before="40" w:after="120"/>
              <w:rPr>
                <w:rFonts w:eastAsia="MS Gothic"/>
                <w:color w:val="000000"/>
                <w:lang w:val="es-ES"/>
              </w:rPr>
            </w:pPr>
            <w:r w:rsidRPr="00EE5870">
              <w:rPr>
                <w:rFonts w:eastAsia="MS Gothic"/>
                <w:color w:val="000000"/>
                <w:lang w:val="fr-FR"/>
              </w:rPr>
              <w:t>Soutien à l</w:t>
            </w:r>
            <w:r w:rsidR="00277023">
              <w:rPr>
                <w:rFonts w:eastAsia="MS Gothic"/>
                <w:color w:val="000000"/>
                <w:lang w:val="fr-FR"/>
              </w:rPr>
              <w:t>’</w:t>
            </w:r>
            <w:r w:rsidRPr="00EE5870">
              <w:rPr>
                <w:rFonts w:eastAsia="MS Gothic"/>
                <w:color w:val="000000"/>
                <w:lang w:val="fr-FR"/>
              </w:rPr>
              <w:t>éducation dans les provinces de Huambo et de Cuanza</w:t>
            </w:r>
            <w:r w:rsidR="008D086E">
              <w:rPr>
                <w:rFonts w:eastAsia="MS Gothic"/>
                <w:color w:val="000000"/>
                <w:lang w:val="fr-FR"/>
              </w:rPr>
              <w:t>-</w:t>
            </w:r>
            <w:r w:rsidRPr="00EE5870">
              <w:rPr>
                <w:rFonts w:eastAsia="MS Gothic"/>
                <w:color w:val="000000"/>
                <w:lang w:val="fr-FR"/>
              </w:rPr>
              <w:t>sud: programme de distribution de repas scolaires et sensibilisation au VIH/sida</w:t>
            </w:r>
          </w:p>
        </w:tc>
        <w:tc>
          <w:tcPr>
            <w:tcW w:w="980" w:type="dxa"/>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138</w:t>
            </w:r>
            <w:r w:rsidR="00DC7E4B" w:rsidRPr="008E5027">
              <w:rPr>
                <w:rFonts w:eastAsia="MS Gothic"/>
                <w:color w:val="000000"/>
              </w:rPr>
              <w:t xml:space="preserve"> </w:t>
            </w:r>
            <w:r w:rsidRPr="008E5027">
              <w:rPr>
                <w:rFonts w:eastAsia="MS Gothic"/>
                <w:color w:val="000000"/>
              </w:rPr>
              <w:t>601</w:t>
            </w:r>
          </w:p>
        </w:tc>
        <w:tc>
          <w:tcPr>
            <w:tcW w:w="1274" w:type="dxa"/>
            <w:shd w:val="clear" w:color="auto" w:fill="auto"/>
          </w:tcPr>
          <w:p w:rsidR="00A676DD" w:rsidRPr="008E5027" w:rsidRDefault="00EE5870" w:rsidP="003B6268">
            <w:pPr>
              <w:spacing w:before="40" w:after="120"/>
              <w:ind w:left="57"/>
              <w:rPr>
                <w:rFonts w:eastAsia="MS Gothic"/>
                <w:color w:val="000000"/>
              </w:rPr>
            </w:pPr>
            <w:r w:rsidRPr="00EE5870">
              <w:rPr>
                <w:rFonts w:eastAsia="MS Gothic"/>
                <w:color w:val="000000"/>
                <w:lang w:val="fr-FR"/>
              </w:rPr>
              <w:t>PAM</w:t>
            </w:r>
          </w:p>
        </w:tc>
        <w:tc>
          <w:tcPr>
            <w:tcW w:w="1366" w:type="dxa"/>
            <w:shd w:val="clear" w:color="auto" w:fill="auto"/>
          </w:tcPr>
          <w:p w:rsidR="00A676DD" w:rsidRPr="008E5027" w:rsidRDefault="00EE5870" w:rsidP="00150360">
            <w:pPr>
              <w:spacing w:before="40" w:after="120"/>
              <w:rPr>
                <w:rFonts w:eastAsia="MS Gothic"/>
                <w:color w:val="000000"/>
              </w:rPr>
            </w:pPr>
            <w:r w:rsidRPr="00E64C5D">
              <w:rPr>
                <w:rFonts w:eastAsia="MS Gothic"/>
                <w:color w:val="000000"/>
              </w:rPr>
              <w:t>avril</w:t>
            </w:r>
            <w:r w:rsidR="00A676DD" w:rsidRPr="008E5027">
              <w:rPr>
                <w:rFonts w:eastAsia="MS Gothic"/>
                <w:color w:val="000000"/>
              </w:rPr>
              <w:t xml:space="preserve"> 2005</w:t>
            </w:r>
          </w:p>
        </w:tc>
      </w:tr>
      <w:tr w:rsidR="008D086E" w:rsidRPr="008E5027" w:rsidTr="003B6268">
        <w:tc>
          <w:tcPr>
            <w:tcW w:w="2086" w:type="dxa"/>
            <w:tcBorders>
              <w:bottom w:val="single" w:sz="12" w:space="0" w:color="auto"/>
            </w:tcBorders>
            <w:shd w:val="clear" w:color="auto" w:fill="auto"/>
          </w:tcPr>
          <w:p w:rsidR="00A676DD" w:rsidRPr="008E5027" w:rsidRDefault="00EE5870" w:rsidP="006D66A3">
            <w:pPr>
              <w:spacing w:before="40" w:after="120"/>
              <w:rPr>
                <w:rFonts w:eastAsia="MS Gothic"/>
                <w:color w:val="000000"/>
              </w:rPr>
            </w:pPr>
            <w:r w:rsidRPr="00E64C5D">
              <w:rPr>
                <w:rFonts w:eastAsia="MS Gothic"/>
                <w:color w:val="000000"/>
              </w:rPr>
              <w:t xml:space="preserve">République démocratique du </w:t>
            </w:r>
            <w:smartTag w:uri="urn:schemas-microsoft-com:office:smarttags" w:element="place">
              <w:smartTag w:uri="urn:schemas-microsoft-com:office:smarttags" w:element="country-region">
                <w:r w:rsidRPr="00E64C5D">
                  <w:rPr>
                    <w:rFonts w:eastAsia="MS Gothic"/>
                    <w:color w:val="000000"/>
                  </w:rPr>
                  <w:t>Congo</w:t>
                </w:r>
              </w:smartTag>
            </w:smartTag>
          </w:p>
        </w:tc>
        <w:tc>
          <w:tcPr>
            <w:tcW w:w="2799" w:type="dxa"/>
            <w:tcBorders>
              <w:bottom w:val="single" w:sz="12" w:space="0" w:color="auto"/>
            </w:tcBorders>
            <w:shd w:val="clear" w:color="auto" w:fill="auto"/>
          </w:tcPr>
          <w:p w:rsidR="00A676DD" w:rsidRPr="008E5027" w:rsidRDefault="00EE5870" w:rsidP="006D66A3">
            <w:pPr>
              <w:spacing w:before="40" w:after="120"/>
              <w:rPr>
                <w:rFonts w:eastAsia="MS Gothic"/>
                <w:color w:val="000000"/>
              </w:rPr>
            </w:pPr>
            <w:r w:rsidRPr="00E64C5D">
              <w:rPr>
                <w:rFonts w:eastAsia="MS Gothic"/>
                <w:color w:val="000000"/>
              </w:rPr>
              <w:t>Développement et éducation des filles</w:t>
            </w:r>
          </w:p>
        </w:tc>
        <w:tc>
          <w:tcPr>
            <w:tcW w:w="980" w:type="dxa"/>
            <w:tcBorders>
              <w:bottom w:val="single" w:sz="12" w:space="0" w:color="auto"/>
            </w:tcBorders>
            <w:shd w:val="clear" w:color="auto" w:fill="auto"/>
            <w:vAlign w:val="bottom"/>
          </w:tcPr>
          <w:p w:rsidR="00A676DD" w:rsidRPr="008E5027" w:rsidRDefault="00A676DD" w:rsidP="003B6268">
            <w:pPr>
              <w:spacing w:before="40" w:after="120"/>
              <w:jc w:val="right"/>
              <w:rPr>
                <w:rFonts w:eastAsia="MS Gothic"/>
                <w:color w:val="000000"/>
              </w:rPr>
            </w:pPr>
            <w:r w:rsidRPr="008E5027">
              <w:rPr>
                <w:rFonts w:eastAsia="MS Gothic"/>
                <w:color w:val="000000"/>
              </w:rPr>
              <w:t>1</w:t>
            </w:r>
            <w:r w:rsidR="00DC7E4B" w:rsidRPr="008E5027">
              <w:rPr>
                <w:rFonts w:eastAsia="MS Gothic"/>
                <w:color w:val="000000"/>
              </w:rPr>
              <w:t xml:space="preserve"> </w:t>
            </w:r>
            <w:r w:rsidRPr="008E5027">
              <w:rPr>
                <w:rFonts w:eastAsia="MS Gothic"/>
                <w:color w:val="000000"/>
              </w:rPr>
              <w:t>063</w:t>
            </w:r>
            <w:r w:rsidR="00DC7E4B" w:rsidRPr="008E5027">
              <w:rPr>
                <w:rFonts w:eastAsia="MS Gothic"/>
                <w:color w:val="000000"/>
              </w:rPr>
              <w:t xml:space="preserve"> </w:t>
            </w:r>
            <w:r w:rsidRPr="008E5027">
              <w:rPr>
                <w:rFonts w:eastAsia="MS Gothic"/>
                <w:color w:val="000000"/>
              </w:rPr>
              <w:t>824</w:t>
            </w:r>
          </w:p>
        </w:tc>
        <w:tc>
          <w:tcPr>
            <w:tcW w:w="1274" w:type="dxa"/>
            <w:tcBorders>
              <w:bottom w:val="single" w:sz="12" w:space="0" w:color="auto"/>
            </w:tcBorders>
            <w:shd w:val="clear" w:color="auto" w:fill="auto"/>
          </w:tcPr>
          <w:p w:rsidR="00A676DD" w:rsidRPr="008E5027" w:rsidRDefault="00A676DD" w:rsidP="003B6268">
            <w:pPr>
              <w:spacing w:before="40" w:after="120"/>
              <w:ind w:left="57"/>
              <w:rPr>
                <w:rFonts w:eastAsia="MS Gothic"/>
                <w:color w:val="000000"/>
              </w:rPr>
            </w:pPr>
            <w:r w:rsidRPr="008E5027">
              <w:rPr>
                <w:rFonts w:eastAsia="MS Gothic"/>
                <w:color w:val="000000"/>
              </w:rPr>
              <w:t>UNICEF</w:t>
            </w:r>
          </w:p>
        </w:tc>
        <w:tc>
          <w:tcPr>
            <w:tcW w:w="1366" w:type="dxa"/>
            <w:tcBorders>
              <w:bottom w:val="single" w:sz="12" w:space="0" w:color="auto"/>
            </w:tcBorders>
            <w:shd w:val="clear" w:color="auto" w:fill="auto"/>
          </w:tcPr>
          <w:p w:rsidR="00A676DD" w:rsidRPr="008E5027" w:rsidRDefault="00EE5870" w:rsidP="00150360">
            <w:pPr>
              <w:spacing w:before="40" w:after="120"/>
              <w:rPr>
                <w:rFonts w:eastAsia="MS Gothic"/>
                <w:color w:val="000000"/>
              </w:rPr>
            </w:pPr>
            <w:r w:rsidRPr="00EE5870">
              <w:rPr>
                <w:rFonts w:eastAsia="MS Gothic"/>
                <w:color w:val="000000"/>
                <w:lang w:val="fr-FR"/>
              </w:rPr>
              <w:t>septembre</w:t>
            </w:r>
            <w:r w:rsidR="00A676DD" w:rsidRPr="008E5027">
              <w:rPr>
                <w:rFonts w:eastAsia="MS Gothic"/>
                <w:color w:val="000000"/>
              </w:rPr>
              <w:t xml:space="preserve"> 2005</w:t>
            </w:r>
          </w:p>
        </w:tc>
      </w:tr>
    </w:tbl>
    <w:p w:rsidR="00274B35" w:rsidRPr="008E5027" w:rsidRDefault="00365506" w:rsidP="00365506">
      <w:pPr>
        <w:pStyle w:val="Heading1"/>
        <w:keepNext/>
        <w:keepLines/>
        <w:spacing w:before="240"/>
      </w:pPr>
      <w:r w:rsidRPr="00F206B8">
        <w:rPr>
          <w:lang w:val="fr-FR"/>
        </w:rPr>
        <w:t>Tableau</w:t>
      </w:r>
      <w:r w:rsidRPr="00365506">
        <w:t xml:space="preserve"> </w:t>
      </w:r>
      <w:r w:rsidR="00274B35" w:rsidRPr="008E5027">
        <w:t>5</w:t>
      </w:r>
    </w:p>
    <w:p w:rsidR="00274B35" w:rsidRPr="008E5027" w:rsidRDefault="00365506" w:rsidP="00AC5677">
      <w:pPr>
        <w:pStyle w:val="SingleTxtG"/>
        <w:jc w:val="left"/>
        <w:rPr>
          <w:b/>
        </w:rPr>
      </w:pPr>
      <w:r w:rsidRPr="00365506">
        <w:rPr>
          <w:b/>
          <w:bCs/>
          <w:lang w:val="fr-FR"/>
        </w:rPr>
        <w:t>Données relatives aux réalisations du Gouvernement japonais en matière de projets d</w:t>
      </w:r>
      <w:r w:rsidR="00277023">
        <w:rPr>
          <w:b/>
          <w:bCs/>
          <w:lang w:val="fr-FR"/>
        </w:rPr>
        <w:t>’</w:t>
      </w:r>
      <w:r w:rsidRPr="00365506">
        <w:rPr>
          <w:b/>
          <w:bCs/>
          <w:lang w:val="fr-FR"/>
        </w:rPr>
        <w:t>aide dans les domaines des soins de santé et de l</w:t>
      </w:r>
      <w:r w:rsidR="00277023">
        <w:rPr>
          <w:b/>
          <w:bCs/>
          <w:lang w:val="fr-FR"/>
        </w:rPr>
        <w:t>’</w:t>
      </w:r>
      <w:r w:rsidRPr="00365506">
        <w:rPr>
          <w:b/>
          <w:bCs/>
          <w:lang w:val="fr-FR"/>
        </w:rPr>
        <w:t>éducation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1344"/>
        <w:gridCol w:w="1190"/>
        <w:gridCol w:w="1668"/>
        <w:gridCol w:w="1649"/>
        <w:gridCol w:w="1688"/>
      </w:tblGrid>
      <w:tr w:rsidR="003353B7" w:rsidRPr="008E5027" w:rsidTr="00D76166">
        <w:tc>
          <w:tcPr>
            <w:tcW w:w="966" w:type="dxa"/>
            <w:tcBorders>
              <w:top w:val="single" w:sz="4" w:space="0" w:color="auto"/>
            </w:tcBorders>
            <w:shd w:val="clear" w:color="auto" w:fill="auto"/>
            <w:vAlign w:val="bottom"/>
          </w:tcPr>
          <w:p w:rsidR="003353B7" w:rsidRPr="008E5027" w:rsidRDefault="003353B7" w:rsidP="00274B35">
            <w:pPr>
              <w:spacing w:before="80" w:after="80" w:line="200" w:lineRule="exact"/>
              <w:rPr>
                <w:i/>
                <w:sz w:val="16"/>
              </w:rPr>
            </w:pPr>
          </w:p>
        </w:tc>
        <w:tc>
          <w:tcPr>
            <w:tcW w:w="1344" w:type="dxa"/>
            <w:tcBorders>
              <w:top w:val="single" w:sz="4" w:space="0" w:color="auto"/>
            </w:tcBorders>
            <w:shd w:val="clear" w:color="auto" w:fill="auto"/>
            <w:vAlign w:val="bottom"/>
          </w:tcPr>
          <w:p w:rsidR="003353B7" w:rsidRPr="008E5027" w:rsidRDefault="003353B7" w:rsidP="00274B35">
            <w:pPr>
              <w:spacing w:before="80" w:after="80" w:line="200" w:lineRule="exact"/>
              <w:jc w:val="right"/>
              <w:rPr>
                <w:i/>
                <w:sz w:val="16"/>
              </w:rPr>
            </w:pPr>
          </w:p>
        </w:tc>
        <w:tc>
          <w:tcPr>
            <w:tcW w:w="1190" w:type="dxa"/>
            <w:tcBorders>
              <w:top w:val="single" w:sz="4" w:space="0" w:color="auto"/>
            </w:tcBorders>
            <w:shd w:val="clear" w:color="auto" w:fill="auto"/>
            <w:vAlign w:val="bottom"/>
          </w:tcPr>
          <w:p w:rsidR="003353B7" w:rsidRPr="008E5027" w:rsidRDefault="003353B7" w:rsidP="00274B35">
            <w:pPr>
              <w:spacing w:before="80" w:after="80" w:line="200" w:lineRule="exact"/>
              <w:jc w:val="right"/>
              <w:rPr>
                <w:i/>
                <w:sz w:val="16"/>
              </w:rPr>
            </w:pPr>
          </w:p>
        </w:tc>
        <w:tc>
          <w:tcPr>
            <w:tcW w:w="5005" w:type="dxa"/>
            <w:gridSpan w:val="3"/>
            <w:tcBorders>
              <w:top w:val="single" w:sz="4" w:space="0" w:color="auto"/>
            </w:tcBorders>
            <w:shd w:val="clear" w:color="auto" w:fill="auto"/>
            <w:vAlign w:val="bottom"/>
          </w:tcPr>
          <w:p w:rsidR="003353B7" w:rsidRPr="008E5027" w:rsidRDefault="008D086E" w:rsidP="00271C02">
            <w:pPr>
              <w:spacing w:before="80" w:after="80" w:line="200" w:lineRule="exact"/>
              <w:jc w:val="center"/>
              <w:rPr>
                <w:i/>
                <w:sz w:val="16"/>
              </w:rPr>
            </w:pPr>
            <w:r w:rsidRPr="008D086E">
              <w:rPr>
                <w:bCs/>
                <w:i/>
                <w:sz w:val="16"/>
                <w:lang w:val="fr-FR"/>
              </w:rPr>
              <w:t>Assistance technique (nombre de personnes)</w:t>
            </w:r>
          </w:p>
        </w:tc>
      </w:tr>
      <w:tr w:rsidR="003353B7" w:rsidRPr="008D086E" w:rsidTr="00D76166">
        <w:trPr>
          <w:trHeight w:val="113"/>
        </w:trPr>
        <w:tc>
          <w:tcPr>
            <w:tcW w:w="966" w:type="dxa"/>
            <w:tcBorders>
              <w:bottom w:val="single" w:sz="12" w:space="0" w:color="auto"/>
            </w:tcBorders>
            <w:shd w:val="clear" w:color="auto" w:fill="auto"/>
            <w:vAlign w:val="bottom"/>
          </w:tcPr>
          <w:p w:rsidR="003353B7" w:rsidRPr="008E5027" w:rsidRDefault="008D086E" w:rsidP="00D35029">
            <w:pPr>
              <w:spacing w:before="80" w:after="80" w:line="200" w:lineRule="exact"/>
              <w:rPr>
                <w:i/>
                <w:sz w:val="16"/>
              </w:rPr>
            </w:pPr>
            <w:r w:rsidRPr="008D086E">
              <w:rPr>
                <w:bCs/>
                <w:i/>
                <w:sz w:val="16"/>
                <w:lang w:val="fr-FR"/>
              </w:rPr>
              <w:t>Exercice budgétaire</w:t>
            </w:r>
          </w:p>
        </w:tc>
        <w:tc>
          <w:tcPr>
            <w:tcW w:w="1344" w:type="dxa"/>
            <w:tcBorders>
              <w:bottom w:val="single" w:sz="12" w:space="0" w:color="auto"/>
            </w:tcBorders>
            <w:shd w:val="clear" w:color="auto" w:fill="auto"/>
            <w:vAlign w:val="bottom"/>
          </w:tcPr>
          <w:p w:rsidR="003353B7" w:rsidRPr="00D76166" w:rsidRDefault="008D086E" w:rsidP="002F1311">
            <w:pPr>
              <w:spacing w:before="80" w:after="80" w:line="200" w:lineRule="exact"/>
              <w:jc w:val="right"/>
              <w:rPr>
                <w:i/>
                <w:sz w:val="16"/>
                <w:lang w:val="es-ES"/>
              </w:rPr>
            </w:pPr>
            <w:r w:rsidRPr="008D086E">
              <w:rPr>
                <w:bCs/>
                <w:i/>
                <w:sz w:val="16"/>
                <w:lang w:val="fr-FR"/>
              </w:rPr>
              <w:t xml:space="preserve">Aide sous forme de dons (en centaines </w:t>
            </w:r>
            <w:r w:rsidR="00D76166">
              <w:rPr>
                <w:bCs/>
                <w:i/>
                <w:sz w:val="16"/>
                <w:lang w:val="fr-FR"/>
              </w:rPr>
              <w:br/>
            </w:r>
            <w:r w:rsidRPr="008D086E">
              <w:rPr>
                <w:bCs/>
                <w:i/>
                <w:sz w:val="16"/>
                <w:lang w:val="fr-FR"/>
              </w:rPr>
              <w:t>de millions de yen)</w:t>
            </w:r>
            <w:r w:rsidR="003353B7" w:rsidRPr="00D76166">
              <w:rPr>
                <w:sz w:val="18"/>
                <w:szCs w:val="18"/>
                <w:lang w:val="es-ES"/>
              </w:rPr>
              <w:t>*</w:t>
            </w:r>
          </w:p>
        </w:tc>
        <w:tc>
          <w:tcPr>
            <w:tcW w:w="1190" w:type="dxa"/>
            <w:tcBorders>
              <w:bottom w:val="single" w:sz="12" w:space="0" w:color="auto"/>
            </w:tcBorders>
            <w:shd w:val="clear" w:color="auto" w:fill="auto"/>
            <w:vAlign w:val="bottom"/>
          </w:tcPr>
          <w:p w:rsidR="003353B7" w:rsidRPr="008D086E" w:rsidRDefault="008D086E" w:rsidP="002F1311">
            <w:pPr>
              <w:spacing w:before="80" w:after="80" w:line="200" w:lineRule="exact"/>
              <w:jc w:val="right"/>
              <w:rPr>
                <w:i/>
                <w:sz w:val="16"/>
                <w:lang w:val="es-ES"/>
              </w:rPr>
            </w:pPr>
            <w:r w:rsidRPr="008D086E">
              <w:rPr>
                <w:bCs/>
                <w:i/>
                <w:sz w:val="16"/>
                <w:lang w:val="fr-FR"/>
              </w:rPr>
              <w:t xml:space="preserve">Prêts </w:t>
            </w:r>
            <w:r w:rsidR="00D76166">
              <w:rPr>
                <w:bCs/>
                <w:i/>
                <w:sz w:val="16"/>
                <w:lang w:val="fr-FR"/>
              </w:rPr>
              <w:br/>
            </w:r>
            <w:r w:rsidRPr="008D086E">
              <w:rPr>
                <w:bCs/>
                <w:i/>
                <w:sz w:val="16"/>
                <w:lang w:val="fr-FR"/>
              </w:rPr>
              <w:t>(en centaines de millions de yen)</w:t>
            </w:r>
          </w:p>
        </w:tc>
        <w:tc>
          <w:tcPr>
            <w:tcW w:w="1668" w:type="dxa"/>
            <w:tcBorders>
              <w:top w:val="single" w:sz="4" w:space="0" w:color="auto"/>
              <w:bottom w:val="single" w:sz="12" w:space="0" w:color="auto"/>
            </w:tcBorders>
            <w:shd w:val="clear" w:color="auto" w:fill="auto"/>
            <w:vAlign w:val="bottom"/>
          </w:tcPr>
          <w:p w:rsidR="003353B7" w:rsidRPr="008D086E" w:rsidRDefault="008D086E" w:rsidP="002F1311">
            <w:pPr>
              <w:spacing w:before="80" w:after="80" w:line="200" w:lineRule="exact"/>
              <w:jc w:val="right"/>
              <w:rPr>
                <w:i/>
                <w:sz w:val="16"/>
                <w:lang w:val="es-ES"/>
              </w:rPr>
            </w:pPr>
            <w:r w:rsidRPr="008D086E">
              <w:rPr>
                <w:bCs/>
                <w:i/>
                <w:sz w:val="16"/>
                <w:lang w:val="fr-FR"/>
              </w:rPr>
              <w:t xml:space="preserve">Nombre de participants aux programmes </w:t>
            </w:r>
            <w:r w:rsidR="00D76166">
              <w:rPr>
                <w:bCs/>
                <w:i/>
                <w:sz w:val="16"/>
                <w:lang w:val="fr-FR"/>
              </w:rPr>
              <w:br/>
            </w:r>
            <w:r w:rsidRPr="008D086E">
              <w:rPr>
                <w:bCs/>
                <w:i/>
                <w:sz w:val="16"/>
                <w:lang w:val="fr-FR"/>
              </w:rPr>
              <w:t>de formation technique</w:t>
            </w:r>
          </w:p>
        </w:tc>
        <w:tc>
          <w:tcPr>
            <w:tcW w:w="1649" w:type="dxa"/>
            <w:tcBorders>
              <w:top w:val="single" w:sz="4" w:space="0" w:color="auto"/>
              <w:bottom w:val="single" w:sz="12" w:space="0" w:color="auto"/>
            </w:tcBorders>
            <w:vAlign w:val="bottom"/>
          </w:tcPr>
          <w:p w:rsidR="003353B7" w:rsidRPr="00D76166" w:rsidRDefault="008D086E" w:rsidP="002F1311">
            <w:pPr>
              <w:spacing w:before="80" w:after="80" w:line="200" w:lineRule="exact"/>
              <w:jc w:val="right"/>
              <w:rPr>
                <w:i/>
                <w:sz w:val="16"/>
                <w:lang w:val="es-ES"/>
              </w:rPr>
            </w:pPr>
            <w:r w:rsidRPr="008D086E">
              <w:rPr>
                <w:bCs/>
                <w:i/>
                <w:sz w:val="16"/>
                <w:lang w:val="fr-FR"/>
              </w:rPr>
              <w:t>Nombre d</w:t>
            </w:r>
            <w:r w:rsidR="00277023">
              <w:rPr>
                <w:bCs/>
                <w:i/>
                <w:sz w:val="16"/>
                <w:lang w:val="fr-FR"/>
              </w:rPr>
              <w:t>’</w:t>
            </w:r>
            <w:r w:rsidRPr="008D086E">
              <w:rPr>
                <w:bCs/>
                <w:i/>
                <w:sz w:val="16"/>
                <w:lang w:val="fr-FR"/>
              </w:rPr>
              <w:t>experts détachés dans des pays en développement</w:t>
            </w:r>
          </w:p>
        </w:tc>
        <w:tc>
          <w:tcPr>
            <w:tcW w:w="1688" w:type="dxa"/>
            <w:tcBorders>
              <w:top w:val="single" w:sz="4" w:space="0" w:color="auto"/>
              <w:bottom w:val="single" w:sz="12" w:space="0" w:color="auto"/>
            </w:tcBorders>
            <w:vAlign w:val="bottom"/>
          </w:tcPr>
          <w:p w:rsidR="003353B7" w:rsidRPr="008D086E" w:rsidRDefault="008D086E" w:rsidP="00274B35">
            <w:pPr>
              <w:spacing w:before="80" w:after="80" w:line="200" w:lineRule="exact"/>
              <w:jc w:val="right"/>
              <w:rPr>
                <w:i/>
                <w:sz w:val="16"/>
                <w:lang w:val="es-ES"/>
              </w:rPr>
            </w:pPr>
            <w:r w:rsidRPr="008D086E">
              <w:rPr>
                <w:bCs/>
                <w:i/>
                <w:sz w:val="16"/>
                <w:lang w:val="fr-FR"/>
              </w:rPr>
              <w:t xml:space="preserve">Nombre de volontaires </w:t>
            </w:r>
            <w:r w:rsidR="00D76166">
              <w:rPr>
                <w:bCs/>
                <w:i/>
                <w:sz w:val="16"/>
                <w:lang w:val="fr-FR"/>
              </w:rPr>
              <w:br/>
            </w:r>
            <w:r w:rsidRPr="008D086E">
              <w:rPr>
                <w:bCs/>
                <w:i/>
                <w:sz w:val="16"/>
                <w:lang w:val="fr-FR"/>
              </w:rPr>
              <w:t>de la coopération japonaise à l</w:t>
            </w:r>
            <w:r w:rsidR="00277023">
              <w:rPr>
                <w:bCs/>
                <w:i/>
                <w:sz w:val="16"/>
                <w:lang w:val="fr-FR"/>
              </w:rPr>
              <w:t>’</w:t>
            </w:r>
            <w:r w:rsidRPr="008D086E">
              <w:rPr>
                <w:bCs/>
                <w:i/>
                <w:sz w:val="16"/>
                <w:lang w:val="fr-FR"/>
              </w:rPr>
              <w:t xml:space="preserve">étranger détachés dans des pays </w:t>
            </w:r>
            <w:r w:rsidR="00D76166">
              <w:rPr>
                <w:bCs/>
                <w:i/>
                <w:sz w:val="16"/>
                <w:lang w:val="fr-FR"/>
              </w:rPr>
              <w:br/>
            </w:r>
            <w:r w:rsidRPr="008D086E">
              <w:rPr>
                <w:bCs/>
                <w:i/>
                <w:sz w:val="16"/>
                <w:lang w:val="fr-FR"/>
              </w:rPr>
              <w:t>en développement</w:t>
            </w:r>
          </w:p>
        </w:tc>
      </w:tr>
      <w:tr w:rsidR="003353B7" w:rsidRPr="008E5027" w:rsidTr="00D76166">
        <w:tc>
          <w:tcPr>
            <w:tcW w:w="966" w:type="dxa"/>
            <w:tcBorders>
              <w:top w:val="single" w:sz="12" w:space="0" w:color="auto"/>
            </w:tcBorders>
            <w:shd w:val="clear" w:color="auto" w:fill="auto"/>
            <w:vAlign w:val="bottom"/>
          </w:tcPr>
          <w:p w:rsidR="003353B7" w:rsidRPr="008E5027" w:rsidRDefault="003353B7" w:rsidP="00E3269C">
            <w:pPr>
              <w:spacing w:before="40" w:after="40" w:line="220" w:lineRule="exact"/>
              <w:rPr>
                <w:rFonts w:eastAsia="MS Gothic"/>
                <w:color w:val="000000"/>
                <w:sz w:val="18"/>
                <w:szCs w:val="18"/>
              </w:rPr>
            </w:pPr>
            <w:r w:rsidRPr="008E5027">
              <w:rPr>
                <w:rFonts w:eastAsia="MS Gothic"/>
                <w:color w:val="000000"/>
                <w:sz w:val="18"/>
                <w:szCs w:val="18"/>
              </w:rPr>
              <w:t>2000</w:t>
            </w:r>
          </w:p>
        </w:tc>
        <w:tc>
          <w:tcPr>
            <w:tcW w:w="1344" w:type="dxa"/>
            <w:tcBorders>
              <w:top w:val="single" w:sz="12" w:space="0" w:color="auto"/>
            </w:tcBorders>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272</w:t>
            </w:r>
            <w:r w:rsidR="008D086E">
              <w:rPr>
                <w:rFonts w:eastAsia="MS Gothic"/>
                <w:color w:val="000000"/>
                <w:sz w:val="18"/>
                <w:szCs w:val="18"/>
              </w:rPr>
              <w:t>,</w:t>
            </w:r>
            <w:r w:rsidRPr="008E5027">
              <w:rPr>
                <w:rFonts w:eastAsia="MS Gothic"/>
                <w:color w:val="000000"/>
                <w:sz w:val="18"/>
                <w:szCs w:val="18"/>
              </w:rPr>
              <w:t>54</w:t>
            </w:r>
            <w:r w:rsidR="00F35E2F" w:rsidRPr="008E5027">
              <w:rPr>
                <w:rFonts w:eastAsia="MS Gothic"/>
                <w:color w:val="000000"/>
                <w:sz w:val="18"/>
                <w:szCs w:val="18"/>
              </w:rPr>
              <w:t xml:space="preserve"> </w:t>
            </w:r>
            <w:r w:rsidRPr="008E5027">
              <w:rPr>
                <w:rFonts w:eastAsia="MS Gothic"/>
                <w:color w:val="000000"/>
                <w:sz w:val="18"/>
                <w:szCs w:val="18"/>
              </w:rPr>
              <w:t>(25</w:t>
            </w:r>
            <w:r w:rsidR="008D086E">
              <w:rPr>
                <w:rFonts w:eastAsia="MS Gothic"/>
                <w:color w:val="000000"/>
                <w:sz w:val="18"/>
                <w:szCs w:val="18"/>
              </w:rPr>
              <w:t>,</w:t>
            </w:r>
            <w:r w:rsidRPr="008E5027">
              <w:rPr>
                <w:rFonts w:eastAsia="MS Gothic"/>
                <w:color w:val="000000"/>
                <w:sz w:val="18"/>
                <w:szCs w:val="18"/>
              </w:rPr>
              <w:t>1)</w:t>
            </w:r>
          </w:p>
        </w:tc>
        <w:tc>
          <w:tcPr>
            <w:tcW w:w="1190" w:type="dxa"/>
            <w:tcBorders>
              <w:top w:val="single" w:sz="12" w:space="0" w:color="auto"/>
            </w:tcBorders>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15</w:t>
            </w:r>
            <w:r w:rsidR="008D086E">
              <w:rPr>
                <w:rFonts w:eastAsia="MS Gothic"/>
                <w:color w:val="000000"/>
                <w:sz w:val="18"/>
                <w:szCs w:val="18"/>
              </w:rPr>
              <w:t>,</w:t>
            </w:r>
            <w:r w:rsidRPr="008E5027">
              <w:rPr>
                <w:rFonts w:eastAsia="MS Gothic"/>
                <w:color w:val="000000"/>
                <w:sz w:val="18"/>
                <w:szCs w:val="18"/>
              </w:rPr>
              <w:t>08</w:t>
            </w:r>
            <w:r w:rsidR="00F35E2F" w:rsidRPr="008E5027">
              <w:rPr>
                <w:rFonts w:eastAsia="MS Gothic"/>
                <w:color w:val="000000"/>
                <w:sz w:val="18"/>
                <w:szCs w:val="18"/>
              </w:rPr>
              <w:t xml:space="preserve"> (</w:t>
            </w:r>
            <w:r w:rsidRPr="008E5027">
              <w:rPr>
                <w:rFonts w:eastAsia="MS Gothic"/>
                <w:color w:val="000000"/>
                <w:sz w:val="18"/>
                <w:szCs w:val="18"/>
              </w:rPr>
              <w:t>1</w:t>
            </w:r>
            <w:r w:rsidR="008D086E">
              <w:rPr>
                <w:rFonts w:eastAsia="MS Gothic"/>
                <w:color w:val="000000"/>
                <w:sz w:val="18"/>
                <w:szCs w:val="18"/>
              </w:rPr>
              <w:t>,</w:t>
            </w:r>
            <w:r w:rsidRPr="008E5027">
              <w:rPr>
                <w:rFonts w:eastAsia="MS Gothic"/>
                <w:color w:val="000000"/>
                <w:sz w:val="18"/>
                <w:szCs w:val="18"/>
              </w:rPr>
              <w:t>7)</w:t>
            </w:r>
          </w:p>
        </w:tc>
        <w:tc>
          <w:tcPr>
            <w:tcW w:w="1668" w:type="dxa"/>
            <w:tcBorders>
              <w:top w:val="single" w:sz="12" w:space="0" w:color="auto"/>
            </w:tcBorders>
            <w:shd w:val="clear" w:color="auto" w:fill="auto"/>
            <w:vAlign w:val="bottom"/>
          </w:tcPr>
          <w:p w:rsidR="003353B7" w:rsidRPr="008E5027" w:rsidRDefault="00D4689F" w:rsidP="00E3269C">
            <w:pPr>
              <w:spacing w:before="40" w:after="40" w:line="220" w:lineRule="exact"/>
              <w:jc w:val="right"/>
              <w:rPr>
                <w:rFonts w:eastAsia="MS Gothic"/>
                <w:color w:val="000000"/>
                <w:sz w:val="18"/>
                <w:szCs w:val="18"/>
              </w:rPr>
            </w:pPr>
            <w:r w:rsidRPr="008E5027">
              <w:rPr>
                <w:rFonts w:eastAsia="MS Gothic"/>
                <w:color w:val="000000"/>
                <w:sz w:val="18"/>
                <w:szCs w:val="18"/>
              </w:rPr>
              <w:t xml:space="preserve">2 </w:t>
            </w:r>
            <w:r w:rsidR="003353B7" w:rsidRPr="008E5027">
              <w:rPr>
                <w:rFonts w:eastAsia="MS Gothic"/>
                <w:color w:val="000000"/>
                <w:sz w:val="18"/>
                <w:szCs w:val="18"/>
              </w:rPr>
              <w:t>184</w:t>
            </w:r>
            <w:r w:rsidR="00F35E2F" w:rsidRPr="008E5027">
              <w:rPr>
                <w:rFonts w:eastAsia="MS Gothic"/>
                <w:color w:val="000000"/>
                <w:sz w:val="18"/>
                <w:szCs w:val="18"/>
              </w:rPr>
              <w:t xml:space="preserve"> (</w:t>
            </w:r>
            <w:r w:rsidR="003353B7" w:rsidRPr="008E5027">
              <w:rPr>
                <w:rFonts w:eastAsia="MS Gothic"/>
                <w:color w:val="000000"/>
                <w:sz w:val="18"/>
                <w:szCs w:val="18"/>
              </w:rPr>
              <w:t>12</w:t>
            </w:r>
            <w:r w:rsidR="008D086E">
              <w:rPr>
                <w:rFonts w:eastAsia="MS Gothic"/>
                <w:color w:val="000000"/>
                <w:sz w:val="18"/>
                <w:szCs w:val="18"/>
              </w:rPr>
              <w:t>,</w:t>
            </w:r>
            <w:r w:rsidR="003353B7" w:rsidRPr="008E5027">
              <w:rPr>
                <w:rFonts w:eastAsia="MS Gothic"/>
                <w:color w:val="000000"/>
                <w:sz w:val="18"/>
                <w:szCs w:val="18"/>
              </w:rPr>
              <w:t>5)</w:t>
            </w:r>
          </w:p>
        </w:tc>
        <w:tc>
          <w:tcPr>
            <w:tcW w:w="1649" w:type="dxa"/>
            <w:tcBorders>
              <w:top w:val="single" w:sz="12" w:space="0" w:color="auto"/>
            </w:tcBorders>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558</w:t>
            </w:r>
            <w:r w:rsidR="00F35E2F" w:rsidRPr="008E5027">
              <w:rPr>
                <w:rFonts w:eastAsia="MS Gothic"/>
                <w:color w:val="000000"/>
                <w:sz w:val="18"/>
                <w:szCs w:val="18"/>
              </w:rPr>
              <w:t xml:space="preserve"> (</w:t>
            </w:r>
            <w:r w:rsidRPr="008E5027">
              <w:rPr>
                <w:rFonts w:eastAsia="MS Gothic"/>
                <w:color w:val="000000"/>
                <w:sz w:val="18"/>
                <w:szCs w:val="18"/>
              </w:rPr>
              <w:t>16</w:t>
            </w:r>
            <w:r w:rsidR="008D086E">
              <w:rPr>
                <w:rFonts w:eastAsia="MS Gothic"/>
                <w:color w:val="000000"/>
                <w:sz w:val="18"/>
                <w:szCs w:val="18"/>
              </w:rPr>
              <w:t>,</w:t>
            </w:r>
            <w:r w:rsidRPr="008E5027">
              <w:rPr>
                <w:rFonts w:eastAsia="MS Gothic"/>
                <w:color w:val="000000"/>
                <w:sz w:val="18"/>
                <w:szCs w:val="18"/>
              </w:rPr>
              <w:t>5)</w:t>
            </w:r>
          </w:p>
        </w:tc>
        <w:tc>
          <w:tcPr>
            <w:tcW w:w="1688" w:type="dxa"/>
            <w:tcBorders>
              <w:top w:val="single" w:sz="12" w:space="0" w:color="auto"/>
            </w:tcBorders>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243</w:t>
            </w:r>
            <w:r w:rsidR="00F35E2F" w:rsidRPr="008E5027">
              <w:rPr>
                <w:rFonts w:eastAsia="MS Gothic"/>
                <w:color w:val="000000"/>
                <w:sz w:val="18"/>
                <w:szCs w:val="18"/>
              </w:rPr>
              <w:t xml:space="preserve"> (</w:t>
            </w:r>
            <w:r w:rsidRPr="008E5027">
              <w:rPr>
                <w:rFonts w:eastAsia="MS Gothic"/>
                <w:color w:val="000000"/>
                <w:sz w:val="18"/>
                <w:szCs w:val="18"/>
              </w:rPr>
              <w:t>17</w:t>
            </w:r>
            <w:r w:rsidR="008D086E">
              <w:rPr>
                <w:rFonts w:eastAsia="MS Gothic"/>
                <w:color w:val="000000"/>
                <w:sz w:val="18"/>
                <w:szCs w:val="18"/>
              </w:rPr>
              <w:t>,</w:t>
            </w:r>
            <w:r w:rsidRPr="008E5027">
              <w:rPr>
                <w:rFonts w:eastAsia="MS Gothic"/>
                <w:color w:val="000000"/>
                <w:sz w:val="18"/>
                <w:szCs w:val="18"/>
              </w:rPr>
              <w:t>7)</w:t>
            </w:r>
          </w:p>
        </w:tc>
      </w:tr>
      <w:tr w:rsidR="003353B7" w:rsidRPr="008E5027" w:rsidTr="00D76166">
        <w:tc>
          <w:tcPr>
            <w:tcW w:w="966" w:type="dxa"/>
            <w:shd w:val="clear" w:color="auto" w:fill="auto"/>
            <w:vAlign w:val="bottom"/>
          </w:tcPr>
          <w:p w:rsidR="003353B7" w:rsidRPr="008E5027" w:rsidRDefault="003353B7" w:rsidP="00E3269C">
            <w:pPr>
              <w:spacing w:before="40" w:after="40" w:line="220" w:lineRule="exact"/>
              <w:rPr>
                <w:rFonts w:eastAsia="MS Gothic"/>
                <w:color w:val="000000"/>
                <w:sz w:val="18"/>
                <w:szCs w:val="18"/>
              </w:rPr>
            </w:pPr>
            <w:r w:rsidRPr="008E5027">
              <w:rPr>
                <w:rFonts w:eastAsia="MS Gothic"/>
                <w:color w:val="000000"/>
                <w:sz w:val="18"/>
                <w:szCs w:val="18"/>
              </w:rPr>
              <w:t>2001</w:t>
            </w:r>
          </w:p>
        </w:tc>
        <w:tc>
          <w:tcPr>
            <w:tcW w:w="1344" w:type="dxa"/>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218</w:t>
            </w:r>
            <w:r w:rsidR="008D086E">
              <w:rPr>
                <w:rFonts w:eastAsia="MS Gothic"/>
                <w:color w:val="000000"/>
                <w:sz w:val="18"/>
                <w:szCs w:val="18"/>
              </w:rPr>
              <w:t>,</w:t>
            </w:r>
            <w:r w:rsidRPr="008E5027">
              <w:rPr>
                <w:rFonts w:eastAsia="MS Gothic"/>
                <w:color w:val="000000"/>
                <w:sz w:val="18"/>
                <w:szCs w:val="18"/>
              </w:rPr>
              <w:t>43</w:t>
            </w:r>
            <w:r w:rsidR="00F35E2F" w:rsidRPr="008E5027">
              <w:rPr>
                <w:rFonts w:eastAsia="MS Gothic"/>
                <w:color w:val="000000"/>
                <w:sz w:val="18"/>
                <w:szCs w:val="18"/>
              </w:rPr>
              <w:t xml:space="preserve"> </w:t>
            </w:r>
            <w:r w:rsidRPr="008E5027">
              <w:rPr>
                <w:rFonts w:eastAsia="MS Gothic"/>
                <w:color w:val="000000"/>
                <w:sz w:val="18"/>
                <w:szCs w:val="18"/>
              </w:rPr>
              <w:t>(20</w:t>
            </w:r>
            <w:r w:rsidR="008D086E">
              <w:rPr>
                <w:rFonts w:eastAsia="MS Gothic"/>
                <w:color w:val="000000"/>
                <w:sz w:val="18"/>
                <w:szCs w:val="18"/>
              </w:rPr>
              <w:t>,</w:t>
            </w:r>
            <w:r w:rsidRPr="008E5027">
              <w:rPr>
                <w:rFonts w:eastAsia="MS Gothic"/>
                <w:color w:val="000000"/>
                <w:sz w:val="18"/>
                <w:szCs w:val="18"/>
              </w:rPr>
              <w:t>4)</w:t>
            </w:r>
          </w:p>
        </w:tc>
        <w:tc>
          <w:tcPr>
            <w:tcW w:w="1190" w:type="dxa"/>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0</w:t>
            </w:r>
            <w:r w:rsidR="00F35E2F" w:rsidRPr="008E5027">
              <w:rPr>
                <w:rFonts w:eastAsia="MS Gothic"/>
                <w:color w:val="000000"/>
                <w:sz w:val="18"/>
                <w:szCs w:val="18"/>
              </w:rPr>
              <w:t xml:space="preserve"> (</w:t>
            </w:r>
            <w:r w:rsidRPr="008E5027">
              <w:rPr>
                <w:rFonts w:eastAsia="MS Gothic"/>
                <w:color w:val="000000"/>
                <w:sz w:val="18"/>
                <w:szCs w:val="18"/>
              </w:rPr>
              <w:t>0)</w:t>
            </w:r>
          </w:p>
        </w:tc>
        <w:tc>
          <w:tcPr>
            <w:tcW w:w="1668" w:type="dxa"/>
            <w:shd w:val="clear" w:color="auto" w:fill="auto"/>
            <w:vAlign w:val="bottom"/>
          </w:tcPr>
          <w:p w:rsidR="003353B7" w:rsidRPr="008E5027" w:rsidRDefault="00D4689F" w:rsidP="00E3269C">
            <w:pPr>
              <w:spacing w:before="40" w:after="40" w:line="220" w:lineRule="exact"/>
              <w:jc w:val="right"/>
              <w:rPr>
                <w:rFonts w:eastAsia="MS Gothic"/>
                <w:color w:val="000000"/>
                <w:sz w:val="18"/>
                <w:szCs w:val="18"/>
              </w:rPr>
            </w:pPr>
            <w:r w:rsidRPr="008E5027">
              <w:rPr>
                <w:rFonts w:eastAsia="MS Gothic"/>
                <w:color w:val="000000"/>
                <w:sz w:val="18"/>
                <w:szCs w:val="18"/>
              </w:rPr>
              <w:t xml:space="preserve">2 </w:t>
            </w:r>
            <w:r w:rsidR="003353B7" w:rsidRPr="008E5027">
              <w:rPr>
                <w:rFonts w:eastAsia="MS Gothic"/>
                <w:color w:val="000000"/>
                <w:sz w:val="18"/>
                <w:szCs w:val="18"/>
              </w:rPr>
              <w:t>286</w:t>
            </w:r>
            <w:r w:rsidR="00F35E2F" w:rsidRPr="008E5027">
              <w:rPr>
                <w:rFonts w:eastAsia="MS Gothic"/>
                <w:color w:val="000000"/>
                <w:sz w:val="18"/>
                <w:szCs w:val="18"/>
              </w:rPr>
              <w:t xml:space="preserve"> (</w:t>
            </w:r>
            <w:r w:rsidR="003353B7" w:rsidRPr="008E5027">
              <w:rPr>
                <w:rFonts w:eastAsia="MS Gothic"/>
                <w:color w:val="000000"/>
                <w:sz w:val="18"/>
                <w:szCs w:val="18"/>
              </w:rPr>
              <w:t>10</w:t>
            </w:r>
            <w:r w:rsidR="008D086E">
              <w:rPr>
                <w:rFonts w:eastAsia="MS Gothic"/>
                <w:color w:val="000000"/>
                <w:sz w:val="18"/>
                <w:szCs w:val="18"/>
              </w:rPr>
              <w:t>,</w:t>
            </w:r>
            <w:r w:rsidR="003353B7" w:rsidRPr="008E5027">
              <w:rPr>
                <w:rFonts w:eastAsia="MS Gothic"/>
                <w:color w:val="000000"/>
                <w:sz w:val="18"/>
                <w:szCs w:val="18"/>
              </w:rPr>
              <w:t>9)</w:t>
            </w:r>
          </w:p>
        </w:tc>
        <w:tc>
          <w:tcPr>
            <w:tcW w:w="1649" w:type="dxa"/>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593</w:t>
            </w:r>
            <w:r w:rsidR="00F35E2F" w:rsidRPr="008E5027">
              <w:rPr>
                <w:rFonts w:eastAsia="MS Gothic"/>
                <w:color w:val="000000"/>
                <w:sz w:val="18"/>
                <w:szCs w:val="18"/>
              </w:rPr>
              <w:t xml:space="preserve"> (</w:t>
            </w:r>
            <w:r w:rsidRPr="008E5027">
              <w:rPr>
                <w:rFonts w:eastAsia="MS Gothic"/>
                <w:color w:val="000000"/>
                <w:sz w:val="18"/>
                <w:szCs w:val="18"/>
              </w:rPr>
              <w:t>18</w:t>
            </w:r>
            <w:r w:rsidR="008D086E">
              <w:rPr>
                <w:rFonts w:eastAsia="MS Gothic"/>
                <w:color w:val="000000"/>
                <w:sz w:val="18"/>
                <w:szCs w:val="18"/>
              </w:rPr>
              <w:t>,</w:t>
            </w:r>
            <w:r w:rsidRPr="008E5027">
              <w:rPr>
                <w:rFonts w:eastAsia="MS Gothic"/>
                <w:color w:val="000000"/>
                <w:sz w:val="18"/>
                <w:szCs w:val="18"/>
              </w:rPr>
              <w:t>3)</w:t>
            </w:r>
          </w:p>
        </w:tc>
        <w:tc>
          <w:tcPr>
            <w:tcW w:w="1688" w:type="dxa"/>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187</w:t>
            </w:r>
            <w:r w:rsidR="00F35E2F" w:rsidRPr="008E5027">
              <w:rPr>
                <w:rFonts w:eastAsia="MS Gothic"/>
                <w:color w:val="000000"/>
                <w:sz w:val="18"/>
                <w:szCs w:val="18"/>
              </w:rPr>
              <w:t xml:space="preserve"> (</w:t>
            </w:r>
            <w:r w:rsidRPr="008E5027">
              <w:rPr>
                <w:rFonts w:eastAsia="MS Gothic"/>
                <w:color w:val="000000"/>
                <w:sz w:val="18"/>
                <w:szCs w:val="18"/>
              </w:rPr>
              <w:t>16</w:t>
            </w:r>
            <w:r w:rsidR="008D086E">
              <w:rPr>
                <w:rFonts w:eastAsia="MS Gothic"/>
                <w:color w:val="000000"/>
                <w:sz w:val="18"/>
                <w:szCs w:val="18"/>
              </w:rPr>
              <w:t>,</w:t>
            </w:r>
            <w:r w:rsidRPr="008E5027">
              <w:rPr>
                <w:rFonts w:eastAsia="MS Gothic"/>
                <w:color w:val="000000"/>
                <w:sz w:val="18"/>
                <w:szCs w:val="18"/>
              </w:rPr>
              <w:t>4)</w:t>
            </w:r>
          </w:p>
        </w:tc>
      </w:tr>
      <w:tr w:rsidR="003353B7" w:rsidRPr="008E5027" w:rsidTr="00D76166">
        <w:tc>
          <w:tcPr>
            <w:tcW w:w="966" w:type="dxa"/>
            <w:shd w:val="clear" w:color="auto" w:fill="auto"/>
            <w:vAlign w:val="bottom"/>
          </w:tcPr>
          <w:p w:rsidR="003353B7" w:rsidRPr="008E5027" w:rsidRDefault="003353B7" w:rsidP="00E3269C">
            <w:pPr>
              <w:spacing w:before="40" w:after="40" w:line="220" w:lineRule="exact"/>
              <w:rPr>
                <w:rFonts w:eastAsia="MS Gothic"/>
                <w:color w:val="000000"/>
                <w:sz w:val="18"/>
                <w:szCs w:val="18"/>
              </w:rPr>
            </w:pPr>
            <w:r w:rsidRPr="008E5027">
              <w:rPr>
                <w:rFonts w:eastAsia="MS Gothic"/>
                <w:color w:val="000000"/>
                <w:sz w:val="18"/>
                <w:szCs w:val="18"/>
              </w:rPr>
              <w:t>2002</w:t>
            </w:r>
          </w:p>
        </w:tc>
        <w:tc>
          <w:tcPr>
            <w:tcW w:w="1344" w:type="dxa"/>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195</w:t>
            </w:r>
            <w:r w:rsidR="008D086E">
              <w:rPr>
                <w:rFonts w:eastAsia="MS Gothic"/>
                <w:color w:val="000000"/>
                <w:sz w:val="18"/>
                <w:szCs w:val="18"/>
              </w:rPr>
              <w:t>,</w:t>
            </w:r>
            <w:r w:rsidRPr="008E5027">
              <w:rPr>
                <w:rFonts w:eastAsia="MS Gothic"/>
                <w:color w:val="000000"/>
                <w:sz w:val="18"/>
                <w:szCs w:val="18"/>
              </w:rPr>
              <w:t>46</w:t>
            </w:r>
            <w:r w:rsidR="00F35E2F" w:rsidRPr="008E5027">
              <w:rPr>
                <w:rFonts w:eastAsia="MS Gothic"/>
                <w:color w:val="000000"/>
                <w:sz w:val="18"/>
                <w:szCs w:val="18"/>
              </w:rPr>
              <w:t xml:space="preserve"> </w:t>
            </w:r>
            <w:r w:rsidRPr="008E5027">
              <w:rPr>
                <w:rFonts w:eastAsia="MS Gothic"/>
                <w:color w:val="000000"/>
                <w:sz w:val="18"/>
                <w:szCs w:val="18"/>
              </w:rPr>
              <w:t>(19</w:t>
            </w:r>
            <w:r w:rsidR="008D086E">
              <w:rPr>
                <w:rFonts w:eastAsia="MS Gothic"/>
                <w:color w:val="000000"/>
                <w:sz w:val="18"/>
                <w:szCs w:val="18"/>
              </w:rPr>
              <w:t>,</w:t>
            </w:r>
            <w:r w:rsidRPr="008E5027">
              <w:rPr>
                <w:rFonts w:eastAsia="MS Gothic"/>
                <w:color w:val="000000"/>
                <w:sz w:val="18"/>
                <w:szCs w:val="18"/>
              </w:rPr>
              <w:t>5)</w:t>
            </w:r>
          </w:p>
        </w:tc>
        <w:tc>
          <w:tcPr>
            <w:tcW w:w="1190" w:type="dxa"/>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0</w:t>
            </w:r>
            <w:r w:rsidR="00F35E2F" w:rsidRPr="008E5027">
              <w:rPr>
                <w:rFonts w:eastAsia="MS Gothic"/>
                <w:color w:val="000000"/>
                <w:sz w:val="18"/>
                <w:szCs w:val="18"/>
              </w:rPr>
              <w:t xml:space="preserve"> </w:t>
            </w:r>
            <w:r w:rsidRPr="008E5027">
              <w:rPr>
                <w:rFonts w:eastAsia="MS Gothic"/>
                <w:color w:val="000000"/>
                <w:sz w:val="18"/>
                <w:szCs w:val="18"/>
              </w:rPr>
              <w:t>(0)</w:t>
            </w:r>
          </w:p>
        </w:tc>
        <w:tc>
          <w:tcPr>
            <w:tcW w:w="1668" w:type="dxa"/>
            <w:shd w:val="clear" w:color="auto" w:fill="auto"/>
            <w:vAlign w:val="bottom"/>
          </w:tcPr>
          <w:p w:rsidR="003353B7" w:rsidRPr="008E5027" w:rsidRDefault="00D4689F" w:rsidP="00E3269C">
            <w:pPr>
              <w:spacing w:before="40" w:after="40" w:line="220" w:lineRule="exact"/>
              <w:jc w:val="right"/>
              <w:rPr>
                <w:rFonts w:eastAsia="MS Gothic"/>
                <w:color w:val="000000"/>
                <w:sz w:val="18"/>
                <w:szCs w:val="18"/>
              </w:rPr>
            </w:pPr>
            <w:r w:rsidRPr="008E5027">
              <w:rPr>
                <w:rFonts w:eastAsia="MS Gothic"/>
                <w:color w:val="000000"/>
                <w:sz w:val="18"/>
                <w:szCs w:val="18"/>
              </w:rPr>
              <w:t xml:space="preserve">2 </w:t>
            </w:r>
            <w:r w:rsidR="003353B7" w:rsidRPr="008E5027">
              <w:rPr>
                <w:rFonts w:eastAsia="MS Gothic"/>
                <w:color w:val="000000"/>
                <w:sz w:val="18"/>
                <w:szCs w:val="18"/>
              </w:rPr>
              <w:t>515</w:t>
            </w:r>
            <w:r w:rsidR="00F35E2F" w:rsidRPr="008E5027">
              <w:rPr>
                <w:rFonts w:eastAsia="MS Gothic"/>
                <w:color w:val="000000"/>
                <w:sz w:val="18"/>
                <w:szCs w:val="18"/>
              </w:rPr>
              <w:t xml:space="preserve"> (</w:t>
            </w:r>
            <w:r w:rsidR="003353B7" w:rsidRPr="008E5027">
              <w:rPr>
                <w:rFonts w:eastAsia="MS Gothic"/>
                <w:color w:val="000000"/>
                <w:sz w:val="18"/>
                <w:szCs w:val="18"/>
              </w:rPr>
              <w:t>12</w:t>
            </w:r>
            <w:r w:rsidR="008D086E">
              <w:rPr>
                <w:rFonts w:eastAsia="MS Gothic"/>
                <w:color w:val="000000"/>
                <w:sz w:val="18"/>
                <w:szCs w:val="18"/>
              </w:rPr>
              <w:t>,</w:t>
            </w:r>
            <w:r w:rsidR="003353B7" w:rsidRPr="008E5027">
              <w:rPr>
                <w:rFonts w:eastAsia="MS Gothic"/>
                <w:color w:val="000000"/>
                <w:sz w:val="18"/>
                <w:szCs w:val="18"/>
              </w:rPr>
              <w:t>8)</w:t>
            </w:r>
          </w:p>
        </w:tc>
        <w:tc>
          <w:tcPr>
            <w:tcW w:w="1649" w:type="dxa"/>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560</w:t>
            </w:r>
            <w:r w:rsidR="00F35E2F" w:rsidRPr="008E5027">
              <w:rPr>
                <w:rFonts w:eastAsia="MS Gothic"/>
                <w:color w:val="000000"/>
                <w:sz w:val="18"/>
                <w:szCs w:val="18"/>
              </w:rPr>
              <w:t xml:space="preserve"> (</w:t>
            </w:r>
            <w:r w:rsidRPr="008E5027">
              <w:rPr>
                <w:rFonts w:eastAsia="MS Gothic"/>
                <w:color w:val="000000"/>
                <w:sz w:val="18"/>
                <w:szCs w:val="18"/>
              </w:rPr>
              <w:t>20</w:t>
            </w:r>
            <w:r w:rsidR="008D086E">
              <w:rPr>
                <w:rFonts w:eastAsia="MS Gothic"/>
                <w:color w:val="000000"/>
                <w:sz w:val="18"/>
                <w:szCs w:val="18"/>
              </w:rPr>
              <w:t>,</w:t>
            </w:r>
            <w:r w:rsidRPr="008E5027">
              <w:rPr>
                <w:rFonts w:eastAsia="MS Gothic"/>
                <w:color w:val="000000"/>
                <w:sz w:val="18"/>
                <w:szCs w:val="18"/>
              </w:rPr>
              <w:t>0)</w:t>
            </w:r>
          </w:p>
        </w:tc>
        <w:tc>
          <w:tcPr>
            <w:tcW w:w="1688" w:type="dxa"/>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197</w:t>
            </w:r>
            <w:r w:rsidR="00F35E2F" w:rsidRPr="008E5027">
              <w:rPr>
                <w:rFonts w:eastAsia="MS Gothic"/>
                <w:color w:val="000000"/>
                <w:sz w:val="18"/>
                <w:szCs w:val="18"/>
              </w:rPr>
              <w:t xml:space="preserve"> (</w:t>
            </w:r>
            <w:r w:rsidRPr="008E5027">
              <w:rPr>
                <w:rFonts w:eastAsia="MS Gothic"/>
                <w:color w:val="000000"/>
                <w:sz w:val="18"/>
                <w:szCs w:val="18"/>
              </w:rPr>
              <w:t>16</w:t>
            </w:r>
            <w:r w:rsidR="008D086E">
              <w:rPr>
                <w:rFonts w:eastAsia="MS Gothic"/>
                <w:color w:val="000000"/>
                <w:sz w:val="18"/>
                <w:szCs w:val="18"/>
              </w:rPr>
              <w:t>,</w:t>
            </w:r>
            <w:r w:rsidRPr="008E5027">
              <w:rPr>
                <w:rFonts w:eastAsia="MS Gothic"/>
                <w:color w:val="000000"/>
                <w:sz w:val="18"/>
                <w:szCs w:val="18"/>
              </w:rPr>
              <w:t>0)</w:t>
            </w:r>
          </w:p>
        </w:tc>
      </w:tr>
      <w:tr w:rsidR="003353B7" w:rsidRPr="008E5027" w:rsidTr="00D76166">
        <w:tc>
          <w:tcPr>
            <w:tcW w:w="966" w:type="dxa"/>
            <w:shd w:val="clear" w:color="auto" w:fill="auto"/>
            <w:vAlign w:val="bottom"/>
          </w:tcPr>
          <w:p w:rsidR="003353B7" w:rsidRPr="008E5027" w:rsidRDefault="003353B7" w:rsidP="00E3269C">
            <w:pPr>
              <w:spacing w:before="40" w:after="40" w:line="220" w:lineRule="exact"/>
              <w:rPr>
                <w:rFonts w:eastAsia="MS Gothic"/>
                <w:color w:val="000000"/>
                <w:sz w:val="18"/>
                <w:szCs w:val="18"/>
              </w:rPr>
            </w:pPr>
            <w:r w:rsidRPr="008E5027">
              <w:rPr>
                <w:rFonts w:eastAsia="MS Gothic"/>
                <w:color w:val="000000"/>
                <w:sz w:val="18"/>
                <w:szCs w:val="18"/>
              </w:rPr>
              <w:t>2003</w:t>
            </w:r>
          </w:p>
        </w:tc>
        <w:tc>
          <w:tcPr>
            <w:tcW w:w="1344" w:type="dxa"/>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214</w:t>
            </w:r>
            <w:r w:rsidR="008D086E">
              <w:rPr>
                <w:rFonts w:eastAsia="MS Gothic"/>
                <w:color w:val="000000"/>
                <w:sz w:val="18"/>
                <w:szCs w:val="18"/>
              </w:rPr>
              <w:t>,</w:t>
            </w:r>
            <w:r w:rsidRPr="008E5027">
              <w:rPr>
                <w:rFonts w:eastAsia="MS Gothic"/>
                <w:color w:val="000000"/>
                <w:sz w:val="18"/>
                <w:szCs w:val="18"/>
              </w:rPr>
              <w:t>06</w:t>
            </w:r>
            <w:r w:rsidR="00F35E2F" w:rsidRPr="008E5027">
              <w:rPr>
                <w:rFonts w:eastAsia="MS Gothic"/>
                <w:color w:val="000000"/>
                <w:sz w:val="18"/>
                <w:szCs w:val="18"/>
              </w:rPr>
              <w:t xml:space="preserve"> </w:t>
            </w:r>
            <w:r w:rsidRPr="008E5027">
              <w:rPr>
                <w:rFonts w:eastAsia="MS Gothic"/>
                <w:color w:val="000000"/>
                <w:sz w:val="18"/>
                <w:szCs w:val="18"/>
              </w:rPr>
              <w:t>(25</w:t>
            </w:r>
            <w:r w:rsidR="008D086E">
              <w:rPr>
                <w:rFonts w:eastAsia="MS Gothic"/>
                <w:color w:val="000000"/>
                <w:sz w:val="18"/>
                <w:szCs w:val="18"/>
              </w:rPr>
              <w:t>,</w:t>
            </w:r>
            <w:r w:rsidRPr="008E5027">
              <w:rPr>
                <w:rFonts w:eastAsia="MS Gothic"/>
                <w:color w:val="000000"/>
                <w:sz w:val="18"/>
                <w:szCs w:val="18"/>
              </w:rPr>
              <w:t>9)</w:t>
            </w:r>
          </w:p>
        </w:tc>
        <w:tc>
          <w:tcPr>
            <w:tcW w:w="1190" w:type="dxa"/>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262</w:t>
            </w:r>
            <w:r w:rsidR="008D086E">
              <w:rPr>
                <w:rFonts w:eastAsia="MS Gothic"/>
                <w:color w:val="000000"/>
                <w:sz w:val="18"/>
                <w:szCs w:val="18"/>
              </w:rPr>
              <w:t>,</w:t>
            </w:r>
            <w:r w:rsidRPr="008E5027">
              <w:rPr>
                <w:rFonts w:eastAsia="MS Gothic"/>
                <w:color w:val="000000"/>
                <w:sz w:val="18"/>
                <w:szCs w:val="18"/>
              </w:rPr>
              <w:t>18</w:t>
            </w:r>
            <w:r w:rsidR="00F35E2F" w:rsidRPr="008E5027">
              <w:rPr>
                <w:rFonts w:eastAsia="MS Gothic"/>
                <w:color w:val="000000"/>
                <w:sz w:val="18"/>
                <w:szCs w:val="18"/>
              </w:rPr>
              <w:t xml:space="preserve"> (</w:t>
            </w:r>
            <w:r w:rsidRPr="008E5027">
              <w:rPr>
                <w:rFonts w:eastAsia="MS Gothic"/>
                <w:color w:val="000000"/>
                <w:sz w:val="18"/>
                <w:szCs w:val="18"/>
              </w:rPr>
              <w:t>4</w:t>
            </w:r>
            <w:r w:rsidR="008D086E">
              <w:rPr>
                <w:rFonts w:eastAsia="MS Gothic"/>
                <w:color w:val="000000"/>
                <w:sz w:val="18"/>
                <w:szCs w:val="18"/>
              </w:rPr>
              <w:t>,</w:t>
            </w:r>
            <w:r w:rsidRPr="008E5027">
              <w:rPr>
                <w:rFonts w:eastAsia="MS Gothic"/>
                <w:color w:val="000000"/>
                <w:sz w:val="18"/>
                <w:szCs w:val="18"/>
              </w:rPr>
              <w:t>7)</w:t>
            </w:r>
          </w:p>
        </w:tc>
        <w:tc>
          <w:tcPr>
            <w:tcW w:w="1668" w:type="dxa"/>
            <w:shd w:val="clear" w:color="auto" w:fill="auto"/>
            <w:vAlign w:val="bottom"/>
          </w:tcPr>
          <w:p w:rsidR="003353B7" w:rsidRPr="008E5027" w:rsidRDefault="00D4689F" w:rsidP="00E3269C">
            <w:pPr>
              <w:spacing w:before="40" w:after="40" w:line="220" w:lineRule="exact"/>
              <w:jc w:val="right"/>
              <w:rPr>
                <w:rFonts w:eastAsia="MS Gothic"/>
                <w:color w:val="000000"/>
                <w:sz w:val="18"/>
                <w:szCs w:val="18"/>
              </w:rPr>
            </w:pPr>
            <w:r w:rsidRPr="008E5027">
              <w:rPr>
                <w:rFonts w:eastAsia="MS Gothic"/>
                <w:color w:val="000000"/>
                <w:sz w:val="18"/>
                <w:szCs w:val="18"/>
              </w:rPr>
              <w:t xml:space="preserve">2 </w:t>
            </w:r>
            <w:r w:rsidR="003353B7" w:rsidRPr="008E5027">
              <w:rPr>
                <w:rFonts w:eastAsia="MS Gothic"/>
                <w:color w:val="000000"/>
                <w:sz w:val="18"/>
                <w:szCs w:val="18"/>
              </w:rPr>
              <w:t>397</w:t>
            </w:r>
            <w:r w:rsidR="00F35E2F" w:rsidRPr="008E5027">
              <w:rPr>
                <w:rFonts w:eastAsia="MS Gothic"/>
                <w:color w:val="000000"/>
                <w:sz w:val="18"/>
                <w:szCs w:val="18"/>
              </w:rPr>
              <w:t xml:space="preserve"> (</w:t>
            </w:r>
            <w:r w:rsidR="003353B7" w:rsidRPr="008E5027">
              <w:rPr>
                <w:rFonts w:eastAsia="MS Gothic"/>
                <w:color w:val="000000"/>
                <w:sz w:val="18"/>
                <w:szCs w:val="18"/>
              </w:rPr>
              <w:t>14</w:t>
            </w:r>
            <w:r w:rsidR="008D086E">
              <w:rPr>
                <w:rFonts w:eastAsia="MS Gothic"/>
                <w:color w:val="000000"/>
                <w:sz w:val="18"/>
                <w:szCs w:val="18"/>
              </w:rPr>
              <w:t>,</w:t>
            </w:r>
            <w:r w:rsidR="003353B7" w:rsidRPr="008E5027">
              <w:rPr>
                <w:rFonts w:eastAsia="MS Gothic"/>
                <w:color w:val="000000"/>
                <w:sz w:val="18"/>
                <w:szCs w:val="18"/>
              </w:rPr>
              <w:t>7)</w:t>
            </w:r>
          </w:p>
        </w:tc>
        <w:tc>
          <w:tcPr>
            <w:tcW w:w="1649" w:type="dxa"/>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537</w:t>
            </w:r>
            <w:r w:rsidR="00F35E2F" w:rsidRPr="008E5027">
              <w:rPr>
                <w:rFonts w:eastAsia="MS Gothic"/>
                <w:color w:val="000000"/>
                <w:sz w:val="18"/>
                <w:szCs w:val="18"/>
              </w:rPr>
              <w:t xml:space="preserve"> (</w:t>
            </w:r>
            <w:r w:rsidRPr="008E5027">
              <w:rPr>
                <w:rFonts w:eastAsia="MS Gothic"/>
                <w:color w:val="000000"/>
                <w:sz w:val="18"/>
                <w:szCs w:val="18"/>
              </w:rPr>
              <w:t>18</w:t>
            </w:r>
            <w:r w:rsidR="008D086E">
              <w:rPr>
                <w:rFonts w:eastAsia="MS Gothic"/>
                <w:color w:val="000000"/>
                <w:sz w:val="18"/>
                <w:szCs w:val="18"/>
              </w:rPr>
              <w:t>,</w:t>
            </w:r>
            <w:r w:rsidRPr="008E5027">
              <w:rPr>
                <w:rFonts w:eastAsia="MS Gothic"/>
                <w:color w:val="000000"/>
                <w:sz w:val="18"/>
                <w:szCs w:val="18"/>
              </w:rPr>
              <w:t>2)</w:t>
            </w:r>
          </w:p>
        </w:tc>
        <w:tc>
          <w:tcPr>
            <w:tcW w:w="1688" w:type="dxa"/>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198</w:t>
            </w:r>
            <w:r w:rsidR="00F35E2F" w:rsidRPr="008E5027">
              <w:rPr>
                <w:rFonts w:eastAsia="MS Gothic"/>
                <w:color w:val="000000"/>
                <w:sz w:val="18"/>
                <w:szCs w:val="18"/>
              </w:rPr>
              <w:t xml:space="preserve"> (</w:t>
            </w:r>
            <w:r w:rsidRPr="008E5027">
              <w:rPr>
                <w:rFonts w:eastAsia="MS Gothic"/>
                <w:color w:val="000000"/>
                <w:sz w:val="18"/>
                <w:szCs w:val="18"/>
              </w:rPr>
              <w:t>15</w:t>
            </w:r>
            <w:r w:rsidR="008D086E">
              <w:rPr>
                <w:rFonts w:eastAsia="MS Gothic"/>
                <w:color w:val="000000"/>
                <w:sz w:val="18"/>
                <w:szCs w:val="18"/>
              </w:rPr>
              <w:t>,</w:t>
            </w:r>
            <w:r w:rsidRPr="008E5027">
              <w:rPr>
                <w:rFonts w:eastAsia="MS Gothic"/>
                <w:color w:val="000000"/>
                <w:sz w:val="18"/>
                <w:szCs w:val="18"/>
              </w:rPr>
              <w:t>1)</w:t>
            </w:r>
          </w:p>
        </w:tc>
      </w:tr>
      <w:tr w:rsidR="003353B7" w:rsidRPr="008E5027" w:rsidTr="00D76166">
        <w:tc>
          <w:tcPr>
            <w:tcW w:w="966" w:type="dxa"/>
            <w:shd w:val="clear" w:color="auto" w:fill="auto"/>
            <w:vAlign w:val="bottom"/>
          </w:tcPr>
          <w:p w:rsidR="003353B7" w:rsidRPr="008E5027" w:rsidRDefault="003353B7" w:rsidP="00E3269C">
            <w:pPr>
              <w:spacing w:before="40" w:after="40" w:line="220" w:lineRule="exact"/>
              <w:rPr>
                <w:rFonts w:eastAsia="MS Gothic"/>
                <w:color w:val="000000"/>
                <w:sz w:val="18"/>
                <w:szCs w:val="18"/>
              </w:rPr>
            </w:pPr>
            <w:r w:rsidRPr="008E5027">
              <w:rPr>
                <w:rFonts w:eastAsia="MS Gothic"/>
                <w:color w:val="000000"/>
                <w:sz w:val="18"/>
                <w:szCs w:val="18"/>
              </w:rPr>
              <w:t>2004</w:t>
            </w:r>
          </w:p>
        </w:tc>
        <w:tc>
          <w:tcPr>
            <w:tcW w:w="1344" w:type="dxa"/>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243</w:t>
            </w:r>
            <w:r w:rsidR="008D086E">
              <w:rPr>
                <w:rFonts w:eastAsia="MS Gothic"/>
                <w:color w:val="000000"/>
                <w:sz w:val="18"/>
                <w:szCs w:val="18"/>
              </w:rPr>
              <w:t>,</w:t>
            </w:r>
            <w:r w:rsidRPr="008E5027">
              <w:rPr>
                <w:rFonts w:eastAsia="MS Gothic"/>
                <w:color w:val="000000"/>
                <w:sz w:val="18"/>
                <w:szCs w:val="18"/>
              </w:rPr>
              <w:t>34</w:t>
            </w:r>
            <w:r w:rsidR="00F35E2F" w:rsidRPr="008E5027">
              <w:rPr>
                <w:rFonts w:eastAsia="MS Gothic"/>
                <w:color w:val="000000"/>
                <w:sz w:val="18"/>
                <w:szCs w:val="18"/>
              </w:rPr>
              <w:t xml:space="preserve"> </w:t>
            </w:r>
            <w:r w:rsidRPr="008E5027">
              <w:rPr>
                <w:rFonts w:eastAsia="MS Gothic"/>
                <w:color w:val="000000"/>
                <w:sz w:val="18"/>
                <w:szCs w:val="18"/>
              </w:rPr>
              <w:t>(30</w:t>
            </w:r>
            <w:r w:rsidR="008D086E">
              <w:rPr>
                <w:rFonts w:eastAsia="MS Gothic"/>
                <w:color w:val="000000"/>
                <w:sz w:val="18"/>
                <w:szCs w:val="18"/>
              </w:rPr>
              <w:t>,</w:t>
            </w:r>
            <w:r w:rsidRPr="008E5027">
              <w:rPr>
                <w:rFonts w:eastAsia="MS Gothic"/>
                <w:color w:val="000000"/>
                <w:sz w:val="18"/>
                <w:szCs w:val="18"/>
              </w:rPr>
              <w:t>2)</w:t>
            </w:r>
          </w:p>
        </w:tc>
        <w:tc>
          <w:tcPr>
            <w:tcW w:w="1190" w:type="dxa"/>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92</w:t>
            </w:r>
            <w:r w:rsidR="008D086E">
              <w:rPr>
                <w:rFonts w:eastAsia="MS Gothic"/>
                <w:color w:val="000000"/>
                <w:sz w:val="18"/>
                <w:szCs w:val="18"/>
              </w:rPr>
              <w:t>,</w:t>
            </w:r>
            <w:r w:rsidRPr="008E5027">
              <w:rPr>
                <w:rFonts w:eastAsia="MS Gothic"/>
                <w:color w:val="000000"/>
                <w:sz w:val="18"/>
                <w:szCs w:val="18"/>
              </w:rPr>
              <w:t>09</w:t>
            </w:r>
            <w:r w:rsidR="00F35E2F" w:rsidRPr="008E5027">
              <w:rPr>
                <w:rFonts w:eastAsia="MS Gothic"/>
                <w:color w:val="000000"/>
                <w:sz w:val="18"/>
                <w:szCs w:val="18"/>
              </w:rPr>
              <w:t xml:space="preserve"> (</w:t>
            </w:r>
            <w:r w:rsidRPr="008E5027">
              <w:rPr>
                <w:rFonts w:eastAsia="MS Gothic"/>
                <w:color w:val="000000"/>
                <w:sz w:val="18"/>
                <w:szCs w:val="18"/>
              </w:rPr>
              <w:t>1</w:t>
            </w:r>
            <w:r w:rsidR="008D086E">
              <w:rPr>
                <w:rFonts w:eastAsia="MS Gothic"/>
                <w:color w:val="000000"/>
                <w:sz w:val="18"/>
                <w:szCs w:val="18"/>
              </w:rPr>
              <w:t>,</w:t>
            </w:r>
            <w:r w:rsidRPr="008E5027">
              <w:rPr>
                <w:rFonts w:eastAsia="MS Gothic"/>
                <w:color w:val="000000"/>
                <w:sz w:val="18"/>
                <w:szCs w:val="18"/>
              </w:rPr>
              <w:t>4)</w:t>
            </w:r>
          </w:p>
        </w:tc>
        <w:tc>
          <w:tcPr>
            <w:tcW w:w="1668" w:type="dxa"/>
            <w:shd w:val="clear" w:color="auto" w:fill="auto"/>
            <w:vAlign w:val="bottom"/>
          </w:tcPr>
          <w:p w:rsidR="003353B7" w:rsidRPr="008E5027" w:rsidRDefault="00D4689F" w:rsidP="00E3269C">
            <w:pPr>
              <w:spacing w:before="40" w:after="40" w:line="220" w:lineRule="exact"/>
              <w:jc w:val="right"/>
              <w:rPr>
                <w:rFonts w:eastAsia="MS Gothic"/>
                <w:color w:val="000000"/>
                <w:sz w:val="18"/>
                <w:szCs w:val="18"/>
              </w:rPr>
            </w:pPr>
            <w:r w:rsidRPr="008E5027">
              <w:rPr>
                <w:rFonts w:eastAsia="MS Gothic"/>
                <w:color w:val="000000"/>
                <w:sz w:val="18"/>
                <w:szCs w:val="18"/>
              </w:rPr>
              <w:t xml:space="preserve">3 </w:t>
            </w:r>
            <w:r w:rsidR="003353B7" w:rsidRPr="008E5027">
              <w:rPr>
                <w:rFonts w:eastAsia="MS Gothic"/>
                <w:color w:val="000000"/>
                <w:sz w:val="18"/>
                <w:szCs w:val="18"/>
              </w:rPr>
              <w:t>303</w:t>
            </w:r>
            <w:r w:rsidR="00F35E2F" w:rsidRPr="008E5027">
              <w:rPr>
                <w:rFonts w:eastAsia="MS Gothic"/>
                <w:color w:val="000000"/>
                <w:sz w:val="18"/>
                <w:szCs w:val="18"/>
              </w:rPr>
              <w:t xml:space="preserve"> (</w:t>
            </w:r>
            <w:r w:rsidR="003353B7" w:rsidRPr="008E5027">
              <w:rPr>
                <w:rFonts w:eastAsia="MS Gothic"/>
                <w:color w:val="000000"/>
                <w:sz w:val="18"/>
                <w:szCs w:val="18"/>
              </w:rPr>
              <w:t>16</w:t>
            </w:r>
            <w:r w:rsidR="008D086E">
              <w:rPr>
                <w:rFonts w:eastAsia="MS Gothic"/>
                <w:color w:val="000000"/>
                <w:sz w:val="18"/>
                <w:szCs w:val="18"/>
              </w:rPr>
              <w:t>,</w:t>
            </w:r>
            <w:r w:rsidR="003353B7" w:rsidRPr="008E5027">
              <w:rPr>
                <w:rFonts w:eastAsia="MS Gothic"/>
                <w:color w:val="000000"/>
                <w:sz w:val="18"/>
                <w:szCs w:val="18"/>
              </w:rPr>
              <w:t>4)</w:t>
            </w:r>
          </w:p>
        </w:tc>
        <w:tc>
          <w:tcPr>
            <w:tcW w:w="1649" w:type="dxa"/>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581</w:t>
            </w:r>
            <w:r w:rsidR="00F35E2F" w:rsidRPr="008E5027">
              <w:rPr>
                <w:rFonts w:eastAsia="MS Gothic"/>
                <w:color w:val="000000"/>
                <w:sz w:val="18"/>
                <w:szCs w:val="18"/>
              </w:rPr>
              <w:t xml:space="preserve"> (</w:t>
            </w:r>
            <w:r w:rsidRPr="008E5027">
              <w:rPr>
                <w:rFonts w:eastAsia="MS Gothic"/>
                <w:color w:val="000000"/>
                <w:sz w:val="18"/>
                <w:szCs w:val="18"/>
              </w:rPr>
              <w:t>13</w:t>
            </w:r>
            <w:r w:rsidR="008D086E">
              <w:rPr>
                <w:rFonts w:eastAsia="MS Gothic"/>
                <w:color w:val="000000"/>
                <w:sz w:val="18"/>
                <w:szCs w:val="18"/>
              </w:rPr>
              <w:t>,</w:t>
            </w:r>
            <w:r w:rsidRPr="008E5027">
              <w:rPr>
                <w:rFonts w:eastAsia="MS Gothic"/>
                <w:color w:val="000000"/>
                <w:sz w:val="18"/>
                <w:szCs w:val="18"/>
              </w:rPr>
              <w:t>4)</w:t>
            </w:r>
          </w:p>
        </w:tc>
        <w:tc>
          <w:tcPr>
            <w:tcW w:w="1688" w:type="dxa"/>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267</w:t>
            </w:r>
            <w:r w:rsidR="00F35E2F" w:rsidRPr="008E5027">
              <w:rPr>
                <w:rFonts w:eastAsia="MS Gothic"/>
                <w:color w:val="000000"/>
                <w:sz w:val="18"/>
                <w:szCs w:val="18"/>
              </w:rPr>
              <w:t xml:space="preserve"> (</w:t>
            </w:r>
            <w:r w:rsidRPr="008E5027">
              <w:rPr>
                <w:rFonts w:eastAsia="MS Gothic"/>
                <w:color w:val="000000"/>
                <w:sz w:val="18"/>
                <w:szCs w:val="18"/>
              </w:rPr>
              <w:t>18</w:t>
            </w:r>
            <w:r w:rsidR="008D086E">
              <w:rPr>
                <w:rFonts w:eastAsia="MS Gothic"/>
                <w:color w:val="000000"/>
                <w:sz w:val="18"/>
                <w:szCs w:val="18"/>
              </w:rPr>
              <w:t>,</w:t>
            </w:r>
            <w:r w:rsidRPr="008E5027">
              <w:rPr>
                <w:rFonts w:eastAsia="MS Gothic"/>
                <w:color w:val="000000"/>
                <w:sz w:val="18"/>
                <w:szCs w:val="18"/>
              </w:rPr>
              <w:t>8)</w:t>
            </w:r>
          </w:p>
        </w:tc>
      </w:tr>
      <w:tr w:rsidR="003353B7" w:rsidRPr="008E5027" w:rsidTr="00D76166">
        <w:tc>
          <w:tcPr>
            <w:tcW w:w="966" w:type="dxa"/>
            <w:tcBorders>
              <w:bottom w:val="single" w:sz="12" w:space="0" w:color="auto"/>
            </w:tcBorders>
            <w:shd w:val="clear" w:color="auto" w:fill="auto"/>
            <w:vAlign w:val="bottom"/>
          </w:tcPr>
          <w:p w:rsidR="003353B7" w:rsidRPr="008E5027" w:rsidRDefault="003353B7" w:rsidP="00E3269C">
            <w:pPr>
              <w:spacing w:before="40" w:after="40" w:line="220" w:lineRule="exact"/>
              <w:rPr>
                <w:rFonts w:eastAsia="MS Gothic"/>
                <w:color w:val="000000"/>
                <w:sz w:val="18"/>
                <w:szCs w:val="18"/>
              </w:rPr>
            </w:pPr>
            <w:r w:rsidRPr="008E5027">
              <w:rPr>
                <w:rFonts w:eastAsia="MS Gothic"/>
                <w:color w:val="000000"/>
                <w:sz w:val="18"/>
                <w:szCs w:val="18"/>
              </w:rPr>
              <w:t>2005</w:t>
            </w:r>
          </w:p>
        </w:tc>
        <w:tc>
          <w:tcPr>
            <w:tcW w:w="1344" w:type="dxa"/>
            <w:tcBorders>
              <w:bottom w:val="single" w:sz="12" w:space="0" w:color="auto"/>
            </w:tcBorders>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213</w:t>
            </w:r>
            <w:r w:rsidR="008D086E">
              <w:rPr>
                <w:rFonts w:eastAsia="MS Gothic"/>
                <w:color w:val="000000"/>
                <w:sz w:val="18"/>
                <w:szCs w:val="18"/>
              </w:rPr>
              <w:t>,</w:t>
            </w:r>
            <w:r w:rsidRPr="008E5027">
              <w:rPr>
                <w:rFonts w:eastAsia="MS Gothic"/>
                <w:color w:val="000000"/>
                <w:sz w:val="18"/>
                <w:szCs w:val="18"/>
              </w:rPr>
              <w:t>03</w:t>
            </w:r>
            <w:r w:rsidR="00F35E2F" w:rsidRPr="008E5027">
              <w:rPr>
                <w:rFonts w:eastAsia="MS Gothic"/>
                <w:color w:val="000000"/>
                <w:sz w:val="18"/>
                <w:szCs w:val="18"/>
              </w:rPr>
              <w:t xml:space="preserve"> </w:t>
            </w:r>
            <w:r w:rsidRPr="008E5027">
              <w:rPr>
                <w:rFonts w:eastAsia="MS Gothic"/>
                <w:color w:val="000000"/>
                <w:sz w:val="18"/>
                <w:szCs w:val="18"/>
              </w:rPr>
              <w:t>(25</w:t>
            </w:r>
            <w:r w:rsidR="008D086E">
              <w:rPr>
                <w:rFonts w:eastAsia="MS Gothic"/>
                <w:color w:val="000000"/>
                <w:sz w:val="18"/>
                <w:szCs w:val="18"/>
              </w:rPr>
              <w:t>,</w:t>
            </w:r>
            <w:r w:rsidRPr="008E5027">
              <w:rPr>
                <w:rFonts w:eastAsia="MS Gothic"/>
                <w:color w:val="000000"/>
                <w:sz w:val="18"/>
                <w:szCs w:val="18"/>
              </w:rPr>
              <w:t>5)</w:t>
            </w:r>
          </w:p>
        </w:tc>
        <w:tc>
          <w:tcPr>
            <w:tcW w:w="1190" w:type="dxa"/>
            <w:tcBorders>
              <w:bottom w:val="single" w:sz="12" w:space="0" w:color="auto"/>
            </w:tcBorders>
            <w:shd w:val="clear" w:color="auto" w:fill="auto"/>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18</w:t>
            </w:r>
            <w:r w:rsidR="008D086E">
              <w:rPr>
                <w:rFonts w:eastAsia="MS Gothic"/>
                <w:color w:val="000000"/>
                <w:sz w:val="18"/>
                <w:szCs w:val="18"/>
              </w:rPr>
              <w:t>,</w:t>
            </w:r>
            <w:r w:rsidRPr="008E5027">
              <w:rPr>
                <w:rFonts w:eastAsia="MS Gothic"/>
                <w:color w:val="000000"/>
                <w:sz w:val="18"/>
                <w:szCs w:val="18"/>
              </w:rPr>
              <w:t>05</w:t>
            </w:r>
            <w:r w:rsidR="00F35E2F" w:rsidRPr="008E5027">
              <w:rPr>
                <w:rFonts w:eastAsia="MS Gothic"/>
                <w:color w:val="000000"/>
                <w:sz w:val="18"/>
                <w:szCs w:val="18"/>
              </w:rPr>
              <w:t xml:space="preserve"> (</w:t>
            </w:r>
            <w:r w:rsidRPr="008E5027">
              <w:rPr>
                <w:rFonts w:eastAsia="MS Gothic"/>
                <w:color w:val="000000"/>
                <w:sz w:val="18"/>
                <w:szCs w:val="18"/>
              </w:rPr>
              <w:t>0</w:t>
            </w:r>
            <w:r w:rsidR="008D086E">
              <w:rPr>
                <w:rFonts w:eastAsia="MS Gothic"/>
                <w:color w:val="000000"/>
                <w:sz w:val="18"/>
                <w:szCs w:val="18"/>
              </w:rPr>
              <w:t>,</w:t>
            </w:r>
            <w:r w:rsidRPr="008E5027">
              <w:rPr>
                <w:rFonts w:eastAsia="MS Gothic"/>
                <w:color w:val="000000"/>
                <w:sz w:val="18"/>
                <w:szCs w:val="18"/>
              </w:rPr>
              <w:t>3)</w:t>
            </w:r>
          </w:p>
        </w:tc>
        <w:tc>
          <w:tcPr>
            <w:tcW w:w="1668" w:type="dxa"/>
            <w:tcBorders>
              <w:bottom w:val="single" w:sz="12" w:space="0" w:color="auto"/>
            </w:tcBorders>
            <w:shd w:val="clear" w:color="auto" w:fill="auto"/>
            <w:vAlign w:val="bottom"/>
          </w:tcPr>
          <w:p w:rsidR="003353B7" w:rsidRPr="008E5027" w:rsidRDefault="00D4689F" w:rsidP="00E3269C">
            <w:pPr>
              <w:spacing w:before="40" w:after="40" w:line="220" w:lineRule="exact"/>
              <w:jc w:val="right"/>
              <w:rPr>
                <w:rFonts w:eastAsia="MS Gothic"/>
                <w:color w:val="000000"/>
                <w:sz w:val="18"/>
                <w:szCs w:val="18"/>
              </w:rPr>
            </w:pPr>
            <w:r w:rsidRPr="008E5027">
              <w:rPr>
                <w:rFonts w:eastAsia="MS Gothic"/>
                <w:color w:val="000000"/>
                <w:sz w:val="18"/>
                <w:szCs w:val="18"/>
              </w:rPr>
              <w:t xml:space="preserve">2 </w:t>
            </w:r>
            <w:r w:rsidR="003353B7" w:rsidRPr="008E5027">
              <w:rPr>
                <w:rFonts w:eastAsia="MS Gothic"/>
                <w:color w:val="000000"/>
                <w:sz w:val="18"/>
                <w:szCs w:val="18"/>
              </w:rPr>
              <w:t>405</w:t>
            </w:r>
            <w:r w:rsidR="000944AD" w:rsidRPr="008E5027">
              <w:rPr>
                <w:rFonts w:eastAsia="MS Gothic"/>
                <w:color w:val="000000"/>
                <w:sz w:val="18"/>
                <w:szCs w:val="18"/>
              </w:rPr>
              <w:t xml:space="preserve"> </w:t>
            </w:r>
            <w:r w:rsidR="00F35E2F" w:rsidRPr="008E5027">
              <w:rPr>
                <w:rFonts w:eastAsia="MS Gothic"/>
                <w:color w:val="000000"/>
                <w:sz w:val="18"/>
                <w:szCs w:val="18"/>
              </w:rPr>
              <w:t>(</w:t>
            </w:r>
            <w:r w:rsidR="003353B7" w:rsidRPr="008E5027">
              <w:rPr>
                <w:rFonts w:eastAsia="MS Gothic"/>
                <w:color w:val="000000"/>
                <w:sz w:val="18"/>
                <w:szCs w:val="18"/>
              </w:rPr>
              <w:t>9</w:t>
            </w:r>
            <w:r w:rsidR="008D086E">
              <w:rPr>
                <w:rFonts w:eastAsia="MS Gothic"/>
                <w:color w:val="000000"/>
                <w:sz w:val="18"/>
                <w:szCs w:val="18"/>
              </w:rPr>
              <w:t>,</w:t>
            </w:r>
            <w:r w:rsidR="003353B7" w:rsidRPr="008E5027">
              <w:rPr>
                <w:rFonts w:eastAsia="MS Gothic"/>
                <w:color w:val="000000"/>
                <w:sz w:val="18"/>
                <w:szCs w:val="18"/>
              </w:rPr>
              <w:t>8)</w:t>
            </w:r>
          </w:p>
        </w:tc>
        <w:tc>
          <w:tcPr>
            <w:tcW w:w="1649" w:type="dxa"/>
            <w:tcBorders>
              <w:bottom w:val="single" w:sz="12" w:space="0" w:color="auto"/>
            </w:tcBorders>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551</w:t>
            </w:r>
            <w:r w:rsidR="00F35E2F" w:rsidRPr="008E5027">
              <w:rPr>
                <w:rFonts w:eastAsia="MS Gothic"/>
                <w:color w:val="000000"/>
                <w:sz w:val="18"/>
                <w:szCs w:val="18"/>
              </w:rPr>
              <w:t xml:space="preserve"> (</w:t>
            </w:r>
            <w:r w:rsidRPr="008E5027">
              <w:rPr>
                <w:rFonts w:eastAsia="MS Gothic"/>
                <w:color w:val="000000"/>
                <w:sz w:val="18"/>
                <w:szCs w:val="18"/>
              </w:rPr>
              <w:t>15</w:t>
            </w:r>
            <w:r w:rsidR="008D086E">
              <w:rPr>
                <w:rFonts w:eastAsia="MS Gothic"/>
                <w:color w:val="000000"/>
                <w:sz w:val="18"/>
                <w:szCs w:val="18"/>
              </w:rPr>
              <w:t>,</w:t>
            </w:r>
            <w:r w:rsidRPr="008E5027">
              <w:rPr>
                <w:rFonts w:eastAsia="MS Gothic"/>
                <w:color w:val="000000"/>
                <w:sz w:val="18"/>
                <w:szCs w:val="18"/>
              </w:rPr>
              <w:t>8)</w:t>
            </w:r>
          </w:p>
        </w:tc>
        <w:tc>
          <w:tcPr>
            <w:tcW w:w="1688" w:type="dxa"/>
            <w:tcBorders>
              <w:bottom w:val="single" w:sz="12" w:space="0" w:color="auto"/>
            </w:tcBorders>
            <w:vAlign w:val="bottom"/>
          </w:tcPr>
          <w:p w:rsidR="003353B7" w:rsidRPr="008E5027" w:rsidRDefault="003353B7" w:rsidP="00E3269C">
            <w:pPr>
              <w:spacing w:before="40" w:after="40" w:line="220" w:lineRule="exact"/>
              <w:jc w:val="right"/>
              <w:rPr>
                <w:rFonts w:eastAsia="MS Gothic"/>
                <w:color w:val="000000"/>
                <w:sz w:val="18"/>
                <w:szCs w:val="18"/>
              </w:rPr>
            </w:pPr>
            <w:r w:rsidRPr="008E5027">
              <w:rPr>
                <w:rFonts w:eastAsia="MS Gothic"/>
                <w:color w:val="000000"/>
                <w:sz w:val="18"/>
                <w:szCs w:val="18"/>
              </w:rPr>
              <w:t>301</w:t>
            </w:r>
            <w:r w:rsidR="00F35E2F" w:rsidRPr="008E5027">
              <w:rPr>
                <w:rFonts w:eastAsia="MS Gothic"/>
                <w:color w:val="000000"/>
                <w:sz w:val="18"/>
                <w:szCs w:val="18"/>
              </w:rPr>
              <w:t xml:space="preserve"> (</w:t>
            </w:r>
            <w:r w:rsidRPr="008E5027">
              <w:rPr>
                <w:rFonts w:eastAsia="MS Gothic"/>
                <w:color w:val="000000"/>
                <w:sz w:val="18"/>
                <w:szCs w:val="18"/>
              </w:rPr>
              <w:t>16</w:t>
            </w:r>
            <w:r w:rsidR="008D086E">
              <w:rPr>
                <w:rFonts w:eastAsia="MS Gothic"/>
                <w:color w:val="000000"/>
                <w:sz w:val="18"/>
                <w:szCs w:val="18"/>
              </w:rPr>
              <w:t>,</w:t>
            </w:r>
            <w:r w:rsidRPr="008E5027">
              <w:rPr>
                <w:rFonts w:eastAsia="MS Gothic"/>
                <w:color w:val="000000"/>
                <w:sz w:val="18"/>
                <w:szCs w:val="18"/>
              </w:rPr>
              <w:t>7)</w:t>
            </w:r>
          </w:p>
        </w:tc>
      </w:tr>
    </w:tbl>
    <w:p w:rsidR="000858B1" w:rsidRPr="008E5027" w:rsidRDefault="00006FD1" w:rsidP="00E41669">
      <w:pPr>
        <w:spacing w:before="120"/>
        <w:ind w:left="1134" w:firstLine="170"/>
        <w:rPr>
          <w:sz w:val="18"/>
          <w:szCs w:val="18"/>
        </w:rPr>
      </w:pPr>
      <w:r w:rsidRPr="008E5027">
        <w:rPr>
          <w:sz w:val="18"/>
          <w:szCs w:val="18"/>
        </w:rPr>
        <w:t xml:space="preserve">*  </w:t>
      </w:r>
      <w:r w:rsidR="00365506" w:rsidRPr="00365506">
        <w:rPr>
          <w:sz w:val="18"/>
          <w:szCs w:val="18"/>
          <w:lang w:val="fr-FR"/>
        </w:rPr>
        <w:t>Les chiffres entre parenthèses indiquent le pourcentage (%) en valeur des projets relatifs aux soins de santé et à l</w:t>
      </w:r>
      <w:r w:rsidR="00277023">
        <w:rPr>
          <w:sz w:val="18"/>
          <w:szCs w:val="18"/>
          <w:lang w:val="fr-FR"/>
        </w:rPr>
        <w:t>’</w:t>
      </w:r>
      <w:r w:rsidR="00365506" w:rsidRPr="00365506">
        <w:rPr>
          <w:sz w:val="18"/>
          <w:szCs w:val="18"/>
          <w:lang w:val="fr-FR"/>
        </w:rPr>
        <w:t>éducation par rapport à l</w:t>
      </w:r>
      <w:r w:rsidR="00277023">
        <w:rPr>
          <w:sz w:val="18"/>
          <w:szCs w:val="18"/>
          <w:lang w:val="fr-FR"/>
        </w:rPr>
        <w:t>’</w:t>
      </w:r>
      <w:r w:rsidR="00365506" w:rsidRPr="00365506">
        <w:rPr>
          <w:sz w:val="18"/>
          <w:szCs w:val="18"/>
          <w:lang w:val="fr-FR"/>
        </w:rPr>
        <w:t>ensemble des projets, compte non tenu des remises de dettes, des programmes d</w:t>
      </w:r>
      <w:r w:rsidR="00277023">
        <w:rPr>
          <w:sz w:val="18"/>
          <w:szCs w:val="18"/>
          <w:lang w:val="fr-FR"/>
        </w:rPr>
        <w:t>’</w:t>
      </w:r>
      <w:r w:rsidR="00365506" w:rsidRPr="00365506">
        <w:rPr>
          <w:sz w:val="18"/>
          <w:szCs w:val="18"/>
          <w:lang w:val="fr-FR"/>
        </w:rPr>
        <w:t>aide autre que des projets, des subventions accordées à des projets locaux et des bourses accordées à des étudiants faisant leurs études à l</w:t>
      </w:r>
      <w:r w:rsidR="00277023">
        <w:rPr>
          <w:sz w:val="18"/>
          <w:szCs w:val="18"/>
          <w:lang w:val="fr-FR"/>
        </w:rPr>
        <w:t>’</w:t>
      </w:r>
      <w:r w:rsidR="00365506" w:rsidRPr="00365506">
        <w:rPr>
          <w:sz w:val="18"/>
          <w:szCs w:val="18"/>
          <w:lang w:val="fr-FR"/>
        </w:rPr>
        <w:t>étranger.</w:t>
      </w:r>
    </w:p>
    <w:p w:rsidR="008718C8" w:rsidRPr="008E5027" w:rsidRDefault="00365506" w:rsidP="00AB14DD">
      <w:pPr>
        <w:pStyle w:val="Heading1"/>
        <w:spacing w:before="240"/>
      </w:pPr>
      <w:r w:rsidRPr="00F206B8">
        <w:rPr>
          <w:lang w:val="fr-FR"/>
        </w:rPr>
        <w:t>Tableau</w:t>
      </w:r>
      <w:r w:rsidRPr="00F206B8">
        <w:rPr>
          <w:lang w:val="es-ES"/>
        </w:rPr>
        <w:t xml:space="preserve"> </w:t>
      </w:r>
      <w:r w:rsidR="008718C8" w:rsidRPr="008E5027">
        <w:t>6</w:t>
      </w:r>
    </w:p>
    <w:p w:rsidR="008718C8" w:rsidRPr="008E5027" w:rsidRDefault="00365506" w:rsidP="00AC5677">
      <w:pPr>
        <w:pStyle w:val="SingleTxtG"/>
        <w:jc w:val="left"/>
        <w:rPr>
          <w:b/>
        </w:rPr>
      </w:pPr>
      <w:r w:rsidRPr="00365506">
        <w:rPr>
          <w:b/>
          <w:bCs/>
          <w:lang w:val="fr-FR"/>
        </w:rPr>
        <w:t>Données relatives aux réalisations</w:t>
      </w:r>
      <w:r w:rsidR="00EA1115">
        <w:rPr>
          <w:b/>
          <w:bCs/>
          <w:lang w:val="fr-FR"/>
        </w:rPr>
        <w:t xml:space="preserve"> </w:t>
      </w:r>
      <w:r w:rsidRPr="00365506">
        <w:rPr>
          <w:b/>
          <w:bCs/>
          <w:lang w:val="fr-FR"/>
        </w:rPr>
        <w:t>du Gouvernement japonais en matière de projets d</w:t>
      </w:r>
      <w:r w:rsidR="00277023">
        <w:rPr>
          <w:b/>
          <w:bCs/>
          <w:lang w:val="fr-FR"/>
        </w:rPr>
        <w:t>’</w:t>
      </w:r>
      <w:r w:rsidRPr="00365506">
        <w:rPr>
          <w:b/>
          <w:bCs/>
          <w:lang w:val="fr-FR"/>
        </w:rPr>
        <w:t>aide dans le domaine de l</w:t>
      </w:r>
      <w:r w:rsidR="00277023">
        <w:rPr>
          <w:b/>
          <w:bCs/>
          <w:lang w:val="fr-FR"/>
        </w:rPr>
        <w:t>’</w:t>
      </w:r>
      <w:r w:rsidRPr="00365506">
        <w:rPr>
          <w:b/>
          <w:bCs/>
          <w:lang w:val="fr-FR"/>
        </w:rPr>
        <w:t>éducation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8"/>
        <w:gridCol w:w="1246"/>
        <w:gridCol w:w="1190"/>
        <w:gridCol w:w="1693"/>
        <w:gridCol w:w="1638"/>
        <w:gridCol w:w="1940"/>
      </w:tblGrid>
      <w:tr w:rsidR="003353B7" w:rsidRPr="008E5027" w:rsidTr="004F7953">
        <w:tc>
          <w:tcPr>
            <w:tcW w:w="798" w:type="dxa"/>
            <w:tcBorders>
              <w:top w:val="single" w:sz="4" w:space="0" w:color="auto"/>
            </w:tcBorders>
            <w:shd w:val="clear" w:color="auto" w:fill="auto"/>
            <w:vAlign w:val="bottom"/>
          </w:tcPr>
          <w:p w:rsidR="003353B7" w:rsidRPr="008E5027" w:rsidRDefault="003353B7" w:rsidP="00362D19">
            <w:pPr>
              <w:spacing w:before="80" w:after="80" w:line="200" w:lineRule="exact"/>
              <w:rPr>
                <w:i/>
                <w:sz w:val="16"/>
              </w:rPr>
            </w:pPr>
          </w:p>
        </w:tc>
        <w:tc>
          <w:tcPr>
            <w:tcW w:w="1246" w:type="dxa"/>
            <w:tcBorders>
              <w:top w:val="single" w:sz="4" w:space="0" w:color="auto"/>
            </w:tcBorders>
            <w:shd w:val="clear" w:color="auto" w:fill="auto"/>
            <w:vAlign w:val="bottom"/>
          </w:tcPr>
          <w:p w:rsidR="003353B7" w:rsidRPr="008E5027" w:rsidRDefault="003353B7" w:rsidP="00362D19">
            <w:pPr>
              <w:spacing w:before="80" w:after="80" w:line="200" w:lineRule="exact"/>
              <w:jc w:val="right"/>
              <w:rPr>
                <w:i/>
                <w:sz w:val="16"/>
              </w:rPr>
            </w:pPr>
          </w:p>
        </w:tc>
        <w:tc>
          <w:tcPr>
            <w:tcW w:w="1190" w:type="dxa"/>
            <w:tcBorders>
              <w:top w:val="single" w:sz="4" w:space="0" w:color="auto"/>
            </w:tcBorders>
            <w:shd w:val="clear" w:color="auto" w:fill="auto"/>
            <w:vAlign w:val="bottom"/>
          </w:tcPr>
          <w:p w:rsidR="003353B7" w:rsidRPr="008E5027" w:rsidRDefault="003353B7" w:rsidP="00362D19">
            <w:pPr>
              <w:spacing w:before="80" w:after="80" w:line="200" w:lineRule="exact"/>
              <w:jc w:val="right"/>
              <w:rPr>
                <w:i/>
                <w:sz w:val="16"/>
              </w:rPr>
            </w:pPr>
          </w:p>
        </w:tc>
        <w:tc>
          <w:tcPr>
            <w:tcW w:w="5271" w:type="dxa"/>
            <w:gridSpan w:val="3"/>
            <w:tcBorders>
              <w:top w:val="single" w:sz="4" w:space="0" w:color="auto"/>
              <w:bottom w:val="single" w:sz="4" w:space="0" w:color="auto"/>
            </w:tcBorders>
            <w:shd w:val="clear" w:color="auto" w:fill="auto"/>
            <w:vAlign w:val="bottom"/>
          </w:tcPr>
          <w:p w:rsidR="003353B7" w:rsidRPr="008E5027" w:rsidRDefault="00D72AFC" w:rsidP="00454340">
            <w:pPr>
              <w:spacing w:before="80" w:after="80" w:line="200" w:lineRule="exact"/>
              <w:jc w:val="center"/>
              <w:rPr>
                <w:i/>
                <w:sz w:val="16"/>
              </w:rPr>
            </w:pPr>
            <w:r w:rsidRPr="00D72AFC">
              <w:rPr>
                <w:bCs/>
                <w:i/>
                <w:sz w:val="16"/>
                <w:lang w:val="fr-FR"/>
              </w:rPr>
              <w:t>Assistance technique (nombre de personnes)</w:t>
            </w:r>
          </w:p>
        </w:tc>
      </w:tr>
      <w:tr w:rsidR="003353B7" w:rsidRPr="00D72AFC" w:rsidTr="004F7953">
        <w:tc>
          <w:tcPr>
            <w:tcW w:w="798" w:type="dxa"/>
            <w:tcBorders>
              <w:bottom w:val="single" w:sz="12" w:space="0" w:color="auto"/>
            </w:tcBorders>
            <w:shd w:val="clear" w:color="auto" w:fill="auto"/>
            <w:vAlign w:val="bottom"/>
          </w:tcPr>
          <w:p w:rsidR="003353B7" w:rsidRPr="008E5027" w:rsidRDefault="00D72AFC" w:rsidP="00083F40">
            <w:pPr>
              <w:suppressAutoHyphens w:val="0"/>
              <w:spacing w:before="80" w:after="80" w:line="200" w:lineRule="exact"/>
              <w:rPr>
                <w:sz w:val="18"/>
              </w:rPr>
            </w:pPr>
            <w:r w:rsidRPr="008D086E">
              <w:rPr>
                <w:bCs/>
                <w:i/>
                <w:sz w:val="16"/>
                <w:lang w:val="fr-FR"/>
              </w:rPr>
              <w:t>Exercice budgétaire</w:t>
            </w:r>
          </w:p>
        </w:tc>
        <w:tc>
          <w:tcPr>
            <w:tcW w:w="1246" w:type="dxa"/>
            <w:tcBorders>
              <w:bottom w:val="single" w:sz="12" w:space="0" w:color="auto"/>
            </w:tcBorders>
            <w:shd w:val="clear" w:color="auto" w:fill="auto"/>
            <w:vAlign w:val="bottom"/>
          </w:tcPr>
          <w:p w:rsidR="003353B7" w:rsidRPr="00D72AFC" w:rsidRDefault="00D72AFC" w:rsidP="00083F40">
            <w:pPr>
              <w:suppressAutoHyphens w:val="0"/>
              <w:spacing w:before="80" w:after="80" w:line="200" w:lineRule="exact"/>
              <w:jc w:val="right"/>
              <w:rPr>
                <w:sz w:val="18"/>
                <w:lang w:val="es-ES"/>
              </w:rPr>
            </w:pPr>
            <w:r w:rsidRPr="00D72AFC">
              <w:rPr>
                <w:bCs/>
                <w:i/>
                <w:sz w:val="16"/>
                <w:lang w:val="fr-FR"/>
              </w:rPr>
              <w:t xml:space="preserve">Subvention </w:t>
            </w:r>
            <w:r>
              <w:rPr>
                <w:bCs/>
                <w:i/>
                <w:sz w:val="16"/>
                <w:lang w:val="fr-FR"/>
              </w:rPr>
              <w:br/>
            </w:r>
            <w:r w:rsidRPr="00D72AFC">
              <w:rPr>
                <w:bCs/>
                <w:i/>
                <w:sz w:val="16"/>
                <w:lang w:val="fr-FR"/>
              </w:rPr>
              <w:t xml:space="preserve">(en 100 millions </w:t>
            </w:r>
            <w:r>
              <w:rPr>
                <w:bCs/>
                <w:i/>
                <w:sz w:val="16"/>
                <w:lang w:val="fr-FR"/>
              </w:rPr>
              <w:br/>
            </w:r>
            <w:r w:rsidRPr="00D72AFC">
              <w:rPr>
                <w:bCs/>
                <w:i/>
                <w:sz w:val="16"/>
                <w:lang w:val="fr-FR"/>
              </w:rPr>
              <w:t>de yen)</w:t>
            </w:r>
            <w:r w:rsidR="003353B7" w:rsidRPr="00D72AFC">
              <w:rPr>
                <w:sz w:val="18"/>
                <w:szCs w:val="18"/>
                <w:lang w:val="es-ES"/>
              </w:rPr>
              <w:t>*</w:t>
            </w:r>
          </w:p>
        </w:tc>
        <w:tc>
          <w:tcPr>
            <w:tcW w:w="1190" w:type="dxa"/>
            <w:tcBorders>
              <w:bottom w:val="single" w:sz="12" w:space="0" w:color="auto"/>
            </w:tcBorders>
            <w:shd w:val="clear" w:color="auto" w:fill="auto"/>
            <w:vAlign w:val="bottom"/>
          </w:tcPr>
          <w:p w:rsidR="003353B7" w:rsidRPr="00D72AFC" w:rsidRDefault="00D72AFC" w:rsidP="00083F40">
            <w:pPr>
              <w:suppressAutoHyphens w:val="0"/>
              <w:spacing w:before="80" w:after="80" w:line="200" w:lineRule="exact"/>
              <w:jc w:val="right"/>
              <w:rPr>
                <w:sz w:val="18"/>
                <w:lang w:val="es-ES"/>
              </w:rPr>
            </w:pPr>
            <w:r w:rsidRPr="00D72AFC">
              <w:rPr>
                <w:bCs/>
                <w:i/>
                <w:sz w:val="16"/>
                <w:lang w:val="fr-FR"/>
              </w:rPr>
              <w:t xml:space="preserve">Prêt </w:t>
            </w:r>
            <w:r>
              <w:rPr>
                <w:bCs/>
                <w:i/>
                <w:sz w:val="16"/>
                <w:lang w:val="fr-FR"/>
              </w:rPr>
              <w:br/>
            </w:r>
            <w:r w:rsidRPr="00D72AFC">
              <w:rPr>
                <w:bCs/>
                <w:i/>
                <w:sz w:val="16"/>
                <w:lang w:val="fr-FR"/>
              </w:rPr>
              <w:t xml:space="preserve">(en 100 millions </w:t>
            </w:r>
            <w:r>
              <w:rPr>
                <w:bCs/>
                <w:i/>
                <w:sz w:val="16"/>
                <w:lang w:val="fr-FR"/>
              </w:rPr>
              <w:br/>
            </w:r>
            <w:r w:rsidRPr="00D72AFC">
              <w:rPr>
                <w:bCs/>
                <w:i/>
                <w:sz w:val="16"/>
                <w:lang w:val="fr-FR"/>
              </w:rPr>
              <w:t>de yen)</w:t>
            </w:r>
          </w:p>
        </w:tc>
        <w:tc>
          <w:tcPr>
            <w:tcW w:w="1693" w:type="dxa"/>
            <w:tcBorders>
              <w:top w:val="single" w:sz="4" w:space="0" w:color="auto"/>
              <w:bottom w:val="single" w:sz="12" w:space="0" w:color="auto"/>
            </w:tcBorders>
            <w:shd w:val="clear" w:color="auto" w:fill="auto"/>
            <w:vAlign w:val="bottom"/>
          </w:tcPr>
          <w:p w:rsidR="003353B7" w:rsidRPr="00D72AFC" w:rsidRDefault="00D72AFC" w:rsidP="00083F40">
            <w:pPr>
              <w:suppressAutoHyphens w:val="0"/>
              <w:spacing w:before="80" w:after="80" w:line="200" w:lineRule="exact"/>
              <w:jc w:val="right"/>
              <w:rPr>
                <w:sz w:val="18"/>
                <w:lang w:val="es-ES"/>
              </w:rPr>
            </w:pPr>
            <w:r w:rsidRPr="00D72AFC">
              <w:rPr>
                <w:bCs/>
                <w:i/>
                <w:sz w:val="16"/>
                <w:lang w:val="fr-FR"/>
              </w:rPr>
              <w:t xml:space="preserve">Nombre de participants aux programmes </w:t>
            </w:r>
            <w:r w:rsidR="007A20AF">
              <w:rPr>
                <w:bCs/>
                <w:i/>
                <w:sz w:val="16"/>
                <w:lang w:val="fr-FR"/>
              </w:rPr>
              <w:br/>
            </w:r>
            <w:r w:rsidRPr="00D72AFC">
              <w:rPr>
                <w:bCs/>
                <w:i/>
                <w:sz w:val="16"/>
                <w:lang w:val="fr-FR"/>
              </w:rPr>
              <w:t>de formation technique</w:t>
            </w:r>
          </w:p>
        </w:tc>
        <w:tc>
          <w:tcPr>
            <w:tcW w:w="1638" w:type="dxa"/>
            <w:tcBorders>
              <w:top w:val="single" w:sz="4" w:space="0" w:color="auto"/>
              <w:bottom w:val="single" w:sz="12" w:space="0" w:color="auto"/>
            </w:tcBorders>
            <w:shd w:val="clear" w:color="auto" w:fill="auto"/>
            <w:vAlign w:val="bottom"/>
          </w:tcPr>
          <w:p w:rsidR="003353B7" w:rsidRPr="00277023" w:rsidRDefault="004F7953" w:rsidP="00083F40">
            <w:pPr>
              <w:suppressAutoHyphens w:val="0"/>
              <w:spacing w:before="80" w:after="80" w:line="200" w:lineRule="exact"/>
              <w:jc w:val="right"/>
              <w:rPr>
                <w:sz w:val="18"/>
                <w:lang w:val="es-ES"/>
              </w:rPr>
            </w:pPr>
            <w:r>
              <w:rPr>
                <w:bCs/>
                <w:i/>
                <w:sz w:val="16"/>
                <w:lang w:val="fr-FR"/>
              </w:rPr>
              <w:t xml:space="preserve">Nombre </w:t>
            </w:r>
            <w:r w:rsidR="00D72AFC" w:rsidRPr="00D72AFC">
              <w:rPr>
                <w:bCs/>
                <w:i/>
                <w:sz w:val="16"/>
                <w:lang w:val="fr-FR"/>
              </w:rPr>
              <w:t>d</w:t>
            </w:r>
            <w:r w:rsidR="00277023">
              <w:rPr>
                <w:bCs/>
                <w:i/>
                <w:sz w:val="16"/>
                <w:lang w:val="fr-FR"/>
              </w:rPr>
              <w:t>’</w:t>
            </w:r>
            <w:r w:rsidR="00D72AFC" w:rsidRPr="00D72AFC">
              <w:rPr>
                <w:bCs/>
                <w:i/>
                <w:sz w:val="16"/>
                <w:lang w:val="fr-FR"/>
              </w:rPr>
              <w:t xml:space="preserve">experts détachés dans des </w:t>
            </w:r>
            <w:r>
              <w:rPr>
                <w:bCs/>
                <w:i/>
                <w:sz w:val="16"/>
                <w:lang w:val="fr-FR"/>
              </w:rPr>
              <w:br/>
            </w:r>
            <w:r w:rsidR="00D72AFC" w:rsidRPr="00D72AFC">
              <w:rPr>
                <w:bCs/>
                <w:i/>
                <w:sz w:val="16"/>
                <w:lang w:val="fr-FR"/>
              </w:rPr>
              <w:t>pays en développement</w:t>
            </w:r>
          </w:p>
        </w:tc>
        <w:tc>
          <w:tcPr>
            <w:tcW w:w="1940" w:type="dxa"/>
            <w:tcBorders>
              <w:top w:val="single" w:sz="4" w:space="0" w:color="auto"/>
              <w:bottom w:val="single" w:sz="12" w:space="0" w:color="auto"/>
            </w:tcBorders>
            <w:shd w:val="clear" w:color="auto" w:fill="auto"/>
            <w:vAlign w:val="bottom"/>
          </w:tcPr>
          <w:p w:rsidR="003353B7" w:rsidRPr="00D72AFC" w:rsidRDefault="00D72AFC" w:rsidP="00083F40">
            <w:pPr>
              <w:suppressAutoHyphens w:val="0"/>
              <w:spacing w:before="80" w:after="80" w:line="200" w:lineRule="exact"/>
              <w:jc w:val="right"/>
              <w:rPr>
                <w:sz w:val="18"/>
                <w:lang w:val="es-ES"/>
              </w:rPr>
            </w:pPr>
            <w:r w:rsidRPr="00D72AFC">
              <w:rPr>
                <w:bCs/>
                <w:i/>
                <w:sz w:val="16"/>
                <w:lang w:val="fr-FR"/>
              </w:rPr>
              <w:t xml:space="preserve">Nombre de volontaires </w:t>
            </w:r>
            <w:r w:rsidR="004F7953">
              <w:rPr>
                <w:bCs/>
                <w:i/>
                <w:sz w:val="16"/>
                <w:lang w:val="fr-FR"/>
              </w:rPr>
              <w:br/>
            </w:r>
            <w:r w:rsidRPr="00D72AFC">
              <w:rPr>
                <w:bCs/>
                <w:i/>
                <w:sz w:val="16"/>
                <w:lang w:val="fr-FR"/>
              </w:rPr>
              <w:t xml:space="preserve">de la coopération japonaise </w:t>
            </w:r>
            <w:r w:rsidR="004F7953">
              <w:rPr>
                <w:bCs/>
                <w:i/>
                <w:sz w:val="16"/>
                <w:lang w:val="fr-FR"/>
              </w:rPr>
              <w:br/>
            </w:r>
            <w:r w:rsidRPr="00D72AFC">
              <w:rPr>
                <w:bCs/>
                <w:i/>
                <w:sz w:val="16"/>
                <w:lang w:val="fr-FR"/>
              </w:rPr>
              <w:t>à l</w:t>
            </w:r>
            <w:r w:rsidR="00277023">
              <w:rPr>
                <w:bCs/>
                <w:i/>
                <w:sz w:val="16"/>
                <w:lang w:val="fr-FR"/>
              </w:rPr>
              <w:t>’</w:t>
            </w:r>
            <w:r w:rsidRPr="00D72AFC">
              <w:rPr>
                <w:bCs/>
                <w:i/>
                <w:sz w:val="16"/>
                <w:lang w:val="fr-FR"/>
              </w:rPr>
              <w:t xml:space="preserve">étranger détachés dans </w:t>
            </w:r>
            <w:r w:rsidR="004F7953">
              <w:rPr>
                <w:bCs/>
                <w:i/>
                <w:sz w:val="16"/>
                <w:lang w:val="fr-FR"/>
              </w:rPr>
              <w:br/>
            </w:r>
            <w:r w:rsidRPr="00D72AFC">
              <w:rPr>
                <w:bCs/>
                <w:i/>
                <w:sz w:val="16"/>
                <w:lang w:val="fr-FR"/>
              </w:rPr>
              <w:t>des pays en développement</w:t>
            </w:r>
          </w:p>
        </w:tc>
      </w:tr>
      <w:tr w:rsidR="003353B7" w:rsidRPr="004F7953" w:rsidTr="004F7953">
        <w:tc>
          <w:tcPr>
            <w:tcW w:w="798" w:type="dxa"/>
            <w:tcBorders>
              <w:top w:val="single" w:sz="12" w:space="0" w:color="auto"/>
            </w:tcBorders>
            <w:shd w:val="clear" w:color="auto" w:fill="auto"/>
            <w:vAlign w:val="bottom"/>
          </w:tcPr>
          <w:p w:rsidR="003353B7" w:rsidRPr="004F7953" w:rsidRDefault="003353B7" w:rsidP="00362D19">
            <w:pPr>
              <w:suppressAutoHyphens w:val="0"/>
              <w:spacing w:before="40" w:after="40" w:line="220" w:lineRule="exact"/>
              <w:rPr>
                <w:sz w:val="18"/>
                <w:lang w:val="es-ES"/>
              </w:rPr>
            </w:pPr>
            <w:r w:rsidRPr="004F7953">
              <w:rPr>
                <w:sz w:val="18"/>
                <w:lang w:val="es-ES"/>
              </w:rPr>
              <w:t>2000</w:t>
            </w:r>
          </w:p>
        </w:tc>
        <w:tc>
          <w:tcPr>
            <w:tcW w:w="1246" w:type="dxa"/>
            <w:tcBorders>
              <w:top w:val="single" w:sz="12" w:space="0" w:color="auto"/>
            </w:tcBorders>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134</w:t>
            </w:r>
            <w:r w:rsidR="004F7953">
              <w:rPr>
                <w:sz w:val="18"/>
                <w:lang w:val="es-ES"/>
              </w:rPr>
              <w:t>,</w:t>
            </w:r>
            <w:r w:rsidRPr="004F7953">
              <w:rPr>
                <w:sz w:val="18"/>
                <w:lang w:val="es-ES"/>
              </w:rPr>
              <w:t>54</w:t>
            </w:r>
            <w:r w:rsidR="00B147A4" w:rsidRPr="004F7953">
              <w:rPr>
                <w:sz w:val="18"/>
                <w:lang w:val="es-ES"/>
              </w:rPr>
              <w:t xml:space="preserve"> (</w:t>
            </w:r>
            <w:r w:rsidRPr="004F7953">
              <w:rPr>
                <w:sz w:val="18"/>
                <w:lang w:val="es-ES"/>
              </w:rPr>
              <w:t>12</w:t>
            </w:r>
            <w:r w:rsidR="004F7953">
              <w:rPr>
                <w:sz w:val="18"/>
                <w:lang w:val="es-ES"/>
              </w:rPr>
              <w:t>,</w:t>
            </w:r>
            <w:r w:rsidRPr="004F7953">
              <w:rPr>
                <w:sz w:val="18"/>
                <w:lang w:val="es-ES"/>
              </w:rPr>
              <w:t>4)</w:t>
            </w:r>
          </w:p>
        </w:tc>
        <w:tc>
          <w:tcPr>
            <w:tcW w:w="1190" w:type="dxa"/>
            <w:tcBorders>
              <w:top w:val="single" w:sz="12" w:space="0" w:color="auto"/>
            </w:tcBorders>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63</w:t>
            </w:r>
            <w:r w:rsidR="004F7953">
              <w:rPr>
                <w:sz w:val="18"/>
                <w:lang w:val="es-ES"/>
              </w:rPr>
              <w:t>,</w:t>
            </w:r>
            <w:r w:rsidRPr="004F7953">
              <w:rPr>
                <w:sz w:val="18"/>
                <w:lang w:val="es-ES"/>
              </w:rPr>
              <w:t>47</w:t>
            </w:r>
            <w:r w:rsidR="00B147A4" w:rsidRPr="004F7953">
              <w:rPr>
                <w:sz w:val="18"/>
                <w:lang w:val="es-ES"/>
              </w:rPr>
              <w:t xml:space="preserve"> (</w:t>
            </w:r>
            <w:r w:rsidRPr="004F7953">
              <w:rPr>
                <w:sz w:val="18"/>
                <w:lang w:val="es-ES"/>
              </w:rPr>
              <w:t>0</w:t>
            </w:r>
            <w:r w:rsidR="004F7953">
              <w:rPr>
                <w:sz w:val="18"/>
                <w:lang w:val="es-ES"/>
              </w:rPr>
              <w:t>,</w:t>
            </w:r>
            <w:r w:rsidRPr="004F7953">
              <w:rPr>
                <w:sz w:val="18"/>
                <w:lang w:val="es-ES"/>
              </w:rPr>
              <w:t>7)</w:t>
            </w:r>
          </w:p>
        </w:tc>
        <w:tc>
          <w:tcPr>
            <w:tcW w:w="1693" w:type="dxa"/>
            <w:tcBorders>
              <w:top w:val="single" w:sz="12" w:space="0" w:color="auto"/>
            </w:tcBorders>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457</w:t>
            </w:r>
            <w:r w:rsidR="00B147A4" w:rsidRPr="004F7953">
              <w:rPr>
                <w:sz w:val="18"/>
                <w:lang w:val="es-ES"/>
              </w:rPr>
              <w:t xml:space="preserve"> (</w:t>
            </w:r>
            <w:r w:rsidRPr="004F7953">
              <w:rPr>
                <w:sz w:val="18"/>
                <w:lang w:val="es-ES"/>
              </w:rPr>
              <w:t>2</w:t>
            </w:r>
            <w:r w:rsidR="004F7953">
              <w:rPr>
                <w:sz w:val="18"/>
                <w:lang w:val="es-ES"/>
              </w:rPr>
              <w:t>,</w:t>
            </w:r>
            <w:r w:rsidRPr="004F7953">
              <w:rPr>
                <w:sz w:val="18"/>
                <w:lang w:val="es-ES"/>
              </w:rPr>
              <w:t>6)</w:t>
            </w:r>
          </w:p>
        </w:tc>
        <w:tc>
          <w:tcPr>
            <w:tcW w:w="1638" w:type="dxa"/>
            <w:tcBorders>
              <w:top w:val="single" w:sz="12" w:space="0" w:color="auto"/>
            </w:tcBorders>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283</w:t>
            </w:r>
            <w:r w:rsidR="00B147A4" w:rsidRPr="004F7953">
              <w:rPr>
                <w:sz w:val="18"/>
                <w:lang w:val="es-ES"/>
              </w:rPr>
              <w:t xml:space="preserve"> (</w:t>
            </w:r>
            <w:r w:rsidRPr="004F7953">
              <w:rPr>
                <w:sz w:val="18"/>
                <w:lang w:val="es-ES"/>
              </w:rPr>
              <w:t>8</w:t>
            </w:r>
            <w:r w:rsidR="004F7953">
              <w:rPr>
                <w:sz w:val="18"/>
                <w:lang w:val="es-ES"/>
              </w:rPr>
              <w:t>,</w:t>
            </w:r>
            <w:r w:rsidRPr="004F7953">
              <w:rPr>
                <w:sz w:val="18"/>
                <w:lang w:val="es-ES"/>
              </w:rPr>
              <w:t>4)</w:t>
            </w:r>
          </w:p>
        </w:tc>
        <w:tc>
          <w:tcPr>
            <w:tcW w:w="1940" w:type="dxa"/>
            <w:tcBorders>
              <w:top w:val="single" w:sz="12" w:space="0" w:color="auto"/>
            </w:tcBorders>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270</w:t>
            </w:r>
            <w:r w:rsidR="00B147A4" w:rsidRPr="004F7953">
              <w:rPr>
                <w:sz w:val="18"/>
                <w:lang w:val="es-ES"/>
              </w:rPr>
              <w:t xml:space="preserve"> (</w:t>
            </w:r>
            <w:r w:rsidRPr="004F7953">
              <w:rPr>
                <w:sz w:val="18"/>
                <w:lang w:val="es-ES"/>
              </w:rPr>
              <w:t>19</w:t>
            </w:r>
            <w:r w:rsidR="004F7953">
              <w:rPr>
                <w:sz w:val="18"/>
                <w:lang w:val="es-ES"/>
              </w:rPr>
              <w:t>,</w:t>
            </w:r>
            <w:r w:rsidRPr="004F7953">
              <w:rPr>
                <w:sz w:val="18"/>
                <w:lang w:val="es-ES"/>
              </w:rPr>
              <w:t>7)</w:t>
            </w:r>
          </w:p>
        </w:tc>
      </w:tr>
      <w:tr w:rsidR="003353B7" w:rsidRPr="004F7953" w:rsidTr="004F7953">
        <w:tc>
          <w:tcPr>
            <w:tcW w:w="798" w:type="dxa"/>
            <w:shd w:val="clear" w:color="auto" w:fill="auto"/>
            <w:vAlign w:val="bottom"/>
          </w:tcPr>
          <w:p w:rsidR="003353B7" w:rsidRPr="004F7953" w:rsidRDefault="003353B7" w:rsidP="00362D19">
            <w:pPr>
              <w:suppressAutoHyphens w:val="0"/>
              <w:spacing w:before="40" w:after="40" w:line="220" w:lineRule="exact"/>
              <w:rPr>
                <w:sz w:val="18"/>
                <w:lang w:val="es-ES"/>
              </w:rPr>
            </w:pPr>
            <w:r w:rsidRPr="004F7953">
              <w:rPr>
                <w:sz w:val="18"/>
                <w:lang w:val="es-ES"/>
              </w:rPr>
              <w:t>2001</w:t>
            </w:r>
          </w:p>
        </w:tc>
        <w:tc>
          <w:tcPr>
            <w:tcW w:w="1246" w:type="dxa"/>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183</w:t>
            </w:r>
            <w:r w:rsidR="004F7953">
              <w:rPr>
                <w:sz w:val="18"/>
                <w:lang w:val="es-ES"/>
              </w:rPr>
              <w:t>,</w:t>
            </w:r>
            <w:r w:rsidRPr="004F7953">
              <w:rPr>
                <w:sz w:val="18"/>
                <w:lang w:val="es-ES"/>
              </w:rPr>
              <w:t>54</w:t>
            </w:r>
            <w:r w:rsidR="00B147A4" w:rsidRPr="004F7953">
              <w:rPr>
                <w:sz w:val="18"/>
                <w:lang w:val="es-ES"/>
              </w:rPr>
              <w:t xml:space="preserve"> (</w:t>
            </w:r>
            <w:r w:rsidRPr="004F7953">
              <w:rPr>
                <w:sz w:val="18"/>
                <w:lang w:val="es-ES"/>
              </w:rPr>
              <w:t>17</w:t>
            </w:r>
            <w:r w:rsidR="004F7953">
              <w:rPr>
                <w:sz w:val="18"/>
                <w:lang w:val="es-ES"/>
              </w:rPr>
              <w:t>,</w:t>
            </w:r>
            <w:r w:rsidRPr="004F7953">
              <w:rPr>
                <w:sz w:val="18"/>
                <w:lang w:val="es-ES"/>
              </w:rPr>
              <w:t>2)</w:t>
            </w:r>
          </w:p>
        </w:tc>
        <w:tc>
          <w:tcPr>
            <w:tcW w:w="1190" w:type="dxa"/>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307</w:t>
            </w:r>
            <w:r w:rsidR="004F7953">
              <w:rPr>
                <w:sz w:val="18"/>
                <w:lang w:val="es-ES"/>
              </w:rPr>
              <w:t>,</w:t>
            </w:r>
            <w:r w:rsidRPr="004F7953">
              <w:rPr>
                <w:sz w:val="18"/>
                <w:lang w:val="es-ES"/>
              </w:rPr>
              <w:t>22</w:t>
            </w:r>
            <w:r w:rsidR="00B147A4" w:rsidRPr="004F7953">
              <w:rPr>
                <w:sz w:val="18"/>
                <w:lang w:val="es-ES"/>
              </w:rPr>
              <w:t xml:space="preserve"> (</w:t>
            </w:r>
            <w:r w:rsidRPr="004F7953">
              <w:rPr>
                <w:sz w:val="18"/>
                <w:lang w:val="es-ES"/>
              </w:rPr>
              <w:t>4</w:t>
            </w:r>
            <w:r w:rsidR="004F7953">
              <w:rPr>
                <w:sz w:val="18"/>
                <w:lang w:val="es-ES"/>
              </w:rPr>
              <w:t>,</w:t>
            </w:r>
            <w:r w:rsidRPr="004F7953">
              <w:rPr>
                <w:sz w:val="18"/>
                <w:lang w:val="es-ES"/>
              </w:rPr>
              <w:t>6)</w:t>
            </w:r>
          </w:p>
        </w:tc>
        <w:tc>
          <w:tcPr>
            <w:tcW w:w="1693" w:type="dxa"/>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800</w:t>
            </w:r>
            <w:r w:rsidR="00B147A4" w:rsidRPr="004F7953">
              <w:rPr>
                <w:sz w:val="18"/>
                <w:lang w:val="es-ES"/>
              </w:rPr>
              <w:t xml:space="preserve"> (</w:t>
            </w:r>
            <w:r w:rsidRPr="004F7953">
              <w:rPr>
                <w:sz w:val="18"/>
                <w:lang w:val="es-ES"/>
              </w:rPr>
              <w:t>3</w:t>
            </w:r>
            <w:r w:rsidR="004F7953">
              <w:rPr>
                <w:sz w:val="18"/>
                <w:lang w:val="es-ES"/>
              </w:rPr>
              <w:t>,</w:t>
            </w:r>
            <w:r w:rsidRPr="004F7953">
              <w:rPr>
                <w:sz w:val="18"/>
                <w:lang w:val="es-ES"/>
              </w:rPr>
              <w:t>8)</w:t>
            </w:r>
          </w:p>
        </w:tc>
        <w:tc>
          <w:tcPr>
            <w:tcW w:w="1638" w:type="dxa"/>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184</w:t>
            </w:r>
            <w:r w:rsidR="00B147A4" w:rsidRPr="004F7953">
              <w:rPr>
                <w:sz w:val="18"/>
                <w:lang w:val="es-ES"/>
              </w:rPr>
              <w:t xml:space="preserve"> (</w:t>
            </w:r>
            <w:r w:rsidRPr="004F7953">
              <w:rPr>
                <w:sz w:val="18"/>
                <w:lang w:val="es-ES"/>
              </w:rPr>
              <w:t>5</w:t>
            </w:r>
            <w:r w:rsidR="004F7953">
              <w:rPr>
                <w:sz w:val="18"/>
                <w:lang w:val="es-ES"/>
              </w:rPr>
              <w:t>,</w:t>
            </w:r>
            <w:r w:rsidRPr="004F7953">
              <w:rPr>
                <w:sz w:val="18"/>
                <w:lang w:val="es-ES"/>
              </w:rPr>
              <w:t>7)</w:t>
            </w:r>
          </w:p>
        </w:tc>
        <w:tc>
          <w:tcPr>
            <w:tcW w:w="1940" w:type="dxa"/>
            <w:shd w:val="clear" w:color="auto" w:fill="auto"/>
            <w:vAlign w:val="bottom"/>
          </w:tcPr>
          <w:p w:rsidR="003353B7" w:rsidRPr="004F7953" w:rsidRDefault="003353B7" w:rsidP="009F27B6">
            <w:pPr>
              <w:suppressAutoHyphens w:val="0"/>
              <w:spacing w:before="40" w:after="40" w:line="220" w:lineRule="exact"/>
              <w:jc w:val="right"/>
              <w:rPr>
                <w:sz w:val="18"/>
                <w:lang w:val="es-ES"/>
              </w:rPr>
            </w:pPr>
            <w:r w:rsidRPr="004F7953">
              <w:rPr>
                <w:sz w:val="18"/>
                <w:lang w:val="es-ES"/>
              </w:rPr>
              <w:t>219</w:t>
            </w:r>
            <w:r w:rsidR="00B147A4" w:rsidRPr="004F7953">
              <w:rPr>
                <w:sz w:val="18"/>
                <w:lang w:val="es-ES"/>
              </w:rPr>
              <w:t xml:space="preserve"> (</w:t>
            </w:r>
            <w:r w:rsidRPr="004F7953">
              <w:rPr>
                <w:sz w:val="18"/>
                <w:lang w:val="es-ES"/>
              </w:rPr>
              <w:t>19</w:t>
            </w:r>
            <w:r w:rsidR="004F7953">
              <w:rPr>
                <w:sz w:val="18"/>
                <w:lang w:val="es-ES"/>
              </w:rPr>
              <w:t>,</w:t>
            </w:r>
            <w:r w:rsidRPr="004F7953">
              <w:rPr>
                <w:sz w:val="18"/>
                <w:lang w:val="es-ES"/>
              </w:rPr>
              <w:t>3)</w:t>
            </w:r>
          </w:p>
        </w:tc>
      </w:tr>
      <w:tr w:rsidR="003353B7" w:rsidRPr="008E5027" w:rsidTr="004F7953">
        <w:tc>
          <w:tcPr>
            <w:tcW w:w="798" w:type="dxa"/>
            <w:shd w:val="clear" w:color="auto" w:fill="auto"/>
            <w:vAlign w:val="bottom"/>
          </w:tcPr>
          <w:p w:rsidR="003353B7" w:rsidRPr="008E5027" w:rsidRDefault="003353B7" w:rsidP="00362D19">
            <w:pPr>
              <w:suppressAutoHyphens w:val="0"/>
              <w:spacing w:before="40" w:after="40" w:line="220" w:lineRule="exact"/>
              <w:rPr>
                <w:sz w:val="18"/>
              </w:rPr>
            </w:pPr>
            <w:r w:rsidRPr="008E5027">
              <w:rPr>
                <w:sz w:val="18"/>
              </w:rPr>
              <w:t>2002</w:t>
            </w:r>
          </w:p>
        </w:tc>
        <w:tc>
          <w:tcPr>
            <w:tcW w:w="1246"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169</w:t>
            </w:r>
            <w:r w:rsidR="004F7953">
              <w:rPr>
                <w:sz w:val="18"/>
              </w:rPr>
              <w:t>,</w:t>
            </w:r>
            <w:r w:rsidRPr="008E5027">
              <w:rPr>
                <w:sz w:val="18"/>
              </w:rPr>
              <w:t>76</w:t>
            </w:r>
            <w:r w:rsidR="00B147A4" w:rsidRPr="008E5027">
              <w:rPr>
                <w:sz w:val="18"/>
              </w:rPr>
              <w:t xml:space="preserve"> (</w:t>
            </w:r>
            <w:r w:rsidRPr="008E5027">
              <w:rPr>
                <w:sz w:val="18"/>
              </w:rPr>
              <w:t>16</w:t>
            </w:r>
            <w:r w:rsidR="004F7953">
              <w:rPr>
                <w:sz w:val="18"/>
              </w:rPr>
              <w:t>,</w:t>
            </w:r>
            <w:r w:rsidRPr="008E5027">
              <w:rPr>
                <w:sz w:val="18"/>
              </w:rPr>
              <w:t>9)</w:t>
            </w:r>
          </w:p>
        </w:tc>
        <w:tc>
          <w:tcPr>
            <w:tcW w:w="1190"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275</w:t>
            </w:r>
            <w:r w:rsidR="004F7953">
              <w:rPr>
                <w:sz w:val="18"/>
              </w:rPr>
              <w:t>,</w:t>
            </w:r>
            <w:r w:rsidRPr="008E5027">
              <w:rPr>
                <w:sz w:val="18"/>
              </w:rPr>
              <w:t>04</w:t>
            </w:r>
            <w:r w:rsidR="00B147A4" w:rsidRPr="008E5027">
              <w:rPr>
                <w:sz w:val="18"/>
              </w:rPr>
              <w:t xml:space="preserve"> (</w:t>
            </w:r>
            <w:r w:rsidRPr="008E5027">
              <w:rPr>
                <w:sz w:val="18"/>
              </w:rPr>
              <w:t>4</w:t>
            </w:r>
            <w:r w:rsidR="004F7953">
              <w:rPr>
                <w:sz w:val="18"/>
              </w:rPr>
              <w:t>,</w:t>
            </w:r>
            <w:r w:rsidRPr="008E5027">
              <w:rPr>
                <w:sz w:val="18"/>
              </w:rPr>
              <w:t>3)</w:t>
            </w:r>
          </w:p>
        </w:tc>
        <w:tc>
          <w:tcPr>
            <w:tcW w:w="1693" w:type="dxa"/>
            <w:shd w:val="clear" w:color="auto" w:fill="auto"/>
            <w:vAlign w:val="bottom"/>
          </w:tcPr>
          <w:p w:rsidR="003353B7" w:rsidRPr="008E5027" w:rsidRDefault="00B147A4" w:rsidP="009F27B6">
            <w:pPr>
              <w:suppressAutoHyphens w:val="0"/>
              <w:spacing w:before="40" w:after="40" w:line="220" w:lineRule="exact"/>
              <w:jc w:val="right"/>
              <w:rPr>
                <w:sz w:val="18"/>
              </w:rPr>
            </w:pPr>
            <w:r w:rsidRPr="008E5027">
              <w:rPr>
                <w:sz w:val="18"/>
              </w:rPr>
              <w:t xml:space="preserve">2 </w:t>
            </w:r>
            <w:r w:rsidR="003353B7" w:rsidRPr="008E5027">
              <w:rPr>
                <w:sz w:val="18"/>
              </w:rPr>
              <w:t>508</w:t>
            </w:r>
            <w:r w:rsidRPr="008E5027">
              <w:rPr>
                <w:sz w:val="18"/>
              </w:rPr>
              <w:t xml:space="preserve"> (</w:t>
            </w:r>
            <w:r w:rsidR="003353B7" w:rsidRPr="008E5027">
              <w:rPr>
                <w:sz w:val="18"/>
              </w:rPr>
              <w:t>12</w:t>
            </w:r>
            <w:r w:rsidR="004F7953">
              <w:rPr>
                <w:sz w:val="18"/>
              </w:rPr>
              <w:t>,</w:t>
            </w:r>
            <w:r w:rsidR="003353B7" w:rsidRPr="008E5027">
              <w:rPr>
                <w:sz w:val="18"/>
              </w:rPr>
              <w:t>7)</w:t>
            </w:r>
          </w:p>
        </w:tc>
        <w:tc>
          <w:tcPr>
            <w:tcW w:w="1638"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204</w:t>
            </w:r>
            <w:r w:rsidR="00B147A4" w:rsidRPr="008E5027">
              <w:rPr>
                <w:sz w:val="18"/>
              </w:rPr>
              <w:t xml:space="preserve"> (</w:t>
            </w:r>
            <w:r w:rsidRPr="008E5027">
              <w:rPr>
                <w:sz w:val="18"/>
              </w:rPr>
              <w:t>7</w:t>
            </w:r>
            <w:r w:rsidR="004F7953">
              <w:rPr>
                <w:sz w:val="18"/>
              </w:rPr>
              <w:t>,</w:t>
            </w:r>
            <w:r w:rsidRPr="008E5027">
              <w:rPr>
                <w:sz w:val="18"/>
              </w:rPr>
              <w:t>3)</w:t>
            </w:r>
          </w:p>
        </w:tc>
        <w:tc>
          <w:tcPr>
            <w:tcW w:w="1940"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268</w:t>
            </w:r>
            <w:r w:rsidR="00B147A4" w:rsidRPr="008E5027">
              <w:rPr>
                <w:sz w:val="18"/>
              </w:rPr>
              <w:t xml:space="preserve"> (</w:t>
            </w:r>
            <w:r w:rsidRPr="008E5027">
              <w:rPr>
                <w:sz w:val="18"/>
              </w:rPr>
              <w:t>21</w:t>
            </w:r>
            <w:r w:rsidR="004F7953">
              <w:rPr>
                <w:sz w:val="18"/>
              </w:rPr>
              <w:t>,</w:t>
            </w:r>
            <w:r w:rsidRPr="008E5027">
              <w:rPr>
                <w:sz w:val="18"/>
              </w:rPr>
              <w:t>7)</w:t>
            </w:r>
          </w:p>
        </w:tc>
      </w:tr>
      <w:tr w:rsidR="003353B7" w:rsidRPr="008E5027" w:rsidTr="004F7953">
        <w:tc>
          <w:tcPr>
            <w:tcW w:w="798" w:type="dxa"/>
            <w:shd w:val="clear" w:color="auto" w:fill="auto"/>
            <w:vAlign w:val="bottom"/>
          </w:tcPr>
          <w:p w:rsidR="003353B7" w:rsidRPr="008E5027" w:rsidRDefault="003353B7" w:rsidP="00362D19">
            <w:pPr>
              <w:suppressAutoHyphens w:val="0"/>
              <w:spacing w:before="40" w:after="40" w:line="220" w:lineRule="exact"/>
              <w:rPr>
                <w:sz w:val="18"/>
              </w:rPr>
            </w:pPr>
            <w:r w:rsidRPr="008E5027">
              <w:rPr>
                <w:sz w:val="18"/>
              </w:rPr>
              <w:t>2003</w:t>
            </w:r>
          </w:p>
        </w:tc>
        <w:tc>
          <w:tcPr>
            <w:tcW w:w="1246"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148</w:t>
            </w:r>
            <w:r w:rsidR="004F7953">
              <w:rPr>
                <w:sz w:val="18"/>
              </w:rPr>
              <w:t>,</w:t>
            </w:r>
            <w:r w:rsidRPr="008E5027">
              <w:rPr>
                <w:sz w:val="18"/>
              </w:rPr>
              <w:t>89</w:t>
            </w:r>
            <w:r w:rsidR="00B147A4" w:rsidRPr="008E5027">
              <w:rPr>
                <w:sz w:val="18"/>
              </w:rPr>
              <w:t xml:space="preserve"> (</w:t>
            </w:r>
            <w:r w:rsidRPr="008E5027">
              <w:rPr>
                <w:sz w:val="18"/>
              </w:rPr>
              <w:t>18</w:t>
            </w:r>
            <w:r w:rsidR="004F7953">
              <w:rPr>
                <w:sz w:val="18"/>
              </w:rPr>
              <w:t>,</w:t>
            </w:r>
            <w:r w:rsidRPr="008E5027">
              <w:rPr>
                <w:sz w:val="18"/>
              </w:rPr>
              <w:t>0)</w:t>
            </w:r>
          </w:p>
        </w:tc>
        <w:tc>
          <w:tcPr>
            <w:tcW w:w="1190"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344</w:t>
            </w:r>
            <w:r w:rsidR="004F7953">
              <w:rPr>
                <w:sz w:val="18"/>
              </w:rPr>
              <w:t>,</w:t>
            </w:r>
            <w:r w:rsidRPr="008E5027">
              <w:rPr>
                <w:sz w:val="18"/>
              </w:rPr>
              <w:t>17</w:t>
            </w:r>
            <w:r w:rsidR="00B147A4" w:rsidRPr="008E5027">
              <w:rPr>
                <w:sz w:val="18"/>
              </w:rPr>
              <w:t xml:space="preserve"> (</w:t>
            </w:r>
            <w:r w:rsidRPr="008E5027">
              <w:rPr>
                <w:sz w:val="18"/>
              </w:rPr>
              <w:t>6</w:t>
            </w:r>
            <w:r w:rsidR="004F7953">
              <w:rPr>
                <w:sz w:val="18"/>
              </w:rPr>
              <w:t>,</w:t>
            </w:r>
            <w:r w:rsidRPr="008E5027">
              <w:rPr>
                <w:sz w:val="18"/>
              </w:rPr>
              <w:t>2)</w:t>
            </w:r>
          </w:p>
        </w:tc>
        <w:tc>
          <w:tcPr>
            <w:tcW w:w="1693"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549</w:t>
            </w:r>
            <w:r w:rsidR="00B147A4" w:rsidRPr="008E5027">
              <w:rPr>
                <w:sz w:val="18"/>
              </w:rPr>
              <w:t xml:space="preserve"> (</w:t>
            </w:r>
            <w:r w:rsidRPr="008E5027">
              <w:rPr>
                <w:sz w:val="18"/>
              </w:rPr>
              <w:t>3</w:t>
            </w:r>
            <w:r w:rsidR="004F7953">
              <w:rPr>
                <w:sz w:val="18"/>
              </w:rPr>
              <w:t>,</w:t>
            </w:r>
            <w:r w:rsidRPr="008E5027">
              <w:rPr>
                <w:sz w:val="18"/>
              </w:rPr>
              <w:t>4)</w:t>
            </w:r>
          </w:p>
        </w:tc>
        <w:tc>
          <w:tcPr>
            <w:tcW w:w="1638"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228</w:t>
            </w:r>
            <w:r w:rsidR="00B147A4" w:rsidRPr="008E5027">
              <w:rPr>
                <w:sz w:val="18"/>
              </w:rPr>
              <w:t xml:space="preserve"> (</w:t>
            </w:r>
            <w:r w:rsidRPr="008E5027">
              <w:rPr>
                <w:sz w:val="18"/>
              </w:rPr>
              <w:t>7</w:t>
            </w:r>
            <w:r w:rsidR="004F7953">
              <w:rPr>
                <w:sz w:val="18"/>
              </w:rPr>
              <w:t>,</w:t>
            </w:r>
            <w:r w:rsidRPr="008E5027">
              <w:rPr>
                <w:sz w:val="18"/>
              </w:rPr>
              <w:t>7)</w:t>
            </w:r>
          </w:p>
        </w:tc>
        <w:tc>
          <w:tcPr>
            <w:tcW w:w="1940"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258</w:t>
            </w:r>
            <w:r w:rsidR="00B147A4" w:rsidRPr="008E5027">
              <w:rPr>
                <w:sz w:val="18"/>
              </w:rPr>
              <w:t xml:space="preserve"> (</w:t>
            </w:r>
            <w:r w:rsidRPr="008E5027">
              <w:rPr>
                <w:sz w:val="18"/>
              </w:rPr>
              <w:t>21</w:t>
            </w:r>
            <w:r w:rsidR="004F7953">
              <w:rPr>
                <w:sz w:val="18"/>
              </w:rPr>
              <w:t>,</w:t>
            </w:r>
            <w:r w:rsidRPr="008E5027">
              <w:rPr>
                <w:sz w:val="18"/>
              </w:rPr>
              <w:t>8)</w:t>
            </w:r>
          </w:p>
        </w:tc>
      </w:tr>
      <w:tr w:rsidR="003353B7" w:rsidRPr="008E5027" w:rsidTr="004F7953">
        <w:tc>
          <w:tcPr>
            <w:tcW w:w="798" w:type="dxa"/>
            <w:shd w:val="clear" w:color="auto" w:fill="auto"/>
            <w:vAlign w:val="bottom"/>
          </w:tcPr>
          <w:p w:rsidR="003353B7" w:rsidRPr="008E5027" w:rsidRDefault="003353B7" w:rsidP="00362D19">
            <w:pPr>
              <w:suppressAutoHyphens w:val="0"/>
              <w:spacing w:before="40" w:after="40" w:line="220" w:lineRule="exact"/>
              <w:rPr>
                <w:sz w:val="18"/>
              </w:rPr>
            </w:pPr>
            <w:r w:rsidRPr="008E5027">
              <w:rPr>
                <w:sz w:val="18"/>
              </w:rPr>
              <w:t>2004</w:t>
            </w:r>
          </w:p>
        </w:tc>
        <w:tc>
          <w:tcPr>
            <w:tcW w:w="1246"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150</w:t>
            </w:r>
            <w:r w:rsidR="004F7953">
              <w:rPr>
                <w:sz w:val="18"/>
              </w:rPr>
              <w:t>,</w:t>
            </w:r>
            <w:r w:rsidRPr="008E5027">
              <w:rPr>
                <w:sz w:val="18"/>
              </w:rPr>
              <w:t>57</w:t>
            </w:r>
            <w:r w:rsidR="00B147A4" w:rsidRPr="008E5027">
              <w:rPr>
                <w:sz w:val="18"/>
              </w:rPr>
              <w:t xml:space="preserve"> (</w:t>
            </w:r>
            <w:r w:rsidRPr="008E5027">
              <w:rPr>
                <w:sz w:val="18"/>
              </w:rPr>
              <w:t>18</w:t>
            </w:r>
            <w:r w:rsidR="004F7953">
              <w:rPr>
                <w:sz w:val="18"/>
              </w:rPr>
              <w:t>,</w:t>
            </w:r>
            <w:r w:rsidRPr="008E5027">
              <w:rPr>
                <w:sz w:val="18"/>
              </w:rPr>
              <w:t>7)</w:t>
            </w:r>
          </w:p>
        </w:tc>
        <w:tc>
          <w:tcPr>
            <w:tcW w:w="1190"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143</w:t>
            </w:r>
            <w:r w:rsidR="004F7953">
              <w:rPr>
                <w:sz w:val="18"/>
              </w:rPr>
              <w:t>,</w:t>
            </w:r>
            <w:r w:rsidRPr="008E5027">
              <w:rPr>
                <w:sz w:val="18"/>
              </w:rPr>
              <w:t>58</w:t>
            </w:r>
            <w:r w:rsidR="00B147A4" w:rsidRPr="008E5027">
              <w:rPr>
                <w:sz w:val="18"/>
              </w:rPr>
              <w:t xml:space="preserve"> (</w:t>
            </w:r>
            <w:r w:rsidRPr="008E5027">
              <w:rPr>
                <w:sz w:val="18"/>
              </w:rPr>
              <w:t>2</w:t>
            </w:r>
            <w:r w:rsidR="004F7953">
              <w:rPr>
                <w:sz w:val="18"/>
              </w:rPr>
              <w:t>,</w:t>
            </w:r>
            <w:r w:rsidRPr="008E5027">
              <w:rPr>
                <w:sz w:val="18"/>
              </w:rPr>
              <w:t>2)</w:t>
            </w:r>
          </w:p>
        </w:tc>
        <w:tc>
          <w:tcPr>
            <w:tcW w:w="1693" w:type="dxa"/>
            <w:shd w:val="clear" w:color="auto" w:fill="auto"/>
            <w:vAlign w:val="bottom"/>
          </w:tcPr>
          <w:p w:rsidR="003353B7" w:rsidRPr="008E5027" w:rsidRDefault="00B147A4" w:rsidP="009F27B6">
            <w:pPr>
              <w:suppressAutoHyphens w:val="0"/>
              <w:spacing w:before="40" w:after="40" w:line="220" w:lineRule="exact"/>
              <w:jc w:val="right"/>
              <w:rPr>
                <w:sz w:val="18"/>
              </w:rPr>
            </w:pPr>
            <w:r w:rsidRPr="008E5027">
              <w:rPr>
                <w:sz w:val="18"/>
              </w:rPr>
              <w:t xml:space="preserve">2 </w:t>
            </w:r>
            <w:r w:rsidR="003353B7" w:rsidRPr="008E5027">
              <w:rPr>
                <w:sz w:val="18"/>
              </w:rPr>
              <w:t>128</w:t>
            </w:r>
            <w:r w:rsidRPr="008E5027">
              <w:rPr>
                <w:sz w:val="18"/>
              </w:rPr>
              <w:t xml:space="preserve"> (</w:t>
            </w:r>
            <w:r w:rsidR="003353B7" w:rsidRPr="008E5027">
              <w:rPr>
                <w:sz w:val="18"/>
              </w:rPr>
              <w:t>10</w:t>
            </w:r>
            <w:r w:rsidR="004F7953">
              <w:rPr>
                <w:sz w:val="18"/>
              </w:rPr>
              <w:t>,</w:t>
            </w:r>
            <w:r w:rsidR="003353B7" w:rsidRPr="008E5027">
              <w:rPr>
                <w:sz w:val="18"/>
              </w:rPr>
              <w:t>6)</w:t>
            </w:r>
          </w:p>
        </w:tc>
        <w:tc>
          <w:tcPr>
            <w:tcW w:w="1638"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290</w:t>
            </w:r>
            <w:r w:rsidR="00B147A4" w:rsidRPr="008E5027">
              <w:rPr>
                <w:sz w:val="18"/>
              </w:rPr>
              <w:t xml:space="preserve"> (</w:t>
            </w:r>
            <w:r w:rsidRPr="008E5027">
              <w:rPr>
                <w:sz w:val="18"/>
              </w:rPr>
              <w:t>6</w:t>
            </w:r>
            <w:r w:rsidR="004F7953">
              <w:rPr>
                <w:sz w:val="18"/>
              </w:rPr>
              <w:t>,</w:t>
            </w:r>
            <w:r w:rsidRPr="008E5027">
              <w:rPr>
                <w:sz w:val="18"/>
              </w:rPr>
              <w:t>7)</w:t>
            </w:r>
          </w:p>
        </w:tc>
        <w:tc>
          <w:tcPr>
            <w:tcW w:w="1940" w:type="dxa"/>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304</w:t>
            </w:r>
            <w:r w:rsidR="00B147A4" w:rsidRPr="008E5027">
              <w:rPr>
                <w:sz w:val="18"/>
              </w:rPr>
              <w:t xml:space="preserve"> (</w:t>
            </w:r>
            <w:r w:rsidRPr="008E5027">
              <w:rPr>
                <w:sz w:val="18"/>
              </w:rPr>
              <w:t>21</w:t>
            </w:r>
            <w:r w:rsidR="004F7953">
              <w:rPr>
                <w:sz w:val="18"/>
              </w:rPr>
              <w:t>,</w:t>
            </w:r>
            <w:r w:rsidRPr="008E5027">
              <w:rPr>
                <w:sz w:val="18"/>
              </w:rPr>
              <w:t>4)</w:t>
            </w:r>
          </w:p>
        </w:tc>
      </w:tr>
      <w:tr w:rsidR="003353B7" w:rsidRPr="008E5027" w:rsidTr="004F7953">
        <w:tc>
          <w:tcPr>
            <w:tcW w:w="798" w:type="dxa"/>
            <w:tcBorders>
              <w:bottom w:val="single" w:sz="12" w:space="0" w:color="auto"/>
            </w:tcBorders>
            <w:shd w:val="clear" w:color="auto" w:fill="auto"/>
            <w:vAlign w:val="bottom"/>
          </w:tcPr>
          <w:p w:rsidR="003353B7" w:rsidRPr="008E5027" w:rsidRDefault="003353B7" w:rsidP="00362D19">
            <w:pPr>
              <w:suppressAutoHyphens w:val="0"/>
              <w:spacing w:before="40" w:after="40" w:line="220" w:lineRule="exact"/>
              <w:rPr>
                <w:sz w:val="18"/>
              </w:rPr>
            </w:pPr>
            <w:r w:rsidRPr="008E5027">
              <w:rPr>
                <w:sz w:val="18"/>
              </w:rPr>
              <w:t>2005</w:t>
            </w:r>
          </w:p>
        </w:tc>
        <w:tc>
          <w:tcPr>
            <w:tcW w:w="1246" w:type="dxa"/>
            <w:tcBorders>
              <w:bottom w:val="single" w:sz="12" w:space="0" w:color="auto"/>
            </w:tcBorders>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140</w:t>
            </w:r>
            <w:r w:rsidR="004F7953">
              <w:rPr>
                <w:sz w:val="18"/>
              </w:rPr>
              <w:t>,</w:t>
            </w:r>
            <w:r w:rsidRPr="008E5027">
              <w:rPr>
                <w:sz w:val="18"/>
              </w:rPr>
              <w:t>12</w:t>
            </w:r>
            <w:r w:rsidR="00B147A4" w:rsidRPr="008E5027">
              <w:rPr>
                <w:sz w:val="18"/>
              </w:rPr>
              <w:t xml:space="preserve"> (</w:t>
            </w:r>
            <w:r w:rsidRPr="008E5027">
              <w:rPr>
                <w:sz w:val="18"/>
              </w:rPr>
              <w:t>16</w:t>
            </w:r>
            <w:r w:rsidR="004F7953">
              <w:rPr>
                <w:sz w:val="18"/>
              </w:rPr>
              <w:t>,</w:t>
            </w:r>
            <w:r w:rsidRPr="008E5027">
              <w:rPr>
                <w:sz w:val="18"/>
              </w:rPr>
              <w:t>8)</w:t>
            </w:r>
          </w:p>
        </w:tc>
        <w:tc>
          <w:tcPr>
            <w:tcW w:w="1190" w:type="dxa"/>
            <w:tcBorders>
              <w:bottom w:val="single" w:sz="12" w:space="0" w:color="auto"/>
            </w:tcBorders>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231</w:t>
            </w:r>
            <w:r w:rsidR="004F7953">
              <w:rPr>
                <w:sz w:val="18"/>
              </w:rPr>
              <w:t>,</w:t>
            </w:r>
            <w:r w:rsidRPr="008E5027">
              <w:rPr>
                <w:sz w:val="18"/>
              </w:rPr>
              <w:t>70</w:t>
            </w:r>
            <w:r w:rsidR="00B147A4" w:rsidRPr="008E5027">
              <w:rPr>
                <w:sz w:val="18"/>
              </w:rPr>
              <w:t xml:space="preserve"> (</w:t>
            </w:r>
            <w:r w:rsidRPr="008E5027">
              <w:rPr>
                <w:sz w:val="18"/>
              </w:rPr>
              <w:t>4</w:t>
            </w:r>
            <w:r w:rsidR="004F7953">
              <w:rPr>
                <w:sz w:val="18"/>
              </w:rPr>
              <w:t>,</w:t>
            </w:r>
            <w:r w:rsidRPr="008E5027">
              <w:rPr>
                <w:sz w:val="18"/>
              </w:rPr>
              <w:t>1)</w:t>
            </w:r>
          </w:p>
        </w:tc>
        <w:tc>
          <w:tcPr>
            <w:tcW w:w="1693" w:type="dxa"/>
            <w:tcBorders>
              <w:bottom w:val="single" w:sz="12" w:space="0" w:color="auto"/>
            </w:tcBorders>
            <w:shd w:val="clear" w:color="auto" w:fill="auto"/>
            <w:vAlign w:val="bottom"/>
          </w:tcPr>
          <w:p w:rsidR="003353B7" w:rsidRPr="008E5027" w:rsidRDefault="00B147A4" w:rsidP="009F27B6">
            <w:pPr>
              <w:suppressAutoHyphens w:val="0"/>
              <w:spacing w:before="40" w:after="40" w:line="220" w:lineRule="exact"/>
              <w:jc w:val="right"/>
              <w:rPr>
                <w:sz w:val="18"/>
              </w:rPr>
            </w:pPr>
            <w:r w:rsidRPr="008E5027">
              <w:rPr>
                <w:sz w:val="18"/>
              </w:rPr>
              <w:t xml:space="preserve">2 </w:t>
            </w:r>
            <w:r w:rsidR="003353B7" w:rsidRPr="008E5027">
              <w:rPr>
                <w:sz w:val="18"/>
              </w:rPr>
              <w:t>279</w:t>
            </w:r>
            <w:r w:rsidRPr="008E5027">
              <w:rPr>
                <w:sz w:val="18"/>
              </w:rPr>
              <w:t xml:space="preserve"> (</w:t>
            </w:r>
            <w:r w:rsidR="003353B7" w:rsidRPr="008E5027">
              <w:rPr>
                <w:sz w:val="18"/>
              </w:rPr>
              <w:t>9</w:t>
            </w:r>
            <w:r w:rsidR="004F7953">
              <w:rPr>
                <w:sz w:val="18"/>
              </w:rPr>
              <w:t>,</w:t>
            </w:r>
            <w:r w:rsidR="003353B7" w:rsidRPr="008E5027">
              <w:rPr>
                <w:sz w:val="18"/>
              </w:rPr>
              <w:t>3)</w:t>
            </w:r>
          </w:p>
        </w:tc>
        <w:tc>
          <w:tcPr>
            <w:tcW w:w="1638" w:type="dxa"/>
            <w:tcBorders>
              <w:bottom w:val="single" w:sz="12" w:space="0" w:color="auto"/>
            </w:tcBorders>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346</w:t>
            </w:r>
            <w:r w:rsidR="00B147A4" w:rsidRPr="008E5027">
              <w:rPr>
                <w:sz w:val="18"/>
              </w:rPr>
              <w:t xml:space="preserve"> (</w:t>
            </w:r>
            <w:r w:rsidRPr="008E5027">
              <w:rPr>
                <w:sz w:val="18"/>
              </w:rPr>
              <w:t>9</w:t>
            </w:r>
            <w:r w:rsidR="004F7953">
              <w:rPr>
                <w:sz w:val="18"/>
              </w:rPr>
              <w:t>,</w:t>
            </w:r>
            <w:r w:rsidRPr="008E5027">
              <w:rPr>
                <w:sz w:val="18"/>
              </w:rPr>
              <w:t>9)</w:t>
            </w:r>
          </w:p>
        </w:tc>
        <w:tc>
          <w:tcPr>
            <w:tcW w:w="1940" w:type="dxa"/>
            <w:tcBorders>
              <w:bottom w:val="single" w:sz="12" w:space="0" w:color="auto"/>
            </w:tcBorders>
            <w:shd w:val="clear" w:color="auto" w:fill="auto"/>
            <w:vAlign w:val="bottom"/>
          </w:tcPr>
          <w:p w:rsidR="003353B7" w:rsidRPr="008E5027" w:rsidRDefault="003353B7" w:rsidP="009F27B6">
            <w:pPr>
              <w:suppressAutoHyphens w:val="0"/>
              <w:spacing w:before="40" w:after="40" w:line="220" w:lineRule="exact"/>
              <w:jc w:val="right"/>
              <w:rPr>
                <w:sz w:val="18"/>
              </w:rPr>
            </w:pPr>
            <w:r w:rsidRPr="008E5027">
              <w:rPr>
                <w:sz w:val="18"/>
              </w:rPr>
              <w:t>361</w:t>
            </w:r>
            <w:r w:rsidR="00B147A4" w:rsidRPr="008E5027">
              <w:rPr>
                <w:sz w:val="18"/>
              </w:rPr>
              <w:t xml:space="preserve"> (</w:t>
            </w:r>
            <w:r w:rsidRPr="008E5027">
              <w:rPr>
                <w:sz w:val="18"/>
              </w:rPr>
              <w:t>20</w:t>
            </w:r>
            <w:r w:rsidR="004F7953">
              <w:rPr>
                <w:sz w:val="18"/>
              </w:rPr>
              <w:t>,</w:t>
            </w:r>
            <w:r w:rsidRPr="008E5027">
              <w:rPr>
                <w:sz w:val="18"/>
              </w:rPr>
              <w:t>0)</w:t>
            </w:r>
          </w:p>
        </w:tc>
      </w:tr>
    </w:tbl>
    <w:p w:rsidR="00454340" w:rsidRPr="008E5027" w:rsidRDefault="00454340" w:rsidP="00C21121">
      <w:pPr>
        <w:spacing w:before="120" w:after="240"/>
        <w:ind w:left="1134" w:firstLine="170"/>
        <w:rPr>
          <w:sz w:val="18"/>
          <w:szCs w:val="18"/>
        </w:rPr>
      </w:pPr>
      <w:r w:rsidRPr="008E5027">
        <w:rPr>
          <w:sz w:val="18"/>
          <w:szCs w:val="18"/>
        </w:rPr>
        <w:t xml:space="preserve">*  </w:t>
      </w:r>
      <w:r w:rsidR="00365506" w:rsidRPr="00365506">
        <w:rPr>
          <w:sz w:val="18"/>
          <w:szCs w:val="18"/>
          <w:lang w:val="fr-FR"/>
        </w:rPr>
        <w:t>Les chiffres entre parenthèses indiquent le pourcentage (%) en valeur des projets relatifs à l</w:t>
      </w:r>
      <w:r w:rsidR="00277023">
        <w:rPr>
          <w:sz w:val="18"/>
          <w:szCs w:val="18"/>
          <w:lang w:val="fr-FR"/>
        </w:rPr>
        <w:t>’</w:t>
      </w:r>
      <w:r w:rsidR="00365506" w:rsidRPr="00365506">
        <w:rPr>
          <w:sz w:val="18"/>
          <w:szCs w:val="18"/>
          <w:lang w:val="fr-FR"/>
        </w:rPr>
        <w:t>éducation par rapport à l</w:t>
      </w:r>
      <w:r w:rsidR="00277023">
        <w:rPr>
          <w:sz w:val="18"/>
          <w:szCs w:val="18"/>
          <w:lang w:val="fr-FR"/>
        </w:rPr>
        <w:t>’</w:t>
      </w:r>
      <w:r w:rsidR="00365506" w:rsidRPr="00365506">
        <w:rPr>
          <w:sz w:val="18"/>
          <w:szCs w:val="18"/>
          <w:lang w:val="fr-FR"/>
        </w:rPr>
        <w:t>ensemble des projets, compte non tenu des remises de dettes, des programmes d</w:t>
      </w:r>
      <w:r w:rsidR="00277023">
        <w:rPr>
          <w:sz w:val="18"/>
          <w:szCs w:val="18"/>
          <w:lang w:val="fr-FR"/>
        </w:rPr>
        <w:t>’</w:t>
      </w:r>
      <w:r w:rsidR="00365506" w:rsidRPr="00365506">
        <w:rPr>
          <w:sz w:val="18"/>
          <w:szCs w:val="18"/>
          <w:lang w:val="fr-FR"/>
        </w:rPr>
        <w:t>aide autre que des projets, des subventions accordées à des projets locaux et des bourses accordées à des étudiants faisant leurs études à l</w:t>
      </w:r>
      <w:r w:rsidR="00277023">
        <w:rPr>
          <w:sz w:val="18"/>
          <w:szCs w:val="18"/>
          <w:lang w:val="fr-FR"/>
        </w:rPr>
        <w:t>’</w:t>
      </w:r>
      <w:r w:rsidR="00365506" w:rsidRPr="00365506">
        <w:rPr>
          <w:sz w:val="18"/>
          <w:szCs w:val="18"/>
          <w:lang w:val="fr-FR"/>
        </w:rPr>
        <w:t>étranger.</w:t>
      </w:r>
    </w:p>
    <w:p w:rsidR="00B17D2A" w:rsidRPr="00B17D2A" w:rsidRDefault="00B17D2A" w:rsidP="00B17D2A">
      <w:pPr>
        <w:pStyle w:val="SingleTxtG"/>
        <w:rPr>
          <w:lang w:val="fr-FR"/>
        </w:rPr>
      </w:pPr>
      <w:r w:rsidRPr="00B17D2A">
        <w:rPr>
          <w:lang w:val="fr-FR"/>
        </w:rPr>
        <w:t>(Base de données internationale sur la pornographie enfantine</w:t>
      </w:r>
      <w:r>
        <w:rPr>
          <w:lang w:val="fr-FR"/>
        </w:rPr>
        <w:t>)</w:t>
      </w:r>
    </w:p>
    <w:p w:rsidR="00B17D2A" w:rsidRPr="00B17D2A" w:rsidRDefault="00B17D2A" w:rsidP="00B17D2A">
      <w:pPr>
        <w:pStyle w:val="SingleTxtG"/>
        <w:rPr>
          <w:lang w:val="fr-FR"/>
        </w:rPr>
      </w:pPr>
      <w:r w:rsidRPr="00B17D2A">
        <w:rPr>
          <w:lang w:val="fr-FR"/>
        </w:rPr>
        <w:t>76.</w:t>
      </w:r>
      <w:r w:rsidRPr="00B17D2A">
        <w:rPr>
          <w:lang w:val="fr-FR"/>
        </w:rPr>
        <w:tab/>
        <w:t xml:space="preserve">Voir paragraphe 569. </w:t>
      </w:r>
    </w:p>
    <w:p w:rsidR="00B17D2A" w:rsidRPr="00B17D2A" w:rsidRDefault="00B17D2A" w:rsidP="00B17D2A">
      <w:pPr>
        <w:pStyle w:val="SingleTxtG"/>
        <w:rPr>
          <w:lang w:val="fr-FR"/>
        </w:rPr>
      </w:pPr>
      <w:r w:rsidRPr="00B17D2A">
        <w:rPr>
          <w:lang w:val="fr-FR"/>
        </w:rPr>
        <w:t xml:space="preserve">(Suivi du Sommet mondial pour les enfants) </w:t>
      </w:r>
    </w:p>
    <w:p w:rsidR="00B17D2A" w:rsidRPr="00B17D2A" w:rsidRDefault="00B17D2A" w:rsidP="00B17D2A">
      <w:pPr>
        <w:pStyle w:val="SingleTxtG"/>
        <w:rPr>
          <w:lang w:val="fr-FR"/>
        </w:rPr>
      </w:pPr>
      <w:r w:rsidRPr="00B17D2A">
        <w:rPr>
          <w:lang w:val="fr-FR"/>
        </w:rPr>
        <w:t>77.</w:t>
      </w:r>
      <w:r w:rsidRPr="00B17D2A">
        <w:rPr>
          <w:lang w:val="fr-FR"/>
        </w:rPr>
        <w:tab/>
        <w:t>Voir paragraphe 31.</w:t>
      </w:r>
    </w:p>
    <w:p w:rsidR="00B17D2A" w:rsidRPr="00B17D2A" w:rsidRDefault="00B17D2A" w:rsidP="00B17D2A">
      <w:pPr>
        <w:pStyle w:val="H1G"/>
        <w:rPr>
          <w:lang w:val="fr-FR"/>
        </w:rPr>
      </w:pPr>
      <w:r>
        <w:rPr>
          <w:lang w:val="fr-FR"/>
        </w:rPr>
        <w:tab/>
        <w:t>L.</w:t>
      </w:r>
      <w:r>
        <w:rPr>
          <w:lang w:val="fr-FR"/>
        </w:rPr>
        <w:tab/>
      </w:r>
      <w:r w:rsidRPr="00B17D2A">
        <w:rPr>
          <w:lang w:val="fr-FR"/>
        </w:rPr>
        <w:t xml:space="preserve">Activités de relations publiques en faveur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(article 42)</w:t>
      </w:r>
    </w:p>
    <w:p w:rsidR="00B17D2A" w:rsidRPr="00B17D2A" w:rsidRDefault="00B17D2A" w:rsidP="00B17D2A">
      <w:pPr>
        <w:pStyle w:val="H23G"/>
        <w:rPr>
          <w:lang w:val="fr-FR"/>
        </w:rPr>
      </w:pPr>
      <w:r>
        <w:rPr>
          <w:lang w:val="fr-FR"/>
        </w:rPr>
        <w:tab/>
        <w:t>a)</w:t>
      </w:r>
      <w:r>
        <w:rPr>
          <w:lang w:val="fr-FR"/>
        </w:rPr>
        <w:tab/>
      </w:r>
      <w:r w:rsidRPr="00B17D2A">
        <w:rPr>
          <w:lang w:val="fr-FR"/>
        </w:rPr>
        <w:t xml:space="preserve">Activités de relations publiques en faveur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w:t>
      </w:r>
    </w:p>
    <w:p w:rsidR="00B17D2A" w:rsidRPr="00B17D2A" w:rsidRDefault="00B17D2A" w:rsidP="00B17D2A">
      <w:pPr>
        <w:pStyle w:val="SingleTxtG"/>
        <w:rPr>
          <w:lang w:val="fr-FR"/>
        </w:rPr>
      </w:pPr>
      <w:r w:rsidRPr="00B17D2A">
        <w:rPr>
          <w:lang w:val="fr-FR"/>
        </w:rPr>
        <w:t xml:space="preserve">(Traduction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dans plusieurs langues étrangères et traduction dans des langues étrangères utilisées par de nombreux étrangers résidant au en Japon) </w:t>
      </w:r>
    </w:p>
    <w:p w:rsidR="00B17D2A" w:rsidRPr="00B17D2A" w:rsidRDefault="00B17D2A" w:rsidP="00B17D2A">
      <w:pPr>
        <w:pStyle w:val="SingleTxtG"/>
        <w:rPr>
          <w:lang w:val="fr-FR"/>
        </w:rPr>
      </w:pPr>
      <w:r w:rsidRPr="00B17D2A">
        <w:rPr>
          <w:lang w:val="fr-FR"/>
        </w:rPr>
        <w:t>78.</w:t>
      </w:r>
      <w:r w:rsidRPr="00B17D2A">
        <w:rPr>
          <w:lang w:val="fr-FR"/>
        </w:rPr>
        <w:tab/>
        <w:t xml:space="preserve">Voir paragraphe 58 du deuxième rapport du Japon. </w:t>
      </w:r>
    </w:p>
    <w:p w:rsidR="00B17D2A" w:rsidRPr="00B17D2A" w:rsidRDefault="00B17D2A" w:rsidP="00B17D2A">
      <w:pPr>
        <w:pStyle w:val="SingleTxtG"/>
        <w:rPr>
          <w:lang w:val="fr-FR"/>
        </w:rPr>
      </w:pPr>
      <w:r w:rsidRPr="00B17D2A">
        <w:rPr>
          <w:lang w:val="fr-FR"/>
        </w:rPr>
        <w:t>(Relations publiques à travers diverses activités selon un calendrier établi)</w:t>
      </w:r>
    </w:p>
    <w:p w:rsidR="00B17D2A" w:rsidRPr="00B17D2A" w:rsidRDefault="00B17D2A" w:rsidP="00B17D2A">
      <w:pPr>
        <w:pStyle w:val="SingleTxtG"/>
        <w:rPr>
          <w:lang w:val="fr-FR"/>
        </w:rPr>
      </w:pPr>
      <w:r w:rsidRPr="00B17D2A">
        <w:rPr>
          <w:lang w:val="fr-FR"/>
        </w:rPr>
        <w:t>79.</w:t>
      </w:r>
      <w:r w:rsidRPr="00B17D2A">
        <w:rPr>
          <w:lang w:val="fr-FR"/>
        </w:rPr>
        <w:tab/>
      </w:r>
      <w:smartTag w:uri="urn:schemas-microsoft-com:office:smarttags" w:element="PersonName">
        <w:smartTagPr>
          <w:attr w:name="ProductID" w:val="la Politique"/>
        </w:smartTagPr>
        <w:r w:rsidRPr="00B17D2A">
          <w:rPr>
            <w:lang w:val="fr-FR"/>
          </w:rPr>
          <w:t>La Politique</w:t>
        </w:r>
      </w:smartTag>
      <w:r w:rsidRPr="00B17D2A">
        <w:rPr>
          <w:lang w:val="fr-FR"/>
        </w:rPr>
        <w:t xml:space="preserve"> nationale en faveur de la jeunesse</w:t>
      </w:r>
      <w:r w:rsidR="00EA1115">
        <w:rPr>
          <w:lang w:val="fr-FR"/>
        </w:rPr>
        <w:t xml:space="preserve"> </w:t>
      </w:r>
      <w:r w:rsidRPr="00B17D2A">
        <w:rPr>
          <w:lang w:val="fr-FR"/>
        </w:rPr>
        <w:t xml:space="preserve">comprend des engagements à promouvoir convenablement des mesures allant dans le sens du respect et de la protection des droits fondamentaux des jeunes, ainsi que le stipule </w:t>
      </w:r>
      <w:smartTag w:uri="urn:schemas-microsoft-com:office:smarttags" w:element="PersonName">
        <w:smartTagPr>
          <w:attr w:name="ProductID" w:val="LA CONVENTION"/>
        </w:smartTagPr>
        <w:r w:rsidRPr="00B17D2A">
          <w:rPr>
            <w:lang w:val="fr-FR"/>
          </w:rPr>
          <w:t>la Convention</w:t>
        </w:r>
      </w:smartTag>
      <w:r w:rsidRPr="00B17D2A">
        <w:rPr>
          <w:lang w:val="fr-FR"/>
        </w:rPr>
        <w:t>, et à se livrer à des activités de relations publiques et de promotion concernant cette Convention, en vue d</w:t>
      </w:r>
      <w:r w:rsidR="00277023">
        <w:rPr>
          <w:lang w:val="fr-FR"/>
        </w:rPr>
        <w:t>’</w:t>
      </w:r>
      <w:r w:rsidRPr="00B17D2A">
        <w:rPr>
          <w:lang w:val="fr-FR"/>
        </w:rPr>
        <w:t>informer précisément et de sensibiliser le public. Les pouvoirs publics poursuivent activement ces activités dans la ligne de cette Politique. Dans le même esprit, le Bureau du Cabinet soutient les activités de relations publiques et de sensibilisation auprès de toutes les parties concernées en les intégrant dans les questions devant être examinées à l</w:t>
      </w:r>
      <w:r w:rsidR="00277023">
        <w:rPr>
          <w:lang w:val="fr-FR"/>
        </w:rPr>
        <w:t>’</w:t>
      </w:r>
      <w:r w:rsidRPr="00B17D2A">
        <w:rPr>
          <w:lang w:val="fr-FR"/>
        </w:rPr>
        <w:t>occasion du mois national pour une saine éducation de la jeunesse (novembre de chaque année).</w:t>
      </w:r>
    </w:p>
    <w:p w:rsidR="00B17D2A" w:rsidRPr="00B17D2A" w:rsidRDefault="00B17D2A" w:rsidP="00B17D2A">
      <w:pPr>
        <w:pStyle w:val="SingleTxtG"/>
        <w:rPr>
          <w:lang w:val="fr-FR"/>
        </w:rPr>
      </w:pPr>
      <w:r w:rsidRPr="00B17D2A">
        <w:rPr>
          <w:lang w:val="fr-FR"/>
        </w:rPr>
        <w:t>80.</w:t>
      </w:r>
      <w:r w:rsidRPr="00B17D2A">
        <w:rPr>
          <w:lang w:val="fr-FR"/>
        </w:rPr>
        <w:tab/>
        <w:t>Soucieux de sensibiliser davantage le public au principe de la protection de l</w:t>
      </w:r>
      <w:r w:rsidR="00277023">
        <w:rPr>
          <w:lang w:val="fr-FR"/>
        </w:rPr>
        <w:t>’</w:t>
      </w:r>
      <w:r w:rsidRPr="00B17D2A">
        <w:rPr>
          <w:lang w:val="fr-FR"/>
        </w:rPr>
        <w:t>enfance et de l</w:t>
      </w:r>
      <w:r w:rsidR="00277023">
        <w:rPr>
          <w:lang w:val="fr-FR"/>
        </w:rPr>
        <w:t>’</w:t>
      </w:r>
      <w:r w:rsidRPr="00B17D2A">
        <w:rPr>
          <w:lang w:val="fr-FR"/>
        </w:rPr>
        <w:t xml:space="preserve">intéresser aux questions relatives aux enfants, le Ministère de la santé, du travail et de la protection sociale a désigné la semaine du 5 au 11 mai </w:t>
      </w:r>
      <w:r w:rsidR="008E49D4">
        <w:rPr>
          <w:lang w:val="fr-FR"/>
        </w:rPr>
        <w:t>“</w:t>
      </w:r>
      <w:r w:rsidRPr="00B17D2A">
        <w:rPr>
          <w:lang w:val="fr-FR"/>
        </w:rPr>
        <w:t>Semaine de la protection de l</w:t>
      </w:r>
      <w:r w:rsidR="00277023">
        <w:rPr>
          <w:lang w:val="fr-FR"/>
        </w:rPr>
        <w:t>’</w:t>
      </w:r>
      <w:r w:rsidRPr="00B17D2A">
        <w:rPr>
          <w:lang w:val="fr-FR"/>
        </w:rPr>
        <w:t>enfance</w:t>
      </w:r>
      <w:r w:rsidR="008E49D4">
        <w:rPr>
          <w:lang w:val="fr-FR"/>
        </w:rPr>
        <w:t>”</w:t>
      </w:r>
      <w:r w:rsidRPr="00B17D2A">
        <w:rPr>
          <w:lang w:val="fr-FR"/>
        </w:rPr>
        <w:t xml:space="preserve"> et intégré la sensibilisation du public à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parmi les thèmes retenus afin de promouvoir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w:t>
      </w:r>
    </w:p>
    <w:p w:rsidR="00B17D2A" w:rsidRPr="00B17D2A" w:rsidRDefault="00B17D2A" w:rsidP="00B17D2A">
      <w:pPr>
        <w:pStyle w:val="SingleTxtG"/>
        <w:rPr>
          <w:lang w:val="fr-FR"/>
        </w:rPr>
      </w:pPr>
      <w:r w:rsidRPr="00B17D2A">
        <w:rPr>
          <w:lang w:val="fr-FR"/>
        </w:rPr>
        <w:t>(Relations publiques sur des sites Web)</w:t>
      </w:r>
    </w:p>
    <w:p w:rsidR="00B17D2A" w:rsidRPr="00B17D2A" w:rsidRDefault="00B17D2A" w:rsidP="00B17D2A">
      <w:pPr>
        <w:pStyle w:val="SingleTxtG"/>
        <w:rPr>
          <w:lang w:val="fr-FR"/>
        </w:rPr>
      </w:pPr>
      <w:r w:rsidRPr="00B17D2A">
        <w:rPr>
          <w:lang w:val="fr-FR"/>
        </w:rPr>
        <w:t>81.</w:t>
      </w:r>
      <w:r w:rsidRPr="00B17D2A">
        <w:rPr>
          <w:lang w:val="fr-FR"/>
        </w:rPr>
        <w:tab/>
        <w:t xml:space="preserve">Voir paragraphe 59 du deuxième rapport du Japon. </w:t>
      </w:r>
    </w:p>
    <w:p w:rsidR="00B17D2A" w:rsidRPr="00B17D2A" w:rsidRDefault="00B17D2A" w:rsidP="00B17D2A">
      <w:pPr>
        <w:pStyle w:val="SingleTxtG"/>
        <w:rPr>
          <w:lang w:val="fr-FR"/>
        </w:rPr>
      </w:pPr>
      <w:r w:rsidRPr="00B17D2A">
        <w:rPr>
          <w:lang w:val="fr-FR"/>
        </w:rPr>
        <w:t>82.</w:t>
      </w:r>
      <w:r w:rsidRPr="00B17D2A">
        <w:rPr>
          <w:lang w:val="fr-FR"/>
        </w:rPr>
        <w:tab/>
        <w:t>Le Comité japonais pour l</w:t>
      </w:r>
      <w:r w:rsidR="00277023">
        <w:rPr>
          <w:lang w:val="fr-FR"/>
        </w:rPr>
        <w:t>’</w:t>
      </w:r>
      <w:r w:rsidRPr="00B17D2A">
        <w:rPr>
          <w:lang w:val="fr-FR"/>
        </w:rPr>
        <w:t xml:space="preserve">UNICEF a traduit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dans un japonais simplifié pour assurer que les enfants, qui sont au cœur de </w:t>
      </w:r>
      <w:smartTag w:uri="urn:schemas-microsoft-com:office:smarttags" w:element="PersonName">
        <w:smartTagPr>
          <w:attr w:name="ProductID" w:val="LA CONVENTION"/>
        </w:smartTagPr>
        <w:r w:rsidRPr="00B17D2A">
          <w:rPr>
            <w:lang w:val="fr-FR"/>
          </w:rPr>
          <w:t>la Convention</w:t>
        </w:r>
      </w:smartTag>
      <w:r w:rsidRPr="00B17D2A">
        <w:rPr>
          <w:lang w:val="fr-FR"/>
        </w:rPr>
        <w:t>, puissent en comprendre le contenu, et un lien a été posté sur la page d</w:t>
      </w:r>
      <w:r w:rsidR="00277023">
        <w:rPr>
          <w:lang w:val="fr-FR"/>
        </w:rPr>
        <w:t>’</w:t>
      </w:r>
      <w:r w:rsidRPr="00B17D2A">
        <w:rPr>
          <w:lang w:val="fr-FR"/>
        </w:rPr>
        <w:t xml:space="preserve">accueil de </w:t>
      </w:r>
      <w:r w:rsidRPr="00B17D2A">
        <w:rPr>
          <w:i/>
          <w:lang w:val="fr-FR"/>
        </w:rPr>
        <w:t>Kids Gaimusho</w:t>
      </w:r>
      <w:r w:rsidRPr="00B17D2A">
        <w:rPr>
          <w:lang w:val="fr-FR"/>
        </w:rPr>
        <w:t xml:space="preserve"> (Ministère des affaires étrangères pour les enfants), permettant ainsi aux enfants d</w:t>
      </w:r>
      <w:r w:rsidR="00277023">
        <w:rPr>
          <w:lang w:val="fr-FR"/>
        </w:rPr>
        <w:t>’</w:t>
      </w:r>
      <w:r w:rsidRPr="00B17D2A">
        <w:rPr>
          <w:lang w:val="fr-FR"/>
        </w:rPr>
        <w:t>avoir accès au site du Comité japonais pour l</w:t>
      </w:r>
      <w:r w:rsidR="00277023">
        <w:rPr>
          <w:lang w:val="fr-FR"/>
        </w:rPr>
        <w:t>’</w:t>
      </w:r>
      <w:r w:rsidRPr="00B17D2A">
        <w:rPr>
          <w:lang w:val="fr-FR"/>
        </w:rPr>
        <w:t xml:space="preserve">UNICEF. </w:t>
      </w:r>
    </w:p>
    <w:p w:rsidR="00B17D2A" w:rsidRPr="00B17D2A" w:rsidRDefault="00B17D2A" w:rsidP="00B17D2A">
      <w:pPr>
        <w:pStyle w:val="SingleTxtG"/>
        <w:rPr>
          <w:lang w:val="fr-FR"/>
        </w:rPr>
      </w:pPr>
      <w:r w:rsidRPr="00B17D2A">
        <w:rPr>
          <w:lang w:val="fr-FR"/>
        </w:rPr>
        <w:t>(Relations publiques par les publications)</w:t>
      </w:r>
    </w:p>
    <w:p w:rsidR="00B17D2A" w:rsidRPr="00B17D2A" w:rsidRDefault="00B17D2A" w:rsidP="00B17D2A">
      <w:pPr>
        <w:pStyle w:val="SingleTxtG"/>
        <w:rPr>
          <w:lang w:val="fr-FR"/>
        </w:rPr>
      </w:pPr>
      <w:r w:rsidRPr="00B17D2A">
        <w:rPr>
          <w:lang w:val="fr-FR"/>
        </w:rPr>
        <w:t>83.</w:t>
      </w:r>
      <w:r w:rsidRPr="00B17D2A">
        <w:rPr>
          <w:lang w:val="fr-FR"/>
        </w:rPr>
        <w:tab/>
        <w:t xml:space="preserve">En mai 2004, un article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a été publié dans le magazine </w:t>
      </w:r>
      <w:r w:rsidRPr="00B17D2A">
        <w:rPr>
          <w:i/>
          <w:lang w:val="fr-FR"/>
        </w:rPr>
        <w:t>Sekai Non Ugoki</w:t>
      </w:r>
      <w:r w:rsidRPr="00B17D2A">
        <w:rPr>
          <w:lang w:val="fr-FR"/>
        </w:rPr>
        <w:t xml:space="preserve"> (Tendances mondiales), un mensuel destiné aux élèves des premier et deuxième cycles de l</w:t>
      </w:r>
      <w:r w:rsidR="00277023">
        <w:rPr>
          <w:lang w:val="fr-FR"/>
        </w:rPr>
        <w:t>’</w:t>
      </w:r>
      <w:r w:rsidRPr="00B17D2A">
        <w:rPr>
          <w:lang w:val="fr-FR"/>
        </w:rPr>
        <w:t>enseignement secondaire, auquel le Ministère des affaires étrangères apporte une aide rédactionnelle (tirage de 20.000 exemplaires). De plus, en mars 2005, 20</w:t>
      </w:r>
      <w:r w:rsidR="008E49D4">
        <w:rPr>
          <w:lang w:val="fr-FR"/>
        </w:rPr>
        <w:t>.</w:t>
      </w:r>
      <w:r w:rsidRPr="00B17D2A">
        <w:rPr>
          <w:lang w:val="fr-FR"/>
        </w:rPr>
        <w:t xml:space="preserve">000 brochures portant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ont été publiées et distribuées aux personnes et institutions concernées</w:t>
      </w:r>
      <w:r w:rsidR="00277023">
        <w:rPr>
          <w:lang w:val="fr-FR"/>
        </w:rPr>
        <w:t>;</w:t>
      </w:r>
      <w:r w:rsidRPr="00B17D2A">
        <w:rPr>
          <w:lang w:val="fr-FR"/>
        </w:rPr>
        <w:t xml:space="preserve"> ces brochures présentaient les versions intégrales du Protocole facultatif à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 concernant l</w:t>
      </w:r>
      <w:r w:rsidR="00277023">
        <w:rPr>
          <w:lang w:val="fr-FR"/>
        </w:rPr>
        <w:t>’</w:t>
      </w:r>
      <w:r w:rsidRPr="00B17D2A">
        <w:rPr>
          <w:lang w:val="fr-FR"/>
        </w:rPr>
        <w:t>implication d</w:t>
      </w:r>
      <w:r w:rsidR="00277023">
        <w:rPr>
          <w:lang w:val="fr-FR"/>
        </w:rPr>
        <w:t>’</w:t>
      </w:r>
      <w:r w:rsidRPr="00B17D2A">
        <w:rPr>
          <w:lang w:val="fr-FR"/>
        </w:rPr>
        <w:t>enfants dans les conflits armés et du Protocole facultatif concernant la vente d</w:t>
      </w:r>
      <w:r w:rsidR="00277023">
        <w:rPr>
          <w:lang w:val="fr-FR"/>
        </w:rPr>
        <w:t>’</w:t>
      </w:r>
      <w:r w:rsidRPr="00B17D2A">
        <w:rPr>
          <w:lang w:val="fr-FR"/>
        </w:rPr>
        <w:t>enfants, la prostitution des enfants et la pornographie mettant en scène des enfants, ratifiés par le Japon.</w:t>
      </w:r>
    </w:p>
    <w:p w:rsidR="00B17D2A" w:rsidRPr="00B17D2A" w:rsidRDefault="00B17D2A" w:rsidP="00B17D2A">
      <w:pPr>
        <w:pStyle w:val="SingleTxtG"/>
        <w:rPr>
          <w:lang w:val="fr-FR"/>
        </w:rPr>
      </w:pPr>
      <w:r w:rsidRPr="00B17D2A">
        <w:rPr>
          <w:lang w:val="fr-FR"/>
        </w:rPr>
        <w:t>84.</w:t>
      </w:r>
      <w:r w:rsidRPr="00B17D2A">
        <w:rPr>
          <w:lang w:val="fr-FR"/>
        </w:rPr>
        <w:tab/>
        <w:t>Depuis 1998, année de publication des observations finales du Comité des droits de l</w:t>
      </w:r>
      <w:r w:rsidR="00277023">
        <w:rPr>
          <w:lang w:val="fr-FR"/>
        </w:rPr>
        <w:t>’</w:t>
      </w:r>
      <w:r w:rsidRPr="00B17D2A">
        <w:rPr>
          <w:lang w:val="fr-FR"/>
        </w:rPr>
        <w:t xml:space="preserve">enfant en réponse au rapport initial du Japon, le Bureau du Cabinet a intégré chaque année un résumé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et l</w:t>
      </w:r>
      <w:r w:rsidR="00277023">
        <w:rPr>
          <w:lang w:val="fr-FR"/>
        </w:rPr>
        <w:t>’</w:t>
      </w:r>
      <w:r w:rsidRPr="00B17D2A">
        <w:rPr>
          <w:lang w:val="fr-FR"/>
        </w:rPr>
        <w:t>intégralité des observations finales du Comité dans le Livre blanc sur la jeunesse. De plus, il s</w:t>
      </w:r>
      <w:r w:rsidR="00277023">
        <w:rPr>
          <w:lang w:val="fr-FR"/>
        </w:rPr>
        <w:t>’</w:t>
      </w:r>
      <w:r w:rsidRPr="00B17D2A">
        <w:rPr>
          <w:lang w:val="fr-FR"/>
        </w:rPr>
        <w:t xml:space="preserve">est récemment employé à sensibiliser le public en distribuant la brochure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lors les réunions où se retrouvent des responsables de l</w:t>
      </w:r>
      <w:r w:rsidR="00277023">
        <w:rPr>
          <w:lang w:val="fr-FR"/>
        </w:rPr>
        <w:t>’</w:t>
      </w:r>
      <w:r w:rsidRPr="00B17D2A">
        <w:rPr>
          <w:lang w:val="fr-FR"/>
        </w:rPr>
        <w:t>administration de la jeunesse de préfectures ou de villes désignées.</w:t>
      </w:r>
    </w:p>
    <w:p w:rsidR="00B17D2A" w:rsidRPr="00B17D2A" w:rsidRDefault="00B17D2A" w:rsidP="00B17D2A">
      <w:pPr>
        <w:pStyle w:val="SingleTxtG"/>
        <w:rPr>
          <w:lang w:val="fr-FR"/>
        </w:rPr>
      </w:pPr>
      <w:r w:rsidRPr="00B17D2A">
        <w:rPr>
          <w:lang w:val="fr-FR"/>
        </w:rPr>
        <w:t>85.</w:t>
      </w:r>
      <w:r w:rsidRPr="00B17D2A">
        <w:rPr>
          <w:lang w:val="fr-FR"/>
        </w:rPr>
        <w:tab/>
        <w:t>En 2005, les organes de défense des droits de l</w:t>
      </w:r>
      <w:r w:rsidR="00277023">
        <w:rPr>
          <w:lang w:val="fr-FR"/>
        </w:rPr>
        <w:t>’</w:t>
      </w:r>
      <w:r w:rsidRPr="00B17D2A">
        <w:rPr>
          <w:lang w:val="fr-FR"/>
        </w:rPr>
        <w:t xml:space="preserve">homme du Ministère de la justice ont édité une brochure intitulée </w:t>
      </w:r>
      <w:r w:rsidR="008E49D4">
        <w:rPr>
          <w:lang w:val="fr-FR"/>
        </w:rPr>
        <w:t>“</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 et les droits des enfants</w:t>
      </w:r>
      <w:r w:rsidR="008E49D4">
        <w:rPr>
          <w:lang w:val="fr-FR"/>
        </w:rPr>
        <w:t>”</w:t>
      </w:r>
      <w:r w:rsidRPr="00B17D2A">
        <w:rPr>
          <w:lang w:val="fr-FR"/>
        </w:rPr>
        <w:t xml:space="preserve">, qui explique le contenu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en des termes simples afin que les enfants puissent la comprendre. Cent mille exemplaires ont été imprimés et distribués dans les écoles aux enfants et aux personnes qui en ont la charge. De plus, une vidéo publicitaire intitulée </w:t>
      </w:r>
      <w:r w:rsidR="008E49D4">
        <w:rPr>
          <w:lang w:val="fr-FR"/>
        </w:rPr>
        <w:t>“</w:t>
      </w:r>
      <w:r w:rsidRPr="00B17D2A">
        <w:rPr>
          <w:lang w:val="fr-FR"/>
        </w:rPr>
        <w:t>Notre déclaration des droits de l</w:t>
      </w:r>
      <w:r w:rsidR="00277023">
        <w:rPr>
          <w:lang w:val="fr-FR"/>
        </w:rPr>
        <w:t>’</w:t>
      </w:r>
      <w:r w:rsidRPr="00B17D2A">
        <w:rPr>
          <w:lang w:val="fr-FR"/>
        </w:rPr>
        <w:t>homme</w:t>
      </w:r>
      <w:r w:rsidR="00277023">
        <w:rPr>
          <w:lang w:val="fr-FR"/>
        </w:rPr>
        <w:t>:</w:t>
      </w:r>
      <w:r w:rsidRPr="00B17D2A">
        <w:rPr>
          <w:lang w:val="fr-FR"/>
        </w:rPr>
        <w:t xml:space="preserve"> le nouvel étudiant est une mamie!?</w:t>
      </w:r>
      <w:r w:rsidR="008E49D4">
        <w:rPr>
          <w:lang w:val="fr-FR"/>
        </w:rPr>
        <w:t>”</w:t>
      </w:r>
      <w:r w:rsidRPr="00B17D2A">
        <w:rPr>
          <w:lang w:val="fr-FR"/>
        </w:rPr>
        <w:t xml:space="preserve"> portant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 a été produite et distribuée aux bureaux des affaires juridiques nationaux et de district et aux collectivités locales de tout le pays afin d</w:t>
      </w:r>
      <w:r w:rsidR="00277023">
        <w:rPr>
          <w:lang w:val="fr-FR"/>
        </w:rPr>
        <w:t>’</w:t>
      </w:r>
      <w:r w:rsidRPr="00B17D2A">
        <w:rPr>
          <w:lang w:val="fr-FR"/>
        </w:rPr>
        <w:t xml:space="preserve">informer le public. </w:t>
      </w:r>
    </w:p>
    <w:p w:rsidR="00B17D2A" w:rsidRPr="00B17D2A" w:rsidRDefault="00B17D2A" w:rsidP="00B17D2A">
      <w:pPr>
        <w:pStyle w:val="SingleTxtG"/>
        <w:rPr>
          <w:lang w:val="fr-FR"/>
        </w:rPr>
      </w:pPr>
      <w:r w:rsidRPr="00B17D2A">
        <w:rPr>
          <w:lang w:val="fr-FR"/>
        </w:rPr>
        <w:t>(Relations publiques à travers des manifestations)</w:t>
      </w:r>
    </w:p>
    <w:p w:rsidR="00B17D2A" w:rsidRPr="00B17D2A" w:rsidRDefault="00B17D2A" w:rsidP="00B17D2A">
      <w:pPr>
        <w:pStyle w:val="SingleTxtG"/>
        <w:rPr>
          <w:lang w:val="fr-FR"/>
        </w:rPr>
      </w:pPr>
      <w:r w:rsidRPr="00B17D2A">
        <w:rPr>
          <w:lang w:val="fr-FR"/>
        </w:rPr>
        <w:t>86.</w:t>
      </w:r>
      <w:r w:rsidRPr="00B17D2A">
        <w:rPr>
          <w:lang w:val="fr-FR"/>
        </w:rPr>
        <w:tab/>
        <w:t xml:space="preserve">En mars 2004, le Japon a invité des membres de </w:t>
      </w:r>
      <w:smartTag w:uri="urn:schemas-microsoft-com:office:smarttags" w:element="PersonName">
        <w:smartTagPr>
          <w:attr w:name="ProductID" w:val="la Di￨te"/>
        </w:smartTagPr>
        <w:r w:rsidRPr="00B17D2A">
          <w:rPr>
            <w:lang w:val="fr-FR"/>
          </w:rPr>
          <w:t>la Diète</w:t>
        </w:r>
      </w:smartTag>
      <w:r w:rsidRPr="00B17D2A">
        <w:rPr>
          <w:lang w:val="fr-FR"/>
        </w:rPr>
        <w:t xml:space="preserve">, des spécialistes des enfants et des personnalités à un symposium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en commémoration du dixième anniversaire de sa ratification (environ 3.000 participants). Ce symposium a permis de mieux faire connaître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à un large public et d</w:t>
      </w:r>
      <w:r w:rsidR="00277023">
        <w:rPr>
          <w:lang w:val="fr-FR"/>
        </w:rPr>
        <w:t>’</w:t>
      </w:r>
      <w:r w:rsidRPr="00B17D2A">
        <w:rPr>
          <w:lang w:val="fr-FR"/>
        </w:rPr>
        <w:t xml:space="preserve">en approfondir la compréhension. </w:t>
      </w:r>
    </w:p>
    <w:p w:rsidR="00B17D2A" w:rsidRPr="00B17D2A" w:rsidRDefault="00B17D2A" w:rsidP="00B17D2A">
      <w:pPr>
        <w:pStyle w:val="SingleTxtG"/>
        <w:rPr>
          <w:lang w:val="fr-FR"/>
        </w:rPr>
      </w:pPr>
      <w:r w:rsidRPr="00B17D2A">
        <w:rPr>
          <w:lang w:val="fr-FR"/>
        </w:rPr>
        <w:t>87.</w:t>
      </w:r>
      <w:r w:rsidRPr="00B17D2A">
        <w:rPr>
          <w:lang w:val="fr-FR"/>
        </w:rPr>
        <w:tab/>
        <w:t xml:space="preserve">Le Ministère des affaires étrangères apporte son concours en parrainant des manifestations liées à </w:t>
      </w:r>
      <w:smartTag w:uri="urn:schemas-microsoft-com:office:smarttags" w:element="PersonName">
        <w:smartTagPr>
          <w:attr w:name="ProductID" w:val="LA CONVENTION"/>
        </w:smartTagPr>
        <w:r w:rsidRPr="00B17D2A">
          <w:rPr>
            <w:lang w:val="fr-FR"/>
          </w:rPr>
          <w:t>la Convention</w:t>
        </w:r>
      </w:smartTag>
      <w:r w:rsidRPr="00B17D2A">
        <w:rPr>
          <w:lang w:val="fr-FR"/>
        </w:rPr>
        <w:t>, organisées par des ONG civiles avec la participation des membres du Comité des droits de l</w:t>
      </w:r>
      <w:r w:rsidR="00277023">
        <w:rPr>
          <w:lang w:val="fr-FR"/>
        </w:rPr>
        <w:t>’</w:t>
      </w:r>
      <w:r w:rsidRPr="00B17D2A">
        <w:rPr>
          <w:lang w:val="fr-FR"/>
        </w:rPr>
        <w:t>enfant. En octobre 2005, le Ministère des affaires étrangères a invité certains membres du Comité à participer à une réunion coorganisée par le Ministère, la société civile et des ONG en vue d</w:t>
      </w:r>
      <w:r w:rsidR="00277023">
        <w:rPr>
          <w:lang w:val="fr-FR"/>
        </w:rPr>
        <w:t>’</w:t>
      </w:r>
      <w:r w:rsidRPr="00B17D2A">
        <w:rPr>
          <w:lang w:val="fr-FR"/>
        </w:rPr>
        <w:t xml:space="preserve">échanger des vues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avec des membres de </w:t>
      </w:r>
      <w:smartTag w:uri="urn:schemas-microsoft-com:office:smarttags" w:element="PersonName">
        <w:smartTagPr>
          <w:attr w:name="ProductID" w:val="la Di￨te"/>
        </w:smartTagPr>
        <w:r w:rsidRPr="00B17D2A">
          <w:rPr>
            <w:lang w:val="fr-FR"/>
          </w:rPr>
          <w:t>la Diète</w:t>
        </w:r>
      </w:smartTag>
      <w:r w:rsidRPr="00B17D2A">
        <w:rPr>
          <w:lang w:val="fr-FR"/>
        </w:rPr>
        <w:t>, des ministères, des institutions et des ONG civiles.</w:t>
      </w:r>
    </w:p>
    <w:p w:rsidR="00B17D2A" w:rsidRPr="00B17D2A" w:rsidRDefault="00B17D2A" w:rsidP="00B17D2A">
      <w:pPr>
        <w:pStyle w:val="H23G"/>
        <w:rPr>
          <w:lang w:val="fr-FR"/>
        </w:rPr>
      </w:pPr>
      <w:r>
        <w:rPr>
          <w:lang w:val="fr-FR"/>
        </w:rPr>
        <w:tab/>
        <w:t>b)</w:t>
      </w:r>
      <w:r>
        <w:rPr>
          <w:lang w:val="fr-FR"/>
        </w:rPr>
        <w:tab/>
      </w:r>
      <w:r w:rsidRPr="00B17D2A">
        <w:rPr>
          <w:lang w:val="fr-FR"/>
        </w:rPr>
        <w:t>Organisation de conférences sur les droits de l</w:t>
      </w:r>
      <w:r w:rsidR="00277023">
        <w:rPr>
          <w:lang w:val="fr-FR"/>
        </w:rPr>
        <w:t>’</w:t>
      </w:r>
      <w:r w:rsidRPr="00B17D2A">
        <w:rPr>
          <w:lang w:val="fr-FR"/>
        </w:rPr>
        <w:t>homme dans le cadre des programmes scolaires</w:t>
      </w:r>
    </w:p>
    <w:p w:rsidR="00B17D2A" w:rsidRPr="00B17D2A" w:rsidRDefault="00B17D2A" w:rsidP="00B17D2A">
      <w:pPr>
        <w:pStyle w:val="SingleTxtG"/>
        <w:rPr>
          <w:lang w:val="fr-FR"/>
        </w:rPr>
      </w:pPr>
      <w:r w:rsidRPr="00B17D2A">
        <w:rPr>
          <w:lang w:val="fr-FR"/>
        </w:rPr>
        <w:t>88.</w:t>
      </w:r>
      <w:r w:rsidRPr="00B17D2A">
        <w:rPr>
          <w:lang w:val="fr-FR"/>
        </w:rPr>
        <w:tab/>
        <w:t>Dans les écoles japonaises, les élèves doivent apprendre la signification et le rôle de la législation internationale en matière de droits de l</w:t>
      </w:r>
      <w:r w:rsidR="00277023">
        <w:rPr>
          <w:lang w:val="fr-FR"/>
        </w:rPr>
        <w:t>’</w:t>
      </w:r>
      <w:r w:rsidRPr="00B17D2A">
        <w:rPr>
          <w:lang w:val="fr-FR"/>
        </w:rPr>
        <w:t xml:space="preserve">homme, y compris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 la philosophie du respect des droits fondamentaux et l</w:t>
      </w:r>
      <w:r w:rsidR="00277023">
        <w:rPr>
          <w:lang w:val="fr-FR"/>
        </w:rPr>
        <w:t>’</w:t>
      </w:r>
      <w:r w:rsidRPr="00B17D2A">
        <w:rPr>
          <w:lang w:val="fr-FR"/>
        </w:rPr>
        <w:t>importance de la croissance et du développement des enfants. Les directives pédagogiques partiellement remaniées en 2003 expriment clairement dans leurs règles générales qu</w:t>
      </w:r>
      <w:r w:rsidR="00277023">
        <w:rPr>
          <w:lang w:val="fr-FR"/>
        </w:rPr>
        <w:t>’</w:t>
      </w:r>
      <w:r w:rsidRPr="00B17D2A">
        <w:rPr>
          <w:lang w:val="fr-FR"/>
        </w:rPr>
        <w:t>un sentiment de respect profond de la vie et de la dignité humaine doit régner dans les familles, les écoles et tous les aspects de la vie quotidienne en collectivité. Ce remaniement a donné lieu à une révision des cours de manière à promouvoir davantage l</w:t>
      </w:r>
      <w:r w:rsidR="00277023">
        <w:rPr>
          <w:lang w:val="fr-FR"/>
        </w:rPr>
        <w:t>’</w:t>
      </w:r>
      <w:r w:rsidRPr="00B17D2A">
        <w:rPr>
          <w:lang w:val="fr-FR"/>
        </w:rPr>
        <w:t>éducation aux droits de l</w:t>
      </w:r>
      <w:r w:rsidR="00277023">
        <w:rPr>
          <w:lang w:val="fr-FR"/>
        </w:rPr>
        <w:t>’</w:t>
      </w:r>
      <w:r w:rsidRPr="00B17D2A">
        <w:rPr>
          <w:lang w:val="fr-FR"/>
        </w:rPr>
        <w:t>homme dans toutes les activités scolaires, selon les spécificités de chaque discipline, l</w:t>
      </w:r>
      <w:r w:rsidR="00277023">
        <w:rPr>
          <w:lang w:val="fr-FR"/>
        </w:rPr>
        <w:t>’</w:t>
      </w:r>
      <w:r w:rsidRPr="00B17D2A">
        <w:rPr>
          <w:lang w:val="fr-FR"/>
        </w:rPr>
        <w:t>éthique, les activités spéciales et la durée des travaux d</w:t>
      </w:r>
      <w:r w:rsidR="00277023">
        <w:rPr>
          <w:lang w:val="fr-FR"/>
        </w:rPr>
        <w:t>’</w:t>
      </w:r>
      <w:r w:rsidRPr="00B17D2A">
        <w:rPr>
          <w:lang w:val="fr-FR"/>
        </w:rPr>
        <w:t>étude intégrés. Ainsi, le principe du respect des droits fondamentaux, de l</w:t>
      </w:r>
      <w:r w:rsidR="00277023">
        <w:rPr>
          <w:lang w:val="fr-FR"/>
        </w:rPr>
        <w:t>’</w:t>
      </w:r>
      <w:r w:rsidRPr="00B17D2A">
        <w:rPr>
          <w:lang w:val="fr-FR"/>
        </w:rPr>
        <w:t>importance du droit international en matière de droits de l</w:t>
      </w:r>
      <w:r w:rsidR="00277023">
        <w:rPr>
          <w:lang w:val="fr-FR"/>
        </w:rPr>
        <w:t>’</w:t>
      </w:r>
      <w:r w:rsidRPr="00B17D2A">
        <w:rPr>
          <w:lang w:val="fr-FR"/>
        </w:rPr>
        <w:t>homme et d</w:t>
      </w:r>
      <w:r w:rsidR="00277023">
        <w:rPr>
          <w:lang w:val="fr-FR"/>
        </w:rPr>
        <w:t>’</w:t>
      </w:r>
      <w:r w:rsidRPr="00B17D2A">
        <w:rPr>
          <w:lang w:val="fr-FR"/>
        </w:rPr>
        <w:t>une vie sans discrimination est incorporé dans les cours de sciences sociales du niveau élémentaire et du premier cycle de l</w:t>
      </w:r>
      <w:r w:rsidR="00277023">
        <w:rPr>
          <w:lang w:val="fr-FR"/>
        </w:rPr>
        <w:t>’</w:t>
      </w:r>
      <w:r w:rsidRPr="00B17D2A">
        <w:rPr>
          <w:lang w:val="fr-FR"/>
        </w:rPr>
        <w:t>enseignement secondaire (instruction civique), les cours sur la vie sociale, politique et économique du deuxième cycle de l</w:t>
      </w:r>
      <w:r w:rsidR="00277023">
        <w:rPr>
          <w:lang w:val="fr-FR"/>
        </w:rPr>
        <w:t>’</w:t>
      </w:r>
      <w:r w:rsidRPr="00B17D2A">
        <w:rPr>
          <w:lang w:val="fr-FR"/>
        </w:rPr>
        <w:t xml:space="preserve">enseignement secondaire, et les cours relatifs aux questions morales des établissements élémentaires et du premier cycle du secondaire, et des détails relatifs à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sont également examinés dans le cadre de ces disciplines.</w:t>
      </w:r>
    </w:p>
    <w:p w:rsidR="00B17D2A" w:rsidRPr="00B17D2A" w:rsidRDefault="00B17D2A" w:rsidP="00B17D2A">
      <w:pPr>
        <w:pStyle w:val="H23G"/>
        <w:rPr>
          <w:lang w:val="fr-FR"/>
        </w:rPr>
      </w:pPr>
      <w:r>
        <w:rPr>
          <w:lang w:val="fr-FR"/>
        </w:rPr>
        <w:tab/>
        <w:t>c)</w:t>
      </w:r>
      <w:r>
        <w:rPr>
          <w:lang w:val="fr-FR"/>
        </w:rPr>
        <w:tab/>
      </w:r>
      <w:r w:rsidRPr="00B17D2A">
        <w:rPr>
          <w:lang w:val="fr-FR"/>
        </w:rPr>
        <w:t>Formation des fonctionnaires qui ont affaire aux enfants dans l</w:t>
      </w:r>
      <w:r w:rsidR="00277023">
        <w:rPr>
          <w:lang w:val="fr-FR"/>
        </w:rPr>
        <w:t>’</w:t>
      </w:r>
      <w:r w:rsidRPr="00B17D2A">
        <w:rPr>
          <w:lang w:val="fr-FR"/>
        </w:rPr>
        <w:t>exercice d</w:t>
      </w:r>
      <w:r w:rsidR="00277023">
        <w:rPr>
          <w:lang w:val="fr-FR"/>
        </w:rPr>
        <w:t>e leur activité professionnelle</w:t>
      </w:r>
    </w:p>
    <w:p w:rsidR="00B17D2A" w:rsidRPr="00B17D2A" w:rsidRDefault="00B17D2A" w:rsidP="00B17D2A">
      <w:pPr>
        <w:pStyle w:val="SingleTxtG"/>
        <w:rPr>
          <w:lang w:val="fr-FR"/>
        </w:rPr>
      </w:pPr>
      <w:r w:rsidRPr="00B17D2A">
        <w:rPr>
          <w:lang w:val="fr-FR"/>
        </w:rPr>
        <w:t>(Enseignants)</w:t>
      </w:r>
    </w:p>
    <w:p w:rsidR="00B17D2A" w:rsidRPr="00B17D2A" w:rsidRDefault="00B17D2A" w:rsidP="00B17D2A">
      <w:pPr>
        <w:pStyle w:val="SingleTxtG"/>
        <w:rPr>
          <w:lang w:val="fr-FR"/>
        </w:rPr>
      </w:pPr>
      <w:r w:rsidRPr="00B17D2A">
        <w:rPr>
          <w:lang w:val="fr-FR"/>
        </w:rPr>
        <w:t>89.</w:t>
      </w:r>
      <w:r w:rsidRPr="00B17D2A">
        <w:rPr>
          <w:lang w:val="fr-FR"/>
        </w:rPr>
        <w:tab/>
        <w:t>S</w:t>
      </w:r>
      <w:r w:rsidR="00277023">
        <w:rPr>
          <w:lang w:val="fr-FR"/>
        </w:rPr>
        <w:t>’</w:t>
      </w:r>
      <w:r w:rsidRPr="00B17D2A">
        <w:rPr>
          <w:lang w:val="fr-FR"/>
        </w:rPr>
        <w:t>agissant de la formation des enseignants en exercice, les conseils d</w:t>
      </w:r>
      <w:r w:rsidR="00277023">
        <w:rPr>
          <w:lang w:val="fr-FR"/>
        </w:rPr>
        <w:t>’</w:t>
      </w:r>
      <w:r w:rsidRPr="00B17D2A">
        <w:rPr>
          <w:lang w:val="fr-FR"/>
        </w:rPr>
        <w:t xml:space="preserve">éducation des préfectures offrent une formation prévue par </w:t>
      </w:r>
      <w:smartTag w:uri="urn:schemas-microsoft-com:office:smarttags" w:element="PersonName">
        <w:smartTagPr>
          <w:attr w:name="ProductID" w:val="la Loi"/>
        </w:smartTagPr>
        <w:r w:rsidRPr="00B17D2A">
          <w:rPr>
            <w:lang w:val="fr-FR"/>
          </w:rPr>
          <w:t>la Loi</w:t>
        </w:r>
      </w:smartTag>
      <w:r w:rsidRPr="00B17D2A">
        <w:rPr>
          <w:lang w:val="fr-FR"/>
        </w:rPr>
        <w:t xml:space="preserve"> aux enseignants récemment recrutés, et une formation sur les droits de l</w:t>
      </w:r>
      <w:r w:rsidR="00277023">
        <w:rPr>
          <w:lang w:val="fr-FR"/>
        </w:rPr>
        <w:t>’</w:t>
      </w:r>
      <w:r w:rsidRPr="00B17D2A">
        <w:rPr>
          <w:lang w:val="fr-FR"/>
        </w:rPr>
        <w:t>homme aux enseignants expérimentés en fonction de leur ancienneté. Par ailleurs, le centre national de formation des enseignants, institution administrative indépendante responsable de la mise en œuvre des programmes de formation contrôlés par le Gouvernement, propose une formation comprenant des conférences sur les droits fondamentaux destinée aux enseignants et au personnel de base qui détiennent un rôle majeur au niveau local, dans le but de renforcer l</w:t>
      </w:r>
      <w:r w:rsidR="00277023">
        <w:rPr>
          <w:lang w:val="fr-FR"/>
        </w:rPr>
        <w:t>’</w:t>
      </w:r>
      <w:r w:rsidRPr="00B17D2A">
        <w:rPr>
          <w:lang w:val="fr-FR"/>
        </w:rPr>
        <w:t>éducation aux droits de l</w:t>
      </w:r>
      <w:r w:rsidR="00277023">
        <w:rPr>
          <w:lang w:val="fr-FR"/>
        </w:rPr>
        <w:t>’</w:t>
      </w:r>
      <w:r w:rsidRPr="00B17D2A">
        <w:rPr>
          <w:lang w:val="fr-FR"/>
        </w:rPr>
        <w:t>homme dans l</w:t>
      </w:r>
      <w:r w:rsidR="00277023">
        <w:rPr>
          <w:lang w:val="fr-FR"/>
        </w:rPr>
        <w:t>’</w:t>
      </w:r>
      <w:r w:rsidRPr="00B17D2A">
        <w:rPr>
          <w:lang w:val="fr-FR"/>
        </w:rPr>
        <w:t xml:space="preserve">enseignement scolaire. </w:t>
      </w:r>
    </w:p>
    <w:p w:rsidR="00B17D2A" w:rsidRPr="00B17D2A" w:rsidRDefault="00B17D2A" w:rsidP="00B17D2A">
      <w:pPr>
        <w:pStyle w:val="SingleTxtG"/>
        <w:rPr>
          <w:lang w:val="fr-FR"/>
        </w:rPr>
      </w:pPr>
      <w:r w:rsidRPr="00B17D2A">
        <w:rPr>
          <w:lang w:val="fr-FR"/>
        </w:rPr>
        <w:t>(Fonctionnaires chargés de la protection sociale des enfants)</w:t>
      </w:r>
    </w:p>
    <w:p w:rsidR="00B17D2A" w:rsidRPr="00B17D2A" w:rsidRDefault="00B17D2A" w:rsidP="00B17D2A">
      <w:pPr>
        <w:pStyle w:val="SingleTxtG"/>
        <w:rPr>
          <w:lang w:val="fr-FR"/>
        </w:rPr>
      </w:pPr>
      <w:r w:rsidRPr="00B17D2A">
        <w:rPr>
          <w:lang w:val="fr-FR"/>
        </w:rPr>
        <w:t>90.</w:t>
      </w:r>
      <w:r w:rsidRPr="00B17D2A">
        <w:rPr>
          <w:lang w:val="fr-FR"/>
        </w:rPr>
        <w:tab/>
        <w:t>Les responsables de la protection de l</w:t>
      </w:r>
      <w:r w:rsidR="00277023">
        <w:rPr>
          <w:lang w:val="fr-FR"/>
        </w:rPr>
        <w:t>’</w:t>
      </w:r>
      <w:r w:rsidRPr="00B17D2A">
        <w:rPr>
          <w:lang w:val="fr-FR"/>
        </w:rPr>
        <w:t>enfance qui travaillent dans les centres de guidance infantile, organes administratifs essentiels en matière de protection de l</w:t>
      </w:r>
      <w:r w:rsidR="00277023">
        <w:rPr>
          <w:lang w:val="fr-FR"/>
        </w:rPr>
        <w:t>’</w:t>
      </w:r>
      <w:r w:rsidRPr="00B17D2A">
        <w:rPr>
          <w:lang w:val="fr-FR"/>
        </w:rPr>
        <w:t xml:space="preserve">enfance, sont encouragés à approfondir leur compréhension des objectifs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au cours de sessions de formation organisées pour les nouvelles recrues par divers organismes. Des formations traitant des questions relatives aux enfants telles que la maltraitance sont également proposées au </w:t>
      </w:r>
      <w:r w:rsidR="008E49D4">
        <w:rPr>
          <w:lang w:val="fr-FR"/>
        </w:rPr>
        <w:t>“</w:t>
      </w:r>
      <w:r w:rsidRPr="00B17D2A">
        <w:rPr>
          <w:lang w:val="fr-FR"/>
        </w:rPr>
        <w:t>Children</w:t>
      </w:r>
      <w:r w:rsidR="00277023">
        <w:rPr>
          <w:lang w:val="fr-FR"/>
        </w:rPr>
        <w:t>’</w:t>
      </w:r>
      <w:r w:rsidRPr="00B17D2A">
        <w:rPr>
          <w:lang w:val="fr-FR"/>
        </w:rPr>
        <w:t>s Rainbow Centre</w:t>
      </w:r>
      <w:r w:rsidR="008E49D4">
        <w:rPr>
          <w:lang w:val="fr-FR"/>
        </w:rPr>
        <w:t>”</w:t>
      </w:r>
      <w:r w:rsidRPr="00B17D2A">
        <w:rPr>
          <w:lang w:val="fr-FR"/>
        </w:rPr>
        <w:t>. De même, il est demandé à ceux qui créent et gèrent des crèches (collectivités locales, organismes de protection sociale et autres) d</w:t>
      </w:r>
      <w:r w:rsidR="00277023">
        <w:rPr>
          <w:lang w:val="fr-FR"/>
        </w:rPr>
        <w:t>’</w:t>
      </w:r>
      <w:r w:rsidRPr="00B17D2A">
        <w:rPr>
          <w:lang w:val="fr-FR"/>
        </w:rPr>
        <w:t xml:space="preserve">offrir aux salariés une formation sur les principes et les dispositions de </w:t>
      </w:r>
      <w:smartTag w:uri="urn:schemas-microsoft-com:office:smarttags" w:element="PersonName">
        <w:smartTagPr>
          <w:attr w:name="ProductID" w:val="la Convention. Les"/>
        </w:smartTagPr>
        <w:r w:rsidRPr="00B17D2A">
          <w:rPr>
            <w:lang w:val="fr-FR"/>
          </w:rPr>
          <w:t>la Convention. Les</w:t>
        </w:r>
      </w:smartTag>
      <w:r w:rsidRPr="00B17D2A">
        <w:rPr>
          <w:lang w:val="fr-FR"/>
        </w:rPr>
        <w:t xml:space="preserve"> organisations qui proposent une formation aux employés des crèches, y compris les éducatrices, doivent également offrir une formation sur les principes et les dispositions de </w:t>
      </w:r>
      <w:smartTag w:uri="urn:schemas-microsoft-com:office:smarttags" w:element="PersonName">
        <w:smartTagPr>
          <w:attr w:name="ProductID" w:val="la Convention. Les"/>
        </w:smartTagPr>
        <w:r w:rsidRPr="00B17D2A">
          <w:rPr>
            <w:lang w:val="fr-FR"/>
          </w:rPr>
          <w:t>la Convention. Les</w:t>
        </w:r>
      </w:smartTag>
      <w:r w:rsidRPr="00B17D2A">
        <w:rPr>
          <w:lang w:val="fr-FR"/>
        </w:rPr>
        <w:t xml:space="preserve"> employés des foyers nationaux pour l</w:t>
      </w:r>
      <w:r w:rsidR="00277023">
        <w:rPr>
          <w:lang w:val="fr-FR"/>
        </w:rPr>
        <w:t>’</w:t>
      </w:r>
      <w:r w:rsidRPr="00B17D2A">
        <w:rPr>
          <w:lang w:val="fr-FR"/>
        </w:rPr>
        <w:t>éducation et la formation des jeunes et les autres acteurs de la protection sociale bénéficient d</w:t>
      </w:r>
      <w:r w:rsidR="00277023">
        <w:rPr>
          <w:lang w:val="fr-FR"/>
        </w:rPr>
        <w:t>’</w:t>
      </w:r>
      <w:r w:rsidRPr="00B17D2A">
        <w:rPr>
          <w:lang w:val="fr-FR"/>
        </w:rPr>
        <w:t>une formation initiale d</w:t>
      </w:r>
      <w:r w:rsidR="00277023">
        <w:rPr>
          <w:lang w:val="fr-FR"/>
        </w:rPr>
        <w:t>’</w:t>
      </w:r>
      <w:r w:rsidRPr="00B17D2A">
        <w:rPr>
          <w:lang w:val="fr-FR"/>
        </w:rPr>
        <w:t>adaptation et d</w:t>
      </w:r>
      <w:r w:rsidR="00277023">
        <w:rPr>
          <w:lang w:val="fr-FR"/>
        </w:rPr>
        <w:t>’</w:t>
      </w:r>
      <w:r w:rsidRPr="00B17D2A">
        <w:rPr>
          <w:lang w:val="fr-FR"/>
        </w:rPr>
        <w:t>une formation continue à l</w:t>
      </w:r>
      <w:r w:rsidR="00277023">
        <w:rPr>
          <w:lang w:val="fr-FR"/>
        </w:rPr>
        <w:t>’</w:t>
      </w:r>
      <w:r w:rsidRPr="00B17D2A">
        <w:rPr>
          <w:lang w:val="fr-FR"/>
        </w:rPr>
        <w:t>Institut de formation des personnels de l</w:t>
      </w:r>
      <w:r w:rsidR="00277023">
        <w:rPr>
          <w:lang w:val="fr-FR"/>
        </w:rPr>
        <w:t>’</w:t>
      </w:r>
      <w:r w:rsidRPr="00B17D2A">
        <w:rPr>
          <w:lang w:val="fr-FR"/>
        </w:rPr>
        <w:t>Institut d</w:t>
      </w:r>
      <w:r w:rsidR="00277023">
        <w:rPr>
          <w:lang w:val="fr-FR"/>
        </w:rPr>
        <w:t>’</w:t>
      </w:r>
      <w:r w:rsidRPr="00B17D2A">
        <w:rPr>
          <w:lang w:val="fr-FR"/>
        </w:rPr>
        <w:t>aide au développement de l</w:t>
      </w:r>
      <w:r w:rsidR="00277023">
        <w:rPr>
          <w:lang w:val="fr-FR"/>
        </w:rPr>
        <w:t>’</w:t>
      </w:r>
      <w:r w:rsidRPr="00B17D2A">
        <w:rPr>
          <w:lang w:val="fr-FR"/>
        </w:rPr>
        <w:t xml:space="preserve">autonomie des enfants, affilié à </w:t>
      </w:r>
      <w:r w:rsidRPr="00B17D2A">
        <w:rPr>
          <w:i/>
          <w:iCs/>
          <w:lang w:val="fr-FR"/>
        </w:rPr>
        <w:t>Musashino Gakuin</w:t>
      </w:r>
      <w:r w:rsidRPr="00B17D2A">
        <w:rPr>
          <w:lang w:val="fr-FR"/>
        </w:rPr>
        <w:t>. Ces sessions de formation permettent également aux stagiaires d</w:t>
      </w:r>
      <w:r w:rsidR="00277023">
        <w:rPr>
          <w:lang w:val="fr-FR"/>
        </w:rPr>
        <w:t>’</w:t>
      </w:r>
      <w:r w:rsidRPr="00B17D2A">
        <w:rPr>
          <w:lang w:val="fr-FR"/>
        </w:rPr>
        <w:t xml:space="preserve">approfondir leur compréhension des buts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w:t>
      </w:r>
    </w:p>
    <w:p w:rsidR="00B17D2A" w:rsidRPr="00B17D2A" w:rsidRDefault="00B17D2A" w:rsidP="00E67B78">
      <w:pPr>
        <w:pStyle w:val="SingleTxtG"/>
        <w:keepNext/>
        <w:rPr>
          <w:lang w:val="fr-FR"/>
        </w:rPr>
      </w:pPr>
      <w:r w:rsidRPr="00B17D2A">
        <w:rPr>
          <w:lang w:val="fr-FR"/>
        </w:rPr>
        <w:t>(Policiers)</w:t>
      </w:r>
    </w:p>
    <w:p w:rsidR="00B17D2A" w:rsidRPr="00B17D2A" w:rsidRDefault="00B17D2A" w:rsidP="00B17D2A">
      <w:pPr>
        <w:pStyle w:val="SingleTxtG"/>
        <w:rPr>
          <w:lang w:val="fr-FR"/>
        </w:rPr>
      </w:pPr>
      <w:r w:rsidRPr="00B17D2A">
        <w:rPr>
          <w:lang w:val="fr-FR"/>
        </w:rPr>
        <w:t>91.</w:t>
      </w:r>
      <w:r w:rsidRPr="00B17D2A">
        <w:rPr>
          <w:lang w:val="fr-FR"/>
        </w:rPr>
        <w:tab/>
        <w:t>Les policiers nouvellement recrutés ou ceux qui sont promus suivent une formation sur les droits de l</w:t>
      </w:r>
      <w:r w:rsidR="00277023">
        <w:rPr>
          <w:lang w:val="fr-FR"/>
        </w:rPr>
        <w:t>’</w:t>
      </w:r>
      <w:r w:rsidRPr="00B17D2A">
        <w:rPr>
          <w:lang w:val="fr-FR"/>
        </w:rPr>
        <w:t>homme et les activités de protection de la jeunesse dans les écoles de police, tandis que les services de police relatifs aux mineurs et la police des mineurs reçoivent une éducation spéciale qui assure l</w:t>
      </w:r>
      <w:r w:rsidR="00277023">
        <w:rPr>
          <w:lang w:val="fr-FR"/>
        </w:rPr>
        <w:t>’</w:t>
      </w:r>
      <w:r w:rsidRPr="00B17D2A">
        <w:rPr>
          <w:lang w:val="fr-FR"/>
        </w:rPr>
        <w:t>exécution correcte de leurs fonctions dans le respect de la protection des droits de l</w:t>
      </w:r>
      <w:r w:rsidR="00277023">
        <w:rPr>
          <w:lang w:val="fr-FR"/>
        </w:rPr>
        <w:t>’</w:t>
      </w:r>
      <w:r w:rsidRPr="00B17D2A">
        <w:rPr>
          <w:lang w:val="fr-FR"/>
        </w:rPr>
        <w:t>enfant. Par ailleurs, s</w:t>
      </w:r>
      <w:r w:rsidR="00277023">
        <w:rPr>
          <w:lang w:val="fr-FR"/>
        </w:rPr>
        <w:t>’</w:t>
      </w:r>
      <w:r w:rsidRPr="00B17D2A">
        <w:rPr>
          <w:lang w:val="fr-FR"/>
        </w:rPr>
        <w:t xml:space="preserve">agissant du personnel des centres de détention, les responsables des activités liées à la détention reçoivent des conseils dans la ligne des principes et dispositions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dans les écoles de police. Les lieux de travail tels que les postes de police doivent également dispenser une éducation qui assure l</w:t>
      </w:r>
      <w:r w:rsidR="00277023">
        <w:rPr>
          <w:lang w:val="fr-FR"/>
        </w:rPr>
        <w:t>’</w:t>
      </w:r>
      <w:r w:rsidRPr="00B17D2A">
        <w:rPr>
          <w:lang w:val="fr-FR"/>
        </w:rPr>
        <w:t>exécution correcte de leurs fonctions, dans le respect de la protection des droits de l</w:t>
      </w:r>
      <w:r w:rsidR="00277023">
        <w:rPr>
          <w:lang w:val="fr-FR"/>
        </w:rPr>
        <w:t>’</w:t>
      </w:r>
      <w:r w:rsidRPr="00B17D2A">
        <w:rPr>
          <w:lang w:val="fr-FR"/>
        </w:rPr>
        <w:t xml:space="preserve">enfant, en utilisant des moyens tels que des discussions en groupe. </w:t>
      </w:r>
    </w:p>
    <w:p w:rsidR="00B17D2A" w:rsidRPr="00B17D2A" w:rsidRDefault="00B17D2A" w:rsidP="00B17D2A">
      <w:pPr>
        <w:pStyle w:val="SingleTxtG"/>
        <w:rPr>
          <w:lang w:val="fr-FR"/>
        </w:rPr>
      </w:pPr>
      <w:r w:rsidRPr="00B17D2A">
        <w:rPr>
          <w:lang w:val="fr-FR"/>
        </w:rPr>
        <w:t>(Procureurs)</w:t>
      </w:r>
    </w:p>
    <w:p w:rsidR="00B17D2A" w:rsidRPr="00B17D2A" w:rsidRDefault="00B17D2A" w:rsidP="00B17D2A">
      <w:pPr>
        <w:pStyle w:val="SingleTxtG"/>
        <w:rPr>
          <w:lang w:val="fr-FR"/>
        </w:rPr>
      </w:pPr>
      <w:r w:rsidRPr="00B17D2A">
        <w:rPr>
          <w:lang w:val="fr-FR"/>
        </w:rPr>
        <w:t>92.</w:t>
      </w:r>
      <w:r w:rsidRPr="00B17D2A">
        <w:rPr>
          <w:lang w:val="fr-FR"/>
        </w:rPr>
        <w:tab/>
        <w:t>S</w:t>
      </w:r>
      <w:r w:rsidR="00277023">
        <w:rPr>
          <w:lang w:val="fr-FR"/>
        </w:rPr>
        <w:t>’</w:t>
      </w:r>
      <w:r w:rsidRPr="00B17D2A">
        <w:rPr>
          <w:lang w:val="fr-FR"/>
        </w:rPr>
        <w:t>agissant des procureurs, des conférences sont données sur des thèmes tels que la considération à accorder aux enfants et les droits de l</w:t>
      </w:r>
      <w:r w:rsidR="00277023">
        <w:rPr>
          <w:lang w:val="fr-FR"/>
        </w:rPr>
        <w:t>’</w:t>
      </w:r>
      <w:r w:rsidRPr="00B17D2A">
        <w:rPr>
          <w:lang w:val="fr-FR"/>
        </w:rPr>
        <w:t>homme internationaux au cours de sessions de formation adaptées aux années d</w:t>
      </w:r>
      <w:r w:rsidR="00277023">
        <w:rPr>
          <w:lang w:val="fr-FR"/>
        </w:rPr>
        <w:t>’</w:t>
      </w:r>
      <w:r w:rsidRPr="00B17D2A">
        <w:rPr>
          <w:lang w:val="fr-FR"/>
        </w:rPr>
        <w:t>expérience des procureurs, afin qu</w:t>
      </w:r>
      <w:r w:rsidR="00277023">
        <w:rPr>
          <w:lang w:val="fr-FR"/>
        </w:rPr>
        <w:t>’</w:t>
      </w:r>
      <w:r w:rsidRPr="00B17D2A">
        <w:rPr>
          <w:lang w:val="fr-FR"/>
        </w:rPr>
        <w:t xml:space="preserve">ils puissent approfondir leur compréhension de </w:t>
      </w:r>
      <w:smartTag w:uri="urn:schemas-microsoft-com:office:smarttags" w:element="PersonName">
        <w:smartTagPr>
          <w:attr w:name="ProductID" w:val="la Convention. Le"/>
        </w:smartTagPr>
        <w:r w:rsidRPr="00B17D2A">
          <w:rPr>
            <w:lang w:val="fr-FR"/>
          </w:rPr>
          <w:t>la Convention. Le</w:t>
        </w:r>
      </w:smartTag>
      <w:r w:rsidRPr="00B17D2A">
        <w:rPr>
          <w:lang w:val="fr-FR"/>
        </w:rPr>
        <w:t xml:space="preserve"> résultat des sessions de formation est censé se traduire dans l</w:t>
      </w:r>
      <w:r w:rsidR="00277023">
        <w:rPr>
          <w:lang w:val="fr-FR"/>
        </w:rPr>
        <w:t>’</w:t>
      </w:r>
      <w:r w:rsidRPr="00B17D2A">
        <w:rPr>
          <w:lang w:val="fr-FR"/>
        </w:rPr>
        <w:t>exercice des fonctions des stagiaires et contribuer à renforcer la sensibilisation des procureurs aux droits de l</w:t>
      </w:r>
      <w:r w:rsidR="00277023">
        <w:rPr>
          <w:lang w:val="fr-FR"/>
        </w:rPr>
        <w:t>’</w:t>
      </w:r>
      <w:r w:rsidRPr="00B17D2A">
        <w:rPr>
          <w:lang w:val="fr-FR"/>
        </w:rPr>
        <w:t>enfant.</w:t>
      </w:r>
    </w:p>
    <w:p w:rsidR="00B17D2A" w:rsidRPr="00B17D2A" w:rsidRDefault="00B17D2A" w:rsidP="00B17D2A">
      <w:pPr>
        <w:pStyle w:val="SingleTxtG"/>
        <w:rPr>
          <w:lang w:val="fr-FR"/>
        </w:rPr>
      </w:pPr>
      <w:r w:rsidRPr="00B17D2A">
        <w:rPr>
          <w:lang w:val="fr-FR"/>
        </w:rPr>
        <w:t>(Juges et autres agents de la force publique)</w:t>
      </w:r>
    </w:p>
    <w:p w:rsidR="00B17D2A" w:rsidRPr="00B17D2A" w:rsidRDefault="00B17D2A" w:rsidP="00B17D2A">
      <w:pPr>
        <w:pStyle w:val="SingleTxtG"/>
        <w:rPr>
          <w:lang w:val="fr-FR"/>
        </w:rPr>
      </w:pPr>
      <w:r w:rsidRPr="00B17D2A">
        <w:rPr>
          <w:lang w:val="fr-FR"/>
        </w:rPr>
        <w:t>93.</w:t>
      </w:r>
      <w:r w:rsidRPr="00B17D2A">
        <w:rPr>
          <w:lang w:val="fr-FR"/>
        </w:rPr>
        <w:tab/>
        <w:t>Le Gouvernement sait qu</w:t>
      </w:r>
      <w:r w:rsidR="00277023">
        <w:rPr>
          <w:lang w:val="fr-FR"/>
        </w:rPr>
        <w:t>’</w:t>
      </w:r>
      <w:r w:rsidRPr="00B17D2A">
        <w:rPr>
          <w:lang w:val="fr-FR"/>
        </w:rPr>
        <w:t xml:space="preserve">au moment de la ratification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w:t>
      </w:r>
      <w:smartTag w:uri="urn:schemas-microsoft-com:office:smarttags" w:element="PersonName">
        <w:smartTagPr>
          <w:attr w:name="ProductID" w:val="La Cour"/>
        </w:smartTagPr>
        <w:r w:rsidRPr="00B17D2A">
          <w:rPr>
            <w:lang w:val="fr-FR"/>
          </w:rPr>
          <w:t>la Cour</w:t>
        </w:r>
      </w:smartTag>
      <w:r w:rsidRPr="00B17D2A">
        <w:rPr>
          <w:lang w:val="fr-FR"/>
        </w:rPr>
        <w:t xml:space="preserve"> suprême a adressé une note intitulée </w:t>
      </w:r>
      <w:r w:rsidR="008E49D4">
        <w:rPr>
          <w:lang w:val="fr-FR"/>
        </w:rPr>
        <w:t>“</w:t>
      </w:r>
      <w:r w:rsidRPr="00B17D2A">
        <w:rPr>
          <w:lang w:val="fr-FR"/>
        </w:rPr>
        <w:t xml:space="preserve">Promulgation et entrée en application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w:t>
      </w:r>
      <w:r w:rsidR="008E49D4">
        <w:rPr>
          <w:lang w:val="fr-FR"/>
        </w:rPr>
        <w:t>”</w:t>
      </w:r>
      <w:r w:rsidRPr="00B17D2A">
        <w:rPr>
          <w:lang w:val="fr-FR"/>
        </w:rPr>
        <w:t xml:space="preserve"> aux Hautes Cours, aux tribunaux de district et aux tribunaux des affaires familiales dans le but d</w:t>
      </w:r>
      <w:r w:rsidR="00277023">
        <w:rPr>
          <w:lang w:val="fr-FR"/>
        </w:rPr>
        <w:t>’</w:t>
      </w:r>
      <w:r w:rsidRPr="00B17D2A">
        <w:rPr>
          <w:lang w:val="fr-FR"/>
        </w:rPr>
        <w:t xml:space="preserve">informer les juges et les autres fonctionnaires concernés sur le contenu de </w:t>
      </w:r>
      <w:smartTag w:uri="urn:schemas-microsoft-com:office:smarttags" w:element="PersonName">
        <w:smartTagPr>
          <w:attr w:name="ProductID" w:val="la Convention. Les"/>
        </w:smartTagPr>
        <w:r w:rsidRPr="00B17D2A">
          <w:rPr>
            <w:lang w:val="fr-FR"/>
          </w:rPr>
          <w:t>la Convention. Les</w:t>
        </w:r>
      </w:smartTag>
      <w:r w:rsidRPr="00B17D2A">
        <w:rPr>
          <w:lang w:val="fr-FR"/>
        </w:rPr>
        <w:t xml:space="preserve"> juges approfondissent en outre leur compréhension des droits des enfants grâce à différents programmes de formation réservés aux juges, sessions organisées par l</w:t>
      </w:r>
      <w:r w:rsidR="00277023">
        <w:rPr>
          <w:lang w:val="fr-FR"/>
        </w:rPr>
        <w:t>’</w:t>
      </w:r>
      <w:r w:rsidRPr="00B17D2A">
        <w:rPr>
          <w:lang w:val="fr-FR"/>
        </w:rPr>
        <w:t>Institut de recherche et de formation judiciaires, incluant l</w:t>
      </w:r>
      <w:r w:rsidR="00277023">
        <w:rPr>
          <w:lang w:val="fr-FR"/>
        </w:rPr>
        <w:t>’</w:t>
      </w:r>
      <w:r w:rsidRPr="00B17D2A">
        <w:rPr>
          <w:lang w:val="fr-FR"/>
        </w:rPr>
        <w:t>étude collective d</w:t>
      </w:r>
      <w:r w:rsidR="00277023">
        <w:rPr>
          <w:lang w:val="fr-FR"/>
        </w:rPr>
        <w:t>’</w:t>
      </w:r>
      <w:r w:rsidRPr="00B17D2A">
        <w:rPr>
          <w:lang w:val="fr-FR"/>
        </w:rPr>
        <w:t>affaires de délinquance juvénile et de problèmes liés à la garde des enfants, ainsi que des conférences sur l</w:t>
      </w:r>
      <w:r w:rsidR="00277023">
        <w:rPr>
          <w:lang w:val="fr-FR"/>
        </w:rPr>
        <w:t>’</w:t>
      </w:r>
      <w:r w:rsidRPr="00B17D2A">
        <w:rPr>
          <w:lang w:val="fr-FR"/>
        </w:rPr>
        <w:t>état des lieux et le traitement accordé dans les centres de formation pour mineurs. En principe, toute personne destinée à occuper le poste de juge, de procureur ou d</w:t>
      </w:r>
      <w:r w:rsidR="00277023">
        <w:rPr>
          <w:lang w:val="fr-FR"/>
        </w:rPr>
        <w:t>’</w:t>
      </w:r>
      <w:r w:rsidRPr="00B17D2A">
        <w:rPr>
          <w:lang w:val="fr-FR"/>
        </w:rPr>
        <w:t>avocat doit participer à la formation judiciaire organisée par l</w:t>
      </w:r>
      <w:r w:rsidR="00277023">
        <w:rPr>
          <w:lang w:val="fr-FR"/>
        </w:rPr>
        <w:t>’</w:t>
      </w:r>
      <w:r w:rsidRPr="00B17D2A">
        <w:rPr>
          <w:lang w:val="fr-FR"/>
        </w:rPr>
        <w:t>Institut de recherche et de formation judiciaires afin d</w:t>
      </w:r>
      <w:r w:rsidR="00277023">
        <w:rPr>
          <w:lang w:val="fr-FR"/>
        </w:rPr>
        <w:t>’</w:t>
      </w:r>
      <w:r w:rsidRPr="00B17D2A">
        <w:rPr>
          <w:lang w:val="fr-FR"/>
        </w:rPr>
        <w:t>obtenir le droit d</w:t>
      </w:r>
      <w:r w:rsidR="00277023">
        <w:rPr>
          <w:lang w:val="fr-FR"/>
        </w:rPr>
        <w:t>’</w:t>
      </w:r>
      <w:r w:rsidRPr="00B17D2A">
        <w:rPr>
          <w:lang w:val="fr-FR"/>
        </w:rPr>
        <w:t xml:space="preserve">exercer comme magistrat (juge, procureur ou avocat). Au cours de cette formation, des conférences sont données sur les droits des enfants, il y est fait mention de la mise en œuvre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et de son contenu, et des programmes reprennent des précédents relatifs à des cas de délinquance juvénile ou de différends relatifs à la garde des enfants. Les stagiaires peuvent ainsi se former aux droits, à la protection et au bien-être des enfants. </w:t>
      </w:r>
      <w:smartTag w:uri="urn:schemas-microsoft-com:office:smarttags" w:element="PersonName">
        <w:smartTagPr>
          <w:attr w:name="ProductID" w:val="La Cour"/>
        </w:smartTagPr>
        <w:r w:rsidRPr="00B17D2A">
          <w:rPr>
            <w:lang w:val="fr-FR"/>
          </w:rPr>
          <w:t>La Cour</w:t>
        </w:r>
      </w:smartTag>
      <w:r w:rsidRPr="00B17D2A">
        <w:rPr>
          <w:lang w:val="fr-FR"/>
        </w:rPr>
        <w:t xml:space="preserve"> suprême devrait poursuivre la sensibilisation à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par différents moyens.</w:t>
      </w:r>
    </w:p>
    <w:p w:rsidR="00B17D2A" w:rsidRPr="00B17D2A" w:rsidRDefault="00B17D2A" w:rsidP="00B17D2A">
      <w:pPr>
        <w:pStyle w:val="SingleTxtG"/>
        <w:rPr>
          <w:lang w:val="fr-FR"/>
        </w:rPr>
      </w:pPr>
      <w:r w:rsidRPr="00B17D2A">
        <w:rPr>
          <w:lang w:val="fr-FR"/>
        </w:rPr>
        <w:t>(Personnel des établissements pénitentiaires)</w:t>
      </w:r>
    </w:p>
    <w:p w:rsidR="00B17D2A" w:rsidRPr="00B17D2A" w:rsidRDefault="00B17D2A" w:rsidP="00B17D2A">
      <w:pPr>
        <w:pStyle w:val="SingleTxtG"/>
        <w:rPr>
          <w:lang w:val="fr-FR"/>
        </w:rPr>
      </w:pPr>
      <w:r w:rsidRPr="00B17D2A">
        <w:rPr>
          <w:lang w:val="fr-FR"/>
        </w:rPr>
        <w:t>94.</w:t>
      </w:r>
      <w:r w:rsidRPr="00B17D2A">
        <w:rPr>
          <w:lang w:val="fr-FR"/>
        </w:rPr>
        <w:tab/>
        <w:t xml:space="preserve">Divers programmes de formation sur les règles internationales relatives aux droits fondamentaux des détenus, y compris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 sont proposés au personnel des établissements pénitentiaires à l</w:t>
      </w:r>
      <w:r w:rsidR="00277023">
        <w:rPr>
          <w:lang w:val="fr-FR"/>
        </w:rPr>
        <w:t>’</w:t>
      </w:r>
      <w:r w:rsidRPr="00B17D2A">
        <w:rPr>
          <w:lang w:val="fr-FR"/>
        </w:rPr>
        <w:t>Institut de formation des personnels pénitentiaires et dans ses bureaux annexes (huit sur l</w:t>
      </w:r>
      <w:r w:rsidR="00277023">
        <w:rPr>
          <w:lang w:val="fr-FR"/>
        </w:rPr>
        <w:t>’</w:t>
      </w:r>
      <w:r w:rsidRPr="00B17D2A">
        <w:rPr>
          <w:lang w:val="fr-FR"/>
        </w:rPr>
        <w:t>ensemble du territoire) afin d</w:t>
      </w:r>
      <w:r w:rsidR="00277023">
        <w:rPr>
          <w:lang w:val="fr-FR"/>
        </w:rPr>
        <w:t>’</w:t>
      </w:r>
      <w:r w:rsidRPr="00B17D2A">
        <w:rPr>
          <w:lang w:val="fr-FR"/>
        </w:rPr>
        <w:t xml:space="preserve">améliorer sa compréhension de </w:t>
      </w:r>
      <w:smartTag w:uri="urn:schemas-microsoft-com:office:smarttags" w:element="PersonName">
        <w:smartTagPr>
          <w:attr w:name="ProductID" w:val="la Convention. Ainsi"/>
        </w:smartTagPr>
        <w:r w:rsidRPr="00B17D2A">
          <w:rPr>
            <w:lang w:val="fr-FR"/>
          </w:rPr>
          <w:t>la Convention. Ainsi</w:t>
        </w:r>
      </w:smartTag>
      <w:r w:rsidRPr="00B17D2A">
        <w:rPr>
          <w:lang w:val="fr-FR"/>
        </w:rPr>
        <w:t xml:space="preserve">, la formation portant sur les règles internationales de détention, y compris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 et sur les Règles de Beijing, est dispensée aux instructeurs des centres de formation pour mineurs et des foyers de classification des mineurs et aux spécialistes de la classification de ces foyers dans le cadre des programmes de formation des fonctionnaires nouvellement recrutés. En outre, des sujets comme la psychologie, la pédagogie et la sociologie y sont intégrés (30 heures au total)</w:t>
      </w:r>
      <w:r w:rsidR="00277023">
        <w:rPr>
          <w:lang w:val="fr-FR"/>
        </w:rPr>
        <w:t>;</w:t>
      </w:r>
      <w:r w:rsidRPr="00B17D2A">
        <w:rPr>
          <w:lang w:val="fr-FR"/>
        </w:rPr>
        <w:t xml:space="preserve"> le développement de l</w:t>
      </w:r>
      <w:r w:rsidR="00277023">
        <w:rPr>
          <w:lang w:val="fr-FR"/>
        </w:rPr>
        <w:t>’</w:t>
      </w:r>
      <w:r w:rsidRPr="00B17D2A">
        <w:rPr>
          <w:lang w:val="fr-FR"/>
        </w:rPr>
        <w:t>enfant est également traité dans chacun de ces sujets.</w:t>
      </w:r>
    </w:p>
    <w:p w:rsidR="00B17D2A" w:rsidRPr="00B17D2A" w:rsidRDefault="00B17D2A" w:rsidP="00B17D2A">
      <w:pPr>
        <w:pStyle w:val="SingleTxtG"/>
        <w:rPr>
          <w:lang w:val="fr-FR"/>
        </w:rPr>
      </w:pPr>
      <w:r w:rsidRPr="00B17D2A">
        <w:rPr>
          <w:lang w:val="fr-FR"/>
        </w:rPr>
        <w:t>(Agents de probation)</w:t>
      </w:r>
    </w:p>
    <w:p w:rsidR="00B17D2A" w:rsidRPr="00B17D2A" w:rsidRDefault="00B17D2A" w:rsidP="00B17D2A">
      <w:pPr>
        <w:pStyle w:val="SingleTxtG"/>
        <w:rPr>
          <w:lang w:val="fr-FR"/>
        </w:rPr>
      </w:pPr>
      <w:r w:rsidRPr="00B17D2A">
        <w:rPr>
          <w:bCs/>
          <w:lang w:val="fr-FR"/>
        </w:rPr>
        <w:t>95.</w:t>
      </w:r>
      <w:r w:rsidRPr="00B17D2A">
        <w:rPr>
          <w:bCs/>
          <w:lang w:val="fr-FR"/>
        </w:rPr>
        <w:tab/>
        <w:t>Voir paragraphe 66 du deuxième rapport du Japon</w:t>
      </w:r>
      <w:r w:rsidRPr="00B17D2A">
        <w:rPr>
          <w:lang w:val="fr-FR"/>
        </w:rPr>
        <w:t>. Les bureaux de probation qui offrent différents programmes de formation aux agents volontaires de probation dispensent un enseignement qui tient compte des droits de l</w:t>
      </w:r>
      <w:r w:rsidR="00277023">
        <w:rPr>
          <w:lang w:val="fr-FR"/>
        </w:rPr>
        <w:t>’</w:t>
      </w:r>
      <w:r w:rsidRPr="00B17D2A">
        <w:rPr>
          <w:lang w:val="fr-FR"/>
        </w:rPr>
        <w:t xml:space="preserve">enfant au regard du traitement des mineurs placés en probation. </w:t>
      </w:r>
    </w:p>
    <w:p w:rsidR="00B17D2A" w:rsidRPr="00B17D2A" w:rsidRDefault="00B17D2A" w:rsidP="00B17D2A">
      <w:pPr>
        <w:pStyle w:val="SingleTxtG"/>
        <w:rPr>
          <w:lang w:val="fr-FR"/>
        </w:rPr>
      </w:pPr>
      <w:r w:rsidRPr="00B17D2A">
        <w:rPr>
          <w:lang w:val="fr-FR"/>
        </w:rPr>
        <w:t>(Fonctionnaires chargés de l</w:t>
      </w:r>
      <w:r w:rsidR="00277023">
        <w:rPr>
          <w:lang w:val="fr-FR"/>
        </w:rPr>
        <w:t>’</w:t>
      </w:r>
      <w:r w:rsidRPr="00B17D2A">
        <w:rPr>
          <w:lang w:val="fr-FR"/>
        </w:rPr>
        <w:t>administration des droits de l</w:t>
      </w:r>
      <w:r w:rsidR="00277023">
        <w:rPr>
          <w:lang w:val="fr-FR"/>
        </w:rPr>
        <w:t>’</w:t>
      </w:r>
      <w:r w:rsidRPr="00B17D2A">
        <w:rPr>
          <w:lang w:val="fr-FR"/>
        </w:rPr>
        <w:t>homme)</w:t>
      </w:r>
    </w:p>
    <w:p w:rsidR="00B17D2A" w:rsidRPr="00B17D2A" w:rsidRDefault="00B17D2A" w:rsidP="00B17D2A">
      <w:pPr>
        <w:pStyle w:val="SingleTxtG"/>
        <w:rPr>
          <w:lang w:val="fr-FR"/>
        </w:rPr>
      </w:pPr>
      <w:r w:rsidRPr="00B17D2A">
        <w:rPr>
          <w:lang w:val="fr-FR"/>
        </w:rPr>
        <w:t>96.</w:t>
      </w:r>
      <w:r w:rsidRPr="00B17D2A">
        <w:rPr>
          <w:lang w:val="fr-FR"/>
        </w:rPr>
        <w:tab/>
        <w:t>S</w:t>
      </w:r>
      <w:r w:rsidR="00277023">
        <w:rPr>
          <w:lang w:val="fr-FR"/>
        </w:rPr>
        <w:t>’</w:t>
      </w:r>
      <w:r w:rsidRPr="00B17D2A">
        <w:rPr>
          <w:lang w:val="fr-FR"/>
        </w:rPr>
        <w:t>agissant de la formation des fonctionnaires chargés de l</w:t>
      </w:r>
      <w:r w:rsidR="00277023">
        <w:rPr>
          <w:lang w:val="fr-FR"/>
        </w:rPr>
        <w:t>’</w:t>
      </w:r>
      <w:r w:rsidRPr="00B17D2A">
        <w:rPr>
          <w:lang w:val="fr-FR"/>
        </w:rPr>
        <w:t>administration des droits de l</w:t>
      </w:r>
      <w:r w:rsidR="00277023">
        <w:rPr>
          <w:lang w:val="fr-FR"/>
        </w:rPr>
        <w:t>’</w:t>
      </w:r>
      <w:r w:rsidRPr="00B17D2A">
        <w:rPr>
          <w:lang w:val="fr-FR"/>
        </w:rPr>
        <w:t>homme, le Ministère de la justice offre chaque année des conférences de spécialisation sur les droits de l</w:t>
      </w:r>
      <w:r w:rsidR="00277023">
        <w:rPr>
          <w:lang w:val="fr-FR"/>
        </w:rPr>
        <w:t>’</w:t>
      </w:r>
      <w:r w:rsidRPr="00B17D2A">
        <w:rPr>
          <w:lang w:val="fr-FR"/>
        </w:rPr>
        <w:t>homme au personnel des bureaux des affaires juridiques nationaux ou régionaux sur l</w:t>
      </w:r>
      <w:r w:rsidR="00277023">
        <w:rPr>
          <w:lang w:val="fr-FR"/>
        </w:rPr>
        <w:t>’</w:t>
      </w:r>
      <w:r w:rsidRPr="00B17D2A">
        <w:rPr>
          <w:lang w:val="fr-FR"/>
        </w:rPr>
        <w:t>ensemble du territoire. Les conférences traitent de sujets relatifs aux droits de l</w:t>
      </w:r>
      <w:r w:rsidR="00277023">
        <w:rPr>
          <w:lang w:val="fr-FR"/>
        </w:rPr>
        <w:t>’</w:t>
      </w:r>
      <w:r w:rsidRPr="00B17D2A">
        <w:rPr>
          <w:lang w:val="fr-FR"/>
        </w:rPr>
        <w:t>enfant. Ces bureaux proposent également des ateliers sur les pratiques en matière de droits de l</w:t>
      </w:r>
      <w:r w:rsidR="00277023">
        <w:rPr>
          <w:lang w:val="fr-FR"/>
        </w:rPr>
        <w:t>’</w:t>
      </w:r>
      <w:r w:rsidRPr="00B17D2A">
        <w:rPr>
          <w:lang w:val="fr-FR"/>
        </w:rPr>
        <w:t>homme aux agents chargés de l</w:t>
      </w:r>
      <w:r w:rsidR="00277023">
        <w:rPr>
          <w:lang w:val="fr-FR"/>
        </w:rPr>
        <w:t>’</w:t>
      </w:r>
      <w:r w:rsidRPr="00B17D2A">
        <w:rPr>
          <w:lang w:val="fr-FR"/>
        </w:rPr>
        <w:t>administration des droits de l</w:t>
      </w:r>
      <w:r w:rsidR="00277023">
        <w:rPr>
          <w:lang w:val="fr-FR"/>
        </w:rPr>
        <w:t>’</w:t>
      </w:r>
      <w:r w:rsidRPr="00B17D2A">
        <w:rPr>
          <w:lang w:val="fr-FR"/>
        </w:rPr>
        <w:t xml:space="preserve">homme, au cours desquels sont données des conférences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et les droits des enfants. Par ailleurs, le Ministère de la justice propose des ateliers sur la formation des instructeurs sur les questions des droits de l</w:t>
      </w:r>
      <w:r w:rsidR="00277023">
        <w:rPr>
          <w:lang w:val="fr-FR"/>
        </w:rPr>
        <w:t>’</w:t>
      </w:r>
      <w:r w:rsidRPr="00B17D2A">
        <w:rPr>
          <w:lang w:val="fr-FR"/>
        </w:rPr>
        <w:t xml:space="preserve">homme au personnel des départements concernés des collectivités locales, au cours desquels sont données des conférences sur les droits des enfants et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w:t>
      </w:r>
    </w:p>
    <w:p w:rsidR="00B17D2A" w:rsidRPr="00B17D2A" w:rsidRDefault="00B17D2A" w:rsidP="00B17D2A">
      <w:pPr>
        <w:pStyle w:val="SingleTxtG"/>
        <w:rPr>
          <w:lang w:val="fr-FR"/>
        </w:rPr>
      </w:pPr>
      <w:r w:rsidRPr="00B17D2A">
        <w:rPr>
          <w:lang w:val="fr-FR"/>
        </w:rPr>
        <w:t>97.</w:t>
      </w:r>
      <w:r w:rsidRPr="00B17D2A">
        <w:rPr>
          <w:lang w:val="fr-FR"/>
        </w:rPr>
        <w:tab/>
        <w:t>Au Ministère des affaires étrangères, en reconnaissance de l</w:t>
      </w:r>
      <w:r w:rsidR="00277023">
        <w:rPr>
          <w:lang w:val="fr-FR"/>
        </w:rPr>
        <w:t>’</w:t>
      </w:r>
      <w:r w:rsidRPr="00B17D2A">
        <w:rPr>
          <w:lang w:val="fr-FR"/>
        </w:rPr>
        <w:t>importance des actions internationales engagées pour répondre aux problèmes des droits de l</w:t>
      </w:r>
      <w:r w:rsidR="00277023">
        <w:rPr>
          <w:lang w:val="fr-FR"/>
        </w:rPr>
        <w:t>’</w:t>
      </w:r>
      <w:r w:rsidRPr="00B17D2A">
        <w:rPr>
          <w:lang w:val="fr-FR"/>
        </w:rPr>
        <w:t>homme, des conférences sont données sur ce thème, y compris sur les grands objectifs des conventions relatives aux droits de l</w:t>
      </w:r>
      <w:r w:rsidR="00277023">
        <w:rPr>
          <w:lang w:val="fr-FR"/>
        </w:rPr>
        <w:t>’</w:t>
      </w:r>
      <w:r w:rsidRPr="00B17D2A">
        <w:rPr>
          <w:lang w:val="fr-FR"/>
        </w:rPr>
        <w:t>homme, dans le cadre des programmes de formation destinés aux agents de l</w:t>
      </w:r>
      <w:r w:rsidR="00277023">
        <w:rPr>
          <w:lang w:val="fr-FR"/>
        </w:rPr>
        <w:t>’</w:t>
      </w:r>
      <w:r w:rsidRPr="00B17D2A">
        <w:rPr>
          <w:lang w:val="fr-FR"/>
        </w:rPr>
        <w:t>Etat nouvellement recrutés et aux fonctionnaires des ministères et des services appelés à être mutés dans des missions diplomatiques à l</w:t>
      </w:r>
      <w:r w:rsidR="00277023">
        <w:rPr>
          <w:lang w:val="fr-FR"/>
        </w:rPr>
        <w:t>’</w:t>
      </w:r>
      <w:r w:rsidRPr="00B17D2A">
        <w:rPr>
          <w:lang w:val="fr-FR"/>
        </w:rPr>
        <w:t xml:space="preserve">étranger. </w:t>
      </w:r>
    </w:p>
    <w:p w:rsidR="00B17D2A" w:rsidRPr="00B17D2A" w:rsidRDefault="00B17D2A" w:rsidP="00B17D2A">
      <w:pPr>
        <w:pStyle w:val="SingleTxtG"/>
        <w:rPr>
          <w:bCs/>
          <w:lang w:val="fr-FR"/>
        </w:rPr>
      </w:pPr>
      <w:r w:rsidRPr="00B17D2A">
        <w:rPr>
          <w:bCs/>
          <w:lang w:val="fr-FR"/>
        </w:rPr>
        <w:t>(Agents du Bureau de l</w:t>
      </w:r>
      <w:r w:rsidR="00277023">
        <w:rPr>
          <w:bCs/>
          <w:lang w:val="fr-FR"/>
        </w:rPr>
        <w:t>’</w:t>
      </w:r>
      <w:r w:rsidRPr="00B17D2A">
        <w:rPr>
          <w:bCs/>
          <w:lang w:val="fr-FR"/>
        </w:rPr>
        <w:t>immigration)</w:t>
      </w:r>
    </w:p>
    <w:p w:rsidR="00B17D2A" w:rsidRPr="00B17D2A" w:rsidRDefault="00B17D2A" w:rsidP="00B17D2A">
      <w:pPr>
        <w:pStyle w:val="SingleTxtG"/>
        <w:rPr>
          <w:bCs/>
          <w:lang w:val="fr-FR"/>
        </w:rPr>
      </w:pPr>
      <w:r w:rsidRPr="00B17D2A">
        <w:rPr>
          <w:bCs/>
          <w:lang w:val="fr-FR"/>
        </w:rPr>
        <w:t>98.</w:t>
      </w:r>
      <w:r w:rsidRPr="00B17D2A">
        <w:rPr>
          <w:bCs/>
          <w:lang w:val="fr-FR"/>
        </w:rPr>
        <w:tab/>
        <w:t>Les agents du Bureau de l</w:t>
      </w:r>
      <w:r w:rsidR="00277023">
        <w:rPr>
          <w:bCs/>
          <w:lang w:val="fr-FR"/>
        </w:rPr>
        <w:t>’</w:t>
      </w:r>
      <w:r w:rsidRPr="00B17D2A">
        <w:rPr>
          <w:bCs/>
          <w:lang w:val="fr-FR"/>
        </w:rPr>
        <w:t>immigration reçoivent une formation dispensée par des instructeurs externes (par exemple des universitaires) sur les conventions relatives aux droits de l</w:t>
      </w:r>
      <w:r w:rsidR="00277023">
        <w:rPr>
          <w:bCs/>
          <w:lang w:val="fr-FR"/>
        </w:rPr>
        <w:t>’</w:t>
      </w:r>
      <w:r w:rsidRPr="00B17D2A">
        <w:rPr>
          <w:bCs/>
          <w:lang w:val="fr-FR"/>
        </w:rPr>
        <w:t xml:space="preserve">homme, y compris </w:t>
      </w:r>
      <w:smartTag w:uri="urn:schemas-microsoft-com:office:smarttags" w:element="PersonName">
        <w:smartTagPr>
          <w:attr w:name="ProductID" w:val="LA CONVENTION"/>
        </w:smartTagPr>
        <w:r w:rsidRPr="00B17D2A">
          <w:rPr>
            <w:bCs/>
            <w:lang w:val="fr-FR"/>
          </w:rPr>
          <w:t>la Convention</w:t>
        </w:r>
      </w:smartTag>
      <w:r w:rsidRPr="00B17D2A">
        <w:rPr>
          <w:bCs/>
          <w:lang w:val="fr-FR"/>
        </w:rPr>
        <w:t xml:space="preserve"> relative aux droits de l</w:t>
      </w:r>
      <w:r w:rsidR="00277023">
        <w:rPr>
          <w:bCs/>
          <w:lang w:val="fr-FR"/>
        </w:rPr>
        <w:t>’</w:t>
      </w:r>
      <w:r w:rsidRPr="00B17D2A">
        <w:rPr>
          <w:bCs/>
          <w:lang w:val="fr-FR"/>
        </w:rPr>
        <w:t xml:space="preserve">enfant, dans le cadre des programmes de formation destinés aux fonctionnaires nouvellement recrutés ou expérimentés. </w:t>
      </w:r>
    </w:p>
    <w:p w:rsidR="00B17D2A" w:rsidRPr="00B17D2A" w:rsidRDefault="00B17D2A" w:rsidP="00B17D2A">
      <w:pPr>
        <w:pStyle w:val="SingleTxtG"/>
        <w:rPr>
          <w:lang w:val="fr-FR"/>
        </w:rPr>
      </w:pPr>
      <w:r w:rsidRPr="00B17D2A">
        <w:rPr>
          <w:lang w:val="fr-FR"/>
        </w:rPr>
        <w:t>(Agents des collectivités locales)</w:t>
      </w:r>
    </w:p>
    <w:p w:rsidR="00B17D2A" w:rsidRPr="00B17D2A" w:rsidRDefault="00B17D2A" w:rsidP="00B17D2A">
      <w:pPr>
        <w:pStyle w:val="SingleTxtG"/>
        <w:rPr>
          <w:lang w:val="fr-FR"/>
        </w:rPr>
      </w:pPr>
      <w:r w:rsidRPr="00B17D2A">
        <w:rPr>
          <w:lang w:val="fr-FR"/>
        </w:rPr>
        <w:t>99.</w:t>
      </w:r>
      <w:r w:rsidRPr="00B17D2A">
        <w:rPr>
          <w:lang w:val="fr-FR"/>
        </w:rPr>
        <w:tab/>
        <w:t>S</w:t>
      </w:r>
      <w:r w:rsidR="00277023">
        <w:rPr>
          <w:lang w:val="fr-FR"/>
        </w:rPr>
        <w:t>’</w:t>
      </w:r>
      <w:r w:rsidRPr="00B17D2A">
        <w:rPr>
          <w:lang w:val="fr-FR"/>
        </w:rPr>
        <w:t xml:space="preserve">agissant du personnel des collectivités locales, un programme de formation composé de cinq cours portant sur </w:t>
      </w:r>
      <w:r w:rsidR="008E49D4">
        <w:rPr>
          <w:lang w:val="fr-FR"/>
        </w:rPr>
        <w:t>“</w:t>
      </w:r>
      <w:r w:rsidRPr="00B17D2A">
        <w:rPr>
          <w:lang w:val="fr-FR"/>
        </w:rPr>
        <w:t>l</w:t>
      </w:r>
      <w:r w:rsidR="00277023">
        <w:rPr>
          <w:lang w:val="fr-FR"/>
        </w:rPr>
        <w:t>’</w:t>
      </w:r>
      <w:r w:rsidRPr="00B17D2A">
        <w:rPr>
          <w:lang w:val="fr-FR"/>
        </w:rPr>
        <w:t>administration des droits de l</w:t>
      </w:r>
      <w:r w:rsidR="00277023">
        <w:rPr>
          <w:lang w:val="fr-FR"/>
        </w:rPr>
        <w:t>’</w:t>
      </w:r>
      <w:r w:rsidRPr="00B17D2A">
        <w:rPr>
          <w:lang w:val="fr-FR"/>
        </w:rPr>
        <w:t>homme</w:t>
      </w:r>
      <w:r w:rsidR="008E49D4">
        <w:rPr>
          <w:lang w:val="fr-FR"/>
        </w:rPr>
        <w:t>”</w:t>
      </w:r>
      <w:r w:rsidRPr="00B17D2A">
        <w:rPr>
          <w:lang w:val="fr-FR"/>
        </w:rPr>
        <w:t xml:space="preserve"> est proposé chaque année dans les instituts pour l</w:t>
      </w:r>
      <w:r w:rsidR="00277023">
        <w:rPr>
          <w:lang w:val="fr-FR"/>
        </w:rPr>
        <w:t>’</w:t>
      </w:r>
      <w:r w:rsidRPr="00B17D2A">
        <w:rPr>
          <w:lang w:val="fr-FR"/>
        </w:rPr>
        <w:t>autonomie locale. Ces cours sont les suivants</w:t>
      </w:r>
      <w:r w:rsidR="00277023">
        <w:rPr>
          <w:lang w:val="fr-FR"/>
        </w:rPr>
        <w:t>:</w:t>
      </w:r>
      <w:r w:rsidRPr="00B17D2A">
        <w:rPr>
          <w:lang w:val="fr-FR"/>
        </w:rPr>
        <w:t xml:space="preserve"> première série (destinée aux employés des gouvernements des préfectures, de certaines villes et de grandes agglomérations) premières série spéciale (identique à la précédente), deuxième série (destinée aux employés des collectivités locales), deuxième série spéciale (identique à la précédente) et troisième série (destinée aux employés des gouvernements des préfectures et des collectivités locales). Ces cours comprennent également une formation sur les textes relatifs aux droits de l</w:t>
      </w:r>
      <w:r w:rsidR="00277023">
        <w:rPr>
          <w:lang w:val="fr-FR"/>
        </w:rPr>
        <w:t>’</w:t>
      </w:r>
      <w:r w:rsidRPr="00B17D2A">
        <w:rPr>
          <w:lang w:val="fr-FR"/>
        </w:rPr>
        <w:t xml:space="preserve">enfant. </w:t>
      </w:r>
    </w:p>
    <w:p w:rsidR="00B17D2A" w:rsidRPr="00B17D2A" w:rsidRDefault="00B17D2A" w:rsidP="00B17D2A">
      <w:pPr>
        <w:pStyle w:val="SingleTxtG"/>
        <w:rPr>
          <w:lang w:val="fr-FR"/>
        </w:rPr>
      </w:pPr>
      <w:r w:rsidRPr="00B17D2A">
        <w:rPr>
          <w:lang w:val="fr-FR"/>
        </w:rPr>
        <w:t>(Instructeurs des écoles des forces armées)</w:t>
      </w:r>
    </w:p>
    <w:p w:rsidR="00B17D2A" w:rsidRPr="00B17D2A" w:rsidRDefault="00B17D2A" w:rsidP="00B17D2A">
      <w:pPr>
        <w:pStyle w:val="SingleTxtG"/>
        <w:rPr>
          <w:lang w:val="fr-FR"/>
        </w:rPr>
      </w:pPr>
      <w:r w:rsidRPr="00B17D2A">
        <w:rPr>
          <w:lang w:val="fr-FR"/>
        </w:rPr>
        <w:t>100.</w:t>
      </w:r>
      <w:r w:rsidRPr="00B17D2A">
        <w:rPr>
          <w:lang w:val="fr-FR"/>
        </w:rPr>
        <w:tab/>
        <w:t xml:space="preserve">Une formation sur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 xml:space="preserve">enfant est proposée aux instructeurs des écoles où sont formés les élèves officiers des forces armées. Des actions seront menées pour renforcer ces programmes de formation et sensibiliser à </w:t>
      </w:r>
      <w:smartTag w:uri="urn:schemas-microsoft-com:office:smarttags" w:element="PersonName">
        <w:smartTagPr>
          <w:attr w:name="ProductID" w:val="la Convention."/>
        </w:smartTagPr>
        <w:r w:rsidRPr="00B17D2A">
          <w:rPr>
            <w:lang w:val="fr-FR"/>
          </w:rPr>
          <w:t>la Convention.</w:t>
        </w:r>
      </w:smartTag>
    </w:p>
    <w:p w:rsidR="00B17D2A" w:rsidRPr="00B17D2A" w:rsidRDefault="00727D67" w:rsidP="00727D67">
      <w:pPr>
        <w:pStyle w:val="H23G"/>
        <w:rPr>
          <w:lang w:val="fr-FR"/>
        </w:rPr>
      </w:pPr>
      <w:r>
        <w:rPr>
          <w:lang w:val="fr-FR"/>
        </w:rPr>
        <w:tab/>
        <w:t>d)</w:t>
      </w:r>
      <w:r>
        <w:rPr>
          <w:lang w:val="fr-FR"/>
        </w:rPr>
        <w:tab/>
      </w:r>
      <w:r w:rsidR="00B17D2A" w:rsidRPr="00B17D2A">
        <w:rPr>
          <w:lang w:val="fr-FR"/>
        </w:rPr>
        <w:t>Niveau d</w:t>
      </w:r>
      <w:r w:rsidR="00277023">
        <w:rPr>
          <w:lang w:val="fr-FR"/>
        </w:rPr>
        <w:t>’</w:t>
      </w:r>
      <w:r w:rsidR="00B17D2A" w:rsidRPr="00B17D2A">
        <w:rPr>
          <w:lang w:val="fr-FR"/>
        </w:rPr>
        <w:t xml:space="preserve">incorporation de </w:t>
      </w:r>
      <w:smartTag w:uri="urn:schemas-microsoft-com:office:smarttags" w:element="PersonName">
        <w:smartTagPr>
          <w:attr w:name="ProductID" w:val="LA CONVENTION"/>
        </w:smartTagPr>
        <w:r w:rsidR="00B17D2A" w:rsidRPr="00B17D2A">
          <w:rPr>
            <w:lang w:val="fr-FR"/>
          </w:rPr>
          <w:t>la Convention</w:t>
        </w:r>
      </w:smartTag>
      <w:r w:rsidR="00B17D2A" w:rsidRPr="00B17D2A">
        <w:rPr>
          <w:lang w:val="fr-FR"/>
        </w:rPr>
        <w:t xml:space="preserve"> relative aux droits de l</w:t>
      </w:r>
      <w:r w:rsidR="00277023">
        <w:rPr>
          <w:lang w:val="fr-FR"/>
        </w:rPr>
        <w:t>’</w:t>
      </w:r>
      <w:r w:rsidR="00B17D2A" w:rsidRPr="00B17D2A">
        <w:rPr>
          <w:lang w:val="fr-FR"/>
        </w:rPr>
        <w:t>enfant dans les formations professionnelles</w:t>
      </w:r>
      <w:r>
        <w:rPr>
          <w:lang w:val="fr-FR"/>
        </w:rPr>
        <w:t xml:space="preserve"> et les règlements des services</w:t>
      </w:r>
    </w:p>
    <w:p w:rsidR="00B17D2A" w:rsidRPr="00B17D2A" w:rsidRDefault="00B17D2A" w:rsidP="00E67B78">
      <w:pPr>
        <w:pStyle w:val="SingleTxtG"/>
        <w:keepNext/>
        <w:rPr>
          <w:lang w:val="fr-FR"/>
        </w:rPr>
      </w:pPr>
      <w:r w:rsidRPr="00B17D2A">
        <w:rPr>
          <w:lang w:val="fr-FR"/>
        </w:rPr>
        <w:t>(Formation professionnelle)</w:t>
      </w:r>
    </w:p>
    <w:p w:rsidR="00B17D2A" w:rsidRPr="00B17D2A" w:rsidRDefault="00B17D2A" w:rsidP="00B17D2A">
      <w:pPr>
        <w:pStyle w:val="SingleTxtG"/>
        <w:rPr>
          <w:lang w:val="fr-FR"/>
        </w:rPr>
      </w:pPr>
      <w:r w:rsidRPr="00B17D2A">
        <w:rPr>
          <w:lang w:val="fr-FR"/>
        </w:rPr>
        <w:t>101.</w:t>
      </w:r>
      <w:r w:rsidRPr="00B17D2A">
        <w:rPr>
          <w:lang w:val="fr-FR"/>
        </w:rPr>
        <w:tab/>
        <w:t xml:space="preserve">Voir paragraphes 103-104. </w:t>
      </w:r>
    </w:p>
    <w:p w:rsidR="00B17D2A" w:rsidRPr="00B17D2A" w:rsidRDefault="00B17D2A" w:rsidP="00B17D2A">
      <w:pPr>
        <w:pStyle w:val="SingleTxtG"/>
        <w:rPr>
          <w:lang w:val="fr-FR"/>
        </w:rPr>
      </w:pPr>
      <w:r w:rsidRPr="00B17D2A">
        <w:rPr>
          <w:lang w:val="fr-FR"/>
        </w:rPr>
        <w:t>(</w:t>
      </w:r>
      <w:r w:rsidR="008F55B7">
        <w:rPr>
          <w:lang w:val="fr-FR"/>
        </w:rPr>
        <w:t>É</w:t>
      </w:r>
      <w:r w:rsidRPr="00B17D2A">
        <w:rPr>
          <w:lang w:val="fr-FR"/>
        </w:rPr>
        <w:t>cole de police nationale et autres écoles de police)</w:t>
      </w:r>
    </w:p>
    <w:p w:rsidR="00B17D2A" w:rsidRPr="00B17D2A" w:rsidRDefault="00B17D2A" w:rsidP="00B17D2A">
      <w:pPr>
        <w:pStyle w:val="SingleTxtG"/>
        <w:rPr>
          <w:lang w:val="fr-FR"/>
        </w:rPr>
      </w:pPr>
      <w:r w:rsidRPr="00B17D2A">
        <w:rPr>
          <w:lang w:val="fr-FR"/>
        </w:rPr>
        <w:t>102.</w:t>
      </w:r>
      <w:r w:rsidRPr="00B17D2A">
        <w:rPr>
          <w:lang w:val="fr-FR"/>
        </w:rPr>
        <w:tab/>
        <w:t>L</w:t>
      </w:r>
      <w:r w:rsidR="00277023">
        <w:rPr>
          <w:lang w:val="fr-FR"/>
        </w:rPr>
        <w:t>’</w:t>
      </w:r>
      <w:r w:rsidRPr="00B17D2A">
        <w:rPr>
          <w:lang w:val="fr-FR"/>
        </w:rPr>
        <w:t>école de police nationale propose des séminaires sur la défense des droits des enfants aux cadres administratifs des forces de police préfectorales à l</w:t>
      </w:r>
      <w:r w:rsidR="00277023">
        <w:rPr>
          <w:lang w:val="fr-FR"/>
        </w:rPr>
        <w:t>’</w:t>
      </w:r>
      <w:r w:rsidRPr="00B17D2A">
        <w:rPr>
          <w:lang w:val="fr-FR"/>
        </w:rPr>
        <w:t>occasion de la session de formation spéciale. Les écoles de police régionales organisent des séminaires analogues à l</w:t>
      </w:r>
      <w:r w:rsidR="00277023">
        <w:rPr>
          <w:lang w:val="fr-FR"/>
        </w:rPr>
        <w:t>’</w:t>
      </w:r>
      <w:r w:rsidRPr="00B17D2A">
        <w:rPr>
          <w:lang w:val="fr-FR"/>
        </w:rPr>
        <w:t>intention des inspecteurs adjoints et des brigadiers de la police préfectorale dans le cadre de la formation spéciale sur la délinquance juvénile. La police met également en place des programmes d</w:t>
      </w:r>
      <w:r w:rsidR="00277023">
        <w:rPr>
          <w:lang w:val="fr-FR"/>
        </w:rPr>
        <w:t>’</w:t>
      </w:r>
      <w:r w:rsidRPr="00B17D2A">
        <w:rPr>
          <w:lang w:val="fr-FR"/>
        </w:rPr>
        <w:t>étude en groupe, destinés aux fonctionnaires des centres de soutien aux mineurs de la police préfectorale, au cours desquels des spécialistes comme des professeurs et des conseillers d</w:t>
      </w:r>
      <w:r w:rsidR="00277023">
        <w:rPr>
          <w:lang w:val="fr-FR"/>
        </w:rPr>
        <w:t>’</w:t>
      </w:r>
      <w:r w:rsidRPr="00B17D2A">
        <w:rPr>
          <w:lang w:val="fr-FR"/>
        </w:rPr>
        <w:t>université donnent des conférences sur les techniques de conseil.</w:t>
      </w:r>
    </w:p>
    <w:p w:rsidR="00B17D2A" w:rsidRPr="00B17D2A" w:rsidRDefault="00B17D2A" w:rsidP="00B17D2A">
      <w:pPr>
        <w:pStyle w:val="SingleTxtG"/>
        <w:rPr>
          <w:lang w:val="fr-FR"/>
        </w:rPr>
      </w:pPr>
      <w:r w:rsidRPr="00B17D2A">
        <w:rPr>
          <w:lang w:val="fr-FR"/>
        </w:rPr>
        <w:t>(Universités)</w:t>
      </w:r>
    </w:p>
    <w:p w:rsidR="00B17D2A" w:rsidRPr="00B17D2A" w:rsidRDefault="00B17D2A" w:rsidP="00B17D2A">
      <w:pPr>
        <w:pStyle w:val="SingleTxtG"/>
        <w:rPr>
          <w:lang w:val="fr-FR"/>
        </w:rPr>
      </w:pPr>
      <w:r w:rsidRPr="00B17D2A">
        <w:rPr>
          <w:lang w:val="fr-FR"/>
        </w:rPr>
        <w:t>103.</w:t>
      </w:r>
      <w:r w:rsidRPr="00B17D2A">
        <w:rPr>
          <w:lang w:val="fr-FR"/>
        </w:rPr>
        <w:tab/>
        <w:t>Voir paragraphe 72 du deuxième rapport du Japon. Deux cent quarante cinq universités couvrent les sujets ayant trait aux droits de l</w:t>
      </w:r>
      <w:r w:rsidR="00277023">
        <w:rPr>
          <w:lang w:val="fr-FR"/>
        </w:rPr>
        <w:t>’</w:t>
      </w:r>
      <w:r w:rsidRPr="00B17D2A">
        <w:rPr>
          <w:lang w:val="fr-FR"/>
        </w:rPr>
        <w:t>enfant (depuis 2004). Elles de divisent en 55 universités d</w:t>
      </w:r>
      <w:r w:rsidR="00277023">
        <w:rPr>
          <w:lang w:val="fr-FR"/>
        </w:rPr>
        <w:t>’</w:t>
      </w:r>
      <w:r w:rsidRPr="00B17D2A">
        <w:rPr>
          <w:lang w:val="fr-FR"/>
        </w:rPr>
        <w:t xml:space="preserve">Etat, 17 universités publiques et 173 universités privées. </w:t>
      </w:r>
    </w:p>
    <w:p w:rsidR="00B17D2A" w:rsidRPr="00B17D2A" w:rsidRDefault="00727D67" w:rsidP="00727D67">
      <w:pPr>
        <w:pStyle w:val="H23G"/>
        <w:rPr>
          <w:lang w:val="fr-FR"/>
        </w:rPr>
      </w:pPr>
      <w:r>
        <w:rPr>
          <w:lang w:val="fr-FR"/>
        </w:rPr>
        <w:tab/>
        <w:t>e)</w:t>
      </w:r>
      <w:r>
        <w:rPr>
          <w:lang w:val="fr-FR"/>
        </w:rPr>
        <w:tab/>
      </w:r>
      <w:r w:rsidR="00B17D2A" w:rsidRPr="00B17D2A">
        <w:rPr>
          <w:lang w:val="fr-FR"/>
        </w:rPr>
        <w:t>Participation d</w:t>
      </w:r>
      <w:r w:rsidR="00277023">
        <w:rPr>
          <w:lang w:val="fr-FR"/>
        </w:rPr>
        <w:t>’</w:t>
      </w:r>
      <w:r w:rsidR="00B17D2A" w:rsidRPr="00B17D2A">
        <w:rPr>
          <w:lang w:val="fr-FR"/>
        </w:rPr>
        <w:t>ONG aux programmes et campagnes d</w:t>
      </w:r>
      <w:r w:rsidR="00277023">
        <w:rPr>
          <w:lang w:val="fr-FR"/>
        </w:rPr>
        <w:t>’</w:t>
      </w:r>
      <w:r w:rsidR="00B17D2A" w:rsidRPr="00B17D2A">
        <w:rPr>
          <w:lang w:val="fr-FR"/>
        </w:rPr>
        <w:t xml:space="preserve">éducation à </w:t>
      </w:r>
      <w:smartTag w:uri="urn:schemas-microsoft-com:office:smarttags" w:element="PersonName">
        <w:smartTagPr>
          <w:attr w:name="ProductID" w:val="LA CONVENTION"/>
        </w:smartTagPr>
        <w:r w:rsidR="00B17D2A" w:rsidRPr="00B17D2A">
          <w:rPr>
            <w:lang w:val="fr-FR"/>
          </w:rPr>
          <w:t>la Convention</w:t>
        </w:r>
      </w:smartTag>
      <w:r w:rsidR="00B17D2A" w:rsidRPr="00B17D2A">
        <w:rPr>
          <w:lang w:val="fr-FR"/>
        </w:rPr>
        <w:t xml:space="preserve"> e</w:t>
      </w:r>
      <w:r>
        <w:rPr>
          <w:lang w:val="fr-FR"/>
        </w:rPr>
        <w:t>t soutien aux activités des ONG</w:t>
      </w:r>
    </w:p>
    <w:p w:rsidR="00B17D2A" w:rsidRPr="00B17D2A" w:rsidRDefault="00B17D2A" w:rsidP="00B17D2A">
      <w:pPr>
        <w:pStyle w:val="SingleTxtG"/>
        <w:rPr>
          <w:lang w:val="fr-FR"/>
        </w:rPr>
      </w:pPr>
      <w:r w:rsidRPr="00B17D2A">
        <w:rPr>
          <w:lang w:val="fr-FR"/>
        </w:rPr>
        <w:t>104.</w:t>
      </w:r>
      <w:r w:rsidRPr="00B17D2A">
        <w:rPr>
          <w:lang w:val="fr-FR"/>
        </w:rPr>
        <w:tab/>
        <w:t xml:space="preserve">Voir paragraphes 86 et 87. </w:t>
      </w:r>
    </w:p>
    <w:p w:rsidR="00B17D2A" w:rsidRPr="00B17D2A" w:rsidRDefault="00727D67" w:rsidP="00727D67">
      <w:pPr>
        <w:pStyle w:val="H23G"/>
        <w:rPr>
          <w:lang w:val="fr-FR"/>
        </w:rPr>
      </w:pPr>
      <w:r>
        <w:rPr>
          <w:lang w:val="fr-FR"/>
        </w:rPr>
        <w:tab/>
        <w:t>f)</w:t>
      </w:r>
      <w:r>
        <w:rPr>
          <w:lang w:val="fr-FR"/>
        </w:rPr>
        <w:tab/>
      </w:r>
      <w:r w:rsidR="00B17D2A" w:rsidRPr="00B17D2A">
        <w:rPr>
          <w:lang w:val="fr-FR"/>
        </w:rPr>
        <w:t>Participation des enfants aux a</w:t>
      </w:r>
      <w:r>
        <w:rPr>
          <w:lang w:val="fr-FR"/>
        </w:rPr>
        <w:t>ctivités de relations publiques</w:t>
      </w:r>
    </w:p>
    <w:p w:rsidR="00B17D2A" w:rsidRPr="00B17D2A" w:rsidRDefault="00B17D2A" w:rsidP="00B17D2A">
      <w:pPr>
        <w:pStyle w:val="SingleTxtG"/>
        <w:rPr>
          <w:lang w:val="fr-FR"/>
        </w:rPr>
      </w:pPr>
      <w:r w:rsidRPr="00B17D2A">
        <w:rPr>
          <w:lang w:val="fr-FR"/>
        </w:rPr>
        <w:t>105.</w:t>
      </w:r>
      <w:r w:rsidRPr="00B17D2A">
        <w:rPr>
          <w:lang w:val="fr-FR"/>
        </w:rPr>
        <w:tab/>
        <w:t>A l</w:t>
      </w:r>
      <w:r w:rsidR="00277023">
        <w:rPr>
          <w:lang w:val="fr-FR"/>
        </w:rPr>
        <w:t>’</w:t>
      </w:r>
      <w:r w:rsidRPr="00B17D2A">
        <w:rPr>
          <w:lang w:val="fr-FR"/>
        </w:rPr>
        <w:t>occasion du deuxième Congrès mondial contre l</w:t>
      </w:r>
      <w:r w:rsidR="00277023">
        <w:rPr>
          <w:lang w:val="fr-FR"/>
        </w:rPr>
        <w:t>’</w:t>
      </w:r>
      <w:r w:rsidRPr="00B17D2A">
        <w:rPr>
          <w:lang w:val="fr-FR"/>
        </w:rPr>
        <w:t>exploitation sexuelle des enfants à des fins commerciales organisé par le Japon en décembre 2001, 90 enfants japonais et étrangers ont assisté et pris une part active aux discussions sur les actions du Gouvernement et de la communauté internationale fondées sur l</w:t>
      </w:r>
      <w:r w:rsidR="00277023">
        <w:rPr>
          <w:lang w:val="fr-FR"/>
        </w:rPr>
        <w:t>’</w:t>
      </w:r>
      <w:r w:rsidRPr="00B17D2A">
        <w:rPr>
          <w:lang w:val="fr-FR"/>
        </w:rPr>
        <w:t xml:space="preserve">esprit de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w:t>
      </w:r>
    </w:p>
    <w:p w:rsidR="00B17D2A" w:rsidRPr="00B17D2A" w:rsidRDefault="00727D67" w:rsidP="00727D67">
      <w:pPr>
        <w:pStyle w:val="H1G"/>
        <w:rPr>
          <w:lang w:val="fr-FR"/>
        </w:rPr>
      </w:pPr>
      <w:r>
        <w:rPr>
          <w:lang w:val="fr-FR"/>
        </w:rPr>
        <w:tab/>
        <w:t>M.</w:t>
      </w:r>
      <w:r>
        <w:rPr>
          <w:lang w:val="fr-FR"/>
        </w:rPr>
        <w:tab/>
      </w:r>
      <w:r w:rsidR="00B17D2A" w:rsidRPr="00B17D2A">
        <w:rPr>
          <w:lang w:val="fr-FR"/>
        </w:rPr>
        <w:t>Diffusion d</w:t>
      </w:r>
      <w:r w:rsidR="00277023">
        <w:rPr>
          <w:lang w:val="fr-FR"/>
        </w:rPr>
        <w:t>’</w:t>
      </w:r>
      <w:r w:rsidR="00B17D2A" w:rsidRPr="00B17D2A">
        <w:rPr>
          <w:lang w:val="fr-FR"/>
        </w:rPr>
        <w:t xml:space="preserve">informations sur </w:t>
      </w:r>
      <w:smartTag w:uri="urn:schemas-microsoft-com:office:smarttags" w:element="PersonName">
        <w:smartTagPr>
          <w:attr w:name="ProductID" w:val="LA CONVENTION"/>
        </w:smartTagPr>
        <w:r w:rsidR="00B17D2A" w:rsidRPr="00B17D2A">
          <w:rPr>
            <w:lang w:val="fr-FR"/>
          </w:rPr>
          <w:t>la Convention</w:t>
        </w:r>
      </w:smartTag>
      <w:r w:rsidR="00B17D2A" w:rsidRPr="00B17D2A">
        <w:rPr>
          <w:lang w:val="fr-FR"/>
        </w:rPr>
        <w:t xml:space="preserve"> auprès du public </w:t>
      </w:r>
      <w:r>
        <w:rPr>
          <w:lang w:val="fr-FR"/>
        </w:rPr>
        <w:br/>
      </w:r>
      <w:r w:rsidR="00B17D2A" w:rsidRPr="00B17D2A">
        <w:rPr>
          <w:lang w:val="fr-FR"/>
        </w:rPr>
        <w:t>(article 44, paragraphe 6)</w:t>
      </w:r>
    </w:p>
    <w:p w:rsidR="00B17D2A" w:rsidRPr="00B17D2A" w:rsidRDefault="00B17D2A" w:rsidP="00B17D2A">
      <w:pPr>
        <w:pStyle w:val="SingleTxtG"/>
        <w:rPr>
          <w:lang w:val="fr-FR"/>
        </w:rPr>
      </w:pPr>
      <w:r w:rsidRPr="00B17D2A">
        <w:rPr>
          <w:lang w:val="fr-FR"/>
        </w:rPr>
        <w:t>(Préparation du présent rapport)</w:t>
      </w:r>
    </w:p>
    <w:p w:rsidR="00B17D2A" w:rsidRPr="00B17D2A" w:rsidRDefault="00B17D2A" w:rsidP="00B17D2A">
      <w:pPr>
        <w:pStyle w:val="SingleTxtG"/>
        <w:rPr>
          <w:lang w:val="fr-FR"/>
        </w:rPr>
      </w:pPr>
      <w:r w:rsidRPr="00B17D2A">
        <w:rPr>
          <w:lang w:val="fr-FR"/>
        </w:rPr>
        <w:t>106.</w:t>
      </w:r>
      <w:r w:rsidRPr="00B17D2A">
        <w:rPr>
          <w:lang w:val="fr-FR"/>
        </w:rPr>
        <w:tab/>
        <w:t>Les ministères et organismes qui ont pris part à la préparation du présent rapport sont le secrétaire du Cabinet, le Bureau du Cabinet, la police nationale, le Ministère de l</w:t>
      </w:r>
      <w:r w:rsidR="00277023">
        <w:rPr>
          <w:lang w:val="fr-FR"/>
        </w:rPr>
        <w:t>’</w:t>
      </w:r>
      <w:r w:rsidRPr="00B17D2A">
        <w:rPr>
          <w:lang w:val="fr-FR"/>
        </w:rPr>
        <w:t>intérieur et des communications, le Ministère de la justice, le Ministère des affaires étrangères, le Ministère des finances, le Ministère de l</w:t>
      </w:r>
      <w:r w:rsidR="00277023">
        <w:rPr>
          <w:lang w:val="fr-FR"/>
        </w:rPr>
        <w:t>’</w:t>
      </w:r>
      <w:r w:rsidRPr="00B17D2A">
        <w:rPr>
          <w:lang w:val="fr-FR"/>
        </w:rPr>
        <w:t>éducation, de la culture, des sports, des sciences et de la technologie, le Ministère de la santé, du travail et de la protection sociale, le Ministère de l</w:t>
      </w:r>
      <w:r w:rsidR="00277023">
        <w:rPr>
          <w:lang w:val="fr-FR"/>
        </w:rPr>
        <w:t>’</w:t>
      </w:r>
      <w:r w:rsidRPr="00B17D2A">
        <w:rPr>
          <w:lang w:val="fr-FR"/>
        </w:rPr>
        <w:t>agriculture, des forêts et de la pêche, le Ministère de l</w:t>
      </w:r>
      <w:r w:rsidR="00277023">
        <w:rPr>
          <w:lang w:val="fr-FR"/>
        </w:rPr>
        <w:t>’</w:t>
      </w:r>
      <w:r w:rsidRPr="00B17D2A">
        <w:rPr>
          <w:lang w:val="fr-FR"/>
        </w:rPr>
        <w:t>économie, du commerce et de l</w:t>
      </w:r>
      <w:r w:rsidR="00277023">
        <w:rPr>
          <w:lang w:val="fr-FR"/>
        </w:rPr>
        <w:t>’</w:t>
      </w:r>
      <w:r w:rsidRPr="00B17D2A">
        <w:rPr>
          <w:lang w:val="fr-FR"/>
        </w:rPr>
        <w:t>industrie, le Ministère des ressources foncières, des infrastructures et des transports, le Ministère de l</w:t>
      </w:r>
      <w:r w:rsidR="00277023">
        <w:rPr>
          <w:lang w:val="fr-FR"/>
        </w:rPr>
        <w:t>’</w:t>
      </w:r>
      <w:r w:rsidRPr="00B17D2A">
        <w:rPr>
          <w:lang w:val="fr-FR"/>
        </w:rPr>
        <w:t>environnement et le Ministère de la défense. Ainsi qu</w:t>
      </w:r>
      <w:r w:rsidR="00277023">
        <w:rPr>
          <w:lang w:val="fr-FR"/>
        </w:rPr>
        <w:t>’</w:t>
      </w:r>
      <w:r w:rsidRPr="00B17D2A">
        <w:rPr>
          <w:lang w:val="fr-FR"/>
        </w:rPr>
        <w:t>il est dit au paragraphe 43 du rapport, des réunions publiques ont été organisées à quatre reprises avec les membres intéressés du Parlement, des fonctionnaires du Gouvernement et des membres d</w:t>
      </w:r>
      <w:r w:rsidR="00277023">
        <w:rPr>
          <w:lang w:val="fr-FR"/>
        </w:rPr>
        <w:t>’</w:t>
      </w:r>
      <w:r w:rsidRPr="00B17D2A">
        <w:rPr>
          <w:lang w:val="fr-FR"/>
        </w:rPr>
        <w:t>ONG dans le cadre de l</w:t>
      </w:r>
      <w:r w:rsidR="00277023">
        <w:rPr>
          <w:lang w:val="fr-FR"/>
        </w:rPr>
        <w:t>’</w:t>
      </w:r>
      <w:r w:rsidRPr="00B17D2A">
        <w:rPr>
          <w:lang w:val="fr-FR"/>
        </w:rPr>
        <w:t>élaboration du rapport.</w:t>
      </w:r>
    </w:p>
    <w:p w:rsidR="00B17D2A" w:rsidRPr="00B17D2A" w:rsidRDefault="00B17D2A" w:rsidP="00B17D2A">
      <w:pPr>
        <w:pStyle w:val="SingleTxtG"/>
        <w:rPr>
          <w:lang w:val="fr-FR"/>
        </w:rPr>
      </w:pPr>
      <w:r w:rsidRPr="00B17D2A">
        <w:rPr>
          <w:lang w:val="fr-FR"/>
        </w:rPr>
        <w:t>(Diffuser les rapports et les observations finales auprès d</w:t>
      </w:r>
      <w:r w:rsidR="00277023">
        <w:rPr>
          <w:lang w:val="fr-FR"/>
        </w:rPr>
        <w:t>’</w:t>
      </w:r>
      <w:r w:rsidRPr="00B17D2A">
        <w:rPr>
          <w:lang w:val="fr-FR"/>
        </w:rPr>
        <w:t>un large public)</w:t>
      </w:r>
    </w:p>
    <w:p w:rsidR="00B17D2A" w:rsidRPr="00B17D2A" w:rsidRDefault="00B17D2A" w:rsidP="00B17D2A">
      <w:pPr>
        <w:pStyle w:val="SingleTxtG"/>
        <w:rPr>
          <w:lang w:val="fr-FR"/>
        </w:rPr>
      </w:pPr>
      <w:r w:rsidRPr="00B17D2A">
        <w:rPr>
          <w:lang w:val="fr-FR"/>
        </w:rPr>
        <w:t>107.</w:t>
      </w:r>
      <w:r w:rsidRPr="00B17D2A">
        <w:rPr>
          <w:lang w:val="fr-FR"/>
        </w:rPr>
        <w:tab/>
        <w:t xml:space="preserve">Voir paragraphe 59 du deuxième rapport du Japon. </w:t>
      </w:r>
    </w:p>
    <w:p w:rsidR="00B17D2A" w:rsidRPr="00B17D2A" w:rsidRDefault="00727D67" w:rsidP="00B17D2A">
      <w:pPr>
        <w:pStyle w:val="SingleTxtG"/>
        <w:rPr>
          <w:lang w:val="fr-FR"/>
        </w:rPr>
      </w:pPr>
      <w:r>
        <w:rPr>
          <w:lang w:val="fr-FR"/>
        </w:rPr>
        <w:tab/>
      </w:r>
      <w:r w:rsidR="00B17D2A" w:rsidRPr="00B17D2A">
        <w:rPr>
          <w:lang w:val="fr-FR"/>
        </w:rPr>
        <w:t>Le présent rapport est également destiné à figurer sur le site Web du Ministère des affaires étrangères en temps utile. De plus, les observations finales du Comité des droits de l</w:t>
      </w:r>
      <w:r w:rsidR="00277023">
        <w:rPr>
          <w:lang w:val="fr-FR"/>
        </w:rPr>
        <w:t>’</w:t>
      </w:r>
      <w:r w:rsidR="00B17D2A" w:rsidRPr="00B17D2A">
        <w:rPr>
          <w:lang w:val="fr-FR"/>
        </w:rPr>
        <w:t xml:space="preserve">enfant sont commentées au cours de réunions organisées avec des membres de </w:t>
      </w:r>
      <w:smartTag w:uri="urn:schemas-microsoft-com:office:smarttags" w:element="PersonName">
        <w:smartTagPr>
          <w:attr w:name="ProductID" w:val=" ESC/P-R摵云耀*਼輰ҳ藨਼섰ଉ摰云谀( la Di￨te.摫云踀3la MDMA.摦云言4&#10;la MDMA. S摡云⸀谀6 la Police"/>
        </w:smartTagPr>
        <w:r w:rsidR="00B17D2A" w:rsidRPr="00B17D2A">
          <w:rPr>
            <w:lang w:val="fr-FR"/>
          </w:rPr>
          <w:t>la Diète</w:t>
        </w:r>
      </w:smartTag>
      <w:r w:rsidR="00B17D2A" w:rsidRPr="00B17D2A">
        <w:rPr>
          <w:lang w:val="fr-FR"/>
        </w:rPr>
        <w:t>, de ministères, d</w:t>
      </w:r>
      <w:r w:rsidR="00277023">
        <w:rPr>
          <w:lang w:val="fr-FR"/>
        </w:rPr>
        <w:t>’</w:t>
      </w:r>
      <w:r w:rsidR="00B17D2A" w:rsidRPr="00B17D2A">
        <w:rPr>
          <w:lang w:val="fr-FR"/>
        </w:rPr>
        <w:t>organismes, de la société civile et d</w:t>
      </w:r>
      <w:r w:rsidR="00277023">
        <w:rPr>
          <w:lang w:val="fr-FR"/>
        </w:rPr>
        <w:t>’</w:t>
      </w:r>
      <w:r w:rsidR="00B17D2A" w:rsidRPr="00B17D2A">
        <w:rPr>
          <w:lang w:val="fr-FR"/>
        </w:rPr>
        <w:t>ONG qui manifestent un intérêt pour cette question, et des vues sont échangées sur les progrès réalisés par le Gouvernement en réponse aux observations finales et sur les rapports périodiques du Japon (juillet 2004, octobre 2005). De plus, chaque année, l</w:t>
      </w:r>
      <w:r w:rsidR="00277023">
        <w:rPr>
          <w:lang w:val="fr-FR"/>
        </w:rPr>
        <w:t>’</w:t>
      </w:r>
      <w:r w:rsidR="00B17D2A" w:rsidRPr="00B17D2A">
        <w:rPr>
          <w:lang w:val="fr-FR"/>
        </w:rPr>
        <w:t>intégralité des observations finales du Comité des droits de l</w:t>
      </w:r>
      <w:r w:rsidR="00277023">
        <w:rPr>
          <w:lang w:val="fr-FR"/>
        </w:rPr>
        <w:t>’</w:t>
      </w:r>
      <w:r w:rsidR="00B17D2A" w:rsidRPr="00B17D2A">
        <w:rPr>
          <w:lang w:val="fr-FR"/>
        </w:rPr>
        <w:t xml:space="preserve">enfant en réponse au deuxième rapport du Japon est intégrée au Livre blanc sur la jeunesse. </w:t>
      </w:r>
    </w:p>
    <w:p w:rsidR="00B17D2A" w:rsidRPr="00B17D2A" w:rsidRDefault="00727D67" w:rsidP="00727D67">
      <w:pPr>
        <w:pStyle w:val="HChG"/>
        <w:rPr>
          <w:lang w:val="fr-FR"/>
        </w:rPr>
      </w:pPr>
      <w:r>
        <w:rPr>
          <w:lang w:val="fr-FR"/>
        </w:rPr>
        <w:tab/>
        <w:t>II.</w:t>
      </w:r>
      <w:r>
        <w:rPr>
          <w:lang w:val="fr-FR"/>
        </w:rPr>
        <w:tab/>
      </w:r>
      <w:r w:rsidRPr="00B17D2A">
        <w:rPr>
          <w:lang w:val="fr-FR"/>
        </w:rPr>
        <w:t xml:space="preserve">Article </w:t>
      </w:r>
      <w:r w:rsidR="00B17D2A" w:rsidRPr="00B17D2A">
        <w:rPr>
          <w:lang w:val="fr-FR"/>
        </w:rPr>
        <w:t>1 (Définition de l</w:t>
      </w:r>
      <w:r w:rsidR="00277023">
        <w:rPr>
          <w:lang w:val="fr-FR"/>
        </w:rPr>
        <w:t>’</w:t>
      </w:r>
      <w:r w:rsidR="00B17D2A" w:rsidRPr="00B17D2A">
        <w:rPr>
          <w:lang w:val="fr-FR"/>
        </w:rPr>
        <w:t>enfant)</w:t>
      </w:r>
    </w:p>
    <w:p w:rsidR="00B17D2A" w:rsidRPr="00B17D2A" w:rsidRDefault="00727D67" w:rsidP="00727D67">
      <w:pPr>
        <w:pStyle w:val="H1G"/>
        <w:rPr>
          <w:lang w:val="fr-FR"/>
        </w:rPr>
      </w:pPr>
      <w:r>
        <w:rPr>
          <w:lang w:val="fr-FR"/>
        </w:rPr>
        <w:tab/>
        <w:t>A.</w:t>
      </w:r>
      <w:r>
        <w:rPr>
          <w:lang w:val="fr-FR"/>
        </w:rPr>
        <w:tab/>
      </w:r>
      <w:r w:rsidR="00B17D2A" w:rsidRPr="00B17D2A">
        <w:rPr>
          <w:lang w:val="fr-FR"/>
        </w:rPr>
        <w:t>Différence entre la définition de l</w:t>
      </w:r>
      <w:r w:rsidR="00277023">
        <w:rPr>
          <w:lang w:val="fr-FR"/>
        </w:rPr>
        <w:t>’</w:t>
      </w:r>
      <w:r w:rsidR="00B17D2A" w:rsidRPr="00B17D2A">
        <w:rPr>
          <w:lang w:val="fr-FR"/>
        </w:rPr>
        <w:t xml:space="preserve">enfant dans </w:t>
      </w:r>
      <w:smartTag w:uri="urn:schemas-microsoft-com:office:smarttags" w:element="PersonName">
        <w:smartTagPr>
          <w:attr w:name="ProductID" w:val="LA CONVENTION"/>
        </w:smartTagPr>
        <w:r w:rsidR="00B17D2A" w:rsidRPr="00B17D2A">
          <w:rPr>
            <w:lang w:val="fr-FR"/>
          </w:rPr>
          <w:t>la Convention</w:t>
        </w:r>
      </w:smartTag>
      <w:r w:rsidR="00B17D2A" w:rsidRPr="00B17D2A">
        <w:rPr>
          <w:lang w:val="fr-FR"/>
        </w:rPr>
        <w:t xml:space="preserve"> et dans le droit interne japonais</w:t>
      </w:r>
    </w:p>
    <w:p w:rsidR="00B17D2A" w:rsidRPr="00B17D2A" w:rsidRDefault="00B17D2A" w:rsidP="00B17D2A">
      <w:pPr>
        <w:pStyle w:val="SingleTxtG"/>
        <w:rPr>
          <w:lang w:val="fr-FR"/>
        </w:rPr>
      </w:pPr>
      <w:r w:rsidRPr="00B17D2A">
        <w:rPr>
          <w:lang w:val="fr-FR"/>
        </w:rPr>
        <w:t>108.</w:t>
      </w:r>
      <w:r w:rsidRPr="00B17D2A">
        <w:rPr>
          <w:lang w:val="fr-FR"/>
        </w:rPr>
        <w:tab/>
        <w:t>Au Japon, bien que l</w:t>
      </w:r>
      <w:r w:rsidR="00277023">
        <w:rPr>
          <w:lang w:val="fr-FR"/>
        </w:rPr>
        <w:t>’</w:t>
      </w:r>
      <w:r w:rsidRPr="00B17D2A">
        <w:rPr>
          <w:lang w:val="fr-FR"/>
        </w:rPr>
        <w:t xml:space="preserve">âge de la maturité soit généralement considéré être de 20 ans, </w:t>
      </w:r>
      <w:smartTag w:uri="urn:schemas-microsoft-com:office:smarttags" w:element="PersonName">
        <w:smartTagPr>
          <w:attr w:name="ProductID" w:val="la Loi"/>
        </w:smartTagPr>
        <w:r w:rsidRPr="00B17D2A">
          <w:rPr>
            <w:lang w:val="fr-FR"/>
          </w:rPr>
          <w:t>la Loi</w:t>
        </w:r>
      </w:smartTag>
      <w:r w:rsidRPr="00B17D2A">
        <w:rPr>
          <w:lang w:val="fr-FR"/>
        </w:rPr>
        <w:t xml:space="preserve"> sur la protection de l</w:t>
      </w:r>
      <w:r w:rsidR="00277023">
        <w:rPr>
          <w:lang w:val="fr-FR"/>
        </w:rPr>
        <w:t>’</w:t>
      </w:r>
      <w:r w:rsidRPr="00B17D2A">
        <w:rPr>
          <w:lang w:val="fr-FR"/>
        </w:rPr>
        <w:t xml:space="preserve">enfance et </w:t>
      </w:r>
      <w:smartTag w:uri="urn:schemas-microsoft-com:office:smarttags" w:element="PersonName">
        <w:smartTagPr>
          <w:attr w:name="ProductID" w:val="la Loi"/>
        </w:smartTagPr>
        <w:r w:rsidRPr="00B17D2A">
          <w:rPr>
            <w:lang w:val="fr-FR"/>
          </w:rPr>
          <w:t>la Loi</w:t>
        </w:r>
      </w:smartTag>
      <w:r w:rsidRPr="00B17D2A">
        <w:rPr>
          <w:lang w:val="fr-FR"/>
        </w:rPr>
        <w:t xml:space="preserve"> sur la répression de la prostitution des enfants et de la pornographie mettant en scène des enfants et la protection des enfants disposent qu</w:t>
      </w:r>
      <w:r w:rsidR="00277023">
        <w:rPr>
          <w:lang w:val="fr-FR"/>
        </w:rPr>
        <w:t>’</w:t>
      </w:r>
      <w:r w:rsidRPr="00B17D2A">
        <w:rPr>
          <w:lang w:val="fr-FR"/>
        </w:rPr>
        <w:t>un enfant est une personne n</w:t>
      </w:r>
      <w:r w:rsidR="00277023">
        <w:rPr>
          <w:lang w:val="fr-FR"/>
        </w:rPr>
        <w:t>’</w:t>
      </w:r>
      <w:r w:rsidRPr="00B17D2A">
        <w:rPr>
          <w:lang w:val="fr-FR"/>
        </w:rPr>
        <w:t>ayant pas 18 ans révolus.</w:t>
      </w:r>
    </w:p>
    <w:p w:rsidR="00B17D2A" w:rsidRPr="00B17D2A" w:rsidRDefault="00727D67" w:rsidP="00727D67">
      <w:pPr>
        <w:pStyle w:val="H1G"/>
        <w:rPr>
          <w:lang w:val="fr-FR"/>
        </w:rPr>
      </w:pPr>
      <w:r>
        <w:rPr>
          <w:lang w:val="fr-FR"/>
        </w:rPr>
        <w:tab/>
        <w:t>B.</w:t>
      </w:r>
      <w:r>
        <w:rPr>
          <w:lang w:val="fr-FR"/>
        </w:rPr>
        <w:tab/>
      </w:r>
      <w:r w:rsidR="00B17D2A" w:rsidRPr="00B17D2A">
        <w:rPr>
          <w:lang w:val="fr-FR"/>
        </w:rPr>
        <w:t>Limite d</w:t>
      </w:r>
      <w:r w:rsidR="00277023">
        <w:rPr>
          <w:lang w:val="fr-FR"/>
        </w:rPr>
        <w:t>’</w:t>
      </w:r>
      <w:r w:rsidR="00B17D2A" w:rsidRPr="00B17D2A">
        <w:rPr>
          <w:lang w:val="fr-FR"/>
        </w:rPr>
        <w:t>âge appliquée à la capacité juridique au Japon</w:t>
      </w:r>
    </w:p>
    <w:p w:rsidR="00B17D2A" w:rsidRPr="00B17D2A" w:rsidRDefault="00B17D2A" w:rsidP="00B17D2A">
      <w:pPr>
        <w:pStyle w:val="SingleTxtG"/>
        <w:rPr>
          <w:lang w:val="fr-FR"/>
        </w:rPr>
      </w:pPr>
      <w:r w:rsidRPr="00B17D2A">
        <w:rPr>
          <w:lang w:val="fr-FR"/>
        </w:rPr>
        <w:t>(Age minimum requis pour conclure un contrat relatif à une consultation juridique ou médicale)</w:t>
      </w:r>
    </w:p>
    <w:p w:rsidR="00B17D2A" w:rsidRPr="00B17D2A" w:rsidRDefault="00B17D2A" w:rsidP="00B17D2A">
      <w:pPr>
        <w:pStyle w:val="SingleTxtG"/>
        <w:rPr>
          <w:lang w:val="fr-FR"/>
        </w:rPr>
      </w:pPr>
      <w:r w:rsidRPr="00B17D2A">
        <w:rPr>
          <w:lang w:val="fr-FR"/>
        </w:rPr>
        <w:t>109.</w:t>
      </w:r>
      <w:r w:rsidRPr="00B17D2A">
        <w:rPr>
          <w:lang w:val="fr-FR"/>
        </w:rPr>
        <w:tab/>
        <w:t>Le Code civil japonais stipule qu</w:t>
      </w:r>
      <w:r w:rsidR="00277023">
        <w:rPr>
          <w:lang w:val="fr-FR"/>
        </w:rPr>
        <w:t>’</w:t>
      </w:r>
      <w:r w:rsidRPr="00B17D2A">
        <w:rPr>
          <w:lang w:val="fr-FR"/>
        </w:rPr>
        <w:t>à partir de 20 ans révolus, une personne est capable d</w:t>
      </w:r>
      <w:r w:rsidR="00277023">
        <w:rPr>
          <w:lang w:val="fr-FR"/>
        </w:rPr>
        <w:t>’</w:t>
      </w:r>
      <w:r w:rsidRPr="00B17D2A">
        <w:rPr>
          <w:lang w:val="fr-FR"/>
        </w:rPr>
        <w:t>accomplir des actes juridiques. Pour cette raison, si une personne de moins de 20 ans (par exemple un mineur) signe un acte relatif à une consultation juridique ou médicale sans l</w:t>
      </w:r>
      <w:r w:rsidR="00277023">
        <w:rPr>
          <w:lang w:val="fr-FR"/>
        </w:rPr>
        <w:t>’</w:t>
      </w:r>
      <w:r w:rsidRPr="00B17D2A">
        <w:rPr>
          <w:lang w:val="fr-FR"/>
        </w:rPr>
        <w:t>autorisation de son représentant légal, ledit contrat est techniquement valable, mais si l</w:t>
      </w:r>
      <w:r w:rsidR="00277023">
        <w:rPr>
          <w:lang w:val="fr-FR"/>
        </w:rPr>
        <w:t>’</w:t>
      </w:r>
      <w:r w:rsidRPr="00B17D2A">
        <w:rPr>
          <w:lang w:val="fr-FR"/>
        </w:rPr>
        <w:t>acte ne porte pas sur la seule obtention d</w:t>
      </w:r>
      <w:r w:rsidR="00277023">
        <w:rPr>
          <w:lang w:val="fr-FR"/>
        </w:rPr>
        <w:t>’</w:t>
      </w:r>
      <w:r w:rsidRPr="00B17D2A">
        <w:rPr>
          <w:lang w:val="fr-FR"/>
        </w:rPr>
        <w:t>un accord ou d</w:t>
      </w:r>
      <w:r w:rsidR="00277023">
        <w:rPr>
          <w:lang w:val="fr-FR"/>
        </w:rPr>
        <w:t>’</w:t>
      </w:r>
      <w:r w:rsidRPr="00B17D2A">
        <w:rPr>
          <w:lang w:val="fr-FR"/>
        </w:rPr>
        <w:t xml:space="preserve">une décharge, ce mineur ou son représentant légal peut annuler le contrat. </w:t>
      </w:r>
    </w:p>
    <w:p w:rsidR="00B17D2A" w:rsidRPr="00B17D2A" w:rsidRDefault="00B17D2A" w:rsidP="00B17D2A">
      <w:pPr>
        <w:pStyle w:val="SingleTxtG"/>
        <w:rPr>
          <w:lang w:val="fr-FR"/>
        </w:rPr>
      </w:pPr>
      <w:r w:rsidRPr="00B17D2A">
        <w:rPr>
          <w:lang w:val="fr-FR"/>
        </w:rPr>
        <w:t>110.</w:t>
      </w:r>
      <w:r w:rsidRPr="00B17D2A">
        <w:rPr>
          <w:lang w:val="fr-FR"/>
        </w:rPr>
        <w:tab/>
        <w:t xml:space="preserve">En vertu du Code civil du Japon, une personne âgée de moins de </w:t>
      </w:r>
      <w:smartTag w:uri="urn:schemas-microsoft-com:office:smarttags" w:element="metricconverter">
        <w:smartTagPr>
          <w:attr w:name="ProductID" w:val="20 a"/>
        </w:smartTagPr>
        <w:r w:rsidRPr="00B17D2A">
          <w:rPr>
            <w:lang w:val="fr-FR"/>
          </w:rPr>
          <w:t>20 a</w:t>
        </w:r>
      </w:smartTag>
      <w:r w:rsidRPr="00B17D2A">
        <w:rPr>
          <w:lang w:val="fr-FR"/>
        </w:rPr>
        <w:t>ns peut effectivement conclure un contrat relatif à une consultation juridique ou médicale sans l</w:t>
      </w:r>
      <w:r w:rsidR="00277023">
        <w:rPr>
          <w:lang w:val="fr-FR"/>
        </w:rPr>
        <w:t>’</w:t>
      </w:r>
      <w:r w:rsidRPr="00B17D2A">
        <w:rPr>
          <w:lang w:val="fr-FR"/>
        </w:rPr>
        <w:t>autorisation de son représentant légal. Mais s</w:t>
      </w:r>
      <w:r w:rsidR="00277023">
        <w:rPr>
          <w:lang w:val="fr-FR"/>
        </w:rPr>
        <w:t>’</w:t>
      </w:r>
      <w:r w:rsidRPr="00B17D2A">
        <w:rPr>
          <w:lang w:val="fr-FR"/>
        </w:rPr>
        <w:t>il s</w:t>
      </w:r>
      <w:r w:rsidR="00277023">
        <w:rPr>
          <w:lang w:val="fr-FR"/>
        </w:rPr>
        <w:t>’</w:t>
      </w:r>
      <w:r w:rsidRPr="00B17D2A">
        <w:rPr>
          <w:lang w:val="fr-FR"/>
        </w:rPr>
        <w:t xml:space="preserve">agit de la protéger, le représentant légal peut annuler un contrat de cette nature </w:t>
      </w:r>
      <w:r w:rsidRPr="00B17D2A">
        <w:rPr>
          <w:i/>
          <w:lang w:val="fr-FR"/>
        </w:rPr>
        <w:t>ex post facto</w:t>
      </w:r>
      <w:r w:rsidRPr="00B17D2A">
        <w:rPr>
          <w:lang w:val="fr-FR"/>
        </w:rPr>
        <w:t xml:space="preserve">. </w:t>
      </w:r>
    </w:p>
    <w:p w:rsidR="00B17D2A" w:rsidRPr="00B17D2A" w:rsidRDefault="00B17D2A" w:rsidP="00B17D2A">
      <w:pPr>
        <w:pStyle w:val="SingleTxtG"/>
        <w:rPr>
          <w:lang w:val="fr-FR"/>
        </w:rPr>
      </w:pPr>
      <w:r w:rsidRPr="00B17D2A">
        <w:rPr>
          <w:lang w:val="fr-FR"/>
        </w:rPr>
        <w:t>111.</w:t>
      </w:r>
      <w:r w:rsidRPr="00B17D2A">
        <w:rPr>
          <w:lang w:val="fr-FR"/>
        </w:rPr>
        <w:tab/>
        <w:t>Dans les observations finales du Comité des droits de l</w:t>
      </w:r>
      <w:r w:rsidR="00277023">
        <w:rPr>
          <w:lang w:val="fr-FR"/>
        </w:rPr>
        <w:t>’</w:t>
      </w:r>
      <w:r w:rsidRPr="00B17D2A">
        <w:rPr>
          <w:lang w:val="fr-FR"/>
        </w:rPr>
        <w:t>enfant sur le deuxième rapport du Japon, il a été recommandé au Japon de réviser sa législation de manière à ce qu</w:t>
      </w:r>
      <w:r w:rsidR="00277023">
        <w:rPr>
          <w:lang w:val="fr-FR"/>
        </w:rPr>
        <w:t>’</w:t>
      </w:r>
      <w:r w:rsidRPr="00B17D2A">
        <w:rPr>
          <w:lang w:val="fr-FR"/>
        </w:rPr>
        <w:t>un enfant âgé de moins de 18 ans puisse consulter un médecin ou avoir accès à son dossier médical sans l</w:t>
      </w:r>
      <w:r w:rsidR="00277023">
        <w:rPr>
          <w:lang w:val="fr-FR"/>
        </w:rPr>
        <w:t>’</w:t>
      </w:r>
      <w:r w:rsidRPr="00B17D2A">
        <w:rPr>
          <w:lang w:val="fr-FR"/>
        </w:rPr>
        <w:t>autorisation de ses parents. Toutefois, aucun texte de loi japonais n</w:t>
      </w:r>
      <w:r w:rsidR="00277023">
        <w:rPr>
          <w:lang w:val="fr-FR"/>
        </w:rPr>
        <w:t>’</w:t>
      </w:r>
      <w:r w:rsidRPr="00B17D2A">
        <w:rPr>
          <w:lang w:val="fr-FR"/>
        </w:rPr>
        <w:t>interdit à un enfant de moins de 18 ans de consulter un médecin et d</w:t>
      </w:r>
      <w:r w:rsidR="00277023">
        <w:rPr>
          <w:lang w:val="fr-FR"/>
        </w:rPr>
        <w:t>’</w:t>
      </w:r>
      <w:r w:rsidRPr="00B17D2A">
        <w:rPr>
          <w:lang w:val="fr-FR"/>
        </w:rPr>
        <w:t>avoir accès à son dossier médical sans l</w:t>
      </w:r>
      <w:r w:rsidR="00277023">
        <w:rPr>
          <w:lang w:val="fr-FR"/>
        </w:rPr>
        <w:t>’</w:t>
      </w:r>
      <w:r w:rsidRPr="00B17D2A">
        <w:rPr>
          <w:lang w:val="fr-FR"/>
        </w:rPr>
        <w:t>autorisation de ses parents. On ne comprend pas très bien si la consultation médicale ou l</w:t>
      </w:r>
      <w:r w:rsidR="00277023">
        <w:rPr>
          <w:lang w:val="fr-FR"/>
        </w:rPr>
        <w:t>’</w:t>
      </w:r>
      <w:r w:rsidRPr="00B17D2A">
        <w:rPr>
          <w:lang w:val="fr-FR"/>
        </w:rPr>
        <w:t xml:space="preserve">accès au dossier médical constitue un </w:t>
      </w:r>
      <w:r w:rsidR="008E49D4">
        <w:rPr>
          <w:lang w:val="fr-FR"/>
        </w:rPr>
        <w:t>“</w:t>
      </w:r>
      <w:r w:rsidRPr="00B17D2A">
        <w:rPr>
          <w:lang w:val="fr-FR"/>
        </w:rPr>
        <w:t>acte juridique</w:t>
      </w:r>
      <w:r w:rsidR="008E49D4">
        <w:rPr>
          <w:lang w:val="fr-FR"/>
        </w:rPr>
        <w:t>”</w:t>
      </w:r>
      <w:r w:rsidRPr="00B17D2A">
        <w:rPr>
          <w:lang w:val="fr-FR"/>
        </w:rPr>
        <w:t>, et même si tel est le cas, il est courant qu</w:t>
      </w:r>
      <w:r w:rsidR="00277023">
        <w:rPr>
          <w:lang w:val="fr-FR"/>
        </w:rPr>
        <w:t>’</w:t>
      </w:r>
      <w:r w:rsidRPr="00B17D2A">
        <w:rPr>
          <w:lang w:val="fr-FR"/>
        </w:rPr>
        <w:t>un enfant de moins de 20 ans reçoive un traitement médical sans l</w:t>
      </w:r>
      <w:r w:rsidR="00277023">
        <w:rPr>
          <w:lang w:val="fr-FR"/>
        </w:rPr>
        <w:t>’</w:t>
      </w:r>
      <w:r w:rsidRPr="00B17D2A">
        <w:rPr>
          <w:lang w:val="fr-FR"/>
        </w:rPr>
        <w:t>autorisation d</w:t>
      </w:r>
      <w:r w:rsidR="00277023">
        <w:rPr>
          <w:lang w:val="fr-FR"/>
        </w:rPr>
        <w:t>’</w:t>
      </w:r>
      <w:r w:rsidRPr="00B17D2A">
        <w:rPr>
          <w:lang w:val="fr-FR"/>
        </w:rPr>
        <w:t>un représentant légal. Ainsi qu</w:t>
      </w:r>
      <w:r w:rsidR="00277023">
        <w:rPr>
          <w:lang w:val="fr-FR"/>
        </w:rPr>
        <w:t>’</w:t>
      </w:r>
      <w:r w:rsidRPr="00B17D2A">
        <w:rPr>
          <w:lang w:val="fr-FR"/>
        </w:rPr>
        <w:t>il a déjà été dit lors de l</w:t>
      </w:r>
      <w:r w:rsidR="00277023">
        <w:rPr>
          <w:lang w:val="fr-FR"/>
        </w:rPr>
        <w:t>’</w:t>
      </w:r>
      <w:r w:rsidRPr="00B17D2A">
        <w:rPr>
          <w:lang w:val="fr-FR"/>
        </w:rPr>
        <w:t>examen du deuxième rapport du Japon, la liberté d</w:t>
      </w:r>
      <w:r w:rsidR="00277023">
        <w:rPr>
          <w:lang w:val="fr-FR"/>
        </w:rPr>
        <w:t>’</w:t>
      </w:r>
      <w:r w:rsidRPr="00B17D2A">
        <w:rPr>
          <w:lang w:val="fr-FR"/>
        </w:rPr>
        <w:t>un enfant de consulter un médecin ou d</w:t>
      </w:r>
      <w:r w:rsidR="00277023">
        <w:rPr>
          <w:lang w:val="fr-FR"/>
        </w:rPr>
        <w:t>’</w:t>
      </w:r>
      <w:r w:rsidRPr="00B17D2A">
        <w:rPr>
          <w:lang w:val="fr-FR"/>
        </w:rPr>
        <w:t>avoir accès à son dossier médical est garantie.</w:t>
      </w:r>
    </w:p>
    <w:p w:rsidR="00B17D2A" w:rsidRPr="00B17D2A" w:rsidRDefault="00B17D2A" w:rsidP="00B17D2A">
      <w:pPr>
        <w:pStyle w:val="SingleTxtG"/>
        <w:rPr>
          <w:lang w:val="fr-FR"/>
        </w:rPr>
      </w:pPr>
      <w:r w:rsidRPr="00B17D2A">
        <w:rPr>
          <w:lang w:val="fr-FR"/>
        </w:rPr>
        <w:t xml:space="preserve">(Age minimum requis pour signer un acte relatif à un traitement médical ou une intervention chirurgicale) </w:t>
      </w:r>
    </w:p>
    <w:p w:rsidR="00B17D2A" w:rsidRPr="00B17D2A" w:rsidRDefault="00B17D2A" w:rsidP="00B17D2A">
      <w:pPr>
        <w:pStyle w:val="SingleTxtG"/>
        <w:rPr>
          <w:lang w:val="fr-FR"/>
        </w:rPr>
      </w:pPr>
      <w:r w:rsidRPr="00B17D2A">
        <w:rPr>
          <w:lang w:val="fr-FR"/>
        </w:rPr>
        <w:t>112</w:t>
      </w:r>
      <w:r w:rsidRPr="00B17D2A">
        <w:rPr>
          <w:lang w:val="fr-FR"/>
        </w:rPr>
        <w:tab/>
        <w:t>Le Code civil japonais stipule qu</w:t>
      </w:r>
      <w:r w:rsidR="00277023">
        <w:rPr>
          <w:lang w:val="fr-FR"/>
        </w:rPr>
        <w:t>’</w:t>
      </w:r>
      <w:r w:rsidRPr="00B17D2A">
        <w:rPr>
          <w:lang w:val="fr-FR"/>
        </w:rPr>
        <w:t>à partir de l</w:t>
      </w:r>
      <w:r w:rsidR="00277023">
        <w:rPr>
          <w:lang w:val="fr-FR"/>
        </w:rPr>
        <w:t>’</w:t>
      </w:r>
      <w:r w:rsidRPr="00B17D2A">
        <w:rPr>
          <w:lang w:val="fr-FR"/>
        </w:rPr>
        <w:t>âge de 20 ans, une personne peut accomplir seule des actes juridiques. Si une personne de moins de 20 ans signe un contrat médical ou relatif à une intervention chirurgicale avec un hôpital sans le consentement de son représentant légal, ledit contrat est considéré techniquement valable, mais si l</w:t>
      </w:r>
      <w:r w:rsidR="00277023">
        <w:rPr>
          <w:lang w:val="fr-FR"/>
        </w:rPr>
        <w:t>’</w:t>
      </w:r>
      <w:r w:rsidRPr="00B17D2A">
        <w:rPr>
          <w:lang w:val="fr-FR"/>
        </w:rPr>
        <w:t>acte ne porte pas sur la seule obtention d</w:t>
      </w:r>
      <w:r w:rsidR="00277023">
        <w:rPr>
          <w:lang w:val="fr-FR"/>
        </w:rPr>
        <w:t>’</w:t>
      </w:r>
      <w:r w:rsidRPr="00B17D2A">
        <w:rPr>
          <w:lang w:val="fr-FR"/>
        </w:rPr>
        <w:t>un accord ou d</w:t>
      </w:r>
      <w:r w:rsidR="00277023">
        <w:rPr>
          <w:lang w:val="fr-FR"/>
        </w:rPr>
        <w:t>’</w:t>
      </w:r>
      <w:r w:rsidRPr="00B17D2A">
        <w:rPr>
          <w:lang w:val="fr-FR"/>
        </w:rPr>
        <w:t>une décharge, le mineur ou son représentant légal peut annuler le contrat. En vertu du Code civil japonais, une personne de moins de 20 ans peut effectivement signer un contrat relatif à un acte juridique, un traitement médical ou une intervention chirurgicale sans le consentement du représentant légal. Mais s</w:t>
      </w:r>
      <w:r w:rsidR="00277023">
        <w:rPr>
          <w:lang w:val="fr-FR"/>
        </w:rPr>
        <w:t>’</w:t>
      </w:r>
      <w:r w:rsidRPr="00B17D2A">
        <w:rPr>
          <w:lang w:val="fr-FR"/>
        </w:rPr>
        <w:t>il s</w:t>
      </w:r>
      <w:r w:rsidR="00277023">
        <w:rPr>
          <w:lang w:val="fr-FR"/>
        </w:rPr>
        <w:t>’</w:t>
      </w:r>
      <w:r w:rsidRPr="00B17D2A">
        <w:rPr>
          <w:lang w:val="fr-FR"/>
        </w:rPr>
        <w:t xml:space="preserve">agit de la protéger, le représentant légal peut annuler un contrat de cette nature </w:t>
      </w:r>
      <w:r w:rsidRPr="00B17D2A">
        <w:rPr>
          <w:i/>
          <w:lang w:val="fr-FR"/>
        </w:rPr>
        <w:t>ex post facto</w:t>
      </w:r>
      <w:r w:rsidRPr="00B17D2A">
        <w:rPr>
          <w:lang w:val="fr-FR"/>
        </w:rPr>
        <w:t>.</w:t>
      </w:r>
    </w:p>
    <w:p w:rsidR="00B17D2A" w:rsidRPr="00B17D2A" w:rsidRDefault="00B17D2A" w:rsidP="00B17D2A">
      <w:pPr>
        <w:pStyle w:val="SingleTxtG"/>
        <w:rPr>
          <w:lang w:val="fr-FR"/>
        </w:rPr>
      </w:pPr>
      <w:r w:rsidRPr="00B17D2A">
        <w:rPr>
          <w:lang w:val="fr-FR"/>
        </w:rPr>
        <w:t>(Age de la fin de l</w:t>
      </w:r>
      <w:r w:rsidR="00277023">
        <w:rPr>
          <w:lang w:val="fr-FR"/>
        </w:rPr>
        <w:t>’</w:t>
      </w:r>
      <w:r w:rsidRPr="00B17D2A">
        <w:rPr>
          <w:lang w:val="fr-FR"/>
        </w:rPr>
        <w:t>instruction obligatoire)</w:t>
      </w:r>
    </w:p>
    <w:p w:rsidR="00B17D2A" w:rsidRPr="00B17D2A" w:rsidRDefault="00B17D2A" w:rsidP="00B17D2A">
      <w:pPr>
        <w:pStyle w:val="SingleTxtG"/>
        <w:rPr>
          <w:lang w:val="fr-FR"/>
        </w:rPr>
      </w:pPr>
      <w:r w:rsidRPr="00B17D2A">
        <w:rPr>
          <w:lang w:val="fr-FR"/>
        </w:rPr>
        <w:t>113.</w:t>
      </w:r>
      <w:r w:rsidRPr="00B17D2A">
        <w:rPr>
          <w:lang w:val="fr-FR"/>
        </w:rPr>
        <w:tab/>
        <w:t xml:space="preserve">Voir paragraphe 80 du deuxième rapport du Japon (paragraphe 39 du rapport initial du Japon). </w:t>
      </w:r>
    </w:p>
    <w:p w:rsidR="00B17D2A" w:rsidRPr="00B17D2A" w:rsidRDefault="00B17D2A" w:rsidP="00B17D2A">
      <w:pPr>
        <w:pStyle w:val="SingleTxtG"/>
        <w:rPr>
          <w:lang w:val="fr-FR"/>
        </w:rPr>
      </w:pPr>
      <w:r w:rsidRPr="00B17D2A">
        <w:rPr>
          <w:lang w:val="fr-FR"/>
        </w:rPr>
        <w:t xml:space="preserve">(Age minimum requis pour exécuter un travail à risques, à temps partiel ou à plein temps) </w:t>
      </w:r>
    </w:p>
    <w:p w:rsidR="00B17D2A" w:rsidRPr="00B17D2A" w:rsidRDefault="00B17D2A" w:rsidP="00B17D2A">
      <w:pPr>
        <w:pStyle w:val="SingleTxtG"/>
        <w:rPr>
          <w:lang w:val="fr-FR"/>
        </w:rPr>
      </w:pPr>
      <w:r w:rsidRPr="00B17D2A">
        <w:rPr>
          <w:lang w:val="fr-FR"/>
        </w:rPr>
        <w:t>114.</w:t>
      </w:r>
      <w:r w:rsidRPr="00B17D2A">
        <w:rPr>
          <w:lang w:val="fr-FR"/>
        </w:rPr>
        <w:tab/>
        <w:t xml:space="preserve">Voir paragraphe 81 du deuxième rapport du Japon. </w:t>
      </w:r>
    </w:p>
    <w:p w:rsidR="00B17D2A" w:rsidRPr="00B17D2A" w:rsidRDefault="00B17D2A" w:rsidP="00B17D2A">
      <w:pPr>
        <w:pStyle w:val="SingleTxtG"/>
        <w:rPr>
          <w:lang w:val="fr-FR"/>
        </w:rPr>
      </w:pPr>
      <w:r w:rsidRPr="00B17D2A">
        <w:rPr>
          <w:lang w:val="fr-FR"/>
        </w:rPr>
        <w:t>(Age du mariage)</w:t>
      </w:r>
    </w:p>
    <w:p w:rsidR="00B17D2A" w:rsidRPr="00B17D2A" w:rsidRDefault="00B17D2A" w:rsidP="00B17D2A">
      <w:pPr>
        <w:pStyle w:val="SingleTxtG"/>
        <w:rPr>
          <w:lang w:val="fr-FR"/>
        </w:rPr>
      </w:pPr>
      <w:r w:rsidRPr="00B17D2A">
        <w:rPr>
          <w:lang w:val="fr-FR"/>
        </w:rPr>
        <w:t>115.</w:t>
      </w:r>
      <w:r w:rsidRPr="00B17D2A">
        <w:rPr>
          <w:lang w:val="fr-FR"/>
        </w:rPr>
        <w:tab/>
        <w:t>Voir paragraphe 82 du deuxième rapport du Japon (paragraphe 38 du rapport initial du Japon).</w:t>
      </w:r>
    </w:p>
    <w:p w:rsidR="00B17D2A" w:rsidRPr="00B17D2A" w:rsidRDefault="00B17D2A" w:rsidP="00B17D2A">
      <w:pPr>
        <w:pStyle w:val="SingleTxtG"/>
        <w:rPr>
          <w:lang w:val="fr-FR"/>
        </w:rPr>
      </w:pPr>
      <w:r w:rsidRPr="00B17D2A">
        <w:rPr>
          <w:lang w:val="fr-FR"/>
        </w:rPr>
        <w:t xml:space="preserve">(Crime sexuel) </w:t>
      </w:r>
    </w:p>
    <w:p w:rsidR="00B17D2A" w:rsidRPr="00B17D2A" w:rsidRDefault="00B17D2A" w:rsidP="00B17D2A">
      <w:pPr>
        <w:pStyle w:val="SingleTxtG"/>
        <w:rPr>
          <w:lang w:val="fr-FR"/>
        </w:rPr>
      </w:pPr>
      <w:r w:rsidRPr="00B17D2A">
        <w:rPr>
          <w:lang w:val="fr-FR"/>
        </w:rPr>
        <w:t>116.</w:t>
      </w:r>
      <w:r w:rsidRPr="00B17D2A">
        <w:rPr>
          <w:lang w:val="fr-FR"/>
        </w:rPr>
        <w:tab/>
        <w:t xml:space="preserve">Voir paragraphe 83 du deuxième rapport du Japon et paragraphe 43 du rapport initial du Japon. </w:t>
      </w:r>
    </w:p>
    <w:p w:rsidR="00B17D2A" w:rsidRPr="00B17D2A" w:rsidRDefault="00B17D2A" w:rsidP="00B17D2A">
      <w:pPr>
        <w:pStyle w:val="SingleTxtG"/>
        <w:rPr>
          <w:lang w:val="fr-FR"/>
        </w:rPr>
      </w:pPr>
      <w:r w:rsidRPr="00B17D2A">
        <w:rPr>
          <w:lang w:val="fr-FR"/>
        </w:rPr>
        <w:t>117.</w:t>
      </w:r>
      <w:r w:rsidRPr="00B17D2A">
        <w:rPr>
          <w:lang w:val="fr-FR"/>
        </w:rPr>
        <w:tab/>
        <w:t>Dans les observations finales du Comité des droits de l</w:t>
      </w:r>
      <w:r w:rsidR="00277023">
        <w:rPr>
          <w:lang w:val="fr-FR"/>
        </w:rPr>
        <w:t>’</w:t>
      </w:r>
      <w:r w:rsidRPr="00B17D2A">
        <w:rPr>
          <w:lang w:val="fr-FR"/>
        </w:rPr>
        <w:t>enfant relatives au deuxième rapport du Japon, il a été recommandé au Gouvernement de relever l</w:t>
      </w:r>
      <w:r w:rsidR="00277023">
        <w:rPr>
          <w:lang w:val="fr-FR"/>
        </w:rPr>
        <w:t>’</w:t>
      </w:r>
      <w:r w:rsidRPr="00B17D2A">
        <w:rPr>
          <w:lang w:val="fr-FR"/>
        </w:rPr>
        <w:t xml:space="preserve">âge minimum du consentement sexuel (13 ans). A ce sujet, </w:t>
      </w:r>
      <w:smartTag w:uri="urn:schemas-microsoft-com:office:smarttags" w:element="PersonName">
        <w:smartTagPr>
          <w:attr w:name="ProductID" w:val="la Loi"/>
        </w:smartTagPr>
        <w:r w:rsidRPr="00B17D2A">
          <w:rPr>
            <w:lang w:val="fr-FR"/>
          </w:rPr>
          <w:t>la Loi</w:t>
        </w:r>
      </w:smartTag>
      <w:r w:rsidRPr="00B17D2A">
        <w:rPr>
          <w:lang w:val="fr-FR"/>
        </w:rPr>
        <w:t xml:space="preserve"> relative à la répression de la prostitution des enfants et de la pornographie mettant en scène des enfants et à la protection des enfants promulguée en 1999 stipule qu</w:t>
      </w:r>
      <w:r w:rsidR="00277023">
        <w:rPr>
          <w:lang w:val="fr-FR"/>
        </w:rPr>
        <w:t>’</w:t>
      </w:r>
      <w:r w:rsidRPr="00B17D2A">
        <w:rPr>
          <w:lang w:val="fr-FR"/>
        </w:rPr>
        <w:t>en se fondant sur le principe selon lequel la prostitution enfantine représente une violation des droits de l</w:t>
      </w:r>
      <w:r w:rsidR="00277023">
        <w:rPr>
          <w:lang w:val="fr-FR"/>
        </w:rPr>
        <w:t>’</w:t>
      </w:r>
      <w:r w:rsidRPr="00B17D2A">
        <w:rPr>
          <w:lang w:val="fr-FR"/>
        </w:rPr>
        <w:t>enfant et cause à l</w:t>
      </w:r>
      <w:r w:rsidR="00277023">
        <w:rPr>
          <w:lang w:val="fr-FR"/>
        </w:rPr>
        <w:t>’</w:t>
      </w:r>
      <w:r w:rsidRPr="00B17D2A">
        <w:rPr>
          <w:lang w:val="fr-FR"/>
        </w:rPr>
        <w:t xml:space="preserve">enfant une souffrance physique et psychologique, la prostitution enfantine impliquant un enfant âgé de moins de 18 ans sera punie. Conformément à </w:t>
      </w:r>
      <w:smartTag w:uri="urn:schemas-microsoft-com:office:smarttags" w:element="PersonName">
        <w:smartTagPr>
          <w:attr w:name="ProductID" w:val="la Loi"/>
        </w:smartTagPr>
        <w:r w:rsidRPr="00B17D2A">
          <w:rPr>
            <w:lang w:val="fr-FR"/>
          </w:rPr>
          <w:t>la Loi</w:t>
        </w:r>
      </w:smartTag>
      <w:r w:rsidRPr="00B17D2A">
        <w:rPr>
          <w:lang w:val="fr-FR"/>
        </w:rPr>
        <w:t>, l</w:t>
      </w:r>
      <w:r w:rsidR="00277023">
        <w:rPr>
          <w:lang w:val="fr-FR"/>
        </w:rPr>
        <w:t>’</w:t>
      </w:r>
      <w:r w:rsidRPr="00B17D2A">
        <w:rPr>
          <w:lang w:val="fr-FR"/>
        </w:rPr>
        <w:t>acte d</w:t>
      </w:r>
      <w:r w:rsidR="00277023">
        <w:rPr>
          <w:lang w:val="fr-FR"/>
        </w:rPr>
        <w:t>’</w:t>
      </w:r>
      <w:r w:rsidRPr="00B17D2A">
        <w:rPr>
          <w:lang w:val="fr-FR"/>
        </w:rPr>
        <w:t>offrir une compensation à un enfant, ou de lui faire cette promesse, et d</w:t>
      </w:r>
      <w:r w:rsidR="00277023">
        <w:rPr>
          <w:lang w:val="fr-FR"/>
        </w:rPr>
        <w:t>’</w:t>
      </w:r>
      <w:r w:rsidRPr="00B17D2A">
        <w:rPr>
          <w:lang w:val="fr-FR"/>
        </w:rPr>
        <w:t>avoir une relation sexuelle avec lui est passible d</w:t>
      </w:r>
      <w:r w:rsidR="00277023">
        <w:rPr>
          <w:lang w:val="fr-FR"/>
        </w:rPr>
        <w:t>’</w:t>
      </w:r>
      <w:r w:rsidRPr="00B17D2A">
        <w:rPr>
          <w:lang w:val="fr-FR"/>
        </w:rPr>
        <w:t>une sanction, même dans le cas où l</w:t>
      </w:r>
      <w:r w:rsidR="00277023">
        <w:rPr>
          <w:lang w:val="fr-FR"/>
        </w:rPr>
        <w:t>’</w:t>
      </w:r>
      <w:r w:rsidRPr="00B17D2A">
        <w:rPr>
          <w:lang w:val="fr-FR"/>
        </w:rPr>
        <w:t>enfant est âgé de 13 ans révolus et où la qualification de viol en vertu du Code pénal ne s</w:t>
      </w:r>
      <w:r w:rsidR="00277023">
        <w:rPr>
          <w:lang w:val="fr-FR"/>
        </w:rPr>
        <w:t>’</w:t>
      </w:r>
      <w:r w:rsidRPr="00B17D2A">
        <w:rPr>
          <w:lang w:val="fr-FR"/>
        </w:rPr>
        <w:t>applique pas en raison de l</w:t>
      </w:r>
      <w:r w:rsidR="00277023">
        <w:rPr>
          <w:lang w:val="fr-FR"/>
        </w:rPr>
        <w:t>’</w:t>
      </w:r>
      <w:r w:rsidRPr="00B17D2A">
        <w:rPr>
          <w:lang w:val="fr-FR"/>
        </w:rPr>
        <w:t>absence de violence ou de menaces.</w:t>
      </w:r>
    </w:p>
    <w:p w:rsidR="00B17D2A" w:rsidRPr="00B17D2A" w:rsidRDefault="00B17D2A" w:rsidP="00B17D2A">
      <w:pPr>
        <w:pStyle w:val="SingleTxtG"/>
        <w:rPr>
          <w:lang w:val="fr-FR"/>
        </w:rPr>
      </w:pPr>
      <w:r w:rsidRPr="00B17D2A">
        <w:rPr>
          <w:lang w:val="fr-FR"/>
        </w:rPr>
        <w:t>(Enrôlement volontaire dans les forces armées et conscription)</w:t>
      </w:r>
    </w:p>
    <w:p w:rsidR="00B17D2A" w:rsidRPr="00B17D2A" w:rsidRDefault="00B17D2A" w:rsidP="00B17D2A">
      <w:pPr>
        <w:pStyle w:val="SingleTxtG"/>
        <w:rPr>
          <w:lang w:val="fr-FR"/>
        </w:rPr>
      </w:pPr>
      <w:r w:rsidRPr="00B17D2A">
        <w:rPr>
          <w:lang w:val="fr-FR"/>
        </w:rPr>
        <w:t>118.</w:t>
      </w:r>
      <w:r w:rsidRPr="00B17D2A">
        <w:rPr>
          <w:lang w:val="fr-FR"/>
        </w:rPr>
        <w:tab/>
        <w:t xml:space="preserve">Voir paragraphe 84 du deuxième rapport du Japon. </w:t>
      </w:r>
    </w:p>
    <w:p w:rsidR="00B17D2A" w:rsidRPr="00B17D2A" w:rsidRDefault="00B17D2A" w:rsidP="00B17D2A">
      <w:pPr>
        <w:pStyle w:val="SingleTxtG"/>
        <w:rPr>
          <w:lang w:val="fr-FR"/>
        </w:rPr>
      </w:pPr>
      <w:r w:rsidRPr="00B17D2A">
        <w:rPr>
          <w:lang w:val="fr-FR"/>
        </w:rPr>
        <w:t>(Participation à des hostilités)</w:t>
      </w:r>
    </w:p>
    <w:p w:rsidR="00B17D2A" w:rsidRPr="00B17D2A" w:rsidRDefault="00B17D2A" w:rsidP="00B17D2A">
      <w:pPr>
        <w:pStyle w:val="SingleTxtG"/>
        <w:rPr>
          <w:lang w:val="fr-FR"/>
        </w:rPr>
      </w:pPr>
      <w:r w:rsidRPr="00B17D2A">
        <w:rPr>
          <w:lang w:val="fr-FR"/>
        </w:rPr>
        <w:t>119.</w:t>
      </w:r>
      <w:r w:rsidRPr="00B17D2A">
        <w:rPr>
          <w:lang w:val="fr-FR"/>
        </w:rPr>
        <w:tab/>
        <w:t>Voir paragraphe 85 du deuxième rapport du Japon.</w:t>
      </w:r>
    </w:p>
    <w:p w:rsidR="00B17D2A" w:rsidRPr="00B17D2A" w:rsidRDefault="00B17D2A" w:rsidP="00B17D2A">
      <w:pPr>
        <w:pStyle w:val="SingleTxtG"/>
        <w:rPr>
          <w:lang w:val="fr-FR"/>
        </w:rPr>
      </w:pPr>
      <w:r w:rsidRPr="00B17D2A">
        <w:rPr>
          <w:lang w:val="fr-FR"/>
        </w:rPr>
        <w:t>120.</w:t>
      </w:r>
      <w:r w:rsidRPr="00B17D2A">
        <w:rPr>
          <w:lang w:val="fr-FR"/>
        </w:rPr>
        <w:tab/>
        <w:t xml:space="preserve">Voir paragraphe 4 du chapitre 2 du rapport du Japon relatif au </w:t>
      </w:r>
      <w:r w:rsidR="008E49D4">
        <w:rPr>
          <w:lang w:val="fr-FR"/>
        </w:rPr>
        <w:t>“</w:t>
      </w:r>
      <w:r w:rsidRPr="00B17D2A">
        <w:rPr>
          <w:lang w:val="fr-FR"/>
        </w:rPr>
        <w:t xml:space="preserve">Protocole facultatif à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 concernant l</w:t>
      </w:r>
      <w:r w:rsidR="00277023">
        <w:rPr>
          <w:lang w:val="fr-FR"/>
        </w:rPr>
        <w:t>’</w:t>
      </w:r>
      <w:r w:rsidRPr="00B17D2A">
        <w:rPr>
          <w:lang w:val="fr-FR"/>
        </w:rPr>
        <w:t>implication d</w:t>
      </w:r>
      <w:r w:rsidR="00277023">
        <w:rPr>
          <w:lang w:val="fr-FR"/>
        </w:rPr>
        <w:t>’</w:t>
      </w:r>
      <w:r w:rsidRPr="00B17D2A">
        <w:rPr>
          <w:lang w:val="fr-FR"/>
        </w:rPr>
        <w:t>enfants dans des conflits armés</w:t>
      </w:r>
      <w:r w:rsidR="008E49D4">
        <w:rPr>
          <w:lang w:val="fr-FR"/>
        </w:rPr>
        <w:t>”</w:t>
      </w:r>
      <w:r w:rsidRPr="00B17D2A">
        <w:rPr>
          <w:lang w:val="fr-FR"/>
        </w:rPr>
        <w:t xml:space="preserve">. </w:t>
      </w:r>
    </w:p>
    <w:p w:rsidR="00B17D2A" w:rsidRPr="00B17D2A" w:rsidRDefault="00B17D2A" w:rsidP="00B17D2A">
      <w:pPr>
        <w:pStyle w:val="SingleTxtG"/>
        <w:rPr>
          <w:lang w:val="fr-FR"/>
        </w:rPr>
      </w:pPr>
      <w:r w:rsidRPr="00B17D2A">
        <w:rPr>
          <w:lang w:val="fr-FR"/>
        </w:rPr>
        <w:t>(Responsabilité pénale)</w:t>
      </w:r>
    </w:p>
    <w:p w:rsidR="00B17D2A" w:rsidRPr="00B17D2A" w:rsidRDefault="00B17D2A" w:rsidP="00B17D2A">
      <w:pPr>
        <w:pStyle w:val="SingleTxtG"/>
        <w:rPr>
          <w:lang w:val="fr-FR"/>
        </w:rPr>
      </w:pPr>
      <w:r w:rsidRPr="00B17D2A">
        <w:rPr>
          <w:lang w:val="fr-FR"/>
        </w:rPr>
        <w:t>121.</w:t>
      </w:r>
      <w:r w:rsidRPr="00B17D2A">
        <w:rPr>
          <w:lang w:val="fr-FR"/>
        </w:rPr>
        <w:tab/>
        <w:t xml:space="preserve">Voir paragraphe 86 du deuxième rapport du Japon. </w:t>
      </w:r>
    </w:p>
    <w:p w:rsidR="00B17D2A" w:rsidRPr="00B17D2A" w:rsidRDefault="00B17D2A" w:rsidP="00B17D2A">
      <w:pPr>
        <w:pStyle w:val="SingleTxtG"/>
        <w:rPr>
          <w:lang w:val="fr-FR"/>
        </w:rPr>
      </w:pPr>
      <w:r w:rsidRPr="00B17D2A">
        <w:rPr>
          <w:lang w:val="fr-FR"/>
        </w:rPr>
        <w:t>(Détention pendant l</w:t>
      </w:r>
      <w:r w:rsidR="00277023">
        <w:rPr>
          <w:lang w:val="fr-FR"/>
        </w:rPr>
        <w:t>’</w:t>
      </w:r>
      <w:r w:rsidRPr="00B17D2A">
        <w:rPr>
          <w:lang w:val="fr-FR"/>
        </w:rPr>
        <w:t>enquête)</w:t>
      </w:r>
    </w:p>
    <w:p w:rsidR="00B17D2A" w:rsidRPr="00B17D2A" w:rsidRDefault="00B17D2A" w:rsidP="00B17D2A">
      <w:pPr>
        <w:pStyle w:val="SingleTxtG"/>
        <w:rPr>
          <w:lang w:val="fr-FR"/>
        </w:rPr>
      </w:pPr>
      <w:r w:rsidRPr="00B17D2A">
        <w:rPr>
          <w:lang w:val="fr-FR"/>
        </w:rPr>
        <w:t>122.</w:t>
      </w:r>
      <w:r w:rsidRPr="00B17D2A">
        <w:rPr>
          <w:lang w:val="fr-FR"/>
        </w:rPr>
        <w:tab/>
        <w:t xml:space="preserve">Voir paragraphe 87 du deuxième rapport du Japon. </w:t>
      </w:r>
    </w:p>
    <w:p w:rsidR="00B17D2A" w:rsidRPr="00B17D2A" w:rsidRDefault="00B17D2A" w:rsidP="00E67B78">
      <w:pPr>
        <w:pStyle w:val="SingleTxtG"/>
        <w:keepNext/>
        <w:rPr>
          <w:lang w:val="fr-FR"/>
        </w:rPr>
      </w:pPr>
      <w:r w:rsidRPr="00B17D2A">
        <w:rPr>
          <w:lang w:val="fr-FR"/>
        </w:rPr>
        <w:t>(Transfert dans un établissement pénitentiaire)</w:t>
      </w:r>
    </w:p>
    <w:p w:rsidR="00B17D2A" w:rsidRPr="00B17D2A" w:rsidRDefault="00B17D2A" w:rsidP="00B17D2A">
      <w:pPr>
        <w:pStyle w:val="SingleTxtG"/>
        <w:rPr>
          <w:lang w:val="fr-FR"/>
        </w:rPr>
      </w:pPr>
      <w:r w:rsidRPr="00B17D2A">
        <w:rPr>
          <w:lang w:val="fr-FR"/>
        </w:rPr>
        <w:t>123.</w:t>
      </w:r>
      <w:r w:rsidRPr="00B17D2A">
        <w:rPr>
          <w:lang w:val="fr-FR"/>
        </w:rPr>
        <w:tab/>
        <w:t xml:space="preserve">Voir paragraphes 88-90 du deuxième rapport du Japon. </w:t>
      </w:r>
    </w:p>
    <w:p w:rsidR="00B17D2A" w:rsidRPr="00B17D2A" w:rsidRDefault="00B17D2A" w:rsidP="00B17D2A">
      <w:pPr>
        <w:pStyle w:val="SingleTxtG"/>
        <w:rPr>
          <w:lang w:val="fr-FR"/>
        </w:rPr>
      </w:pPr>
      <w:r w:rsidRPr="00B17D2A">
        <w:rPr>
          <w:lang w:val="fr-FR"/>
        </w:rPr>
        <w:t>(Détention/rétention des migrants)</w:t>
      </w:r>
    </w:p>
    <w:p w:rsidR="00B17D2A" w:rsidRPr="00B17D2A" w:rsidRDefault="00B17D2A" w:rsidP="00B17D2A">
      <w:pPr>
        <w:pStyle w:val="SingleTxtG"/>
        <w:rPr>
          <w:bCs/>
          <w:lang w:val="fr-FR"/>
        </w:rPr>
      </w:pPr>
      <w:r w:rsidRPr="00B17D2A">
        <w:rPr>
          <w:bCs/>
          <w:lang w:val="fr-FR"/>
        </w:rPr>
        <w:t>124.</w:t>
      </w:r>
      <w:r w:rsidRPr="00B17D2A">
        <w:rPr>
          <w:bCs/>
          <w:lang w:val="fr-FR"/>
        </w:rPr>
        <w:tab/>
        <w:t>Il n</w:t>
      </w:r>
      <w:r w:rsidR="00277023">
        <w:rPr>
          <w:bCs/>
          <w:lang w:val="fr-FR"/>
        </w:rPr>
        <w:t>’</w:t>
      </w:r>
      <w:r w:rsidRPr="00B17D2A">
        <w:rPr>
          <w:bCs/>
          <w:lang w:val="fr-FR"/>
        </w:rPr>
        <w:t>y a pas de limite d</w:t>
      </w:r>
      <w:r w:rsidR="00277023">
        <w:rPr>
          <w:bCs/>
          <w:lang w:val="fr-FR"/>
        </w:rPr>
        <w:t>’</w:t>
      </w:r>
      <w:r w:rsidRPr="00B17D2A">
        <w:rPr>
          <w:bCs/>
          <w:lang w:val="fr-FR"/>
        </w:rPr>
        <w:t>âge applicable à la détention de migrants s</w:t>
      </w:r>
      <w:r w:rsidR="00277023">
        <w:rPr>
          <w:bCs/>
          <w:lang w:val="fr-FR"/>
        </w:rPr>
        <w:t>’</w:t>
      </w:r>
      <w:r w:rsidRPr="00B17D2A">
        <w:rPr>
          <w:bCs/>
          <w:lang w:val="fr-FR"/>
        </w:rPr>
        <w:t>il existe des motifs d</w:t>
      </w:r>
      <w:r w:rsidR="00277023">
        <w:rPr>
          <w:bCs/>
          <w:lang w:val="fr-FR"/>
        </w:rPr>
        <w:t>’</w:t>
      </w:r>
      <w:r w:rsidRPr="00B17D2A">
        <w:rPr>
          <w:bCs/>
          <w:lang w:val="fr-FR"/>
        </w:rPr>
        <w:t xml:space="preserve">expulsion en vertu de </w:t>
      </w:r>
      <w:smartTag w:uri="urn:schemas-microsoft-com:office:smarttags" w:element="PersonName">
        <w:smartTagPr>
          <w:attr w:name="ProductID" w:val="la Loi"/>
        </w:smartTagPr>
        <w:r w:rsidRPr="00B17D2A">
          <w:rPr>
            <w:bCs/>
            <w:lang w:val="fr-FR"/>
          </w:rPr>
          <w:t>la Loi</w:t>
        </w:r>
      </w:smartTag>
      <w:r w:rsidRPr="00B17D2A">
        <w:rPr>
          <w:bCs/>
          <w:lang w:val="fr-FR"/>
        </w:rPr>
        <w:t xml:space="preserve"> sur le contrôle de l</w:t>
      </w:r>
      <w:r w:rsidR="00277023">
        <w:rPr>
          <w:bCs/>
          <w:lang w:val="fr-FR"/>
        </w:rPr>
        <w:t>’</w:t>
      </w:r>
      <w:r w:rsidRPr="00B17D2A">
        <w:rPr>
          <w:bCs/>
          <w:lang w:val="fr-FR"/>
        </w:rPr>
        <w:t>immigration et la reconnaissance du statut de réfugié, et si un arrêté de placement en rétention a été pris ou si le migrant est sous le coup d</w:t>
      </w:r>
      <w:r w:rsidR="00277023">
        <w:rPr>
          <w:bCs/>
          <w:lang w:val="fr-FR"/>
        </w:rPr>
        <w:t>’</w:t>
      </w:r>
      <w:r w:rsidRPr="00B17D2A">
        <w:rPr>
          <w:bCs/>
          <w:lang w:val="fr-FR"/>
        </w:rPr>
        <w:t>un arrêté d</w:t>
      </w:r>
      <w:r w:rsidR="00277023">
        <w:rPr>
          <w:bCs/>
          <w:lang w:val="fr-FR"/>
        </w:rPr>
        <w:t>’</w:t>
      </w:r>
      <w:r w:rsidRPr="00B17D2A">
        <w:rPr>
          <w:bCs/>
          <w:lang w:val="fr-FR"/>
        </w:rPr>
        <w:t>expulsion en vertu de ladite Loi. Cependant, les autorités tentent d</w:t>
      </w:r>
      <w:r w:rsidR="00277023">
        <w:rPr>
          <w:bCs/>
          <w:lang w:val="fr-FR"/>
        </w:rPr>
        <w:t>’</w:t>
      </w:r>
      <w:r w:rsidRPr="00B17D2A">
        <w:rPr>
          <w:bCs/>
          <w:lang w:val="fr-FR"/>
        </w:rPr>
        <w:t>éviter le placement d</w:t>
      </w:r>
      <w:r w:rsidR="00277023">
        <w:rPr>
          <w:bCs/>
          <w:lang w:val="fr-FR"/>
        </w:rPr>
        <w:t>’</w:t>
      </w:r>
      <w:r w:rsidRPr="00B17D2A">
        <w:rPr>
          <w:bCs/>
          <w:lang w:val="fr-FR"/>
        </w:rPr>
        <w:t>enfants en centre de rétention et préfèrent leur accorder une mise en liberté provisoire, en fonction de l</w:t>
      </w:r>
      <w:r w:rsidR="00277023">
        <w:rPr>
          <w:bCs/>
          <w:lang w:val="fr-FR"/>
        </w:rPr>
        <w:t>’</w:t>
      </w:r>
      <w:r w:rsidRPr="00B17D2A">
        <w:rPr>
          <w:bCs/>
          <w:lang w:val="fr-FR"/>
        </w:rPr>
        <w:t>âge et de l</w:t>
      </w:r>
      <w:r w:rsidR="00277023">
        <w:rPr>
          <w:bCs/>
          <w:lang w:val="fr-FR"/>
        </w:rPr>
        <w:t>’</w:t>
      </w:r>
      <w:r w:rsidRPr="00B17D2A">
        <w:rPr>
          <w:bCs/>
          <w:lang w:val="fr-FR"/>
        </w:rPr>
        <w:t>état de santé de l</w:t>
      </w:r>
      <w:r w:rsidR="00277023">
        <w:rPr>
          <w:bCs/>
          <w:lang w:val="fr-FR"/>
        </w:rPr>
        <w:t>’</w:t>
      </w:r>
      <w:r w:rsidRPr="00B17D2A">
        <w:rPr>
          <w:bCs/>
          <w:lang w:val="fr-FR"/>
        </w:rPr>
        <w:t>enfant, même en présence d</w:t>
      </w:r>
      <w:r w:rsidR="00277023">
        <w:rPr>
          <w:bCs/>
          <w:lang w:val="fr-FR"/>
        </w:rPr>
        <w:t>’</w:t>
      </w:r>
      <w:r w:rsidRPr="00B17D2A">
        <w:rPr>
          <w:bCs/>
          <w:lang w:val="fr-FR"/>
        </w:rPr>
        <w:t>un arrêté de placement en rétention ou d</w:t>
      </w:r>
      <w:r w:rsidR="00277023">
        <w:rPr>
          <w:bCs/>
          <w:lang w:val="fr-FR"/>
        </w:rPr>
        <w:t>’</w:t>
      </w:r>
      <w:r w:rsidRPr="00B17D2A">
        <w:rPr>
          <w:bCs/>
          <w:lang w:val="fr-FR"/>
        </w:rPr>
        <w:t>expulsion pris à l</w:t>
      </w:r>
      <w:r w:rsidR="00277023">
        <w:rPr>
          <w:bCs/>
          <w:lang w:val="fr-FR"/>
        </w:rPr>
        <w:t>’</w:t>
      </w:r>
      <w:r w:rsidRPr="00B17D2A">
        <w:rPr>
          <w:bCs/>
          <w:lang w:val="fr-FR"/>
        </w:rPr>
        <w:t>encontre de l</w:t>
      </w:r>
      <w:r w:rsidR="00277023">
        <w:rPr>
          <w:bCs/>
          <w:lang w:val="fr-FR"/>
        </w:rPr>
        <w:t>’</w:t>
      </w:r>
      <w:r w:rsidRPr="00B17D2A">
        <w:rPr>
          <w:bCs/>
          <w:lang w:val="fr-FR"/>
        </w:rPr>
        <w:t>enfant. En outre, si l</w:t>
      </w:r>
      <w:r w:rsidR="00277023">
        <w:rPr>
          <w:bCs/>
          <w:lang w:val="fr-FR"/>
        </w:rPr>
        <w:t>’</w:t>
      </w:r>
      <w:r w:rsidRPr="00B17D2A">
        <w:rPr>
          <w:bCs/>
          <w:lang w:val="fr-FR"/>
        </w:rPr>
        <w:t>enfant est placé en centre de rétention, les autorités veillent à ce que l</w:t>
      </w:r>
      <w:r w:rsidR="00277023">
        <w:rPr>
          <w:bCs/>
          <w:lang w:val="fr-FR"/>
        </w:rPr>
        <w:t>’</w:t>
      </w:r>
      <w:r w:rsidRPr="00B17D2A">
        <w:rPr>
          <w:bCs/>
          <w:lang w:val="fr-FR"/>
        </w:rPr>
        <w:t>enfant y séjourne sur une durée aussi courte que possible.</w:t>
      </w:r>
    </w:p>
    <w:p w:rsidR="00B17D2A" w:rsidRPr="00B17D2A" w:rsidRDefault="00B17D2A" w:rsidP="00B17D2A">
      <w:pPr>
        <w:pStyle w:val="SingleTxtG"/>
        <w:rPr>
          <w:lang w:val="fr-FR"/>
        </w:rPr>
      </w:pPr>
      <w:r w:rsidRPr="00B17D2A">
        <w:rPr>
          <w:lang w:val="fr-FR"/>
        </w:rPr>
        <w:t>(Peine capitale et emprisonnement à vie)</w:t>
      </w:r>
    </w:p>
    <w:p w:rsidR="00B17D2A" w:rsidRPr="00B17D2A" w:rsidRDefault="00B17D2A" w:rsidP="00B17D2A">
      <w:pPr>
        <w:pStyle w:val="SingleTxtG"/>
        <w:rPr>
          <w:lang w:val="fr-FR"/>
        </w:rPr>
      </w:pPr>
      <w:r w:rsidRPr="00B17D2A">
        <w:rPr>
          <w:lang w:val="fr-FR"/>
        </w:rPr>
        <w:t>125.</w:t>
      </w:r>
      <w:r w:rsidRPr="00B17D2A">
        <w:rPr>
          <w:lang w:val="fr-FR"/>
        </w:rPr>
        <w:tab/>
        <w:t xml:space="preserve">Voir paragraphe 91 du deuxième rapport du Japon. </w:t>
      </w:r>
    </w:p>
    <w:p w:rsidR="00B17D2A" w:rsidRPr="00B17D2A" w:rsidRDefault="00B17D2A" w:rsidP="00B17D2A">
      <w:pPr>
        <w:pStyle w:val="SingleTxtG"/>
        <w:rPr>
          <w:lang w:val="fr-FR"/>
        </w:rPr>
      </w:pPr>
      <w:r w:rsidRPr="00B17D2A">
        <w:rPr>
          <w:lang w:val="fr-FR"/>
        </w:rPr>
        <w:t>(Citation comme témoin dans un procès au civil)</w:t>
      </w:r>
    </w:p>
    <w:p w:rsidR="00B17D2A" w:rsidRPr="00B17D2A" w:rsidRDefault="00B17D2A" w:rsidP="00B17D2A">
      <w:pPr>
        <w:pStyle w:val="SingleTxtG"/>
        <w:rPr>
          <w:lang w:val="fr-FR"/>
        </w:rPr>
      </w:pPr>
      <w:r w:rsidRPr="00B17D2A">
        <w:rPr>
          <w:lang w:val="fr-FR"/>
        </w:rPr>
        <w:t>126.</w:t>
      </w:r>
      <w:r w:rsidRPr="00B17D2A">
        <w:rPr>
          <w:lang w:val="fr-FR"/>
        </w:rPr>
        <w:tab/>
        <w:t xml:space="preserve">Voir paragraphe 92 du deuxième rapport du Japon. </w:t>
      </w:r>
    </w:p>
    <w:p w:rsidR="00B17D2A" w:rsidRPr="00B17D2A" w:rsidRDefault="00B17D2A" w:rsidP="00B17D2A">
      <w:pPr>
        <w:pStyle w:val="SingleTxtG"/>
        <w:rPr>
          <w:lang w:val="fr-FR"/>
        </w:rPr>
      </w:pPr>
      <w:r w:rsidRPr="00B17D2A">
        <w:rPr>
          <w:lang w:val="fr-FR"/>
        </w:rPr>
        <w:t>(Citation comme témoin dans un procès au pénal)</w:t>
      </w:r>
    </w:p>
    <w:p w:rsidR="00B17D2A" w:rsidRPr="00B17D2A" w:rsidRDefault="00B17D2A" w:rsidP="00B17D2A">
      <w:pPr>
        <w:pStyle w:val="SingleTxtG"/>
        <w:rPr>
          <w:lang w:val="fr-FR"/>
        </w:rPr>
      </w:pPr>
      <w:r w:rsidRPr="00B17D2A">
        <w:rPr>
          <w:lang w:val="fr-FR"/>
        </w:rPr>
        <w:t>127.</w:t>
      </w:r>
      <w:r w:rsidRPr="00B17D2A">
        <w:rPr>
          <w:lang w:val="fr-FR"/>
        </w:rPr>
        <w:tab/>
        <w:t xml:space="preserve">Voir paragraphe 93 du deuxième rapport du Japon. </w:t>
      </w:r>
    </w:p>
    <w:p w:rsidR="00B17D2A" w:rsidRPr="00B17D2A" w:rsidRDefault="00B17D2A" w:rsidP="00B17D2A">
      <w:pPr>
        <w:pStyle w:val="SingleTxtG"/>
        <w:rPr>
          <w:lang w:val="fr-FR"/>
        </w:rPr>
      </w:pPr>
      <w:r w:rsidRPr="00B17D2A">
        <w:rPr>
          <w:lang w:val="fr-FR"/>
        </w:rPr>
        <w:t>(Age minimum requis pour intenter une action en justice)</w:t>
      </w:r>
    </w:p>
    <w:p w:rsidR="00B17D2A" w:rsidRPr="00B17D2A" w:rsidRDefault="00B17D2A" w:rsidP="00B17D2A">
      <w:pPr>
        <w:pStyle w:val="SingleTxtG"/>
        <w:rPr>
          <w:lang w:val="fr-FR"/>
        </w:rPr>
      </w:pPr>
      <w:r w:rsidRPr="00B17D2A">
        <w:rPr>
          <w:lang w:val="fr-FR"/>
        </w:rPr>
        <w:t>128.</w:t>
      </w:r>
      <w:r w:rsidRPr="00B17D2A">
        <w:rPr>
          <w:lang w:val="fr-FR"/>
        </w:rPr>
        <w:tab/>
        <w:t>En principe, une personne qui veut accomplir seule un acte de procédure tel qu</w:t>
      </w:r>
      <w:r w:rsidR="00277023">
        <w:rPr>
          <w:lang w:val="fr-FR"/>
        </w:rPr>
        <w:t>’</w:t>
      </w:r>
      <w:r w:rsidRPr="00B17D2A">
        <w:rPr>
          <w:lang w:val="fr-FR"/>
        </w:rPr>
        <w:t>intenter une action civile doit avoir atteint l</w:t>
      </w:r>
      <w:r w:rsidR="00277023">
        <w:rPr>
          <w:lang w:val="fr-FR"/>
        </w:rPr>
        <w:t>’</w:t>
      </w:r>
      <w:r w:rsidRPr="00B17D2A">
        <w:rPr>
          <w:lang w:val="fr-FR"/>
        </w:rPr>
        <w:t>âge de la maturité (20 ans révolus) (voir article 28 du Code de procédure civile). Bien qu</w:t>
      </w:r>
      <w:r w:rsidR="00277023">
        <w:rPr>
          <w:lang w:val="fr-FR"/>
        </w:rPr>
        <w:t>’</w:t>
      </w:r>
      <w:r w:rsidRPr="00B17D2A">
        <w:rPr>
          <w:lang w:val="fr-FR"/>
        </w:rPr>
        <w:t>un mineur puisse être partie à une action civile, l</w:t>
      </w:r>
      <w:r w:rsidR="00277023">
        <w:rPr>
          <w:lang w:val="fr-FR"/>
        </w:rPr>
        <w:t>’</w:t>
      </w:r>
      <w:r w:rsidRPr="00B17D2A">
        <w:rPr>
          <w:lang w:val="fr-FR"/>
        </w:rPr>
        <w:t>acte de procédure tel l</w:t>
      </w:r>
      <w:r w:rsidR="00277023">
        <w:rPr>
          <w:lang w:val="fr-FR"/>
        </w:rPr>
        <w:t>’</w:t>
      </w:r>
      <w:r w:rsidRPr="00B17D2A">
        <w:rPr>
          <w:lang w:val="fr-FR"/>
        </w:rPr>
        <w:t>engagement d</w:t>
      </w:r>
      <w:r w:rsidR="00277023">
        <w:rPr>
          <w:lang w:val="fr-FR"/>
        </w:rPr>
        <w:t>’</w:t>
      </w:r>
      <w:r w:rsidRPr="00B17D2A">
        <w:rPr>
          <w:lang w:val="fr-FR"/>
        </w:rPr>
        <w:t>une action sera en principe accompli par le représentant légal, par exemple une personne investie de l</w:t>
      </w:r>
      <w:r w:rsidR="00277023">
        <w:rPr>
          <w:lang w:val="fr-FR"/>
        </w:rPr>
        <w:t>’</w:t>
      </w:r>
      <w:r w:rsidRPr="00B17D2A">
        <w:rPr>
          <w:lang w:val="fr-FR"/>
        </w:rPr>
        <w:t>autorité parentale. Cependant, s</w:t>
      </w:r>
      <w:r w:rsidR="00277023">
        <w:rPr>
          <w:lang w:val="fr-FR"/>
        </w:rPr>
        <w:t>’</w:t>
      </w:r>
      <w:r w:rsidRPr="00B17D2A">
        <w:rPr>
          <w:lang w:val="fr-FR"/>
        </w:rPr>
        <w:t>agissant d</w:t>
      </w:r>
      <w:r w:rsidR="00277023">
        <w:rPr>
          <w:lang w:val="fr-FR"/>
        </w:rPr>
        <w:t>’</w:t>
      </w:r>
      <w:r w:rsidRPr="00B17D2A">
        <w:rPr>
          <w:lang w:val="fr-FR"/>
        </w:rPr>
        <w:t>une action concernant son statut personnel, une personne peut accomplir un acte de procédure même si elle est mineure (voir premier paragraphe de l</w:t>
      </w:r>
      <w:r w:rsidR="00277023">
        <w:rPr>
          <w:lang w:val="fr-FR"/>
        </w:rPr>
        <w:t>’</w:t>
      </w:r>
      <w:r w:rsidRPr="00B17D2A">
        <w:rPr>
          <w:lang w:val="fr-FR"/>
        </w:rPr>
        <w:t>article 13 du Code de procédure relatif aux affaires de statut personnel). Pour ce qui est des procédures pénales, aucun individu, même âgé de plus de 20 ans, n</w:t>
      </w:r>
      <w:r w:rsidR="00277023">
        <w:rPr>
          <w:lang w:val="fr-FR"/>
        </w:rPr>
        <w:t>’</w:t>
      </w:r>
      <w:r w:rsidRPr="00B17D2A">
        <w:rPr>
          <w:lang w:val="fr-FR"/>
        </w:rPr>
        <w:t xml:space="preserve">est autorisé à engager des poursuites. </w:t>
      </w:r>
    </w:p>
    <w:p w:rsidR="00B17D2A" w:rsidRPr="00B17D2A" w:rsidRDefault="00B17D2A" w:rsidP="00B17D2A">
      <w:pPr>
        <w:pStyle w:val="SingleTxtG"/>
        <w:rPr>
          <w:lang w:val="fr-FR"/>
        </w:rPr>
      </w:pPr>
      <w:r w:rsidRPr="00B17D2A">
        <w:rPr>
          <w:lang w:val="fr-FR"/>
        </w:rPr>
        <w:t>(Age minimum requis pour participer à une procédure administrative ou judiciaire)</w:t>
      </w:r>
    </w:p>
    <w:p w:rsidR="00B17D2A" w:rsidRPr="00B17D2A" w:rsidRDefault="00B17D2A" w:rsidP="00B17D2A">
      <w:pPr>
        <w:pStyle w:val="SingleTxtG"/>
        <w:rPr>
          <w:lang w:val="fr-FR"/>
        </w:rPr>
      </w:pPr>
      <w:r w:rsidRPr="00B17D2A">
        <w:rPr>
          <w:lang w:val="fr-FR"/>
        </w:rPr>
        <w:t>129.</w:t>
      </w:r>
      <w:r w:rsidRPr="00B17D2A">
        <w:rPr>
          <w:lang w:val="fr-FR"/>
        </w:rPr>
        <w:tab/>
        <w:t xml:space="preserve">Voir paragraphe 95 du deuxième rapport du Japon. </w:t>
      </w:r>
    </w:p>
    <w:p w:rsidR="00B17D2A" w:rsidRPr="00B17D2A" w:rsidRDefault="00B17D2A" w:rsidP="00B17D2A">
      <w:pPr>
        <w:pStyle w:val="SingleTxtG"/>
        <w:rPr>
          <w:lang w:val="fr-FR"/>
        </w:rPr>
      </w:pPr>
      <w:r w:rsidRPr="00B17D2A">
        <w:rPr>
          <w:lang w:val="fr-FR"/>
        </w:rPr>
        <w:t>(Age minimum requis pour être passible d</w:t>
      </w:r>
      <w:r w:rsidR="00277023">
        <w:rPr>
          <w:lang w:val="fr-FR"/>
        </w:rPr>
        <w:t>’</w:t>
      </w:r>
      <w:r w:rsidRPr="00B17D2A">
        <w:rPr>
          <w:lang w:val="fr-FR"/>
        </w:rPr>
        <w:t>une inculpation pénale)</w:t>
      </w:r>
    </w:p>
    <w:p w:rsidR="00B17D2A" w:rsidRPr="00B17D2A" w:rsidRDefault="00B17D2A" w:rsidP="00B17D2A">
      <w:pPr>
        <w:pStyle w:val="SingleTxtG"/>
        <w:rPr>
          <w:lang w:val="fr-FR"/>
        </w:rPr>
      </w:pPr>
      <w:r w:rsidRPr="00B17D2A">
        <w:rPr>
          <w:lang w:val="fr-FR"/>
        </w:rPr>
        <w:t>130.</w:t>
      </w:r>
      <w:r w:rsidRPr="00B17D2A">
        <w:rPr>
          <w:lang w:val="fr-FR"/>
        </w:rPr>
        <w:tab/>
        <w:t xml:space="preserve">Voir paragraphe 96 du deuxième rapport du Japon. </w:t>
      </w:r>
    </w:p>
    <w:p w:rsidR="00B17D2A" w:rsidRPr="00B17D2A" w:rsidRDefault="00B17D2A" w:rsidP="00B17D2A">
      <w:pPr>
        <w:pStyle w:val="SingleTxtG"/>
        <w:rPr>
          <w:lang w:val="fr-FR"/>
        </w:rPr>
      </w:pPr>
      <w:r w:rsidRPr="00B17D2A">
        <w:rPr>
          <w:lang w:val="fr-FR"/>
        </w:rPr>
        <w:t>(Age minimum requis pour modifier son état civil)</w:t>
      </w:r>
    </w:p>
    <w:p w:rsidR="00B17D2A" w:rsidRPr="00B17D2A" w:rsidRDefault="00B17D2A" w:rsidP="00B17D2A">
      <w:pPr>
        <w:pStyle w:val="SingleTxtG"/>
        <w:rPr>
          <w:lang w:val="fr-FR"/>
        </w:rPr>
      </w:pPr>
      <w:r w:rsidRPr="00B17D2A">
        <w:rPr>
          <w:lang w:val="fr-FR"/>
        </w:rPr>
        <w:t>131.</w:t>
      </w:r>
      <w:r w:rsidRPr="00B17D2A">
        <w:rPr>
          <w:lang w:val="fr-FR"/>
        </w:rPr>
        <w:tab/>
        <w:t xml:space="preserve">Voir paragraphe 97 du deuxième rapport du Japon. </w:t>
      </w:r>
    </w:p>
    <w:p w:rsidR="00B17D2A" w:rsidRPr="00B17D2A" w:rsidRDefault="00B17D2A" w:rsidP="00B17D2A">
      <w:pPr>
        <w:pStyle w:val="SingleTxtG"/>
        <w:rPr>
          <w:lang w:val="fr-FR"/>
        </w:rPr>
      </w:pPr>
      <w:r w:rsidRPr="00B17D2A">
        <w:rPr>
          <w:lang w:val="fr-FR"/>
        </w:rPr>
        <w:t xml:space="preserve">(Age minimum requis pour avoir accès au livret de famille) </w:t>
      </w:r>
    </w:p>
    <w:p w:rsidR="00B17D2A" w:rsidRPr="00B17D2A" w:rsidRDefault="00B17D2A" w:rsidP="00B17D2A">
      <w:pPr>
        <w:pStyle w:val="SingleTxtG"/>
        <w:rPr>
          <w:lang w:val="fr-FR"/>
        </w:rPr>
      </w:pPr>
      <w:r w:rsidRPr="00B17D2A">
        <w:rPr>
          <w:lang w:val="fr-FR"/>
        </w:rPr>
        <w:t>132.</w:t>
      </w:r>
      <w:r w:rsidRPr="00B17D2A">
        <w:rPr>
          <w:lang w:val="fr-FR"/>
        </w:rPr>
        <w:tab/>
        <w:t xml:space="preserve">Voir paragraphes 73, 76, 77 et 78 du rapport initial du Japon et paragraphe 98 du deuxième rapport du Japon. </w:t>
      </w:r>
    </w:p>
    <w:p w:rsidR="00B17D2A" w:rsidRPr="00B17D2A" w:rsidRDefault="00B17D2A" w:rsidP="00B17D2A">
      <w:pPr>
        <w:pStyle w:val="SingleTxtG"/>
        <w:rPr>
          <w:lang w:val="fr-FR"/>
        </w:rPr>
      </w:pPr>
      <w:r w:rsidRPr="00B17D2A">
        <w:rPr>
          <w:lang w:val="fr-FR"/>
        </w:rPr>
        <w:t>(Capacité juridique au regard de l</w:t>
      </w:r>
      <w:r w:rsidR="00277023">
        <w:rPr>
          <w:lang w:val="fr-FR"/>
        </w:rPr>
        <w:t>’</w:t>
      </w:r>
      <w:r w:rsidRPr="00B17D2A">
        <w:rPr>
          <w:lang w:val="fr-FR"/>
        </w:rPr>
        <w:t>héritage et de la cession d</w:t>
      </w:r>
      <w:r w:rsidR="00277023">
        <w:rPr>
          <w:lang w:val="fr-FR"/>
        </w:rPr>
        <w:t>’</w:t>
      </w:r>
      <w:r w:rsidRPr="00B17D2A">
        <w:rPr>
          <w:lang w:val="fr-FR"/>
        </w:rPr>
        <w:t>actifs)</w:t>
      </w:r>
    </w:p>
    <w:p w:rsidR="00B17D2A" w:rsidRPr="00B17D2A" w:rsidRDefault="00B17D2A" w:rsidP="00B17D2A">
      <w:pPr>
        <w:pStyle w:val="SingleTxtG"/>
        <w:rPr>
          <w:lang w:val="fr-FR"/>
        </w:rPr>
      </w:pPr>
      <w:r w:rsidRPr="00B17D2A">
        <w:rPr>
          <w:lang w:val="fr-FR"/>
        </w:rPr>
        <w:t>133.</w:t>
      </w:r>
      <w:r w:rsidRPr="00B17D2A">
        <w:rPr>
          <w:lang w:val="fr-FR"/>
        </w:rPr>
        <w:tab/>
        <w:t xml:space="preserve">Voir paragraphe 99 du deuxième rapport du Japon. </w:t>
      </w:r>
    </w:p>
    <w:p w:rsidR="00B17D2A" w:rsidRPr="00B17D2A" w:rsidRDefault="00B17D2A" w:rsidP="00E67B78">
      <w:pPr>
        <w:pStyle w:val="SingleTxtG"/>
        <w:keepNext/>
        <w:rPr>
          <w:lang w:val="fr-FR"/>
        </w:rPr>
      </w:pPr>
      <w:r w:rsidRPr="00B17D2A">
        <w:rPr>
          <w:lang w:val="fr-FR"/>
        </w:rPr>
        <w:t>(Fondation d</w:t>
      </w:r>
      <w:r w:rsidR="00277023">
        <w:rPr>
          <w:lang w:val="fr-FR"/>
        </w:rPr>
        <w:t>’</w:t>
      </w:r>
      <w:r w:rsidRPr="00B17D2A">
        <w:rPr>
          <w:lang w:val="fr-FR"/>
        </w:rPr>
        <w:t>une organisation et engagement dans une organisation)</w:t>
      </w:r>
    </w:p>
    <w:p w:rsidR="00B17D2A" w:rsidRPr="00B17D2A" w:rsidRDefault="00B17D2A" w:rsidP="00B17D2A">
      <w:pPr>
        <w:pStyle w:val="SingleTxtG"/>
        <w:rPr>
          <w:lang w:val="fr-FR"/>
        </w:rPr>
      </w:pPr>
      <w:r w:rsidRPr="00B17D2A">
        <w:rPr>
          <w:lang w:val="fr-FR"/>
        </w:rPr>
        <w:t>134.</w:t>
      </w:r>
      <w:r w:rsidRPr="00B17D2A">
        <w:rPr>
          <w:lang w:val="fr-FR"/>
        </w:rPr>
        <w:tab/>
        <w:t>Au Japon, le Code civil stipule qu</w:t>
      </w:r>
      <w:r w:rsidR="00277023">
        <w:rPr>
          <w:lang w:val="fr-FR"/>
        </w:rPr>
        <w:t>’</w:t>
      </w:r>
      <w:r w:rsidRPr="00B17D2A">
        <w:rPr>
          <w:lang w:val="fr-FR"/>
        </w:rPr>
        <w:t>à partir de l</w:t>
      </w:r>
      <w:r w:rsidR="00277023">
        <w:rPr>
          <w:lang w:val="fr-FR"/>
        </w:rPr>
        <w:t>’</w:t>
      </w:r>
      <w:r w:rsidRPr="00B17D2A">
        <w:rPr>
          <w:lang w:val="fr-FR"/>
        </w:rPr>
        <w:t>âge de 20 ans, une personne peut accomplir seule des actes juridiques. Pour cette raison, si une personne de moins de 20 ans (par exemple un mineur) accomplit un acte juridique portant sur la fondation d</w:t>
      </w:r>
      <w:r w:rsidR="00277023">
        <w:rPr>
          <w:lang w:val="fr-FR"/>
        </w:rPr>
        <w:t>’</w:t>
      </w:r>
      <w:r w:rsidRPr="00B17D2A">
        <w:rPr>
          <w:lang w:val="fr-FR"/>
        </w:rPr>
        <w:t>une organisation ou l</w:t>
      </w:r>
      <w:r w:rsidR="00277023">
        <w:rPr>
          <w:lang w:val="fr-FR"/>
        </w:rPr>
        <w:t>’</w:t>
      </w:r>
      <w:r w:rsidRPr="00B17D2A">
        <w:rPr>
          <w:lang w:val="fr-FR"/>
        </w:rPr>
        <w:t>engagement dans une organisation sans le consentement de son représentant légal, l</w:t>
      </w:r>
      <w:r w:rsidR="00277023">
        <w:rPr>
          <w:lang w:val="fr-FR"/>
        </w:rPr>
        <w:t>’</w:t>
      </w:r>
      <w:r w:rsidRPr="00B17D2A">
        <w:rPr>
          <w:lang w:val="fr-FR"/>
        </w:rPr>
        <w:t>acte est considéré techniquement valable, mais si l</w:t>
      </w:r>
      <w:r w:rsidR="00277023">
        <w:rPr>
          <w:lang w:val="fr-FR"/>
        </w:rPr>
        <w:t>’</w:t>
      </w:r>
      <w:r w:rsidRPr="00B17D2A">
        <w:rPr>
          <w:lang w:val="fr-FR"/>
        </w:rPr>
        <w:t>acte ne porte pas sur la seule obtention d</w:t>
      </w:r>
      <w:r w:rsidR="00277023">
        <w:rPr>
          <w:lang w:val="fr-FR"/>
        </w:rPr>
        <w:t>’</w:t>
      </w:r>
      <w:r w:rsidRPr="00B17D2A">
        <w:rPr>
          <w:lang w:val="fr-FR"/>
        </w:rPr>
        <w:t>un accord ou d</w:t>
      </w:r>
      <w:r w:rsidR="00277023">
        <w:rPr>
          <w:lang w:val="fr-FR"/>
        </w:rPr>
        <w:t>’</w:t>
      </w:r>
      <w:r w:rsidRPr="00B17D2A">
        <w:rPr>
          <w:lang w:val="fr-FR"/>
        </w:rPr>
        <w:t>une décharge, le mineur ou son représentant légal peut annuler l</w:t>
      </w:r>
      <w:r w:rsidR="00277023">
        <w:rPr>
          <w:lang w:val="fr-FR"/>
        </w:rPr>
        <w:t>’</w:t>
      </w:r>
      <w:r w:rsidRPr="00B17D2A">
        <w:rPr>
          <w:lang w:val="fr-FR"/>
        </w:rPr>
        <w:t>acte.</w:t>
      </w:r>
    </w:p>
    <w:p w:rsidR="00B17D2A" w:rsidRPr="00B17D2A" w:rsidRDefault="00B17D2A" w:rsidP="00B17D2A">
      <w:pPr>
        <w:pStyle w:val="SingleTxtG"/>
        <w:rPr>
          <w:lang w:val="fr-FR"/>
        </w:rPr>
      </w:pPr>
      <w:r w:rsidRPr="00B17D2A">
        <w:rPr>
          <w:lang w:val="fr-FR"/>
        </w:rPr>
        <w:t>(Liberté de choisir une religion et de s</w:t>
      </w:r>
      <w:r w:rsidR="00277023">
        <w:rPr>
          <w:lang w:val="fr-FR"/>
        </w:rPr>
        <w:t>’</w:t>
      </w:r>
      <w:r w:rsidRPr="00B17D2A">
        <w:rPr>
          <w:lang w:val="fr-FR"/>
        </w:rPr>
        <w:t>inscrire dans une école religieuse)</w:t>
      </w:r>
    </w:p>
    <w:p w:rsidR="00B17D2A" w:rsidRPr="00B17D2A" w:rsidRDefault="00B17D2A" w:rsidP="00B17D2A">
      <w:pPr>
        <w:pStyle w:val="SingleTxtG"/>
        <w:rPr>
          <w:lang w:val="fr-FR"/>
        </w:rPr>
      </w:pPr>
      <w:r w:rsidRPr="00B17D2A">
        <w:rPr>
          <w:lang w:val="fr-FR"/>
        </w:rPr>
        <w:t>135.</w:t>
      </w:r>
      <w:r w:rsidRPr="00B17D2A">
        <w:rPr>
          <w:lang w:val="fr-FR"/>
        </w:rPr>
        <w:tab/>
        <w:t xml:space="preserve">Voir paragraphe 101 du deuxième rapport du Japon (paragraphe 100 du rapport initial du Japon) </w:t>
      </w:r>
    </w:p>
    <w:p w:rsidR="00B17D2A" w:rsidRPr="00B17D2A" w:rsidRDefault="00B17D2A" w:rsidP="00B17D2A">
      <w:pPr>
        <w:pStyle w:val="SingleTxtG"/>
        <w:rPr>
          <w:lang w:val="fr-FR"/>
        </w:rPr>
      </w:pPr>
      <w:r w:rsidRPr="00B17D2A">
        <w:rPr>
          <w:lang w:val="fr-FR"/>
        </w:rPr>
        <w:t>(Consommation d</w:t>
      </w:r>
      <w:r w:rsidR="00277023">
        <w:rPr>
          <w:lang w:val="fr-FR"/>
        </w:rPr>
        <w:t>’</w:t>
      </w:r>
      <w:r w:rsidRPr="00B17D2A">
        <w:rPr>
          <w:lang w:val="fr-FR"/>
        </w:rPr>
        <w:t>alcool et d</w:t>
      </w:r>
      <w:r w:rsidR="00277023">
        <w:rPr>
          <w:lang w:val="fr-FR"/>
        </w:rPr>
        <w:t>’</w:t>
      </w:r>
      <w:r w:rsidRPr="00B17D2A">
        <w:rPr>
          <w:lang w:val="fr-FR"/>
        </w:rPr>
        <w:t xml:space="preserve">autres substances réglementées) </w:t>
      </w:r>
    </w:p>
    <w:p w:rsidR="00B17D2A" w:rsidRPr="00B17D2A" w:rsidRDefault="00B17D2A" w:rsidP="00B17D2A">
      <w:pPr>
        <w:pStyle w:val="SingleTxtG"/>
        <w:rPr>
          <w:lang w:val="fr-FR"/>
        </w:rPr>
      </w:pPr>
      <w:r w:rsidRPr="00B17D2A">
        <w:rPr>
          <w:lang w:val="fr-FR"/>
        </w:rPr>
        <w:t>136.</w:t>
      </w:r>
      <w:r w:rsidRPr="00B17D2A">
        <w:rPr>
          <w:lang w:val="fr-FR"/>
        </w:rPr>
        <w:tab/>
        <w:t>Voir paragraphe 102 du deuxième rapport du Japon.</w:t>
      </w:r>
    </w:p>
    <w:p w:rsidR="00B17D2A" w:rsidRPr="00B17D2A" w:rsidRDefault="00B17D2A" w:rsidP="00B17D2A">
      <w:pPr>
        <w:pStyle w:val="SingleTxtG"/>
        <w:rPr>
          <w:lang w:val="fr-FR"/>
        </w:rPr>
      </w:pPr>
      <w:r w:rsidRPr="00B17D2A">
        <w:rPr>
          <w:lang w:val="fr-FR"/>
        </w:rPr>
        <w:t>(Relation entre l</w:t>
      </w:r>
      <w:r w:rsidR="00277023">
        <w:rPr>
          <w:lang w:val="fr-FR"/>
        </w:rPr>
        <w:t>’</w:t>
      </w:r>
      <w:r w:rsidRPr="00B17D2A">
        <w:rPr>
          <w:lang w:val="fr-FR"/>
        </w:rPr>
        <w:t>âge de la fin de l</w:t>
      </w:r>
      <w:r w:rsidR="00277023">
        <w:rPr>
          <w:lang w:val="fr-FR"/>
        </w:rPr>
        <w:t>’</w:t>
      </w:r>
      <w:r w:rsidRPr="00B17D2A">
        <w:rPr>
          <w:lang w:val="fr-FR"/>
        </w:rPr>
        <w:t>instruction obligatoire et l</w:t>
      </w:r>
      <w:r w:rsidR="00277023">
        <w:rPr>
          <w:lang w:val="fr-FR"/>
        </w:rPr>
        <w:t>’</w:t>
      </w:r>
      <w:r w:rsidRPr="00B17D2A">
        <w:rPr>
          <w:lang w:val="fr-FR"/>
        </w:rPr>
        <w:t>âge minimum requis pour travailler</w:t>
      </w:r>
      <w:r w:rsidR="00277023">
        <w:rPr>
          <w:lang w:val="fr-FR"/>
        </w:rPr>
        <w:t>;</w:t>
      </w:r>
      <w:r w:rsidRPr="00B17D2A">
        <w:rPr>
          <w:lang w:val="fr-FR"/>
        </w:rPr>
        <w:t xml:space="preserve"> incidence de cette relation sur le droit de l</w:t>
      </w:r>
      <w:r w:rsidR="00277023">
        <w:rPr>
          <w:lang w:val="fr-FR"/>
        </w:rPr>
        <w:t>’</w:t>
      </w:r>
      <w:r w:rsidRPr="00B17D2A">
        <w:rPr>
          <w:lang w:val="fr-FR"/>
        </w:rPr>
        <w:t>enfant à l</w:t>
      </w:r>
      <w:r w:rsidR="00277023">
        <w:rPr>
          <w:lang w:val="fr-FR"/>
        </w:rPr>
        <w:t>’</w:t>
      </w:r>
      <w:r w:rsidRPr="00B17D2A">
        <w:rPr>
          <w:lang w:val="fr-FR"/>
        </w:rPr>
        <w:t>éducation</w:t>
      </w:r>
      <w:r w:rsidR="00277023">
        <w:rPr>
          <w:lang w:val="fr-FR"/>
        </w:rPr>
        <w:t>;</w:t>
      </w:r>
      <w:r w:rsidRPr="00B17D2A">
        <w:rPr>
          <w:lang w:val="fr-FR"/>
        </w:rPr>
        <w:t xml:space="preserve"> examen des instruments pertinents) </w:t>
      </w:r>
    </w:p>
    <w:p w:rsidR="00B17D2A" w:rsidRPr="00B17D2A" w:rsidRDefault="00B17D2A" w:rsidP="00B17D2A">
      <w:pPr>
        <w:pStyle w:val="SingleTxtG"/>
        <w:rPr>
          <w:lang w:val="fr-FR"/>
        </w:rPr>
      </w:pPr>
      <w:r w:rsidRPr="00B17D2A">
        <w:rPr>
          <w:lang w:val="fr-FR"/>
        </w:rPr>
        <w:t>137.</w:t>
      </w:r>
      <w:r w:rsidRPr="00B17D2A">
        <w:rPr>
          <w:lang w:val="fr-FR"/>
        </w:rPr>
        <w:tab/>
        <w:t xml:space="preserve">Voir paragraphe 103 du deuxième rapport du Japon. </w:t>
      </w:r>
    </w:p>
    <w:p w:rsidR="00B17D2A" w:rsidRPr="00B17D2A" w:rsidRDefault="00B17D2A" w:rsidP="00B17D2A">
      <w:pPr>
        <w:pStyle w:val="SingleTxtG"/>
        <w:rPr>
          <w:lang w:val="fr-FR"/>
        </w:rPr>
      </w:pPr>
      <w:r w:rsidRPr="00B17D2A">
        <w:rPr>
          <w:lang w:val="fr-FR"/>
        </w:rPr>
        <w:t>(Différences fondées sur le sexe au regard de l</w:t>
      </w:r>
      <w:r w:rsidR="00277023">
        <w:rPr>
          <w:lang w:val="fr-FR"/>
        </w:rPr>
        <w:t>’</w:t>
      </w:r>
      <w:r w:rsidRPr="00B17D2A">
        <w:rPr>
          <w:lang w:val="fr-FR"/>
        </w:rPr>
        <w:t xml:space="preserve">âge légal du mariage) </w:t>
      </w:r>
    </w:p>
    <w:p w:rsidR="00B17D2A" w:rsidRPr="00B17D2A" w:rsidRDefault="00B17D2A" w:rsidP="00B17D2A">
      <w:pPr>
        <w:pStyle w:val="SingleTxtG"/>
        <w:rPr>
          <w:lang w:val="fr-FR"/>
        </w:rPr>
      </w:pPr>
      <w:r w:rsidRPr="00B17D2A">
        <w:rPr>
          <w:lang w:val="fr-FR"/>
        </w:rPr>
        <w:t>138.</w:t>
      </w:r>
      <w:r w:rsidRPr="00B17D2A">
        <w:rPr>
          <w:lang w:val="fr-FR"/>
        </w:rPr>
        <w:tab/>
        <w:t xml:space="preserve">Voir paragraphes 104-105 du deuxième rapport du Japon. </w:t>
      </w:r>
    </w:p>
    <w:p w:rsidR="00B17D2A" w:rsidRPr="00B17D2A" w:rsidRDefault="00B17D2A" w:rsidP="00B17D2A">
      <w:pPr>
        <w:pStyle w:val="SingleTxtG"/>
        <w:rPr>
          <w:lang w:val="fr-FR"/>
        </w:rPr>
      </w:pPr>
      <w:r w:rsidRPr="00B17D2A">
        <w:rPr>
          <w:lang w:val="fr-FR"/>
        </w:rPr>
        <w:t>139.</w:t>
      </w:r>
      <w:r w:rsidRPr="00B17D2A">
        <w:rPr>
          <w:lang w:val="fr-FR"/>
        </w:rPr>
        <w:tab/>
        <w:t>L</w:t>
      </w:r>
      <w:r w:rsidR="00277023">
        <w:rPr>
          <w:lang w:val="fr-FR"/>
        </w:rPr>
        <w:t>’</w:t>
      </w:r>
      <w:r w:rsidRPr="00B17D2A">
        <w:rPr>
          <w:lang w:val="fr-FR"/>
        </w:rPr>
        <w:t>article 731 du Code civil établit qu</w:t>
      </w:r>
      <w:r w:rsidR="00277023">
        <w:rPr>
          <w:lang w:val="fr-FR"/>
        </w:rPr>
        <w:t>’</w:t>
      </w:r>
      <w:r w:rsidRPr="00B17D2A">
        <w:rPr>
          <w:lang w:val="fr-FR"/>
        </w:rPr>
        <w:t>un homme ne peut se marier avant ses 18 ans et qu</w:t>
      </w:r>
      <w:r w:rsidR="00277023">
        <w:rPr>
          <w:lang w:val="fr-FR"/>
        </w:rPr>
        <w:t>’</w:t>
      </w:r>
      <w:r w:rsidRPr="00B17D2A">
        <w:rPr>
          <w:lang w:val="fr-FR"/>
        </w:rPr>
        <w:t>une femme doit attendre d</w:t>
      </w:r>
      <w:r w:rsidR="00277023">
        <w:rPr>
          <w:lang w:val="fr-FR"/>
        </w:rPr>
        <w:t>’</w:t>
      </w:r>
      <w:r w:rsidRPr="00B17D2A">
        <w:rPr>
          <w:lang w:val="fr-FR"/>
        </w:rPr>
        <w:t>avoir 16 ans pour contracter un mariage. Il est en effet considéré qu</w:t>
      </w:r>
      <w:r w:rsidR="00277023">
        <w:rPr>
          <w:lang w:val="fr-FR"/>
        </w:rPr>
        <w:t>’</w:t>
      </w:r>
      <w:r w:rsidRPr="00B17D2A">
        <w:rPr>
          <w:lang w:val="fr-FR"/>
        </w:rPr>
        <w:t>une famille née des liens du mariage constitue la cellule fondamentale de la société et que l</w:t>
      </w:r>
      <w:r w:rsidR="00277023">
        <w:rPr>
          <w:lang w:val="fr-FR"/>
        </w:rPr>
        <w:t>’</w:t>
      </w:r>
      <w:r w:rsidRPr="00B17D2A">
        <w:rPr>
          <w:lang w:val="fr-FR"/>
        </w:rPr>
        <w:t>autorisation de se marier ne doit pas être accordée à des jeunes encore immatures sur le plan physique et mental. Il est généralement admis qu</w:t>
      </w:r>
      <w:r w:rsidR="00277023">
        <w:rPr>
          <w:lang w:val="fr-FR"/>
        </w:rPr>
        <w:t>’</w:t>
      </w:r>
      <w:r w:rsidRPr="00B17D2A">
        <w:rPr>
          <w:lang w:val="fr-FR"/>
        </w:rPr>
        <w:t>une différence existe entre les hommes et les femmes en termes de rapidité de développement physique et mental, ce qui explique la distinction établie au regard de l</w:t>
      </w:r>
      <w:r w:rsidR="00277023">
        <w:rPr>
          <w:lang w:val="fr-FR"/>
        </w:rPr>
        <w:t>’</w:t>
      </w:r>
      <w:r w:rsidRPr="00B17D2A">
        <w:rPr>
          <w:lang w:val="fr-FR"/>
        </w:rPr>
        <w:t>âge du mariage entre les deux sexes</w:t>
      </w:r>
      <w:r w:rsidR="00277023">
        <w:rPr>
          <w:lang w:val="fr-FR"/>
        </w:rPr>
        <w:t>;</w:t>
      </w:r>
      <w:r w:rsidRPr="00B17D2A">
        <w:rPr>
          <w:lang w:val="fr-FR"/>
        </w:rPr>
        <w:t xml:space="preserve"> partant, la différence est fondée sur des motifs raisonnables. Cependant, il va sans dire que si la situation sociale à cet égard évolue, il sera nécessaire de revoir cette règle en fonction de cette évolution. Dans cette perspective, en février 1996, le Conseil législatif du Ministère de la justice a présenté un projet de loi préliminaire de révision partielle du Code civil, proposant notamment de fixer l</w:t>
      </w:r>
      <w:r w:rsidR="00277023">
        <w:rPr>
          <w:lang w:val="fr-FR"/>
        </w:rPr>
        <w:t>’</w:t>
      </w:r>
      <w:r w:rsidRPr="00B17D2A">
        <w:rPr>
          <w:lang w:val="fr-FR"/>
        </w:rPr>
        <w:t>âge du mariage à 18 ans pour les hommes comme pour les femmes. Cette question de la révision partielle du Code civil revêt une importance majeure car elle touche à l</w:t>
      </w:r>
      <w:r w:rsidR="00277023">
        <w:rPr>
          <w:lang w:val="fr-FR"/>
        </w:rPr>
        <w:t>’</w:t>
      </w:r>
      <w:r w:rsidRPr="00B17D2A">
        <w:rPr>
          <w:lang w:val="fr-FR"/>
        </w:rPr>
        <w:t>institution du mariage et à la notion de famille. Différents avis s</w:t>
      </w:r>
      <w:r w:rsidR="00277023">
        <w:rPr>
          <w:lang w:val="fr-FR"/>
        </w:rPr>
        <w:t>’</w:t>
      </w:r>
      <w:r w:rsidRPr="00B17D2A">
        <w:rPr>
          <w:lang w:val="fr-FR"/>
        </w:rPr>
        <w:t>exprimant à tous les niveaux de la société et en fonction des parties concernées, l</w:t>
      </w:r>
      <w:r w:rsidR="00277023">
        <w:rPr>
          <w:lang w:val="fr-FR"/>
        </w:rPr>
        <w:t>’</w:t>
      </w:r>
      <w:r w:rsidRPr="00B17D2A">
        <w:rPr>
          <w:lang w:val="fr-FR"/>
        </w:rPr>
        <w:t>évolution de l</w:t>
      </w:r>
      <w:r w:rsidR="00277023">
        <w:rPr>
          <w:lang w:val="fr-FR"/>
        </w:rPr>
        <w:t>’</w:t>
      </w:r>
      <w:r w:rsidRPr="00B17D2A">
        <w:rPr>
          <w:lang w:val="fr-FR"/>
        </w:rPr>
        <w:t>opinion publique à cet égard est actuellement suivie de près.</w:t>
      </w:r>
    </w:p>
    <w:p w:rsidR="00B17D2A" w:rsidRPr="00B17D2A" w:rsidRDefault="00B17D2A" w:rsidP="00B17D2A">
      <w:pPr>
        <w:pStyle w:val="SingleTxtG"/>
        <w:rPr>
          <w:lang w:val="fr-FR"/>
        </w:rPr>
      </w:pPr>
      <w:r w:rsidRPr="00B17D2A">
        <w:rPr>
          <w:lang w:val="fr-FR"/>
        </w:rPr>
        <w:t xml:space="preserve">(Différences fondées sur le sexe au regard des dispositions légales applicables aux délinquants sexuels) </w:t>
      </w:r>
    </w:p>
    <w:p w:rsidR="00B17D2A" w:rsidRPr="00B17D2A" w:rsidRDefault="00B17D2A" w:rsidP="00B17D2A">
      <w:pPr>
        <w:pStyle w:val="SingleTxtG"/>
        <w:rPr>
          <w:lang w:val="fr-FR"/>
        </w:rPr>
      </w:pPr>
      <w:r w:rsidRPr="00B17D2A">
        <w:rPr>
          <w:lang w:val="fr-FR"/>
        </w:rPr>
        <w:t>140.</w:t>
      </w:r>
      <w:r w:rsidRPr="00B17D2A">
        <w:rPr>
          <w:lang w:val="fr-FR"/>
        </w:rPr>
        <w:tab/>
        <w:t>Voir paragraphe 106 du deuxième rapport du Japon. (Note: ce paragraphe 106 cite à tort la disposition concernant le viol à l</w:t>
      </w:r>
      <w:r w:rsidR="00277023">
        <w:rPr>
          <w:lang w:val="fr-FR"/>
        </w:rPr>
        <w:t>’</w:t>
      </w:r>
      <w:r w:rsidRPr="00B17D2A">
        <w:rPr>
          <w:lang w:val="fr-FR"/>
        </w:rPr>
        <w:t>occasion d</w:t>
      </w:r>
      <w:r w:rsidR="00277023">
        <w:rPr>
          <w:lang w:val="fr-FR"/>
        </w:rPr>
        <w:t>’</w:t>
      </w:r>
      <w:r w:rsidRPr="00B17D2A">
        <w:rPr>
          <w:lang w:val="fr-FR"/>
        </w:rPr>
        <w:t>un vol qualifié, entraînant la mort, comme étant l</w:t>
      </w:r>
      <w:r w:rsidR="00277023">
        <w:rPr>
          <w:lang w:val="fr-FR"/>
        </w:rPr>
        <w:t>’</w:t>
      </w:r>
      <w:r w:rsidRPr="00B17D2A">
        <w:rPr>
          <w:lang w:val="fr-FR"/>
        </w:rPr>
        <w:t>article 214 du Code pénal, mais il s</w:t>
      </w:r>
      <w:r w:rsidR="00277023">
        <w:rPr>
          <w:lang w:val="fr-FR"/>
        </w:rPr>
        <w:t>’</w:t>
      </w:r>
      <w:r w:rsidRPr="00B17D2A">
        <w:rPr>
          <w:lang w:val="fr-FR"/>
        </w:rPr>
        <w:t>agit en fait de l</w:t>
      </w:r>
      <w:r w:rsidR="00277023">
        <w:rPr>
          <w:lang w:val="fr-FR"/>
        </w:rPr>
        <w:t>’</w:t>
      </w:r>
      <w:r w:rsidRPr="00B17D2A">
        <w:rPr>
          <w:lang w:val="fr-FR"/>
        </w:rPr>
        <w:t xml:space="preserve">Article 241 de ce Code.) </w:t>
      </w:r>
    </w:p>
    <w:p w:rsidR="00B17D2A" w:rsidRPr="00B17D2A" w:rsidRDefault="00B17D2A" w:rsidP="00B17D2A">
      <w:pPr>
        <w:pStyle w:val="SingleTxtG"/>
        <w:rPr>
          <w:lang w:val="fr-FR"/>
        </w:rPr>
      </w:pPr>
      <w:r w:rsidRPr="00B17D2A">
        <w:rPr>
          <w:lang w:val="fr-FR"/>
        </w:rPr>
        <w:t>141.</w:t>
      </w:r>
      <w:r w:rsidRPr="00B17D2A">
        <w:rPr>
          <w:lang w:val="fr-FR"/>
        </w:rPr>
        <w:tab/>
        <w:t>S</w:t>
      </w:r>
      <w:r w:rsidR="00277023">
        <w:rPr>
          <w:lang w:val="fr-FR"/>
        </w:rPr>
        <w:t>’</w:t>
      </w:r>
      <w:r w:rsidRPr="00B17D2A">
        <w:rPr>
          <w:lang w:val="fr-FR"/>
        </w:rPr>
        <w:t>il est vrai que les infractions prévues à l</w:t>
      </w:r>
      <w:r w:rsidR="00277023">
        <w:rPr>
          <w:lang w:val="fr-FR"/>
        </w:rPr>
        <w:t>’</w:t>
      </w:r>
      <w:r w:rsidRPr="00B17D2A">
        <w:rPr>
          <w:lang w:val="fr-FR"/>
        </w:rPr>
        <w:t>article 177 (viol), au deuxième paragraphe de l</w:t>
      </w:r>
      <w:r w:rsidR="00277023">
        <w:rPr>
          <w:lang w:val="fr-FR"/>
        </w:rPr>
        <w:t>’</w:t>
      </w:r>
      <w:r w:rsidRPr="00B17D2A">
        <w:rPr>
          <w:lang w:val="fr-FR"/>
        </w:rPr>
        <w:t>article 178 (quasi-viol), à l</w:t>
      </w:r>
      <w:r w:rsidR="00277023">
        <w:rPr>
          <w:lang w:val="fr-FR"/>
        </w:rPr>
        <w:t>’</w:t>
      </w:r>
      <w:r w:rsidRPr="00B17D2A">
        <w:rPr>
          <w:lang w:val="fr-FR"/>
        </w:rPr>
        <w:t>article 178-2 (viol en réunion), aux deuxième et troisième paragraphes de l</w:t>
      </w:r>
      <w:r w:rsidR="00277023">
        <w:rPr>
          <w:lang w:val="fr-FR"/>
        </w:rPr>
        <w:t>’</w:t>
      </w:r>
      <w:r w:rsidRPr="00B17D2A">
        <w:rPr>
          <w:lang w:val="fr-FR"/>
        </w:rPr>
        <w:t>article 181 (viol entraînant la mort ou des lésions corporelles), à l</w:t>
      </w:r>
      <w:r w:rsidR="00277023">
        <w:rPr>
          <w:lang w:val="fr-FR"/>
        </w:rPr>
        <w:t>’</w:t>
      </w:r>
      <w:r w:rsidRPr="00B17D2A">
        <w:rPr>
          <w:lang w:val="fr-FR"/>
        </w:rPr>
        <w:t>article 182 (incitation à une relation sexuelle) et à l</w:t>
      </w:r>
      <w:r w:rsidR="00277023">
        <w:rPr>
          <w:lang w:val="fr-FR"/>
        </w:rPr>
        <w:t>’</w:t>
      </w:r>
      <w:r w:rsidRPr="00B17D2A">
        <w:rPr>
          <w:lang w:val="fr-FR"/>
        </w:rPr>
        <w:t>article 241 (viol à l</w:t>
      </w:r>
      <w:r w:rsidR="00277023">
        <w:rPr>
          <w:lang w:val="fr-FR"/>
        </w:rPr>
        <w:t>’</w:t>
      </w:r>
      <w:r w:rsidRPr="00B17D2A">
        <w:rPr>
          <w:lang w:val="fr-FR"/>
        </w:rPr>
        <w:t>occasion d</w:t>
      </w:r>
      <w:r w:rsidR="00277023">
        <w:rPr>
          <w:lang w:val="fr-FR"/>
        </w:rPr>
        <w:t>’</w:t>
      </w:r>
      <w:r w:rsidRPr="00B17D2A">
        <w:rPr>
          <w:lang w:val="fr-FR"/>
        </w:rPr>
        <w:t>un vol qualifié entraînant la mort) du Code pénal ne peuvent être commis qu</w:t>
      </w:r>
      <w:r w:rsidR="00277023">
        <w:rPr>
          <w:lang w:val="fr-FR"/>
        </w:rPr>
        <w:t>’</w:t>
      </w:r>
      <w:r w:rsidRPr="00B17D2A">
        <w:rPr>
          <w:lang w:val="fr-FR"/>
        </w:rPr>
        <w:t>à l</w:t>
      </w:r>
      <w:r w:rsidR="00277023">
        <w:rPr>
          <w:lang w:val="fr-FR"/>
        </w:rPr>
        <w:t>’</w:t>
      </w:r>
      <w:r w:rsidRPr="00B17D2A">
        <w:rPr>
          <w:lang w:val="fr-FR"/>
        </w:rPr>
        <w:t>encontre de femmes, leurs auteurs peuvent en être des hommes comme des femmes. De même, il convient de limiter la protection contre ces infractions aux seules femmes, considérant que, d</w:t>
      </w:r>
      <w:r w:rsidR="00277023">
        <w:rPr>
          <w:lang w:val="fr-FR"/>
        </w:rPr>
        <w:t>’</w:t>
      </w:r>
      <w:r w:rsidRPr="00B17D2A">
        <w:rPr>
          <w:lang w:val="fr-FR"/>
        </w:rPr>
        <w:t>un point de vue criminologique, ces actes sont généralement commis par un homme à l</w:t>
      </w:r>
      <w:r w:rsidR="00277023">
        <w:rPr>
          <w:lang w:val="fr-FR"/>
        </w:rPr>
        <w:t>’</w:t>
      </w:r>
      <w:r w:rsidRPr="00B17D2A">
        <w:rPr>
          <w:lang w:val="fr-FR"/>
        </w:rPr>
        <w:t>encontre d</w:t>
      </w:r>
      <w:r w:rsidR="00277023">
        <w:rPr>
          <w:lang w:val="fr-FR"/>
        </w:rPr>
        <w:t>’</w:t>
      </w:r>
      <w:r w:rsidRPr="00B17D2A">
        <w:rPr>
          <w:lang w:val="fr-FR"/>
        </w:rPr>
        <w:t>une femme et qu</w:t>
      </w:r>
      <w:r w:rsidR="00277023">
        <w:rPr>
          <w:lang w:val="fr-FR"/>
        </w:rPr>
        <w:t>’</w:t>
      </w:r>
      <w:r w:rsidRPr="00B17D2A">
        <w:rPr>
          <w:lang w:val="fr-FR"/>
        </w:rPr>
        <w:t>il existe des différences physiques et physiologiques de constitution, de structure et de fonctionnement entre les sexes, qui justifient cette distinction. En outre, si un homme est victime de violences sexuelles, le délinquant est passible des sanctions prévues pour les infractions pouvant être commises contre les deux sexes, telles que celles prévues à l</w:t>
      </w:r>
      <w:r w:rsidR="00277023">
        <w:rPr>
          <w:lang w:val="fr-FR"/>
        </w:rPr>
        <w:t>’</w:t>
      </w:r>
      <w:r w:rsidRPr="00B17D2A">
        <w:rPr>
          <w:lang w:val="fr-FR"/>
        </w:rPr>
        <w:t>article 176 (attentat à la pudeur sous la contrainte), au premier paragraphe de l</w:t>
      </w:r>
      <w:r w:rsidR="00277023">
        <w:rPr>
          <w:lang w:val="fr-FR"/>
        </w:rPr>
        <w:t>’</w:t>
      </w:r>
      <w:r w:rsidRPr="00B17D2A">
        <w:rPr>
          <w:lang w:val="fr-FR"/>
        </w:rPr>
        <w:t>article 178 (attentat à la pudeur sous la quasi-contrainte), au premier paragraphe de l</w:t>
      </w:r>
      <w:r w:rsidR="00277023">
        <w:rPr>
          <w:lang w:val="fr-FR"/>
        </w:rPr>
        <w:t>’</w:t>
      </w:r>
      <w:r w:rsidRPr="00B17D2A">
        <w:rPr>
          <w:lang w:val="fr-FR"/>
        </w:rPr>
        <w:t xml:space="preserve">article 181 (attentat à la pudeur sous la contrainte entraînant la mort ou des lésions corporelles) du Code pénal et en vertu de </w:t>
      </w:r>
      <w:smartTag w:uri="urn:schemas-microsoft-com:office:smarttags" w:element="PersonName">
        <w:smartTagPr>
          <w:attr w:name="ProductID" w:val="la Loi"/>
        </w:smartTagPr>
        <w:r w:rsidRPr="00B17D2A">
          <w:rPr>
            <w:lang w:val="fr-FR"/>
          </w:rPr>
          <w:t>la Loi</w:t>
        </w:r>
      </w:smartTag>
      <w:r w:rsidRPr="00B17D2A">
        <w:rPr>
          <w:lang w:val="fr-FR"/>
        </w:rPr>
        <w:t xml:space="preserve"> relative à la répression de la prostitution des enfants et de la pornographie mettant en scène des enfants, et à la protection des enfants. </w:t>
      </w:r>
    </w:p>
    <w:p w:rsidR="00B17D2A" w:rsidRPr="00B17D2A" w:rsidRDefault="00B17D2A" w:rsidP="00B17D2A">
      <w:pPr>
        <w:pStyle w:val="SingleTxtG"/>
        <w:rPr>
          <w:lang w:val="fr-FR"/>
        </w:rPr>
      </w:pPr>
      <w:r w:rsidRPr="00B17D2A">
        <w:rPr>
          <w:lang w:val="fr-FR"/>
        </w:rPr>
        <w:t>(Définition de l</w:t>
      </w:r>
      <w:r w:rsidR="00277023">
        <w:rPr>
          <w:lang w:val="fr-FR"/>
        </w:rPr>
        <w:t>’</w:t>
      </w:r>
      <w:r w:rsidRPr="00B17D2A">
        <w:rPr>
          <w:lang w:val="fr-FR"/>
        </w:rPr>
        <w:t>adolescence)</w:t>
      </w:r>
    </w:p>
    <w:p w:rsidR="00B17D2A" w:rsidRPr="00B17D2A" w:rsidRDefault="00B17D2A" w:rsidP="00B17D2A">
      <w:pPr>
        <w:pStyle w:val="SingleTxtG"/>
        <w:rPr>
          <w:lang w:val="fr-FR"/>
        </w:rPr>
      </w:pPr>
      <w:r w:rsidRPr="00B17D2A">
        <w:rPr>
          <w:lang w:val="fr-FR"/>
        </w:rPr>
        <w:t>142.</w:t>
      </w:r>
      <w:r w:rsidRPr="00B17D2A">
        <w:rPr>
          <w:lang w:val="fr-FR"/>
        </w:rPr>
        <w:tab/>
        <w:t xml:space="preserve">Voir paragraphe 107 du deuxième rapport du Japon. </w:t>
      </w:r>
    </w:p>
    <w:p w:rsidR="00B17D2A" w:rsidRPr="00B17D2A" w:rsidRDefault="00727D67" w:rsidP="00727D67">
      <w:pPr>
        <w:pStyle w:val="HChG"/>
        <w:rPr>
          <w:lang w:val="fr-FR"/>
        </w:rPr>
      </w:pPr>
      <w:r>
        <w:rPr>
          <w:lang w:val="fr-FR"/>
        </w:rPr>
        <w:tab/>
        <w:t>III.</w:t>
      </w:r>
      <w:r>
        <w:rPr>
          <w:lang w:val="fr-FR"/>
        </w:rPr>
        <w:tab/>
      </w:r>
      <w:r w:rsidRPr="00B17D2A">
        <w:rPr>
          <w:lang w:val="fr-FR"/>
        </w:rPr>
        <w:t>Principes généraux</w:t>
      </w:r>
    </w:p>
    <w:p w:rsidR="00B17D2A" w:rsidRPr="00B17D2A" w:rsidRDefault="00727D67" w:rsidP="00727D67">
      <w:pPr>
        <w:pStyle w:val="H1G"/>
        <w:rPr>
          <w:lang w:val="fr-FR"/>
        </w:rPr>
      </w:pPr>
      <w:r>
        <w:rPr>
          <w:lang w:val="fr-FR"/>
        </w:rPr>
        <w:tab/>
        <w:t>A.</w:t>
      </w:r>
      <w:r>
        <w:rPr>
          <w:lang w:val="fr-FR"/>
        </w:rPr>
        <w:tab/>
      </w:r>
      <w:r w:rsidR="00B17D2A" w:rsidRPr="00B17D2A">
        <w:rPr>
          <w:lang w:val="fr-FR"/>
        </w:rPr>
        <w:t>Article 2 (non-discrimination)</w:t>
      </w:r>
    </w:p>
    <w:p w:rsidR="00B17D2A" w:rsidRPr="00B17D2A" w:rsidRDefault="00727D67" w:rsidP="00727D67">
      <w:pPr>
        <w:pStyle w:val="H23G"/>
        <w:rPr>
          <w:lang w:val="fr-FR"/>
        </w:rPr>
      </w:pPr>
      <w:r>
        <w:rPr>
          <w:lang w:val="fr-FR"/>
        </w:rPr>
        <w:tab/>
        <w:t>a)</w:t>
      </w:r>
      <w:r>
        <w:rPr>
          <w:lang w:val="fr-FR"/>
        </w:rPr>
        <w:tab/>
      </w:r>
      <w:r w:rsidR="00B17D2A" w:rsidRPr="00B17D2A">
        <w:rPr>
          <w:lang w:val="fr-FR"/>
        </w:rPr>
        <w:t xml:space="preserve">Mesures prises pour garantir sans discrimination les droits consacrés dans </w:t>
      </w:r>
      <w:smartTag w:uri="urn:schemas-microsoft-com:office:smarttags" w:element="PersonName">
        <w:smartTagPr>
          <w:attr w:name="ProductID" w:val="la Constitution"/>
        </w:smartTagPr>
        <w:r w:rsidR="00B17D2A" w:rsidRPr="00B17D2A">
          <w:rPr>
            <w:lang w:val="fr-FR"/>
          </w:rPr>
          <w:t>la Constitution</w:t>
        </w:r>
      </w:smartTag>
      <w:r w:rsidR="00B17D2A" w:rsidRPr="00B17D2A">
        <w:rPr>
          <w:lang w:val="fr-FR"/>
        </w:rPr>
        <w:t xml:space="preserve"> et la législation interne relative aux enfants </w:t>
      </w:r>
    </w:p>
    <w:p w:rsidR="00B17D2A" w:rsidRPr="00B17D2A" w:rsidRDefault="00B17D2A" w:rsidP="00B17D2A">
      <w:pPr>
        <w:pStyle w:val="SingleTxtG"/>
        <w:rPr>
          <w:lang w:val="fr-FR"/>
        </w:rPr>
      </w:pPr>
      <w:r w:rsidRPr="00B17D2A">
        <w:rPr>
          <w:lang w:val="fr-FR"/>
        </w:rPr>
        <w:t>143.</w:t>
      </w:r>
      <w:r w:rsidRPr="00B17D2A">
        <w:rPr>
          <w:lang w:val="fr-FR"/>
        </w:rPr>
        <w:tab/>
        <w:t>Voir paragraphe 108 du deuxième rapport du Japon et réponse 14 à la question du Comité des droits de l</w:t>
      </w:r>
      <w:r w:rsidR="00277023">
        <w:rPr>
          <w:lang w:val="fr-FR"/>
        </w:rPr>
        <w:t>’</w:t>
      </w:r>
      <w:r w:rsidRPr="00B17D2A">
        <w:rPr>
          <w:lang w:val="fr-FR"/>
        </w:rPr>
        <w:t>enfant posée lors de l</w:t>
      </w:r>
      <w:r w:rsidR="00277023">
        <w:rPr>
          <w:lang w:val="fr-FR"/>
        </w:rPr>
        <w:t>’</w:t>
      </w:r>
      <w:r w:rsidRPr="00B17D2A">
        <w:rPr>
          <w:lang w:val="fr-FR"/>
        </w:rPr>
        <w:t>examen du rapport initial.</w:t>
      </w:r>
    </w:p>
    <w:p w:rsidR="00B17D2A" w:rsidRPr="00B17D2A" w:rsidRDefault="00B17D2A" w:rsidP="00B17D2A">
      <w:pPr>
        <w:pStyle w:val="SingleTxtG"/>
        <w:rPr>
          <w:lang w:val="fr-FR"/>
        </w:rPr>
      </w:pPr>
      <w:r w:rsidRPr="00B17D2A">
        <w:rPr>
          <w:lang w:val="fr-FR"/>
        </w:rPr>
        <w:t>144.</w:t>
      </w:r>
      <w:r w:rsidRPr="00B17D2A">
        <w:rPr>
          <w:lang w:val="fr-FR"/>
        </w:rPr>
        <w:tab/>
        <w:t>Conformément aux dispositions de l</w:t>
      </w:r>
      <w:r w:rsidR="00277023">
        <w:rPr>
          <w:lang w:val="fr-FR"/>
        </w:rPr>
        <w:t>’</w:t>
      </w:r>
      <w:r w:rsidRPr="00B17D2A">
        <w:rPr>
          <w:lang w:val="fr-FR"/>
        </w:rPr>
        <w:t xml:space="preserve">article 7 de </w:t>
      </w:r>
      <w:smartTag w:uri="urn:schemas-microsoft-com:office:smarttags" w:element="PersonName">
        <w:smartTagPr>
          <w:attr w:name="ProductID" w:val="la Loi"/>
        </w:smartTagPr>
        <w:r w:rsidRPr="00B17D2A">
          <w:rPr>
            <w:lang w:val="fr-FR"/>
          </w:rPr>
          <w:t>la Loi</w:t>
        </w:r>
      </w:smartTag>
      <w:r w:rsidRPr="00B17D2A">
        <w:rPr>
          <w:lang w:val="fr-FR"/>
        </w:rPr>
        <w:t xml:space="preserve"> sur la promotion de l</w:t>
      </w:r>
      <w:r w:rsidR="00277023">
        <w:rPr>
          <w:lang w:val="fr-FR"/>
        </w:rPr>
        <w:t>’</w:t>
      </w:r>
      <w:r w:rsidRPr="00B17D2A">
        <w:rPr>
          <w:lang w:val="fr-FR"/>
        </w:rPr>
        <w:t>éducation et de la sensibilisation aux droits de l</w:t>
      </w:r>
      <w:r w:rsidR="00277023">
        <w:rPr>
          <w:lang w:val="fr-FR"/>
        </w:rPr>
        <w:t>’</w:t>
      </w:r>
      <w:r w:rsidRPr="00B17D2A">
        <w:rPr>
          <w:lang w:val="fr-FR"/>
        </w:rPr>
        <w:t>homme, cadre général de la politique nationale sur la promotion globale et systématique de l</w:t>
      </w:r>
      <w:r w:rsidR="00277023">
        <w:rPr>
          <w:lang w:val="fr-FR"/>
        </w:rPr>
        <w:t>’</w:t>
      </w:r>
      <w:r w:rsidRPr="00B17D2A">
        <w:rPr>
          <w:lang w:val="fr-FR"/>
        </w:rPr>
        <w:t>éducation et de la sensibilisation aux droits de l</w:t>
      </w:r>
      <w:r w:rsidR="00277023">
        <w:rPr>
          <w:lang w:val="fr-FR"/>
        </w:rPr>
        <w:t>’</w:t>
      </w:r>
      <w:r w:rsidRPr="00B17D2A">
        <w:rPr>
          <w:lang w:val="fr-FR"/>
        </w:rPr>
        <w:t>homme, le Plan de base pour l</w:t>
      </w:r>
      <w:r w:rsidR="00277023">
        <w:rPr>
          <w:lang w:val="fr-FR"/>
        </w:rPr>
        <w:t>’</w:t>
      </w:r>
      <w:r w:rsidRPr="00B17D2A">
        <w:rPr>
          <w:lang w:val="fr-FR"/>
        </w:rPr>
        <w:t>éducation et la sensibilisation aux droits de l</w:t>
      </w:r>
      <w:r w:rsidR="00277023">
        <w:rPr>
          <w:lang w:val="fr-FR"/>
        </w:rPr>
        <w:t>’</w:t>
      </w:r>
      <w:r w:rsidRPr="00B17D2A">
        <w:rPr>
          <w:lang w:val="fr-FR"/>
        </w:rPr>
        <w:t>homme a été formulé par le Cabinet en mars 2002. Dans la ligne du Plan de base, des mesures ont bénéficié d</w:t>
      </w:r>
      <w:r w:rsidR="00277023">
        <w:rPr>
          <w:lang w:val="fr-FR"/>
        </w:rPr>
        <w:t>’</w:t>
      </w:r>
      <w:r w:rsidRPr="00B17D2A">
        <w:rPr>
          <w:lang w:val="fr-FR"/>
        </w:rPr>
        <w:t>une promotion active et systématique afin d</w:t>
      </w:r>
      <w:r w:rsidR="00277023">
        <w:rPr>
          <w:lang w:val="fr-FR"/>
        </w:rPr>
        <w:t>’</w:t>
      </w:r>
      <w:r w:rsidRPr="00B17D2A">
        <w:rPr>
          <w:lang w:val="fr-FR"/>
        </w:rPr>
        <w:t>assurer l</w:t>
      </w:r>
      <w:r w:rsidR="00277023">
        <w:rPr>
          <w:lang w:val="fr-FR"/>
        </w:rPr>
        <w:t>’</w:t>
      </w:r>
      <w:r w:rsidRPr="00B17D2A">
        <w:rPr>
          <w:lang w:val="fr-FR"/>
        </w:rPr>
        <w:t>édification rapide d</w:t>
      </w:r>
      <w:r w:rsidR="00277023">
        <w:rPr>
          <w:lang w:val="fr-FR"/>
        </w:rPr>
        <w:t>’</w:t>
      </w:r>
      <w:r w:rsidRPr="00B17D2A">
        <w:rPr>
          <w:lang w:val="fr-FR"/>
        </w:rPr>
        <w:t>une société garante du respect des droits de l</w:t>
      </w:r>
      <w:r w:rsidR="00277023">
        <w:rPr>
          <w:lang w:val="fr-FR"/>
        </w:rPr>
        <w:t>’</w:t>
      </w:r>
      <w:r w:rsidRPr="00B17D2A">
        <w:rPr>
          <w:lang w:val="fr-FR"/>
        </w:rPr>
        <w:t xml:space="preserve">homme. </w:t>
      </w:r>
    </w:p>
    <w:p w:rsidR="00B17D2A" w:rsidRPr="00B17D2A" w:rsidRDefault="00B17D2A" w:rsidP="00B17D2A">
      <w:pPr>
        <w:pStyle w:val="SingleTxtG"/>
        <w:rPr>
          <w:lang w:val="fr-FR"/>
        </w:rPr>
      </w:pPr>
      <w:r w:rsidRPr="00B17D2A">
        <w:rPr>
          <w:lang w:val="fr-FR"/>
        </w:rPr>
        <w:t>145.</w:t>
      </w:r>
      <w:r w:rsidRPr="00B17D2A">
        <w:rPr>
          <w:lang w:val="fr-FR"/>
        </w:rPr>
        <w:tab/>
        <w:t>Le Ministère de l</w:t>
      </w:r>
      <w:r w:rsidR="00277023">
        <w:rPr>
          <w:lang w:val="fr-FR"/>
        </w:rPr>
        <w:t>’</w:t>
      </w:r>
      <w:r w:rsidRPr="00B17D2A">
        <w:rPr>
          <w:lang w:val="fr-FR"/>
        </w:rPr>
        <w:t>éducation, de la culture, des sports, des sciences et de la technologie a fait savoir aux ministères et organismes concernés que l</w:t>
      </w:r>
      <w:r w:rsidR="00277023">
        <w:rPr>
          <w:lang w:val="fr-FR"/>
        </w:rPr>
        <w:t>’</w:t>
      </w:r>
      <w:r w:rsidRPr="00B17D2A">
        <w:rPr>
          <w:lang w:val="fr-FR"/>
        </w:rPr>
        <w:t>éducation aux droits de l</w:t>
      </w:r>
      <w:r w:rsidR="00277023">
        <w:rPr>
          <w:lang w:val="fr-FR"/>
        </w:rPr>
        <w:t>’</w:t>
      </w:r>
      <w:r w:rsidRPr="00B17D2A">
        <w:rPr>
          <w:lang w:val="fr-FR"/>
        </w:rPr>
        <w:t>homme dans l</w:t>
      </w:r>
      <w:r w:rsidR="00277023">
        <w:rPr>
          <w:lang w:val="fr-FR"/>
        </w:rPr>
        <w:t>’</w:t>
      </w:r>
      <w:r w:rsidRPr="00B17D2A">
        <w:rPr>
          <w:lang w:val="fr-FR"/>
        </w:rPr>
        <w:t xml:space="preserve">enseignement scolaire et les sciences sociales devait être assurée de façon plus adaptée, conformément au Plan de base. </w:t>
      </w:r>
    </w:p>
    <w:p w:rsidR="00B17D2A" w:rsidRPr="00B17D2A" w:rsidRDefault="00727D67" w:rsidP="00727D67">
      <w:pPr>
        <w:pStyle w:val="H23G"/>
        <w:rPr>
          <w:lang w:val="fr-FR"/>
        </w:rPr>
      </w:pPr>
      <w:r>
        <w:rPr>
          <w:lang w:val="fr-FR"/>
        </w:rPr>
        <w:tab/>
        <w:t>b)</w:t>
      </w:r>
      <w:r>
        <w:rPr>
          <w:lang w:val="fr-FR"/>
        </w:rPr>
        <w:tab/>
      </w:r>
      <w:r w:rsidR="00B17D2A" w:rsidRPr="00B17D2A">
        <w:rPr>
          <w:lang w:val="fr-FR"/>
        </w:rPr>
        <w:t>Mesures visant à mettre un terme à la discrimination</w:t>
      </w:r>
    </w:p>
    <w:p w:rsidR="00B17D2A" w:rsidRPr="00B17D2A" w:rsidRDefault="00B17D2A" w:rsidP="00B17D2A">
      <w:pPr>
        <w:pStyle w:val="SingleTxtG"/>
        <w:rPr>
          <w:lang w:val="fr-FR"/>
        </w:rPr>
      </w:pPr>
      <w:r w:rsidRPr="00B17D2A">
        <w:rPr>
          <w:lang w:val="fr-FR"/>
        </w:rPr>
        <w:t>146.</w:t>
      </w:r>
      <w:r w:rsidRPr="00B17D2A">
        <w:rPr>
          <w:lang w:val="fr-FR"/>
        </w:rPr>
        <w:tab/>
        <w:t>Voir paragraphe 109 du deuxième rapport du Japon (paragraphes 51-53 du rapport initial du Japon)</w:t>
      </w:r>
    </w:p>
    <w:p w:rsidR="00B17D2A" w:rsidRPr="00B17D2A" w:rsidRDefault="00B17D2A" w:rsidP="00B17D2A">
      <w:pPr>
        <w:pStyle w:val="SingleTxtG"/>
        <w:rPr>
          <w:lang w:val="fr-FR"/>
        </w:rPr>
      </w:pPr>
      <w:r w:rsidRPr="00B17D2A">
        <w:rPr>
          <w:lang w:val="fr-FR"/>
        </w:rPr>
        <w:t>147.</w:t>
      </w:r>
      <w:r w:rsidRPr="00B17D2A">
        <w:rPr>
          <w:lang w:val="fr-FR"/>
        </w:rPr>
        <w:tab/>
        <w:t>En présence d</w:t>
      </w:r>
      <w:r w:rsidR="00277023">
        <w:rPr>
          <w:lang w:val="fr-FR"/>
        </w:rPr>
        <w:t>’</w:t>
      </w:r>
      <w:r w:rsidRPr="00B17D2A">
        <w:rPr>
          <w:lang w:val="fr-FR"/>
        </w:rPr>
        <w:t>un cas de discrimination avéré, les organes de défense des droits de l</w:t>
      </w:r>
      <w:r w:rsidR="00277023">
        <w:rPr>
          <w:lang w:val="fr-FR"/>
        </w:rPr>
        <w:t>’</w:t>
      </w:r>
      <w:r w:rsidRPr="00B17D2A">
        <w:rPr>
          <w:lang w:val="fr-FR"/>
        </w:rPr>
        <w:t>homme du Ministère de la justice sont tenus de prendre immédiatement les mesures requises pour y répondre. Dans le droit privé,</w:t>
      </w:r>
      <w:r w:rsidR="00EA1115">
        <w:rPr>
          <w:lang w:val="fr-FR"/>
        </w:rPr>
        <w:t xml:space="preserve"> </w:t>
      </w:r>
      <w:r w:rsidRPr="00B17D2A">
        <w:rPr>
          <w:lang w:val="fr-FR"/>
        </w:rPr>
        <w:t>si un tel acte est jugé illicite en vertu du Code civil, l</w:t>
      </w:r>
      <w:r w:rsidR="00277023">
        <w:rPr>
          <w:lang w:val="fr-FR"/>
        </w:rPr>
        <w:t>’</w:t>
      </w:r>
      <w:r w:rsidRPr="00B17D2A">
        <w:rPr>
          <w:lang w:val="fr-FR"/>
        </w:rPr>
        <w:t>auteur verra sa responsabilité engagée pour les dommages causés. Si l</w:t>
      </w:r>
      <w:r w:rsidR="00277023">
        <w:rPr>
          <w:lang w:val="fr-FR"/>
        </w:rPr>
        <w:t>’</w:t>
      </w:r>
      <w:r w:rsidRPr="00B17D2A">
        <w:rPr>
          <w:lang w:val="fr-FR"/>
        </w:rPr>
        <w:t>acte discriminatoire va à l</w:t>
      </w:r>
      <w:r w:rsidR="00277023">
        <w:rPr>
          <w:lang w:val="fr-FR"/>
        </w:rPr>
        <w:t>’</w:t>
      </w:r>
      <w:r w:rsidRPr="00B17D2A">
        <w:rPr>
          <w:lang w:val="fr-FR"/>
        </w:rPr>
        <w:t>encontre des politiques publiques ou des bonnes mœurs, ainsi qu</w:t>
      </w:r>
      <w:r w:rsidR="00277023">
        <w:rPr>
          <w:lang w:val="fr-FR"/>
        </w:rPr>
        <w:t>’</w:t>
      </w:r>
      <w:r w:rsidRPr="00B17D2A">
        <w:rPr>
          <w:lang w:val="fr-FR"/>
        </w:rPr>
        <w:t>il est prévu à l</w:t>
      </w:r>
      <w:r w:rsidR="00277023">
        <w:rPr>
          <w:lang w:val="fr-FR"/>
        </w:rPr>
        <w:t>’</w:t>
      </w:r>
      <w:r w:rsidRPr="00B17D2A">
        <w:rPr>
          <w:lang w:val="fr-FR"/>
        </w:rPr>
        <w:t>article 90 du Code civil qui est une disposition restreignant l</w:t>
      </w:r>
      <w:r w:rsidR="00277023">
        <w:rPr>
          <w:lang w:val="fr-FR"/>
        </w:rPr>
        <w:t>’</w:t>
      </w:r>
      <w:r w:rsidRPr="00B17D2A">
        <w:rPr>
          <w:lang w:val="fr-FR"/>
        </w:rPr>
        <w:t>autonomie personnelle de manière générale, l</w:t>
      </w:r>
      <w:r w:rsidR="00277023">
        <w:rPr>
          <w:lang w:val="fr-FR"/>
        </w:rPr>
        <w:t>’</w:t>
      </w:r>
      <w:r w:rsidRPr="00B17D2A">
        <w:rPr>
          <w:lang w:val="fr-FR"/>
        </w:rPr>
        <w:t>acte peut être nul et non avenu, mais s</w:t>
      </w:r>
      <w:r w:rsidR="00277023">
        <w:rPr>
          <w:lang w:val="fr-FR"/>
        </w:rPr>
        <w:t>’</w:t>
      </w:r>
      <w:r w:rsidRPr="00B17D2A">
        <w:rPr>
          <w:lang w:val="fr-FR"/>
        </w:rPr>
        <w:t xml:space="preserve">il enfreint des lois ou dispositions pénales, son auteur sera puni. </w:t>
      </w:r>
    </w:p>
    <w:p w:rsidR="00B17D2A" w:rsidRPr="00B17D2A" w:rsidRDefault="00727D67" w:rsidP="00727D67">
      <w:pPr>
        <w:pStyle w:val="H23G"/>
        <w:rPr>
          <w:lang w:val="fr-FR"/>
        </w:rPr>
      </w:pPr>
      <w:r>
        <w:rPr>
          <w:lang w:val="fr-FR"/>
        </w:rPr>
        <w:tab/>
        <w:t>c)</w:t>
      </w:r>
      <w:r>
        <w:rPr>
          <w:lang w:val="fr-FR"/>
        </w:rPr>
        <w:tab/>
      </w:r>
      <w:r w:rsidR="00B17D2A" w:rsidRPr="00B17D2A">
        <w:rPr>
          <w:lang w:val="fr-FR"/>
        </w:rPr>
        <w:t>Prévention de la discrimination à l</w:t>
      </w:r>
      <w:r w:rsidR="00277023">
        <w:rPr>
          <w:lang w:val="fr-FR"/>
        </w:rPr>
        <w:t>’</w:t>
      </w:r>
      <w:r w:rsidR="00B17D2A" w:rsidRPr="00B17D2A">
        <w:rPr>
          <w:lang w:val="fr-FR"/>
        </w:rPr>
        <w:t>égard des enfants dans les situations les plus défavorables</w:t>
      </w:r>
    </w:p>
    <w:p w:rsidR="00B17D2A" w:rsidRPr="00B17D2A" w:rsidRDefault="00B17D2A" w:rsidP="00B17D2A">
      <w:pPr>
        <w:pStyle w:val="SingleTxtG"/>
        <w:rPr>
          <w:lang w:val="fr-FR"/>
        </w:rPr>
      </w:pPr>
      <w:r w:rsidRPr="00B17D2A">
        <w:rPr>
          <w:lang w:val="fr-FR"/>
        </w:rPr>
        <w:t>(Education aux droits de l</w:t>
      </w:r>
      <w:r w:rsidR="00277023">
        <w:rPr>
          <w:lang w:val="fr-FR"/>
        </w:rPr>
        <w:t>’</w:t>
      </w:r>
      <w:r w:rsidRPr="00B17D2A">
        <w:rPr>
          <w:lang w:val="fr-FR"/>
        </w:rPr>
        <w:t>homme, activités de sensibilisation et questions connexes)</w:t>
      </w:r>
    </w:p>
    <w:p w:rsidR="00B17D2A" w:rsidRPr="00B17D2A" w:rsidRDefault="00B17D2A" w:rsidP="00B17D2A">
      <w:pPr>
        <w:pStyle w:val="SingleTxtG"/>
        <w:rPr>
          <w:lang w:val="fr-FR"/>
        </w:rPr>
      </w:pPr>
      <w:r w:rsidRPr="00B17D2A">
        <w:rPr>
          <w:lang w:val="fr-FR"/>
        </w:rPr>
        <w:t>148.</w:t>
      </w:r>
      <w:r w:rsidRPr="00B17D2A">
        <w:rPr>
          <w:lang w:val="fr-FR"/>
        </w:rPr>
        <w:tab/>
        <w:t>Voir paragraphes 110 (réponse 15 à la question du Comité des droits de l</w:t>
      </w:r>
      <w:r w:rsidR="00277023">
        <w:rPr>
          <w:lang w:val="fr-FR"/>
        </w:rPr>
        <w:t>’</w:t>
      </w:r>
      <w:r w:rsidRPr="00B17D2A">
        <w:rPr>
          <w:lang w:val="fr-FR"/>
        </w:rPr>
        <w:t>enfant posée lors de l</w:t>
      </w:r>
      <w:r w:rsidR="00277023">
        <w:rPr>
          <w:lang w:val="fr-FR"/>
        </w:rPr>
        <w:t>’</w:t>
      </w:r>
      <w:r w:rsidRPr="00B17D2A">
        <w:rPr>
          <w:lang w:val="fr-FR"/>
        </w:rPr>
        <w:t>examen du rapport initial) et 112 du deuxième rapport du Japon, et réponse 14 à la question du Comité des droits de l</w:t>
      </w:r>
      <w:r w:rsidR="00277023">
        <w:rPr>
          <w:lang w:val="fr-FR"/>
        </w:rPr>
        <w:t>’</w:t>
      </w:r>
      <w:r w:rsidRPr="00B17D2A">
        <w:rPr>
          <w:lang w:val="fr-FR"/>
        </w:rPr>
        <w:t>enfant posée lors de l</w:t>
      </w:r>
      <w:r w:rsidR="00277023">
        <w:rPr>
          <w:lang w:val="fr-FR"/>
        </w:rPr>
        <w:t>’</w:t>
      </w:r>
      <w:r w:rsidRPr="00B17D2A">
        <w:rPr>
          <w:lang w:val="fr-FR"/>
        </w:rPr>
        <w:t xml:space="preserve">examen du rapport initial. </w:t>
      </w:r>
    </w:p>
    <w:p w:rsidR="00B17D2A" w:rsidRPr="00B17D2A" w:rsidRDefault="00B17D2A" w:rsidP="00B17D2A">
      <w:pPr>
        <w:pStyle w:val="SingleTxtG"/>
        <w:rPr>
          <w:lang w:val="fr-FR"/>
        </w:rPr>
      </w:pPr>
      <w:r w:rsidRPr="00B17D2A">
        <w:rPr>
          <w:lang w:val="fr-FR"/>
        </w:rPr>
        <w:t>149.</w:t>
      </w:r>
      <w:r w:rsidRPr="00B17D2A">
        <w:rPr>
          <w:lang w:val="fr-FR"/>
        </w:rPr>
        <w:tab/>
        <w:t>Il faut retenir que la discrimination à l</w:t>
      </w:r>
      <w:r w:rsidR="00277023">
        <w:rPr>
          <w:lang w:val="fr-FR"/>
        </w:rPr>
        <w:t>’</w:t>
      </w:r>
      <w:r w:rsidRPr="00B17D2A">
        <w:rPr>
          <w:lang w:val="fr-FR"/>
        </w:rPr>
        <w:t>égard d</w:t>
      </w:r>
      <w:r w:rsidR="00277023">
        <w:rPr>
          <w:lang w:val="fr-FR"/>
        </w:rPr>
        <w:t>’</w:t>
      </w:r>
      <w:r w:rsidRPr="00B17D2A">
        <w:rPr>
          <w:lang w:val="fr-FR"/>
        </w:rPr>
        <w:t>un enfant affecte profondément le développement de sa personnalité. En d</w:t>
      </w:r>
      <w:r w:rsidR="00277023">
        <w:rPr>
          <w:lang w:val="fr-FR"/>
        </w:rPr>
        <w:t>’</w:t>
      </w:r>
      <w:r w:rsidRPr="00B17D2A">
        <w:rPr>
          <w:lang w:val="fr-FR"/>
        </w:rPr>
        <w:t>autres termes, un enfant ne devrait être frappé d</w:t>
      </w:r>
      <w:r w:rsidR="00277023">
        <w:rPr>
          <w:lang w:val="fr-FR"/>
        </w:rPr>
        <w:t>’</w:t>
      </w:r>
      <w:r w:rsidRPr="00B17D2A">
        <w:rPr>
          <w:lang w:val="fr-FR"/>
        </w:rPr>
        <w:t>aucune forme de discrimination dans la perspective du bon développement de sa personnalité. A cette fin, le Gouvernement japonais a engagé des actions de promotion d</w:t>
      </w:r>
      <w:r w:rsidR="00277023">
        <w:rPr>
          <w:lang w:val="fr-FR"/>
        </w:rPr>
        <w:t>’</w:t>
      </w:r>
      <w:r w:rsidRPr="00B17D2A">
        <w:rPr>
          <w:lang w:val="fr-FR"/>
        </w:rPr>
        <w:t>une éducation qui sensibilise au respect des droits de l</w:t>
      </w:r>
      <w:r w:rsidR="00277023">
        <w:rPr>
          <w:lang w:val="fr-FR"/>
        </w:rPr>
        <w:t>’</w:t>
      </w:r>
      <w:r w:rsidRPr="00B17D2A">
        <w:rPr>
          <w:lang w:val="fr-FR"/>
        </w:rPr>
        <w:t>homme dans l</w:t>
      </w:r>
      <w:r w:rsidR="00277023">
        <w:rPr>
          <w:lang w:val="fr-FR"/>
        </w:rPr>
        <w:t>’</w:t>
      </w:r>
      <w:r w:rsidRPr="00B17D2A">
        <w:rPr>
          <w:lang w:val="fr-FR"/>
        </w:rPr>
        <w:t xml:space="preserve">esprit de </w:t>
      </w:r>
      <w:smartTag w:uri="urn:schemas-microsoft-com:office:smarttags" w:element="PersonName">
        <w:smartTagPr>
          <w:attr w:name="ProductID" w:val="la Constitution"/>
        </w:smartTagPr>
        <w:r w:rsidRPr="00B17D2A">
          <w:rPr>
            <w:lang w:val="fr-FR"/>
          </w:rPr>
          <w:t>la Constitution</w:t>
        </w:r>
      </w:smartTag>
      <w:r w:rsidRPr="00B17D2A">
        <w:rPr>
          <w:lang w:val="fr-FR"/>
        </w:rPr>
        <w:t xml:space="preserve"> et de </w:t>
      </w:r>
      <w:smartTag w:uri="urn:schemas-microsoft-com:office:smarttags" w:element="PersonName">
        <w:smartTagPr>
          <w:attr w:name="ProductID" w:val="la Loi"/>
        </w:smartTagPr>
        <w:r w:rsidRPr="00B17D2A">
          <w:rPr>
            <w:lang w:val="fr-FR"/>
          </w:rPr>
          <w:t>la Loi</w:t>
        </w:r>
      </w:smartTag>
      <w:r w:rsidRPr="00B17D2A">
        <w:rPr>
          <w:lang w:val="fr-FR"/>
        </w:rPr>
        <w:t xml:space="preserve"> sur l</w:t>
      </w:r>
      <w:r w:rsidR="00277023">
        <w:rPr>
          <w:lang w:val="fr-FR"/>
        </w:rPr>
        <w:t>’</w:t>
      </w:r>
      <w:r w:rsidRPr="00B17D2A">
        <w:rPr>
          <w:lang w:val="fr-FR"/>
        </w:rPr>
        <w:t>éducation de base, et d</w:t>
      </w:r>
      <w:r w:rsidR="00277023">
        <w:rPr>
          <w:lang w:val="fr-FR"/>
        </w:rPr>
        <w:t>’</w:t>
      </w:r>
      <w:r w:rsidRPr="00B17D2A">
        <w:rPr>
          <w:lang w:val="fr-FR"/>
        </w:rPr>
        <w:t>éducation des élèves à travers des activités pédagogiques au niveau élémentaire et secondaire de l</w:t>
      </w:r>
      <w:r w:rsidR="00277023">
        <w:rPr>
          <w:lang w:val="fr-FR"/>
        </w:rPr>
        <w:t>’</w:t>
      </w:r>
      <w:r w:rsidRPr="00B17D2A">
        <w:rPr>
          <w:lang w:val="fr-FR"/>
        </w:rPr>
        <w:t>enseignement, notamment dans le cadre des cours de morale et de sciences sociales, pour qu</w:t>
      </w:r>
      <w:r w:rsidR="00277023">
        <w:rPr>
          <w:lang w:val="fr-FR"/>
        </w:rPr>
        <w:t>’</w:t>
      </w:r>
      <w:r w:rsidRPr="00B17D2A">
        <w:rPr>
          <w:lang w:val="fr-FR"/>
        </w:rPr>
        <w:t>ils respectent les droits fondamentaux, ne fassent preuve d</w:t>
      </w:r>
      <w:r w:rsidR="00277023">
        <w:rPr>
          <w:lang w:val="fr-FR"/>
        </w:rPr>
        <w:t>’</w:t>
      </w:r>
      <w:r w:rsidRPr="00B17D2A">
        <w:rPr>
          <w:lang w:val="fr-FR"/>
        </w:rPr>
        <w:t>aucune discrimination ou de préjugés à l</w:t>
      </w:r>
      <w:r w:rsidR="00277023">
        <w:rPr>
          <w:lang w:val="fr-FR"/>
        </w:rPr>
        <w:t>’</w:t>
      </w:r>
      <w:r w:rsidRPr="00B17D2A">
        <w:rPr>
          <w:lang w:val="fr-FR"/>
        </w:rPr>
        <w:t xml:space="preserve">égard de qui que ce soit et comprennent convenablement les questions ayant trait aux droits fondamentaux, notamment la </w:t>
      </w:r>
      <w:r w:rsidR="008E49D4">
        <w:rPr>
          <w:lang w:val="fr-FR"/>
        </w:rPr>
        <w:t>“</w:t>
      </w:r>
      <w:r w:rsidRPr="00B17D2A">
        <w:rPr>
          <w:lang w:val="fr-FR"/>
        </w:rPr>
        <w:t>question Dowa</w:t>
      </w:r>
      <w:r w:rsidR="008E49D4">
        <w:rPr>
          <w:lang w:val="fr-FR"/>
        </w:rPr>
        <w:t>”</w:t>
      </w:r>
      <w:r w:rsidRPr="00B17D2A">
        <w:rPr>
          <w:lang w:val="fr-FR"/>
        </w:rPr>
        <w:t>.</w:t>
      </w:r>
    </w:p>
    <w:p w:rsidR="00B17D2A" w:rsidRPr="00B17D2A" w:rsidRDefault="00B17D2A" w:rsidP="00B17D2A">
      <w:pPr>
        <w:pStyle w:val="SingleTxtG"/>
        <w:rPr>
          <w:lang w:val="fr-FR"/>
        </w:rPr>
      </w:pPr>
      <w:r w:rsidRPr="00B17D2A">
        <w:rPr>
          <w:lang w:val="fr-FR"/>
        </w:rPr>
        <w:t>(Réfugiés)</w:t>
      </w:r>
    </w:p>
    <w:p w:rsidR="00B17D2A" w:rsidRPr="00B17D2A" w:rsidRDefault="00B17D2A" w:rsidP="00B17D2A">
      <w:pPr>
        <w:pStyle w:val="SingleTxtG"/>
        <w:rPr>
          <w:lang w:val="fr-FR"/>
        </w:rPr>
      </w:pPr>
      <w:r w:rsidRPr="00B17D2A">
        <w:rPr>
          <w:lang w:val="fr-FR"/>
        </w:rPr>
        <w:t>150.</w:t>
      </w:r>
      <w:r w:rsidRPr="00B17D2A">
        <w:rPr>
          <w:lang w:val="fr-FR"/>
        </w:rPr>
        <w:tab/>
        <w:t xml:space="preserve">Voir paragraphe 114 du deuxième rapport du Japon. </w:t>
      </w:r>
    </w:p>
    <w:p w:rsidR="00B17D2A" w:rsidRPr="00B17D2A" w:rsidRDefault="00B17D2A" w:rsidP="00B17D2A">
      <w:pPr>
        <w:pStyle w:val="SingleTxtG"/>
        <w:rPr>
          <w:lang w:val="fr-FR"/>
        </w:rPr>
      </w:pPr>
      <w:r w:rsidRPr="00B17D2A">
        <w:rPr>
          <w:lang w:val="fr-FR"/>
        </w:rPr>
        <w:t>(Enfants handicapés)</w:t>
      </w:r>
    </w:p>
    <w:p w:rsidR="00B17D2A" w:rsidRPr="00B17D2A" w:rsidRDefault="00B17D2A" w:rsidP="00B17D2A">
      <w:pPr>
        <w:pStyle w:val="SingleTxtG"/>
        <w:rPr>
          <w:lang w:val="fr-FR"/>
        </w:rPr>
      </w:pPr>
      <w:r w:rsidRPr="00B17D2A">
        <w:rPr>
          <w:lang w:val="fr-FR"/>
        </w:rPr>
        <w:t>151.</w:t>
      </w:r>
      <w:r w:rsidRPr="00B17D2A">
        <w:rPr>
          <w:lang w:val="fr-FR"/>
        </w:rPr>
        <w:tab/>
        <w:t>S</w:t>
      </w:r>
      <w:r w:rsidR="00277023">
        <w:rPr>
          <w:lang w:val="fr-FR"/>
        </w:rPr>
        <w:t>’</w:t>
      </w:r>
      <w:r w:rsidRPr="00B17D2A">
        <w:rPr>
          <w:lang w:val="fr-FR"/>
        </w:rPr>
        <w:t>agissant de renforcer l</w:t>
      </w:r>
      <w:r w:rsidR="00277023">
        <w:rPr>
          <w:lang w:val="fr-FR"/>
        </w:rPr>
        <w:t>’</w:t>
      </w:r>
      <w:r w:rsidRPr="00B17D2A">
        <w:rPr>
          <w:lang w:val="fr-FR"/>
        </w:rPr>
        <w:t xml:space="preserve">autonomie et la participation sociale des personnes handicapées, </w:t>
      </w:r>
      <w:smartTag w:uri="urn:schemas-microsoft-com:office:smarttags" w:element="PersonName">
        <w:smartTagPr>
          <w:attr w:name="ProductID" w:val="la Loi"/>
        </w:smartTagPr>
        <w:r w:rsidRPr="00B17D2A">
          <w:rPr>
            <w:lang w:val="fr-FR"/>
          </w:rPr>
          <w:t>la Loi</w:t>
        </w:r>
      </w:smartTag>
      <w:r w:rsidRPr="00B17D2A">
        <w:rPr>
          <w:lang w:val="fr-FR"/>
        </w:rPr>
        <w:t xml:space="preserve"> fondamentale relative aux personnes handicapées a été partiellement modifiée en 2004 de manière à énoncer clairement le principe de base selon lequel nul n</w:t>
      </w:r>
      <w:r w:rsidR="00277023">
        <w:rPr>
          <w:lang w:val="fr-FR"/>
        </w:rPr>
        <w:t>’</w:t>
      </w:r>
      <w:r w:rsidRPr="00B17D2A">
        <w:rPr>
          <w:lang w:val="fr-FR"/>
        </w:rPr>
        <w:t>a le droit d</w:t>
      </w:r>
      <w:r w:rsidR="00277023">
        <w:rPr>
          <w:lang w:val="fr-FR"/>
        </w:rPr>
        <w:t>’</w:t>
      </w:r>
      <w:r w:rsidRPr="00B17D2A">
        <w:rPr>
          <w:lang w:val="fr-FR"/>
        </w:rPr>
        <w:t>exercer une discrimination à l</w:t>
      </w:r>
      <w:r w:rsidR="00277023">
        <w:rPr>
          <w:lang w:val="fr-FR"/>
        </w:rPr>
        <w:t>’</w:t>
      </w:r>
      <w:r w:rsidRPr="00B17D2A">
        <w:rPr>
          <w:lang w:val="fr-FR"/>
        </w:rPr>
        <w:t>égard de personnes handicapées ou de leur refuser leurs droits ou avantages liés à leur handicap (troisième paragraphe de l</w:t>
      </w:r>
      <w:r w:rsidR="00277023">
        <w:rPr>
          <w:lang w:val="fr-FR"/>
        </w:rPr>
        <w:t>’</w:t>
      </w:r>
      <w:r w:rsidRPr="00B17D2A">
        <w:rPr>
          <w:lang w:val="fr-FR"/>
        </w:rPr>
        <w:t>article 3). Une nouvelle disposition demande à la population de contribuer à l</w:t>
      </w:r>
      <w:r w:rsidR="00277023">
        <w:rPr>
          <w:lang w:val="fr-FR"/>
        </w:rPr>
        <w:t>’</w:t>
      </w:r>
      <w:r w:rsidRPr="00B17D2A">
        <w:rPr>
          <w:lang w:val="fr-FR"/>
        </w:rPr>
        <w:t>édification d</w:t>
      </w:r>
      <w:r w:rsidR="00277023">
        <w:rPr>
          <w:lang w:val="fr-FR"/>
        </w:rPr>
        <w:t>’</w:t>
      </w:r>
      <w:r w:rsidRPr="00B17D2A">
        <w:rPr>
          <w:lang w:val="fr-FR"/>
        </w:rPr>
        <w:t>une société dans laquelle les personnes handicapées peuvent participer à toutes les activités et voient leurs droits respectés sans discrimination (deuxième paragraphe de l</w:t>
      </w:r>
      <w:r w:rsidR="00277023">
        <w:rPr>
          <w:lang w:val="fr-FR"/>
        </w:rPr>
        <w:t>’</w:t>
      </w:r>
      <w:r w:rsidRPr="00B17D2A">
        <w:rPr>
          <w:lang w:val="fr-FR"/>
        </w:rPr>
        <w:t xml:space="preserve">article 6). </w:t>
      </w:r>
      <w:smartTag w:uri="urn:schemas-microsoft-com:office:smarttags" w:element="PersonName">
        <w:smartTagPr>
          <w:attr w:name="ProductID" w:val="la Loi"/>
        </w:smartTagPr>
        <w:r w:rsidRPr="00B17D2A">
          <w:rPr>
            <w:lang w:val="fr-FR"/>
          </w:rPr>
          <w:t>La Loi</w:t>
        </w:r>
      </w:smartTag>
      <w:r w:rsidRPr="00B17D2A">
        <w:rPr>
          <w:lang w:val="fr-FR"/>
        </w:rPr>
        <w:t xml:space="preserve"> amendée dispose en outre que le Gouvernement et les collectivités locales sont responsables de la protection des personnes handicapées et prennent des mesures aux fins de défendre leurs droits, de les protéger de la discrimination et de favoriser leur autonomie et leur participation sociale (Article 4). </w:t>
      </w:r>
    </w:p>
    <w:p w:rsidR="00B17D2A" w:rsidRPr="00B17D2A" w:rsidRDefault="00B17D2A" w:rsidP="00B17D2A">
      <w:pPr>
        <w:pStyle w:val="SingleTxtG"/>
        <w:rPr>
          <w:lang w:val="fr-FR"/>
        </w:rPr>
      </w:pPr>
      <w:r w:rsidRPr="00B17D2A">
        <w:rPr>
          <w:lang w:val="fr-FR"/>
        </w:rPr>
        <w:t>152.</w:t>
      </w:r>
      <w:r w:rsidRPr="00B17D2A">
        <w:rPr>
          <w:lang w:val="fr-FR"/>
        </w:rPr>
        <w:tab/>
        <w:t>S</w:t>
      </w:r>
      <w:r w:rsidR="00277023">
        <w:rPr>
          <w:lang w:val="fr-FR"/>
        </w:rPr>
        <w:t>’</w:t>
      </w:r>
      <w:r w:rsidRPr="00B17D2A">
        <w:rPr>
          <w:lang w:val="fr-FR"/>
        </w:rPr>
        <w:t>agissant de l</w:t>
      </w:r>
      <w:r w:rsidR="00277023">
        <w:rPr>
          <w:lang w:val="fr-FR"/>
        </w:rPr>
        <w:t>’</w:t>
      </w:r>
      <w:r w:rsidRPr="00B17D2A">
        <w:rPr>
          <w:lang w:val="fr-FR"/>
        </w:rPr>
        <w:t>enseignement scolaire, on assiste à la multiplication des échanges et des classes réunissant des enfants handicapés et non handicapés et des personnes de la communauté locale, dont on attend des retombées éducatives importantes en termes de qualités humaines chez tous les enfants. Cette démarche est également importante pour la population locale, car elle favorise une compréhension et sensibilisation accrues au regard des enfants handicapés et de leur éducation. S</w:t>
      </w:r>
      <w:r w:rsidR="00277023">
        <w:rPr>
          <w:lang w:val="fr-FR"/>
        </w:rPr>
        <w:t>’</w:t>
      </w:r>
      <w:r w:rsidRPr="00B17D2A">
        <w:rPr>
          <w:lang w:val="fr-FR"/>
        </w:rPr>
        <w:t>agissant de promouvoir des activités éducatives de cette nature, un manuel a été publié et distribué en mars 2004. Par ailleurs, des réunions sont organisées dans tout le pays et des brochures sont éditées et diffusées afin de promouvoir la compréhension et la sensibilisation concernant les enfants handicapés.</w:t>
      </w:r>
    </w:p>
    <w:p w:rsidR="00B17D2A" w:rsidRPr="00B17D2A" w:rsidRDefault="00B17D2A" w:rsidP="00B17D2A">
      <w:pPr>
        <w:pStyle w:val="SingleTxtG"/>
        <w:rPr>
          <w:lang w:val="fr-FR"/>
        </w:rPr>
      </w:pPr>
      <w:r w:rsidRPr="00B17D2A">
        <w:rPr>
          <w:lang w:val="fr-FR"/>
        </w:rPr>
        <w:t>(Admission à l</w:t>
      </w:r>
      <w:r w:rsidR="00277023">
        <w:rPr>
          <w:lang w:val="fr-FR"/>
        </w:rPr>
        <w:t>’</w:t>
      </w:r>
      <w:r w:rsidRPr="00B17D2A">
        <w:rPr>
          <w:lang w:val="fr-FR"/>
        </w:rPr>
        <w:t>université)</w:t>
      </w:r>
    </w:p>
    <w:p w:rsidR="00B17D2A" w:rsidRPr="00B17D2A" w:rsidRDefault="00B17D2A" w:rsidP="00B17D2A">
      <w:pPr>
        <w:pStyle w:val="SingleTxtG"/>
        <w:rPr>
          <w:lang w:val="fr-FR"/>
        </w:rPr>
      </w:pPr>
      <w:r w:rsidRPr="00B17D2A">
        <w:rPr>
          <w:lang w:val="fr-FR"/>
        </w:rPr>
        <w:t>153.</w:t>
      </w:r>
      <w:r w:rsidRPr="00B17D2A">
        <w:rPr>
          <w:lang w:val="fr-FR"/>
        </w:rPr>
        <w:tab/>
        <w:t>L</w:t>
      </w:r>
      <w:r w:rsidR="00277023">
        <w:rPr>
          <w:lang w:val="fr-FR"/>
        </w:rPr>
        <w:t>’</w:t>
      </w:r>
      <w:r w:rsidRPr="00B17D2A">
        <w:rPr>
          <w:lang w:val="fr-FR"/>
        </w:rPr>
        <w:t xml:space="preserve">admission dans une université japonaise </w:t>
      </w:r>
      <w:r w:rsidR="002B5F2D">
        <w:rPr>
          <w:lang w:val="fr-FR"/>
        </w:rPr>
        <w:t>—</w:t>
      </w:r>
      <w:r w:rsidRPr="00B17D2A">
        <w:rPr>
          <w:lang w:val="fr-FR"/>
        </w:rPr>
        <w:t>sans considération de nationalité, de race et de sexe</w:t>
      </w:r>
      <w:r w:rsidR="002B5F2D">
        <w:rPr>
          <w:lang w:val="fr-FR"/>
        </w:rPr>
        <w:t>—</w:t>
      </w:r>
      <w:r w:rsidRPr="00B17D2A">
        <w:rPr>
          <w:lang w:val="fr-FR"/>
        </w:rPr>
        <w:t xml:space="preserve"> est acquise si l</w:t>
      </w:r>
      <w:r w:rsidR="00277023">
        <w:rPr>
          <w:lang w:val="fr-FR"/>
        </w:rPr>
        <w:t>’</w:t>
      </w:r>
      <w:r w:rsidRPr="00B17D2A">
        <w:rPr>
          <w:lang w:val="fr-FR"/>
        </w:rPr>
        <w:t>on obtient le diplôme de fin d</w:t>
      </w:r>
      <w:r w:rsidR="00277023">
        <w:rPr>
          <w:lang w:val="fr-FR"/>
        </w:rPr>
        <w:t>’</w:t>
      </w:r>
      <w:r w:rsidRPr="00B17D2A">
        <w:rPr>
          <w:lang w:val="fr-FR"/>
        </w:rPr>
        <w:t>études du deuxième cycle du secondaire, ou si l</w:t>
      </w:r>
      <w:r w:rsidR="00277023">
        <w:rPr>
          <w:lang w:val="fr-FR"/>
        </w:rPr>
        <w:t>’</w:t>
      </w:r>
      <w:r w:rsidRPr="00B17D2A">
        <w:rPr>
          <w:lang w:val="fr-FR"/>
        </w:rPr>
        <w:t>on passe un examen appelé examen d</w:t>
      </w:r>
      <w:r w:rsidR="00277023">
        <w:rPr>
          <w:lang w:val="fr-FR"/>
        </w:rPr>
        <w:t>’</w:t>
      </w:r>
      <w:r w:rsidRPr="00B17D2A">
        <w:rPr>
          <w:lang w:val="fr-FR"/>
        </w:rPr>
        <w:t>équivalence du deuxième cycle de l</w:t>
      </w:r>
      <w:r w:rsidR="00277023">
        <w:rPr>
          <w:lang w:val="fr-FR"/>
        </w:rPr>
        <w:t>’</w:t>
      </w:r>
      <w:r w:rsidRPr="00B17D2A">
        <w:rPr>
          <w:lang w:val="fr-FR"/>
        </w:rPr>
        <w:t>enseignement secondaire. En 2003, le système éducatif japonais a été modifié pour permettre aux universités d</w:t>
      </w:r>
      <w:r w:rsidR="00277023">
        <w:rPr>
          <w:lang w:val="fr-FR"/>
        </w:rPr>
        <w:t>’</w:t>
      </w:r>
      <w:r w:rsidRPr="00B17D2A">
        <w:rPr>
          <w:lang w:val="fr-FR"/>
        </w:rPr>
        <w:t>admettre tout élève, y compris les diplômés étrangers de l</w:t>
      </w:r>
      <w:r w:rsidR="00277023">
        <w:rPr>
          <w:lang w:val="fr-FR"/>
        </w:rPr>
        <w:t>’</w:t>
      </w:r>
      <w:r w:rsidRPr="00B17D2A">
        <w:rPr>
          <w:lang w:val="fr-FR"/>
        </w:rPr>
        <w:t>enseignement secondaire, dont le niveau scolaire est jugé équivalent ou supérieur à celui des diplômés de l</w:t>
      </w:r>
      <w:r w:rsidR="00277023">
        <w:rPr>
          <w:lang w:val="fr-FR"/>
        </w:rPr>
        <w:t>’</w:t>
      </w:r>
      <w:r w:rsidRPr="00B17D2A">
        <w:rPr>
          <w:lang w:val="fr-FR"/>
        </w:rPr>
        <w:t xml:space="preserve">enseignement secondaire japonais. </w:t>
      </w:r>
    </w:p>
    <w:p w:rsidR="00B17D2A" w:rsidRPr="00B17D2A" w:rsidRDefault="00B17D2A" w:rsidP="00B17D2A">
      <w:pPr>
        <w:pStyle w:val="SingleTxtG"/>
        <w:rPr>
          <w:lang w:val="fr-FR"/>
        </w:rPr>
      </w:pPr>
      <w:r w:rsidRPr="00B17D2A">
        <w:rPr>
          <w:lang w:val="fr-FR"/>
        </w:rPr>
        <w:t>(Elèves étrangers)</w:t>
      </w:r>
    </w:p>
    <w:p w:rsidR="00B17D2A" w:rsidRPr="00B17D2A" w:rsidRDefault="00B17D2A" w:rsidP="00B17D2A">
      <w:pPr>
        <w:pStyle w:val="SingleTxtG"/>
        <w:rPr>
          <w:lang w:val="fr-FR"/>
        </w:rPr>
      </w:pPr>
      <w:r w:rsidRPr="00B17D2A">
        <w:rPr>
          <w:lang w:val="fr-FR"/>
        </w:rPr>
        <w:t>154.</w:t>
      </w:r>
      <w:r w:rsidRPr="00B17D2A">
        <w:rPr>
          <w:lang w:val="fr-FR"/>
        </w:rPr>
        <w:tab/>
        <w:t>Les enfants d</w:t>
      </w:r>
      <w:r w:rsidR="00277023">
        <w:rPr>
          <w:lang w:val="fr-FR"/>
        </w:rPr>
        <w:t>’</w:t>
      </w:r>
      <w:r w:rsidRPr="00B17D2A">
        <w:rPr>
          <w:lang w:val="fr-FR"/>
        </w:rPr>
        <w:t>une autre nationalité qui souhaitent entrer dans un établissement d</w:t>
      </w:r>
      <w:r w:rsidR="00277023">
        <w:rPr>
          <w:lang w:val="fr-FR"/>
        </w:rPr>
        <w:t>’</w:t>
      </w:r>
      <w:r w:rsidRPr="00B17D2A">
        <w:rPr>
          <w:lang w:val="fr-FR"/>
        </w:rPr>
        <w:t xml:space="preserve">enseignement public obligatoire sont traités comme les enfants japonais, avec la gratuité de la scolarité et des manuels et des aides pour couvrir les dépenses scolaires. </w:t>
      </w:r>
    </w:p>
    <w:p w:rsidR="00B17D2A" w:rsidRPr="00B17D2A" w:rsidRDefault="00727D67" w:rsidP="00727D67">
      <w:pPr>
        <w:pStyle w:val="H23G"/>
        <w:rPr>
          <w:lang w:val="fr-FR"/>
        </w:rPr>
      </w:pPr>
      <w:r>
        <w:rPr>
          <w:lang w:val="fr-FR"/>
        </w:rPr>
        <w:tab/>
        <w:t>d)</w:t>
      </w:r>
      <w:r>
        <w:rPr>
          <w:lang w:val="fr-FR"/>
        </w:rPr>
        <w:tab/>
      </w:r>
      <w:r w:rsidR="00B17D2A" w:rsidRPr="00B17D2A">
        <w:rPr>
          <w:lang w:val="fr-FR"/>
        </w:rPr>
        <w:t>Mesures visant à éliminer la discrimination à l</w:t>
      </w:r>
      <w:r w:rsidR="00277023">
        <w:rPr>
          <w:lang w:val="fr-FR"/>
        </w:rPr>
        <w:t>’</w:t>
      </w:r>
      <w:r w:rsidR="00B17D2A" w:rsidRPr="00B17D2A">
        <w:rPr>
          <w:lang w:val="fr-FR"/>
        </w:rPr>
        <w:t xml:space="preserve">égard des filles et suivi de la quatrième Conférence mondiale sur les femmes </w:t>
      </w:r>
    </w:p>
    <w:p w:rsidR="00B17D2A" w:rsidRPr="00B17D2A" w:rsidRDefault="00B17D2A" w:rsidP="00B17D2A">
      <w:pPr>
        <w:pStyle w:val="SingleTxtG"/>
        <w:rPr>
          <w:lang w:val="fr-FR"/>
        </w:rPr>
      </w:pPr>
      <w:r w:rsidRPr="00B17D2A">
        <w:rPr>
          <w:lang w:val="fr-FR"/>
        </w:rPr>
        <w:t>155.</w:t>
      </w:r>
      <w:r w:rsidRPr="00B17D2A">
        <w:rPr>
          <w:lang w:val="fr-FR"/>
        </w:rPr>
        <w:tab/>
        <w:t xml:space="preserve">En juin 1999, le Gouvernement japonais a promulgué </w:t>
      </w:r>
      <w:smartTag w:uri="urn:schemas-microsoft-com:office:smarttags" w:element="PersonName">
        <w:smartTagPr>
          <w:attr w:name="ProductID" w:val="la Loi"/>
        </w:smartTagPr>
        <w:r w:rsidRPr="00B17D2A">
          <w:rPr>
            <w:lang w:val="fr-FR"/>
          </w:rPr>
          <w:t>la Loi</w:t>
        </w:r>
      </w:smartTag>
      <w:r w:rsidRPr="00B17D2A">
        <w:rPr>
          <w:lang w:val="fr-FR"/>
        </w:rPr>
        <w:t xml:space="preserve"> fondamentale sur l</w:t>
      </w:r>
      <w:r w:rsidR="00277023">
        <w:rPr>
          <w:lang w:val="fr-FR"/>
        </w:rPr>
        <w:t>’</w:t>
      </w:r>
      <w:r w:rsidRPr="00B17D2A">
        <w:rPr>
          <w:lang w:val="fr-FR"/>
        </w:rPr>
        <w:t>égalité entre les sexes, dont l</w:t>
      </w:r>
      <w:r w:rsidR="00277023">
        <w:rPr>
          <w:lang w:val="fr-FR"/>
        </w:rPr>
        <w:t>’</w:t>
      </w:r>
      <w:r w:rsidRPr="00B17D2A">
        <w:rPr>
          <w:lang w:val="fr-FR"/>
        </w:rPr>
        <w:t>un des principes directeurs est le respect des droits fondamentaux des hommes comme des femmes, et notamment</w:t>
      </w:r>
      <w:r w:rsidR="00277023">
        <w:rPr>
          <w:lang w:val="fr-FR"/>
        </w:rPr>
        <w:t>:</w:t>
      </w:r>
      <w:r w:rsidRPr="00B17D2A">
        <w:rPr>
          <w:lang w:val="fr-FR"/>
        </w:rPr>
        <w:t xml:space="preserve"> le respect de la dignité de chaque homme et femme en tant que personne</w:t>
      </w:r>
      <w:r w:rsidR="00277023">
        <w:rPr>
          <w:lang w:val="fr-FR"/>
        </w:rPr>
        <w:t>;</w:t>
      </w:r>
      <w:r w:rsidRPr="00B17D2A">
        <w:rPr>
          <w:lang w:val="fr-FR"/>
        </w:rPr>
        <w:t xml:space="preserve"> l</w:t>
      </w:r>
      <w:r w:rsidR="00277023">
        <w:rPr>
          <w:lang w:val="fr-FR"/>
        </w:rPr>
        <w:t>’</w:t>
      </w:r>
      <w:r w:rsidRPr="00B17D2A">
        <w:rPr>
          <w:lang w:val="fr-FR"/>
        </w:rPr>
        <w:t>élimination de tout traitement discriminatoire fondé sur le sexe à l</w:t>
      </w:r>
      <w:r w:rsidR="00277023">
        <w:rPr>
          <w:lang w:val="fr-FR"/>
        </w:rPr>
        <w:t>’</w:t>
      </w:r>
      <w:r w:rsidRPr="00B17D2A">
        <w:rPr>
          <w:lang w:val="fr-FR"/>
        </w:rPr>
        <w:t>égard des hommes et des femmes et la garantie de permettre aux hommes comme aux femmes d</w:t>
      </w:r>
      <w:r w:rsidR="00277023">
        <w:rPr>
          <w:lang w:val="fr-FR"/>
        </w:rPr>
        <w:t>’</w:t>
      </w:r>
      <w:r w:rsidRPr="00B17D2A">
        <w:rPr>
          <w:lang w:val="fr-FR"/>
        </w:rPr>
        <w:t>exercer leur compétences en tant qu</w:t>
      </w:r>
      <w:r w:rsidR="00277023">
        <w:rPr>
          <w:lang w:val="fr-FR"/>
        </w:rPr>
        <w:t>’</w:t>
      </w:r>
      <w:r w:rsidRPr="00B17D2A">
        <w:rPr>
          <w:lang w:val="fr-FR"/>
        </w:rPr>
        <w:t>individus. En décembre 2000, s</w:t>
      </w:r>
      <w:r w:rsidR="00277023">
        <w:rPr>
          <w:lang w:val="fr-FR"/>
        </w:rPr>
        <w:t>’</w:t>
      </w:r>
      <w:r w:rsidRPr="00B17D2A">
        <w:rPr>
          <w:lang w:val="fr-FR"/>
        </w:rPr>
        <w:t xml:space="preserve">appuyant sur </w:t>
      </w:r>
      <w:smartTag w:uri="urn:schemas-microsoft-com:office:smarttags" w:element="PersonName">
        <w:smartTagPr>
          <w:attr w:name="ProductID" w:val="la Loi"/>
        </w:smartTagPr>
        <w:r w:rsidRPr="00B17D2A">
          <w:rPr>
            <w:lang w:val="fr-FR"/>
          </w:rPr>
          <w:t>la Loi</w:t>
        </w:r>
      </w:smartTag>
      <w:r w:rsidRPr="00B17D2A">
        <w:rPr>
          <w:lang w:val="fr-FR"/>
        </w:rPr>
        <w:t xml:space="preserve"> fondamentale, le Gouvernement a formulé le Plan de base pour l</w:t>
      </w:r>
      <w:r w:rsidR="00277023">
        <w:rPr>
          <w:lang w:val="fr-FR"/>
        </w:rPr>
        <w:t>’</w:t>
      </w:r>
      <w:r w:rsidRPr="00B17D2A">
        <w:rPr>
          <w:lang w:val="fr-FR"/>
        </w:rPr>
        <w:t>égalité entre les sexes et l</w:t>
      </w:r>
      <w:r w:rsidR="00277023">
        <w:rPr>
          <w:lang w:val="fr-FR"/>
        </w:rPr>
        <w:t>’</w:t>
      </w:r>
      <w:r w:rsidRPr="00B17D2A">
        <w:rPr>
          <w:lang w:val="fr-FR"/>
        </w:rPr>
        <w:t>a mis en œuvre de manière globale et systématique.</w:t>
      </w:r>
    </w:p>
    <w:p w:rsidR="00B17D2A" w:rsidRPr="00B17D2A" w:rsidRDefault="00B17D2A" w:rsidP="00B17D2A">
      <w:pPr>
        <w:pStyle w:val="SingleTxtG"/>
        <w:rPr>
          <w:lang w:val="fr-FR"/>
        </w:rPr>
      </w:pPr>
      <w:r w:rsidRPr="00B17D2A">
        <w:rPr>
          <w:lang w:val="fr-FR"/>
        </w:rPr>
        <w:t>156.</w:t>
      </w:r>
      <w:r w:rsidRPr="00B17D2A">
        <w:rPr>
          <w:lang w:val="fr-FR"/>
        </w:rPr>
        <w:tab/>
        <w:t>Le Gouvernement a révisé le Plan de base en décembre 2005 en raison de différents changements intervenus et dans le but d</w:t>
      </w:r>
      <w:r w:rsidR="00277023">
        <w:rPr>
          <w:lang w:val="fr-FR"/>
        </w:rPr>
        <w:t>’</w:t>
      </w:r>
      <w:r w:rsidRPr="00B17D2A">
        <w:rPr>
          <w:lang w:val="fr-FR"/>
        </w:rPr>
        <w:t xml:space="preserve">améliorer les mesures pertinentes. Conformément au Plan révisé, des actions ont été menées pour la mise en œuvre de mesures globales et systématiques. Le Plan de base fait également référence à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relative aux droits de l</w:t>
      </w:r>
      <w:r w:rsidR="00277023">
        <w:rPr>
          <w:lang w:val="fr-FR"/>
        </w:rPr>
        <w:t>’</w:t>
      </w:r>
      <w:r w:rsidRPr="00B17D2A">
        <w:rPr>
          <w:lang w:val="fr-FR"/>
        </w:rPr>
        <w:t>enfant et, s</w:t>
      </w:r>
      <w:r w:rsidR="00277023">
        <w:rPr>
          <w:lang w:val="fr-FR"/>
        </w:rPr>
        <w:t>’</w:t>
      </w:r>
      <w:r w:rsidRPr="00B17D2A">
        <w:rPr>
          <w:lang w:val="fr-FR"/>
        </w:rPr>
        <w:t>agissant d</w:t>
      </w:r>
      <w:r w:rsidR="00277023">
        <w:rPr>
          <w:lang w:val="fr-FR"/>
        </w:rPr>
        <w:t>’</w:t>
      </w:r>
      <w:r w:rsidRPr="00B17D2A">
        <w:rPr>
          <w:lang w:val="fr-FR"/>
        </w:rPr>
        <w:t>éliminer toutes les formes de violence à l</w:t>
      </w:r>
      <w:r w:rsidR="00277023">
        <w:rPr>
          <w:lang w:val="fr-FR"/>
        </w:rPr>
        <w:t>’</w:t>
      </w:r>
      <w:r w:rsidRPr="00B17D2A">
        <w:rPr>
          <w:lang w:val="fr-FR"/>
        </w:rPr>
        <w:t>égard des femmes, il stipule que le Gouvernement prendra des mesures contre la maltraitance à l</w:t>
      </w:r>
      <w:r w:rsidR="00277023">
        <w:rPr>
          <w:lang w:val="fr-FR"/>
        </w:rPr>
        <w:t>’</w:t>
      </w:r>
      <w:r w:rsidRPr="00B17D2A">
        <w:rPr>
          <w:lang w:val="fr-FR"/>
        </w:rPr>
        <w:t>égard des enfants et la prostitution enfantine à laquelle les filles sont souvent les plus exposées. Le Plan contient désormais des dispositions permettant de mener des actions concrètes dans tous les domaines et sur l</w:t>
      </w:r>
      <w:r w:rsidR="00277023">
        <w:rPr>
          <w:lang w:val="fr-FR"/>
        </w:rPr>
        <w:t>’</w:t>
      </w:r>
      <w:r w:rsidRPr="00B17D2A">
        <w:rPr>
          <w:lang w:val="fr-FR"/>
        </w:rPr>
        <w:t>ensemble du territoire, tirant pleinement parti des résultats et enseignements des actions internationales visant à édifier une société de l</w:t>
      </w:r>
      <w:r w:rsidR="00277023">
        <w:rPr>
          <w:lang w:val="fr-FR"/>
        </w:rPr>
        <w:t>’</w:t>
      </w:r>
      <w:r w:rsidRPr="00B17D2A">
        <w:rPr>
          <w:lang w:val="fr-FR"/>
        </w:rPr>
        <w:t>égalité des sexes.</w:t>
      </w:r>
    </w:p>
    <w:p w:rsidR="00B17D2A" w:rsidRPr="00B17D2A" w:rsidRDefault="00B17D2A" w:rsidP="00B17D2A">
      <w:pPr>
        <w:pStyle w:val="SingleTxtG"/>
        <w:rPr>
          <w:lang w:val="fr-FR"/>
        </w:rPr>
      </w:pPr>
      <w:r w:rsidRPr="00B17D2A">
        <w:rPr>
          <w:lang w:val="fr-FR"/>
        </w:rPr>
        <w:t>157.</w:t>
      </w:r>
      <w:r w:rsidRPr="00B17D2A">
        <w:rPr>
          <w:lang w:val="fr-FR"/>
        </w:rPr>
        <w:tab/>
        <w:t>L</w:t>
      </w:r>
      <w:r w:rsidR="00277023">
        <w:rPr>
          <w:lang w:val="fr-FR"/>
        </w:rPr>
        <w:t>’</w:t>
      </w:r>
      <w:r w:rsidRPr="00B17D2A">
        <w:rPr>
          <w:lang w:val="fr-FR"/>
        </w:rPr>
        <w:t>éducation fondée sur le principe de l</w:t>
      </w:r>
      <w:r w:rsidR="00277023">
        <w:rPr>
          <w:lang w:val="fr-FR"/>
        </w:rPr>
        <w:t>’</w:t>
      </w:r>
      <w:r w:rsidRPr="00B17D2A">
        <w:rPr>
          <w:lang w:val="fr-FR"/>
        </w:rPr>
        <w:t>égalité des sexes dans tous les aspects de la vie sociale, y compris à l</w:t>
      </w:r>
      <w:r w:rsidR="00277023">
        <w:rPr>
          <w:lang w:val="fr-FR"/>
        </w:rPr>
        <w:t>’</w:t>
      </w:r>
      <w:r w:rsidRPr="00B17D2A">
        <w:rPr>
          <w:lang w:val="fr-FR"/>
        </w:rPr>
        <w:t>école, à la maison et dans la communauté, est importante dans le processus d</w:t>
      </w:r>
      <w:r w:rsidR="00277023">
        <w:rPr>
          <w:lang w:val="fr-FR"/>
        </w:rPr>
        <w:t>’</w:t>
      </w:r>
      <w:r w:rsidRPr="00B17D2A">
        <w:rPr>
          <w:lang w:val="fr-FR"/>
        </w:rPr>
        <w:t>édification d</w:t>
      </w:r>
      <w:r w:rsidR="00277023">
        <w:rPr>
          <w:lang w:val="fr-FR"/>
        </w:rPr>
        <w:t>’</w:t>
      </w:r>
      <w:r w:rsidRPr="00B17D2A">
        <w:rPr>
          <w:lang w:val="fr-FR"/>
        </w:rPr>
        <w:t>une société de l</w:t>
      </w:r>
      <w:r w:rsidR="00277023">
        <w:rPr>
          <w:lang w:val="fr-FR"/>
        </w:rPr>
        <w:t>’</w:t>
      </w:r>
      <w:r w:rsidRPr="00B17D2A">
        <w:rPr>
          <w:lang w:val="fr-FR"/>
        </w:rPr>
        <w:t>égalité des sexes. L</w:t>
      </w:r>
      <w:r w:rsidR="00277023">
        <w:rPr>
          <w:lang w:val="fr-FR"/>
        </w:rPr>
        <w:t>’</w:t>
      </w:r>
      <w:r w:rsidRPr="00B17D2A">
        <w:rPr>
          <w:lang w:val="fr-FR"/>
        </w:rPr>
        <w:t>enseignement scolaire comporte des cours de sensibilisation à la parité et à l</w:t>
      </w:r>
      <w:r w:rsidR="00277023">
        <w:rPr>
          <w:lang w:val="fr-FR"/>
        </w:rPr>
        <w:t>’</w:t>
      </w:r>
      <w:r w:rsidRPr="00B17D2A">
        <w:rPr>
          <w:lang w:val="fr-FR"/>
        </w:rPr>
        <w:t>importance de l</w:t>
      </w:r>
      <w:r w:rsidR="00277023">
        <w:rPr>
          <w:lang w:val="fr-FR"/>
        </w:rPr>
        <w:t>’</w:t>
      </w:r>
      <w:r w:rsidRPr="00B17D2A">
        <w:rPr>
          <w:lang w:val="fr-FR"/>
        </w:rPr>
        <w:t>entente et de la coopération entre les sexes.</w:t>
      </w:r>
    </w:p>
    <w:p w:rsidR="00B17D2A" w:rsidRPr="00B17D2A" w:rsidRDefault="00B17D2A" w:rsidP="00B17D2A">
      <w:pPr>
        <w:pStyle w:val="SingleTxtG"/>
        <w:rPr>
          <w:lang w:val="fr-FR"/>
        </w:rPr>
      </w:pPr>
      <w:r w:rsidRPr="00B17D2A">
        <w:rPr>
          <w:lang w:val="fr-FR"/>
        </w:rPr>
        <w:t>158.</w:t>
      </w:r>
      <w:r w:rsidRPr="00B17D2A">
        <w:rPr>
          <w:lang w:val="fr-FR"/>
        </w:rPr>
        <w:tab/>
        <w:t xml:space="preserve">Lors de la quarante-neuvième session de </w:t>
      </w:r>
      <w:smartTag w:uri="urn:schemas-microsoft-com:office:smarttags" w:element="PersonName">
        <w:smartTagPr>
          <w:attr w:name="ProductID" w:val="la Commission"/>
        </w:smartTagPr>
        <w:r w:rsidRPr="00B17D2A">
          <w:rPr>
            <w:lang w:val="fr-FR"/>
          </w:rPr>
          <w:t>la Commission</w:t>
        </w:r>
      </w:smartTag>
      <w:r w:rsidRPr="00B17D2A">
        <w:rPr>
          <w:lang w:val="fr-FR"/>
        </w:rPr>
        <w:t xml:space="preserve"> de la condition de la femme (réunion de haut niveau sur Beijing + 10), organisée dans le cadre du suivi de </w:t>
      </w:r>
      <w:smartTag w:uri="urn:schemas-microsoft-com:office:smarttags" w:element="PersonName">
        <w:smartTagPr>
          <w:attr w:name="ProductID" w:val="la Conf￩rence"/>
        </w:smartTagPr>
        <w:r w:rsidRPr="00B17D2A">
          <w:rPr>
            <w:lang w:val="fr-FR"/>
          </w:rPr>
          <w:t>la Conférence</w:t>
        </w:r>
      </w:smartTag>
      <w:r w:rsidRPr="00B17D2A">
        <w:rPr>
          <w:lang w:val="fr-FR"/>
        </w:rPr>
        <w:t xml:space="preserve"> de Beijing, le Japon était représenté par le secrétaire parlementaire du Bureau du Cabinet, tandis que les autres participants comprenaient un représentant du Gouvernement, du Ministère des affaires étrangères, du Bureau du Cabinet, du Ministère de la santé, du travail et de la protection sociale, du Ministère de l</w:t>
      </w:r>
      <w:r w:rsidR="00277023">
        <w:rPr>
          <w:lang w:val="fr-FR"/>
        </w:rPr>
        <w:t>’</w:t>
      </w:r>
      <w:r w:rsidRPr="00B17D2A">
        <w:rPr>
          <w:lang w:val="fr-FR"/>
        </w:rPr>
        <w:t>éducation, de la culture, des sports, des sciences et de la technologie, du Ministère de l</w:t>
      </w:r>
      <w:r w:rsidR="00277023">
        <w:rPr>
          <w:lang w:val="fr-FR"/>
        </w:rPr>
        <w:t>’</w:t>
      </w:r>
      <w:r w:rsidRPr="00B17D2A">
        <w:rPr>
          <w:lang w:val="fr-FR"/>
        </w:rPr>
        <w:t>agriculture, des forêts et de la pêche, et des représentants d</w:t>
      </w:r>
      <w:r w:rsidR="00277023">
        <w:rPr>
          <w:lang w:val="fr-FR"/>
        </w:rPr>
        <w:t>’</w:t>
      </w:r>
      <w:r w:rsidRPr="00B17D2A">
        <w:rPr>
          <w:lang w:val="fr-FR"/>
        </w:rPr>
        <w:t>ONG (trois personnes) et formaient ainsi un groupe de 24 membres. Le représentant du Japon a présenté un rapport sur les mesures gouvernementales adoptées et les résultats obtenus vers l</w:t>
      </w:r>
      <w:r w:rsidR="00277023">
        <w:rPr>
          <w:lang w:val="fr-FR"/>
        </w:rPr>
        <w:t>’</w:t>
      </w:r>
      <w:r w:rsidRPr="00B17D2A">
        <w:rPr>
          <w:lang w:val="fr-FR"/>
        </w:rPr>
        <w:t>édification d</w:t>
      </w:r>
      <w:r w:rsidR="00277023">
        <w:rPr>
          <w:lang w:val="fr-FR"/>
        </w:rPr>
        <w:t>’</w:t>
      </w:r>
      <w:r w:rsidRPr="00B17D2A">
        <w:rPr>
          <w:lang w:val="fr-FR"/>
        </w:rPr>
        <w:t>une société de l</w:t>
      </w:r>
      <w:r w:rsidR="00277023">
        <w:rPr>
          <w:lang w:val="fr-FR"/>
        </w:rPr>
        <w:t>’</w:t>
      </w:r>
      <w:r w:rsidRPr="00B17D2A">
        <w:rPr>
          <w:lang w:val="fr-FR"/>
        </w:rPr>
        <w:t xml:space="preserve">égalité des sexes depuis </w:t>
      </w:r>
      <w:smartTag w:uri="urn:schemas-microsoft-com:office:smarttags" w:element="PersonName">
        <w:smartTagPr>
          <w:attr w:name="ProductID" w:val="la Conf￩rence"/>
        </w:smartTagPr>
        <w:r w:rsidRPr="00B17D2A">
          <w:rPr>
            <w:lang w:val="fr-FR"/>
          </w:rPr>
          <w:t>la Conférence</w:t>
        </w:r>
      </w:smartTag>
      <w:r w:rsidRPr="00B17D2A">
        <w:rPr>
          <w:lang w:val="fr-FR"/>
        </w:rPr>
        <w:t xml:space="preserve"> de Beijing. Il a évoqué les avancées en matière de mesures de lutte contre la traite des personnes et la coopération internationale (annonce des initiatives relatives à la participation des femmes au développement) et déclaré la ferme intention du Gouvernement de renforcer les mesures visant à bâtir une société de l</w:t>
      </w:r>
      <w:r w:rsidR="00277023">
        <w:rPr>
          <w:lang w:val="fr-FR"/>
        </w:rPr>
        <w:t>’</w:t>
      </w:r>
      <w:r w:rsidRPr="00B17D2A">
        <w:rPr>
          <w:lang w:val="fr-FR"/>
        </w:rPr>
        <w:t>égalité des sexes. Le Japon a activement participé et contribué aux négociations sur des projets de déclarations et de résolutions, ainsi qu</w:t>
      </w:r>
      <w:r w:rsidR="00277023">
        <w:rPr>
          <w:lang w:val="fr-FR"/>
        </w:rPr>
        <w:t>’</w:t>
      </w:r>
      <w:r w:rsidRPr="00B17D2A">
        <w:rPr>
          <w:lang w:val="fr-FR"/>
        </w:rPr>
        <w:t>à des tables rondes, certaines de haut niveau, tenues au cours de la session. Le Ministère des affaires étrangères a également organisé une manifestation parallèle qui lui a offert l</w:t>
      </w:r>
      <w:r w:rsidR="00277023">
        <w:rPr>
          <w:lang w:val="fr-FR"/>
        </w:rPr>
        <w:t>’</w:t>
      </w:r>
      <w:r w:rsidRPr="00B17D2A">
        <w:rPr>
          <w:lang w:val="fr-FR"/>
        </w:rPr>
        <w:t>opportunité de promouvoir activement les initiatives concernant la participation des femmes au développement et de déclarer son intention de voir le Japon privilégier l</w:t>
      </w:r>
      <w:r w:rsidR="00277023">
        <w:rPr>
          <w:lang w:val="fr-FR"/>
        </w:rPr>
        <w:t>’</w:t>
      </w:r>
      <w:r w:rsidRPr="00B17D2A">
        <w:rPr>
          <w:lang w:val="fr-FR"/>
        </w:rPr>
        <w:t>égalité des sexes dans le contexte de l</w:t>
      </w:r>
      <w:r w:rsidR="00277023">
        <w:rPr>
          <w:lang w:val="fr-FR"/>
        </w:rPr>
        <w:t>’</w:t>
      </w:r>
      <w:r w:rsidRPr="00B17D2A">
        <w:rPr>
          <w:lang w:val="fr-FR"/>
        </w:rPr>
        <w:t>APD.</w:t>
      </w:r>
    </w:p>
    <w:p w:rsidR="00B17D2A" w:rsidRPr="00B17D2A" w:rsidRDefault="00727D67" w:rsidP="00727D67">
      <w:pPr>
        <w:pStyle w:val="H23G"/>
        <w:rPr>
          <w:lang w:val="fr-FR"/>
        </w:rPr>
      </w:pPr>
      <w:r>
        <w:rPr>
          <w:lang w:val="fr-FR"/>
        </w:rPr>
        <w:tab/>
        <w:t>e)</w:t>
      </w:r>
      <w:r>
        <w:rPr>
          <w:lang w:val="fr-FR"/>
        </w:rPr>
        <w:tab/>
      </w:r>
      <w:r w:rsidR="00B17D2A" w:rsidRPr="00B17D2A">
        <w:rPr>
          <w:lang w:val="fr-FR"/>
        </w:rPr>
        <w:t>Mesures prises pour recueillir des données sur les différents groupes victimes de discrimination</w:t>
      </w:r>
    </w:p>
    <w:p w:rsidR="00B17D2A" w:rsidRPr="00B17D2A" w:rsidRDefault="00B17D2A" w:rsidP="00B17D2A">
      <w:pPr>
        <w:pStyle w:val="SingleTxtG"/>
        <w:rPr>
          <w:lang w:val="fr-FR"/>
        </w:rPr>
      </w:pPr>
      <w:r w:rsidRPr="00B17D2A">
        <w:rPr>
          <w:lang w:val="fr-FR"/>
        </w:rPr>
        <w:t>159.</w:t>
      </w:r>
      <w:r w:rsidRPr="00B17D2A">
        <w:rPr>
          <w:lang w:val="fr-FR"/>
        </w:rPr>
        <w:tab/>
        <w:t>Voir paragraphe 117 du deuxième rapport du Japon (réponse 5 à la question du Comité des droits de l</w:t>
      </w:r>
      <w:r w:rsidR="00277023">
        <w:rPr>
          <w:lang w:val="fr-FR"/>
        </w:rPr>
        <w:t>’</w:t>
      </w:r>
      <w:r w:rsidRPr="00B17D2A">
        <w:rPr>
          <w:lang w:val="fr-FR"/>
        </w:rPr>
        <w:t>enfant posée lors de l</w:t>
      </w:r>
      <w:r w:rsidR="00277023">
        <w:rPr>
          <w:lang w:val="fr-FR"/>
        </w:rPr>
        <w:t>’</w:t>
      </w:r>
      <w:r w:rsidRPr="00B17D2A">
        <w:rPr>
          <w:lang w:val="fr-FR"/>
        </w:rPr>
        <w:t xml:space="preserve">examen du rapport initial). </w:t>
      </w:r>
    </w:p>
    <w:p w:rsidR="00B17D2A" w:rsidRPr="00B17D2A" w:rsidRDefault="00727D67" w:rsidP="00727D67">
      <w:pPr>
        <w:pStyle w:val="H23G"/>
        <w:rPr>
          <w:lang w:val="fr-FR"/>
        </w:rPr>
      </w:pPr>
      <w:r>
        <w:rPr>
          <w:lang w:val="fr-FR"/>
        </w:rPr>
        <w:tab/>
        <w:t>f)</w:t>
      </w:r>
      <w:r>
        <w:rPr>
          <w:lang w:val="fr-FR"/>
        </w:rPr>
        <w:tab/>
      </w:r>
      <w:r w:rsidR="00B17D2A" w:rsidRPr="00B17D2A">
        <w:rPr>
          <w:lang w:val="fr-FR"/>
        </w:rPr>
        <w:t>Prévention et élimination des mentalités et préjugés à l</w:t>
      </w:r>
      <w:r w:rsidR="00277023">
        <w:rPr>
          <w:lang w:val="fr-FR"/>
        </w:rPr>
        <w:t>’</w:t>
      </w:r>
      <w:r w:rsidR="00B17D2A" w:rsidRPr="00B17D2A">
        <w:rPr>
          <w:lang w:val="fr-FR"/>
        </w:rPr>
        <w:t>égard des enfants, qui contribuent aux tensions sociales et ethniques, au racisme et à la xénophobie</w:t>
      </w:r>
    </w:p>
    <w:p w:rsidR="00B17D2A" w:rsidRPr="00B17D2A" w:rsidRDefault="00B17D2A" w:rsidP="00B17D2A">
      <w:pPr>
        <w:pStyle w:val="SingleTxtG"/>
        <w:rPr>
          <w:lang w:val="fr-FR"/>
        </w:rPr>
      </w:pPr>
      <w:r w:rsidRPr="00B17D2A">
        <w:rPr>
          <w:lang w:val="fr-FR"/>
        </w:rPr>
        <w:t>160.</w:t>
      </w:r>
      <w:r w:rsidRPr="00B17D2A">
        <w:rPr>
          <w:lang w:val="fr-FR"/>
        </w:rPr>
        <w:tab/>
        <w:t xml:space="preserve">Voir paragraphe 118 du deuxième rapport du Japon. </w:t>
      </w:r>
    </w:p>
    <w:p w:rsidR="00B17D2A" w:rsidRPr="00B17D2A" w:rsidRDefault="00727D67" w:rsidP="00727D67">
      <w:pPr>
        <w:pStyle w:val="H23G"/>
        <w:rPr>
          <w:lang w:val="fr-FR"/>
        </w:rPr>
      </w:pPr>
      <w:r>
        <w:rPr>
          <w:lang w:val="fr-FR"/>
        </w:rPr>
        <w:tab/>
        <w:t>g)</w:t>
      </w:r>
      <w:r>
        <w:rPr>
          <w:lang w:val="fr-FR"/>
        </w:rPr>
        <w:tab/>
      </w:r>
      <w:r w:rsidR="00B17D2A" w:rsidRPr="00B17D2A">
        <w:rPr>
          <w:lang w:val="fr-FR"/>
        </w:rPr>
        <w:t>Protection des enfants contre la discrimination et les châtiments corporels</w:t>
      </w:r>
    </w:p>
    <w:p w:rsidR="00B17D2A" w:rsidRPr="00B17D2A" w:rsidRDefault="00B17D2A" w:rsidP="00B17D2A">
      <w:pPr>
        <w:pStyle w:val="SingleTxtG"/>
        <w:rPr>
          <w:lang w:val="fr-FR"/>
        </w:rPr>
      </w:pPr>
      <w:r w:rsidRPr="00B17D2A">
        <w:rPr>
          <w:lang w:val="fr-FR"/>
        </w:rPr>
        <w:t>161.</w:t>
      </w:r>
      <w:r w:rsidRPr="00B17D2A">
        <w:rPr>
          <w:lang w:val="fr-FR"/>
        </w:rPr>
        <w:tab/>
        <w:t xml:space="preserve">Voir paragraphe 119 du deuxième rapport du Japon. </w:t>
      </w:r>
    </w:p>
    <w:p w:rsidR="00B17D2A" w:rsidRPr="00B17D2A" w:rsidRDefault="00727D67" w:rsidP="00727D67">
      <w:pPr>
        <w:pStyle w:val="H23G"/>
        <w:rPr>
          <w:lang w:val="fr-FR"/>
        </w:rPr>
      </w:pPr>
      <w:r>
        <w:rPr>
          <w:lang w:val="fr-FR"/>
        </w:rPr>
        <w:tab/>
        <w:t>h)</w:t>
      </w:r>
      <w:r>
        <w:rPr>
          <w:lang w:val="fr-FR"/>
        </w:rPr>
        <w:tab/>
      </w:r>
      <w:r w:rsidR="00B17D2A" w:rsidRPr="00B17D2A">
        <w:rPr>
          <w:lang w:val="fr-FR"/>
        </w:rPr>
        <w:t>Principaux problèmes rencontrés dans l</w:t>
      </w:r>
      <w:r w:rsidR="00277023">
        <w:rPr>
          <w:lang w:val="fr-FR"/>
        </w:rPr>
        <w:t>’</w:t>
      </w:r>
      <w:r w:rsidR="00B17D2A" w:rsidRPr="00B17D2A">
        <w:rPr>
          <w:lang w:val="fr-FR"/>
        </w:rPr>
        <w:t>application de l</w:t>
      </w:r>
      <w:r w:rsidR="00277023">
        <w:rPr>
          <w:lang w:val="fr-FR"/>
        </w:rPr>
        <w:t>’</w:t>
      </w:r>
      <w:r w:rsidR="00B17D2A" w:rsidRPr="00B17D2A">
        <w:rPr>
          <w:lang w:val="fr-FR"/>
        </w:rPr>
        <w:t xml:space="preserve">article 2, plan visant à les résoudre et évaluation des progrès accomplis au regard de la prévention de la discrimination </w:t>
      </w:r>
    </w:p>
    <w:p w:rsidR="00B17D2A" w:rsidRPr="00B17D2A" w:rsidRDefault="00B17D2A" w:rsidP="00B17D2A">
      <w:pPr>
        <w:pStyle w:val="SingleTxtG"/>
        <w:rPr>
          <w:lang w:val="fr-FR"/>
        </w:rPr>
      </w:pPr>
      <w:r w:rsidRPr="00B17D2A">
        <w:rPr>
          <w:lang w:val="fr-FR"/>
        </w:rPr>
        <w:t>162.</w:t>
      </w:r>
      <w:r w:rsidRPr="00B17D2A">
        <w:rPr>
          <w:lang w:val="fr-FR"/>
        </w:rPr>
        <w:tab/>
        <w:t xml:space="preserve">Voir paragraphes 121-124 du deuxième rapport du Japon. </w:t>
      </w:r>
    </w:p>
    <w:p w:rsidR="00B17D2A" w:rsidRPr="00B17D2A" w:rsidRDefault="00B17D2A" w:rsidP="00B17D2A">
      <w:pPr>
        <w:pStyle w:val="SingleTxtG"/>
        <w:rPr>
          <w:lang w:val="fr-FR"/>
        </w:rPr>
      </w:pPr>
      <w:r w:rsidRPr="00B17D2A">
        <w:rPr>
          <w:lang w:val="fr-FR"/>
        </w:rPr>
        <w:t>163.</w:t>
      </w:r>
      <w:r w:rsidRPr="00B17D2A">
        <w:rPr>
          <w:lang w:val="fr-FR"/>
        </w:rPr>
        <w:tab/>
        <w:t>Dans le but d</w:t>
      </w:r>
      <w:r w:rsidR="00277023">
        <w:rPr>
          <w:lang w:val="fr-FR"/>
        </w:rPr>
        <w:t>’</w:t>
      </w:r>
      <w:r w:rsidRPr="00B17D2A">
        <w:rPr>
          <w:lang w:val="fr-FR"/>
        </w:rPr>
        <w:t>instaurer un nouveau système de protection des droits de l</w:t>
      </w:r>
      <w:r w:rsidR="00277023">
        <w:rPr>
          <w:lang w:val="fr-FR"/>
        </w:rPr>
        <w:t>’</w:t>
      </w:r>
      <w:r w:rsidRPr="00B17D2A">
        <w:rPr>
          <w:lang w:val="fr-FR"/>
        </w:rPr>
        <w:t>homme à partir des recommandations formulées par le Conseil pour la promotion des droits de l</w:t>
      </w:r>
      <w:r w:rsidR="00277023">
        <w:rPr>
          <w:lang w:val="fr-FR"/>
        </w:rPr>
        <w:t>’</w:t>
      </w:r>
      <w:r w:rsidRPr="00B17D2A">
        <w:rPr>
          <w:lang w:val="fr-FR"/>
        </w:rPr>
        <w:t xml:space="preserve">homme, le Gouvernement japonais a présenté à </w:t>
      </w:r>
      <w:smartTag w:uri="urn:schemas-microsoft-com:office:smarttags" w:element="PersonName">
        <w:smartTagPr>
          <w:attr w:name="ProductID" w:val=" ESC/P-R摵云耀*਼輰ҳ藨਼섰ଉ摰云谀( la Di￨te.摫云踀3la MDMA.摦云言4&#10;la MDMA. S摡云⸀谀6 la Police"/>
        </w:smartTagPr>
        <w:r w:rsidRPr="00B17D2A">
          <w:rPr>
            <w:lang w:val="fr-FR"/>
          </w:rPr>
          <w:t>la Diète</w:t>
        </w:r>
      </w:smartTag>
      <w:r w:rsidRPr="00B17D2A">
        <w:rPr>
          <w:lang w:val="fr-FR"/>
        </w:rPr>
        <w:t xml:space="preserve"> un projet de loi à cet égard en mars 2002. Le principal objet du projet de Loi était d</w:t>
      </w:r>
      <w:r w:rsidR="00277023">
        <w:rPr>
          <w:lang w:val="fr-FR"/>
        </w:rPr>
        <w:t>’</w:t>
      </w:r>
      <w:r w:rsidRPr="00B17D2A">
        <w:rPr>
          <w:lang w:val="fr-FR"/>
        </w:rPr>
        <w:t>instituer une Commission des droits de l</w:t>
      </w:r>
      <w:r w:rsidR="00277023">
        <w:rPr>
          <w:lang w:val="fr-FR"/>
        </w:rPr>
        <w:t>’</w:t>
      </w:r>
      <w:r w:rsidRPr="00B17D2A">
        <w:rPr>
          <w:lang w:val="fr-FR"/>
        </w:rPr>
        <w:t>homme ayant le statut d</w:t>
      </w:r>
      <w:r w:rsidR="00277023">
        <w:rPr>
          <w:lang w:val="fr-FR"/>
        </w:rPr>
        <w:t>’</w:t>
      </w:r>
      <w:r w:rsidRPr="00B17D2A">
        <w:rPr>
          <w:lang w:val="fr-FR"/>
        </w:rPr>
        <w:t>organe administratif indépendant, dont la structure et les pouvoirs étaient précisés, afin d</w:t>
      </w:r>
      <w:r w:rsidR="00277023">
        <w:rPr>
          <w:lang w:val="fr-FR"/>
        </w:rPr>
        <w:t>’</w:t>
      </w:r>
      <w:r w:rsidRPr="00B17D2A">
        <w:rPr>
          <w:lang w:val="fr-FR"/>
        </w:rPr>
        <w:t>offrir une aide adaptée et rapide aux victimes de violations des droits de l</w:t>
      </w:r>
      <w:r w:rsidR="00277023">
        <w:rPr>
          <w:lang w:val="fr-FR"/>
        </w:rPr>
        <w:t>’</w:t>
      </w:r>
      <w:r w:rsidRPr="00B17D2A">
        <w:rPr>
          <w:lang w:val="fr-FR"/>
        </w:rPr>
        <w:t xml:space="preserve">homme et de prévenir efficacement ce type de violation. Le projet de loi contient également des dispositions relatives à un nouveau processus de réparation relevant essentiellement de </w:t>
      </w:r>
      <w:smartTag w:uri="urn:schemas-microsoft-com:office:smarttags" w:element="PersonName">
        <w:smartTagPr>
          <w:attr w:name="ProductID" w:val="la Commission. Toutefois"/>
        </w:smartTagPr>
        <w:r w:rsidRPr="00B17D2A">
          <w:rPr>
            <w:lang w:val="fr-FR"/>
          </w:rPr>
          <w:t>la Commission. Toutefois</w:t>
        </w:r>
      </w:smartTag>
      <w:r w:rsidRPr="00B17D2A">
        <w:rPr>
          <w:lang w:val="fr-FR"/>
        </w:rPr>
        <w:t>, le projet de Loi n</w:t>
      </w:r>
      <w:r w:rsidR="00277023">
        <w:rPr>
          <w:lang w:val="fr-FR"/>
        </w:rPr>
        <w:t>’</w:t>
      </w:r>
      <w:r w:rsidRPr="00B17D2A">
        <w:rPr>
          <w:lang w:val="fr-FR"/>
        </w:rPr>
        <w:t xml:space="preserve">a pas été voté en raison de la dissolution de </w:t>
      </w:r>
      <w:smartTag w:uri="urn:schemas-microsoft-com:office:smarttags" w:element="PersonName">
        <w:smartTagPr>
          <w:attr w:name="ProductID" w:val="la Chambre"/>
        </w:smartTagPr>
        <w:r w:rsidRPr="00B17D2A">
          <w:rPr>
            <w:lang w:val="fr-FR"/>
          </w:rPr>
          <w:t>la Chambre</w:t>
        </w:r>
      </w:smartTag>
      <w:r w:rsidRPr="00B17D2A">
        <w:rPr>
          <w:lang w:val="fr-FR"/>
        </w:rPr>
        <w:t xml:space="preserve"> des représentants en octobre 2003. Le Gouvernement japonais procède actuellement à son réexamen. </w:t>
      </w:r>
    </w:p>
    <w:p w:rsidR="00B17D2A" w:rsidRPr="00B17D2A" w:rsidRDefault="00727D67" w:rsidP="00727D67">
      <w:pPr>
        <w:pStyle w:val="H1G"/>
        <w:rPr>
          <w:lang w:val="fr-FR"/>
        </w:rPr>
      </w:pPr>
      <w:r>
        <w:rPr>
          <w:lang w:val="fr-FR"/>
        </w:rPr>
        <w:tab/>
        <w:t>B.</w:t>
      </w:r>
      <w:r>
        <w:rPr>
          <w:lang w:val="fr-FR"/>
        </w:rPr>
        <w:tab/>
      </w:r>
      <w:r w:rsidR="00B17D2A" w:rsidRPr="00B17D2A">
        <w:rPr>
          <w:lang w:val="fr-FR"/>
        </w:rPr>
        <w:t>Article 3 (intérêt supérieur de l</w:t>
      </w:r>
      <w:r w:rsidR="00277023">
        <w:rPr>
          <w:lang w:val="fr-FR"/>
        </w:rPr>
        <w:t>’</w:t>
      </w:r>
      <w:r w:rsidR="00B17D2A" w:rsidRPr="00B17D2A">
        <w:rPr>
          <w:lang w:val="fr-FR"/>
        </w:rPr>
        <w:t>enfant)</w:t>
      </w:r>
    </w:p>
    <w:p w:rsidR="00B17D2A" w:rsidRPr="00B17D2A" w:rsidRDefault="00727D67" w:rsidP="00727D67">
      <w:pPr>
        <w:pStyle w:val="H23G"/>
        <w:rPr>
          <w:lang w:val="fr-FR"/>
        </w:rPr>
      </w:pPr>
      <w:r>
        <w:rPr>
          <w:lang w:val="fr-FR"/>
        </w:rPr>
        <w:tab/>
        <w:t>a)</w:t>
      </w:r>
      <w:r>
        <w:rPr>
          <w:lang w:val="fr-FR"/>
        </w:rPr>
        <w:tab/>
      </w:r>
      <w:r w:rsidR="00B17D2A" w:rsidRPr="00B17D2A">
        <w:rPr>
          <w:lang w:val="fr-FR"/>
        </w:rPr>
        <w:t xml:space="preserve">Traduire le principe de </w:t>
      </w:r>
      <w:r w:rsidR="008E49D4">
        <w:rPr>
          <w:lang w:val="fr-FR"/>
        </w:rPr>
        <w:t>“</w:t>
      </w:r>
      <w:r w:rsidR="00B17D2A" w:rsidRPr="00B17D2A">
        <w:rPr>
          <w:lang w:val="fr-FR"/>
        </w:rPr>
        <w:t>l</w:t>
      </w:r>
      <w:r w:rsidR="00277023">
        <w:rPr>
          <w:lang w:val="fr-FR"/>
        </w:rPr>
        <w:t>’</w:t>
      </w:r>
      <w:r w:rsidR="00B17D2A" w:rsidRPr="00B17D2A">
        <w:rPr>
          <w:lang w:val="fr-FR"/>
        </w:rPr>
        <w:t>intérêt supérieur de l</w:t>
      </w:r>
      <w:r w:rsidR="00277023">
        <w:rPr>
          <w:lang w:val="fr-FR"/>
        </w:rPr>
        <w:t>’</w:t>
      </w:r>
      <w:r w:rsidR="00B17D2A" w:rsidRPr="00B17D2A">
        <w:rPr>
          <w:lang w:val="fr-FR"/>
        </w:rPr>
        <w:t>enfant</w:t>
      </w:r>
      <w:r w:rsidR="008E49D4">
        <w:rPr>
          <w:lang w:val="fr-FR"/>
        </w:rPr>
        <w:t>”</w:t>
      </w:r>
      <w:r w:rsidR="00B17D2A" w:rsidRPr="00B17D2A">
        <w:rPr>
          <w:lang w:val="fr-FR"/>
        </w:rPr>
        <w:t xml:space="preserve"> dans </w:t>
      </w:r>
      <w:smartTag w:uri="urn:schemas-microsoft-com:office:smarttags" w:element="PersonName">
        <w:smartTagPr>
          <w:attr w:name="ProductID" w:val="la Constitution"/>
        </w:smartTagPr>
        <w:r w:rsidR="00B17D2A" w:rsidRPr="00B17D2A">
          <w:rPr>
            <w:lang w:val="fr-FR"/>
          </w:rPr>
          <w:t>la Constitution</w:t>
        </w:r>
      </w:smartTag>
      <w:r w:rsidR="00B17D2A" w:rsidRPr="00B17D2A">
        <w:rPr>
          <w:lang w:val="fr-FR"/>
        </w:rPr>
        <w:t>, la législation et les di</w:t>
      </w:r>
      <w:r>
        <w:rPr>
          <w:lang w:val="fr-FR"/>
        </w:rPr>
        <w:t>spositions internes pertinentes</w:t>
      </w:r>
    </w:p>
    <w:p w:rsidR="00B17D2A" w:rsidRPr="00B17D2A" w:rsidRDefault="00B17D2A" w:rsidP="00B17D2A">
      <w:pPr>
        <w:pStyle w:val="SingleTxtG"/>
        <w:rPr>
          <w:lang w:val="fr-FR"/>
        </w:rPr>
      </w:pPr>
      <w:r w:rsidRPr="00B17D2A">
        <w:rPr>
          <w:lang w:val="fr-FR"/>
        </w:rPr>
        <w:t>(Loi sur la protection de l</w:t>
      </w:r>
      <w:r w:rsidR="00277023">
        <w:rPr>
          <w:lang w:val="fr-FR"/>
        </w:rPr>
        <w:t>’</w:t>
      </w:r>
      <w:r w:rsidRPr="00B17D2A">
        <w:rPr>
          <w:lang w:val="fr-FR"/>
        </w:rPr>
        <w:t>enfance)</w:t>
      </w:r>
    </w:p>
    <w:p w:rsidR="00B17D2A" w:rsidRPr="00B17D2A" w:rsidRDefault="00B17D2A" w:rsidP="00B17D2A">
      <w:pPr>
        <w:pStyle w:val="SingleTxtG"/>
        <w:rPr>
          <w:lang w:val="fr-FR"/>
        </w:rPr>
      </w:pPr>
      <w:r w:rsidRPr="00B17D2A">
        <w:rPr>
          <w:lang w:val="fr-FR"/>
        </w:rPr>
        <w:t>164.</w:t>
      </w:r>
      <w:r w:rsidRPr="00B17D2A">
        <w:rPr>
          <w:lang w:val="fr-FR"/>
        </w:rPr>
        <w:tab/>
        <w:t xml:space="preserve">Voir paragraphe 125 du deuxième rapport du Japon. </w:t>
      </w:r>
    </w:p>
    <w:p w:rsidR="00B17D2A" w:rsidRPr="00B17D2A" w:rsidRDefault="00B17D2A" w:rsidP="00B17D2A">
      <w:pPr>
        <w:pStyle w:val="SingleTxtG"/>
        <w:rPr>
          <w:lang w:val="fr-FR"/>
        </w:rPr>
      </w:pPr>
      <w:r w:rsidRPr="00B17D2A">
        <w:rPr>
          <w:lang w:val="fr-FR"/>
        </w:rPr>
        <w:t>165.</w:t>
      </w:r>
      <w:r w:rsidRPr="00B17D2A">
        <w:rPr>
          <w:lang w:val="fr-FR"/>
        </w:rPr>
        <w:tab/>
        <w:t>L</w:t>
      </w:r>
      <w:r w:rsidR="00277023">
        <w:rPr>
          <w:lang w:val="fr-FR"/>
        </w:rPr>
        <w:t>’</w:t>
      </w:r>
      <w:r w:rsidRPr="00B17D2A">
        <w:rPr>
          <w:lang w:val="fr-FR"/>
        </w:rPr>
        <w:t>administration tient compte de l</w:t>
      </w:r>
      <w:r w:rsidR="00277023">
        <w:rPr>
          <w:lang w:val="fr-FR"/>
        </w:rPr>
        <w:t>’</w:t>
      </w:r>
      <w:r w:rsidRPr="00B17D2A">
        <w:rPr>
          <w:lang w:val="fr-FR"/>
        </w:rPr>
        <w:t>intérêt supérieur de l</w:t>
      </w:r>
      <w:r w:rsidR="00277023">
        <w:rPr>
          <w:lang w:val="fr-FR"/>
        </w:rPr>
        <w:t>’</w:t>
      </w:r>
      <w:r w:rsidRPr="00B17D2A">
        <w:rPr>
          <w:lang w:val="fr-FR"/>
        </w:rPr>
        <w:t>enfant lorsqu</w:t>
      </w:r>
      <w:r w:rsidR="00277023">
        <w:rPr>
          <w:lang w:val="fr-FR"/>
        </w:rPr>
        <w:t>’</w:t>
      </w:r>
      <w:r w:rsidRPr="00B17D2A">
        <w:rPr>
          <w:lang w:val="fr-FR"/>
        </w:rPr>
        <w:t xml:space="preserve">un centre de guidance infantile prend des dispositions en vertu de ladite Loi: </w:t>
      </w:r>
    </w:p>
    <w:p w:rsidR="00B17D2A" w:rsidRPr="00B17D2A" w:rsidRDefault="00727D67" w:rsidP="00B17D2A">
      <w:pPr>
        <w:pStyle w:val="SingleTxtG"/>
        <w:rPr>
          <w:lang w:val="fr-FR"/>
        </w:rPr>
      </w:pPr>
      <w:r>
        <w:rPr>
          <w:lang w:val="fr-FR"/>
        </w:rPr>
        <w:tab/>
        <w:t>1)</w:t>
      </w:r>
      <w:r>
        <w:rPr>
          <w:lang w:val="fr-FR"/>
        </w:rPr>
        <w:tab/>
      </w:r>
      <w:r w:rsidR="00B17D2A" w:rsidRPr="00B17D2A">
        <w:rPr>
          <w:lang w:val="fr-FR"/>
        </w:rPr>
        <w:t>Si l</w:t>
      </w:r>
      <w:r w:rsidR="00277023">
        <w:rPr>
          <w:lang w:val="fr-FR"/>
        </w:rPr>
        <w:t>’</w:t>
      </w:r>
      <w:r w:rsidR="00B17D2A" w:rsidRPr="00B17D2A">
        <w:rPr>
          <w:lang w:val="fr-FR"/>
        </w:rPr>
        <w:t>intention de l</w:t>
      </w:r>
      <w:r w:rsidR="00277023">
        <w:rPr>
          <w:lang w:val="fr-FR"/>
        </w:rPr>
        <w:t>’</w:t>
      </w:r>
      <w:r w:rsidR="00B17D2A" w:rsidRPr="00B17D2A">
        <w:rPr>
          <w:lang w:val="fr-FR"/>
        </w:rPr>
        <w:t>enfant ou de son représentant légal ne correspond pas à la politique du centre de guidance infantile, ou si le centre le juge nécessaire, il entendra l</w:t>
      </w:r>
      <w:r w:rsidR="00277023">
        <w:rPr>
          <w:lang w:val="fr-FR"/>
        </w:rPr>
        <w:t>’</w:t>
      </w:r>
      <w:r w:rsidR="00B17D2A" w:rsidRPr="00B17D2A">
        <w:rPr>
          <w:lang w:val="fr-FR"/>
        </w:rPr>
        <w:t>avis d</w:t>
      </w:r>
      <w:r w:rsidR="00277023">
        <w:rPr>
          <w:lang w:val="fr-FR"/>
        </w:rPr>
        <w:t>’</w:t>
      </w:r>
      <w:r w:rsidR="00B17D2A" w:rsidRPr="00B17D2A">
        <w:rPr>
          <w:lang w:val="fr-FR"/>
        </w:rPr>
        <w:t>un sous-groupe d</w:t>
      </w:r>
      <w:r w:rsidR="00277023">
        <w:rPr>
          <w:lang w:val="fr-FR"/>
        </w:rPr>
        <w:t>’</w:t>
      </w:r>
      <w:r w:rsidR="00B17D2A" w:rsidRPr="00B17D2A">
        <w:rPr>
          <w:lang w:val="fr-FR"/>
        </w:rPr>
        <w:t>un Conseil composé de spécialistes de la médecine, du droit et d</w:t>
      </w:r>
      <w:r w:rsidR="00277023">
        <w:rPr>
          <w:lang w:val="fr-FR"/>
        </w:rPr>
        <w:t>’</w:t>
      </w:r>
      <w:r w:rsidR="00B17D2A" w:rsidRPr="00B17D2A">
        <w:rPr>
          <w:lang w:val="fr-FR"/>
        </w:rPr>
        <w:t xml:space="preserve">autres domaines. </w:t>
      </w:r>
    </w:p>
    <w:p w:rsidR="00B17D2A" w:rsidRPr="00B17D2A" w:rsidRDefault="00727D67" w:rsidP="00B17D2A">
      <w:pPr>
        <w:pStyle w:val="SingleTxtG"/>
        <w:rPr>
          <w:lang w:val="fr-FR"/>
        </w:rPr>
      </w:pPr>
      <w:r>
        <w:rPr>
          <w:lang w:val="fr-FR"/>
        </w:rPr>
        <w:tab/>
        <w:t>2)</w:t>
      </w:r>
      <w:r>
        <w:rPr>
          <w:lang w:val="fr-FR"/>
        </w:rPr>
        <w:tab/>
      </w:r>
      <w:r w:rsidR="00B17D2A" w:rsidRPr="00B17D2A">
        <w:rPr>
          <w:lang w:val="fr-FR"/>
        </w:rPr>
        <w:t>Le centre entendra l</w:t>
      </w:r>
      <w:r w:rsidR="00277023">
        <w:rPr>
          <w:lang w:val="fr-FR"/>
        </w:rPr>
        <w:t>’</w:t>
      </w:r>
      <w:r w:rsidR="00B17D2A" w:rsidRPr="00B17D2A">
        <w:rPr>
          <w:lang w:val="fr-FR"/>
        </w:rPr>
        <w:t>intention personnelle de l</w:t>
      </w:r>
      <w:r w:rsidR="00277023">
        <w:rPr>
          <w:lang w:val="fr-FR"/>
        </w:rPr>
        <w:t>’</w:t>
      </w:r>
      <w:r w:rsidR="00B17D2A" w:rsidRPr="00B17D2A">
        <w:rPr>
          <w:lang w:val="fr-FR"/>
        </w:rPr>
        <w:t>enfant en vue d</w:t>
      </w:r>
      <w:r w:rsidR="00277023">
        <w:rPr>
          <w:lang w:val="fr-FR"/>
        </w:rPr>
        <w:t>’</w:t>
      </w:r>
      <w:r w:rsidR="00B17D2A" w:rsidRPr="00B17D2A">
        <w:rPr>
          <w:lang w:val="fr-FR"/>
        </w:rPr>
        <w:t>une meilleure connaissance et objectivité, s</w:t>
      </w:r>
      <w:r w:rsidR="00277023">
        <w:rPr>
          <w:lang w:val="fr-FR"/>
        </w:rPr>
        <w:t>’</w:t>
      </w:r>
      <w:r w:rsidR="00B17D2A" w:rsidRPr="00B17D2A">
        <w:rPr>
          <w:lang w:val="fr-FR"/>
        </w:rPr>
        <w:t>il décide par exemple de le placer en institution.</w:t>
      </w:r>
    </w:p>
    <w:p w:rsidR="00B17D2A" w:rsidRPr="00B17D2A" w:rsidRDefault="00B17D2A" w:rsidP="00505845">
      <w:pPr>
        <w:pStyle w:val="SingleTxtG"/>
        <w:keepNext/>
        <w:rPr>
          <w:lang w:val="fr-FR"/>
        </w:rPr>
      </w:pPr>
      <w:r w:rsidRPr="00B17D2A">
        <w:rPr>
          <w:lang w:val="fr-FR"/>
        </w:rPr>
        <w:t>(Promotion du Programme d</w:t>
      </w:r>
      <w:r w:rsidR="00277023">
        <w:rPr>
          <w:lang w:val="fr-FR"/>
        </w:rPr>
        <w:t>’</w:t>
      </w:r>
      <w:r w:rsidRPr="00B17D2A">
        <w:rPr>
          <w:lang w:val="fr-FR"/>
        </w:rPr>
        <w:t xml:space="preserve">aide à la garde des enfants) </w:t>
      </w:r>
    </w:p>
    <w:p w:rsidR="00B17D2A" w:rsidRPr="00B17D2A" w:rsidRDefault="00B17D2A" w:rsidP="00B17D2A">
      <w:pPr>
        <w:pStyle w:val="SingleTxtG"/>
        <w:rPr>
          <w:lang w:val="fr-FR"/>
        </w:rPr>
      </w:pPr>
      <w:r w:rsidRPr="00B17D2A">
        <w:rPr>
          <w:lang w:val="fr-FR"/>
        </w:rPr>
        <w:t>166.</w:t>
      </w:r>
      <w:r w:rsidRPr="00B17D2A">
        <w:rPr>
          <w:lang w:val="fr-FR"/>
        </w:rPr>
        <w:tab/>
        <w:t>Voir paragraphe 17.</w:t>
      </w:r>
    </w:p>
    <w:p w:rsidR="00B17D2A" w:rsidRPr="00B17D2A" w:rsidRDefault="00B17D2A" w:rsidP="00B17D2A">
      <w:pPr>
        <w:pStyle w:val="SingleTxtG"/>
        <w:rPr>
          <w:bCs/>
          <w:lang w:val="fr-FR"/>
        </w:rPr>
      </w:pPr>
      <w:r w:rsidRPr="00B17D2A">
        <w:rPr>
          <w:lang w:val="fr-FR"/>
        </w:rPr>
        <w:t xml:space="preserve">(Amendement partiel de </w:t>
      </w:r>
      <w:smartTag w:uri="urn:schemas-microsoft-com:office:smarttags" w:element="PersonName">
        <w:smartTagPr>
          <w:attr w:name="ProductID" w:val="la Loi"/>
        </w:smartTagPr>
        <w:r w:rsidRPr="00B17D2A">
          <w:rPr>
            <w:lang w:val="fr-FR"/>
          </w:rPr>
          <w:t>la Loi</w:t>
        </w:r>
      </w:smartTag>
      <w:r w:rsidRPr="00B17D2A">
        <w:rPr>
          <w:lang w:val="fr-FR"/>
        </w:rPr>
        <w:t xml:space="preserve"> relative à la répression de la prostitution des enfants et de la pornographie mettant en scène des enfants, et à la protection des enfants</w:t>
      </w:r>
      <w:r w:rsidRPr="00B17D2A">
        <w:rPr>
          <w:bCs/>
          <w:lang w:val="fr-FR"/>
        </w:rPr>
        <w:t>)</w:t>
      </w:r>
    </w:p>
    <w:p w:rsidR="00B17D2A" w:rsidRPr="00B17D2A" w:rsidRDefault="00B17D2A" w:rsidP="00B17D2A">
      <w:pPr>
        <w:pStyle w:val="SingleTxtG"/>
        <w:rPr>
          <w:lang w:val="fr-FR"/>
        </w:rPr>
      </w:pPr>
      <w:r w:rsidRPr="00B17D2A">
        <w:rPr>
          <w:lang w:val="fr-FR"/>
        </w:rPr>
        <w:t>167.</w:t>
      </w:r>
      <w:r w:rsidRPr="00B17D2A">
        <w:rPr>
          <w:lang w:val="fr-FR"/>
        </w:rPr>
        <w:tab/>
        <w:t xml:space="preserve">Voir paragraphe 126 du deuxième rapport du Japon. </w:t>
      </w:r>
    </w:p>
    <w:p w:rsidR="00B17D2A" w:rsidRPr="00B17D2A" w:rsidRDefault="00B17D2A" w:rsidP="00B17D2A">
      <w:pPr>
        <w:pStyle w:val="SingleTxtG"/>
        <w:rPr>
          <w:lang w:val="fr-FR"/>
        </w:rPr>
      </w:pPr>
      <w:r w:rsidRPr="00B17D2A">
        <w:rPr>
          <w:lang w:val="fr-FR"/>
        </w:rPr>
        <w:t>168.</w:t>
      </w:r>
      <w:r w:rsidRPr="00B17D2A">
        <w:rPr>
          <w:lang w:val="fr-FR"/>
        </w:rPr>
        <w:tab/>
        <w:t xml:space="preserve">En juin 2004, </w:t>
      </w:r>
      <w:smartTag w:uri="urn:schemas-microsoft-com:office:smarttags" w:element="PersonName">
        <w:smartTagPr>
          <w:attr w:name="ProductID" w:val="la Loi"/>
        </w:smartTagPr>
        <w:r w:rsidRPr="00B17D2A">
          <w:rPr>
            <w:lang w:val="fr-FR"/>
          </w:rPr>
          <w:t>la Loi</w:t>
        </w:r>
      </w:smartTag>
      <w:r w:rsidRPr="00B17D2A">
        <w:rPr>
          <w:lang w:val="fr-FR"/>
        </w:rPr>
        <w:t xml:space="preserve"> relative à la répression de la prostitution des enfants et de la pornographie mettant en scène des enfants, et à la protection des enfants, a été partiellement amendée. A la lumière de l</w:t>
      </w:r>
      <w:r w:rsidR="00277023">
        <w:rPr>
          <w:lang w:val="fr-FR"/>
        </w:rPr>
        <w:t>’</w:t>
      </w:r>
      <w:r w:rsidRPr="00B17D2A">
        <w:rPr>
          <w:lang w:val="fr-FR"/>
        </w:rPr>
        <w:t>évolution internationale en matière de protection des droits de l</w:t>
      </w:r>
      <w:r w:rsidR="00277023">
        <w:rPr>
          <w:lang w:val="fr-FR"/>
        </w:rPr>
        <w:t>’</w:t>
      </w:r>
      <w:r w:rsidRPr="00B17D2A">
        <w:rPr>
          <w:lang w:val="fr-FR"/>
        </w:rPr>
        <w:t>enfant, et afin d</w:t>
      </w:r>
      <w:r w:rsidR="00277023">
        <w:rPr>
          <w:lang w:val="fr-FR"/>
        </w:rPr>
        <w:t>’</w:t>
      </w:r>
      <w:r w:rsidRPr="00B17D2A">
        <w:rPr>
          <w:lang w:val="fr-FR"/>
        </w:rPr>
        <w:t>exprimer clairement l</w:t>
      </w:r>
      <w:r w:rsidR="00277023">
        <w:rPr>
          <w:lang w:val="fr-FR"/>
        </w:rPr>
        <w:t>’</w:t>
      </w:r>
      <w:r w:rsidRPr="00B17D2A">
        <w:rPr>
          <w:lang w:val="fr-FR"/>
        </w:rPr>
        <w:t>intention du Gouvernement de renforcer la protection de ces droits, l</w:t>
      </w:r>
      <w:r w:rsidR="00277023">
        <w:rPr>
          <w:lang w:val="fr-FR"/>
        </w:rPr>
        <w:t>’</w:t>
      </w:r>
      <w:r w:rsidRPr="00B17D2A">
        <w:rPr>
          <w:lang w:val="fr-FR"/>
        </w:rPr>
        <w:t xml:space="preserve">article premier de </w:t>
      </w:r>
      <w:smartTag w:uri="urn:schemas-microsoft-com:office:smarttags" w:element="PersonName">
        <w:smartTagPr>
          <w:attr w:name="ProductID" w:val="la Loi"/>
        </w:smartTagPr>
        <w:r w:rsidRPr="00B17D2A">
          <w:rPr>
            <w:lang w:val="fr-FR"/>
          </w:rPr>
          <w:t>la Loi</w:t>
        </w:r>
      </w:smartTag>
      <w:r w:rsidRPr="00B17D2A">
        <w:rPr>
          <w:lang w:val="fr-FR"/>
        </w:rPr>
        <w:t xml:space="preserve"> dispose que l</w:t>
      </w:r>
      <w:r w:rsidR="00277023">
        <w:rPr>
          <w:lang w:val="fr-FR"/>
        </w:rPr>
        <w:t>’</w:t>
      </w:r>
      <w:r w:rsidRPr="00B17D2A">
        <w:rPr>
          <w:lang w:val="fr-FR"/>
        </w:rPr>
        <w:t>objet de la présente Loi est de défendre les droits des enfants par la répression des activités relatives à la prostitution enfantine et à la pornographie mettant en scène des enfants et l</w:t>
      </w:r>
      <w:r w:rsidR="00277023">
        <w:rPr>
          <w:lang w:val="fr-FR"/>
        </w:rPr>
        <w:t>’</w:t>
      </w:r>
      <w:r w:rsidRPr="00B17D2A">
        <w:rPr>
          <w:lang w:val="fr-FR"/>
        </w:rPr>
        <w:t>adoption de mesures de protection à l</w:t>
      </w:r>
      <w:r w:rsidR="00277023">
        <w:rPr>
          <w:lang w:val="fr-FR"/>
        </w:rPr>
        <w:t>’</w:t>
      </w:r>
      <w:r w:rsidRPr="00B17D2A">
        <w:rPr>
          <w:lang w:val="fr-FR"/>
        </w:rPr>
        <w:t>égard des enfants victimes de maltraitance physique ou psychologique, sachant que l</w:t>
      </w:r>
      <w:r w:rsidR="00277023">
        <w:rPr>
          <w:lang w:val="fr-FR"/>
        </w:rPr>
        <w:t>’</w:t>
      </w:r>
      <w:r w:rsidRPr="00B17D2A">
        <w:rPr>
          <w:lang w:val="fr-FR"/>
        </w:rPr>
        <w:t>exploitation sexuelle et l</w:t>
      </w:r>
      <w:r w:rsidR="00277023">
        <w:rPr>
          <w:lang w:val="fr-FR"/>
        </w:rPr>
        <w:t>’</w:t>
      </w:r>
      <w:r w:rsidRPr="00B17D2A">
        <w:rPr>
          <w:lang w:val="fr-FR"/>
        </w:rPr>
        <w:t>abus sexuel des enfants représentent une violation grave de leurs droits, tout en prenant en considération l</w:t>
      </w:r>
      <w:r w:rsidR="00277023">
        <w:rPr>
          <w:lang w:val="fr-FR"/>
        </w:rPr>
        <w:t>’</w:t>
      </w:r>
      <w:r w:rsidRPr="00B17D2A">
        <w:rPr>
          <w:lang w:val="fr-FR"/>
        </w:rPr>
        <w:t xml:space="preserve">évolution internationale en matière de droits des enfants. Par ailleurs, </w:t>
      </w:r>
      <w:smartTag w:uri="urn:schemas-microsoft-com:office:smarttags" w:element="PersonName">
        <w:smartTagPr>
          <w:attr w:name="ProductID" w:val="la Loi"/>
        </w:smartTagPr>
        <w:r w:rsidRPr="00B17D2A">
          <w:rPr>
            <w:lang w:val="fr-FR"/>
          </w:rPr>
          <w:t>la Loi</w:t>
        </w:r>
      </w:smartTag>
      <w:r w:rsidRPr="00B17D2A">
        <w:rPr>
          <w:lang w:val="fr-FR"/>
        </w:rPr>
        <w:t xml:space="preserve"> alourdit les peines encourues pour les crimes liés à la prostitution enfantine et à la pédopornographie et précise que ces crimes qui portent gravement atteinte aux</w:t>
      </w:r>
      <w:r w:rsidR="00EA1115">
        <w:rPr>
          <w:lang w:val="fr-FR"/>
        </w:rPr>
        <w:t xml:space="preserve"> </w:t>
      </w:r>
      <w:r w:rsidRPr="00B17D2A">
        <w:rPr>
          <w:lang w:val="fr-FR"/>
        </w:rPr>
        <w:t>droits des enfants sont hautement blâmables.</w:t>
      </w:r>
    </w:p>
    <w:p w:rsidR="00B17D2A" w:rsidRPr="00B17D2A" w:rsidRDefault="00B17D2A" w:rsidP="00B17D2A">
      <w:pPr>
        <w:pStyle w:val="SingleTxtG"/>
        <w:rPr>
          <w:lang w:val="fr-FR"/>
        </w:rPr>
      </w:pPr>
      <w:r w:rsidRPr="00B17D2A">
        <w:rPr>
          <w:lang w:val="fr-FR"/>
        </w:rPr>
        <w:t>(Plan d</w:t>
      </w:r>
      <w:r w:rsidR="00277023">
        <w:rPr>
          <w:lang w:val="fr-FR"/>
        </w:rPr>
        <w:t>’</w:t>
      </w:r>
      <w:r w:rsidRPr="00B17D2A">
        <w:rPr>
          <w:lang w:val="fr-FR"/>
        </w:rPr>
        <w:t>action pour édifier une société sans crime)</w:t>
      </w:r>
    </w:p>
    <w:p w:rsidR="00B17D2A" w:rsidRPr="00B17D2A" w:rsidRDefault="00B17D2A" w:rsidP="00B17D2A">
      <w:pPr>
        <w:pStyle w:val="SingleTxtG"/>
        <w:rPr>
          <w:lang w:val="fr-FR"/>
        </w:rPr>
      </w:pPr>
      <w:r w:rsidRPr="00B17D2A">
        <w:rPr>
          <w:lang w:val="fr-FR"/>
        </w:rPr>
        <w:t>169.</w:t>
      </w:r>
      <w:r w:rsidRPr="00B17D2A">
        <w:rPr>
          <w:lang w:val="fr-FR"/>
        </w:rPr>
        <w:tab/>
        <w:t>En décembre 2003, le Plan d</w:t>
      </w:r>
      <w:r w:rsidR="00277023">
        <w:rPr>
          <w:lang w:val="fr-FR"/>
        </w:rPr>
        <w:t>’</w:t>
      </w:r>
      <w:r w:rsidRPr="00B17D2A">
        <w:rPr>
          <w:lang w:val="fr-FR"/>
        </w:rPr>
        <w:t>action pour bâtir une société sans crime a été adopté lors d</w:t>
      </w:r>
      <w:r w:rsidR="00277023">
        <w:rPr>
          <w:lang w:val="fr-FR"/>
        </w:rPr>
        <w:t>’</w:t>
      </w:r>
      <w:r w:rsidRPr="00B17D2A">
        <w:rPr>
          <w:lang w:val="fr-FR"/>
        </w:rPr>
        <w:t>une réunion ministérielle portant sur les mesures de lutte contre la criminalité, organisée par le premier Ministre. Se fondant sur ce Plan d</w:t>
      </w:r>
      <w:r w:rsidR="00277023">
        <w:rPr>
          <w:lang w:val="fr-FR"/>
        </w:rPr>
        <w:t>’</w:t>
      </w:r>
      <w:r w:rsidRPr="00B17D2A">
        <w:rPr>
          <w:lang w:val="fr-FR"/>
        </w:rPr>
        <w:t>action, le Gouvernement dans son ensemble prend actuellement des dispositions visant à assurer la protection des jeunes en s</w:t>
      </w:r>
      <w:r w:rsidR="00277023">
        <w:rPr>
          <w:lang w:val="fr-FR"/>
        </w:rPr>
        <w:t>’</w:t>
      </w:r>
      <w:r w:rsidRPr="00B17D2A">
        <w:rPr>
          <w:lang w:val="fr-FR"/>
        </w:rPr>
        <w:t>attaquant à la question de la prévention de la délinquance juvénile, sur laquelle travaille toute la société, parallèlement à d</w:t>
      </w:r>
      <w:r w:rsidR="00277023">
        <w:rPr>
          <w:lang w:val="fr-FR"/>
        </w:rPr>
        <w:t>’</w:t>
      </w:r>
      <w:r w:rsidRPr="00B17D2A">
        <w:rPr>
          <w:lang w:val="fr-FR"/>
        </w:rPr>
        <w:t xml:space="preserve">autres mesures à venir. La police nationale a ensuite préparé un cadre de mesures générales pour la prévention de la délinquance juvénile et la protection de la jeunesse et met en oeuvre des mesures globales portant sur la prévention de la délinquance juvénile et la protection de la jeunesse. </w:t>
      </w:r>
    </w:p>
    <w:p w:rsidR="00B17D2A" w:rsidRPr="00B17D2A" w:rsidRDefault="000C7D86" w:rsidP="000C7D86">
      <w:pPr>
        <w:pStyle w:val="H23G"/>
        <w:rPr>
          <w:lang w:val="fr-FR"/>
        </w:rPr>
      </w:pPr>
      <w:r>
        <w:rPr>
          <w:lang w:val="fr-FR"/>
        </w:rPr>
        <w:tab/>
        <w:t>b)</w:t>
      </w:r>
      <w:r>
        <w:rPr>
          <w:lang w:val="fr-FR"/>
        </w:rPr>
        <w:tab/>
      </w:r>
      <w:r w:rsidR="00B17D2A" w:rsidRPr="00B17D2A">
        <w:rPr>
          <w:lang w:val="fr-FR"/>
        </w:rPr>
        <w:t xml:space="preserve">Prise en compte du principe de </w:t>
      </w:r>
      <w:r w:rsidR="008E49D4">
        <w:rPr>
          <w:lang w:val="fr-FR"/>
        </w:rPr>
        <w:t>“</w:t>
      </w:r>
      <w:r w:rsidR="00B17D2A" w:rsidRPr="00B17D2A">
        <w:rPr>
          <w:lang w:val="fr-FR"/>
        </w:rPr>
        <w:t>l</w:t>
      </w:r>
      <w:r w:rsidR="00277023">
        <w:rPr>
          <w:lang w:val="fr-FR"/>
        </w:rPr>
        <w:t>’</w:t>
      </w:r>
      <w:r w:rsidR="00B17D2A" w:rsidRPr="00B17D2A">
        <w:rPr>
          <w:lang w:val="fr-FR"/>
        </w:rPr>
        <w:t>intérêt supérieur de l</w:t>
      </w:r>
      <w:r w:rsidR="00277023">
        <w:rPr>
          <w:lang w:val="fr-FR"/>
        </w:rPr>
        <w:t>’</w:t>
      </w:r>
      <w:r w:rsidR="00B17D2A" w:rsidRPr="00B17D2A">
        <w:rPr>
          <w:lang w:val="fr-FR"/>
        </w:rPr>
        <w:t>enfant</w:t>
      </w:r>
      <w:r w:rsidR="008E49D4">
        <w:rPr>
          <w:lang w:val="fr-FR"/>
        </w:rPr>
        <w:t>”</w:t>
      </w:r>
    </w:p>
    <w:p w:rsidR="00B17D2A" w:rsidRPr="00B17D2A" w:rsidRDefault="00B17D2A" w:rsidP="00B17D2A">
      <w:pPr>
        <w:pStyle w:val="SingleTxtG"/>
        <w:rPr>
          <w:lang w:val="fr-FR"/>
        </w:rPr>
      </w:pPr>
      <w:r w:rsidRPr="00B17D2A">
        <w:rPr>
          <w:lang w:val="fr-FR"/>
        </w:rPr>
        <w:t>(</w:t>
      </w:r>
      <w:r w:rsidR="008F55B7">
        <w:rPr>
          <w:lang w:val="fr-FR"/>
        </w:rPr>
        <w:t>É</w:t>
      </w:r>
      <w:r w:rsidRPr="00B17D2A">
        <w:rPr>
          <w:lang w:val="fr-FR"/>
        </w:rPr>
        <w:t>tablissements de protection de l</w:t>
      </w:r>
      <w:r w:rsidR="00277023">
        <w:rPr>
          <w:lang w:val="fr-FR"/>
        </w:rPr>
        <w:t>’</w:t>
      </w:r>
      <w:r w:rsidRPr="00B17D2A">
        <w:rPr>
          <w:lang w:val="fr-FR"/>
        </w:rPr>
        <w:t>enfance)</w:t>
      </w:r>
    </w:p>
    <w:p w:rsidR="00B17D2A" w:rsidRPr="00B17D2A" w:rsidRDefault="00B17D2A" w:rsidP="00B17D2A">
      <w:pPr>
        <w:pStyle w:val="SingleTxtG"/>
        <w:rPr>
          <w:lang w:val="fr-FR"/>
        </w:rPr>
      </w:pPr>
      <w:r w:rsidRPr="00B17D2A">
        <w:rPr>
          <w:lang w:val="fr-FR"/>
        </w:rPr>
        <w:t>170.</w:t>
      </w:r>
      <w:r w:rsidRPr="00B17D2A">
        <w:rPr>
          <w:lang w:val="fr-FR"/>
        </w:rPr>
        <w:tab/>
        <w:t xml:space="preserve">Voir paragraphe 127 du deuxième rapport du Japon. </w:t>
      </w:r>
    </w:p>
    <w:p w:rsidR="00B17D2A" w:rsidRPr="00B17D2A" w:rsidRDefault="00B17D2A" w:rsidP="00B17D2A">
      <w:pPr>
        <w:pStyle w:val="SingleTxtG"/>
        <w:rPr>
          <w:lang w:val="fr-FR"/>
        </w:rPr>
      </w:pPr>
      <w:r w:rsidRPr="00B17D2A">
        <w:rPr>
          <w:lang w:val="fr-FR"/>
        </w:rPr>
        <w:t>(Décisions judiciaires en matière d</w:t>
      </w:r>
      <w:r w:rsidR="00277023">
        <w:rPr>
          <w:lang w:val="fr-FR"/>
        </w:rPr>
        <w:t>’</w:t>
      </w:r>
      <w:r w:rsidRPr="00B17D2A">
        <w:rPr>
          <w:lang w:val="fr-FR"/>
        </w:rPr>
        <w:t>affaires familiales)</w:t>
      </w:r>
    </w:p>
    <w:p w:rsidR="00B17D2A" w:rsidRPr="00B17D2A" w:rsidRDefault="00B17D2A" w:rsidP="00B17D2A">
      <w:pPr>
        <w:pStyle w:val="SingleTxtG"/>
        <w:rPr>
          <w:lang w:val="fr-FR"/>
        </w:rPr>
      </w:pPr>
      <w:r w:rsidRPr="00B17D2A">
        <w:rPr>
          <w:lang w:val="fr-FR"/>
        </w:rPr>
        <w:t>171.</w:t>
      </w:r>
      <w:r w:rsidRPr="00B17D2A">
        <w:rPr>
          <w:lang w:val="fr-FR"/>
        </w:rPr>
        <w:tab/>
        <w:t xml:space="preserve">Voir paragraphe 129 du deuxième rapport du Japon. </w:t>
      </w:r>
    </w:p>
    <w:p w:rsidR="00B17D2A" w:rsidRPr="00B17D2A" w:rsidRDefault="00B17D2A" w:rsidP="00B17D2A">
      <w:pPr>
        <w:pStyle w:val="SingleTxtG"/>
        <w:rPr>
          <w:lang w:val="fr-FR"/>
        </w:rPr>
      </w:pPr>
      <w:r w:rsidRPr="00B17D2A">
        <w:rPr>
          <w:lang w:val="fr-FR"/>
        </w:rPr>
        <w:t>(Auditions de mineurs)</w:t>
      </w:r>
    </w:p>
    <w:p w:rsidR="00B17D2A" w:rsidRPr="00B17D2A" w:rsidRDefault="00B17D2A" w:rsidP="00B17D2A">
      <w:pPr>
        <w:pStyle w:val="SingleTxtG"/>
        <w:rPr>
          <w:lang w:val="fr-FR"/>
        </w:rPr>
      </w:pPr>
      <w:r w:rsidRPr="00B17D2A">
        <w:rPr>
          <w:lang w:val="fr-FR"/>
        </w:rPr>
        <w:t>172.</w:t>
      </w:r>
      <w:r w:rsidRPr="00B17D2A">
        <w:rPr>
          <w:lang w:val="fr-FR"/>
        </w:rPr>
        <w:tab/>
        <w:t xml:space="preserve">Voir paragraphe 130 du deuxième rapport du Japon. </w:t>
      </w:r>
    </w:p>
    <w:p w:rsidR="00B17D2A" w:rsidRPr="00B17D2A" w:rsidRDefault="00B17D2A" w:rsidP="00B17D2A">
      <w:pPr>
        <w:pStyle w:val="SingleTxtG"/>
        <w:rPr>
          <w:lang w:val="fr-FR"/>
        </w:rPr>
      </w:pPr>
      <w:r w:rsidRPr="00B17D2A">
        <w:rPr>
          <w:lang w:val="fr-FR"/>
        </w:rPr>
        <w:t>173.</w:t>
      </w:r>
      <w:r w:rsidRPr="00B17D2A">
        <w:rPr>
          <w:lang w:val="fr-FR"/>
        </w:rPr>
        <w:tab/>
        <w:t>Le 25 mai 2007, un projet d</w:t>
      </w:r>
      <w:r w:rsidR="00277023">
        <w:rPr>
          <w:lang w:val="fr-FR"/>
        </w:rPr>
        <w:t>’</w:t>
      </w:r>
      <w:r w:rsidRPr="00B17D2A">
        <w:rPr>
          <w:lang w:val="fr-FR"/>
        </w:rPr>
        <w:t xml:space="preserve">amendement de </w:t>
      </w:r>
      <w:smartTag w:uri="urn:schemas-microsoft-com:office:smarttags" w:element="PersonName">
        <w:smartTagPr>
          <w:attr w:name="ProductID" w:val="la Loi"/>
        </w:smartTagPr>
        <w:r w:rsidRPr="00B17D2A">
          <w:rPr>
            <w:lang w:val="fr-FR"/>
          </w:rPr>
          <w:t>la Loi</w:t>
        </w:r>
      </w:smartTag>
      <w:r w:rsidRPr="00B17D2A">
        <w:rPr>
          <w:lang w:val="fr-FR"/>
        </w:rPr>
        <w:t xml:space="preserve"> relative aux mineurs a été voté par </w:t>
      </w:r>
      <w:smartTag w:uri="urn:schemas-microsoft-com:office:smarttags" w:element="PersonName">
        <w:smartTagPr>
          <w:attr w:name="ProductID" w:val="la Di￨te"/>
        </w:smartTagPr>
        <w:r w:rsidRPr="00B17D2A">
          <w:rPr>
            <w:lang w:val="fr-FR"/>
          </w:rPr>
          <w:t>la Diète</w:t>
        </w:r>
      </w:smartTag>
      <w:r w:rsidRPr="00B17D2A">
        <w:rPr>
          <w:lang w:val="fr-FR"/>
        </w:rPr>
        <w:t xml:space="preserve"> et a pris effet le 1</w:t>
      </w:r>
      <w:r w:rsidRPr="00B17D2A">
        <w:rPr>
          <w:vertAlign w:val="superscript"/>
          <w:lang w:val="fr-FR"/>
        </w:rPr>
        <w:t>er</w:t>
      </w:r>
      <w:r w:rsidRPr="00B17D2A">
        <w:rPr>
          <w:lang w:val="fr-FR"/>
        </w:rPr>
        <w:t xml:space="preserve"> novembre de la même année. En vertu des lois antérieures, comme les centres de formation pour mineurs ne pouvaient accueillir que des enfants âgés de 14 ans ou plus, les tribunaux des affaires familiales ne pouvaient leur adresser des enfants de moins de 14 ans et la seule alternative était de les mettre en probation ou de les placer dans des institutions de protection de l</w:t>
      </w:r>
      <w:r w:rsidR="00277023">
        <w:rPr>
          <w:lang w:val="fr-FR"/>
        </w:rPr>
        <w:t>’</w:t>
      </w:r>
      <w:r w:rsidRPr="00B17D2A">
        <w:rPr>
          <w:lang w:val="fr-FR"/>
        </w:rPr>
        <w:t>enfance. Dans certains cas il est toutefois difficile de résoudre le problème d</w:t>
      </w:r>
      <w:r w:rsidR="00277023">
        <w:rPr>
          <w:lang w:val="fr-FR"/>
        </w:rPr>
        <w:t>’</w:t>
      </w:r>
      <w:r w:rsidRPr="00B17D2A">
        <w:rPr>
          <w:lang w:val="fr-FR"/>
        </w:rPr>
        <w:t>enfants de moins de 14 ans par la mise en probation, qui est un traitement en milieu ouvert, ou le placement dans une institution de protection dont le principe de base est également d</w:t>
      </w:r>
      <w:r w:rsidR="00277023">
        <w:rPr>
          <w:lang w:val="fr-FR"/>
        </w:rPr>
        <w:t>’</w:t>
      </w:r>
      <w:r w:rsidRPr="00B17D2A">
        <w:rPr>
          <w:lang w:val="fr-FR"/>
        </w:rPr>
        <w:t>être un établissement ouvert, lorsque ces jeunes souffrent de troubles du comportement extrêmement sérieux et complexes qui sont la cause fondamentale du fait qu</w:t>
      </w:r>
      <w:r w:rsidR="00277023">
        <w:rPr>
          <w:lang w:val="fr-FR"/>
        </w:rPr>
        <w:t>’</w:t>
      </w:r>
      <w:r w:rsidRPr="00B17D2A">
        <w:rPr>
          <w:lang w:val="fr-FR"/>
        </w:rPr>
        <w:t>ils commettent des crimes atroces et graves, ou se rendent coupables d</w:t>
      </w:r>
      <w:r w:rsidR="00277023">
        <w:rPr>
          <w:lang w:val="fr-FR"/>
        </w:rPr>
        <w:t>’</w:t>
      </w:r>
      <w:r w:rsidRPr="00B17D2A">
        <w:rPr>
          <w:lang w:val="fr-FR"/>
        </w:rPr>
        <w:t>actes de délinquance criminelle répétés malgré un placement fréquent en institution. Dans ce cas, selon les lois amendées et dans l</w:t>
      </w:r>
      <w:r w:rsidR="00277023">
        <w:rPr>
          <w:lang w:val="fr-FR"/>
        </w:rPr>
        <w:t>’</w:t>
      </w:r>
      <w:r w:rsidRPr="00B17D2A">
        <w:rPr>
          <w:lang w:val="fr-FR"/>
        </w:rPr>
        <w:t>objectif de donner aux mineurs le traitement le plus adapté, le tribunal des affaires familiales peut désormais placer les enfants de moins de 14 ans (environ 12 ans ou plus) dans un centre de formation pour mineurs si le tribunal estime que ce placement s</w:t>
      </w:r>
      <w:r w:rsidR="00277023">
        <w:rPr>
          <w:lang w:val="fr-FR"/>
        </w:rPr>
        <w:t>’</w:t>
      </w:r>
      <w:r w:rsidRPr="00B17D2A">
        <w:rPr>
          <w:lang w:val="fr-FR"/>
        </w:rPr>
        <w:t>impose pour que les enfants puissent bénéficier d</w:t>
      </w:r>
      <w:r w:rsidR="00277023">
        <w:rPr>
          <w:lang w:val="fr-FR"/>
        </w:rPr>
        <w:t>’</w:t>
      </w:r>
      <w:r w:rsidRPr="00B17D2A">
        <w:rPr>
          <w:lang w:val="fr-FR"/>
        </w:rPr>
        <w:t>une rééducation à un stade précoce dans la perspective de leur réinsertion.</w:t>
      </w:r>
    </w:p>
    <w:p w:rsidR="00B17D2A" w:rsidRPr="00B17D2A" w:rsidRDefault="00B17D2A" w:rsidP="00B17D2A">
      <w:pPr>
        <w:pStyle w:val="SingleTxtG"/>
        <w:rPr>
          <w:lang w:val="fr-FR"/>
        </w:rPr>
      </w:pPr>
      <w:r w:rsidRPr="00B17D2A">
        <w:rPr>
          <w:lang w:val="fr-FR"/>
        </w:rPr>
        <w:t>(</w:t>
      </w:r>
      <w:r w:rsidR="008F55B7">
        <w:rPr>
          <w:lang w:val="fr-FR"/>
        </w:rPr>
        <w:t>É</w:t>
      </w:r>
      <w:r w:rsidRPr="00B17D2A">
        <w:rPr>
          <w:lang w:val="fr-FR"/>
        </w:rPr>
        <w:t>tablissements pénitentiaires)</w:t>
      </w:r>
    </w:p>
    <w:p w:rsidR="00B17D2A" w:rsidRPr="00B17D2A" w:rsidRDefault="00B17D2A" w:rsidP="00B17D2A">
      <w:pPr>
        <w:pStyle w:val="SingleTxtG"/>
        <w:rPr>
          <w:lang w:val="fr-FR"/>
        </w:rPr>
      </w:pPr>
      <w:r w:rsidRPr="00B17D2A">
        <w:rPr>
          <w:lang w:val="fr-FR"/>
        </w:rPr>
        <w:t>174.</w:t>
      </w:r>
      <w:r w:rsidRPr="00B17D2A">
        <w:rPr>
          <w:lang w:val="fr-FR"/>
        </w:rPr>
        <w:tab/>
        <w:t xml:space="preserve">Voir paragraphe 131 du deuxième rapport du Japon. </w:t>
      </w:r>
    </w:p>
    <w:p w:rsidR="00B17D2A" w:rsidRPr="00B17D2A" w:rsidRDefault="00B17D2A" w:rsidP="00B17D2A">
      <w:pPr>
        <w:pStyle w:val="SingleTxtG"/>
        <w:rPr>
          <w:lang w:val="fr-FR"/>
        </w:rPr>
      </w:pPr>
      <w:r w:rsidRPr="00B17D2A">
        <w:rPr>
          <w:lang w:val="fr-FR"/>
        </w:rPr>
        <w:t>(Adoption)</w:t>
      </w:r>
    </w:p>
    <w:p w:rsidR="00B17D2A" w:rsidRPr="00B17D2A" w:rsidRDefault="00B17D2A" w:rsidP="00B17D2A">
      <w:pPr>
        <w:pStyle w:val="SingleTxtG"/>
        <w:rPr>
          <w:lang w:val="fr-FR"/>
        </w:rPr>
      </w:pPr>
      <w:r w:rsidRPr="00B17D2A">
        <w:rPr>
          <w:lang w:val="fr-FR"/>
        </w:rPr>
        <w:t>175.</w:t>
      </w:r>
      <w:r w:rsidRPr="00B17D2A">
        <w:rPr>
          <w:lang w:val="fr-FR"/>
        </w:rPr>
        <w:tab/>
        <w:t xml:space="preserve">Voir paragraphes 132-134 du deuxième rapport du Japon. </w:t>
      </w:r>
    </w:p>
    <w:p w:rsidR="00B17D2A" w:rsidRPr="00B17D2A" w:rsidRDefault="00B17D2A" w:rsidP="00B17D2A">
      <w:pPr>
        <w:pStyle w:val="SingleTxtG"/>
        <w:rPr>
          <w:bCs/>
          <w:lang w:val="fr-FR"/>
        </w:rPr>
      </w:pPr>
      <w:r w:rsidRPr="00B17D2A">
        <w:rPr>
          <w:bCs/>
          <w:lang w:val="fr-FR"/>
        </w:rPr>
        <w:t>(Demande d</w:t>
      </w:r>
      <w:r w:rsidR="00277023">
        <w:rPr>
          <w:bCs/>
          <w:lang w:val="fr-FR"/>
        </w:rPr>
        <w:t>’</w:t>
      </w:r>
      <w:r w:rsidRPr="00B17D2A">
        <w:rPr>
          <w:bCs/>
          <w:lang w:val="fr-FR"/>
        </w:rPr>
        <w:t>asile)</w:t>
      </w:r>
    </w:p>
    <w:p w:rsidR="00B17D2A" w:rsidRPr="00B17D2A" w:rsidRDefault="00B17D2A" w:rsidP="00B17D2A">
      <w:pPr>
        <w:pStyle w:val="SingleTxtG"/>
        <w:rPr>
          <w:bCs/>
          <w:lang w:val="fr-FR"/>
        </w:rPr>
      </w:pPr>
      <w:r w:rsidRPr="00B17D2A">
        <w:rPr>
          <w:bCs/>
          <w:lang w:val="fr-FR"/>
        </w:rPr>
        <w:t>176.</w:t>
      </w:r>
      <w:r w:rsidRPr="00B17D2A">
        <w:rPr>
          <w:bCs/>
          <w:lang w:val="fr-FR"/>
        </w:rPr>
        <w:tab/>
        <w:t xml:space="preserve">Toute personne qui souhaite la reconnaissance de son statut de réfugié doit présenter une demande ainsi que le prévoit </w:t>
      </w:r>
      <w:smartTag w:uri="urn:schemas-microsoft-com:office:smarttags" w:element="PersonName">
        <w:smartTagPr>
          <w:attr w:name="ProductID" w:val="la Loi. N￩anmoins"/>
        </w:smartTagPr>
        <w:r w:rsidRPr="00B17D2A">
          <w:rPr>
            <w:bCs/>
            <w:lang w:val="fr-FR"/>
          </w:rPr>
          <w:t>la Loi. Néanmoins</w:t>
        </w:r>
      </w:smartTag>
      <w:r w:rsidRPr="00B17D2A">
        <w:rPr>
          <w:bCs/>
          <w:lang w:val="fr-FR"/>
        </w:rPr>
        <w:t>, s</w:t>
      </w:r>
      <w:r w:rsidR="00277023">
        <w:rPr>
          <w:bCs/>
          <w:lang w:val="fr-FR"/>
        </w:rPr>
        <w:t>’</w:t>
      </w:r>
      <w:r w:rsidRPr="00B17D2A">
        <w:rPr>
          <w:bCs/>
          <w:lang w:val="fr-FR"/>
        </w:rPr>
        <w:t>agissant de ceux qui ne peuvent pas présenter une demande pour une raison particulière, le premier paragraphe de l</w:t>
      </w:r>
      <w:r w:rsidR="00277023">
        <w:rPr>
          <w:bCs/>
          <w:lang w:val="fr-FR"/>
        </w:rPr>
        <w:t>’</w:t>
      </w:r>
      <w:r w:rsidRPr="00B17D2A">
        <w:rPr>
          <w:bCs/>
          <w:lang w:val="fr-FR"/>
        </w:rPr>
        <w:t>article 55 du décret d</w:t>
      </w:r>
      <w:r w:rsidR="00277023">
        <w:rPr>
          <w:bCs/>
          <w:lang w:val="fr-FR"/>
        </w:rPr>
        <w:t>’</w:t>
      </w:r>
      <w:r w:rsidRPr="00B17D2A">
        <w:rPr>
          <w:bCs/>
          <w:lang w:val="fr-FR"/>
        </w:rPr>
        <w:t xml:space="preserve">application de </w:t>
      </w:r>
      <w:smartTag w:uri="urn:schemas-microsoft-com:office:smarttags" w:element="PersonName">
        <w:smartTagPr>
          <w:attr w:name="ProductID" w:val="la Loi"/>
        </w:smartTagPr>
        <w:r w:rsidRPr="00B17D2A">
          <w:rPr>
            <w:bCs/>
            <w:lang w:val="fr-FR"/>
          </w:rPr>
          <w:t>la Loi</w:t>
        </w:r>
      </w:smartTag>
      <w:r w:rsidRPr="00B17D2A">
        <w:rPr>
          <w:bCs/>
          <w:lang w:val="fr-FR"/>
        </w:rPr>
        <w:t xml:space="preserve"> sur le contrôle de</w:t>
      </w:r>
      <w:r w:rsidR="00EA1115">
        <w:rPr>
          <w:bCs/>
          <w:lang w:val="fr-FR"/>
        </w:rPr>
        <w:t xml:space="preserve"> </w:t>
      </w:r>
      <w:r w:rsidRPr="00B17D2A">
        <w:rPr>
          <w:bCs/>
          <w:lang w:val="fr-FR"/>
        </w:rPr>
        <w:t>l</w:t>
      </w:r>
      <w:r w:rsidR="00277023">
        <w:rPr>
          <w:bCs/>
          <w:lang w:val="fr-FR"/>
        </w:rPr>
        <w:t>’</w:t>
      </w:r>
      <w:r w:rsidRPr="00B17D2A">
        <w:rPr>
          <w:bCs/>
          <w:lang w:val="fr-FR"/>
        </w:rPr>
        <w:t>immigration et la reconnaissance du statut de réfugié stipule que dans le cas d</w:t>
      </w:r>
      <w:r w:rsidR="00277023">
        <w:rPr>
          <w:bCs/>
          <w:lang w:val="fr-FR"/>
        </w:rPr>
        <w:t>’</w:t>
      </w:r>
      <w:r w:rsidRPr="00B17D2A">
        <w:rPr>
          <w:bCs/>
          <w:lang w:val="fr-FR"/>
        </w:rPr>
        <w:t>une personne se trouvant dans l</w:t>
      </w:r>
      <w:r w:rsidR="00277023">
        <w:rPr>
          <w:bCs/>
          <w:lang w:val="fr-FR"/>
        </w:rPr>
        <w:t>’</w:t>
      </w:r>
      <w:r w:rsidRPr="00B17D2A">
        <w:rPr>
          <w:bCs/>
          <w:lang w:val="fr-FR"/>
        </w:rPr>
        <w:t>incapacité de remplir le formulaire de demande pour cause d</w:t>
      </w:r>
      <w:r w:rsidR="00277023">
        <w:rPr>
          <w:bCs/>
          <w:lang w:val="fr-FR"/>
        </w:rPr>
        <w:t>’</w:t>
      </w:r>
      <w:r w:rsidRPr="00B17D2A">
        <w:rPr>
          <w:bCs/>
          <w:lang w:val="fr-FR"/>
        </w:rPr>
        <w:t>analphabétisme, de handicap ou d</w:t>
      </w:r>
      <w:r w:rsidR="00277023">
        <w:rPr>
          <w:bCs/>
          <w:lang w:val="fr-FR"/>
        </w:rPr>
        <w:t>’</w:t>
      </w:r>
      <w:r w:rsidRPr="00B17D2A">
        <w:rPr>
          <w:bCs/>
          <w:lang w:val="fr-FR"/>
        </w:rPr>
        <w:t xml:space="preserve">autres raisons particulières, la présentation de la demande peut être remplacée par une déclaration orale des éléments devant figurer sur la demande. Cette disposition se fonde sur la prise en considération des enfants qui ne sont pas en mesure de remplir des formulaires de demande. En outre, si un enfant âgé de moins de 16 ans veut demander la reconnaissance de son statut de réfugié, le paragraphe 3 du même article stipule que </w:t>
      </w:r>
      <w:r w:rsidR="008E49D4">
        <w:rPr>
          <w:bCs/>
          <w:lang w:val="fr-FR"/>
        </w:rPr>
        <w:t>“</w:t>
      </w:r>
      <w:r w:rsidRPr="00B17D2A">
        <w:rPr>
          <w:bCs/>
          <w:lang w:val="fr-FR"/>
        </w:rPr>
        <w:t>lors de le demande citée au premier paragraphe (de l</w:t>
      </w:r>
      <w:r w:rsidR="00277023">
        <w:rPr>
          <w:bCs/>
          <w:lang w:val="fr-FR"/>
        </w:rPr>
        <w:t>’</w:t>
      </w:r>
      <w:r w:rsidRPr="00B17D2A">
        <w:rPr>
          <w:bCs/>
          <w:lang w:val="fr-FR"/>
        </w:rPr>
        <w:t>article 55), si le ressortissant étranger est âgé de moins de 16 ans ou ne peut se présenter en personne en raison d</w:t>
      </w:r>
      <w:r w:rsidR="00277023">
        <w:rPr>
          <w:bCs/>
          <w:lang w:val="fr-FR"/>
        </w:rPr>
        <w:t>’</w:t>
      </w:r>
      <w:r w:rsidRPr="00B17D2A">
        <w:rPr>
          <w:bCs/>
          <w:lang w:val="fr-FR"/>
        </w:rPr>
        <w:t>une maladie ou d</w:t>
      </w:r>
      <w:r w:rsidR="00277023">
        <w:rPr>
          <w:bCs/>
          <w:lang w:val="fr-FR"/>
        </w:rPr>
        <w:t>’</w:t>
      </w:r>
      <w:r w:rsidRPr="00B17D2A">
        <w:rPr>
          <w:bCs/>
          <w:lang w:val="fr-FR"/>
        </w:rPr>
        <w:t>un autre motif, la demande peut être présentée par le père, la mère, l</w:t>
      </w:r>
      <w:r w:rsidR="00277023">
        <w:rPr>
          <w:bCs/>
          <w:lang w:val="fr-FR"/>
        </w:rPr>
        <w:t>’</w:t>
      </w:r>
      <w:r w:rsidRPr="00B17D2A">
        <w:rPr>
          <w:bCs/>
          <w:lang w:val="fr-FR"/>
        </w:rPr>
        <w:t>épouse, l</w:t>
      </w:r>
      <w:r w:rsidR="00277023">
        <w:rPr>
          <w:bCs/>
          <w:lang w:val="fr-FR"/>
        </w:rPr>
        <w:t>’</w:t>
      </w:r>
      <w:r w:rsidRPr="00B17D2A">
        <w:rPr>
          <w:bCs/>
          <w:lang w:val="fr-FR"/>
        </w:rPr>
        <w:t>enfant ou tout autre membre de la famille de cette personne</w:t>
      </w:r>
      <w:r w:rsidR="008E49D4">
        <w:rPr>
          <w:bCs/>
          <w:lang w:val="fr-FR"/>
        </w:rPr>
        <w:t>”</w:t>
      </w:r>
      <w:r w:rsidRPr="00B17D2A">
        <w:rPr>
          <w:bCs/>
          <w:lang w:val="fr-FR"/>
        </w:rPr>
        <w:t>. Cette disposition se fonde également sur la prise en compte de l</w:t>
      </w:r>
      <w:r w:rsidR="00277023">
        <w:rPr>
          <w:bCs/>
          <w:lang w:val="fr-FR"/>
        </w:rPr>
        <w:t>’</w:t>
      </w:r>
      <w:r w:rsidRPr="00B17D2A">
        <w:rPr>
          <w:bCs/>
          <w:lang w:val="fr-FR"/>
        </w:rPr>
        <w:t>intérêt supérieur de l</w:t>
      </w:r>
      <w:r w:rsidR="00277023">
        <w:rPr>
          <w:bCs/>
          <w:lang w:val="fr-FR"/>
        </w:rPr>
        <w:t>’</w:t>
      </w:r>
      <w:r w:rsidRPr="00B17D2A">
        <w:rPr>
          <w:bCs/>
          <w:lang w:val="fr-FR"/>
        </w:rPr>
        <w:t>enfant.</w:t>
      </w:r>
    </w:p>
    <w:p w:rsidR="00B17D2A" w:rsidRPr="00B17D2A" w:rsidRDefault="00B17D2A" w:rsidP="00B17D2A">
      <w:pPr>
        <w:pStyle w:val="SingleTxtG"/>
        <w:rPr>
          <w:bCs/>
          <w:lang w:val="fr-FR"/>
        </w:rPr>
      </w:pPr>
      <w:r w:rsidRPr="00B17D2A">
        <w:rPr>
          <w:bCs/>
          <w:lang w:val="fr-FR"/>
        </w:rPr>
        <w:t>(Internement dans un centre de rétention)</w:t>
      </w:r>
    </w:p>
    <w:p w:rsidR="00B17D2A" w:rsidRPr="00B17D2A" w:rsidRDefault="000C7D86" w:rsidP="00B17D2A">
      <w:pPr>
        <w:pStyle w:val="SingleTxtG"/>
        <w:rPr>
          <w:lang w:val="fr-FR"/>
        </w:rPr>
      </w:pPr>
      <w:r>
        <w:rPr>
          <w:bCs/>
          <w:lang w:val="fr-FR"/>
        </w:rPr>
        <w:t>177.</w:t>
      </w:r>
      <w:r>
        <w:rPr>
          <w:bCs/>
          <w:lang w:val="fr-FR"/>
        </w:rPr>
        <w:tab/>
      </w:r>
      <w:r w:rsidR="00B17D2A" w:rsidRPr="00B17D2A">
        <w:rPr>
          <w:bCs/>
          <w:lang w:val="fr-FR"/>
        </w:rPr>
        <w:t>Lors de l</w:t>
      </w:r>
      <w:r w:rsidR="00277023">
        <w:rPr>
          <w:bCs/>
          <w:lang w:val="fr-FR"/>
        </w:rPr>
        <w:t>’</w:t>
      </w:r>
      <w:r w:rsidR="00B17D2A" w:rsidRPr="00B17D2A">
        <w:rPr>
          <w:bCs/>
          <w:lang w:val="fr-FR"/>
        </w:rPr>
        <w:t>exécution d</w:t>
      </w:r>
      <w:r w:rsidR="00277023">
        <w:rPr>
          <w:bCs/>
          <w:lang w:val="fr-FR"/>
        </w:rPr>
        <w:t>’</w:t>
      </w:r>
      <w:r w:rsidR="00B17D2A" w:rsidRPr="00B17D2A">
        <w:rPr>
          <w:bCs/>
          <w:lang w:val="fr-FR"/>
        </w:rPr>
        <w:t>un arrêté de placement en rétention ou d</w:t>
      </w:r>
      <w:r w:rsidR="00277023">
        <w:rPr>
          <w:bCs/>
          <w:lang w:val="fr-FR"/>
        </w:rPr>
        <w:t>’</w:t>
      </w:r>
      <w:r w:rsidR="00B17D2A" w:rsidRPr="00B17D2A">
        <w:rPr>
          <w:bCs/>
          <w:lang w:val="fr-FR"/>
        </w:rPr>
        <w:t>expulsion pris à l</w:t>
      </w:r>
      <w:r w:rsidR="00277023">
        <w:rPr>
          <w:bCs/>
          <w:lang w:val="fr-FR"/>
        </w:rPr>
        <w:t>’</w:t>
      </w:r>
      <w:r w:rsidR="00B17D2A" w:rsidRPr="00B17D2A">
        <w:rPr>
          <w:bCs/>
          <w:lang w:val="fr-FR"/>
        </w:rPr>
        <w:t>encontre d</w:t>
      </w:r>
      <w:r w:rsidR="00277023">
        <w:rPr>
          <w:bCs/>
          <w:lang w:val="fr-FR"/>
        </w:rPr>
        <w:t>’</w:t>
      </w:r>
      <w:r w:rsidR="00B17D2A" w:rsidRPr="00B17D2A">
        <w:rPr>
          <w:bCs/>
          <w:lang w:val="fr-FR"/>
        </w:rPr>
        <w:t>un enfant, on s</w:t>
      </w:r>
      <w:r w:rsidR="00277023">
        <w:rPr>
          <w:bCs/>
          <w:lang w:val="fr-FR"/>
        </w:rPr>
        <w:t>’</w:t>
      </w:r>
      <w:r w:rsidR="00B17D2A" w:rsidRPr="00B17D2A">
        <w:rPr>
          <w:bCs/>
          <w:lang w:val="fr-FR"/>
        </w:rPr>
        <w:t>emploiera, selon l</w:t>
      </w:r>
      <w:r w:rsidR="00277023">
        <w:rPr>
          <w:bCs/>
          <w:lang w:val="fr-FR"/>
        </w:rPr>
        <w:t>’</w:t>
      </w:r>
      <w:r w:rsidR="00B17D2A" w:rsidRPr="00B17D2A">
        <w:rPr>
          <w:bCs/>
          <w:lang w:val="fr-FR"/>
        </w:rPr>
        <w:t>âge et l</w:t>
      </w:r>
      <w:r w:rsidR="00277023">
        <w:rPr>
          <w:bCs/>
          <w:lang w:val="fr-FR"/>
        </w:rPr>
        <w:t>’</w:t>
      </w:r>
      <w:r w:rsidR="00B17D2A" w:rsidRPr="00B17D2A">
        <w:rPr>
          <w:bCs/>
          <w:lang w:val="fr-FR"/>
        </w:rPr>
        <w:t>état de santé de l</w:t>
      </w:r>
      <w:r w:rsidR="00277023">
        <w:rPr>
          <w:bCs/>
          <w:lang w:val="fr-FR"/>
        </w:rPr>
        <w:t>’</w:t>
      </w:r>
      <w:r w:rsidR="00B17D2A" w:rsidRPr="00B17D2A">
        <w:rPr>
          <w:bCs/>
          <w:lang w:val="fr-FR"/>
        </w:rPr>
        <w:t>enfant, à éviter de placer l</w:t>
      </w:r>
      <w:r w:rsidR="00277023">
        <w:rPr>
          <w:bCs/>
          <w:lang w:val="fr-FR"/>
        </w:rPr>
        <w:t>’</w:t>
      </w:r>
      <w:r w:rsidR="00B17D2A" w:rsidRPr="00B17D2A">
        <w:rPr>
          <w:bCs/>
          <w:lang w:val="fr-FR"/>
        </w:rPr>
        <w:t>enfant en centre de rétention en lui accordant une mise en liberté provisoire ou, si l</w:t>
      </w:r>
      <w:r w:rsidR="00277023">
        <w:rPr>
          <w:bCs/>
          <w:lang w:val="fr-FR"/>
        </w:rPr>
        <w:t>’</w:t>
      </w:r>
      <w:r w:rsidR="00B17D2A" w:rsidRPr="00B17D2A">
        <w:rPr>
          <w:bCs/>
          <w:lang w:val="fr-FR"/>
        </w:rPr>
        <w:t>enfant est placé dans un centre de rétention, à assurer que l</w:t>
      </w:r>
      <w:r w:rsidR="00277023">
        <w:rPr>
          <w:bCs/>
          <w:lang w:val="fr-FR"/>
        </w:rPr>
        <w:t>’</w:t>
      </w:r>
      <w:r w:rsidR="00B17D2A" w:rsidRPr="00B17D2A">
        <w:rPr>
          <w:bCs/>
          <w:lang w:val="fr-FR"/>
        </w:rPr>
        <w:t>enfant y séjourne sur une durée aussi courte que possible.</w:t>
      </w:r>
      <w:r w:rsidR="00B17D2A" w:rsidRPr="00B17D2A">
        <w:rPr>
          <w:lang w:val="fr-FR"/>
        </w:rPr>
        <w:t xml:space="preserve"> </w:t>
      </w:r>
    </w:p>
    <w:p w:rsidR="00B17D2A" w:rsidRPr="00B17D2A" w:rsidRDefault="00B17D2A" w:rsidP="00B17D2A">
      <w:pPr>
        <w:pStyle w:val="SingleTxtG"/>
        <w:rPr>
          <w:lang w:val="fr-FR"/>
        </w:rPr>
      </w:pPr>
      <w:r w:rsidRPr="00B17D2A">
        <w:rPr>
          <w:lang w:val="fr-FR"/>
        </w:rPr>
        <w:t>(Coopération internationale)</w:t>
      </w:r>
    </w:p>
    <w:p w:rsidR="00B17D2A" w:rsidRPr="00B17D2A" w:rsidRDefault="000C7D86" w:rsidP="00B17D2A">
      <w:pPr>
        <w:pStyle w:val="SingleTxtG"/>
        <w:rPr>
          <w:lang w:val="fr-FR"/>
        </w:rPr>
      </w:pPr>
      <w:r>
        <w:rPr>
          <w:lang w:val="fr-FR"/>
        </w:rPr>
        <w:t>178.</w:t>
      </w:r>
      <w:r>
        <w:rPr>
          <w:lang w:val="fr-FR"/>
        </w:rPr>
        <w:tab/>
      </w:r>
      <w:r w:rsidR="00B17D2A" w:rsidRPr="00B17D2A">
        <w:rPr>
          <w:lang w:val="fr-FR"/>
        </w:rPr>
        <w:t>Après le Sommet mondial pour les enfants tenu en 1990, le Japon a élaboré un Plan d</w:t>
      </w:r>
      <w:r w:rsidR="00277023">
        <w:rPr>
          <w:lang w:val="fr-FR"/>
        </w:rPr>
        <w:t>’</w:t>
      </w:r>
      <w:r w:rsidR="00B17D2A" w:rsidRPr="00B17D2A">
        <w:rPr>
          <w:lang w:val="fr-FR"/>
        </w:rPr>
        <w:t>action national en 1991, et en décembre 2000 il a établi un rapport national sur le suivi du Sommet mondial pour les enfants. Le Japon est conscient que l</w:t>
      </w:r>
      <w:r w:rsidR="00277023">
        <w:rPr>
          <w:lang w:val="fr-FR"/>
        </w:rPr>
        <w:t>’</w:t>
      </w:r>
      <w:r w:rsidR="00B17D2A" w:rsidRPr="00B17D2A">
        <w:rPr>
          <w:lang w:val="fr-FR"/>
        </w:rPr>
        <w:t>aide aux enfants du monde entier qui sont dans le besoin du fait de la pauvreté ou de catastrophes et la promotion du bien-être des enfants sont des questions majeures, c</w:t>
      </w:r>
      <w:r w:rsidR="00277023">
        <w:rPr>
          <w:lang w:val="fr-FR"/>
        </w:rPr>
        <w:t>’</w:t>
      </w:r>
      <w:r w:rsidR="00B17D2A" w:rsidRPr="00B17D2A">
        <w:rPr>
          <w:lang w:val="fr-FR"/>
        </w:rPr>
        <w:t>est pourquoi il a activement soutenu les activités du fonds des Nations Unies pour l</w:t>
      </w:r>
      <w:r w:rsidR="00277023">
        <w:rPr>
          <w:lang w:val="fr-FR"/>
        </w:rPr>
        <w:t>’</w:t>
      </w:r>
      <w:r w:rsidR="00B17D2A" w:rsidRPr="00B17D2A">
        <w:rPr>
          <w:lang w:val="fr-FR"/>
        </w:rPr>
        <w:t>enfance (UNICEF). S</w:t>
      </w:r>
      <w:r w:rsidR="00277023">
        <w:rPr>
          <w:lang w:val="fr-FR"/>
        </w:rPr>
        <w:t>’</w:t>
      </w:r>
      <w:r w:rsidR="00B17D2A" w:rsidRPr="00B17D2A">
        <w:rPr>
          <w:lang w:val="fr-FR"/>
        </w:rPr>
        <w:t>agissant notamment du séisme et du tsunami qui ont frappé l</w:t>
      </w:r>
      <w:r w:rsidR="00277023">
        <w:rPr>
          <w:lang w:val="fr-FR"/>
        </w:rPr>
        <w:t>’</w:t>
      </w:r>
      <w:r w:rsidR="00B17D2A" w:rsidRPr="00B17D2A">
        <w:rPr>
          <w:lang w:val="fr-FR"/>
        </w:rPr>
        <w:t>océan indien en décembre 2004, le Japon a versé 70 millions de dollars à l</w:t>
      </w:r>
      <w:r w:rsidR="00277023">
        <w:rPr>
          <w:lang w:val="fr-FR"/>
        </w:rPr>
        <w:t>’</w:t>
      </w:r>
      <w:r w:rsidR="00B17D2A" w:rsidRPr="00B17D2A">
        <w:rPr>
          <w:lang w:val="fr-FR"/>
        </w:rPr>
        <w:t>UNICEF, reconnaissant le caractère urgent de l</w:t>
      </w:r>
      <w:r w:rsidR="00277023">
        <w:rPr>
          <w:lang w:val="fr-FR"/>
        </w:rPr>
        <w:t>’</w:t>
      </w:r>
      <w:r w:rsidR="00B17D2A" w:rsidRPr="00B17D2A">
        <w:rPr>
          <w:lang w:val="fr-FR"/>
        </w:rPr>
        <w:t>aide et de la protection à apporter aux enfants victimes de la catastrophe. Regroupant les fonds versés à d</w:t>
      </w:r>
      <w:r w:rsidR="00277023">
        <w:rPr>
          <w:lang w:val="fr-FR"/>
        </w:rPr>
        <w:t>’</w:t>
      </w:r>
      <w:r w:rsidR="00B17D2A" w:rsidRPr="00B17D2A">
        <w:rPr>
          <w:lang w:val="fr-FR"/>
        </w:rPr>
        <w:t>autres organisations internationales, le Japon a mis en œuvre le Plan d</w:t>
      </w:r>
      <w:r w:rsidR="00277023">
        <w:rPr>
          <w:lang w:val="fr-FR"/>
        </w:rPr>
        <w:t>’</w:t>
      </w:r>
      <w:r w:rsidR="00B17D2A" w:rsidRPr="00B17D2A">
        <w:rPr>
          <w:lang w:val="fr-FR"/>
        </w:rPr>
        <w:t>aide aux enfants victimes du tsunami (montant total d</w:t>
      </w:r>
      <w:r w:rsidR="00277023">
        <w:rPr>
          <w:lang w:val="fr-FR"/>
        </w:rPr>
        <w:t>’</w:t>
      </w:r>
      <w:r w:rsidR="00B17D2A" w:rsidRPr="00B17D2A">
        <w:rPr>
          <w:lang w:val="fr-FR"/>
        </w:rPr>
        <w:t>environ 86 millions de dollars), privilégiant la protection et la survie des enfants.</w:t>
      </w:r>
    </w:p>
    <w:p w:rsidR="00B17D2A" w:rsidRPr="00B17D2A" w:rsidRDefault="000C7D86" w:rsidP="000C7D86">
      <w:pPr>
        <w:pStyle w:val="H23G"/>
        <w:rPr>
          <w:lang w:val="fr-FR"/>
        </w:rPr>
      </w:pPr>
      <w:r>
        <w:rPr>
          <w:lang w:val="fr-FR"/>
        </w:rPr>
        <w:tab/>
        <w:t>c)</w:t>
      </w:r>
      <w:r>
        <w:rPr>
          <w:lang w:val="fr-FR"/>
        </w:rPr>
        <w:tab/>
      </w:r>
      <w:r w:rsidR="00B17D2A" w:rsidRPr="00B17D2A">
        <w:rPr>
          <w:lang w:val="fr-FR"/>
        </w:rPr>
        <w:t>Prise en charge de la protection et des soins des enfants</w:t>
      </w:r>
    </w:p>
    <w:p w:rsidR="00B17D2A" w:rsidRPr="00B17D2A" w:rsidRDefault="00B17D2A" w:rsidP="00B17D2A">
      <w:pPr>
        <w:pStyle w:val="SingleTxtG"/>
        <w:rPr>
          <w:lang w:val="fr-FR"/>
        </w:rPr>
      </w:pPr>
      <w:r w:rsidRPr="00B17D2A">
        <w:rPr>
          <w:lang w:val="fr-FR"/>
        </w:rPr>
        <w:t>179.</w:t>
      </w:r>
      <w:r w:rsidRPr="00B17D2A">
        <w:rPr>
          <w:lang w:val="fr-FR"/>
        </w:rPr>
        <w:tab/>
        <w:t xml:space="preserve">Voir paragraphes 137-139 du deuxième rapport du Japon. </w:t>
      </w:r>
    </w:p>
    <w:p w:rsidR="00B17D2A" w:rsidRPr="00B17D2A" w:rsidRDefault="000C7D86" w:rsidP="000C7D86">
      <w:pPr>
        <w:pStyle w:val="H23G"/>
        <w:rPr>
          <w:lang w:val="fr-FR"/>
        </w:rPr>
      </w:pPr>
      <w:r>
        <w:rPr>
          <w:lang w:val="fr-FR"/>
        </w:rPr>
        <w:tab/>
        <w:t>d)</w:t>
      </w:r>
      <w:r>
        <w:rPr>
          <w:lang w:val="fr-FR"/>
        </w:rPr>
        <w:tab/>
      </w:r>
      <w:r w:rsidR="00B17D2A" w:rsidRPr="00B17D2A">
        <w:rPr>
          <w:lang w:val="fr-FR"/>
        </w:rPr>
        <w:t>Mesures prises en vertu du paragraphe 3 de l</w:t>
      </w:r>
      <w:r w:rsidR="00277023">
        <w:rPr>
          <w:lang w:val="fr-FR"/>
        </w:rPr>
        <w:t>’</w:t>
      </w:r>
      <w:r w:rsidR="00B17D2A" w:rsidRPr="00B17D2A">
        <w:rPr>
          <w:lang w:val="fr-FR"/>
        </w:rPr>
        <w:t>article 3 (établissement de normes dans le domaine de la sécurité et de la santé et respect desdites normes)</w:t>
      </w:r>
    </w:p>
    <w:p w:rsidR="00B17D2A" w:rsidRPr="00B17D2A" w:rsidRDefault="00B17D2A" w:rsidP="00B17D2A">
      <w:pPr>
        <w:pStyle w:val="SingleTxtG"/>
        <w:rPr>
          <w:lang w:val="fr-FR"/>
        </w:rPr>
      </w:pPr>
      <w:r w:rsidRPr="00B17D2A">
        <w:rPr>
          <w:lang w:val="fr-FR"/>
        </w:rPr>
        <w:t>180.</w:t>
      </w:r>
      <w:r w:rsidRPr="00B17D2A">
        <w:rPr>
          <w:lang w:val="fr-FR"/>
        </w:rPr>
        <w:tab/>
        <w:t xml:space="preserve">Voir paragraphe 140 du deuxième rapport du Japon (paragraphes 56 et 104 du rapport initial du Japon). </w:t>
      </w:r>
    </w:p>
    <w:p w:rsidR="00B17D2A" w:rsidRPr="00B17D2A" w:rsidRDefault="000C7D86" w:rsidP="000C7D86">
      <w:pPr>
        <w:pStyle w:val="H23G"/>
        <w:rPr>
          <w:lang w:val="fr-FR"/>
        </w:rPr>
      </w:pPr>
      <w:r>
        <w:rPr>
          <w:lang w:val="fr-FR"/>
        </w:rPr>
        <w:tab/>
        <w:t>e)</w:t>
      </w:r>
      <w:r>
        <w:rPr>
          <w:lang w:val="fr-FR"/>
        </w:rPr>
        <w:tab/>
      </w:r>
      <w:r w:rsidR="00B17D2A" w:rsidRPr="00B17D2A">
        <w:rPr>
          <w:lang w:val="fr-FR"/>
        </w:rPr>
        <w:t>Prise en compte du principe de l</w:t>
      </w:r>
      <w:r w:rsidR="00277023">
        <w:rPr>
          <w:lang w:val="fr-FR"/>
        </w:rPr>
        <w:t>’</w:t>
      </w:r>
      <w:r w:rsidR="00B17D2A" w:rsidRPr="00B17D2A">
        <w:rPr>
          <w:lang w:val="fr-FR"/>
        </w:rPr>
        <w:t>intérêt supérieur de l</w:t>
      </w:r>
      <w:r w:rsidR="00277023">
        <w:rPr>
          <w:lang w:val="fr-FR"/>
        </w:rPr>
        <w:t>’</w:t>
      </w:r>
      <w:r w:rsidR="00B17D2A" w:rsidRPr="00B17D2A">
        <w:rPr>
          <w:lang w:val="fr-FR"/>
        </w:rPr>
        <w:t>enfant dans les programmes de formation des spécialistes des droits de l</w:t>
      </w:r>
      <w:r w:rsidR="00277023">
        <w:rPr>
          <w:lang w:val="fr-FR"/>
        </w:rPr>
        <w:t>’</w:t>
      </w:r>
      <w:r>
        <w:rPr>
          <w:lang w:val="fr-FR"/>
        </w:rPr>
        <w:t>enfant</w:t>
      </w:r>
    </w:p>
    <w:p w:rsidR="00B17D2A" w:rsidRPr="00B17D2A" w:rsidRDefault="00B17D2A" w:rsidP="00B17D2A">
      <w:pPr>
        <w:pStyle w:val="SingleTxtG"/>
        <w:rPr>
          <w:lang w:val="fr-FR"/>
        </w:rPr>
      </w:pPr>
      <w:r w:rsidRPr="00B17D2A">
        <w:rPr>
          <w:lang w:val="fr-FR"/>
        </w:rPr>
        <w:t>181.</w:t>
      </w:r>
      <w:r w:rsidRPr="00B17D2A">
        <w:rPr>
          <w:lang w:val="fr-FR"/>
        </w:rPr>
        <w:tab/>
        <w:t>Voir paragraphes 89-103.</w:t>
      </w:r>
    </w:p>
    <w:p w:rsidR="00B17D2A" w:rsidRPr="00B17D2A" w:rsidRDefault="000C7D86" w:rsidP="000C7D86">
      <w:pPr>
        <w:pStyle w:val="H1G"/>
        <w:rPr>
          <w:lang w:val="fr-FR"/>
        </w:rPr>
      </w:pPr>
      <w:r>
        <w:rPr>
          <w:lang w:val="fr-FR"/>
        </w:rPr>
        <w:tab/>
        <w:t>C.</w:t>
      </w:r>
      <w:r>
        <w:rPr>
          <w:lang w:val="fr-FR"/>
        </w:rPr>
        <w:tab/>
      </w:r>
      <w:r w:rsidR="00B17D2A" w:rsidRPr="00B17D2A">
        <w:rPr>
          <w:lang w:val="fr-FR"/>
        </w:rPr>
        <w:t>Article 6 (droit à la vie, à la survie et au développement)</w:t>
      </w:r>
    </w:p>
    <w:p w:rsidR="00B17D2A" w:rsidRPr="00B17D2A" w:rsidRDefault="00B17D2A" w:rsidP="00B17D2A">
      <w:pPr>
        <w:pStyle w:val="SingleTxtG"/>
        <w:rPr>
          <w:lang w:val="fr-FR"/>
        </w:rPr>
      </w:pPr>
      <w:r w:rsidRPr="00B17D2A">
        <w:rPr>
          <w:lang w:val="fr-FR"/>
        </w:rPr>
        <w:t>(Création d</w:t>
      </w:r>
      <w:r w:rsidR="00277023">
        <w:rPr>
          <w:lang w:val="fr-FR"/>
        </w:rPr>
        <w:t>’</w:t>
      </w:r>
      <w:r w:rsidRPr="00B17D2A">
        <w:rPr>
          <w:lang w:val="fr-FR"/>
        </w:rPr>
        <w:t>un environnement qui garantit le droit de l</w:t>
      </w:r>
      <w:r w:rsidR="00277023">
        <w:rPr>
          <w:lang w:val="fr-FR"/>
        </w:rPr>
        <w:t>’</w:t>
      </w:r>
      <w:r w:rsidRPr="00B17D2A">
        <w:rPr>
          <w:lang w:val="fr-FR"/>
        </w:rPr>
        <w:t>enfant à la vie, à la survie et au développement)</w:t>
      </w:r>
    </w:p>
    <w:p w:rsidR="00B17D2A" w:rsidRPr="00B17D2A" w:rsidRDefault="00B17D2A" w:rsidP="00B17D2A">
      <w:pPr>
        <w:pStyle w:val="SingleTxtG"/>
        <w:rPr>
          <w:lang w:val="fr-FR"/>
        </w:rPr>
      </w:pPr>
      <w:r w:rsidRPr="00B17D2A">
        <w:rPr>
          <w:lang w:val="fr-FR"/>
        </w:rPr>
        <w:t>182.</w:t>
      </w:r>
      <w:r w:rsidRPr="00B17D2A">
        <w:rPr>
          <w:lang w:val="fr-FR"/>
        </w:rPr>
        <w:tab/>
        <w:t xml:space="preserve">Voir paragraphe 142 du deuxième rapport du Japon. </w:t>
      </w:r>
    </w:p>
    <w:p w:rsidR="00B17D2A" w:rsidRPr="00B17D2A" w:rsidRDefault="00B17D2A" w:rsidP="00B17D2A">
      <w:pPr>
        <w:pStyle w:val="SingleTxtG"/>
        <w:rPr>
          <w:lang w:val="fr-FR"/>
        </w:rPr>
      </w:pPr>
      <w:r w:rsidRPr="00B17D2A">
        <w:rPr>
          <w:lang w:val="fr-FR"/>
        </w:rPr>
        <w:t>(Prévention du suicide des jeunes et suivi du phénomène)</w:t>
      </w:r>
    </w:p>
    <w:p w:rsidR="00B17D2A" w:rsidRPr="00B17D2A" w:rsidRDefault="00B17D2A" w:rsidP="00B17D2A">
      <w:pPr>
        <w:pStyle w:val="SingleTxtG"/>
        <w:rPr>
          <w:lang w:val="fr-FR"/>
        </w:rPr>
      </w:pPr>
      <w:r w:rsidRPr="00B17D2A">
        <w:rPr>
          <w:lang w:val="fr-FR"/>
        </w:rPr>
        <w:t>183.</w:t>
      </w:r>
      <w:r w:rsidRPr="00B17D2A">
        <w:rPr>
          <w:lang w:val="fr-FR"/>
        </w:rPr>
        <w:tab/>
        <w:t xml:space="preserve">En juillet 2005, le Comité chargé de la santé, de la protection sociale et du travail de </w:t>
      </w:r>
      <w:smartTag w:uri="urn:schemas-microsoft-com:office:smarttags" w:element="PersonName">
        <w:smartTagPr>
          <w:attr w:name="ProductID" w:val="la Chambre"/>
        </w:smartTagPr>
        <w:r w:rsidRPr="00B17D2A">
          <w:rPr>
            <w:lang w:val="fr-FR"/>
          </w:rPr>
          <w:t>la Chambre</w:t>
        </w:r>
      </w:smartTag>
      <w:r w:rsidRPr="00B17D2A">
        <w:rPr>
          <w:lang w:val="fr-FR"/>
        </w:rPr>
        <w:t xml:space="preserve"> haute a adopté une résolution relative à la mise en oeuvre urgente et efficace de mesures globales de lutte contre le suicide. Il a été décidé d</w:t>
      </w:r>
      <w:r w:rsidR="00277023">
        <w:rPr>
          <w:lang w:val="fr-FR"/>
        </w:rPr>
        <w:t>’</w:t>
      </w:r>
      <w:r w:rsidRPr="00B17D2A">
        <w:rPr>
          <w:lang w:val="fr-FR"/>
        </w:rPr>
        <w:t>instaurer un système qui permette aux ministères et organismes compétents d</w:t>
      </w:r>
      <w:r w:rsidR="00277023">
        <w:rPr>
          <w:lang w:val="fr-FR"/>
        </w:rPr>
        <w:t>’</w:t>
      </w:r>
      <w:r w:rsidRPr="00B17D2A">
        <w:rPr>
          <w:lang w:val="fr-FR"/>
        </w:rPr>
        <w:t xml:space="preserve">associer leurs efforts en vue de résoudre la question du problème du suicide, afin que les pouvoirs publics prennent des mesures globales à cet égard. Après quoi, un groupe de liaison interministériel et interinstitutions de lutte contre le suicide a été établi au secrétariat du Cabinet en septembre 2005, qui a formulé en décembre de la même année des mesures que le Gouvernement devrait adopter. </w:t>
      </w:r>
    </w:p>
    <w:p w:rsidR="00B17D2A" w:rsidRPr="00B17D2A" w:rsidRDefault="00B17D2A" w:rsidP="00B17D2A">
      <w:pPr>
        <w:pStyle w:val="SingleTxtG"/>
        <w:rPr>
          <w:lang w:val="fr-FR"/>
        </w:rPr>
      </w:pPr>
      <w:r w:rsidRPr="00B17D2A">
        <w:rPr>
          <w:lang w:val="fr-FR"/>
        </w:rPr>
        <w:t>184.</w:t>
      </w:r>
      <w:r w:rsidRPr="00B17D2A">
        <w:rPr>
          <w:lang w:val="fr-FR"/>
        </w:rPr>
        <w:tab/>
        <w:t xml:space="preserve">Voir paragraphes 143-145 du deuxième rapport du Japon. </w:t>
      </w:r>
    </w:p>
    <w:p w:rsidR="00B17D2A" w:rsidRPr="00B17D2A" w:rsidRDefault="00B17D2A" w:rsidP="00B17D2A">
      <w:pPr>
        <w:pStyle w:val="SingleTxtG"/>
        <w:rPr>
          <w:lang w:val="fr-FR"/>
        </w:rPr>
      </w:pPr>
      <w:r w:rsidRPr="00B17D2A">
        <w:rPr>
          <w:lang w:val="fr-FR"/>
        </w:rPr>
        <w:t>185.</w:t>
      </w:r>
      <w:r w:rsidRPr="00B17D2A">
        <w:rPr>
          <w:lang w:val="fr-FR"/>
        </w:rPr>
        <w:tab/>
        <w:t>Quelle qu</w:t>
      </w:r>
      <w:r w:rsidR="00277023">
        <w:rPr>
          <w:lang w:val="fr-FR"/>
        </w:rPr>
        <w:t>’</w:t>
      </w:r>
      <w:r w:rsidRPr="00B17D2A">
        <w:rPr>
          <w:lang w:val="fr-FR"/>
        </w:rPr>
        <w:t>en soit la raison, le suicide d</w:t>
      </w:r>
      <w:r w:rsidR="00277023">
        <w:rPr>
          <w:lang w:val="fr-FR"/>
        </w:rPr>
        <w:t>’</w:t>
      </w:r>
      <w:r w:rsidRPr="00B17D2A">
        <w:rPr>
          <w:lang w:val="fr-FR"/>
        </w:rPr>
        <w:t>un enfant est inadmissible. C</w:t>
      </w:r>
      <w:r w:rsidR="00277023">
        <w:rPr>
          <w:lang w:val="fr-FR"/>
        </w:rPr>
        <w:t>’</w:t>
      </w:r>
      <w:r w:rsidRPr="00B17D2A">
        <w:rPr>
          <w:lang w:val="fr-FR"/>
        </w:rPr>
        <w:t>est pourquoi il est important de reconnaître la valeur de la vie et d</w:t>
      </w:r>
      <w:r w:rsidR="00277023">
        <w:rPr>
          <w:lang w:val="fr-FR"/>
        </w:rPr>
        <w:t>’</w:t>
      </w:r>
      <w:r w:rsidRPr="00B17D2A">
        <w:rPr>
          <w:lang w:val="fr-FR"/>
        </w:rPr>
        <w:t>acquérir la force nécessaire de surmonter les crises et les difficultés. La valeur de la vie est enseignée dans les écoles dans toutes les activités éducatives, y compris les cours de morale, et des actions ont été menées en vue de parfaire l</w:t>
      </w:r>
      <w:r w:rsidR="00277023">
        <w:rPr>
          <w:lang w:val="fr-FR"/>
        </w:rPr>
        <w:t>’</w:t>
      </w:r>
      <w:r w:rsidRPr="00B17D2A">
        <w:rPr>
          <w:lang w:val="fr-FR"/>
        </w:rPr>
        <w:t>éducation dispensée grâce notamment à des activités expérimentales, afin que les enfants puissent apprendre à profondément aimer la vie. En outre, s</w:t>
      </w:r>
      <w:r w:rsidR="00277023">
        <w:rPr>
          <w:lang w:val="fr-FR"/>
        </w:rPr>
        <w:t>’</w:t>
      </w:r>
      <w:r w:rsidRPr="00B17D2A">
        <w:rPr>
          <w:lang w:val="fr-FR"/>
        </w:rPr>
        <w:t>agissant d</w:t>
      </w:r>
      <w:r w:rsidR="00277023">
        <w:rPr>
          <w:lang w:val="fr-FR"/>
        </w:rPr>
        <w:t>’</w:t>
      </w:r>
      <w:r w:rsidRPr="00B17D2A">
        <w:rPr>
          <w:lang w:val="fr-FR"/>
        </w:rPr>
        <w:t>améliorer les dispositifs permettant à un enfant inquiet de demander conseil à n</w:t>
      </w:r>
      <w:r w:rsidR="00277023">
        <w:rPr>
          <w:lang w:val="fr-FR"/>
        </w:rPr>
        <w:t>’</w:t>
      </w:r>
      <w:r w:rsidRPr="00B17D2A">
        <w:rPr>
          <w:lang w:val="fr-FR"/>
        </w:rPr>
        <w:t>importe quel moment et sans hésitation, le Ministère de l</w:t>
      </w:r>
      <w:r w:rsidR="00277023">
        <w:rPr>
          <w:lang w:val="fr-FR"/>
        </w:rPr>
        <w:t>’</w:t>
      </w:r>
      <w:r w:rsidRPr="00B17D2A">
        <w:rPr>
          <w:lang w:val="fr-FR"/>
        </w:rPr>
        <w:t>éducation, de la culture, des sports, des sciences et de la technologie entend améliorer les systèmes de soutien psychologique dans les écoles en mettant en place des psychologues scolaires et des conseillers experts pour les parents et les enfants. Les préfectures s</w:t>
      </w:r>
      <w:r w:rsidR="00277023">
        <w:rPr>
          <w:lang w:val="fr-FR"/>
        </w:rPr>
        <w:t>’</w:t>
      </w:r>
      <w:r w:rsidRPr="00B17D2A">
        <w:rPr>
          <w:lang w:val="fr-FR"/>
        </w:rPr>
        <w:t>emploient également à améliorer les systèmes de conseil dans les communautés, notamment en établissant des services de consultation pour enfants dans les centres éducatifs.</w:t>
      </w:r>
    </w:p>
    <w:p w:rsidR="00B17D2A" w:rsidRPr="00B17D2A" w:rsidRDefault="00B17D2A" w:rsidP="00B17D2A">
      <w:pPr>
        <w:pStyle w:val="SingleTxtG"/>
        <w:rPr>
          <w:lang w:val="fr-FR"/>
        </w:rPr>
      </w:pPr>
      <w:r w:rsidRPr="00B17D2A">
        <w:rPr>
          <w:lang w:val="fr-FR"/>
        </w:rPr>
        <w:t xml:space="preserve">(Mesures visant à protéger les enfants des crimes pouvant être commis à leur encontre) </w:t>
      </w:r>
    </w:p>
    <w:p w:rsidR="00B17D2A" w:rsidRPr="00B17D2A" w:rsidRDefault="00B17D2A" w:rsidP="00B17D2A">
      <w:pPr>
        <w:pStyle w:val="SingleTxtG"/>
        <w:rPr>
          <w:u w:val="single"/>
          <w:lang w:val="fr-FR"/>
        </w:rPr>
      </w:pPr>
      <w:r w:rsidRPr="00B17D2A">
        <w:rPr>
          <w:lang w:val="fr-FR"/>
        </w:rPr>
        <w:t>186.</w:t>
      </w:r>
      <w:r w:rsidRPr="00B17D2A">
        <w:rPr>
          <w:lang w:val="fr-FR"/>
        </w:rPr>
        <w:tab/>
        <w:t>En décembre 2005, les ministères et organismes compétents ont mis en place un groupe de liaison pour préparer des mesures de protection des enfants contre les crimes, et actuellement ils redoublent d</w:t>
      </w:r>
      <w:r w:rsidR="00277023">
        <w:rPr>
          <w:lang w:val="fr-FR"/>
        </w:rPr>
        <w:t>’</w:t>
      </w:r>
      <w:r w:rsidRPr="00B17D2A">
        <w:rPr>
          <w:lang w:val="fr-FR"/>
        </w:rPr>
        <w:t xml:space="preserve">efforts dans la lutte contre la criminalité en mettant en oeuvre des mesures concernant les écoles et les communautés, y compris la sécurité des enfants sur le trajet scolaire. </w:t>
      </w:r>
    </w:p>
    <w:p w:rsidR="00B17D2A" w:rsidRPr="00B17D2A" w:rsidRDefault="00B17D2A" w:rsidP="00B17D2A">
      <w:pPr>
        <w:pStyle w:val="SingleTxtG"/>
        <w:rPr>
          <w:lang w:val="fr-FR"/>
        </w:rPr>
      </w:pPr>
      <w:r w:rsidRPr="00B17D2A">
        <w:rPr>
          <w:lang w:val="fr-FR"/>
        </w:rPr>
        <w:t>187.</w:t>
      </w:r>
      <w:r w:rsidRPr="00B17D2A">
        <w:rPr>
          <w:lang w:val="fr-FR"/>
        </w:rPr>
        <w:tab/>
        <w:t xml:space="preserve">Voir paragraphes 146-147 du deuxième rapport du Japon. </w:t>
      </w:r>
    </w:p>
    <w:p w:rsidR="00B17D2A" w:rsidRPr="00B17D2A" w:rsidRDefault="00B17D2A" w:rsidP="00B17D2A">
      <w:pPr>
        <w:pStyle w:val="SingleTxtG"/>
        <w:rPr>
          <w:lang w:val="fr-FR"/>
        </w:rPr>
      </w:pPr>
      <w:r w:rsidRPr="00B17D2A">
        <w:rPr>
          <w:lang w:val="fr-FR"/>
        </w:rPr>
        <w:t>188.</w:t>
      </w:r>
      <w:r w:rsidRPr="00B17D2A">
        <w:rPr>
          <w:lang w:val="fr-FR"/>
        </w:rPr>
        <w:tab/>
        <w:t>Dans le souci de protéger les enfants contre d</w:t>
      </w:r>
      <w:r w:rsidR="00277023">
        <w:rPr>
          <w:lang w:val="fr-FR"/>
        </w:rPr>
        <w:t>’</w:t>
      </w:r>
      <w:r w:rsidRPr="00B17D2A">
        <w:rPr>
          <w:lang w:val="fr-FR"/>
        </w:rPr>
        <w:t>éventuels crimes à leur encontre, la police nationale renforce actuellement les mesures à cet égard en s</w:t>
      </w:r>
      <w:r w:rsidR="00277023">
        <w:rPr>
          <w:lang w:val="fr-FR"/>
        </w:rPr>
        <w:t>’</w:t>
      </w:r>
      <w:r w:rsidRPr="00B17D2A">
        <w:rPr>
          <w:lang w:val="fr-FR"/>
        </w:rPr>
        <w:t xml:space="preserve">appuyant sur le Programme de mesures de protection des femmes et des enfants, adopté en décembre 1999, et sur les lignes directrices visant à promouvoir les mesures de protection des enfants contre les actes criminels, élaborées en mai 2005. </w:t>
      </w:r>
    </w:p>
    <w:p w:rsidR="00B17D2A" w:rsidRPr="00B17D2A" w:rsidRDefault="00B17D2A" w:rsidP="00B17D2A">
      <w:pPr>
        <w:pStyle w:val="SingleTxtG"/>
        <w:rPr>
          <w:lang w:val="fr-FR"/>
        </w:rPr>
      </w:pPr>
      <w:r w:rsidRPr="00B17D2A">
        <w:rPr>
          <w:lang w:val="fr-FR"/>
        </w:rPr>
        <w:t>189.</w:t>
      </w:r>
      <w:r w:rsidRPr="00B17D2A">
        <w:rPr>
          <w:lang w:val="fr-FR"/>
        </w:rPr>
        <w:tab/>
        <w:t>La police applique notamment les mesures suivantes</w:t>
      </w:r>
      <w:r w:rsidR="00277023">
        <w:rPr>
          <w:lang w:val="fr-FR"/>
        </w:rPr>
        <w:t>:</w:t>
      </w:r>
    </w:p>
    <w:p w:rsidR="00B17D2A" w:rsidRPr="00B17D2A" w:rsidRDefault="000C7D86" w:rsidP="00B17D2A">
      <w:pPr>
        <w:pStyle w:val="SingleTxtG"/>
        <w:rPr>
          <w:lang w:val="fr-FR"/>
        </w:rPr>
      </w:pPr>
      <w:r>
        <w:rPr>
          <w:lang w:val="fr-FR"/>
        </w:rPr>
        <w:tab/>
        <w:t>1)</w:t>
      </w:r>
      <w:r>
        <w:rPr>
          <w:lang w:val="fr-FR"/>
        </w:rPr>
        <w:tab/>
      </w:r>
      <w:r w:rsidR="00B17D2A" w:rsidRPr="00B17D2A">
        <w:rPr>
          <w:lang w:val="fr-FR"/>
        </w:rPr>
        <w:t>Renforcement des activités de prévention telles que les patrouilles, en particulier aux alentours des écoles et aux heures d</w:t>
      </w:r>
      <w:r w:rsidR="00277023">
        <w:rPr>
          <w:lang w:val="fr-FR"/>
        </w:rPr>
        <w:t>’</w:t>
      </w:r>
      <w:r w:rsidR="00B17D2A" w:rsidRPr="00B17D2A">
        <w:rPr>
          <w:lang w:val="fr-FR"/>
        </w:rPr>
        <w:t>arrivée et de départ des enfants</w:t>
      </w:r>
      <w:r w:rsidR="00277023">
        <w:rPr>
          <w:lang w:val="fr-FR"/>
        </w:rPr>
        <w:t>;</w:t>
      </w:r>
      <w:r w:rsidR="00B17D2A" w:rsidRPr="00B17D2A">
        <w:rPr>
          <w:lang w:val="fr-FR"/>
        </w:rPr>
        <w:t xml:space="preserve"> </w:t>
      </w:r>
    </w:p>
    <w:p w:rsidR="00B17D2A" w:rsidRPr="00B17D2A" w:rsidRDefault="000C7D86" w:rsidP="00B17D2A">
      <w:pPr>
        <w:pStyle w:val="SingleTxtG"/>
        <w:rPr>
          <w:lang w:val="fr-FR"/>
        </w:rPr>
      </w:pPr>
      <w:r>
        <w:rPr>
          <w:lang w:val="fr-FR"/>
        </w:rPr>
        <w:tab/>
        <w:t>2)</w:t>
      </w:r>
      <w:r>
        <w:rPr>
          <w:lang w:val="fr-FR"/>
        </w:rPr>
        <w:tab/>
      </w:r>
      <w:r w:rsidR="00B17D2A" w:rsidRPr="00B17D2A">
        <w:rPr>
          <w:lang w:val="fr-FR"/>
        </w:rPr>
        <w:t>Diffusion active d</w:t>
      </w:r>
      <w:r w:rsidR="00277023">
        <w:rPr>
          <w:lang w:val="fr-FR"/>
        </w:rPr>
        <w:t>’</w:t>
      </w:r>
      <w:r w:rsidR="00B17D2A" w:rsidRPr="00B17D2A">
        <w:rPr>
          <w:lang w:val="fr-FR"/>
        </w:rPr>
        <w:t xml:space="preserve">informations sur la sécurité communautaire aux habitants du voisinage; </w:t>
      </w:r>
    </w:p>
    <w:p w:rsidR="00B17D2A" w:rsidRPr="00B17D2A" w:rsidRDefault="000C7D86" w:rsidP="00B17D2A">
      <w:pPr>
        <w:pStyle w:val="SingleTxtG"/>
        <w:rPr>
          <w:lang w:val="fr-FR"/>
        </w:rPr>
      </w:pPr>
      <w:r>
        <w:rPr>
          <w:lang w:val="fr-FR"/>
        </w:rPr>
        <w:tab/>
        <w:t>3)</w:t>
      </w:r>
      <w:r>
        <w:rPr>
          <w:lang w:val="fr-FR"/>
        </w:rPr>
        <w:tab/>
      </w:r>
      <w:r w:rsidR="00B17D2A" w:rsidRPr="00B17D2A">
        <w:rPr>
          <w:lang w:val="fr-FR"/>
        </w:rPr>
        <w:t xml:space="preserve">Soutien aux activités spontanées de prévention de la criminalité tels que le </w:t>
      </w:r>
      <w:r w:rsidR="008E49D4">
        <w:rPr>
          <w:lang w:val="fr-FR"/>
        </w:rPr>
        <w:t>“</w:t>
      </w:r>
      <w:r w:rsidR="00B17D2A" w:rsidRPr="00B17D2A">
        <w:rPr>
          <w:lang w:val="fr-FR"/>
        </w:rPr>
        <w:t>numéro d</w:t>
      </w:r>
      <w:r w:rsidR="00277023">
        <w:rPr>
          <w:lang w:val="fr-FR"/>
        </w:rPr>
        <w:t>’</w:t>
      </w:r>
      <w:r w:rsidR="00B17D2A" w:rsidRPr="00B17D2A">
        <w:rPr>
          <w:lang w:val="fr-FR"/>
        </w:rPr>
        <w:t xml:space="preserve">appel 110 </w:t>
      </w:r>
      <w:r w:rsidR="002B5F2D">
        <w:rPr>
          <w:lang w:val="fr-FR"/>
        </w:rPr>
        <w:t>–</w:t>
      </w:r>
      <w:r w:rsidR="00B17D2A" w:rsidRPr="00B17D2A">
        <w:rPr>
          <w:lang w:val="fr-FR"/>
        </w:rPr>
        <w:t xml:space="preserve"> foyer pour enfants</w:t>
      </w:r>
      <w:r w:rsidR="008E49D4">
        <w:rPr>
          <w:lang w:val="fr-FR"/>
        </w:rPr>
        <w:t>”</w:t>
      </w:r>
      <w:r w:rsidR="00B17D2A" w:rsidRPr="00B17D2A">
        <w:rPr>
          <w:lang w:val="fr-FR"/>
        </w:rPr>
        <w:t>, qui sert de foyer d</w:t>
      </w:r>
      <w:r w:rsidR="00277023">
        <w:rPr>
          <w:lang w:val="fr-FR"/>
        </w:rPr>
        <w:t>’</w:t>
      </w:r>
      <w:r w:rsidR="00B17D2A" w:rsidRPr="00B17D2A">
        <w:rPr>
          <w:lang w:val="fr-FR"/>
        </w:rPr>
        <w:t>urgence pour les enfants, et mise en place d</w:t>
      </w:r>
      <w:r w:rsidR="00277023">
        <w:rPr>
          <w:lang w:val="fr-FR"/>
        </w:rPr>
        <w:t>’</w:t>
      </w:r>
      <w:r w:rsidR="00B17D2A" w:rsidRPr="00B17D2A">
        <w:rPr>
          <w:lang w:val="fr-FR"/>
        </w:rPr>
        <w:t>un réseau de prévention des risques pour les enfants du voisinage;</w:t>
      </w:r>
    </w:p>
    <w:p w:rsidR="00B17D2A" w:rsidRPr="00B17D2A" w:rsidRDefault="000C7D86" w:rsidP="00B17D2A">
      <w:pPr>
        <w:pStyle w:val="SingleTxtG"/>
        <w:rPr>
          <w:lang w:val="fr-FR"/>
        </w:rPr>
      </w:pPr>
      <w:r>
        <w:rPr>
          <w:lang w:val="fr-FR"/>
        </w:rPr>
        <w:tab/>
        <w:t>4)</w:t>
      </w:r>
      <w:r>
        <w:rPr>
          <w:lang w:val="fr-FR"/>
        </w:rPr>
        <w:tab/>
      </w:r>
      <w:r w:rsidR="00B17D2A" w:rsidRPr="00B17D2A">
        <w:rPr>
          <w:lang w:val="fr-FR"/>
        </w:rPr>
        <w:t xml:space="preserve">Nomination de policiers retraités comme </w:t>
      </w:r>
      <w:r w:rsidR="008E49D4">
        <w:rPr>
          <w:lang w:val="fr-FR"/>
        </w:rPr>
        <w:t>“</w:t>
      </w:r>
      <w:r w:rsidR="00B17D2A" w:rsidRPr="00B17D2A">
        <w:rPr>
          <w:lang w:val="fr-FR"/>
        </w:rPr>
        <w:t>gardiens d</w:t>
      </w:r>
      <w:r w:rsidR="00277023">
        <w:rPr>
          <w:lang w:val="fr-FR"/>
        </w:rPr>
        <w:t>’</w:t>
      </w:r>
      <w:r w:rsidR="00B17D2A" w:rsidRPr="00B17D2A">
        <w:rPr>
          <w:lang w:val="fr-FR"/>
        </w:rPr>
        <w:t>école</w:t>
      </w:r>
      <w:r w:rsidR="008E49D4">
        <w:rPr>
          <w:lang w:val="fr-FR"/>
        </w:rPr>
        <w:t>”</w:t>
      </w:r>
      <w:r w:rsidR="00B17D2A" w:rsidRPr="00B17D2A">
        <w:rPr>
          <w:lang w:val="fr-FR"/>
        </w:rPr>
        <w:t>, dont la tâche est d</w:t>
      </w:r>
      <w:r w:rsidR="00277023">
        <w:rPr>
          <w:lang w:val="fr-FR"/>
        </w:rPr>
        <w:t>’</w:t>
      </w:r>
      <w:r w:rsidR="00B17D2A" w:rsidRPr="00B17D2A">
        <w:rPr>
          <w:lang w:val="fr-FR"/>
        </w:rPr>
        <w:t>assurer la sécurité des enfants à l</w:t>
      </w:r>
      <w:r w:rsidR="00277023">
        <w:rPr>
          <w:lang w:val="fr-FR"/>
        </w:rPr>
        <w:t>’</w:t>
      </w:r>
      <w:r w:rsidR="00B17D2A" w:rsidRPr="00B17D2A">
        <w:rPr>
          <w:lang w:val="fr-FR"/>
        </w:rPr>
        <w:t>intérieur de l</w:t>
      </w:r>
      <w:r w:rsidR="00277023">
        <w:rPr>
          <w:lang w:val="fr-FR"/>
        </w:rPr>
        <w:t>’</w:t>
      </w:r>
      <w:r w:rsidR="00B17D2A" w:rsidRPr="00B17D2A">
        <w:rPr>
          <w:lang w:val="fr-FR"/>
        </w:rPr>
        <w:t>établissement, et</w:t>
      </w:r>
    </w:p>
    <w:p w:rsidR="00B17D2A" w:rsidRPr="00B17D2A" w:rsidRDefault="000C7D86" w:rsidP="00B17D2A">
      <w:pPr>
        <w:pStyle w:val="SingleTxtG"/>
        <w:rPr>
          <w:lang w:val="fr-FR"/>
        </w:rPr>
      </w:pPr>
      <w:r>
        <w:rPr>
          <w:lang w:val="fr-FR"/>
        </w:rPr>
        <w:tab/>
        <w:t>5)</w:t>
      </w:r>
      <w:r>
        <w:rPr>
          <w:lang w:val="fr-FR"/>
        </w:rPr>
        <w:tab/>
      </w:r>
      <w:r w:rsidR="00B17D2A" w:rsidRPr="00B17D2A">
        <w:rPr>
          <w:lang w:val="fr-FR"/>
        </w:rPr>
        <w:t xml:space="preserve">Prêt de dispositifs de dissuasion, tels que les alarmes, et tenue de conférences sur la prévention du crime. </w:t>
      </w:r>
    </w:p>
    <w:p w:rsidR="00B17D2A" w:rsidRPr="00B17D2A" w:rsidRDefault="00B17D2A" w:rsidP="00B17D2A">
      <w:pPr>
        <w:pStyle w:val="SingleTxtG"/>
        <w:rPr>
          <w:lang w:val="fr-FR"/>
        </w:rPr>
      </w:pPr>
      <w:r w:rsidRPr="00B17D2A">
        <w:rPr>
          <w:lang w:val="fr-FR"/>
        </w:rPr>
        <w:t>190.</w:t>
      </w:r>
      <w:r w:rsidRPr="00B17D2A">
        <w:rPr>
          <w:lang w:val="fr-FR"/>
        </w:rPr>
        <w:tab/>
        <w:t>En 2003, dans le cadre de projets de mesures d</w:t>
      </w:r>
      <w:r w:rsidR="00277023">
        <w:rPr>
          <w:lang w:val="fr-FR"/>
        </w:rPr>
        <w:t>’</w:t>
      </w:r>
      <w:r w:rsidRPr="00B17D2A">
        <w:rPr>
          <w:lang w:val="fr-FR"/>
        </w:rPr>
        <w:t>urgence pour protéger les enfants, des téléphones publics d</w:t>
      </w:r>
      <w:r w:rsidR="00277023">
        <w:rPr>
          <w:lang w:val="fr-FR"/>
        </w:rPr>
        <w:t>’</w:t>
      </w:r>
      <w:r w:rsidRPr="00B17D2A">
        <w:rPr>
          <w:lang w:val="fr-FR"/>
        </w:rPr>
        <w:t>urgence ont été installés aux alentours des écoles et dans les parcs de tout le pays</w:t>
      </w:r>
      <w:r w:rsidR="00277023">
        <w:rPr>
          <w:lang w:val="fr-FR"/>
        </w:rPr>
        <w:t>;</w:t>
      </w:r>
      <w:r w:rsidRPr="00B17D2A">
        <w:rPr>
          <w:lang w:val="fr-FR"/>
        </w:rPr>
        <w:t xml:space="preserve"> ils permettent aux enfants d</w:t>
      </w:r>
      <w:r w:rsidR="00277023">
        <w:rPr>
          <w:lang w:val="fr-FR"/>
        </w:rPr>
        <w:t>’</w:t>
      </w:r>
      <w:r w:rsidRPr="00B17D2A">
        <w:rPr>
          <w:lang w:val="fr-FR"/>
        </w:rPr>
        <w:t>appeler la police en cas d</w:t>
      </w:r>
      <w:r w:rsidR="00277023">
        <w:rPr>
          <w:lang w:val="fr-FR"/>
        </w:rPr>
        <w:t>’</w:t>
      </w:r>
      <w:r w:rsidRPr="00B17D2A">
        <w:rPr>
          <w:lang w:val="fr-FR"/>
        </w:rPr>
        <w:t>urgence, ce qui crée un environnement induisant moins de risques d</w:t>
      </w:r>
      <w:r w:rsidR="00277023">
        <w:rPr>
          <w:lang w:val="fr-FR"/>
        </w:rPr>
        <w:t>’</w:t>
      </w:r>
      <w:r w:rsidRPr="00B17D2A">
        <w:rPr>
          <w:lang w:val="fr-FR"/>
        </w:rPr>
        <w:t>actes criminels. Par ailleurs, un manuel sur la prévention du crime, destiné aux enfants, a été édité pour que les enfants puissent se prémunir eux-mêmes et que les parents et les responsables scolaires peuvent utiliser comme outil pédagogique pour transmettre aux enfants des compétences en matière de prévention du crime. Le manuel est diffusé dans les écoles et aux services de police de tout le pays. Un nouveau dispositif a également été adopté en juin 2005</w:t>
      </w:r>
      <w:r w:rsidR="00277023">
        <w:rPr>
          <w:lang w:val="fr-FR"/>
        </w:rPr>
        <w:t>;</w:t>
      </w:r>
      <w:r w:rsidRPr="00B17D2A">
        <w:rPr>
          <w:lang w:val="fr-FR"/>
        </w:rPr>
        <w:t xml:space="preserve"> il permet à la police d</w:t>
      </w:r>
      <w:r w:rsidR="00277023">
        <w:rPr>
          <w:lang w:val="fr-FR"/>
        </w:rPr>
        <w:t>’</w:t>
      </w:r>
      <w:r w:rsidRPr="00B17D2A">
        <w:rPr>
          <w:lang w:val="fr-FR"/>
        </w:rPr>
        <w:t>utiliser les informations sur la mise en liberté des détenus condamnés pour crimes sexuels violents à l</w:t>
      </w:r>
      <w:r w:rsidR="00277023">
        <w:rPr>
          <w:lang w:val="fr-FR"/>
        </w:rPr>
        <w:t>’</w:t>
      </w:r>
      <w:r w:rsidRPr="00B17D2A">
        <w:rPr>
          <w:lang w:val="fr-FR"/>
        </w:rPr>
        <w:t>encontre d</w:t>
      </w:r>
      <w:r w:rsidR="00277023">
        <w:rPr>
          <w:lang w:val="fr-FR"/>
        </w:rPr>
        <w:t>’</w:t>
      </w:r>
      <w:r w:rsidRPr="00B17D2A">
        <w:rPr>
          <w:lang w:val="fr-FR"/>
        </w:rPr>
        <w:t>enfants, comme par exemple la date de sortie et la destination prévues, afin de prévenir d</w:t>
      </w:r>
      <w:r w:rsidR="00277023">
        <w:rPr>
          <w:lang w:val="fr-FR"/>
        </w:rPr>
        <w:t>’</w:t>
      </w:r>
      <w:r w:rsidRPr="00B17D2A">
        <w:rPr>
          <w:lang w:val="fr-FR"/>
        </w:rPr>
        <w:t>autres crimes et de hâter l</w:t>
      </w:r>
      <w:r w:rsidR="00277023">
        <w:rPr>
          <w:lang w:val="fr-FR"/>
        </w:rPr>
        <w:t>’</w:t>
      </w:r>
      <w:r w:rsidRPr="00B17D2A">
        <w:rPr>
          <w:lang w:val="fr-FR"/>
        </w:rPr>
        <w:t>enquête en cas de crime, tout en prêtant attention à ne pas entraver la réadaptation et la réinsertion sociale de l</w:t>
      </w:r>
      <w:r w:rsidR="00277023">
        <w:rPr>
          <w:lang w:val="fr-FR"/>
        </w:rPr>
        <w:t>’</w:t>
      </w:r>
      <w:r w:rsidRPr="00B17D2A">
        <w:rPr>
          <w:lang w:val="fr-FR"/>
        </w:rPr>
        <w:t>individu libéré.</w:t>
      </w:r>
    </w:p>
    <w:p w:rsidR="00B17D2A" w:rsidRPr="00B17D2A" w:rsidRDefault="00B17D2A" w:rsidP="00B17D2A">
      <w:pPr>
        <w:pStyle w:val="SingleTxtG"/>
        <w:rPr>
          <w:lang w:val="fr-FR"/>
        </w:rPr>
      </w:pPr>
      <w:r w:rsidRPr="00B17D2A">
        <w:rPr>
          <w:lang w:val="fr-FR"/>
        </w:rPr>
        <w:t>(Mesures de prévention des maladies sexuellement transmissibles en milieu scolaire)</w:t>
      </w:r>
    </w:p>
    <w:p w:rsidR="00B17D2A" w:rsidRPr="00B17D2A" w:rsidRDefault="00B17D2A" w:rsidP="00B17D2A">
      <w:pPr>
        <w:pStyle w:val="SingleTxtG"/>
        <w:rPr>
          <w:lang w:val="fr-FR"/>
        </w:rPr>
      </w:pPr>
      <w:r w:rsidRPr="00B17D2A">
        <w:rPr>
          <w:lang w:val="fr-FR"/>
        </w:rPr>
        <w:t>191.</w:t>
      </w:r>
      <w:r w:rsidRPr="00B17D2A">
        <w:rPr>
          <w:lang w:val="fr-FR"/>
        </w:rPr>
        <w:tab/>
        <w:t>Conformément aux directives pédagogiques, des mesures de prévention des maladies sexuellement transmissibles sont appliquées à l</w:t>
      </w:r>
      <w:r w:rsidR="00277023">
        <w:rPr>
          <w:lang w:val="fr-FR"/>
        </w:rPr>
        <w:t>’</w:t>
      </w:r>
      <w:r w:rsidRPr="00B17D2A">
        <w:rPr>
          <w:lang w:val="fr-FR"/>
        </w:rPr>
        <w:t>école dans toutes les activités éducatives, notamment dans les cours d</w:t>
      </w:r>
      <w:r w:rsidR="00277023">
        <w:rPr>
          <w:lang w:val="fr-FR"/>
        </w:rPr>
        <w:t>’</w:t>
      </w:r>
      <w:r w:rsidRPr="00B17D2A">
        <w:rPr>
          <w:lang w:val="fr-FR"/>
        </w:rPr>
        <w:t>éducation physique et sanitaire, afin de donner une éducation sexuelle d</w:t>
      </w:r>
      <w:r w:rsidR="00277023">
        <w:rPr>
          <w:lang w:val="fr-FR"/>
        </w:rPr>
        <w:t>’</w:t>
      </w:r>
      <w:r w:rsidRPr="00B17D2A">
        <w:rPr>
          <w:lang w:val="fr-FR"/>
        </w:rPr>
        <w:t>un point de vue scientifique, selon le degré de développement de l</w:t>
      </w:r>
      <w:r w:rsidR="00277023">
        <w:rPr>
          <w:lang w:val="fr-FR"/>
        </w:rPr>
        <w:t>’</w:t>
      </w:r>
      <w:r w:rsidRPr="00B17D2A">
        <w:rPr>
          <w:lang w:val="fr-FR"/>
        </w:rPr>
        <w:t>enfant, et d</w:t>
      </w:r>
      <w:r w:rsidR="00277023">
        <w:rPr>
          <w:lang w:val="fr-FR"/>
        </w:rPr>
        <w:t>’</w:t>
      </w:r>
      <w:r w:rsidRPr="00B17D2A">
        <w:rPr>
          <w:lang w:val="fr-FR"/>
        </w:rPr>
        <w:t>inciter les enfants à se comporter en conséquence. Des efforts sont en outre déployés pour améliorer l</w:t>
      </w:r>
      <w:r w:rsidR="00277023">
        <w:rPr>
          <w:lang w:val="fr-FR"/>
        </w:rPr>
        <w:t>’</w:t>
      </w:r>
      <w:r w:rsidRPr="00B17D2A">
        <w:rPr>
          <w:lang w:val="fr-FR"/>
        </w:rPr>
        <w:t>éducation sexuelle à travers différentes mesures, y compris des ateliers pour le personnel scolaire, la publication et la diffusion de manuels pour les enseignants et de livres scolaires pour les enfants, des études pratiques sur des méthodes pédagogiques efficaces et des projets de coopération entre les écoles et des spécialistes de l</w:t>
      </w:r>
      <w:r w:rsidR="00277023">
        <w:rPr>
          <w:lang w:val="fr-FR"/>
        </w:rPr>
        <w:t>’</w:t>
      </w:r>
      <w:r w:rsidRPr="00B17D2A">
        <w:rPr>
          <w:lang w:val="fr-FR"/>
        </w:rPr>
        <w:t>éducation physique et mentale. D</w:t>
      </w:r>
      <w:r w:rsidR="00277023">
        <w:rPr>
          <w:lang w:val="fr-FR"/>
        </w:rPr>
        <w:t>’</w:t>
      </w:r>
      <w:r w:rsidRPr="00B17D2A">
        <w:rPr>
          <w:lang w:val="fr-FR"/>
        </w:rPr>
        <w:t>autres mesures portent sur l</w:t>
      </w:r>
      <w:r w:rsidR="00277023">
        <w:rPr>
          <w:lang w:val="fr-FR"/>
        </w:rPr>
        <w:t>’</w:t>
      </w:r>
      <w:r w:rsidRPr="00B17D2A">
        <w:rPr>
          <w:lang w:val="fr-FR"/>
        </w:rPr>
        <w:t>édition et la distribution d</w:t>
      </w:r>
      <w:r w:rsidR="00277023">
        <w:rPr>
          <w:lang w:val="fr-FR"/>
        </w:rPr>
        <w:t>’</w:t>
      </w:r>
      <w:r w:rsidRPr="00B17D2A">
        <w:rPr>
          <w:lang w:val="fr-FR"/>
        </w:rPr>
        <w:t>études de cas relatives à l</w:t>
      </w:r>
      <w:r w:rsidR="00277023">
        <w:rPr>
          <w:lang w:val="fr-FR"/>
        </w:rPr>
        <w:t>’</w:t>
      </w:r>
      <w:r w:rsidRPr="00B17D2A">
        <w:rPr>
          <w:lang w:val="fr-FR"/>
        </w:rPr>
        <w:t>éducation sexuelle à l</w:t>
      </w:r>
      <w:r w:rsidR="00277023">
        <w:rPr>
          <w:lang w:val="fr-FR"/>
        </w:rPr>
        <w:t>’</w:t>
      </w:r>
      <w:r w:rsidRPr="00B17D2A">
        <w:rPr>
          <w:lang w:val="fr-FR"/>
        </w:rPr>
        <w:t>école et de manuels traitant dans le détail différentes questions que se posent les enfants, y compris les maladies sexuellement transmissibles, et sur l</w:t>
      </w:r>
      <w:r w:rsidR="00277023">
        <w:rPr>
          <w:lang w:val="fr-FR"/>
        </w:rPr>
        <w:t>’</w:t>
      </w:r>
      <w:r w:rsidRPr="00B17D2A">
        <w:rPr>
          <w:lang w:val="fr-FR"/>
        </w:rPr>
        <w:t>organisation de sessions de formation pour le personnel scolaire concerné par l</w:t>
      </w:r>
      <w:r w:rsidR="00277023">
        <w:rPr>
          <w:lang w:val="fr-FR"/>
        </w:rPr>
        <w:t>’</w:t>
      </w:r>
      <w:r w:rsidRPr="00B17D2A">
        <w:rPr>
          <w:lang w:val="fr-FR"/>
        </w:rPr>
        <w:t xml:space="preserve">éducation sexuelle. </w:t>
      </w:r>
    </w:p>
    <w:p w:rsidR="00B17D2A" w:rsidRPr="00B17D2A" w:rsidRDefault="000C7D86" w:rsidP="000C7D86">
      <w:pPr>
        <w:pStyle w:val="H1G"/>
        <w:rPr>
          <w:lang w:val="fr-FR"/>
        </w:rPr>
      </w:pPr>
      <w:r>
        <w:rPr>
          <w:lang w:val="fr-FR"/>
        </w:rPr>
        <w:tab/>
        <w:t>D.</w:t>
      </w:r>
      <w:r>
        <w:rPr>
          <w:lang w:val="fr-FR"/>
        </w:rPr>
        <w:tab/>
      </w:r>
      <w:r w:rsidR="00B17D2A" w:rsidRPr="00B17D2A">
        <w:rPr>
          <w:lang w:val="fr-FR"/>
        </w:rPr>
        <w:t>Article 12 (respect des opinions de l</w:t>
      </w:r>
      <w:r w:rsidR="00277023">
        <w:rPr>
          <w:lang w:val="fr-FR"/>
        </w:rPr>
        <w:t>’</w:t>
      </w:r>
      <w:r w:rsidR="00B17D2A" w:rsidRPr="00B17D2A">
        <w:rPr>
          <w:lang w:val="fr-FR"/>
        </w:rPr>
        <w:t>enfant)</w:t>
      </w:r>
    </w:p>
    <w:p w:rsidR="00B17D2A" w:rsidRPr="00B17D2A" w:rsidRDefault="000C7D86" w:rsidP="000C7D86">
      <w:pPr>
        <w:pStyle w:val="H23G"/>
        <w:rPr>
          <w:lang w:val="fr-FR"/>
        </w:rPr>
      </w:pPr>
      <w:r>
        <w:rPr>
          <w:lang w:val="fr-FR"/>
        </w:rPr>
        <w:tab/>
        <w:t>a)</w:t>
      </w:r>
      <w:r>
        <w:rPr>
          <w:lang w:val="fr-FR"/>
        </w:rPr>
        <w:tab/>
      </w:r>
      <w:r w:rsidR="00B17D2A" w:rsidRPr="00B17D2A">
        <w:rPr>
          <w:lang w:val="fr-FR"/>
        </w:rPr>
        <w:t>Respect des opinions de l</w:t>
      </w:r>
      <w:r w:rsidR="00277023">
        <w:rPr>
          <w:lang w:val="fr-FR"/>
        </w:rPr>
        <w:t>’</w:t>
      </w:r>
      <w:r w:rsidR="00B17D2A" w:rsidRPr="00B17D2A">
        <w:rPr>
          <w:lang w:val="fr-FR"/>
        </w:rPr>
        <w:t>enfant</w:t>
      </w:r>
    </w:p>
    <w:p w:rsidR="00B17D2A" w:rsidRPr="00B17D2A" w:rsidRDefault="00B17D2A" w:rsidP="00B17D2A">
      <w:pPr>
        <w:pStyle w:val="SingleTxtG"/>
        <w:rPr>
          <w:lang w:val="fr-FR"/>
        </w:rPr>
      </w:pPr>
      <w:r w:rsidRPr="00B17D2A">
        <w:rPr>
          <w:lang w:val="fr-FR"/>
        </w:rPr>
        <w:t>(Assurer aux enfants la possibilité d</w:t>
      </w:r>
      <w:r w:rsidR="00277023">
        <w:rPr>
          <w:lang w:val="fr-FR"/>
        </w:rPr>
        <w:t>’</w:t>
      </w:r>
      <w:r w:rsidRPr="00B17D2A">
        <w:rPr>
          <w:lang w:val="fr-FR"/>
        </w:rPr>
        <w:t>exprimer leurs points de vue)</w:t>
      </w:r>
    </w:p>
    <w:p w:rsidR="00B17D2A" w:rsidRPr="00B17D2A" w:rsidRDefault="00B17D2A" w:rsidP="00B17D2A">
      <w:pPr>
        <w:pStyle w:val="SingleTxtG"/>
        <w:rPr>
          <w:lang w:val="fr-FR"/>
        </w:rPr>
      </w:pPr>
      <w:r w:rsidRPr="00B17D2A">
        <w:rPr>
          <w:lang w:val="fr-FR"/>
        </w:rPr>
        <w:t>192.</w:t>
      </w:r>
      <w:r w:rsidRPr="00B17D2A">
        <w:rPr>
          <w:lang w:val="fr-FR"/>
        </w:rPr>
        <w:tab/>
        <w:t>Voir paragraphe 149 du deuxième rapport du Japon (paragraphes 61 et 62 du rapport initial du Japon) et réponse 18 à la question du Comité des droits de l</w:t>
      </w:r>
      <w:r w:rsidR="00277023">
        <w:rPr>
          <w:lang w:val="fr-FR"/>
        </w:rPr>
        <w:t>’</w:t>
      </w:r>
      <w:r w:rsidRPr="00B17D2A">
        <w:rPr>
          <w:lang w:val="fr-FR"/>
        </w:rPr>
        <w:t>enfant posée lors de l</w:t>
      </w:r>
      <w:r w:rsidR="00277023">
        <w:rPr>
          <w:lang w:val="fr-FR"/>
        </w:rPr>
        <w:t>’</w:t>
      </w:r>
      <w:r w:rsidRPr="00B17D2A">
        <w:rPr>
          <w:lang w:val="fr-FR"/>
        </w:rPr>
        <w:t xml:space="preserve">examen du rapport initial. </w:t>
      </w:r>
    </w:p>
    <w:p w:rsidR="00B17D2A" w:rsidRPr="00B17D2A" w:rsidRDefault="00B17D2A" w:rsidP="00B17D2A">
      <w:pPr>
        <w:pStyle w:val="SingleTxtG"/>
        <w:rPr>
          <w:lang w:val="fr-FR"/>
        </w:rPr>
      </w:pPr>
      <w:r w:rsidRPr="00B17D2A">
        <w:rPr>
          <w:lang w:val="fr-FR"/>
        </w:rPr>
        <w:t>(Mesures disciplinaires appliquées à l</w:t>
      </w:r>
      <w:r w:rsidR="00277023">
        <w:rPr>
          <w:lang w:val="fr-FR"/>
        </w:rPr>
        <w:t>’</w:t>
      </w:r>
      <w:r w:rsidRPr="00B17D2A">
        <w:rPr>
          <w:lang w:val="fr-FR"/>
        </w:rPr>
        <w:t>école et renvoi temporaire)</w:t>
      </w:r>
    </w:p>
    <w:p w:rsidR="00B17D2A" w:rsidRPr="00B17D2A" w:rsidRDefault="00B17D2A" w:rsidP="00B17D2A">
      <w:pPr>
        <w:pStyle w:val="SingleTxtG"/>
        <w:rPr>
          <w:lang w:val="fr-FR"/>
        </w:rPr>
      </w:pPr>
      <w:r w:rsidRPr="00B17D2A">
        <w:rPr>
          <w:lang w:val="fr-FR"/>
        </w:rPr>
        <w:t>193.</w:t>
      </w:r>
      <w:r w:rsidRPr="00B17D2A">
        <w:rPr>
          <w:lang w:val="fr-FR"/>
        </w:rPr>
        <w:tab/>
        <w:t>En adoptant des mesures disciplinaires applicables aux élèves, les pouvoirs publics ont demandé aux conseils d</w:t>
      </w:r>
      <w:r w:rsidR="00277023">
        <w:rPr>
          <w:lang w:val="fr-FR"/>
        </w:rPr>
        <w:t>’</w:t>
      </w:r>
      <w:r w:rsidRPr="00B17D2A">
        <w:rPr>
          <w:lang w:val="fr-FR"/>
        </w:rPr>
        <w:t>éducation et à d</w:t>
      </w:r>
      <w:r w:rsidR="00277023">
        <w:rPr>
          <w:lang w:val="fr-FR"/>
        </w:rPr>
        <w:t>’</w:t>
      </w:r>
      <w:r w:rsidRPr="00B17D2A">
        <w:rPr>
          <w:lang w:val="fr-FR"/>
        </w:rPr>
        <w:t>autres parties prenantes d</w:t>
      </w:r>
      <w:r w:rsidR="00277023">
        <w:rPr>
          <w:lang w:val="fr-FR"/>
        </w:rPr>
        <w:t>’</w:t>
      </w:r>
      <w:r w:rsidRPr="00B17D2A">
        <w:rPr>
          <w:lang w:val="fr-FR"/>
        </w:rPr>
        <w:t>accorder la plus grande attention aux circonstances rencontrées par l</w:t>
      </w:r>
      <w:r w:rsidR="00277023">
        <w:rPr>
          <w:lang w:val="fr-FR"/>
        </w:rPr>
        <w:t>’</w:t>
      </w:r>
      <w:r w:rsidRPr="00B17D2A">
        <w:rPr>
          <w:lang w:val="fr-FR"/>
        </w:rPr>
        <w:t>élève, en écoutant ses explications et points de vue, et d</w:t>
      </w:r>
      <w:r w:rsidR="00277023">
        <w:rPr>
          <w:lang w:val="fr-FR"/>
        </w:rPr>
        <w:t>’</w:t>
      </w:r>
      <w:r w:rsidRPr="00B17D2A">
        <w:rPr>
          <w:lang w:val="fr-FR"/>
        </w:rPr>
        <w:t>examiner si les mesures disciplinaires seront profitables sur le plan éducatif et ne sont pas uniquement des sanctions. Parallèlement, l</w:t>
      </w:r>
      <w:r w:rsidR="00277023">
        <w:rPr>
          <w:lang w:val="fr-FR"/>
        </w:rPr>
        <w:t>’</w:t>
      </w:r>
      <w:r w:rsidRPr="00B17D2A">
        <w:rPr>
          <w:lang w:val="fr-FR"/>
        </w:rPr>
        <w:t>exclusion est une mesure qui touche directement aux droits et aux obligations des élèves, assurant le droit des autres élèves à l</w:t>
      </w:r>
      <w:r w:rsidR="00277023">
        <w:rPr>
          <w:lang w:val="fr-FR"/>
        </w:rPr>
        <w:t>’</w:t>
      </w:r>
      <w:r w:rsidRPr="00B17D2A">
        <w:rPr>
          <w:lang w:val="fr-FR"/>
        </w:rPr>
        <w:t>éducation, c</w:t>
      </w:r>
      <w:r w:rsidR="00277023">
        <w:rPr>
          <w:lang w:val="fr-FR"/>
        </w:rPr>
        <w:t>’</w:t>
      </w:r>
      <w:r w:rsidRPr="00B17D2A">
        <w:rPr>
          <w:lang w:val="fr-FR"/>
        </w:rPr>
        <w:t>est pourquoi il est important de suivre la procédure établie lorsqu</w:t>
      </w:r>
      <w:r w:rsidR="00277023">
        <w:rPr>
          <w:lang w:val="fr-FR"/>
        </w:rPr>
        <w:t>’</w:t>
      </w:r>
      <w:r w:rsidRPr="00B17D2A">
        <w:rPr>
          <w:lang w:val="fr-FR"/>
        </w:rPr>
        <w:t>un renvoi temporaire est prononcé. Le Ministère de l</w:t>
      </w:r>
      <w:r w:rsidR="00277023">
        <w:rPr>
          <w:lang w:val="fr-FR"/>
        </w:rPr>
        <w:t>’</w:t>
      </w:r>
      <w:r w:rsidRPr="00B17D2A">
        <w:rPr>
          <w:lang w:val="fr-FR"/>
        </w:rPr>
        <w:t xml:space="preserve">éducation, de la culture, des sports, des sciences et de la technologie a partiellement modifié </w:t>
      </w:r>
      <w:smartTag w:uri="urn:schemas-microsoft-com:office:smarttags" w:element="PersonName">
        <w:smartTagPr>
          <w:attr w:name="ProductID" w:val="la Loi"/>
        </w:smartTagPr>
        <w:r w:rsidRPr="00B17D2A">
          <w:rPr>
            <w:lang w:val="fr-FR"/>
          </w:rPr>
          <w:t>la Loi</w:t>
        </w:r>
      </w:smartTag>
      <w:r w:rsidRPr="00B17D2A">
        <w:rPr>
          <w:lang w:val="fr-FR"/>
        </w:rPr>
        <w:t xml:space="preserve"> sur l</w:t>
      </w:r>
      <w:r w:rsidR="00277023">
        <w:rPr>
          <w:lang w:val="fr-FR"/>
        </w:rPr>
        <w:t>’</w:t>
      </w:r>
      <w:r w:rsidRPr="00B17D2A">
        <w:rPr>
          <w:lang w:val="fr-FR"/>
        </w:rPr>
        <w:t>enseignement scolaire en 2001</w:t>
      </w:r>
      <w:r w:rsidR="00277023">
        <w:rPr>
          <w:lang w:val="fr-FR"/>
        </w:rPr>
        <w:t>;</w:t>
      </w:r>
      <w:r w:rsidRPr="00B17D2A">
        <w:rPr>
          <w:lang w:val="fr-FR"/>
        </w:rPr>
        <w:t xml:space="preserve"> elle précise les critères et procédures de renvoi, comme par exemple l</w:t>
      </w:r>
      <w:r w:rsidR="00277023">
        <w:rPr>
          <w:lang w:val="fr-FR"/>
        </w:rPr>
        <w:t>’</w:t>
      </w:r>
      <w:r w:rsidRPr="00B17D2A">
        <w:rPr>
          <w:lang w:val="fr-FR"/>
        </w:rPr>
        <w:t>audition des représentants légaux de l</w:t>
      </w:r>
      <w:r w:rsidR="00277023">
        <w:rPr>
          <w:lang w:val="fr-FR"/>
        </w:rPr>
        <w:t>’</w:t>
      </w:r>
      <w:r w:rsidRPr="00B17D2A">
        <w:rPr>
          <w:lang w:val="fr-FR"/>
        </w:rPr>
        <w:t>enfant et la remise d</w:t>
      </w:r>
      <w:r w:rsidR="00277023">
        <w:rPr>
          <w:lang w:val="fr-FR"/>
        </w:rPr>
        <w:t>’</w:t>
      </w:r>
      <w:r w:rsidRPr="00B17D2A">
        <w:rPr>
          <w:lang w:val="fr-FR"/>
        </w:rPr>
        <w:t>un document mentionnant les motifs et la durée de l</w:t>
      </w:r>
      <w:r w:rsidR="00277023">
        <w:rPr>
          <w:lang w:val="fr-FR"/>
        </w:rPr>
        <w:t>’</w:t>
      </w:r>
      <w:r w:rsidRPr="00B17D2A">
        <w:rPr>
          <w:lang w:val="fr-FR"/>
        </w:rPr>
        <w:t>exclusion avant de prononcer le renvoi, et indique le soutien éducatif dont bénéficie un enfant exclu jusqu</w:t>
      </w:r>
      <w:r w:rsidR="00277023">
        <w:rPr>
          <w:lang w:val="fr-FR"/>
        </w:rPr>
        <w:t>’</w:t>
      </w:r>
      <w:r w:rsidRPr="00B17D2A">
        <w:rPr>
          <w:lang w:val="fr-FR"/>
        </w:rPr>
        <w:t>à ce qu</w:t>
      </w:r>
      <w:r w:rsidR="00277023">
        <w:rPr>
          <w:lang w:val="fr-FR"/>
        </w:rPr>
        <w:t>’</w:t>
      </w:r>
      <w:r w:rsidRPr="00B17D2A">
        <w:rPr>
          <w:lang w:val="fr-FR"/>
        </w:rPr>
        <w:t>il réintègre l</w:t>
      </w:r>
      <w:r w:rsidR="00277023">
        <w:rPr>
          <w:lang w:val="fr-FR"/>
        </w:rPr>
        <w:t>’</w:t>
      </w:r>
      <w:r w:rsidRPr="00B17D2A">
        <w:rPr>
          <w:lang w:val="fr-FR"/>
        </w:rPr>
        <w:t xml:space="preserve">établissement. </w:t>
      </w:r>
    </w:p>
    <w:p w:rsidR="00B17D2A" w:rsidRPr="00B17D2A" w:rsidRDefault="00B17D2A" w:rsidP="00B17D2A">
      <w:pPr>
        <w:pStyle w:val="SingleTxtG"/>
        <w:rPr>
          <w:lang w:val="fr-FR"/>
        </w:rPr>
      </w:pPr>
      <w:r w:rsidRPr="00B17D2A">
        <w:rPr>
          <w:lang w:val="fr-FR"/>
        </w:rPr>
        <w:t>(Universités)</w:t>
      </w:r>
    </w:p>
    <w:p w:rsidR="00B17D2A" w:rsidRPr="00B17D2A" w:rsidRDefault="00B17D2A" w:rsidP="00B17D2A">
      <w:pPr>
        <w:pStyle w:val="SingleTxtG"/>
        <w:rPr>
          <w:lang w:val="fr-FR"/>
        </w:rPr>
      </w:pPr>
      <w:r w:rsidRPr="00B17D2A">
        <w:rPr>
          <w:lang w:val="fr-FR"/>
        </w:rPr>
        <w:t>194.</w:t>
      </w:r>
      <w:r w:rsidRPr="00B17D2A">
        <w:rPr>
          <w:lang w:val="fr-FR"/>
        </w:rPr>
        <w:tab/>
        <w:t xml:space="preserve">Voir paragraphe 103. </w:t>
      </w:r>
    </w:p>
    <w:p w:rsidR="00B17D2A" w:rsidRPr="00B17D2A" w:rsidRDefault="00B17D2A" w:rsidP="00B17D2A">
      <w:pPr>
        <w:pStyle w:val="SingleTxtG"/>
        <w:rPr>
          <w:lang w:val="fr-FR"/>
        </w:rPr>
      </w:pPr>
      <w:r w:rsidRPr="00B17D2A">
        <w:rPr>
          <w:lang w:val="fr-FR"/>
        </w:rPr>
        <w:t>(Placement en institution)</w:t>
      </w:r>
    </w:p>
    <w:p w:rsidR="00B17D2A" w:rsidRPr="00B17D2A" w:rsidRDefault="00B17D2A" w:rsidP="000C7D86">
      <w:pPr>
        <w:pStyle w:val="SingleTxtG"/>
        <w:rPr>
          <w:lang w:val="fr-FR"/>
        </w:rPr>
      </w:pPr>
      <w:r w:rsidRPr="00B17D2A">
        <w:rPr>
          <w:lang w:val="fr-FR"/>
        </w:rPr>
        <w:t>195.</w:t>
      </w:r>
      <w:r w:rsidRPr="00B17D2A">
        <w:rPr>
          <w:lang w:val="fr-FR"/>
        </w:rPr>
        <w:tab/>
        <w:t>Si un gouverneur de préfecture cherche à placer un enfant dans un établissement de protection de l</w:t>
      </w:r>
      <w:r w:rsidR="00277023">
        <w:rPr>
          <w:lang w:val="fr-FR"/>
        </w:rPr>
        <w:t>’</w:t>
      </w:r>
      <w:r w:rsidRPr="00B17D2A">
        <w:rPr>
          <w:lang w:val="fr-FR"/>
        </w:rPr>
        <w:t>enfance, l</w:t>
      </w:r>
      <w:r w:rsidR="00277023">
        <w:rPr>
          <w:lang w:val="fr-FR"/>
        </w:rPr>
        <w:t>’</w:t>
      </w:r>
      <w:r w:rsidRPr="00B17D2A">
        <w:rPr>
          <w:lang w:val="fr-FR"/>
        </w:rPr>
        <w:t>enfant doit pouvoir exprimer sa façon de voir les choses, et si ce point de vue va à l</w:t>
      </w:r>
      <w:r w:rsidR="00277023">
        <w:rPr>
          <w:lang w:val="fr-FR"/>
        </w:rPr>
        <w:t>’</w:t>
      </w:r>
      <w:r w:rsidRPr="00B17D2A">
        <w:rPr>
          <w:lang w:val="fr-FR"/>
        </w:rPr>
        <w:t>encontre des mesures que le gouverneur de préfecture envisage de prendre, ce dernier devra consulter le Conseil préfectoral de protection de l</w:t>
      </w:r>
      <w:r w:rsidR="00277023">
        <w:rPr>
          <w:lang w:val="fr-FR"/>
        </w:rPr>
        <w:t>’</w:t>
      </w:r>
      <w:r w:rsidRPr="00B17D2A">
        <w:rPr>
          <w:lang w:val="fr-FR"/>
        </w:rPr>
        <w:t xml:space="preserve">enfance. Conformément à </w:t>
      </w:r>
      <w:smartTag w:uri="urn:schemas-microsoft-com:office:smarttags" w:element="PersonName">
        <w:smartTagPr>
          <w:attr w:name="ProductID" w:val="la Loi"/>
        </w:smartTagPr>
        <w:r w:rsidRPr="00B17D2A">
          <w:rPr>
            <w:lang w:val="fr-FR"/>
          </w:rPr>
          <w:t>la Loi</w:t>
        </w:r>
      </w:smartTag>
      <w:r w:rsidRPr="00B17D2A">
        <w:rPr>
          <w:lang w:val="fr-FR"/>
        </w:rPr>
        <w:t xml:space="preserve"> sur la protection sociale, les directeurs des services de protection sociale sont tenus de s</w:t>
      </w:r>
      <w:r w:rsidR="00277023">
        <w:rPr>
          <w:lang w:val="fr-FR"/>
        </w:rPr>
        <w:t>’</w:t>
      </w:r>
      <w:r w:rsidRPr="00B17D2A">
        <w:rPr>
          <w:lang w:val="fr-FR"/>
        </w:rPr>
        <w:t>employer à fournir des informations et à prendre des mesures d</w:t>
      </w:r>
      <w:r w:rsidR="00277023">
        <w:rPr>
          <w:lang w:val="fr-FR"/>
        </w:rPr>
        <w:t>’</w:t>
      </w:r>
      <w:r w:rsidRPr="00B17D2A">
        <w:rPr>
          <w:lang w:val="fr-FR"/>
        </w:rPr>
        <w:t>amélioration en s</w:t>
      </w:r>
      <w:r w:rsidR="00277023">
        <w:rPr>
          <w:lang w:val="fr-FR"/>
        </w:rPr>
        <w:t>’</w:t>
      </w:r>
      <w:r w:rsidRPr="00B17D2A">
        <w:rPr>
          <w:lang w:val="fr-FR"/>
        </w:rPr>
        <w:t>appuyant sur des autoévaluations et des audits externes, et à résoudre les plaintes. Obligation est faite à chaque préfecture de mettre en place un comité chargé de la gestion au sein du Conseil de la protection sociale, mécanisme offrant aux usagers des services de consultation concernant les plaintes qu</w:t>
      </w:r>
      <w:r w:rsidR="00277023">
        <w:rPr>
          <w:lang w:val="fr-FR"/>
        </w:rPr>
        <w:t>’</w:t>
      </w:r>
      <w:r w:rsidRPr="00B17D2A">
        <w:rPr>
          <w:lang w:val="fr-FR"/>
        </w:rPr>
        <w:t>ils veulent déposer et tenant le rôle de médiateur dans le cadre de l</w:t>
      </w:r>
      <w:r w:rsidR="00277023">
        <w:rPr>
          <w:lang w:val="fr-FR"/>
        </w:rPr>
        <w:t>’</w:t>
      </w:r>
      <w:r w:rsidRPr="00B17D2A">
        <w:rPr>
          <w:lang w:val="fr-FR"/>
        </w:rPr>
        <w:t>action menée pour résoudre les plaintes. Parallèlement, il est demandé aux établissements de protection de l</w:t>
      </w:r>
      <w:r w:rsidR="00277023">
        <w:rPr>
          <w:lang w:val="fr-FR"/>
        </w:rPr>
        <w:t>’</w:t>
      </w:r>
      <w:r w:rsidRPr="00B17D2A">
        <w:rPr>
          <w:lang w:val="fr-FR"/>
        </w:rPr>
        <w:t>enfance d</w:t>
      </w:r>
      <w:r w:rsidR="00277023">
        <w:rPr>
          <w:lang w:val="fr-FR"/>
        </w:rPr>
        <w:t>’</w:t>
      </w:r>
      <w:r w:rsidRPr="00B17D2A">
        <w:rPr>
          <w:lang w:val="fr-FR"/>
        </w:rPr>
        <w:t>établir un bureau de réception des plaintes conforme aux normes minima relatives aux établissements de protection de l</w:t>
      </w:r>
      <w:r w:rsidR="00277023">
        <w:rPr>
          <w:lang w:val="fr-FR"/>
        </w:rPr>
        <w:t>’</w:t>
      </w:r>
      <w:r w:rsidRPr="00B17D2A">
        <w:rPr>
          <w:lang w:val="fr-FR"/>
        </w:rPr>
        <w:t>enfance (ordonnance</w:t>
      </w:r>
      <w:r w:rsidR="00EA1115">
        <w:rPr>
          <w:lang w:val="fr-FR"/>
        </w:rPr>
        <w:t xml:space="preserve"> </w:t>
      </w:r>
      <w:r w:rsidR="00862799" w:rsidRPr="00B17D2A">
        <w:rPr>
          <w:lang w:val="fr-FR"/>
        </w:rPr>
        <w:t>No</w:t>
      </w:r>
      <w:r w:rsidRPr="00B17D2A">
        <w:rPr>
          <w:lang w:val="fr-FR"/>
        </w:rPr>
        <w:t>. 63 du Ministère de la santé, du travail et de la protection sociale) de manière à ce que les plaintes reçues d</w:t>
      </w:r>
      <w:r w:rsidR="00277023">
        <w:rPr>
          <w:lang w:val="fr-FR"/>
        </w:rPr>
        <w:t>’</w:t>
      </w:r>
      <w:r w:rsidRPr="00B17D2A">
        <w:rPr>
          <w:lang w:val="fr-FR"/>
        </w:rPr>
        <w:t>un enfant placé dans un établissement de ce type ou de ses représentants légaux au sujet de son traitement dans l</w:t>
      </w:r>
      <w:r w:rsidR="00277023">
        <w:rPr>
          <w:lang w:val="fr-FR"/>
        </w:rPr>
        <w:t>’</w:t>
      </w:r>
      <w:r w:rsidRPr="00B17D2A">
        <w:rPr>
          <w:lang w:val="fr-FR"/>
        </w:rPr>
        <w:t xml:space="preserve">établissement soient rapidement et convenablement examinées. </w:t>
      </w:r>
    </w:p>
    <w:p w:rsidR="00B17D2A" w:rsidRPr="00B17D2A" w:rsidRDefault="00B17D2A" w:rsidP="00B17D2A">
      <w:pPr>
        <w:pStyle w:val="SingleTxtG"/>
        <w:rPr>
          <w:lang w:val="fr-FR"/>
        </w:rPr>
      </w:pPr>
      <w:r w:rsidRPr="00B17D2A">
        <w:rPr>
          <w:lang w:val="fr-FR"/>
        </w:rPr>
        <w:t>(Mesures appliquées dans les centres de guidance infantile)</w:t>
      </w:r>
    </w:p>
    <w:p w:rsidR="00B17D2A" w:rsidRPr="00B17D2A" w:rsidRDefault="00B17D2A" w:rsidP="00B17D2A">
      <w:pPr>
        <w:pStyle w:val="SingleTxtG"/>
        <w:rPr>
          <w:lang w:val="fr-FR"/>
        </w:rPr>
      </w:pPr>
      <w:r w:rsidRPr="00B17D2A">
        <w:rPr>
          <w:lang w:val="fr-FR"/>
        </w:rPr>
        <w:t>196.</w:t>
      </w:r>
      <w:r w:rsidRPr="00B17D2A">
        <w:rPr>
          <w:lang w:val="fr-FR"/>
        </w:rPr>
        <w:tab/>
        <w:t xml:space="preserve">Voir paragraphe 155 du deuxième rapport du Japon. </w:t>
      </w:r>
    </w:p>
    <w:p w:rsidR="00B17D2A" w:rsidRPr="00B17D2A" w:rsidRDefault="00B17D2A" w:rsidP="00B17D2A">
      <w:pPr>
        <w:pStyle w:val="SingleTxtG"/>
        <w:rPr>
          <w:lang w:val="fr-FR"/>
        </w:rPr>
      </w:pPr>
      <w:r w:rsidRPr="00B17D2A">
        <w:rPr>
          <w:lang w:val="fr-FR"/>
        </w:rPr>
        <w:t>(</w:t>
      </w:r>
      <w:r w:rsidR="008F55B7">
        <w:rPr>
          <w:lang w:val="fr-FR"/>
        </w:rPr>
        <w:t>É</w:t>
      </w:r>
      <w:r w:rsidRPr="00B17D2A">
        <w:rPr>
          <w:lang w:val="fr-FR"/>
        </w:rPr>
        <w:t>tablissements pénitentiaires)</w:t>
      </w:r>
    </w:p>
    <w:p w:rsidR="00B17D2A" w:rsidRPr="00B17D2A" w:rsidRDefault="00B17D2A" w:rsidP="00B17D2A">
      <w:pPr>
        <w:pStyle w:val="SingleTxtG"/>
        <w:rPr>
          <w:lang w:val="fr-FR"/>
        </w:rPr>
      </w:pPr>
      <w:r w:rsidRPr="00B17D2A">
        <w:rPr>
          <w:lang w:val="fr-FR"/>
        </w:rPr>
        <w:t>197.</w:t>
      </w:r>
      <w:r w:rsidRPr="00B17D2A">
        <w:rPr>
          <w:lang w:val="fr-FR"/>
        </w:rPr>
        <w:tab/>
        <w:t xml:space="preserve">Voir paragraphe 151 du deuxième rapport du Japon. </w:t>
      </w:r>
    </w:p>
    <w:p w:rsidR="00B17D2A" w:rsidRPr="00B17D2A" w:rsidRDefault="00B17D2A" w:rsidP="00505845">
      <w:pPr>
        <w:pStyle w:val="SingleTxtG"/>
        <w:rPr>
          <w:lang w:val="fr-FR"/>
        </w:rPr>
      </w:pPr>
      <w:r w:rsidRPr="00B17D2A">
        <w:rPr>
          <w:lang w:val="fr-FR"/>
        </w:rPr>
        <w:t>(Procédures de demande d</w:t>
      </w:r>
      <w:r w:rsidR="00277023">
        <w:rPr>
          <w:lang w:val="fr-FR"/>
        </w:rPr>
        <w:t>’</w:t>
      </w:r>
      <w:r w:rsidRPr="00B17D2A">
        <w:rPr>
          <w:lang w:val="fr-FR"/>
        </w:rPr>
        <w:t>asile)</w:t>
      </w:r>
    </w:p>
    <w:p w:rsidR="00B17D2A" w:rsidRPr="00B17D2A" w:rsidRDefault="00B17D2A" w:rsidP="00B17D2A">
      <w:pPr>
        <w:pStyle w:val="SingleTxtG"/>
        <w:rPr>
          <w:lang w:val="fr-FR"/>
        </w:rPr>
      </w:pPr>
      <w:r w:rsidRPr="00B17D2A">
        <w:rPr>
          <w:lang w:val="fr-FR"/>
        </w:rPr>
        <w:t>198.</w:t>
      </w:r>
      <w:r w:rsidRPr="00B17D2A">
        <w:rPr>
          <w:lang w:val="fr-FR"/>
        </w:rPr>
        <w:tab/>
        <w:t xml:space="preserve">Voir paragraphe 176. </w:t>
      </w:r>
    </w:p>
    <w:p w:rsidR="00B17D2A" w:rsidRPr="00B17D2A" w:rsidRDefault="000C7D86" w:rsidP="000C7D86">
      <w:pPr>
        <w:pStyle w:val="H23G"/>
        <w:rPr>
          <w:lang w:val="fr-FR"/>
        </w:rPr>
      </w:pPr>
      <w:r>
        <w:rPr>
          <w:lang w:val="fr-FR"/>
        </w:rPr>
        <w:tab/>
        <w:t>b)</w:t>
      </w:r>
      <w:r>
        <w:rPr>
          <w:lang w:val="fr-FR"/>
        </w:rPr>
        <w:tab/>
      </w:r>
      <w:r w:rsidR="00B17D2A" w:rsidRPr="00B17D2A">
        <w:rPr>
          <w:lang w:val="fr-FR"/>
        </w:rPr>
        <w:t>Possibilités d</w:t>
      </w:r>
      <w:r w:rsidR="00277023">
        <w:rPr>
          <w:lang w:val="fr-FR"/>
        </w:rPr>
        <w:t>’</w:t>
      </w:r>
      <w:r w:rsidR="00B17D2A" w:rsidRPr="00B17D2A">
        <w:rPr>
          <w:lang w:val="fr-FR"/>
        </w:rPr>
        <w:t>entendre les vues de l</w:t>
      </w:r>
      <w:r w:rsidR="00277023">
        <w:rPr>
          <w:lang w:val="fr-FR"/>
        </w:rPr>
        <w:t>’</w:t>
      </w:r>
      <w:r w:rsidR="00B17D2A" w:rsidRPr="00B17D2A">
        <w:rPr>
          <w:lang w:val="fr-FR"/>
        </w:rPr>
        <w:t>enfant dans les procédures judiciaires et administratives</w:t>
      </w:r>
    </w:p>
    <w:p w:rsidR="00B17D2A" w:rsidRPr="00B17D2A" w:rsidRDefault="00B17D2A" w:rsidP="00B17D2A">
      <w:pPr>
        <w:pStyle w:val="SingleTxtG"/>
        <w:rPr>
          <w:lang w:val="fr-FR"/>
        </w:rPr>
      </w:pPr>
      <w:r w:rsidRPr="00B17D2A">
        <w:rPr>
          <w:lang w:val="fr-FR"/>
        </w:rPr>
        <w:t>(Présence au procès)</w:t>
      </w:r>
    </w:p>
    <w:p w:rsidR="00B17D2A" w:rsidRPr="00B17D2A" w:rsidRDefault="00B17D2A" w:rsidP="00B17D2A">
      <w:pPr>
        <w:pStyle w:val="SingleTxtG"/>
        <w:rPr>
          <w:lang w:val="fr-FR"/>
        </w:rPr>
      </w:pPr>
      <w:r w:rsidRPr="00B17D2A">
        <w:rPr>
          <w:lang w:val="fr-FR"/>
        </w:rPr>
        <w:t>199.</w:t>
      </w:r>
      <w:r w:rsidRPr="00B17D2A">
        <w:rPr>
          <w:lang w:val="fr-FR"/>
        </w:rPr>
        <w:tab/>
        <w:t>Sans considération de son âge, un mineur peut être concerné par un litige civil ou administratif. De plus, s</w:t>
      </w:r>
      <w:r w:rsidR="00277023">
        <w:rPr>
          <w:lang w:val="fr-FR"/>
        </w:rPr>
        <w:t>’</w:t>
      </w:r>
      <w:r w:rsidRPr="00B17D2A">
        <w:rPr>
          <w:lang w:val="fr-FR"/>
        </w:rPr>
        <w:t>il s</w:t>
      </w:r>
      <w:r w:rsidR="00277023">
        <w:rPr>
          <w:lang w:val="fr-FR"/>
        </w:rPr>
        <w:t>’</w:t>
      </w:r>
      <w:r w:rsidRPr="00B17D2A">
        <w:rPr>
          <w:lang w:val="fr-FR"/>
        </w:rPr>
        <w:t>agit d</w:t>
      </w:r>
      <w:r w:rsidR="00277023">
        <w:rPr>
          <w:lang w:val="fr-FR"/>
        </w:rPr>
        <w:t>’</w:t>
      </w:r>
      <w:r w:rsidRPr="00B17D2A">
        <w:rPr>
          <w:lang w:val="fr-FR"/>
        </w:rPr>
        <w:t>un procès qui ne le concerne pas directement, mais dont les résultats sont susceptibles de compromettre son intérêt, le mineur peut se ranger aux côtés</w:t>
      </w:r>
      <w:r w:rsidR="00EA1115">
        <w:rPr>
          <w:lang w:val="fr-FR"/>
        </w:rPr>
        <w:t xml:space="preserve"> </w:t>
      </w:r>
      <w:r w:rsidRPr="00B17D2A">
        <w:rPr>
          <w:lang w:val="fr-FR"/>
        </w:rPr>
        <w:t>de l</w:t>
      </w:r>
      <w:r w:rsidR="00277023">
        <w:rPr>
          <w:lang w:val="fr-FR"/>
        </w:rPr>
        <w:t>’</w:t>
      </w:r>
      <w:r w:rsidRPr="00B17D2A">
        <w:rPr>
          <w:lang w:val="fr-FR"/>
        </w:rPr>
        <w:t>une ou l</w:t>
      </w:r>
      <w:r w:rsidR="00277023">
        <w:rPr>
          <w:lang w:val="fr-FR"/>
        </w:rPr>
        <w:t>’</w:t>
      </w:r>
      <w:r w:rsidRPr="00B17D2A">
        <w:rPr>
          <w:lang w:val="fr-FR"/>
        </w:rPr>
        <w:t>autre partie (article 42 du Code de procédure civile). Cependant, les actes de procédure tels que le fait d</w:t>
      </w:r>
      <w:r w:rsidR="00277023">
        <w:rPr>
          <w:lang w:val="fr-FR"/>
        </w:rPr>
        <w:t>’</w:t>
      </w:r>
      <w:r w:rsidRPr="00B17D2A">
        <w:rPr>
          <w:lang w:val="fr-FR"/>
        </w:rPr>
        <w:t>intenter un procès doivent en principe être accomplis par un représentant légal tel qu</w:t>
      </w:r>
      <w:r w:rsidR="00277023">
        <w:rPr>
          <w:lang w:val="fr-FR"/>
        </w:rPr>
        <w:t>’</w:t>
      </w:r>
      <w:r w:rsidRPr="00B17D2A">
        <w:rPr>
          <w:lang w:val="fr-FR"/>
        </w:rPr>
        <w:t>une personne investie de l</w:t>
      </w:r>
      <w:r w:rsidR="00277023">
        <w:rPr>
          <w:lang w:val="fr-FR"/>
        </w:rPr>
        <w:t>’</w:t>
      </w:r>
      <w:r w:rsidRPr="00B17D2A">
        <w:rPr>
          <w:lang w:val="fr-FR"/>
        </w:rPr>
        <w:t>autorité parentale, sauf si l</w:t>
      </w:r>
      <w:r w:rsidR="00277023">
        <w:rPr>
          <w:lang w:val="fr-FR"/>
        </w:rPr>
        <w:t>’</w:t>
      </w:r>
      <w:r w:rsidRPr="00B17D2A">
        <w:rPr>
          <w:lang w:val="fr-FR"/>
        </w:rPr>
        <w:t>action a trait au statut personnel, auquel cas une personne peut accomplir seule un acte de procédure même si elle est mineure (voir le premier paragraphe de l</w:t>
      </w:r>
      <w:r w:rsidR="00277023">
        <w:rPr>
          <w:lang w:val="fr-FR"/>
        </w:rPr>
        <w:t>’</w:t>
      </w:r>
      <w:r w:rsidRPr="00B17D2A">
        <w:rPr>
          <w:lang w:val="fr-FR"/>
        </w:rPr>
        <w:t>article 13 du Code de procédure concernant les affaires relatives au statut personnel).</w:t>
      </w:r>
    </w:p>
    <w:p w:rsidR="00B17D2A" w:rsidRPr="00B17D2A" w:rsidRDefault="00B17D2A" w:rsidP="00B17D2A">
      <w:pPr>
        <w:pStyle w:val="SingleTxtG"/>
        <w:rPr>
          <w:lang w:val="fr-FR"/>
        </w:rPr>
      </w:pPr>
      <w:r w:rsidRPr="00B17D2A">
        <w:rPr>
          <w:lang w:val="fr-FR"/>
        </w:rPr>
        <w:t>(Auditions des opinions)</w:t>
      </w:r>
    </w:p>
    <w:p w:rsidR="00B17D2A" w:rsidRPr="00B17D2A" w:rsidRDefault="00B17D2A" w:rsidP="00B17D2A">
      <w:pPr>
        <w:pStyle w:val="SingleTxtG"/>
        <w:rPr>
          <w:lang w:val="fr-FR"/>
        </w:rPr>
      </w:pPr>
      <w:r w:rsidRPr="00B17D2A">
        <w:rPr>
          <w:lang w:val="fr-FR"/>
        </w:rPr>
        <w:t>200.</w:t>
      </w:r>
      <w:r w:rsidRPr="00B17D2A">
        <w:rPr>
          <w:lang w:val="fr-FR"/>
        </w:rPr>
        <w:tab/>
        <w:t xml:space="preserve">Voir paragraphes 156-158 du deuxième rapport du Japon. </w:t>
      </w:r>
    </w:p>
    <w:p w:rsidR="00B17D2A" w:rsidRPr="00B17D2A" w:rsidRDefault="00B17D2A" w:rsidP="00B17D2A">
      <w:pPr>
        <w:pStyle w:val="SingleTxtG"/>
        <w:rPr>
          <w:lang w:val="fr-FR"/>
        </w:rPr>
      </w:pPr>
      <w:r w:rsidRPr="00B17D2A">
        <w:rPr>
          <w:lang w:val="fr-FR"/>
        </w:rPr>
        <w:t>201.</w:t>
      </w:r>
      <w:r w:rsidRPr="00B17D2A">
        <w:rPr>
          <w:lang w:val="fr-FR"/>
        </w:rPr>
        <w:tab/>
        <w:t>S</w:t>
      </w:r>
      <w:r w:rsidR="00277023">
        <w:rPr>
          <w:lang w:val="fr-FR"/>
        </w:rPr>
        <w:t>’</w:t>
      </w:r>
      <w:r w:rsidRPr="00B17D2A">
        <w:rPr>
          <w:lang w:val="fr-FR"/>
        </w:rPr>
        <w:t>agissant des procédures relatives à des affaires familiales, l</w:t>
      </w:r>
      <w:r w:rsidR="00277023">
        <w:rPr>
          <w:lang w:val="fr-FR"/>
        </w:rPr>
        <w:t>’</w:t>
      </w:r>
      <w:r w:rsidRPr="00B17D2A">
        <w:rPr>
          <w:lang w:val="fr-FR"/>
        </w:rPr>
        <w:t xml:space="preserve">audition des enfants âgés de 15 ans ou plus est requise en vertu de </w:t>
      </w:r>
      <w:smartTag w:uri="urn:schemas-microsoft-com:office:smarttags" w:element="PersonName">
        <w:smartTagPr>
          <w:attr w:name="ProductID" w:val="la Loi"/>
        </w:smartTagPr>
        <w:r w:rsidRPr="00B17D2A">
          <w:rPr>
            <w:lang w:val="fr-FR"/>
          </w:rPr>
          <w:t>la Loi</w:t>
        </w:r>
      </w:smartTag>
      <w:r w:rsidRPr="00B17D2A">
        <w:rPr>
          <w:lang w:val="fr-FR"/>
        </w:rPr>
        <w:t xml:space="preserve"> lors de l</w:t>
      </w:r>
      <w:r w:rsidR="00277023">
        <w:rPr>
          <w:lang w:val="fr-FR"/>
        </w:rPr>
        <w:t>’</w:t>
      </w:r>
      <w:r w:rsidRPr="00B17D2A">
        <w:rPr>
          <w:lang w:val="fr-FR"/>
        </w:rPr>
        <w:t>examen d</w:t>
      </w:r>
      <w:r w:rsidR="00277023">
        <w:rPr>
          <w:lang w:val="fr-FR"/>
        </w:rPr>
        <w:t>’</w:t>
      </w:r>
      <w:r w:rsidRPr="00B17D2A">
        <w:rPr>
          <w:lang w:val="fr-FR"/>
        </w:rPr>
        <w:t>une affaire qui concerne directement le bien-être de l</w:t>
      </w:r>
      <w:r w:rsidR="00277023">
        <w:rPr>
          <w:lang w:val="fr-FR"/>
        </w:rPr>
        <w:t>’</w:t>
      </w:r>
      <w:r w:rsidRPr="00B17D2A">
        <w:rPr>
          <w:lang w:val="fr-FR"/>
        </w:rPr>
        <w:t>enfant (par exemple, les affaires concernant la désignation ou la disqualification d</w:t>
      </w:r>
      <w:r w:rsidR="00277023">
        <w:rPr>
          <w:lang w:val="fr-FR"/>
        </w:rPr>
        <w:t>’</w:t>
      </w:r>
      <w:r w:rsidRPr="00B17D2A">
        <w:rPr>
          <w:lang w:val="fr-FR"/>
        </w:rPr>
        <w:t>une personne au regard de la garde de l</w:t>
      </w:r>
      <w:r w:rsidR="00277023">
        <w:rPr>
          <w:lang w:val="fr-FR"/>
        </w:rPr>
        <w:t>’</w:t>
      </w:r>
      <w:r w:rsidRPr="00B17D2A">
        <w:rPr>
          <w:lang w:val="fr-FR"/>
        </w:rPr>
        <w:t>enfant, ou les affaires concernant la désignation ou le changement de la personne investie de l</w:t>
      </w:r>
      <w:r w:rsidR="00277023">
        <w:rPr>
          <w:lang w:val="fr-FR"/>
        </w:rPr>
        <w:t>’</w:t>
      </w:r>
      <w:r w:rsidRPr="00B17D2A">
        <w:rPr>
          <w:lang w:val="fr-FR"/>
        </w:rPr>
        <w:t>autorité parentale, avec remise de l</w:t>
      </w:r>
      <w:r w:rsidR="00277023">
        <w:rPr>
          <w:lang w:val="fr-FR"/>
        </w:rPr>
        <w:t>’</w:t>
      </w:r>
      <w:r w:rsidRPr="00B17D2A">
        <w:rPr>
          <w:lang w:val="fr-FR"/>
        </w:rPr>
        <w:t>enfant et négociations sur les modalités des rencontres avec l</w:t>
      </w:r>
      <w:r w:rsidR="00277023">
        <w:rPr>
          <w:lang w:val="fr-FR"/>
        </w:rPr>
        <w:t>’</w:t>
      </w:r>
      <w:r w:rsidRPr="00B17D2A">
        <w:rPr>
          <w:lang w:val="fr-FR"/>
        </w:rPr>
        <w:t>enfant). De plus, même lorsqu</w:t>
      </w:r>
      <w:r w:rsidR="00277023">
        <w:rPr>
          <w:lang w:val="fr-FR"/>
        </w:rPr>
        <w:t>’</w:t>
      </w:r>
      <w:r w:rsidRPr="00B17D2A">
        <w:rPr>
          <w:lang w:val="fr-FR"/>
        </w:rPr>
        <w:t>il s</w:t>
      </w:r>
      <w:r w:rsidR="00277023">
        <w:rPr>
          <w:lang w:val="fr-FR"/>
        </w:rPr>
        <w:t>’</w:t>
      </w:r>
      <w:r w:rsidRPr="00B17D2A">
        <w:rPr>
          <w:lang w:val="fr-FR"/>
        </w:rPr>
        <w:t>agit d</w:t>
      </w:r>
      <w:r w:rsidR="00277023">
        <w:rPr>
          <w:lang w:val="fr-FR"/>
        </w:rPr>
        <w:t>’</w:t>
      </w:r>
      <w:r w:rsidRPr="00B17D2A">
        <w:rPr>
          <w:lang w:val="fr-FR"/>
        </w:rPr>
        <w:t>enfants de moins de 15 ans, on s</w:t>
      </w:r>
      <w:r w:rsidR="00277023">
        <w:rPr>
          <w:lang w:val="fr-FR"/>
        </w:rPr>
        <w:t>’</w:t>
      </w:r>
      <w:r w:rsidRPr="00B17D2A">
        <w:rPr>
          <w:lang w:val="fr-FR"/>
        </w:rPr>
        <w:t>efforcera d</w:t>
      </w:r>
      <w:r w:rsidR="00277023">
        <w:rPr>
          <w:lang w:val="fr-FR"/>
        </w:rPr>
        <w:t>’</w:t>
      </w:r>
      <w:r w:rsidRPr="00B17D2A">
        <w:rPr>
          <w:lang w:val="fr-FR"/>
        </w:rPr>
        <w:t>organiser une audition tout en s</w:t>
      </w:r>
      <w:r w:rsidR="00277023">
        <w:rPr>
          <w:lang w:val="fr-FR"/>
        </w:rPr>
        <w:t>’</w:t>
      </w:r>
      <w:r w:rsidRPr="00B17D2A">
        <w:rPr>
          <w:lang w:val="fr-FR"/>
        </w:rPr>
        <w:t>assurant qu</w:t>
      </w:r>
      <w:r w:rsidR="00277023">
        <w:rPr>
          <w:lang w:val="fr-FR"/>
        </w:rPr>
        <w:t>’</w:t>
      </w:r>
      <w:r w:rsidRPr="00B17D2A">
        <w:rPr>
          <w:lang w:val="fr-FR"/>
        </w:rPr>
        <w:t>elle ne constitue pas une charge psychologique excessive pour l</w:t>
      </w:r>
      <w:r w:rsidR="00277023">
        <w:rPr>
          <w:lang w:val="fr-FR"/>
        </w:rPr>
        <w:t>’</w:t>
      </w:r>
      <w:r w:rsidRPr="00B17D2A">
        <w:rPr>
          <w:lang w:val="fr-FR"/>
        </w:rPr>
        <w:t>enfant et que celui-ci pourra formuler et présenter son opinion de manière convenable. En outre, s</w:t>
      </w:r>
      <w:r w:rsidR="00277023">
        <w:rPr>
          <w:lang w:val="fr-FR"/>
        </w:rPr>
        <w:t>’</w:t>
      </w:r>
      <w:r w:rsidRPr="00B17D2A">
        <w:rPr>
          <w:lang w:val="fr-FR"/>
        </w:rPr>
        <w:t>agissant d</w:t>
      </w:r>
      <w:r w:rsidR="00277023">
        <w:rPr>
          <w:lang w:val="fr-FR"/>
        </w:rPr>
        <w:t>’</w:t>
      </w:r>
      <w:r w:rsidRPr="00B17D2A">
        <w:rPr>
          <w:lang w:val="fr-FR"/>
        </w:rPr>
        <w:t>actions relatives au statut personnel, lorsque le procès implique la désignation de la personne investie de l</w:t>
      </w:r>
      <w:r w:rsidR="00277023">
        <w:rPr>
          <w:lang w:val="fr-FR"/>
        </w:rPr>
        <w:t>’</w:t>
      </w:r>
      <w:r w:rsidRPr="00B17D2A">
        <w:rPr>
          <w:lang w:val="fr-FR"/>
        </w:rPr>
        <w:t>autorité parentale sur un enfant âgé de 15 ans ou plus dans une procédure de divorce, il est obligatoire d</w:t>
      </w:r>
      <w:r w:rsidR="00277023">
        <w:rPr>
          <w:lang w:val="fr-FR"/>
        </w:rPr>
        <w:t>’</w:t>
      </w:r>
      <w:r w:rsidRPr="00B17D2A">
        <w:rPr>
          <w:lang w:val="fr-FR"/>
        </w:rPr>
        <w:t>entendre l</w:t>
      </w:r>
      <w:r w:rsidR="00277023">
        <w:rPr>
          <w:lang w:val="fr-FR"/>
        </w:rPr>
        <w:t>’</w:t>
      </w:r>
      <w:r w:rsidRPr="00B17D2A">
        <w:rPr>
          <w:lang w:val="fr-FR"/>
        </w:rPr>
        <w:t>opinion de l</w:t>
      </w:r>
      <w:r w:rsidR="00277023">
        <w:rPr>
          <w:lang w:val="fr-FR"/>
        </w:rPr>
        <w:t>’</w:t>
      </w:r>
      <w:r w:rsidRPr="00B17D2A">
        <w:rPr>
          <w:lang w:val="fr-FR"/>
        </w:rPr>
        <w:t>enfant (paragraphe 4 de l</w:t>
      </w:r>
      <w:r w:rsidR="00277023">
        <w:rPr>
          <w:lang w:val="fr-FR"/>
        </w:rPr>
        <w:t>’</w:t>
      </w:r>
      <w:r w:rsidRPr="00B17D2A">
        <w:rPr>
          <w:lang w:val="fr-FR"/>
        </w:rPr>
        <w:t>article 32 du Code de procédure concernant les affaires relatives au statut personnel.)</w:t>
      </w:r>
    </w:p>
    <w:p w:rsidR="00B17D2A" w:rsidRPr="00B17D2A" w:rsidRDefault="00B17D2A" w:rsidP="00B17D2A">
      <w:pPr>
        <w:pStyle w:val="SingleTxtG"/>
        <w:rPr>
          <w:lang w:val="fr-FR"/>
        </w:rPr>
      </w:pPr>
      <w:r w:rsidRPr="00B17D2A">
        <w:rPr>
          <w:lang w:val="fr-FR"/>
        </w:rPr>
        <w:t>(Mineurs détenus dans des établissements pénitentiaires)</w:t>
      </w:r>
    </w:p>
    <w:p w:rsidR="00B17D2A" w:rsidRPr="00B17D2A" w:rsidRDefault="00B17D2A" w:rsidP="00B17D2A">
      <w:pPr>
        <w:pStyle w:val="SingleTxtG"/>
        <w:rPr>
          <w:lang w:val="fr-FR"/>
        </w:rPr>
      </w:pPr>
      <w:r w:rsidRPr="00B17D2A">
        <w:rPr>
          <w:lang w:val="fr-FR"/>
        </w:rPr>
        <w:t>202.</w:t>
      </w:r>
      <w:r w:rsidRPr="00B17D2A">
        <w:rPr>
          <w:lang w:val="fr-FR"/>
        </w:rPr>
        <w:tab/>
        <w:t xml:space="preserve">Voir paragraphes 159-160 du deuxième rapport du Japon. </w:t>
      </w:r>
    </w:p>
    <w:p w:rsidR="00B17D2A" w:rsidRPr="00B17D2A" w:rsidRDefault="000C7D86" w:rsidP="000C7D86">
      <w:pPr>
        <w:pStyle w:val="H23G"/>
        <w:rPr>
          <w:lang w:val="fr-FR"/>
        </w:rPr>
      </w:pPr>
      <w:r>
        <w:rPr>
          <w:lang w:val="fr-FR"/>
        </w:rPr>
        <w:tab/>
        <w:t>c)</w:t>
      </w:r>
      <w:r>
        <w:rPr>
          <w:lang w:val="fr-FR"/>
        </w:rPr>
        <w:tab/>
      </w:r>
      <w:r w:rsidR="00B17D2A" w:rsidRPr="00B17D2A">
        <w:rPr>
          <w:lang w:val="fr-FR"/>
        </w:rPr>
        <w:t>Informations sur les possibilités qu</w:t>
      </w:r>
      <w:r w:rsidR="00277023">
        <w:rPr>
          <w:lang w:val="fr-FR"/>
        </w:rPr>
        <w:t>’</w:t>
      </w:r>
      <w:r w:rsidR="00B17D2A" w:rsidRPr="00B17D2A">
        <w:rPr>
          <w:lang w:val="fr-FR"/>
        </w:rPr>
        <w:t>ont les enfants de participer à la prise de décision et sur les organes au sein desquels ils peuvent le faire</w:t>
      </w:r>
    </w:p>
    <w:p w:rsidR="00B17D2A" w:rsidRPr="00B17D2A" w:rsidRDefault="00B17D2A" w:rsidP="00B17D2A">
      <w:pPr>
        <w:pStyle w:val="SingleTxtG"/>
        <w:rPr>
          <w:lang w:val="fr-FR"/>
        </w:rPr>
      </w:pPr>
      <w:r w:rsidRPr="00B17D2A">
        <w:rPr>
          <w:lang w:val="fr-FR"/>
        </w:rPr>
        <w:t>203.</w:t>
      </w:r>
      <w:r w:rsidRPr="00B17D2A">
        <w:rPr>
          <w:lang w:val="fr-FR"/>
        </w:rPr>
        <w:tab/>
        <w:t xml:space="preserve">Voir paragraphes 161-162 du deuxième rapport du Japon. </w:t>
      </w:r>
    </w:p>
    <w:p w:rsidR="00B17D2A" w:rsidRPr="00B17D2A" w:rsidRDefault="00B17D2A" w:rsidP="00B17D2A">
      <w:pPr>
        <w:pStyle w:val="SingleTxtG"/>
        <w:rPr>
          <w:lang w:val="fr-FR"/>
        </w:rPr>
      </w:pPr>
      <w:r w:rsidRPr="00B17D2A">
        <w:rPr>
          <w:lang w:val="fr-FR"/>
        </w:rPr>
        <w:t>(Participation aux activités scolaires)</w:t>
      </w:r>
    </w:p>
    <w:p w:rsidR="00B17D2A" w:rsidRPr="00B17D2A" w:rsidRDefault="00B17D2A" w:rsidP="00B17D2A">
      <w:pPr>
        <w:pStyle w:val="SingleTxtG"/>
        <w:rPr>
          <w:lang w:val="fr-FR"/>
        </w:rPr>
      </w:pPr>
      <w:r w:rsidRPr="00B17D2A">
        <w:rPr>
          <w:lang w:val="fr-FR"/>
        </w:rPr>
        <w:t>204.</w:t>
      </w:r>
      <w:r w:rsidRPr="00B17D2A">
        <w:rPr>
          <w:lang w:val="fr-FR"/>
        </w:rPr>
        <w:tab/>
        <w:t xml:space="preserve">Voir paragraphe 162 du deuxième rapport du Japon. </w:t>
      </w:r>
    </w:p>
    <w:p w:rsidR="00B17D2A" w:rsidRPr="00B17D2A" w:rsidRDefault="00B17D2A" w:rsidP="00B17D2A">
      <w:pPr>
        <w:pStyle w:val="SingleTxtG"/>
        <w:rPr>
          <w:lang w:val="fr-FR"/>
        </w:rPr>
      </w:pPr>
      <w:r w:rsidRPr="00B17D2A">
        <w:rPr>
          <w:lang w:val="fr-FR"/>
        </w:rPr>
        <w:t>205.</w:t>
      </w:r>
      <w:r w:rsidRPr="00B17D2A">
        <w:rPr>
          <w:lang w:val="fr-FR"/>
        </w:rPr>
        <w:tab/>
        <w:t>Des aspects tels que la formulation des règlements scolaires et l</w:t>
      </w:r>
      <w:r w:rsidR="00277023">
        <w:rPr>
          <w:lang w:val="fr-FR"/>
        </w:rPr>
        <w:t>’</w:t>
      </w:r>
      <w:r w:rsidRPr="00B17D2A">
        <w:rPr>
          <w:lang w:val="fr-FR"/>
        </w:rPr>
        <w:t>organisation des programmes ne concernent pas les enfants à titre individuel et ne sont pas considérés pouvoir faire jouer le droit d</w:t>
      </w:r>
      <w:r w:rsidR="00277023">
        <w:rPr>
          <w:lang w:val="fr-FR"/>
        </w:rPr>
        <w:t>’</w:t>
      </w:r>
      <w:r w:rsidRPr="00B17D2A">
        <w:rPr>
          <w:lang w:val="fr-FR"/>
        </w:rPr>
        <w:t>exprimer ses opinions, ainsi que le prévoit le premier paragraphe de l</w:t>
      </w:r>
      <w:r w:rsidR="00277023">
        <w:rPr>
          <w:lang w:val="fr-FR"/>
        </w:rPr>
        <w:t>’</w:t>
      </w:r>
      <w:r w:rsidRPr="00B17D2A">
        <w:rPr>
          <w:lang w:val="fr-FR"/>
        </w:rPr>
        <w:t>article 12. Cependant, des politiques tenant compte des opinions des enfants peuvent être formulées s</w:t>
      </w:r>
      <w:r w:rsidR="00277023">
        <w:rPr>
          <w:lang w:val="fr-FR"/>
        </w:rPr>
        <w:t>’</w:t>
      </w:r>
      <w:r w:rsidRPr="00B17D2A">
        <w:rPr>
          <w:lang w:val="fr-FR"/>
        </w:rPr>
        <w:t>il y a lieu, comme la réalisation d</w:t>
      </w:r>
      <w:r w:rsidR="00277023">
        <w:rPr>
          <w:lang w:val="fr-FR"/>
        </w:rPr>
        <w:t>’</w:t>
      </w:r>
      <w:r w:rsidRPr="00B17D2A">
        <w:rPr>
          <w:lang w:val="fr-FR"/>
        </w:rPr>
        <w:t>enquêtes ou la possibilité de discuter à travers des conseils de classe et des conseils d</w:t>
      </w:r>
      <w:r w:rsidR="00277023">
        <w:rPr>
          <w:lang w:val="fr-FR"/>
        </w:rPr>
        <w:t>’</w:t>
      </w:r>
      <w:r w:rsidRPr="00B17D2A">
        <w:rPr>
          <w:lang w:val="fr-FR"/>
        </w:rPr>
        <w:t>élèves lors de la révision des règlements scolaires, ou la recherche de moyens d</w:t>
      </w:r>
      <w:r w:rsidR="00277023">
        <w:rPr>
          <w:lang w:val="fr-FR"/>
        </w:rPr>
        <w:t>’</w:t>
      </w:r>
      <w:r w:rsidRPr="00B17D2A">
        <w:rPr>
          <w:lang w:val="fr-FR"/>
        </w:rPr>
        <w:t>élaborer des programmes d</w:t>
      </w:r>
      <w:r w:rsidR="00277023">
        <w:rPr>
          <w:lang w:val="fr-FR"/>
        </w:rPr>
        <w:t>’</w:t>
      </w:r>
      <w:r w:rsidRPr="00B17D2A">
        <w:rPr>
          <w:lang w:val="fr-FR"/>
        </w:rPr>
        <w:t xml:space="preserve">enseignement secondaire (premier et deuxième cycles) qui reflètent autant que faire se peut les choix des élèves, en fonction de leur degré de développement. </w:t>
      </w:r>
    </w:p>
    <w:p w:rsidR="00B17D2A" w:rsidRPr="00B17D2A" w:rsidRDefault="00B17D2A" w:rsidP="00B17D2A">
      <w:pPr>
        <w:pStyle w:val="SingleTxtG"/>
        <w:rPr>
          <w:lang w:val="fr-FR"/>
        </w:rPr>
      </w:pPr>
      <w:r w:rsidRPr="00B17D2A">
        <w:rPr>
          <w:lang w:val="fr-FR"/>
        </w:rPr>
        <w:t>(Activités offertes aux enfants)</w:t>
      </w:r>
    </w:p>
    <w:p w:rsidR="00B17D2A" w:rsidRPr="00B17D2A" w:rsidRDefault="00B17D2A" w:rsidP="00B17D2A">
      <w:pPr>
        <w:pStyle w:val="SingleTxtG"/>
        <w:rPr>
          <w:lang w:val="fr-FR"/>
        </w:rPr>
      </w:pPr>
      <w:r w:rsidRPr="00B17D2A">
        <w:rPr>
          <w:lang w:val="fr-FR"/>
        </w:rPr>
        <w:t>206.</w:t>
      </w:r>
      <w:r w:rsidRPr="00B17D2A">
        <w:rPr>
          <w:lang w:val="fr-FR"/>
        </w:rPr>
        <w:tab/>
        <w:t xml:space="preserve">Les normes relatives aux lieux qui proposent des activités aux enfants tels que les </w:t>
      </w:r>
      <w:r w:rsidR="008E49D4">
        <w:rPr>
          <w:lang w:val="fr-FR"/>
        </w:rPr>
        <w:t>“</w:t>
      </w:r>
      <w:r w:rsidRPr="00B17D2A">
        <w:rPr>
          <w:lang w:val="fr-FR"/>
        </w:rPr>
        <w:t>maisons du peuple</w:t>
      </w:r>
      <w:r w:rsidR="008E49D4">
        <w:rPr>
          <w:lang w:val="fr-FR"/>
        </w:rPr>
        <w:t>”</w:t>
      </w:r>
      <w:r w:rsidRPr="00B17D2A">
        <w:rPr>
          <w:lang w:val="fr-FR"/>
        </w:rPr>
        <w:t xml:space="preserve"> (</w:t>
      </w:r>
      <w:r w:rsidR="008E49D4">
        <w:rPr>
          <w:lang w:val="fr-FR"/>
        </w:rPr>
        <w:t>“</w:t>
      </w:r>
      <w:r w:rsidRPr="00B17D2A">
        <w:rPr>
          <w:lang w:val="fr-FR"/>
        </w:rPr>
        <w:t>minka</w:t>
      </w:r>
      <w:r w:rsidR="008E49D4">
        <w:rPr>
          <w:lang w:val="fr-FR"/>
        </w:rPr>
        <w:t>”</w:t>
      </w:r>
      <w:r w:rsidRPr="00B17D2A">
        <w:rPr>
          <w:lang w:val="fr-FR"/>
        </w:rPr>
        <w:t xml:space="preserve">) et les musées ont été révisées en vue de promouvoir la participation des jeunes aux projets mis en œuvre dans ces lieux. De même, des bibliothèques améliorent les services offerts aux jeunes en renforçant la diversité des livres et autres documents/supports mis à disposition. </w:t>
      </w:r>
    </w:p>
    <w:p w:rsidR="00B17D2A" w:rsidRPr="00B17D2A" w:rsidRDefault="000C7D86" w:rsidP="000C7D86">
      <w:pPr>
        <w:pStyle w:val="H23G"/>
        <w:rPr>
          <w:lang w:val="fr-FR"/>
        </w:rPr>
      </w:pPr>
      <w:r>
        <w:rPr>
          <w:lang w:val="fr-FR"/>
        </w:rPr>
        <w:tab/>
        <w:t>d)</w:t>
      </w:r>
      <w:r>
        <w:rPr>
          <w:lang w:val="fr-FR"/>
        </w:rPr>
        <w:tab/>
      </w:r>
      <w:r w:rsidR="00B17D2A" w:rsidRPr="00B17D2A">
        <w:rPr>
          <w:lang w:val="fr-FR"/>
        </w:rPr>
        <w:t xml:space="preserve">Formation des spécialistes </w:t>
      </w:r>
      <w:r>
        <w:rPr>
          <w:lang w:val="fr-FR"/>
        </w:rPr>
        <w:t>des questions liées à l</w:t>
      </w:r>
      <w:r w:rsidR="00277023">
        <w:rPr>
          <w:lang w:val="fr-FR"/>
        </w:rPr>
        <w:t>’</w:t>
      </w:r>
      <w:r>
        <w:rPr>
          <w:lang w:val="fr-FR"/>
        </w:rPr>
        <w:t>enfance</w:t>
      </w:r>
    </w:p>
    <w:p w:rsidR="00B17D2A" w:rsidRPr="00B17D2A" w:rsidRDefault="00B17D2A" w:rsidP="00B17D2A">
      <w:pPr>
        <w:pStyle w:val="SingleTxtG"/>
        <w:rPr>
          <w:lang w:val="fr-FR"/>
        </w:rPr>
      </w:pPr>
      <w:r w:rsidRPr="00B17D2A">
        <w:rPr>
          <w:lang w:val="fr-FR"/>
        </w:rPr>
        <w:t>207.</w:t>
      </w:r>
      <w:r w:rsidRPr="00B17D2A">
        <w:rPr>
          <w:lang w:val="fr-FR"/>
        </w:rPr>
        <w:tab/>
        <w:t xml:space="preserve">Voir paragraphes 89-103. </w:t>
      </w:r>
    </w:p>
    <w:p w:rsidR="00B17D2A" w:rsidRPr="00B17D2A" w:rsidRDefault="000C7D86" w:rsidP="000C7D86">
      <w:pPr>
        <w:pStyle w:val="H23G"/>
        <w:rPr>
          <w:lang w:val="fr-FR"/>
        </w:rPr>
      </w:pPr>
      <w:r>
        <w:rPr>
          <w:lang w:val="fr-FR"/>
        </w:rPr>
        <w:tab/>
        <w:t>e)</w:t>
      </w:r>
      <w:r>
        <w:rPr>
          <w:lang w:val="fr-FR"/>
        </w:rPr>
        <w:tab/>
      </w:r>
      <w:r w:rsidR="00B17D2A" w:rsidRPr="00B17D2A">
        <w:rPr>
          <w:lang w:val="fr-FR"/>
        </w:rPr>
        <w:t xml:space="preserve">Prise en compte des opinions des enfants obtenues de sondages, de consultations et de pétition dans les décisions législatives, politiques et judiciaires </w:t>
      </w:r>
    </w:p>
    <w:p w:rsidR="00B17D2A" w:rsidRPr="00B17D2A" w:rsidRDefault="00B17D2A" w:rsidP="00B17D2A">
      <w:pPr>
        <w:pStyle w:val="SingleTxtG"/>
        <w:rPr>
          <w:lang w:val="fr-FR"/>
        </w:rPr>
      </w:pPr>
      <w:r w:rsidRPr="00B17D2A">
        <w:rPr>
          <w:lang w:val="fr-FR"/>
        </w:rPr>
        <w:t xml:space="preserve">(Amendement partiel de </w:t>
      </w:r>
      <w:smartTag w:uri="urn:schemas-microsoft-com:office:smarttags" w:element="PersonName">
        <w:smartTagPr>
          <w:attr w:name="ProductID" w:val="la Loi"/>
        </w:smartTagPr>
        <w:r w:rsidRPr="00B17D2A">
          <w:rPr>
            <w:lang w:val="fr-FR"/>
          </w:rPr>
          <w:t>la Loi</w:t>
        </w:r>
      </w:smartTag>
      <w:r w:rsidRPr="00B17D2A">
        <w:rPr>
          <w:lang w:val="fr-FR"/>
        </w:rPr>
        <w:t xml:space="preserve"> relative à la répression de la prostitution des enfants et de la pornographie mettant en scène des enfants, et à la protection des enfants)</w:t>
      </w:r>
    </w:p>
    <w:p w:rsidR="00B17D2A" w:rsidRPr="00B17D2A" w:rsidRDefault="00B17D2A" w:rsidP="00B17D2A">
      <w:pPr>
        <w:pStyle w:val="SingleTxtG"/>
        <w:rPr>
          <w:lang w:val="fr-FR"/>
        </w:rPr>
      </w:pPr>
      <w:r w:rsidRPr="00B17D2A">
        <w:rPr>
          <w:lang w:val="fr-FR"/>
        </w:rPr>
        <w:t>208.</w:t>
      </w:r>
      <w:r w:rsidRPr="00B17D2A">
        <w:rPr>
          <w:lang w:val="fr-FR"/>
        </w:rPr>
        <w:tab/>
        <w:t xml:space="preserve">Voir paragraphe 165 du deuxième rapport du Japon. </w:t>
      </w:r>
    </w:p>
    <w:p w:rsidR="00B17D2A" w:rsidRPr="00B17D2A" w:rsidRDefault="00B17D2A" w:rsidP="00B17D2A">
      <w:pPr>
        <w:pStyle w:val="SingleTxtG"/>
        <w:rPr>
          <w:lang w:val="fr-FR"/>
        </w:rPr>
      </w:pPr>
      <w:r w:rsidRPr="00B17D2A">
        <w:rPr>
          <w:lang w:val="fr-FR"/>
        </w:rPr>
        <w:t>209.</w:t>
      </w:r>
      <w:r w:rsidRPr="00B17D2A">
        <w:rPr>
          <w:lang w:val="fr-FR"/>
        </w:rPr>
        <w:tab/>
        <w:t>Même après la prise d</w:t>
      </w:r>
      <w:r w:rsidR="00277023">
        <w:rPr>
          <w:lang w:val="fr-FR"/>
        </w:rPr>
        <w:t>’</w:t>
      </w:r>
      <w:r w:rsidRPr="00B17D2A">
        <w:rPr>
          <w:lang w:val="fr-FR"/>
        </w:rPr>
        <w:t xml:space="preserve">effet en novembre 1999 de </w:t>
      </w:r>
      <w:smartTag w:uri="urn:schemas-microsoft-com:office:smarttags" w:element="PersonName">
        <w:smartTagPr>
          <w:attr w:name="ProductID" w:val="la Loi"/>
        </w:smartTagPr>
        <w:r w:rsidRPr="00B17D2A">
          <w:rPr>
            <w:lang w:val="fr-FR"/>
          </w:rPr>
          <w:t>la Loi</w:t>
        </w:r>
      </w:smartTag>
      <w:r w:rsidRPr="00B17D2A">
        <w:rPr>
          <w:lang w:val="fr-FR"/>
        </w:rPr>
        <w:t xml:space="preserve"> relative à la répression de la prostitution des enfants et de la pornographie mettant en scène des enfants, et à la protection des enfants, des affaires de prostitution enfantine ont continué d</w:t>
      </w:r>
      <w:r w:rsidR="00277023">
        <w:rPr>
          <w:lang w:val="fr-FR"/>
        </w:rPr>
        <w:t>’</w:t>
      </w:r>
      <w:r w:rsidRPr="00B17D2A">
        <w:rPr>
          <w:lang w:val="fr-FR"/>
        </w:rPr>
        <w:t>être signalées et les affaires de pornographie enfantine n</w:t>
      </w:r>
      <w:r w:rsidR="00277023">
        <w:rPr>
          <w:lang w:val="fr-FR"/>
        </w:rPr>
        <w:t>’</w:t>
      </w:r>
      <w:r w:rsidRPr="00B17D2A">
        <w:rPr>
          <w:lang w:val="fr-FR"/>
        </w:rPr>
        <w:t>ont enregistré aucune baisse significative. Partant, ladite Loi a été modifiée en juin 2004 afin d</w:t>
      </w:r>
      <w:r w:rsidR="00277023">
        <w:rPr>
          <w:lang w:val="fr-FR"/>
        </w:rPr>
        <w:t>’</w:t>
      </w:r>
      <w:r w:rsidRPr="00B17D2A">
        <w:rPr>
          <w:lang w:val="fr-FR"/>
        </w:rPr>
        <w:t>aggraver les peines encourues pour les crimes de prostitution et de pornographie enfantines.</w:t>
      </w:r>
    </w:p>
    <w:p w:rsidR="00B17D2A" w:rsidRPr="00B17D2A" w:rsidRDefault="00B17D2A" w:rsidP="00B17D2A">
      <w:pPr>
        <w:pStyle w:val="SingleTxtG"/>
        <w:rPr>
          <w:lang w:val="fr-FR"/>
        </w:rPr>
      </w:pPr>
      <w:r w:rsidRPr="00B17D2A">
        <w:rPr>
          <w:lang w:val="fr-FR"/>
        </w:rPr>
        <w:t>(Répondre aux besoins des enfants placés dans les établissements de protection de l</w:t>
      </w:r>
      <w:r w:rsidR="00277023">
        <w:rPr>
          <w:lang w:val="fr-FR"/>
        </w:rPr>
        <w:t>’</w:t>
      </w:r>
      <w:r w:rsidRPr="00B17D2A">
        <w:rPr>
          <w:lang w:val="fr-FR"/>
        </w:rPr>
        <w:t xml:space="preserve">enfance) </w:t>
      </w:r>
    </w:p>
    <w:p w:rsidR="00B17D2A" w:rsidRPr="00B17D2A" w:rsidRDefault="00B17D2A" w:rsidP="00B17D2A">
      <w:pPr>
        <w:pStyle w:val="SingleTxtG"/>
        <w:rPr>
          <w:lang w:val="fr-FR"/>
        </w:rPr>
      </w:pPr>
      <w:r w:rsidRPr="00B17D2A">
        <w:rPr>
          <w:lang w:val="fr-FR"/>
        </w:rPr>
        <w:t>210.</w:t>
      </w:r>
      <w:r w:rsidRPr="00B17D2A">
        <w:rPr>
          <w:lang w:val="fr-FR"/>
        </w:rPr>
        <w:tab/>
        <w:t xml:space="preserve">Voir paragraphe 164 du deuxième rapport du Japon. </w:t>
      </w:r>
    </w:p>
    <w:p w:rsidR="00B17D2A" w:rsidRPr="00B17D2A" w:rsidRDefault="00B17D2A" w:rsidP="00B17D2A">
      <w:pPr>
        <w:pStyle w:val="SingleTxtG"/>
        <w:rPr>
          <w:lang w:val="fr-FR"/>
        </w:rPr>
      </w:pPr>
      <w:r w:rsidRPr="00B17D2A">
        <w:rPr>
          <w:lang w:val="fr-FR"/>
        </w:rPr>
        <w:t>(Audition de l</w:t>
      </w:r>
      <w:r w:rsidR="00277023">
        <w:rPr>
          <w:lang w:val="fr-FR"/>
        </w:rPr>
        <w:t>’</w:t>
      </w:r>
      <w:r w:rsidRPr="00B17D2A">
        <w:rPr>
          <w:lang w:val="fr-FR"/>
        </w:rPr>
        <w:t>opinion des mineurs)</w:t>
      </w:r>
    </w:p>
    <w:p w:rsidR="00B17D2A" w:rsidRPr="00B17D2A" w:rsidRDefault="00B17D2A" w:rsidP="00B17D2A">
      <w:pPr>
        <w:pStyle w:val="SingleTxtG"/>
        <w:rPr>
          <w:lang w:val="fr-FR"/>
        </w:rPr>
      </w:pPr>
      <w:r w:rsidRPr="00B17D2A">
        <w:rPr>
          <w:lang w:val="fr-FR"/>
        </w:rPr>
        <w:t>211.</w:t>
      </w:r>
      <w:r w:rsidRPr="00B17D2A">
        <w:rPr>
          <w:lang w:val="fr-FR"/>
        </w:rPr>
        <w:tab/>
        <w:t>Dans le cadre de la promotion de mesures et de politiques en faveur des mineurs, au titre d</w:t>
      </w:r>
      <w:r w:rsidR="00277023">
        <w:rPr>
          <w:lang w:val="fr-FR"/>
        </w:rPr>
        <w:t>’</w:t>
      </w:r>
      <w:r w:rsidRPr="00B17D2A">
        <w:rPr>
          <w:lang w:val="fr-FR"/>
        </w:rPr>
        <w:t>un projet permettant d</w:t>
      </w:r>
      <w:r w:rsidR="00277023">
        <w:rPr>
          <w:lang w:val="fr-FR"/>
        </w:rPr>
        <w:t>’</w:t>
      </w:r>
      <w:r w:rsidRPr="00B17D2A">
        <w:rPr>
          <w:lang w:val="fr-FR"/>
        </w:rPr>
        <w:t xml:space="preserve">entendre les opinions personnelles de mineurs sur des questions concernant la société et la jeunesse japonaises, le Bureau du Cabinet a mis en place en 2002 un </w:t>
      </w:r>
      <w:r w:rsidR="008E49D4">
        <w:rPr>
          <w:lang w:val="fr-FR"/>
        </w:rPr>
        <w:t>“</w:t>
      </w:r>
      <w:r w:rsidRPr="00B17D2A">
        <w:rPr>
          <w:lang w:val="fr-FR"/>
        </w:rPr>
        <w:t>dispositif électronique de suivi de la jeunesse</w:t>
      </w:r>
      <w:r w:rsidR="008E49D4">
        <w:rPr>
          <w:lang w:val="fr-FR"/>
        </w:rPr>
        <w:t>”</w:t>
      </w:r>
      <w:r w:rsidRPr="00B17D2A">
        <w:rPr>
          <w:lang w:val="fr-FR"/>
        </w:rPr>
        <w:t xml:space="preserve"> qui utilise Internet pour connaître les points de vue des jeunes. Ce dispositif, également utilisé pour la formulation de </w:t>
      </w:r>
      <w:smartTag w:uri="urn:schemas-microsoft-com:office:smarttags" w:element="PersonName">
        <w:smartTagPr>
          <w:attr w:name="ProductID" w:val="la Politique"/>
        </w:smartTagPr>
        <w:r w:rsidRPr="00B17D2A">
          <w:rPr>
            <w:lang w:val="fr-FR"/>
          </w:rPr>
          <w:t>la Politique</w:t>
        </w:r>
      </w:smartTag>
      <w:r w:rsidRPr="00B17D2A">
        <w:rPr>
          <w:lang w:val="fr-FR"/>
        </w:rPr>
        <w:t xml:space="preserve"> nationale en faveur de la jeunesse, permet d</w:t>
      </w:r>
      <w:r w:rsidR="00277023">
        <w:rPr>
          <w:lang w:val="fr-FR"/>
        </w:rPr>
        <w:t>’</w:t>
      </w:r>
      <w:r w:rsidRPr="00B17D2A">
        <w:rPr>
          <w:lang w:val="fr-FR"/>
        </w:rPr>
        <w:t>être à l</w:t>
      </w:r>
      <w:r w:rsidR="00277023">
        <w:rPr>
          <w:lang w:val="fr-FR"/>
        </w:rPr>
        <w:t>’</w:t>
      </w:r>
      <w:r w:rsidRPr="00B17D2A">
        <w:rPr>
          <w:lang w:val="fr-FR"/>
        </w:rPr>
        <w:t xml:space="preserve">écoute directe des vues et des demandes des jeunes et de les traduire dans les documents pertinents. </w:t>
      </w:r>
    </w:p>
    <w:p w:rsidR="00B17D2A" w:rsidRPr="00B17D2A" w:rsidRDefault="000C7D86" w:rsidP="000C7D86">
      <w:pPr>
        <w:pStyle w:val="HChG"/>
        <w:rPr>
          <w:lang w:val="fr-FR"/>
        </w:rPr>
      </w:pPr>
      <w:r>
        <w:rPr>
          <w:lang w:val="fr-FR"/>
        </w:rPr>
        <w:tab/>
        <w:t>IV.</w:t>
      </w:r>
      <w:r>
        <w:rPr>
          <w:lang w:val="fr-FR"/>
        </w:rPr>
        <w:tab/>
      </w:r>
      <w:r w:rsidRPr="00B17D2A">
        <w:rPr>
          <w:lang w:val="fr-FR"/>
        </w:rPr>
        <w:t>Droits civils et libert</w:t>
      </w:r>
      <w:r>
        <w:rPr>
          <w:lang w:val="fr-FR"/>
        </w:rPr>
        <w:t>é</w:t>
      </w:r>
      <w:r w:rsidRPr="00B17D2A">
        <w:rPr>
          <w:lang w:val="fr-FR"/>
        </w:rPr>
        <w:t xml:space="preserve">s </w:t>
      </w:r>
      <w:r w:rsidR="00B17D2A" w:rsidRPr="00B17D2A">
        <w:rPr>
          <w:lang w:val="fr-FR"/>
        </w:rPr>
        <w:t>(a</w:t>
      </w:r>
      <w:r>
        <w:rPr>
          <w:lang w:val="fr-FR"/>
        </w:rPr>
        <w:t xml:space="preserve">rticles 7, 8, 13-17, et </w:t>
      </w:r>
      <w:smartTag w:uri="urn:schemas-microsoft-com:office:smarttags" w:element="metricconverter">
        <w:smartTagPr>
          <w:attr w:name="ProductID" w:val="37 a"/>
        </w:smartTagPr>
        <w:r>
          <w:rPr>
            <w:lang w:val="fr-FR"/>
          </w:rPr>
          <w:t>37 a</w:t>
        </w:r>
      </w:smartTag>
      <w:r>
        <w:rPr>
          <w:lang w:val="fr-FR"/>
        </w:rPr>
        <w:t>))</w:t>
      </w:r>
    </w:p>
    <w:p w:rsidR="00B17D2A" w:rsidRPr="00B17D2A" w:rsidRDefault="000C7D86" w:rsidP="000C7D86">
      <w:pPr>
        <w:pStyle w:val="H1G"/>
        <w:rPr>
          <w:lang w:val="fr-FR"/>
        </w:rPr>
      </w:pPr>
      <w:r>
        <w:rPr>
          <w:lang w:val="fr-FR"/>
        </w:rPr>
        <w:tab/>
      </w:r>
      <w:r w:rsidR="00B17D2A" w:rsidRPr="00B17D2A">
        <w:rPr>
          <w:lang w:val="fr-FR"/>
        </w:rPr>
        <w:t>A.</w:t>
      </w:r>
      <w:r w:rsidR="00B17D2A" w:rsidRPr="00B17D2A">
        <w:rPr>
          <w:lang w:val="fr-FR"/>
        </w:rPr>
        <w:tab/>
      </w:r>
      <w:r w:rsidRPr="00B17D2A">
        <w:rPr>
          <w:lang w:val="fr-FR"/>
        </w:rPr>
        <w:t xml:space="preserve">Nom </w:t>
      </w:r>
      <w:r w:rsidR="00B17D2A" w:rsidRPr="00B17D2A">
        <w:rPr>
          <w:lang w:val="fr-FR"/>
        </w:rPr>
        <w:t>et nationalité (article 7)</w:t>
      </w:r>
    </w:p>
    <w:p w:rsidR="00B17D2A" w:rsidRPr="00B17D2A" w:rsidRDefault="00B17D2A" w:rsidP="00B17D2A">
      <w:pPr>
        <w:pStyle w:val="SingleTxtG"/>
        <w:rPr>
          <w:lang w:val="fr-FR"/>
        </w:rPr>
      </w:pPr>
      <w:r w:rsidRPr="00B17D2A">
        <w:rPr>
          <w:lang w:val="fr-FR"/>
        </w:rPr>
        <w:t>(Enregistrement des naissances)</w:t>
      </w:r>
    </w:p>
    <w:p w:rsidR="00B17D2A" w:rsidRPr="00B17D2A" w:rsidRDefault="00B17D2A" w:rsidP="00B17D2A">
      <w:pPr>
        <w:pStyle w:val="SingleTxtG"/>
        <w:rPr>
          <w:lang w:val="fr-FR"/>
        </w:rPr>
      </w:pPr>
      <w:r w:rsidRPr="00B17D2A">
        <w:rPr>
          <w:lang w:val="fr-FR"/>
        </w:rPr>
        <w:t>212.</w:t>
      </w:r>
      <w:r w:rsidRPr="00B17D2A">
        <w:rPr>
          <w:lang w:val="fr-FR"/>
        </w:rPr>
        <w:tab/>
        <w:t xml:space="preserve">Voir paragraphe 166 du deuxième rapport du Japon (paragraphes 72 et 73 du rapport initial du Japon). </w:t>
      </w:r>
    </w:p>
    <w:p w:rsidR="00B17D2A" w:rsidRPr="00B17D2A" w:rsidRDefault="00B17D2A" w:rsidP="00B17D2A">
      <w:pPr>
        <w:pStyle w:val="SingleTxtG"/>
        <w:rPr>
          <w:lang w:val="fr-FR"/>
        </w:rPr>
      </w:pPr>
      <w:r w:rsidRPr="00B17D2A">
        <w:rPr>
          <w:lang w:val="fr-FR"/>
        </w:rPr>
        <w:t>(Déclaration de naissance)</w:t>
      </w:r>
    </w:p>
    <w:p w:rsidR="00B17D2A" w:rsidRPr="00B17D2A" w:rsidRDefault="00B17D2A" w:rsidP="00B17D2A">
      <w:pPr>
        <w:pStyle w:val="SingleTxtG"/>
        <w:rPr>
          <w:lang w:val="fr-FR"/>
        </w:rPr>
      </w:pPr>
      <w:r w:rsidRPr="00B17D2A">
        <w:rPr>
          <w:lang w:val="fr-FR"/>
        </w:rPr>
        <w:t>213.</w:t>
      </w:r>
      <w:r w:rsidRPr="00B17D2A">
        <w:rPr>
          <w:lang w:val="fr-FR"/>
        </w:rPr>
        <w:tab/>
        <w:t xml:space="preserve">Voir paragraphes 167-168 du deuxième rapport du Japon. </w:t>
      </w:r>
    </w:p>
    <w:p w:rsidR="00B17D2A" w:rsidRPr="00B17D2A" w:rsidRDefault="00B17D2A" w:rsidP="00505845">
      <w:pPr>
        <w:pStyle w:val="SingleTxtG"/>
        <w:rPr>
          <w:lang w:val="fr-FR"/>
        </w:rPr>
      </w:pPr>
      <w:r w:rsidRPr="00B17D2A">
        <w:rPr>
          <w:lang w:val="fr-FR"/>
        </w:rPr>
        <w:t>(Formation appropriée du personnel de l</w:t>
      </w:r>
      <w:r w:rsidR="00277023">
        <w:rPr>
          <w:lang w:val="fr-FR"/>
        </w:rPr>
        <w:t>’</w:t>
      </w:r>
      <w:r w:rsidRPr="00B17D2A">
        <w:rPr>
          <w:lang w:val="fr-FR"/>
        </w:rPr>
        <w:t>état civil)</w:t>
      </w:r>
    </w:p>
    <w:p w:rsidR="00B17D2A" w:rsidRPr="00B17D2A" w:rsidRDefault="00B17D2A" w:rsidP="00B17D2A">
      <w:pPr>
        <w:pStyle w:val="SingleTxtG"/>
        <w:rPr>
          <w:lang w:val="fr-FR"/>
        </w:rPr>
      </w:pPr>
      <w:r w:rsidRPr="00B17D2A">
        <w:rPr>
          <w:lang w:val="fr-FR"/>
        </w:rPr>
        <w:t>214.</w:t>
      </w:r>
      <w:r w:rsidRPr="00B17D2A">
        <w:rPr>
          <w:lang w:val="fr-FR"/>
        </w:rPr>
        <w:tab/>
        <w:t xml:space="preserve">Voir paragraphe 169 du deuxième rapport du Japon. </w:t>
      </w:r>
    </w:p>
    <w:p w:rsidR="00B17D2A" w:rsidRPr="00B17D2A" w:rsidRDefault="00B17D2A" w:rsidP="00B17D2A">
      <w:pPr>
        <w:pStyle w:val="SingleTxtG"/>
        <w:rPr>
          <w:lang w:val="fr-FR"/>
        </w:rPr>
      </w:pPr>
      <w:r w:rsidRPr="00B17D2A">
        <w:rPr>
          <w:lang w:val="fr-FR"/>
        </w:rPr>
        <w:t>(Eléments requis pour l</w:t>
      </w:r>
      <w:r w:rsidR="00277023">
        <w:rPr>
          <w:lang w:val="fr-FR"/>
        </w:rPr>
        <w:t>’</w:t>
      </w:r>
      <w:r w:rsidRPr="00B17D2A">
        <w:rPr>
          <w:lang w:val="fr-FR"/>
        </w:rPr>
        <w:t>enregistrement d</w:t>
      </w:r>
      <w:r w:rsidR="00277023">
        <w:rPr>
          <w:lang w:val="fr-FR"/>
        </w:rPr>
        <w:t>’</w:t>
      </w:r>
      <w:r w:rsidRPr="00B17D2A">
        <w:rPr>
          <w:lang w:val="fr-FR"/>
        </w:rPr>
        <w:t xml:space="preserve">une naissance) </w:t>
      </w:r>
    </w:p>
    <w:p w:rsidR="00B17D2A" w:rsidRPr="00B17D2A" w:rsidRDefault="00B17D2A" w:rsidP="00B17D2A">
      <w:pPr>
        <w:pStyle w:val="SingleTxtG"/>
        <w:rPr>
          <w:lang w:val="fr-FR"/>
        </w:rPr>
      </w:pPr>
      <w:r w:rsidRPr="00B17D2A">
        <w:rPr>
          <w:lang w:val="fr-FR"/>
        </w:rPr>
        <w:t>215.</w:t>
      </w:r>
      <w:r w:rsidRPr="00B17D2A">
        <w:rPr>
          <w:lang w:val="fr-FR"/>
        </w:rPr>
        <w:tab/>
        <w:t xml:space="preserve">Voir paragraphe 170 du deuxième rapport du Japon. </w:t>
      </w:r>
    </w:p>
    <w:p w:rsidR="00B17D2A" w:rsidRPr="00B17D2A" w:rsidRDefault="00B17D2A" w:rsidP="00B17D2A">
      <w:pPr>
        <w:pStyle w:val="SingleTxtG"/>
        <w:rPr>
          <w:lang w:val="fr-FR"/>
        </w:rPr>
      </w:pPr>
      <w:r w:rsidRPr="00B17D2A">
        <w:rPr>
          <w:lang w:val="fr-FR"/>
        </w:rPr>
        <w:t>(Droits des enfants nés hors mariage)</w:t>
      </w:r>
    </w:p>
    <w:p w:rsidR="00B17D2A" w:rsidRPr="00B17D2A" w:rsidRDefault="00B17D2A" w:rsidP="00B17D2A">
      <w:pPr>
        <w:pStyle w:val="SingleTxtG"/>
        <w:rPr>
          <w:lang w:val="fr-FR"/>
        </w:rPr>
      </w:pPr>
      <w:r w:rsidRPr="00B17D2A">
        <w:rPr>
          <w:lang w:val="fr-FR"/>
        </w:rPr>
        <w:t>216.</w:t>
      </w:r>
      <w:r w:rsidRPr="00B17D2A">
        <w:rPr>
          <w:lang w:val="fr-FR"/>
        </w:rPr>
        <w:tab/>
        <w:t xml:space="preserve">Voir paragraphe </w:t>
      </w:r>
      <w:smartTag w:uri="urn:schemas-microsoft-com:office:smarttags" w:element="metricconverter">
        <w:smartTagPr>
          <w:attr w:name="ProductID" w:val="172 a"/>
        </w:smartTagPr>
        <w:r w:rsidRPr="00B17D2A">
          <w:rPr>
            <w:lang w:val="fr-FR"/>
          </w:rPr>
          <w:t>172 a</w:t>
        </w:r>
      </w:smartTag>
      <w:r w:rsidRPr="00B17D2A">
        <w:rPr>
          <w:lang w:val="fr-FR"/>
        </w:rPr>
        <w:t>) et b) du deuxième rapport du Japon.</w:t>
      </w:r>
    </w:p>
    <w:p w:rsidR="00B17D2A" w:rsidRPr="00B17D2A" w:rsidRDefault="00B17D2A" w:rsidP="00B17D2A">
      <w:pPr>
        <w:pStyle w:val="SingleTxtG"/>
        <w:rPr>
          <w:lang w:val="fr-FR"/>
        </w:rPr>
      </w:pPr>
      <w:r w:rsidRPr="00B17D2A">
        <w:rPr>
          <w:lang w:val="fr-FR"/>
        </w:rPr>
        <w:t>217.</w:t>
      </w:r>
      <w:r w:rsidRPr="00B17D2A">
        <w:rPr>
          <w:lang w:val="fr-FR"/>
        </w:rPr>
        <w:tab/>
        <w:t>Lorsque parmi les héritiers se trouvent des enfants nés dans le mariage et hors mariage, la part d</w:t>
      </w:r>
      <w:r w:rsidR="00277023">
        <w:rPr>
          <w:lang w:val="fr-FR"/>
        </w:rPr>
        <w:t>’</w:t>
      </w:r>
      <w:r w:rsidRPr="00B17D2A">
        <w:rPr>
          <w:lang w:val="fr-FR"/>
        </w:rPr>
        <w:t>héritage d</w:t>
      </w:r>
      <w:r w:rsidR="00277023">
        <w:rPr>
          <w:lang w:val="fr-FR"/>
        </w:rPr>
        <w:t>’</w:t>
      </w:r>
      <w:r w:rsidRPr="00B17D2A">
        <w:rPr>
          <w:lang w:val="fr-FR"/>
        </w:rPr>
        <w:t>un enfant né hors mariage correspond à la moitié de celle d</w:t>
      </w:r>
      <w:r w:rsidR="00277023">
        <w:rPr>
          <w:lang w:val="fr-FR"/>
        </w:rPr>
        <w:t>’</w:t>
      </w:r>
      <w:r w:rsidRPr="00B17D2A">
        <w:rPr>
          <w:lang w:val="fr-FR"/>
        </w:rPr>
        <w:t>un enfant né dans le mariage (point 4 de l</w:t>
      </w:r>
      <w:r w:rsidR="00277023">
        <w:rPr>
          <w:lang w:val="fr-FR"/>
        </w:rPr>
        <w:t>’</w:t>
      </w:r>
      <w:r w:rsidRPr="00B17D2A">
        <w:rPr>
          <w:lang w:val="fr-FR"/>
        </w:rPr>
        <w:t>article 900 du Code civil). Cette disposition a été établie pour équilibrer le respect des mariages légaux et la protection des enfants nés hors mariage en tenant compte de la situation d</w:t>
      </w:r>
      <w:r w:rsidR="00277023">
        <w:rPr>
          <w:lang w:val="fr-FR"/>
        </w:rPr>
        <w:t>’</w:t>
      </w:r>
      <w:r w:rsidRPr="00B17D2A">
        <w:rPr>
          <w:lang w:val="fr-FR"/>
        </w:rPr>
        <w:t>un enfant né d</w:t>
      </w:r>
      <w:r w:rsidR="00277023">
        <w:rPr>
          <w:lang w:val="fr-FR"/>
        </w:rPr>
        <w:t>’</w:t>
      </w:r>
      <w:r w:rsidRPr="00B17D2A">
        <w:rPr>
          <w:lang w:val="fr-FR"/>
        </w:rPr>
        <w:t>un couple légalement marié et de celle d</w:t>
      </w:r>
      <w:r w:rsidR="00277023">
        <w:rPr>
          <w:lang w:val="fr-FR"/>
        </w:rPr>
        <w:t>’</w:t>
      </w:r>
      <w:r w:rsidRPr="00B17D2A">
        <w:rPr>
          <w:lang w:val="fr-FR"/>
        </w:rPr>
        <w:t>un enfant né hors mariage, reconnaissant par conséquent le droit d</w:t>
      </w:r>
      <w:r w:rsidR="00277023">
        <w:rPr>
          <w:lang w:val="fr-FR"/>
        </w:rPr>
        <w:t>’</w:t>
      </w:r>
      <w:r w:rsidRPr="00B17D2A">
        <w:rPr>
          <w:lang w:val="fr-FR"/>
        </w:rPr>
        <w:t>un enfant né hors mariage de recevoir la moitié de la part d</w:t>
      </w:r>
      <w:r w:rsidR="00277023">
        <w:rPr>
          <w:lang w:val="fr-FR"/>
        </w:rPr>
        <w:t>’</w:t>
      </w:r>
      <w:r w:rsidRPr="00B17D2A">
        <w:rPr>
          <w:lang w:val="fr-FR"/>
        </w:rPr>
        <w:t>héritage d</w:t>
      </w:r>
      <w:r w:rsidR="00277023">
        <w:rPr>
          <w:lang w:val="fr-FR"/>
        </w:rPr>
        <w:t>’</w:t>
      </w:r>
      <w:r w:rsidRPr="00B17D2A">
        <w:rPr>
          <w:lang w:val="fr-FR"/>
        </w:rPr>
        <w:t>un enfant né dans le mariage. Le Gouvernement japonais estime que cette disposition ne constitue pas une discrimination et qu</w:t>
      </w:r>
      <w:r w:rsidR="00277023">
        <w:rPr>
          <w:lang w:val="fr-FR"/>
        </w:rPr>
        <w:t>’</w:t>
      </w:r>
      <w:r w:rsidRPr="00B17D2A">
        <w:rPr>
          <w:lang w:val="fr-FR"/>
        </w:rPr>
        <w:t xml:space="preserve">elle ne viole pas </w:t>
      </w:r>
      <w:smartTag w:uri="urn:schemas-microsoft-com:office:smarttags" w:element="PersonName">
        <w:smartTagPr>
          <w:attr w:name="ProductID" w:val="la Convention."/>
        </w:smartTagPr>
        <w:r w:rsidRPr="00B17D2A">
          <w:rPr>
            <w:lang w:val="fr-FR"/>
          </w:rPr>
          <w:t>la Convention.</w:t>
        </w:r>
      </w:smartTag>
      <w:r w:rsidRPr="00B17D2A">
        <w:rPr>
          <w:lang w:val="fr-FR"/>
        </w:rPr>
        <w:t xml:space="preserve"> </w:t>
      </w:r>
    </w:p>
    <w:p w:rsidR="00B17D2A" w:rsidRPr="00B17D2A" w:rsidRDefault="00B17D2A" w:rsidP="00B17D2A">
      <w:pPr>
        <w:pStyle w:val="SingleTxtG"/>
        <w:rPr>
          <w:lang w:val="fr-FR"/>
        </w:rPr>
      </w:pPr>
      <w:r w:rsidRPr="00B17D2A">
        <w:rPr>
          <w:lang w:val="fr-FR"/>
        </w:rPr>
        <w:t>218.</w:t>
      </w:r>
      <w:r w:rsidRPr="00B17D2A">
        <w:rPr>
          <w:lang w:val="fr-FR"/>
        </w:rPr>
        <w:tab/>
        <w:t>Cependant, il conviendra de revoir le système en cas de modification des conditions sociales au regard de la disposition ci-dessus sur l</w:t>
      </w:r>
      <w:r w:rsidR="00277023">
        <w:rPr>
          <w:lang w:val="fr-FR"/>
        </w:rPr>
        <w:t>’</w:t>
      </w:r>
      <w:r w:rsidRPr="00B17D2A">
        <w:rPr>
          <w:lang w:val="fr-FR"/>
        </w:rPr>
        <w:t>héritage. Dans cette perspective, en février 1996, le Conseil législatif du Ministre de la justice a présenté un avant-projet de loi sur la révision partielle du Code civil proposant notamment d</w:t>
      </w:r>
      <w:r w:rsidR="00277023">
        <w:rPr>
          <w:lang w:val="fr-FR"/>
        </w:rPr>
        <w:t>’</w:t>
      </w:r>
      <w:r w:rsidRPr="00B17D2A">
        <w:rPr>
          <w:lang w:val="fr-FR"/>
        </w:rPr>
        <w:t>uniformiser les parts d</w:t>
      </w:r>
      <w:r w:rsidR="00277023">
        <w:rPr>
          <w:lang w:val="fr-FR"/>
        </w:rPr>
        <w:t>’</w:t>
      </w:r>
      <w:r w:rsidRPr="00B17D2A">
        <w:rPr>
          <w:lang w:val="fr-FR"/>
        </w:rPr>
        <w:t>héritage des enfants nés dans le mariage ou hors mariage. La révision partielle du Code civil est un sujet important qui touche à l</w:t>
      </w:r>
      <w:r w:rsidR="00277023">
        <w:rPr>
          <w:lang w:val="fr-FR"/>
        </w:rPr>
        <w:t>’</w:t>
      </w:r>
      <w:r w:rsidRPr="00B17D2A">
        <w:rPr>
          <w:lang w:val="fr-FR"/>
        </w:rPr>
        <w:t>institution du mariage et à la notion de famille, et comme on rencontre des avis très divers à tous les niveaux de la société et de toutes les parties concernées, l</w:t>
      </w:r>
      <w:r w:rsidR="00277023">
        <w:rPr>
          <w:lang w:val="fr-FR"/>
        </w:rPr>
        <w:t>’</w:t>
      </w:r>
      <w:r w:rsidRPr="00B17D2A">
        <w:rPr>
          <w:lang w:val="fr-FR"/>
        </w:rPr>
        <w:t>évolution de l</w:t>
      </w:r>
      <w:r w:rsidR="00277023">
        <w:rPr>
          <w:lang w:val="fr-FR"/>
        </w:rPr>
        <w:t>’</w:t>
      </w:r>
      <w:r w:rsidRPr="00B17D2A">
        <w:rPr>
          <w:lang w:val="fr-FR"/>
        </w:rPr>
        <w:t>opinion publique est actuellement suivie de près avant de s</w:t>
      </w:r>
      <w:r w:rsidR="00277023">
        <w:rPr>
          <w:lang w:val="fr-FR"/>
        </w:rPr>
        <w:t>’</w:t>
      </w:r>
      <w:r w:rsidRPr="00B17D2A">
        <w:rPr>
          <w:lang w:val="fr-FR"/>
        </w:rPr>
        <w:t>engager plus avant.</w:t>
      </w:r>
    </w:p>
    <w:p w:rsidR="00B17D2A" w:rsidRPr="00B17D2A" w:rsidRDefault="00B17D2A" w:rsidP="00B17D2A">
      <w:pPr>
        <w:pStyle w:val="SingleTxtG"/>
        <w:rPr>
          <w:lang w:val="fr-FR"/>
        </w:rPr>
      </w:pPr>
      <w:r w:rsidRPr="00B17D2A">
        <w:rPr>
          <w:lang w:val="fr-FR"/>
        </w:rPr>
        <w:t>219.</w:t>
      </w:r>
      <w:r w:rsidRPr="00B17D2A">
        <w:rPr>
          <w:lang w:val="fr-FR"/>
        </w:rPr>
        <w:tab/>
        <w:t>S</w:t>
      </w:r>
      <w:r w:rsidR="00277023">
        <w:rPr>
          <w:lang w:val="fr-FR"/>
        </w:rPr>
        <w:t>’</w:t>
      </w:r>
      <w:r w:rsidRPr="00B17D2A">
        <w:rPr>
          <w:lang w:val="fr-FR"/>
        </w:rPr>
        <w:t xml:space="preserve">agissant des livrets de famille qui établissent les liens juridiques existant avec le père et la mère (article 13 de </w:t>
      </w:r>
      <w:smartTag w:uri="urn:schemas-microsoft-com:office:smarttags" w:element="PersonName">
        <w:smartTagPr>
          <w:attr w:name="ProductID" w:val="la Loi"/>
        </w:smartTagPr>
        <w:r w:rsidRPr="00B17D2A">
          <w:rPr>
            <w:lang w:val="fr-FR"/>
          </w:rPr>
          <w:t>la Loi</w:t>
        </w:r>
      </w:smartTag>
      <w:r w:rsidRPr="00B17D2A">
        <w:rPr>
          <w:lang w:val="fr-FR"/>
        </w:rPr>
        <w:t xml:space="preserve"> sur l</w:t>
      </w:r>
      <w:r w:rsidR="00277023">
        <w:rPr>
          <w:lang w:val="fr-FR"/>
        </w:rPr>
        <w:t>’</w:t>
      </w:r>
      <w:r w:rsidRPr="00B17D2A">
        <w:rPr>
          <w:lang w:val="fr-FR"/>
        </w:rPr>
        <w:t>état civil), le décret d</w:t>
      </w:r>
      <w:r w:rsidR="00277023">
        <w:rPr>
          <w:lang w:val="fr-FR"/>
        </w:rPr>
        <w:t>’</w:t>
      </w:r>
      <w:r w:rsidRPr="00B17D2A">
        <w:rPr>
          <w:lang w:val="fr-FR"/>
        </w:rPr>
        <w:t xml:space="preserve">application de </w:t>
      </w:r>
      <w:smartTag w:uri="urn:schemas-microsoft-com:office:smarttags" w:element="PersonName">
        <w:smartTagPr>
          <w:attr w:name="ProductID" w:val="la Loi"/>
        </w:smartTagPr>
        <w:r w:rsidRPr="00B17D2A">
          <w:rPr>
            <w:lang w:val="fr-FR"/>
          </w:rPr>
          <w:t>la Loi</w:t>
        </w:r>
      </w:smartTag>
      <w:r w:rsidRPr="00B17D2A">
        <w:rPr>
          <w:lang w:val="fr-FR"/>
        </w:rPr>
        <w:t xml:space="preserve"> a été partiellement amendé le 1</w:t>
      </w:r>
      <w:r w:rsidRPr="00B17D2A">
        <w:rPr>
          <w:vertAlign w:val="superscript"/>
          <w:lang w:val="fr-FR"/>
        </w:rPr>
        <w:t>er</w:t>
      </w:r>
      <w:r w:rsidRPr="00B17D2A">
        <w:rPr>
          <w:lang w:val="fr-FR"/>
        </w:rPr>
        <w:t xml:space="preserve"> novembre 2004, conduisant à l</w:t>
      </w:r>
      <w:r w:rsidR="00277023">
        <w:rPr>
          <w:lang w:val="fr-FR"/>
        </w:rPr>
        <w:t>’</w:t>
      </w:r>
      <w:r w:rsidRPr="00B17D2A">
        <w:rPr>
          <w:lang w:val="fr-FR"/>
        </w:rPr>
        <w:t>enregistrement d</w:t>
      </w:r>
      <w:r w:rsidR="00277023">
        <w:rPr>
          <w:lang w:val="fr-FR"/>
        </w:rPr>
        <w:t>’</w:t>
      </w:r>
      <w:r w:rsidRPr="00B17D2A">
        <w:rPr>
          <w:lang w:val="fr-FR"/>
        </w:rPr>
        <w:t xml:space="preserve">un enfant en tant que </w:t>
      </w:r>
      <w:r w:rsidR="008E49D4">
        <w:rPr>
          <w:lang w:val="fr-FR"/>
        </w:rPr>
        <w:t>“</w:t>
      </w:r>
      <w:r w:rsidRPr="00B17D2A">
        <w:rPr>
          <w:lang w:val="fr-FR"/>
        </w:rPr>
        <w:t>fils ou fille premier/première né(e)</w:t>
      </w:r>
      <w:r w:rsidR="008E49D4">
        <w:rPr>
          <w:lang w:val="fr-FR"/>
        </w:rPr>
        <w:t>”</w:t>
      </w:r>
      <w:r w:rsidRPr="00B17D2A">
        <w:rPr>
          <w:lang w:val="fr-FR"/>
        </w:rPr>
        <w:t xml:space="preserve"> pour les enfants nés dans le mariage ou hors mariage. Parallèlement, s</w:t>
      </w:r>
      <w:r w:rsidR="00277023">
        <w:rPr>
          <w:lang w:val="fr-FR"/>
        </w:rPr>
        <w:t>’</w:t>
      </w:r>
      <w:r w:rsidRPr="00B17D2A">
        <w:rPr>
          <w:lang w:val="fr-FR"/>
        </w:rPr>
        <w:t>agissant les différences subsistantes dans les mentions figurant sur les livrets de famille, il convient de rappeler que l</w:t>
      </w:r>
      <w:r w:rsidR="00277023">
        <w:rPr>
          <w:lang w:val="fr-FR"/>
        </w:rPr>
        <w:t>’</w:t>
      </w:r>
      <w:r w:rsidRPr="00B17D2A">
        <w:rPr>
          <w:lang w:val="fr-FR"/>
        </w:rPr>
        <w:t>objet d</w:t>
      </w:r>
      <w:r w:rsidR="00277023">
        <w:rPr>
          <w:lang w:val="fr-FR"/>
        </w:rPr>
        <w:t>’</w:t>
      </w:r>
      <w:r w:rsidRPr="00B17D2A">
        <w:rPr>
          <w:lang w:val="fr-FR"/>
        </w:rPr>
        <w:t>un livret de famille est d</w:t>
      </w:r>
      <w:r w:rsidR="00277023">
        <w:rPr>
          <w:lang w:val="fr-FR"/>
        </w:rPr>
        <w:t>’</w:t>
      </w:r>
      <w:r w:rsidRPr="00B17D2A">
        <w:rPr>
          <w:lang w:val="fr-FR"/>
        </w:rPr>
        <w:t>enregistrer avec précision et d</w:t>
      </w:r>
      <w:r w:rsidR="00277023">
        <w:rPr>
          <w:lang w:val="fr-FR"/>
        </w:rPr>
        <w:t>’</w:t>
      </w:r>
      <w:r w:rsidRPr="00B17D2A">
        <w:rPr>
          <w:lang w:val="fr-FR"/>
        </w:rPr>
        <w:t>authentifier la situation de chaque enfant ainsi que ses relations avec les parents telles que définies par le droit privé, et les distinctions reposent sur des faits juridiques, dans l</w:t>
      </w:r>
      <w:r w:rsidR="00277023">
        <w:rPr>
          <w:lang w:val="fr-FR"/>
        </w:rPr>
        <w:t>’</w:t>
      </w:r>
      <w:r w:rsidRPr="00B17D2A">
        <w:rPr>
          <w:lang w:val="fr-FR"/>
        </w:rPr>
        <w:t>optique de l</w:t>
      </w:r>
      <w:r w:rsidR="00277023">
        <w:rPr>
          <w:lang w:val="fr-FR"/>
        </w:rPr>
        <w:t>’</w:t>
      </w:r>
      <w:r w:rsidRPr="00B17D2A">
        <w:rPr>
          <w:lang w:val="fr-FR"/>
        </w:rPr>
        <w:t>objet précité. Partant, le Gouvernement japonais ne considère pas cela comme une discrimination déraisonnable.</w:t>
      </w:r>
    </w:p>
    <w:p w:rsidR="00B17D2A" w:rsidRPr="00B17D2A" w:rsidRDefault="00B17D2A" w:rsidP="00B17D2A">
      <w:pPr>
        <w:pStyle w:val="SingleTxtG"/>
        <w:rPr>
          <w:lang w:val="fr-FR"/>
        </w:rPr>
      </w:pPr>
      <w:r w:rsidRPr="00B17D2A">
        <w:rPr>
          <w:lang w:val="fr-FR"/>
        </w:rPr>
        <w:t>(Droit de tout enfant de connaître ses parents et d</w:t>
      </w:r>
      <w:r w:rsidR="00277023">
        <w:rPr>
          <w:lang w:val="fr-FR"/>
        </w:rPr>
        <w:t>’</w:t>
      </w:r>
      <w:r w:rsidRPr="00B17D2A">
        <w:rPr>
          <w:lang w:val="fr-FR"/>
        </w:rPr>
        <w:t xml:space="preserve">être élevé par eux) </w:t>
      </w:r>
    </w:p>
    <w:p w:rsidR="00B17D2A" w:rsidRPr="00B17D2A" w:rsidRDefault="00B17D2A" w:rsidP="00B17D2A">
      <w:pPr>
        <w:pStyle w:val="SingleTxtG"/>
        <w:rPr>
          <w:lang w:val="fr-FR"/>
        </w:rPr>
      </w:pPr>
      <w:r w:rsidRPr="00B17D2A">
        <w:rPr>
          <w:lang w:val="fr-FR"/>
        </w:rPr>
        <w:t>220.</w:t>
      </w:r>
      <w:r w:rsidRPr="00B17D2A">
        <w:rPr>
          <w:lang w:val="fr-FR"/>
        </w:rPr>
        <w:tab/>
        <w:t xml:space="preserve">Voir paragraphes 76-79 du rapport initial du Japon, et paragraphe 174 du deuxième rapport du Japon. </w:t>
      </w:r>
    </w:p>
    <w:p w:rsidR="00B17D2A" w:rsidRPr="00B17D2A" w:rsidRDefault="00B17D2A" w:rsidP="00B17D2A">
      <w:pPr>
        <w:pStyle w:val="SingleTxtG"/>
        <w:rPr>
          <w:lang w:val="fr-FR"/>
        </w:rPr>
      </w:pPr>
      <w:r w:rsidRPr="00B17D2A">
        <w:rPr>
          <w:lang w:val="fr-FR"/>
        </w:rPr>
        <w:t>(Garantir le droit de l</w:t>
      </w:r>
      <w:r w:rsidR="00277023">
        <w:rPr>
          <w:lang w:val="fr-FR"/>
        </w:rPr>
        <w:t>’</w:t>
      </w:r>
      <w:r w:rsidRPr="00B17D2A">
        <w:rPr>
          <w:lang w:val="fr-FR"/>
        </w:rPr>
        <w:t>enfant d</w:t>
      </w:r>
      <w:r w:rsidR="00277023">
        <w:rPr>
          <w:lang w:val="fr-FR"/>
        </w:rPr>
        <w:t>’</w:t>
      </w:r>
      <w:r w:rsidRPr="00B17D2A">
        <w:rPr>
          <w:lang w:val="fr-FR"/>
        </w:rPr>
        <w:t>acquérir une nationalité)</w:t>
      </w:r>
    </w:p>
    <w:p w:rsidR="00B17D2A" w:rsidRPr="00B17D2A" w:rsidRDefault="00B17D2A" w:rsidP="00B17D2A">
      <w:pPr>
        <w:pStyle w:val="SingleTxtG"/>
        <w:rPr>
          <w:lang w:val="fr-FR"/>
        </w:rPr>
      </w:pPr>
      <w:r w:rsidRPr="00B17D2A">
        <w:rPr>
          <w:lang w:val="fr-FR"/>
        </w:rPr>
        <w:t>221.</w:t>
      </w:r>
      <w:r w:rsidRPr="00B17D2A">
        <w:rPr>
          <w:lang w:val="fr-FR"/>
        </w:rPr>
        <w:tab/>
        <w:t xml:space="preserve">Voir paragraphes 175-178 du deuxième rapport du Japon. </w:t>
      </w:r>
    </w:p>
    <w:p w:rsidR="00B17D2A" w:rsidRPr="00B17D2A" w:rsidRDefault="000C7D86" w:rsidP="000C7D86">
      <w:pPr>
        <w:pStyle w:val="H1G"/>
        <w:rPr>
          <w:lang w:val="fr-FR"/>
        </w:rPr>
      </w:pPr>
      <w:r>
        <w:rPr>
          <w:lang w:val="fr-FR"/>
        </w:rPr>
        <w:tab/>
        <w:t>B.</w:t>
      </w:r>
      <w:r>
        <w:rPr>
          <w:lang w:val="fr-FR"/>
        </w:rPr>
        <w:tab/>
      </w:r>
      <w:r w:rsidR="00B17D2A" w:rsidRPr="00B17D2A">
        <w:rPr>
          <w:lang w:val="fr-FR"/>
        </w:rPr>
        <w:t>Préservation de l</w:t>
      </w:r>
      <w:r w:rsidR="00277023">
        <w:rPr>
          <w:lang w:val="fr-FR"/>
        </w:rPr>
        <w:t>’</w:t>
      </w:r>
      <w:r w:rsidR="00B17D2A" w:rsidRPr="00B17D2A">
        <w:rPr>
          <w:lang w:val="fr-FR"/>
        </w:rPr>
        <w:t>identité (article 8)</w:t>
      </w:r>
    </w:p>
    <w:p w:rsidR="00B17D2A" w:rsidRPr="00B17D2A" w:rsidRDefault="00B17D2A" w:rsidP="00B17D2A">
      <w:pPr>
        <w:pStyle w:val="SingleTxtG"/>
        <w:rPr>
          <w:lang w:val="fr-FR"/>
        </w:rPr>
      </w:pPr>
      <w:r w:rsidRPr="00B17D2A">
        <w:rPr>
          <w:lang w:val="fr-FR"/>
        </w:rPr>
        <w:t>(Préservation de l</w:t>
      </w:r>
      <w:r w:rsidR="00277023">
        <w:rPr>
          <w:lang w:val="fr-FR"/>
        </w:rPr>
        <w:t>’</w:t>
      </w:r>
      <w:r w:rsidRPr="00B17D2A">
        <w:rPr>
          <w:lang w:val="fr-FR"/>
        </w:rPr>
        <w:t>identité)</w:t>
      </w:r>
    </w:p>
    <w:p w:rsidR="00B17D2A" w:rsidRPr="00B17D2A" w:rsidRDefault="00B17D2A" w:rsidP="00B17D2A">
      <w:pPr>
        <w:pStyle w:val="SingleTxtG"/>
        <w:rPr>
          <w:lang w:val="fr-FR"/>
        </w:rPr>
      </w:pPr>
      <w:r w:rsidRPr="00B17D2A">
        <w:rPr>
          <w:lang w:val="fr-FR"/>
        </w:rPr>
        <w:t>222.</w:t>
      </w:r>
      <w:r w:rsidRPr="00B17D2A">
        <w:rPr>
          <w:lang w:val="fr-FR"/>
        </w:rPr>
        <w:tab/>
        <w:t xml:space="preserve">Voir paragraphes 179-180 du deuxième rapport du Japon. </w:t>
      </w:r>
    </w:p>
    <w:p w:rsidR="00B17D2A" w:rsidRPr="00B17D2A" w:rsidRDefault="000C7D86" w:rsidP="000C7D86">
      <w:pPr>
        <w:pStyle w:val="H1G"/>
        <w:rPr>
          <w:lang w:val="fr-FR"/>
        </w:rPr>
      </w:pPr>
      <w:r>
        <w:rPr>
          <w:lang w:val="fr-FR"/>
        </w:rPr>
        <w:tab/>
        <w:t>C.</w:t>
      </w:r>
      <w:r>
        <w:rPr>
          <w:lang w:val="fr-FR"/>
        </w:rPr>
        <w:tab/>
      </w:r>
      <w:r w:rsidR="00B17D2A" w:rsidRPr="00B17D2A">
        <w:rPr>
          <w:lang w:val="fr-FR"/>
        </w:rPr>
        <w:t>Liberté d</w:t>
      </w:r>
      <w:r w:rsidR="00277023">
        <w:rPr>
          <w:lang w:val="fr-FR"/>
        </w:rPr>
        <w:t>’</w:t>
      </w:r>
      <w:r w:rsidR="00B17D2A" w:rsidRPr="00B17D2A">
        <w:rPr>
          <w:lang w:val="fr-FR"/>
        </w:rPr>
        <w:t>expression (article 13)</w:t>
      </w:r>
    </w:p>
    <w:p w:rsidR="00B17D2A" w:rsidRPr="00B17D2A" w:rsidRDefault="00B17D2A" w:rsidP="00B17D2A">
      <w:pPr>
        <w:pStyle w:val="SingleTxtG"/>
        <w:rPr>
          <w:lang w:val="fr-FR"/>
        </w:rPr>
      </w:pPr>
      <w:r w:rsidRPr="00B17D2A">
        <w:rPr>
          <w:lang w:val="fr-FR"/>
        </w:rPr>
        <w:t>(Assurer le droit à la liberté d</w:t>
      </w:r>
      <w:r w:rsidR="00277023">
        <w:rPr>
          <w:lang w:val="fr-FR"/>
        </w:rPr>
        <w:t>’</w:t>
      </w:r>
      <w:r w:rsidRPr="00B17D2A">
        <w:rPr>
          <w:lang w:val="fr-FR"/>
        </w:rPr>
        <w:t>expression)</w:t>
      </w:r>
    </w:p>
    <w:p w:rsidR="00B17D2A" w:rsidRPr="00B17D2A" w:rsidRDefault="00B17D2A" w:rsidP="00B17D2A">
      <w:pPr>
        <w:pStyle w:val="SingleTxtG"/>
        <w:rPr>
          <w:lang w:val="fr-FR"/>
        </w:rPr>
      </w:pPr>
      <w:r w:rsidRPr="00B17D2A">
        <w:rPr>
          <w:lang w:val="fr-FR"/>
        </w:rPr>
        <w:t>223.</w:t>
      </w:r>
      <w:r w:rsidRPr="00B17D2A">
        <w:rPr>
          <w:lang w:val="fr-FR"/>
        </w:rPr>
        <w:tab/>
        <w:t xml:space="preserve">Voir paragraphe 181 du deuxième rapport du Japon (paragraphe 83 du rapport initial du Japon). </w:t>
      </w:r>
    </w:p>
    <w:p w:rsidR="00B17D2A" w:rsidRPr="00B17D2A" w:rsidRDefault="00B17D2A" w:rsidP="00B17D2A">
      <w:pPr>
        <w:pStyle w:val="SingleTxtG"/>
        <w:rPr>
          <w:lang w:val="fr-FR"/>
        </w:rPr>
      </w:pPr>
      <w:r w:rsidRPr="00B17D2A">
        <w:rPr>
          <w:lang w:val="fr-FR"/>
        </w:rPr>
        <w:t>(Règlements scolaires)</w:t>
      </w:r>
    </w:p>
    <w:p w:rsidR="00B17D2A" w:rsidRPr="00B17D2A" w:rsidRDefault="00B17D2A" w:rsidP="00B17D2A">
      <w:pPr>
        <w:pStyle w:val="SingleTxtG"/>
        <w:rPr>
          <w:lang w:val="fr-FR"/>
        </w:rPr>
      </w:pPr>
      <w:r w:rsidRPr="00B17D2A">
        <w:rPr>
          <w:lang w:val="fr-FR"/>
        </w:rPr>
        <w:t>224.</w:t>
      </w:r>
      <w:r w:rsidRPr="00B17D2A">
        <w:rPr>
          <w:lang w:val="fr-FR"/>
        </w:rPr>
        <w:tab/>
        <w:t xml:space="preserve">Voir paragraphe 182 du deuxième rapport du Japon. </w:t>
      </w:r>
    </w:p>
    <w:p w:rsidR="00B17D2A" w:rsidRPr="00B17D2A" w:rsidRDefault="000C7D86" w:rsidP="000C7D86">
      <w:pPr>
        <w:pStyle w:val="H1G"/>
        <w:rPr>
          <w:lang w:val="fr-FR"/>
        </w:rPr>
      </w:pPr>
      <w:r>
        <w:rPr>
          <w:lang w:val="fr-FR"/>
        </w:rPr>
        <w:tab/>
        <w:t>D.</w:t>
      </w:r>
      <w:r>
        <w:rPr>
          <w:lang w:val="fr-FR"/>
        </w:rPr>
        <w:tab/>
      </w:r>
      <w:r w:rsidR="00B17D2A" w:rsidRPr="00B17D2A">
        <w:rPr>
          <w:lang w:val="fr-FR"/>
        </w:rPr>
        <w:t>Liberté de pensée, de conscience et de religion (article 14)</w:t>
      </w:r>
    </w:p>
    <w:p w:rsidR="00B17D2A" w:rsidRPr="00B17D2A" w:rsidRDefault="00B17D2A" w:rsidP="00B17D2A">
      <w:pPr>
        <w:pStyle w:val="SingleTxtG"/>
        <w:rPr>
          <w:lang w:val="fr-FR"/>
        </w:rPr>
      </w:pPr>
      <w:r w:rsidRPr="00B17D2A">
        <w:rPr>
          <w:lang w:val="fr-FR"/>
        </w:rPr>
        <w:t>(Exercice du droit à la liberté de pensée, de conscience et de religion et prise en considération du développement des capacités de l</w:t>
      </w:r>
      <w:r w:rsidR="00277023">
        <w:rPr>
          <w:lang w:val="fr-FR"/>
        </w:rPr>
        <w:t>’</w:t>
      </w:r>
      <w:r w:rsidRPr="00B17D2A">
        <w:rPr>
          <w:lang w:val="fr-FR"/>
        </w:rPr>
        <w:t xml:space="preserve">enfant) </w:t>
      </w:r>
    </w:p>
    <w:p w:rsidR="00B17D2A" w:rsidRPr="00B17D2A" w:rsidRDefault="00B17D2A" w:rsidP="00B17D2A">
      <w:pPr>
        <w:pStyle w:val="SingleTxtG"/>
        <w:rPr>
          <w:lang w:val="fr-FR"/>
        </w:rPr>
      </w:pPr>
      <w:r w:rsidRPr="00B17D2A">
        <w:rPr>
          <w:lang w:val="fr-FR"/>
        </w:rPr>
        <w:t>225.</w:t>
      </w:r>
      <w:r w:rsidRPr="00B17D2A">
        <w:rPr>
          <w:lang w:val="fr-FR"/>
        </w:rPr>
        <w:tab/>
        <w:t xml:space="preserve">Voir paragraphe 183 du deuxième rapport du Japon. </w:t>
      </w:r>
    </w:p>
    <w:p w:rsidR="00B17D2A" w:rsidRPr="00B17D2A" w:rsidRDefault="00B17D2A" w:rsidP="00B17D2A">
      <w:pPr>
        <w:pStyle w:val="SingleTxtG"/>
        <w:rPr>
          <w:lang w:val="fr-FR"/>
        </w:rPr>
      </w:pPr>
      <w:r w:rsidRPr="00B17D2A">
        <w:rPr>
          <w:lang w:val="fr-FR"/>
        </w:rPr>
        <w:t>(Rapport entre les cours et la religion dans les écoles publiques)</w:t>
      </w:r>
    </w:p>
    <w:p w:rsidR="00B17D2A" w:rsidRPr="00B17D2A" w:rsidRDefault="00B17D2A" w:rsidP="00B17D2A">
      <w:pPr>
        <w:pStyle w:val="SingleTxtG"/>
        <w:rPr>
          <w:lang w:val="fr-FR"/>
        </w:rPr>
      </w:pPr>
      <w:r w:rsidRPr="00B17D2A">
        <w:rPr>
          <w:lang w:val="fr-FR"/>
        </w:rPr>
        <w:t>226.</w:t>
      </w:r>
      <w:r w:rsidRPr="00B17D2A">
        <w:rPr>
          <w:lang w:val="fr-FR"/>
        </w:rPr>
        <w:tab/>
        <w:t xml:space="preserve">Voir paragraphe 184 du deuxième rapport du Japon. </w:t>
      </w:r>
    </w:p>
    <w:p w:rsidR="00B17D2A" w:rsidRPr="00B17D2A" w:rsidRDefault="00B17D2A" w:rsidP="00B17D2A">
      <w:pPr>
        <w:pStyle w:val="SingleTxtG"/>
        <w:rPr>
          <w:lang w:val="fr-FR"/>
        </w:rPr>
      </w:pPr>
      <w:r w:rsidRPr="00B17D2A">
        <w:rPr>
          <w:lang w:val="fr-FR"/>
        </w:rPr>
        <w:t>(Garantir la liberté de pensée, de conscience et de religion dans les établissements pénitentiaires)</w:t>
      </w:r>
    </w:p>
    <w:p w:rsidR="00B17D2A" w:rsidRPr="00B17D2A" w:rsidRDefault="00B17D2A" w:rsidP="00B17D2A">
      <w:pPr>
        <w:pStyle w:val="SingleTxtG"/>
        <w:rPr>
          <w:lang w:val="fr-FR"/>
        </w:rPr>
      </w:pPr>
      <w:r w:rsidRPr="00B17D2A">
        <w:rPr>
          <w:lang w:val="fr-FR"/>
        </w:rPr>
        <w:t>227.</w:t>
      </w:r>
      <w:r w:rsidRPr="00B17D2A">
        <w:rPr>
          <w:lang w:val="fr-FR"/>
        </w:rPr>
        <w:tab/>
        <w:t xml:space="preserve">Tous les établissements pénitentiaires veillent à assurer un traitement qui respecte la liberté de pensée, de conscience et de religion ainsi que le garantit </w:t>
      </w:r>
      <w:smartTag w:uri="urn:schemas-microsoft-com:office:smarttags" w:element="PersonName">
        <w:smartTagPr>
          <w:attr w:name="ProductID" w:val="la Constitution"/>
        </w:smartTagPr>
        <w:r w:rsidRPr="00B17D2A">
          <w:rPr>
            <w:lang w:val="fr-FR"/>
          </w:rPr>
          <w:t>la Constitution</w:t>
        </w:r>
      </w:smartTag>
      <w:r w:rsidRPr="00B17D2A">
        <w:rPr>
          <w:lang w:val="fr-FR"/>
        </w:rPr>
        <w:t xml:space="preserve"> japonaise. En particulier, dans les centres de formation et les centres de détention pour mineurs, des livres de littérature narrative et des services religieux sont proposés par des volontaires religieux privés à la demande des mineurs. </w:t>
      </w:r>
    </w:p>
    <w:p w:rsidR="00B17D2A" w:rsidRPr="00B17D2A" w:rsidRDefault="000C7D86" w:rsidP="000C7D86">
      <w:pPr>
        <w:pStyle w:val="H1G"/>
        <w:rPr>
          <w:lang w:val="fr-FR"/>
        </w:rPr>
      </w:pPr>
      <w:r>
        <w:rPr>
          <w:lang w:val="fr-FR"/>
        </w:rPr>
        <w:tab/>
        <w:t>E.</w:t>
      </w:r>
      <w:r>
        <w:rPr>
          <w:lang w:val="fr-FR"/>
        </w:rPr>
        <w:tab/>
      </w:r>
      <w:r w:rsidR="00B17D2A" w:rsidRPr="00B17D2A">
        <w:rPr>
          <w:lang w:val="fr-FR"/>
        </w:rPr>
        <w:t>Liberté d</w:t>
      </w:r>
      <w:r w:rsidR="00277023">
        <w:rPr>
          <w:lang w:val="fr-FR"/>
        </w:rPr>
        <w:t>’</w:t>
      </w:r>
      <w:r w:rsidR="00B17D2A" w:rsidRPr="00B17D2A">
        <w:rPr>
          <w:lang w:val="fr-FR"/>
        </w:rPr>
        <w:t>association et de réunion pacifique (article 15)</w:t>
      </w:r>
    </w:p>
    <w:p w:rsidR="00B17D2A" w:rsidRPr="00B17D2A" w:rsidRDefault="00B17D2A" w:rsidP="00B17D2A">
      <w:pPr>
        <w:pStyle w:val="SingleTxtG"/>
        <w:rPr>
          <w:lang w:val="fr-FR"/>
        </w:rPr>
      </w:pPr>
      <w:r w:rsidRPr="00B17D2A">
        <w:rPr>
          <w:lang w:val="fr-FR"/>
        </w:rPr>
        <w:t>(Restrictions de l</w:t>
      </w:r>
      <w:r w:rsidR="00277023">
        <w:rPr>
          <w:lang w:val="fr-FR"/>
        </w:rPr>
        <w:t>’</w:t>
      </w:r>
      <w:r w:rsidRPr="00B17D2A">
        <w:rPr>
          <w:lang w:val="fr-FR"/>
        </w:rPr>
        <w:t>exercice des droits stipulés dans les dispositions du deuxième paragraphe de l</w:t>
      </w:r>
      <w:r w:rsidR="00277023">
        <w:rPr>
          <w:lang w:val="fr-FR"/>
        </w:rPr>
        <w:t>’</w:t>
      </w:r>
      <w:r w:rsidRPr="00B17D2A">
        <w:rPr>
          <w:lang w:val="fr-FR"/>
        </w:rPr>
        <w:t>article 15)</w:t>
      </w:r>
    </w:p>
    <w:p w:rsidR="00B17D2A" w:rsidRPr="00B17D2A" w:rsidRDefault="00B17D2A" w:rsidP="00B17D2A">
      <w:pPr>
        <w:pStyle w:val="SingleTxtG"/>
        <w:rPr>
          <w:lang w:val="fr-FR"/>
        </w:rPr>
      </w:pPr>
      <w:r w:rsidRPr="00B17D2A">
        <w:rPr>
          <w:lang w:val="fr-FR"/>
        </w:rPr>
        <w:t>228.</w:t>
      </w:r>
      <w:r w:rsidRPr="00B17D2A">
        <w:rPr>
          <w:lang w:val="fr-FR"/>
        </w:rPr>
        <w:tab/>
        <w:t xml:space="preserve">Voir paragraphe 185 du deuxième rapport du Japon. </w:t>
      </w:r>
    </w:p>
    <w:p w:rsidR="00B17D2A" w:rsidRPr="00B17D2A" w:rsidRDefault="00B17D2A" w:rsidP="00B17D2A">
      <w:pPr>
        <w:pStyle w:val="SingleTxtG"/>
        <w:rPr>
          <w:lang w:val="fr-FR"/>
        </w:rPr>
      </w:pPr>
      <w:r w:rsidRPr="00B17D2A">
        <w:rPr>
          <w:lang w:val="fr-FR"/>
        </w:rPr>
        <w:t>(Liberté d</w:t>
      </w:r>
      <w:r w:rsidR="00277023">
        <w:rPr>
          <w:lang w:val="fr-FR"/>
        </w:rPr>
        <w:t>’</w:t>
      </w:r>
      <w:r w:rsidRPr="00B17D2A">
        <w:rPr>
          <w:lang w:val="fr-FR"/>
        </w:rPr>
        <w:t>expression, d</w:t>
      </w:r>
      <w:r w:rsidR="00277023">
        <w:rPr>
          <w:lang w:val="fr-FR"/>
        </w:rPr>
        <w:t>’</w:t>
      </w:r>
      <w:r w:rsidRPr="00B17D2A">
        <w:rPr>
          <w:lang w:val="fr-FR"/>
        </w:rPr>
        <w:t>association et de réunion)</w:t>
      </w:r>
    </w:p>
    <w:p w:rsidR="00B17D2A" w:rsidRPr="00B17D2A" w:rsidRDefault="00B17D2A" w:rsidP="00B17D2A">
      <w:pPr>
        <w:pStyle w:val="SingleTxtG"/>
        <w:rPr>
          <w:lang w:val="fr-FR"/>
        </w:rPr>
      </w:pPr>
      <w:r w:rsidRPr="00B17D2A">
        <w:rPr>
          <w:lang w:val="fr-FR"/>
        </w:rPr>
        <w:t>229.</w:t>
      </w:r>
      <w:r w:rsidRPr="00B17D2A">
        <w:rPr>
          <w:lang w:val="fr-FR"/>
        </w:rPr>
        <w:tab/>
        <w:t>Au Japon, la liberté d</w:t>
      </w:r>
      <w:r w:rsidR="00277023">
        <w:rPr>
          <w:lang w:val="fr-FR"/>
        </w:rPr>
        <w:t>’</w:t>
      </w:r>
      <w:r w:rsidRPr="00B17D2A">
        <w:rPr>
          <w:lang w:val="fr-FR"/>
        </w:rPr>
        <w:t>expression, d</w:t>
      </w:r>
      <w:r w:rsidR="00277023">
        <w:rPr>
          <w:lang w:val="fr-FR"/>
        </w:rPr>
        <w:t>’</w:t>
      </w:r>
      <w:r w:rsidRPr="00B17D2A">
        <w:rPr>
          <w:lang w:val="fr-FR"/>
        </w:rPr>
        <w:t xml:space="preserve">association et de réunion est garantie aux élèves par </w:t>
      </w:r>
      <w:smartTag w:uri="urn:schemas-microsoft-com:office:smarttags" w:element="PersonName">
        <w:smartTagPr>
          <w:attr w:name="ProductID" w:val="la Constitution. Parall￨lement"/>
        </w:smartTagPr>
        <w:r w:rsidRPr="00B17D2A">
          <w:rPr>
            <w:lang w:val="fr-FR"/>
          </w:rPr>
          <w:t>la Constitution. Parallèlement</w:t>
        </w:r>
      </w:smartTag>
      <w:r w:rsidRPr="00B17D2A">
        <w:rPr>
          <w:lang w:val="fr-FR"/>
        </w:rPr>
        <w:t xml:space="preserve">, dans les écoles, des orientations peuvent être proposées à des élèves si cela est raisonnablement nécessaire pour réaliser des objectifs éducatifs. </w:t>
      </w:r>
    </w:p>
    <w:p w:rsidR="00B17D2A" w:rsidRPr="00B17D2A" w:rsidRDefault="000C7D86" w:rsidP="000C7D86">
      <w:pPr>
        <w:pStyle w:val="H1G"/>
        <w:rPr>
          <w:lang w:val="fr-FR"/>
        </w:rPr>
      </w:pPr>
      <w:r>
        <w:rPr>
          <w:lang w:val="fr-FR"/>
        </w:rPr>
        <w:tab/>
        <w:t>F.</w:t>
      </w:r>
      <w:r>
        <w:rPr>
          <w:lang w:val="fr-FR"/>
        </w:rPr>
        <w:tab/>
      </w:r>
      <w:r w:rsidR="00B17D2A" w:rsidRPr="00B17D2A">
        <w:rPr>
          <w:lang w:val="fr-FR"/>
        </w:rPr>
        <w:t>Protection de la vie privée (article 16)</w:t>
      </w:r>
    </w:p>
    <w:p w:rsidR="00B17D2A" w:rsidRPr="00B17D2A" w:rsidRDefault="00B17D2A" w:rsidP="00B17D2A">
      <w:pPr>
        <w:pStyle w:val="SingleTxtG"/>
        <w:rPr>
          <w:lang w:val="fr-FR"/>
        </w:rPr>
      </w:pPr>
      <w:r w:rsidRPr="00B17D2A">
        <w:rPr>
          <w:lang w:val="fr-FR"/>
        </w:rPr>
        <w:t>(Protection de la vie privée)</w:t>
      </w:r>
    </w:p>
    <w:p w:rsidR="00B17D2A" w:rsidRPr="00B17D2A" w:rsidRDefault="00B17D2A" w:rsidP="00B17D2A">
      <w:pPr>
        <w:pStyle w:val="SingleTxtG"/>
        <w:rPr>
          <w:lang w:val="fr-FR"/>
        </w:rPr>
      </w:pPr>
      <w:r w:rsidRPr="00B17D2A">
        <w:rPr>
          <w:lang w:val="fr-FR"/>
        </w:rPr>
        <w:t>230.</w:t>
      </w:r>
      <w:r w:rsidRPr="00B17D2A">
        <w:rPr>
          <w:lang w:val="fr-FR"/>
        </w:rPr>
        <w:tab/>
        <w:t xml:space="preserve">Voir paragraphe 186 du deuxième rapport du Japon (paragraphes 102-103 du rapport initial du Japon). </w:t>
      </w:r>
    </w:p>
    <w:p w:rsidR="00B17D2A" w:rsidRPr="00B17D2A" w:rsidRDefault="00B17D2A" w:rsidP="00B17D2A">
      <w:pPr>
        <w:pStyle w:val="SingleTxtG"/>
        <w:rPr>
          <w:lang w:val="fr-FR"/>
        </w:rPr>
      </w:pPr>
      <w:r w:rsidRPr="00B17D2A">
        <w:rPr>
          <w:lang w:val="fr-FR"/>
        </w:rPr>
        <w:t>(Protection de l</w:t>
      </w:r>
      <w:r w:rsidR="00277023">
        <w:rPr>
          <w:lang w:val="fr-FR"/>
        </w:rPr>
        <w:t>’</w:t>
      </w:r>
      <w:r w:rsidRPr="00B17D2A">
        <w:rPr>
          <w:lang w:val="fr-FR"/>
        </w:rPr>
        <w:t>honneur et de la réputation)</w:t>
      </w:r>
    </w:p>
    <w:p w:rsidR="00B17D2A" w:rsidRPr="00B17D2A" w:rsidRDefault="00B17D2A" w:rsidP="00B17D2A">
      <w:pPr>
        <w:pStyle w:val="SingleTxtG"/>
        <w:rPr>
          <w:lang w:val="fr-FR"/>
        </w:rPr>
      </w:pPr>
      <w:r w:rsidRPr="00B17D2A">
        <w:rPr>
          <w:lang w:val="fr-FR"/>
        </w:rPr>
        <w:t>231.</w:t>
      </w:r>
      <w:r w:rsidRPr="00B17D2A">
        <w:rPr>
          <w:lang w:val="fr-FR"/>
        </w:rPr>
        <w:tab/>
        <w:t xml:space="preserve">Voir paragraphe 187 du deuxième rapport du Japon (paragraphe 105 du rapport initial du Japon). </w:t>
      </w:r>
    </w:p>
    <w:p w:rsidR="00B17D2A" w:rsidRPr="00B17D2A" w:rsidRDefault="00B17D2A" w:rsidP="00505845">
      <w:pPr>
        <w:pStyle w:val="SingleTxtG"/>
        <w:rPr>
          <w:lang w:val="fr-FR"/>
        </w:rPr>
      </w:pPr>
      <w:r w:rsidRPr="00B17D2A">
        <w:rPr>
          <w:lang w:val="fr-FR"/>
        </w:rPr>
        <w:t>(</w:t>
      </w:r>
      <w:r w:rsidR="008F55B7">
        <w:rPr>
          <w:lang w:val="fr-FR"/>
        </w:rPr>
        <w:t>É</w:t>
      </w:r>
      <w:r w:rsidRPr="00B17D2A">
        <w:rPr>
          <w:lang w:val="fr-FR"/>
        </w:rPr>
        <w:t>coles)</w:t>
      </w:r>
    </w:p>
    <w:p w:rsidR="00B17D2A" w:rsidRPr="00B17D2A" w:rsidRDefault="00B17D2A" w:rsidP="00B17D2A">
      <w:pPr>
        <w:pStyle w:val="SingleTxtG"/>
        <w:rPr>
          <w:lang w:val="fr-FR"/>
        </w:rPr>
      </w:pPr>
      <w:r w:rsidRPr="00B17D2A">
        <w:rPr>
          <w:lang w:val="fr-FR"/>
        </w:rPr>
        <w:t>232.</w:t>
      </w:r>
      <w:r w:rsidRPr="00B17D2A">
        <w:rPr>
          <w:lang w:val="fr-FR"/>
        </w:rPr>
        <w:tab/>
        <w:t>Au Japon, le droit des enfants à la vie privée doit être respecté. Cependant, si un établissement scolaire reconnaît, à son sens et sous sa responsabilité, qu</w:t>
      </w:r>
      <w:r w:rsidR="00277023">
        <w:rPr>
          <w:lang w:val="fr-FR"/>
        </w:rPr>
        <w:t>’</w:t>
      </w:r>
      <w:r w:rsidRPr="00B17D2A">
        <w:rPr>
          <w:lang w:val="fr-FR"/>
        </w:rPr>
        <w:t>une fouille des objets personnels s</w:t>
      </w:r>
      <w:r w:rsidR="00277023">
        <w:rPr>
          <w:lang w:val="fr-FR"/>
        </w:rPr>
        <w:t>’</w:t>
      </w:r>
      <w:r w:rsidRPr="00B17D2A">
        <w:rPr>
          <w:lang w:val="fr-FR"/>
        </w:rPr>
        <w:t>impose compte tenu des circonstances, il doit expliquer l</w:t>
      </w:r>
      <w:r w:rsidR="00277023">
        <w:rPr>
          <w:lang w:val="fr-FR"/>
        </w:rPr>
        <w:t>’</w:t>
      </w:r>
      <w:r w:rsidRPr="00B17D2A">
        <w:rPr>
          <w:lang w:val="fr-FR"/>
        </w:rPr>
        <w:t>objet, les motifs et la nécessité de procéder ainsi au représentant légal de l</w:t>
      </w:r>
      <w:r w:rsidR="00277023">
        <w:rPr>
          <w:lang w:val="fr-FR"/>
        </w:rPr>
        <w:t>’</w:t>
      </w:r>
      <w:r w:rsidRPr="00B17D2A">
        <w:rPr>
          <w:lang w:val="fr-FR"/>
        </w:rPr>
        <w:t>élève et à l</w:t>
      </w:r>
      <w:r w:rsidR="00277023">
        <w:rPr>
          <w:lang w:val="fr-FR"/>
        </w:rPr>
        <w:t>’</w:t>
      </w:r>
      <w:r w:rsidRPr="00B17D2A">
        <w:rPr>
          <w:lang w:val="fr-FR"/>
        </w:rPr>
        <w:t>élève lui-même et tenter de le leur faire comprendre avant de prendre les dispositions adaptées aux circonstances de l</w:t>
      </w:r>
      <w:r w:rsidR="00277023">
        <w:rPr>
          <w:lang w:val="fr-FR"/>
        </w:rPr>
        <w:t>’</w:t>
      </w:r>
      <w:r w:rsidRPr="00B17D2A">
        <w:rPr>
          <w:lang w:val="fr-FR"/>
        </w:rPr>
        <w:t>espèce. Ainsi, cette nécessité peut se présenter lorsqu</w:t>
      </w:r>
      <w:r w:rsidR="00277023">
        <w:rPr>
          <w:lang w:val="fr-FR"/>
        </w:rPr>
        <w:t>’</w:t>
      </w:r>
      <w:r w:rsidRPr="00B17D2A">
        <w:rPr>
          <w:lang w:val="fr-FR"/>
        </w:rPr>
        <w:t>il est hautement probable qu</w:t>
      </w:r>
      <w:r w:rsidR="00277023">
        <w:rPr>
          <w:lang w:val="fr-FR"/>
        </w:rPr>
        <w:t>’</w:t>
      </w:r>
      <w:r w:rsidRPr="00B17D2A">
        <w:rPr>
          <w:lang w:val="fr-FR"/>
        </w:rPr>
        <w:t>un objet dangereux a été introduit à l</w:t>
      </w:r>
      <w:r w:rsidR="00277023">
        <w:rPr>
          <w:lang w:val="fr-FR"/>
        </w:rPr>
        <w:t>’</w:t>
      </w:r>
      <w:r w:rsidRPr="00B17D2A">
        <w:rPr>
          <w:lang w:val="fr-FR"/>
        </w:rPr>
        <w:t xml:space="preserve">école. </w:t>
      </w:r>
    </w:p>
    <w:p w:rsidR="00B17D2A" w:rsidRPr="00B17D2A" w:rsidRDefault="00B17D2A" w:rsidP="00B17D2A">
      <w:pPr>
        <w:pStyle w:val="SingleTxtG"/>
        <w:rPr>
          <w:lang w:val="fr-FR"/>
        </w:rPr>
      </w:pPr>
      <w:r w:rsidRPr="00B17D2A">
        <w:rPr>
          <w:lang w:val="fr-FR"/>
        </w:rPr>
        <w:t>(</w:t>
      </w:r>
      <w:r w:rsidR="008F55B7">
        <w:rPr>
          <w:lang w:val="fr-FR"/>
        </w:rPr>
        <w:t>É</w:t>
      </w:r>
      <w:r w:rsidRPr="00B17D2A">
        <w:rPr>
          <w:lang w:val="fr-FR"/>
        </w:rPr>
        <w:t>tablissements de protection de l</w:t>
      </w:r>
      <w:r w:rsidR="00277023">
        <w:rPr>
          <w:lang w:val="fr-FR"/>
        </w:rPr>
        <w:t>’</w:t>
      </w:r>
      <w:r w:rsidRPr="00B17D2A">
        <w:rPr>
          <w:lang w:val="fr-FR"/>
        </w:rPr>
        <w:t>enfance)</w:t>
      </w:r>
    </w:p>
    <w:p w:rsidR="00B17D2A" w:rsidRPr="00B17D2A" w:rsidRDefault="00B17D2A" w:rsidP="00B17D2A">
      <w:pPr>
        <w:pStyle w:val="SingleTxtG"/>
        <w:rPr>
          <w:lang w:val="fr-FR"/>
        </w:rPr>
      </w:pPr>
      <w:r w:rsidRPr="00B17D2A">
        <w:rPr>
          <w:lang w:val="fr-FR"/>
        </w:rPr>
        <w:t>233.</w:t>
      </w:r>
      <w:r w:rsidRPr="00B17D2A">
        <w:rPr>
          <w:lang w:val="fr-FR"/>
        </w:rPr>
        <w:tab/>
        <w:t xml:space="preserve">Lorsque les centres de guidance infantile imposent des mesures en vertu de </w:t>
      </w:r>
      <w:smartTag w:uri="urn:schemas-microsoft-com:office:smarttags" w:element="PersonName">
        <w:smartTagPr>
          <w:attr w:name="ProductID" w:val="la Loi"/>
        </w:smartTagPr>
        <w:r w:rsidRPr="00B17D2A">
          <w:rPr>
            <w:lang w:val="fr-FR"/>
          </w:rPr>
          <w:t>la Loi</w:t>
        </w:r>
      </w:smartTag>
      <w:r w:rsidRPr="00B17D2A">
        <w:rPr>
          <w:lang w:val="fr-FR"/>
        </w:rPr>
        <w:t xml:space="preserve"> sur la protection de l</w:t>
      </w:r>
      <w:r w:rsidR="00277023">
        <w:rPr>
          <w:lang w:val="fr-FR"/>
        </w:rPr>
        <w:t>’</w:t>
      </w:r>
      <w:r w:rsidRPr="00B17D2A">
        <w:rPr>
          <w:lang w:val="fr-FR"/>
        </w:rPr>
        <w:t>enfance, ils doivent confirmer l</w:t>
      </w:r>
      <w:r w:rsidR="00277023">
        <w:rPr>
          <w:lang w:val="fr-FR"/>
        </w:rPr>
        <w:t>’</w:t>
      </w:r>
      <w:r w:rsidRPr="00B17D2A">
        <w:rPr>
          <w:lang w:val="fr-FR"/>
        </w:rPr>
        <w:t>état d</w:t>
      </w:r>
      <w:r w:rsidR="00277023">
        <w:rPr>
          <w:lang w:val="fr-FR"/>
        </w:rPr>
        <w:t>’</w:t>
      </w:r>
      <w:r w:rsidRPr="00B17D2A">
        <w:rPr>
          <w:lang w:val="fr-FR"/>
        </w:rPr>
        <w:t>esprit de l</w:t>
      </w:r>
      <w:r w:rsidR="00277023">
        <w:rPr>
          <w:lang w:val="fr-FR"/>
        </w:rPr>
        <w:t>’</w:t>
      </w:r>
      <w:r w:rsidRPr="00B17D2A">
        <w:rPr>
          <w:lang w:val="fr-FR"/>
        </w:rPr>
        <w:t>enfant et du représentant légal en application du paragraphe 4 de l</w:t>
      </w:r>
      <w:r w:rsidR="00277023">
        <w:rPr>
          <w:lang w:val="fr-FR"/>
        </w:rPr>
        <w:t>’</w:t>
      </w:r>
      <w:r w:rsidRPr="00B17D2A">
        <w:rPr>
          <w:lang w:val="fr-FR"/>
        </w:rPr>
        <w:t xml:space="preserve">article 27 de </w:t>
      </w:r>
      <w:smartTag w:uri="urn:schemas-microsoft-com:office:smarttags" w:element="PersonName">
        <w:smartTagPr>
          <w:attr w:name="ProductID" w:val="la Loi"/>
        </w:smartTagPr>
        <w:r w:rsidRPr="00B17D2A">
          <w:rPr>
            <w:lang w:val="fr-FR"/>
          </w:rPr>
          <w:t>la Loi</w:t>
        </w:r>
      </w:smartTag>
      <w:r w:rsidRPr="00B17D2A">
        <w:rPr>
          <w:lang w:val="fr-FR"/>
        </w:rPr>
        <w:t xml:space="preserve"> sur la protection de l</w:t>
      </w:r>
      <w:r w:rsidR="00277023">
        <w:rPr>
          <w:lang w:val="fr-FR"/>
        </w:rPr>
        <w:t>’</w:t>
      </w:r>
      <w:r w:rsidRPr="00B17D2A">
        <w:rPr>
          <w:lang w:val="fr-FR"/>
        </w:rPr>
        <w:t>enfance. Lors de travaux de rénovation d</w:t>
      </w:r>
      <w:r w:rsidR="00277023">
        <w:rPr>
          <w:lang w:val="fr-FR"/>
        </w:rPr>
        <w:t>’</w:t>
      </w:r>
      <w:r w:rsidRPr="00B17D2A">
        <w:rPr>
          <w:lang w:val="fr-FR"/>
        </w:rPr>
        <w:t>établissements tels que les orphelinats, on s</w:t>
      </w:r>
      <w:r w:rsidR="00277023">
        <w:rPr>
          <w:lang w:val="fr-FR"/>
        </w:rPr>
        <w:t>’</w:t>
      </w:r>
      <w:r w:rsidRPr="00B17D2A">
        <w:rPr>
          <w:lang w:val="fr-FR"/>
        </w:rPr>
        <w:t>emploie à accroître le nombre de chambres individuelles ou doubles lorsque cela est possible et en fonction des normes de subventionnement du Gouvernement. De plus, depuis 2000, les établissements de protection de l</w:t>
      </w:r>
      <w:r w:rsidR="00277023">
        <w:rPr>
          <w:lang w:val="fr-FR"/>
        </w:rPr>
        <w:t>’</w:t>
      </w:r>
      <w:r w:rsidRPr="00B17D2A">
        <w:rPr>
          <w:lang w:val="fr-FR"/>
        </w:rPr>
        <w:t>enfance doivent se doter d</w:t>
      </w:r>
      <w:r w:rsidR="00277023">
        <w:rPr>
          <w:lang w:val="fr-FR"/>
        </w:rPr>
        <w:t>’</w:t>
      </w:r>
      <w:r w:rsidRPr="00B17D2A">
        <w:rPr>
          <w:lang w:val="fr-FR"/>
        </w:rPr>
        <w:t>un bureau de dépôt de plainte pour assurer que la plainte d</w:t>
      </w:r>
      <w:r w:rsidR="00277023">
        <w:rPr>
          <w:lang w:val="fr-FR"/>
        </w:rPr>
        <w:t>’</w:t>
      </w:r>
      <w:r w:rsidRPr="00B17D2A">
        <w:rPr>
          <w:lang w:val="fr-FR"/>
        </w:rPr>
        <w:t>un enfant placé dans un établissement de cette nature ou de son représentant légal concernant le traitement dans l</w:t>
      </w:r>
      <w:r w:rsidR="00277023">
        <w:rPr>
          <w:lang w:val="fr-FR"/>
        </w:rPr>
        <w:t>’</w:t>
      </w:r>
      <w:r w:rsidRPr="00B17D2A">
        <w:rPr>
          <w:lang w:val="fr-FR"/>
        </w:rPr>
        <w:t>établissement soit rapidement et convenablement traitée.</w:t>
      </w:r>
    </w:p>
    <w:p w:rsidR="00B17D2A" w:rsidRPr="00B17D2A" w:rsidRDefault="00B17D2A" w:rsidP="00B17D2A">
      <w:pPr>
        <w:pStyle w:val="SingleTxtG"/>
        <w:rPr>
          <w:lang w:val="fr-FR"/>
        </w:rPr>
      </w:pPr>
      <w:r w:rsidRPr="00B17D2A">
        <w:rPr>
          <w:lang w:val="fr-FR"/>
        </w:rPr>
        <w:t>(Protection de la vie privée et de la réputation d</w:t>
      </w:r>
      <w:r w:rsidR="00277023">
        <w:rPr>
          <w:lang w:val="fr-FR"/>
        </w:rPr>
        <w:t>’</w:t>
      </w:r>
      <w:r w:rsidRPr="00B17D2A">
        <w:rPr>
          <w:lang w:val="fr-FR"/>
        </w:rPr>
        <w:t>un enfant dans le cadre d</w:t>
      </w:r>
      <w:r w:rsidR="00277023">
        <w:rPr>
          <w:lang w:val="fr-FR"/>
        </w:rPr>
        <w:t>’</w:t>
      </w:r>
      <w:r w:rsidRPr="00B17D2A">
        <w:rPr>
          <w:lang w:val="fr-FR"/>
        </w:rPr>
        <w:t xml:space="preserve">une enquête) </w:t>
      </w:r>
    </w:p>
    <w:p w:rsidR="00B17D2A" w:rsidRPr="00B17D2A" w:rsidRDefault="00B17D2A" w:rsidP="00B17D2A">
      <w:pPr>
        <w:pStyle w:val="SingleTxtG"/>
        <w:rPr>
          <w:lang w:val="fr-FR"/>
        </w:rPr>
      </w:pPr>
      <w:r w:rsidRPr="00B17D2A">
        <w:rPr>
          <w:lang w:val="fr-FR"/>
        </w:rPr>
        <w:t>234.</w:t>
      </w:r>
      <w:r w:rsidRPr="00B17D2A">
        <w:rPr>
          <w:lang w:val="fr-FR"/>
        </w:rPr>
        <w:tab/>
        <w:t xml:space="preserve">Voir paragraphe 188 du deuxième rapport du Japon. </w:t>
      </w:r>
    </w:p>
    <w:p w:rsidR="00B17D2A" w:rsidRPr="00B17D2A" w:rsidRDefault="00B17D2A" w:rsidP="00B17D2A">
      <w:pPr>
        <w:pStyle w:val="SingleTxtG"/>
        <w:rPr>
          <w:lang w:val="fr-FR"/>
        </w:rPr>
      </w:pPr>
      <w:r w:rsidRPr="00B17D2A">
        <w:rPr>
          <w:lang w:val="fr-FR"/>
        </w:rPr>
        <w:t>235.</w:t>
      </w:r>
      <w:r w:rsidRPr="00B17D2A">
        <w:rPr>
          <w:lang w:val="fr-FR"/>
        </w:rPr>
        <w:tab/>
        <w:t xml:space="preserve">En vertu du Code relatif aux enquêtes criminelles, qui constitue le règlement de </w:t>
      </w:r>
      <w:smartTag w:uri="urn:schemas-microsoft-com:office:smarttags" w:element="PersonName">
        <w:smartTagPr>
          <w:attr w:name="ProductID" w:val="la Commission"/>
        </w:smartTagPr>
        <w:r w:rsidRPr="00B17D2A">
          <w:rPr>
            <w:lang w:val="fr-FR"/>
          </w:rPr>
          <w:t>la Commission</w:t>
        </w:r>
      </w:smartTag>
      <w:r w:rsidRPr="00B17D2A">
        <w:rPr>
          <w:lang w:val="fr-FR"/>
        </w:rPr>
        <w:t xml:space="preserve"> nationale de la sécurité publique, la personne d</w:t>
      </w:r>
      <w:r w:rsidR="00277023">
        <w:rPr>
          <w:lang w:val="fr-FR"/>
        </w:rPr>
        <w:t>’</w:t>
      </w:r>
      <w:r w:rsidRPr="00B17D2A">
        <w:rPr>
          <w:lang w:val="fr-FR"/>
        </w:rPr>
        <w:t>un mineur doit être respectée dans le cadre des enquêtes conduites par les services chargés de l</w:t>
      </w:r>
      <w:r w:rsidR="00277023">
        <w:rPr>
          <w:lang w:val="fr-FR"/>
        </w:rPr>
        <w:t>’</w:t>
      </w:r>
      <w:r w:rsidRPr="00B17D2A">
        <w:rPr>
          <w:lang w:val="fr-FR"/>
        </w:rPr>
        <w:t>application de la loi qui s</w:t>
      </w:r>
      <w:r w:rsidR="00277023">
        <w:rPr>
          <w:lang w:val="fr-FR"/>
        </w:rPr>
        <w:t>’</w:t>
      </w:r>
      <w:r w:rsidRPr="00B17D2A">
        <w:rPr>
          <w:lang w:val="fr-FR"/>
        </w:rPr>
        <w:t>emploient à éviter d</w:t>
      </w:r>
      <w:r w:rsidR="00277023">
        <w:rPr>
          <w:lang w:val="fr-FR"/>
        </w:rPr>
        <w:t>’</w:t>
      </w:r>
      <w:r w:rsidRPr="00B17D2A">
        <w:rPr>
          <w:lang w:val="fr-FR"/>
        </w:rPr>
        <w:t>attirer l</w:t>
      </w:r>
      <w:r w:rsidR="00277023">
        <w:rPr>
          <w:lang w:val="fr-FR"/>
        </w:rPr>
        <w:t>’</w:t>
      </w:r>
      <w:r w:rsidRPr="00B17D2A">
        <w:rPr>
          <w:lang w:val="fr-FR"/>
        </w:rPr>
        <w:t>attention d</w:t>
      </w:r>
      <w:r w:rsidR="00277023">
        <w:rPr>
          <w:lang w:val="fr-FR"/>
        </w:rPr>
        <w:t>’</w:t>
      </w:r>
      <w:r w:rsidRPr="00B17D2A">
        <w:rPr>
          <w:lang w:val="fr-FR"/>
        </w:rPr>
        <w:t>autrui, surveiller leur langage et leur comportement, montrer de la compassion et de la compréhension et veiller à ne pas heurter les sentiments du mineur. De plus, s</w:t>
      </w:r>
      <w:r w:rsidR="00277023">
        <w:rPr>
          <w:lang w:val="fr-FR"/>
        </w:rPr>
        <w:t>’</w:t>
      </w:r>
      <w:r w:rsidRPr="00B17D2A">
        <w:rPr>
          <w:lang w:val="fr-FR"/>
        </w:rPr>
        <w:t>agissant d</w:t>
      </w:r>
      <w:r w:rsidR="00277023">
        <w:rPr>
          <w:lang w:val="fr-FR"/>
        </w:rPr>
        <w:t>’</w:t>
      </w:r>
      <w:r w:rsidRPr="00B17D2A">
        <w:rPr>
          <w:lang w:val="fr-FR"/>
        </w:rPr>
        <w:t>affaires impliquant des mineurs, des données comme le nom, l</w:t>
      </w:r>
      <w:r w:rsidR="00277023">
        <w:rPr>
          <w:lang w:val="fr-FR"/>
        </w:rPr>
        <w:t>’</w:t>
      </w:r>
      <w:r w:rsidRPr="00B17D2A">
        <w:rPr>
          <w:lang w:val="fr-FR"/>
        </w:rPr>
        <w:t>adresse, le nom de l</w:t>
      </w:r>
      <w:r w:rsidR="00277023">
        <w:rPr>
          <w:lang w:val="fr-FR"/>
        </w:rPr>
        <w:t>’</w:t>
      </w:r>
      <w:r w:rsidRPr="00B17D2A">
        <w:rPr>
          <w:lang w:val="fr-FR"/>
        </w:rPr>
        <w:t>école ou de l</w:t>
      </w:r>
      <w:r w:rsidR="00277023">
        <w:rPr>
          <w:lang w:val="fr-FR"/>
        </w:rPr>
        <w:t>’</w:t>
      </w:r>
      <w:r w:rsidRPr="00B17D2A">
        <w:rPr>
          <w:lang w:val="fr-FR"/>
        </w:rPr>
        <w:t>entreprise du mineur, qui permettraient au public de l</w:t>
      </w:r>
      <w:r w:rsidR="00277023">
        <w:rPr>
          <w:lang w:val="fr-FR"/>
        </w:rPr>
        <w:t>’</w:t>
      </w:r>
      <w:r w:rsidRPr="00B17D2A">
        <w:rPr>
          <w:lang w:val="fr-FR"/>
        </w:rPr>
        <w:t>identifier, ne seront pas divulguées dans les journaux et autres médias, et aucune photo du mineur ne sera publiée. Sa vie privée doit être scrupuleusement respectée même s</w:t>
      </w:r>
      <w:r w:rsidR="00277023">
        <w:rPr>
          <w:lang w:val="fr-FR"/>
        </w:rPr>
        <w:t>’</w:t>
      </w:r>
      <w:r w:rsidRPr="00B17D2A">
        <w:rPr>
          <w:lang w:val="fr-FR"/>
        </w:rPr>
        <w:t>il est la victime, et également dans le cadre des communiqués de presse.</w:t>
      </w:r>
    </w:p>
    <w:p w:rsidR="00B17D2A" w:rsidRPr="00B17D2A" w:rsidRDefault="00B17D2A" w:rsidP="00B17D2A">
      <w:pPr>
        <w:pStyle w:val="SingleTxtG"/>
        <w:rPr>
          <w:lang w:val="fr-FR"/>
        </w:rPr>
      </w:pPr>
      <w:r w:rsidRPr="00B17D2A">
        <w:rPr>
          <w:lang w:val="fr-FR"/>
        </w:rPr>
        <w:t>(</w:t>
      </w:r>
      <w:r w:rsidR="008F55B7">
        <w:rPr>
          <w:lang w:val="fr-FR"/>
        </w:rPr>
        <w:t>É</w:t>
      </w:r>
      <w:r w:rsidRPr="00B17D2A">
        <w:rPr>
          <w:lang w:val="fr-FR"/>
        </w:rPr>
        <w:t>tablissements pénitentiaires)</w:t>
      </w:r>
    </w:p>
    <w:p w:rsidR="00B17D2A" w:rsidRPr="00B17D2A" w:rsidRDefault="00B17D2A" w:rsidP="00B17D2A">
      <w:pPr>
        <w:pStyle w:val="SingleTxtG"/>
        <w:rPr>
          <w:lang w:val="fr-FR"/>
        </w:rPr>
      </w:pPr>
      <w:r w:rsidRPr="00B17D2A">
        <w:rPr>
          <w:lang w:val="fr-FR"/>
        </w:rPr>
        <w:t>236.</w:t>
      </w:r>
      <w:r w:rsidRPr="00B17D2A">
        <w:rPr>
          <w:lang w:val="fr-FR"/>
        </w:rPr>
        <w:tab/>
        <w:t xml:space="preserve">Voir paragraphes 189-191 du deuxième rapport du Japon. </w:t>
      </w:r>
    </w:p>
    <w:p w:rsidR="00B17D2A" w:rsidRPr="00B17D2A" w:rsidRDefault="00B17D2A" w:rsidP="00B17D2A">
      <w:pPr>
        <w:pStyle w:val="SingleTxtG"/>
        <w:rPr>
          <w:lang w:val="fr-FR"/>
        </w:rPr>
      </w:pPr>
      <w:r w:rsidRPr="00B17D2A">
        <w:rPr>
          <w:lang w:val="fr-FR"/>
        </w:rPr>
        <w:t>(Centres de rétention)</w:t>
      </w:r>
    </w:p>
    <w:p w:rsidR="00B17D2A" w:rsidRPr="00B17D2A" w:rsidRDefault="00B17D2A" w:rsidP="00B17D2A">
      <w:pPr>
        <w:pStyle w:val="SingleTxtG"/>
        <w:rPr>
          <w:lang w:val="fr-FR"/>
        </w:rPr>
      </w:pPr>
      <w:r w:rsidRPr="00B17D2A">
        <w:rPr>
          <w:lang w:val="fr-FR"/>
        </w:rPr>
        <w:t>237.</w:t>
      </w:r>
      <w:r w:rsidRPr="00B17D2A">
        <w:rPr>
          <w:lang w:val="fr-FR"/>
        </w:rPr>
        <w:tab/>
        <w:t>Dans le cas où un enfant est placé dans un centre de rétention, et bien qu</w:t>
      </w:r>
      <w:r w:rsidR="00277023">
        <w:rPr>
          <w:lang w:val="fr-FR"/>
        </w:rPr>
        <w:t>’</w:t>
      </w:r>
      <w:r w:rsidRPr="00B17D2A">
        <w:rPr>
          <w:lang w:val="fr-FR"/>
        </w:rPr>
        <w:t>aucune disposition ne stipule que les autorités doivent en informer l</w:t>
      </w:r>
      <w:r w:rsidR="00277023">
        <w:rPr>
          <w:lang w:val="fr-FR"/>
        </w:rPr>
        <w:t>’</w:t>
      </w:r>
      <w:r w:rsidRPr="00B17D2A">
        <w:rPr>
          <w:lang w:val="fr-FR"/>
        </w:rPr>
        <w:t>école ou le conseil d</w:t>
      </w:r>
      <w:r w:rsidR="00277023">
        <w:rPr>
          <w:lang w:val="fr-FR"/>
        </w:rPr>
        <w:t>’</w:t>
      </w:r>
      <w:r w:rsidRPr="00B17D2A">
        <w:rPr>
          <w:lang w:val="fr-FR"/>
        </w:rPr>
        <w:t>éducation, l</w:t>
      </w:r>
      <w:r w:rsidR="00277023">
        <w:rPr>
          <w:lang w:val="fr-FR"/>
        </w:rPr>
        <w:t>’</w:t>
      </w:r>
      <w:r w:rsidRPr="00B17D2A">
        <w:rPr>
          <w:lang w:val="fr-FR"/>
        </w:rPr>
        <w:t>école sera contactée si des considérations humanitaires le requièrent. Cependant, si l</w:t>
      </w:r>
      <w:r w:rsidR="00277023">
        <w:rPr>
          <w:lang w:val="fr-FR"/>
        </w:rPr>
        <w:t>’</w:t>
      </w:r>
      <w:r w:rsidRPr="00B17D2A">
        <w:rPr>
          <w:lang w:val="fr-FR"/>
        </w:rPr>
        <w:t>enfant ou le représentant légal demande de ne pas aviser l</w:t>
      </w:r>
      <w:r w:rsidR="00277023">
        <w:rPr>
          <w:lang w:val="fr-FR"/>
        </w:rPr>
        <w:t>’</w:t>
      </w:r>
      <w:r w:rsidRPr="00B17D2A">
        <w:rPr>
          <w:lang w:val="fr-FR"/>
        </w:rPr>
        <w:t>école ou le conseil d</w:t>
      </w:r>
      <w:r w:rsidR="00277023">
        <w:rPr>
          <w:lang w:val="fr-FR"/>
        </w:rPr>
        <w:t>’</w:t>
      </w:r>
      <w:r w:rsidRPr="00B17D2A">
        <w:rPr>
          <w:lang w:val="fr-FR"/>
        </w:rPr>
        <w:t>éducation, leur requête sera respectée.</w:t>
      </w:r>
    </w:p>
    <w:p w:rsidR="00B17D2A" w:rsidRPr="00B17D2A" w:rsidRDefault="00E97A98" w:rsidP="00E97A98">
      <w:pPr>
        <w:pStyle w:val="H1G"/>
        <w:rPr>
          <w:lang w:val="fr-FR"/>
        </w:rPr>
      </w:pPr>
      <w:r>
        <w:rPr>
          <w:lang w:val="fr-FR"/>
        </w:rPr>
        <w:tab/>
        <w:t>G.</w:t>
      </w:r>
      <w:r>
        <w:rPr>
          <w:lang w:val="fr-FR"/>
        </w:rPr>
        <w:tab/>
      </w:r>
      <w:r w:rsidR="00B17D2A" w:rsidRPr="00B17D2A">
        <w:rPr>
          <w:lang w:val="fr-FR"/>
        </w:rPr>
        <w:t>Accès à une information appropriée (article 17)</w:t>
      </w:r>
    </w:p>
    <w:p w:rsidR="00B17D2A" w:rsidRPr="00B17D2A" w:rsidRDefault="00E97A98" w:rsidP="00E97A98">
      <w:pPr>
        <w:pStyle w:val="H23G"/>
        <w:rPr>
          <w:lang w:val="fr-FR"/>
        </w:rPr>
      </w:pPr>
      <w:r>
        <w:rPr>
          <w:lang w:val="fr-FR"/>
        </w:rPr>
        <w:tab/>
        <w:t>a)</w:t>
      </w:r>
      <w:r>
        <w:rPr>
          <w:lang w:val="fr-FR"/>
        </w:rPr>
        <w:tab/>
      </w:r>
      <w:r w:rsidR="00B17D2A" w:rsidRPr="00B17D2A">
        <w:rPr>
          <w:lang w:val="fr-FR"/>
        </w:rPr>
        <w:t xml:space="preserve">Créer et distribuer des livres pour enfants, fournir des informations utiles et assurer la coopération internationale </w:t>
      </w:r>
    </w:p>
    <w:p w:rsidR="00B17D2A" w:rsidRPr="00B17D2A" w:rsidRDefault="00B17D2A" w:rsidP="00B17D2A">
      <w:pPr>
        <w:pStyle w:val="SingleTxtG"/>
        <w:rPr>
          <w:lang w:val="fr-FR"/>
        </w:rPr>
      </w:pPr>
      <w:r w:rsidRPr="00B17D2A">
        <w:rPr>
          <w:lang w:val="fr-FR"/>
        </w:rPr>
        <w:t>(Enrichissement des bibliothèques scolaires)</w:t>
      </w:r>
    </w:p>
    <w:p w:rsidR="00B17D2A" w:rsidRPr="00B17D2A" w:rsidRDefault="00B17D2A" w:rsidP="00B17D2A">
      <w:pPr>
        <w:pStyle w:val="SingleTxtG"/>
        <w:rPr>
          <w:u w:val="single"/>
          <w:lang w:val="fr-FR"/>
        </w:rPr>
      </w:pPr>
      <w:r w:rsidRPr="00B17D2A">
        <w:rPr>
          <w:lang w:val="fr-FR"/>
        </w:rPr>
        <w:t>238.</w:t>
      </w:r>
      <w:r w:rsidRPr="00B17D2A">
        <w:rPr>
          <w:lang w:val="fr-FR"/>
        </w:rPr>
        <w:tab/>
        <w:t>Chaque école dispose d</w:t>
      </w:r>
      <w:r w:rsidR="00277023">
        <w:rPr>
          <w:lang w:val="fr-FR"/>
        </w:rPr>
        <w:t>’</w:t>
      </w:r>
      <w:r w:rsidRPr="00B17D2A">
        <w:rPr>
          <w:lang w:val="fr-FR"/>
        </w:rPr>
        <w:t>une bibliothèque. Des actions ont été menées pour enrichir ces bibliothèques scolaires, notamment par la formation et la nomination de bibliothécaires qualifiés et la diversification et l</w:t>
      </w:r>
      <w:r w:rsidR="00277023">
        <w:rPr>
          <w:lang w:val="fr-FR"/>
        </w:rPr>
        <w:t>’</w:t>
      </w:r>
      <w:r w:rsidRPr="00B17D2A">
        <w:rPr>
          <w:lang w:val="fr-FR"/>
        </w:rPr>
        <w:t xml:space="preserve">augmentation du nombre de livres et autres supports. </w:t>
      </w:r>
    </w:p>
    <w:p w:rsidR="00B17D2A" w:rsidRPr="00B17D2A" w:rsidRDefault="00B17D2A" w:rsidP="00B17D2A">
      <w:pPr>
        <w:pStyle w:val="SingleTxtG"/>
        <w:rPr>
          <w:lang w:val="fr-FR"/>
        </w:rPr>
      </w:pPr>
      <w:r w:rsidRPr="00B17D2A">
        <w:rPr>
          <w:lang w:val="fr-FR"/>
        </w:rPr>
        <w:t>(Supports culturels recommandés aux enfants)</w:t>
      </w:r>
    </w:p>
    <w:p w:rsidR="00B17D2A" w:rsidRPr="00B17D2A" w:rsidRDefault="00B17D2A" w:rsidP="00B17D2A">
      <w:pPr>
        <w:pStyle w:val="SingleTxtG"/>
        <w:rPr>
          <w:lang w:val="fr-FR"/>
        </w:rPr>
      </w:pPr>
      <w:r w:rsidRPr="00B17D2A">
        <w:rPr>
          <w:lang w:val="fr-FR"/>
        </w:rPr>
        <w:t>239.</w:t>
      </w:r>
      <w:r w:rsidRPr="00B17D2A">
        <w:rPr>
          <w:lang w:val="fr-FR"/>
        </w:rPr>
        <w:tab/>
        <w:t>Voir paragraphe 87 du rapport initial du Japon et paragraphe 193 du deuxième rapport du Japon.</w:t>
      </w:r>
    </w:p>
    <w:p w:rsidR="00B17D2A" w:rsidRPr="00B17D2A" w:rsidRDefault="00B17D2A" w:rsidP="00B17D2A">
      <w:pPr>
        <w:pStyle w:val="SingleTxtG"/>
        <w:rPr>
          <w:lang w:val="fr-FR"/>
        </w:rPr>
      </w:pPr>
      <w:r w:rsidRPr="00B17D2A">
        <w:rPr>
          <w:lang w:val="fr-FR"/>
        </w:rPr>
        <w:t>240.</w:t>
      </w:r>
      <w:r w:rsidRPr="00B17D2A">
        <w:rPr>
          <w:lang w:val="fr-FR"/>
        </w:rPr>
        <w:tab/>
        <w:t xml:space="preserve">En </w:t>
      </w:r>
      <w:smartTag w:uri="urn:schemas-microsoft-com:office:smarttags" w:element="metricconverter">
        <w:smartTagPr>
          <w:attr w:name="ProductID" w:val="2001 a"/>
        </w:smartTagPr>
        <w:r w:rsidRPr="00B17D2A">
          <w:rPr>
            <w:lang w:val="fr-FR"/>
          </w:rPr>
          <w:t>2001 a</w:t>
        </w:r>
      </w:smartTag>
      <w:r w:rsidRPr="00B17D2A">
        <w:rPr>
          <w:lang w:val="fr-FR"/>
        </w:rPr>
        <w:t xml:space="preserve"> été institué le sous-Comité chargé du bien-être et de la culture du Conseil</w:t>
      </w:r>
      <w:r w:rsidR="00EA1115">
        <w:rPr>
          <w:lang w:val="fr-FR"/>
        </w:rPr>
        <w:t xml:space="preserve"> </w:t>
      </w:r>
      <w:r w:rsidRPr="00B17D2A">
        <w:rPr>
          <w:lang w:val="fr-FR"/>
        </w:rPr>
        <w:t>de sécurité sociale, composé d</w:t>
      </w:r>
      <w:r w:rsidR="00277023">
        <w:rPr>
          <w:lang w:val="fr-FR"/>
        </w:rPr>
        <w:t>’</w:t>
      </w:r>
      <w:r w:rsidRPr="00B17D2A">
        <w:rPr>
          <w:lang w:val="fr-FR"/>
        </w:rPr>
        <w:t>experts et de membres de la communauté universitaire et scientifique. Le sous-Comité recommande des supports culturels de grande qualité avec lesquels les enfants peuvent s</w:t>
      </w:r>
      <w:r w:rsidR="00277023">
        <w:rPr>
          <w:lang w:val="fr-FR"/>
        </w:rPr>
        <w:t>’</w:t>
      </w:r>
      <w:r w:rsidRPr="00B17D2A">
        <w:rPr>
          <w:lang w:val="fr-FR"/>
        </w:rPr>
        <w:t xml:space="preserve">amuser à dialoguer, développer une sensibilité esthétique et diverses aptitudes. En 2005, ce sont 80 publications, 24 pièces de théâtre et 29 supports audiovisuels et médiatiques qui ont été recommandés. </w:t>
      </w:r>
    </w:p>
    <w:p w:rsidR="00B17D2A" w:rsidRPr="00B17D2A" w:rsidRDefault="00B17D2A" w:rsidP="00B17D2A">
      <w:pPr>
        <w:pStyle w:val="SingleTxtG"/>
        <w:rPr>
          <w:lang w:val="fr-FR"/>
        </w:rPr>
      </w:pPr>
      <w:r w:rsidRPr="00B17D2A">
        <w:rPr>
          <w:lang w:val="fr-FR"/>
        </w:rPr>
        <w:t>(Coopération internationale)</w:t>
      </w:r>
    </w:p>
    <w:p w:rsidR="00B17D2A" w:rsidRPr="00B17D2A" w:rsidRDefault="00B17D2A" w:rsidP="00B17D2A">
      <w:pPr>
        <w:pStyle w:val="SingleTxtG"/>
        <w:rPr>
          <w:lang w:val="fr-FR"/>
        </w:rPr>
      </w:pPr>
      <w:r w:rsidRPr="00B17D2A">
        <w:rPr>
          <w:lang w:val="fr-FR"/>
        </w:rPr>
        <w:t>241.</w:t>
      </w:r>
      <w:r w:rsidRPr="00B17D2A">
        <w:rPr>
          <w:lang w:val="fr-FR"/>
        </w:rPr>
        <w:tab/>
        <w:t xml:space="preserve">Voir paragraphe 194 du deuxième rapport du Japon (paragraphes 92-93 du rapport initial). </w:t>
      </w:r>
    </w:p>
    <w:p w:rsidR="00B17D2A" w:rsidRPr="00B17D2A" w:rsidRDefault="00B17D2A" w:rsidP="00270871">
      <w:pPr>
        <w:pStyle w:val="SingleTxtG"/>
        <w:keepNext/>
        <w:rPr>
          <w:lang w:val="fr-FR"/>
        </w:rPr>
      </w:pPr>
      <w:r w:rsidRPr="00B17D2A">
        <w:rPr>
          <w:lang w:val="fr-FR"/>
        </w:rPr>
        <w:t>242.</w:t>
      </w:r>
      <w:r w:rsidRPr="00B17D2A">
        <w:rPr>
          <w:lang w:val="fr-FR"/>
        </w:rPr>
        <w:tab/>
        <w:t xml:space="preserve">Subventions au </w:t>
      </w:r>
      <w:r w:rsidRPr="00B17D2A">
        <w:t>centre</w:t>
      </w:r>
      <w:r w:rsidRPr="00B17D2A">
        <w:rPr>
          <w:lang w:val="fr-FR"/>
        </w:rPr>
        <w:t xml:space="preserve"> culturel Asie/Pacifique pour l</w:t>
      </w:r>
      <w:r w:rsidR="00277023">
        <w:rPr>
          <w:lang w:val="fr-FR"/>
        </w:rPr>
        <w:t>’</w:t>
      </w:r>
      <w:r w:rsidRPr="00B17D2A">
        <w:rPr>
          <w:lang w:val="fr-FR"/>
        </w:rPr>
        <w:t>UNESCO</w:t>
      </w:r>
      <w:r w:rsidR="00E97A98">
        <w:rPr>
          <w:lang w:val="fr-FR"/>
        </w:rPr>
        <w:t>:</w:t>
      </w:r>
    </w:p>
    <w:p w:rsidR="00D114B0" w:rsidRPr="008E5027" w:rsidRDefault="00365506" w:rsidP="00451DA3">
      <w:pPr>
        <w:pStyle w:val="Heading1"/>
      </w:pPr>
      <w:r w:rsidRPr="00F206B8">
        <w:rPr>
          <w:lang w:val="fr-FR"/>
        </w:rPr>
        <w:t>Tableau</w:t>
      </w:r>
      <w:r w:rsidRPr="00F206B8">
        <w:rPr>
          <w:lang w:val="es-ES"/>
        </w:rPr>
        <w:t xml:space="preserve"> </w:t>
      </w:r>
      <w:r w:rsidR="00D114B0" w:rsidRPr="008E5027">
        <w:t>7</w:t>
      </w:r>
    </w:p>
    <w:p w:rsidR="00D114B0" w:rsidRPr="008E5027" w:rsidRDefault="00B17D2A" w:rsidP="00AC5677">
      <w:pPr>
        <w:pStyle w:val="SingleTxtG"/>
        <w:jc w:val="left"/>
        <w:rPr>
          <w:b/>
        </w:rPr>
      </w:pPr>
      <w:r w:rsidRPr="00B17D2A">
        <w:rPr>
          <w:b/>
          <w:lang w:val="fr-FR"/>
        </w:rPr>
        <w:t>Subventions versées au centre culturel Asie/Pacifique pour l</w:t>
      </w:r>
      <w:r w:rsidR="00277023">
        <w:rPr>
          <w:b/>
          <w:lang w:val="fr-FR"/>
        </w:rPr>
        <w:t>’</w:t>
      </w:r>
      <w:r w:rsidRPr="00B17D2A">
        <w:rPr>
          <w:b/>
          <w:lang w:val="fr-FR"/>
        </w:rPr>
        <w:t>UNESCO</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6"/>
      </w:tblGrid>
      <w:tr w:rsidR="00B31A0F" w:rsidRPr="004F7953">
        <w:tc>
          <w:tcPr>
            <w:tcW w:w="3685" w:type="dxa"/>
            <w:tcBorders>
              <w:top w:val="single" w:sz="4" w:space="0" w:color="auto"/>
              <w:bottom w:val="single" w:sz="12" w:space="0" w:color="auto"/>
            </w:tcBorders>
            <w:shd w:val="clear" w:color="auto" w:fill="auto"/>
            <w:vAlign w:val="bottom"/>
          </w:tcPr>
          <w:p w:rsidR="00B31A0F" w:rsidRPr="008E5027" w:rsidRDefault="004F7953" w:rsidP="00B31A0F">
            <w:pPr>
              <w:spacing w:before="80" w:after="80" w:line="200" w:lineRule="exact"/>
              <w:rPr>
                <w:i/>
                <w:sz w:val="16"/>
              </w:rPr>
            </w:pPr>
            <w:r w:rsidRPr="004F7953">
              <w:rPr>
                <w:i/>
                <w:sz w:val="16"/>
                <w:lang w:val="fr-FR"/>
              </w:rPr>
              <w:t>Année</w:t>
            </w:r>
          </w:p>
        </w:tc>
        <w:tc>
          <w:tcPr>
            <w:tcW w:w="3686" w:type="dxa"/>
            <w:tcBorders>
              <w:top w:val="single" w:sz="4" w:space="0" w:color="auto"/>
              <w:bottom w:val="single" w:sz="12" w:space="0" w:color="auto"/>
            </w:tcBorders>
            <w:shd w:val="clear" w:color="auto" w:fill="auto"/>
            <w:vAlign w:val="bottom"/>
          </w:tcPr>
          <w:p w:rsidR="00B31A0F" w:rsidRPr="004F7953" w:rsidRDefault="004F7953" w:rsidP="004F7953">
            <w:pPr>
              <w:spacing w:before="80" w:after="80" w:line="200" w:lineRule="exact"/>
              <w:jc w:val="right"/>
              <w:rPr>
                <w:i/>
                <w:sz w:val="16"/>
                <w:lang w:val="es-ES"/>
              </w:rPr>
            </w:pPr>
            <w:r w:rsidRPr="004F7953">
              <w:rPr>
                <w:i/>
                <w:sz w:val="16"/>
                <w:lang w:val="fr-FR"/>
              </w:rPr>
              <w:t>Montant de la subvention</w:t>
            </w:r>
            <w:r>
              <w:rPr>
                <w:i/>
                <w:sz w:val="16"/>
                <w:lang w:val="fr-FR"/>
              </w:rPr>
              <w:t xml:space="preserve"> </w:t>
            </w:r>
            <w:r w:rsidRPr="004F7953">
              <w:rPr>
                <w:i/>
                <w:sz w:val="16"/>
                <w:lang w:val="fr-FR"/>
              </w:rPr>
              <w:t>(en milliers de yen)</w:t>
            </w:r>
          </w:p>
        </w:tc>
      </w:tr>
      <w:tr w:rsidR="00B31A0F" w:rsidRPr="008E5027">
        <w:tc>
          <w:tcPr>
            <w:tcW w:w="3685" w:type="dxa"/>
            <w:tcBorders>
              <w:top w:val="single" w:sz="12" w:space="0" w:color="auto"/>
            </w:tcBorders>
            <w:shd w:val="clear" w:color="auto" w:fill="auto"/>
            <w:vAlign w:val="bottom"/>
          </w:tcPr>
          <w:p w:rsidR="00B31A0F" w:rsidRPr="008E5027" w:rsidRDefault="00B31A0F" w:rsidP="005D6842">
            <w:pPr>
              <w:suppressAutoHyphens w:val="0"/>
              <w:spacing w:before="40" w:after="40" w:line="220" w:lineRule="exact"/>
              <w:rPr>
                <w:sz w:val="18"/>
              </w:rPr>
            </w:pPr>
            <w:r w:rsidRPr="008E5027">
              <w:rPr>
                <w:sz w:val="18"/>
              </w:rPr>
              <w:t>2001</w:t>
            </w:r>
          </w:p>
        </w:tc>
        <w:tc>
          <w:tcPr>
            <w:tcW w:w="3686" w:type="dxa"/>
            <w:tcBorders>
              <w:top w:val="single" w:sz="12" w:space="0" w:color="auto"/>
            </w:tcBorders>
            <w:shd w:val="clear" w:color="auto" w:fill="auto"/>
            <w:vAlign w:val="bottom"/>
          </w:tcPr>
          <w:p w:rsidR="00B31A0F" w:rsidRPr="008E5027" w:rsidRDefault="00B31A0F" w:rsidP="005D6842">
            <w:pPr>
              <w:spacing w:before="40" w:after="40" w:line="220" w:lineRule="exact"/>
              <w:jc w:val="right"/>
              <w:rPr>
                <w:sz w:val="18"/>
                <w:szCs w:val="18"/>
              </w:rPr>
            </w:pPr>
            <w:r w:rsidRPr="008E5027">
              <w:rPr>
                <w:sz w:val="18"/>
                <w:szCs w:val="18"/>
              </w:rPr>
              <w:t>269</w:t>
            </w:r>
            <w:r w:rsidR="00E04247" w:rsidRPr="008E5027">
              <w:rPr>
                <w:sz w:val="18"/>
                <w:szCs w:val="18"/>
              </w:rPr>
              <w:t xml:space="preserve"> </w:t>
            </w:r>
            <w:r w:rsidRPr="008E5027">
              <w:rPr>
                <w:sz w:val="18"/>
                <w:szCs w:val="18"/>
              </w:rPr>
              <w:t>809</w:t>
            </w:r>
          </w:p>
        </w:tc>
      </w:tr>
      <w:tr w:rsidR="00B31A0F" w:rsidRPr="008E5027">
        <w:tc>
          <w:tcPr>
            <w:tcW w:w="3685" w:type="dxa"/>
            <w:shd w:val="clear" w:color="auto" w:fill="auto"/>
            <w:vAlign w:val="bottom"/>
          </w:tcPr>
          <w:p w:rsidR="00B31A0F" w:rsidRPr="008E5027" w:rsidRDefault="00B31A0F" w:rsidP="005D6842">
            <w:pPr>
              <w:suppressAutoHyphens w:val="0"/>
              <w:spacing w:before="40" w:after="40" w:line="220" w:lineRule="exact"/>
              <w:rPr>
                <w:sz w:val="18"/>
              </w:rPr>
            </w:pPr>
            <w:r w:rsidRPr="008E5027">
              <w:rPr>
                <w:sz w:val="18"/>
              </w:rPr>
              <w:t>2002</w:t>
            </w:r>
          </w:p>
        </w:tc>
        <w:tc>
          <w:tcPr>
            <w:tcW w:w="3686" w:type="dxa"/>
            <w:shd w:val="clear" w:color="auto" w:fill="auto"/>
            <w:vAlign w:val="bottom"/>
          </w:tcPr>
          <w:p w:rsidR="00B31A0F" w:rsidRPr="008E5027" w:rsidRDefault="00B31A0F" w:rsidP="005D6842">
            <w:pPr>
              <w:spacing w:before="40" w:after="40" w:line="220" w:lineRule="exact"/>
              <w:jc w:val="right"/>
              <w:rPr>
                <w:sz w:val="18"/>
                <w:szCs w:val="18"/>
              </w:rPr>
            </w:pPr>
            <w:r w:rsidRPr="008E5027">
              <w:rPr>
                <w:sz w:val="18"/>
                <w:szCs w:val="18"/>
              </w:rPr>
              <w:t>244</w:t>
            </w:r>
            <w:r w:rsidR="00E04247" w:rsidRPr="008E5027">
              <w:rPr>
                <w:sz w:val="18"/>
                <w:szCs w:val="18"/>
              </w:rPr>
              <w:t xml:space="preserve"> </w:t>
            </w:r>
            <w:r w:rsidRPr="008E5027">
              <w:rPr>
                <w:sz w:val="18"/>
                <w:szCs w:val="18"/>
              </w:rPr>
              <w:t>389</w:t>
            </w:r>
          </w:p>
        </w:tc>
      </w:tr>
      <w:tr w:rsidR="00B31A0F" w:rsidRPr="008E5027">
        <w:tc>
          <w:tcPr>
            <w:tcW w:w="3685" w:type="dxa"/>
            <w:shd w:val="clear" w:color="auto" w:fill="auto"/>
            <w:vAlign w:val="bottom"/>
          </w:tcPr>
          <w:p w:rsidR="00B31A0F" w:rsidRPr="008E5027" w:rsidRDefault="00B31A0F" w:rsidP="005D6842">
            <w:pPr>
              <w:suppressAutoHyphens w:val="0"/>
              <w:spacing w:before="40" w:after="40" w:line="220" w:lineRule="exact"/>
              <w:rPr>
                <w:sz w:val="18"/>
              </w:rPr>
            </w:pPr>
            <w:r w:rsidRPr="008E5027">
              <w:rPr>
                <w:sz w:val="18"/>
              </w:rPr>
              <w:t>2003</w:t>
            </w:r>
          </w:p>
        </w:tc>
        <w:tc>
          <w:tcPr>
            <w:tcW w:w="3686" w:type="dxa"/>
            <w:shd w:val="clear" w:color="auto" w:fill="auto"/>
            <w:vAlign w:val="bottom"/>
          </w:tcPr>
          <w:p w:rsidR="00B31A0F" w:rsidRPr="008E5027" w:rsidRDefault="00B31A0F" w:rsidP="005D6842">
            <w:pPr>
              <w:spacing w:before="40" w:after="40" w:line="220" w:lineRule="exact"/>
              <w:jc w:val="right"/>
              <w:rPr>
                <w:sz w:val="18"/>
                <w:szCs w:val="18"/>
              </w:rPr>
            </w:pPr>
            <w:r w:rsidRPr="008E5027">
              <w:rPr>
                <w:sz w:val="18"/>
                <w:szCs w:val="18"/>
              </w:rPr>
              <w:t>220</w:t>
            </w:r>
            <w:r w:rsidR="00E04247" w:rsidRPr="008E5027">
              <w:rPr>
                <w:sz w:val="18"/>
                <w:szCs w:val="18"/>
              </w:rPr>
              <w:t xml:space="preserve"> </w:t>
            </w:r>
            <w:r w:rsidRPr="008E5027">
              <w:rPr>
                <w:sz w:val="18"/>
                <w:szCs w:val="18"/>
              </w:rPr>
              <w:t>492</w:t>
            </w:r>
          </w:p>
        </w:tc>
      </w:tr>
      <w:tr w:rsidR="00B31A0F" w:rsidRPr="008E5027">
        <w:tc>
          <w:tcPr>
            <w:tcW w:w="3685" w:type="dxa"/>
            <w:shd w:val="clear" w:color="auto" w:fill="auto"/>
            <w:vAlign w:val="bottom"/>
          </w:tcPr>
          <w:p w:rsidR="00B31A0F" w:rsidRPr="008E5027" w:rsidRDefault="00B31A0F" w:rsidP="005D6842">
            <w:pPr>
              <w:suppressAutoHyphens w:val="0"/>
              <w:spacing w:before="40" w:after="40" w:line="220" w:lineRule="exact"/>
              <w:rPr>
                <w:sz w:val="18"/>
              </w:rPr>
            </w:pPr>
            <w:r w:rsidRPr="008E5027">
              <w:rPr>
                <w:sz w:val="18"/>
              </w:rPr>
              <w:t>2004</w:t>
            </w:r>
          </w:p>
        </w:tc>
        <w:tc>
          <w:tcPr>
            <w:tcW w:w="3686" w:type="dxa"/>
            <w:shd w:val="clear" w:color="auto" w:fill="auto"/>
            <w:vAlign w:val="bottom"/>
          </w:tcPr>
          <w:p w:rsidR="00B31A0F" w:rsidRPr="008E5027" w:rsidRDefault="00B31A0F" w:rsidP="005D6842">
            <w:pPr>
              <w:spacing w:before="40" w:after="40" w:line="220" w:lineRule="exact"/>
              <w:jc w:val="right"/>
              <w:rPr>
                <w:sz w:val="18"/>
                <w:szCs w:val="18"/>
              </w:rPr>
            </w:pPr>
            <w:r w:rsidRPr="008E5027">
              <w:rPr>
                <w:sz w:val="18"/>
                <w:szCs w:val="18"/>
              </w:rPr>
              <w:t>188</w:t>
            </w:r>
            <w:r w:rsidR="00E04247" w:rsidRPr="008E5027">
              <w:rPr>
                <w:sz w:val="18"/>
                <w:szCs w:val="18"/>
              </w:rPr>
              <w:t xml:space="preserve"> </w:t>
            </w:r>
            <w:r w:rsidRPr="008E5027">
              <w:rPr>
                <w:sz w:val="18"/>
                <w:szCs w:val="18"/>
              </w:rPr>
              <w:t>816</w:t>
            </w:r>
          </w:p>
        </w:tc>
      </w:tr>
      <w:tr w:rsidR="00B31A0F" w:rsidRPr="008E5027">
        <w:tc>
          <w:tcPr>
            <w:tcW w:w="3685" w:type="dxa"/>
            <w:tcBorders>
              <w:bottom w:val="single" w:sz="12" w:space="0" w:color="auto"/>
            </w:tcBorders>
            <w:shd w:val="clear" w:color="auto" w:fill="auto"/>
            <w:vAlign w:val="bottom"/>
          </w:tcPr>
          <w:p w:rsidR="00B31A0F" w:rsidRPr="008E5027" w:rsidRDefault="00B31A0F" w:rsidP="005D6842">
            <w:pPr>
              <w:suppressAutoHyphens w:val="0"/>
              <w:spacing w:before="40" w:after="40" w:line="220" w:lineRule="exact"/>
              <w:rPr>
                <w:sz w:val="18"/>
              </w:rPr>
            </w:pPr>
            <w:r w:rsidRPr="008E5027">
              <w:rPr>
                <w:sz w:val="18"/>
              </w:rPr>
              <w:t>2005</w:t>
            </w:r>
          </w:p>
        </w:tc>
        <w:tc>
          <w:tcPr>
            <w:tcW w:w="3686" w:type="dxa"/>
            <w:tcBorders>
              <w:bottom w:val="single" w:sz="12" w:space="0" w:color="auto"/>
            </w:tcBorders>
            <w:shd w:val="clear" w:color="auto" w:fill="auto"/>
            <w:vAlign w:val="bottom"/>
          </w:tcPr>
          <w:p w:rsidR="00B31A0F" w:rsidRPr="008E5027" w:rsidRDefault="00B31A0F" w:rsidP="005D6842">
            <w:pPr>
              <w:spacing w:before="40" w:after="40" w:line="220" w:lineRule="exact"/>
              <w:jc w:val="right"/>
              <w:rPr>
                <w:sz w:val="18"/>
                <w:szCs w:val="18"/>
              </w:rPr>
            </w:pPr>
            <w:r w:rsidRPr="008E5027">
              <w:rPr>
                <w:sz w:val="18"/>
                <w:szCs w:val="18"/>
              </w:rPr>
              <w:t>171</w:t>
            </w:r>
            <w:r w:rsidR="00E04247" w:rsidRPr="008E5027">
              <w:rPr>
                <w:sz w:val="18"/>
                <w:szCs w:val="18"/>
              </w:rPr>
              <w:t xml:space="preserve"> </w:t>
            </w:r>
            <w:r w:rsidRPr="008E5027">
              <w:rPr>
                <w:sz w:val="18"/>
                <w:szCs w:val="18"/>
              </w:rPr>
              <w:t>511</w:t>
            </w:r>
          </w:p>
        </w:tc>
      </w:tr>
    </w:tbl>
    <w:p w:rsidR="00E97A98" w:rsidRPr="00E97A98" w:rsidRDefault="00E97A98" w:rsidP="00E97A98">
      <w:pPr>
        <w:pStyle w:val="H23G"/>
        <w:rPr>
          <w:lang w:val="es-ES"/>
        </w:rPr>
      </w:pPr>
      <w:r w:rsidRPr="00D74CA4">
        <w:rPr>
          <w:lang w:val="es-ES"/>
        </w:rPr>
        <w:tab/>
      </w:r>
      <w:r>
        <w:rPr>
          <w:lang w:val="es-ES"/>
        </w:rPr>
        <w:t>b)</w:t>
      </w:r>
      <w:r>
        <w:rPr>
          <w:lang w:val="es-ES"/>
        </w:rPr>
        <w:tab/>
      </w:r>
      <w:r w:rsidRPr="00E97A98">
        <w:rPr>
          <w:lang w:val="es-ES"/>
        </w:rPr>
        <w:t>Protection des enfants contre les informations et les documents nuisibles à leur bien</w:t>
      </w:r>
      <w:r>
        <w:rPr>
          <w:lang w:val="es-ES"/>
        </w:rPr>
        <w:noBreakHyphen/>
      </w:r>
      <w:r w:rsidRPr="00E97A98">
        <w:rPr>
          <w:lang w:val="es-ES"/>
        </w:rPr>
        <w:t>être</w:t>
      </w:r>
    </w:p>
    <w:p w:rsidR="00E97A98" w:rsidRPr="00E97A98" w:rsidRDefault="00E97A98" w:rsidP="00E97A98">
      <w:pPr>
        <w:pStyle w:val="SingleTxtG"/>
        <w:rPr>
          <w:lang w:val="es-ES"/>
        </w:rPr>
      </w:pPr>
      <w:r w:rsidRPr="00E97A98">
        <w:rPr>
          <w:lang w:val="es-ES"/>
        </w:rPr>
        <w:t xml:space="preserve">(Formulation des </w:t>
      </w:r>
      <w:r w:rsidR="008E49D4">
        <w:rPr>
          <w:lang w:val="es-ES"/>
        </w:rPr>
        <w:t>“</w:t>
      </w:r>
      <w:r w:rsidRPr="00E97A98">
        <w:rPr>
          <w:lang w:val="es-ES"/>
        </w:rPr>
        <w:t>directives pour l</w:t>
      </w:r>
      <w:r w:rsidR="00277023">
        <w:rPr>
          <w:lang w:val="es-ES"/>
        </w:rPr>
        <w:t>’</w:t>
      </w:r>
      <w:r w:rsidRPr="00E97A98">
        <w:rPr>
          <w:lang w:val="es-ES"/>
        </w:rPr>
        <w:t>amélioration de l</w:t>
      </w:r>
      <w:r w:rsidR="00277023">
        <w:rPr>
          <w:lang w:val="es-ES"/>
        </w:rPr>
        <w:t>’</w:t>
      </w:r>
      <w:r w:rsidRPr="00E97A98">
        <w:rPr>
          <w:lang w:val="es-ES"/>
        </w:rPr>
        <w:t>environnement de la jeunesse</w:t>
      </w:r>
      <w:r w:rsidR="008E49D4">
        <w:rPr>
          <w:lang w:val="es-ES"/>
        </w:rPr>
        <w:t>”</w:t>
      </w:r>
      <w:r w:rsidRPr="00E97A98">
        <w:rPr>
          <w:lang w:val="es-ES"/>
        </w:rPr>
        <w:t xml:space="preserve">) </w:t>
      </w:r>
    </w:p>
    <w:p w:rsidR="00E97A98" w:rsidRPr="00E97A98" w:rsidRDefault="00E97A98" w:rsidP="00E97A98">
      <w:pPr>
        <w:pStyle w:val="SingleTxtG"/>
        <w:rPr>
          <w:lang w:val="es-ES"/>
        </w:rPr>
      </w:pPr>
      <w:r w:rsidRPr="00E97A98">
        <w:rPr>
          <w:lang w:val="es-ES"/>
        </w:rPr>
        <w:t>243.</w:t>
      </w:r>
      <w:r w:rsidRPr="00E97A98">
        <w:rPr>
          <w:lang w:val="es-ES"/>
        </w:rPr>
        <w:tab/>
        <w:t>En vue d</w:t>
      </w:r>
      <w:r w:rsidR="00277023">
        <w:rPr>
          <w:lang w:val="es-ES"/>
        </w:rPr>
        <w:t>’</w:t>
      </w:r>
      <w:r w:rsidRPr="00E97A98">
        <w:rPr>
          <w:lang w:val="es-ES"/>
        </w:rPr>
        <w:t>assurer l</w:t>
      </w:r>
      <w:r w:rsidR="00277023">
        <w:rPr>
          <w:lang w:val="es-ES"/>
        </w:rPr>
        <w:t>’</w:t>
      </w:r>
      <w:r w:rsidRPr="00E97A98">
        <w:rPr>
          <w:lang w:val="es-ES"/>
        </w:rPr>
        <w:t xml:space="preserve">application des mesures contre les diverses informations préjudiciables parvenant à la jeunesse, ainsi que le stipule </w:t>
      </w:r>
      <w:smartTag w:uri="urn:schemas-microsoft-com:office:smarttags" w:element="PersonName">
        <w:smartTagPr>
          <w:attr w:name="ProductID" w:val="la Politique"/>
        </w:smartTagPr>
        <w:r w:rsidRPr="00E97A98">
          <w:rPr>
            <w:lang w:val="es-ES"/>
          </w:rPr>
          <w:t>la Politique</w:t>
        </w:r>
      </w:smartTag>
      <w:r w:rsidRPr="00E97A98">
        <w:rPr>
          <w:lang w:val="es-ES"/>
        </w:rPr>
        <w:t xml:space="preserve"> nationale en faveur de la jeunesse, le Gouvernement a formulé des directives pour une amélioration de l</w:t>
      </w:r>
      <w:r w:rsidR="00277023">
        <w:rPr>
          <w:lang w:val="es-ES"/>
        </w:rPr>
        <w:t>’</w:t>
      </w:r>
      <w:r w:rsidRPr="00E97A98">
        <w:rPr>
          <w:lang w:val="es-ES"/>
        </w:rPr>
        <w:t>environnement de la jeunesse en avril 2004, dans lesquelles il récapitule ce qui est de son ressort et ce qu</w:t>
      </w:r>
      <w:r w:rsidR="00277023">
        <w:rPr>
          <w:lang w:val="es-ES"/>
        </w:rPr>
        <w:t>’</w:t>
      </w:r>
      <w:r w:rsidRPr="00E97A98">
        <w:rPr>
          <w:lang w:val="es-ES"/>
        </w:rPr>
        <w:t>il entend déléguer aux collectivités locales et acteurs économiques. S</w:t>
      </w:r>
      <w:r w:rsidR="00277023">
        <w:rPr>
          <w:lang w:val="es-ES"/>
        </w:rPr>
        <w:t>’</w:t>
      </w:r>
      <w:r w:rsidRPr="00E97A98">
        <w:rPr>
          <w:lang w:val="es-ES"/>
        </w:rPr>
        <w:t>agissant des actions à mener conformément à ces directives, un suivi sera réalisé chaque année, dont les résultats seront communiqués aux ministères, organismes, collectivités locales et acteurs économiques concernés afin d</w:t>
      </w:r>
      <w:r w:rsidR="00277023">
        <w:rPr>
          <w:lang w:val="es-ES"/>
        </w:rPr>
        <w:t>’</w:t>
      </w:r>
      <w:r w:rsidRPr="00E97A98">
        <w:rPr>
          <w:lang w:val="es-ES"/>
        </w:rPr>
        <w:t>assurer la diffusion des informations et l</w:t>
      </w:r>
      <w:r w:rsidR="00277023">
        <w:rPr>
          <w:lang w:val="es-ES"/>
        </w:rPr>
        <w:t>’</w:t>
      </w:r>
      <w:r w:rsidRPr="00E97A98">
        <w:rPr>
          <w:lang w:val="es-ES"/>
        </w:rPr>
        <w:t>intensification des efforts.</w:t>
      </w:r>
    </w:p>
    <w:p w:rsidR="00E97A98" w:rsidRPr="00E97A98" w:rsidRDefault="00E97A98" w:rsidP="00E97A98">
      <w:pPr>
        <w:pStyle w:val="SingleTxtG"/>
        <w:rPr>
          <w:lang w:val="es-ES"/>
        </w:rPr>
      </w:pPr>
      <w:r w:rsidRPr="00E97A98">
        <w:rPr>
          <w:lang w:val="es-ES"/>
        </w:rPr>
        <w:t>244.</w:t>
      </w:r>
      <w:r w:rsidRPr="00E97A98">
        <w:rPr>
          <w:lang w:val="es-ES"/>
        </w:rPr>
        <w:tab/>
        <w:t xml:space="preserve">Les actions fondées sur </w:t>
      </w:r>
      <w:smartTag w:uri="urn:schemas-microsoft-com:office:smarttags" w:element="PersonName">
        <w:smartTagPr>
          <w:attr w:name="ProductID" w:val="la Politique"/>
        </w:smartTagPr>
        <w:r w:rsidRPr="00E97A98">
          <w:rPr>
            <w:lang w:val="es-ES"/>
          </w:rPr>
          <w:t>la Politique</w:t>
        </w:r>
      </w:smartTag>
      <w:r w:rsidRPr="00E97A98">
        <w:rPr>
          <w:lang w:val="es-ES"/>
        </w:rPr>
        <w:t xml:space="preserve"> comprennent la diffusion de publicités éducatives qui renforcent les activités de filtrage des informations nuisibles, l</w:t>
      </w:r>
      <w:r w:rsidR="00277023">
        <w:rPr>
          <w:lang w:val="es-ES"/>
        </w:rPr>
        <w:t>’</w:t>
      </w:r>
      <w:r w:rsidRPr="00E97A98">
        <w:rPr>
          <w:lang w:val="es-ES"/>
        </w:rPr>
        <w:t>appui aux audits externes qui assurent l</w:t>
      </w:r>
      <w:r w:rsidR="00277023">
        <w:rPr>
          <w:lang w:val="es-ES"/>
        </w:rPr>
        <w:t>’</w:t>
      </w:r>
      <w:r w:rsidRPr="00E97A98">
        <w:rPr>
          <w:lang w:val="es-ES"/>
        </w:rPr>
        <w:t>efficacité des autocontrôles des industries concernées, la promotion de l</w:t>
      </w:r>
      <w:r w:rsidR="00277023">
        <w:rPr>
          <w:lang w:val="es-ES"/>
        </w:rPr>
        <w:t>’</w:t>
      </w:r>
      <w:r w:rsidRPr="00E97A98">
        <w:rPr>
          <w:lang w:val="es-ES"/>
        </w:rPr>
        <w:t>initiation aux médias (aptitude à communiquer à travers les médias) de la jeunesse, le renforcement des contrôles selon les lois et règlements applicables, et la possibilité que les acteurs économiques concernés échangent des vues. Il est également demandé aux collectivités locales d</w:t>
      </w:r>
      <w:r w:rsidR="00277023">
        <w:rPr>
          <w:lang w:val="es-ES"/>
        </w:rPr>
        <w:t>’</w:t>
      </w:r>
      <w:r w:rsidRPr="00E97A98">
        <w:rPr>
          <w:lang w:val="es-ES"/>
        </w:rPr>
        <w:t>appliquer efficacement les arrêtés relatifs à la protection et au développement de la jeunesse et d</w:t>
      </w:r>
      <w:r w:rsidR="00277023">
        <w:rPr>
          <w:lang w:val="es-ES"/>
        </w:rPr>
        <w:t>’</w:t>
      </w:r>
      <w:r w:rsidRPr="00E97A98">
        <w:rPr>
          <w:lang w:val="es-ES"/>
        </w:rPr>
        <w:t>assurer un contrôle strict, conforme aux lois et dispositions en vigueur.</w:t>
      </w:r>
    </w:p>
    <w:p w:rsidR="00B31A0F" w:rsidRDefault="00E97A98" w:rsidP="00E97A98">
      <w:pPr>
        <w:pStyle w:val="SingleTxtG"/>
        <w:rPr>
          <w:lang w:val="es-ES"/>
        </w:rPr>
      </w:pPr>
      <w:r w:rsidRPr="00E97A98">
        <w:rPr>
          <w:lang w:val="es-ES"/>
        </w:rPr>
        <w:t>245.</w:t>
      </w:r>
      <w:r w:rsidRPr="00E97A98">
        <w:rPr>
          <w:lang w:val="es-ES"/>
        </w:rPr>
        <w:tab/>
        <w:t>En outre, les acteurs économiques sont priés de travailler à la transmission et à la diffusion d</w:t>
      </w:r>
      <w:r w:rsidR="00277023">
        <w:rPr>
          <w:lang w:val="es-ES"/>
        </w:rPr>
        <w:t>’</w:t>
      </w:r>
      <w:r w:rsidRPr="00E97A98">
        <w:rPr>
          <w:lang w:val="es-ES"/>
        </w:rPr>
        <w:t>informations qui tiennent compte de l</w:t>
      </w:r>
      <w:r w:rsidR="00277023">
        <w:rPr>
          <w:lang w:val="es-ES"/>
        </w:rPr>
        <w:t>’</w:t>
      </w:r>
      <w:r w:rsidRPr="00E97A98">
        <w:rPr>
          <w:lang w:val="es-ES"/>
        </w:rPr>
        <w:t>impact sur les jeunes, d</w:t>
      </w:r>
      <w:r w:rsidR="00277023">
        <w:rPr>
          <w:lang w:val="es-ES"/>
        </w:rPr>
        <w:t>’</w:t>
      </w:r>
      <w:r w:rsidRPr="00E97A98">
        <w:rPr>
          <w:lang w:val="es-ES"/>
        </w:rPr>
        <w:t>assurer de strictes autoréglementations fondées sur l</w:t>
      </w:r>
      <w:r w:rsidR="00277023">
        <w:rPr>
          <w:lang w:val="es-ES"/>
        </w:rPr>
        <w:t>’</w:t>
      </w:r>
      <w:r w:rsidRPr="00E97A98">
        <w:rPr>
          <w:lang w:val="es-ES"/>
        </w:rPr>
        <w:t>évaluation de l</w:t>
      </w:r>
      <w:r w:rsidR="00277023">
        <w:rPr>
          <w:lang w:val="es-ES"/>
        </w:rPr>
        <w:t>’</w:t>
      </w:r>
      <w:r w:rsidRPr="00E97A98">
        <w:rPr>
          <w:lang w:val="es-ES"/>
        </w:rPr>
        <w:t>information fournie et un traitement approprié des plaintes, et de promouvoir les activités d</w:t>
      </w:r>
      <w:r w:rsidR="00277023">
        <w:rPr>
          <w:lang w:val="es-ES"/>
        </w:rPr>
        <w:t>’</w:t>
      </w:r>
      <w:r w:rsidRPr="00E97A98">
        <w:rPr>
          <w:lang w:val="es-ES"/>
        </w:rPr>
        <w:t>initiation aux médias pour les jeunes. Le contexte des autoréglementations des différentes industries est le suivant:</w:t>
      </w:r>
    </w:p>
    <w:p w:rsidR="00B31A0F" w:rsidRPr="00E97A98" w:rsidRDefault="00DE1B6E" w:rsidP="00DE1B6E">
      <w:pPr>
        <w:pStyle w:val="Heading1"/>
        <w:rPr>
          <w:lang w:val="es-ES"/>
        </w:rPr>
      </w:pPr>
      <w:r>
        <w:rPr>
          <w:lang w:val="es-ES"/>
        </w:rPr>
        <w:br w:type="page"/>
      </w:r>
      <w:r w:rsidR="00365506" w:rsidRPr="00F206B8">
        <w:rPr>
          <w:lang w:val="fr-FR"/>
        </w:rPr>
        <w:t>Tableau</w:t>
      </w:r>
      <w:r w:rsidR="00365506" w:rsidRPr="00F206B8">
        <w:rPr>
          <w:lang w:val="es-ES"/>
        </w:rPr>
        <w:t xml:space="preserve"> </w:t>
      </w:r>
      <w:r w:rsidR="00B31A0F" w:rsidRPr="00E97A98">
        <w:rPr>
          <w:lang w:val="es-ES"/>
        </w:rPr>
        <w:t>8</w:t>
      </w:r>
    </w:p>
    <w:p w:rsidR="00B31A0F" w:rsidRPr="008E5027" w:rsidRDefault="00E97A98" w:rsidP="00AC5677">
      <w:pPr>
        <w:pStyle w:val="SingleTxtG"/>
        <w:jc w:val="left"/>
        <w:rPr>
          <w:b/>
        </w:rPr>
      </w:pPr>
      <w:r w:rsidRPr="00E97A98">
        <w:rPr>
          <w:b/>
          <w:bCs/>
          <w:lang w:val="fr-FR"/>
        </w:rPr>
        <w:t>Niveau d</w:t>
      </w:r>
      <w:r w:rsidR="00277023">
        <w:rPr>
          <w:b/>
          <w:bCs/>
          <w:lang w:val="fr-FR"/>
        </w:rPr>
        <w:t>’</w:t>
      </w:r>
      <w:r w:rsidRPr="00E97A98">
        <w:rPr>
          <w:b/>
          <w:bCs/>
          <w:lang w:val="fr-FR"/>
        </w:rPr>
        <w:t>autoréglementation des milieux d</w:t>
      </w:r>
      <w:r w:rsidR="00277023">
        <w:rPr>
          <w:b/>
          <w:bCs/>
          <w:lang w:val="fr-FR"/>
        </w:rPr>
        <w:t>’</w:t>
      </w:r>
      <w:r w:rsidRPr="00E97A98">
        <w:rPr>
          <w:b/>
          <w:bCs/>
          <w:lang w:val="fr-FR"/>
        </w:rPr>
        <w:t>affaires concernés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540"/>
        <w:gridCol w:w="6965"/>
      </w:tblGrid>
      <w:tr w:rsidR="00566528" w:rsidRPr="008E5027" w:rsidTr="0060234D">
        <w:trPr>
          <w:tblHeader/>
        </w:trPr>
        <w:tc>
          <w:tcPr>
            <w:tcW w:w="1540" w:type="dxa"/>
            <w:tcBorders>
              <w:top w:val="single" w:sz="4" w:space="0" w:color="auto"/>
              <w:bottom w:val="single" w:sz="12" w:space="0" w:color="auto"/>
            </w:tcBorders>
            <w:shd w:val="clear" w:color="auto" w:fill="auto"/>
            <w:vAlign w:val="bottom"/>
          </w:tcPr>
          <w:p w:rsidR="00566528" w:rsidRPr="008E5027" w:rsidRDefault="00F25D17" w:rsidP="00566528">
            <w:pPr>
              <w:spacing w:before="80" w:after="80" w:line="200" w:lineRule="exact"/>
              <w:rPr>
                <w:i/>
                <w:sz w:val="16"/>
              </w:rPr>
            </w:pPr>
            <w:r w:rsidRPr="00F25D17">
              <w:rPr>
                <w:i/>
                <w:sz w:val="16"/>
                <w:lang w:val="fr-FR"/>
              </w:rPr>
              <w:t>Milieux d</w:t>
            </w:r>
            <w:r w:rsidR="00277023">
              <w:rPr>
                <w:i/>
                <w:sz w:val="16"/>
                <w:lang w:val="fr-FR"/>
              </w:rPr>
              <w:t>’</w:t>
            </w:r>
            <w:r w:rsidRPr="00F25D17">
              <w:rPr>
                <w:i/>
                <w:sz w:val="16"/>
                <w:lang w:val="fr-FR"/>
              </w:rPr>
              <w:t>affaires</w:t>
            </w:r>
          </w:p>
        </w:tc>
        <w:tc>
          <w:tcPr>
            <w:tcW w:w="6965" w:type="dxa"/>
            <w:tcBorders>
              <w:top w:val="single" w:sz="4" w:space="0" w:color="auto"/>
              <w:bottom w:val="single" w:sz="12" w:space="0" w:color="auto"/>
            </w:tcBorders>
            <w:shd w:val="clear" w:color="auto" w:fill="auto"/>
            <w:vAlign w:val="bottom"/>
          </w:tcPr>
          <w:p w:rsidR="00566528" w:rsidRPr="008E5027" w:rsidRDefault="00F25D17" w:rsidP="003B06C5">
            <w:pPr>
              <w:spacing w:before="80" w:after="80" w:line="200" w:lineRule="exact"/>
              <w:rPr>
                <w:i/>
                <w:sz w:val="16"/>
              </w:rPr>
            </w:pPr>
            <w:r w:rsidRPr="00F25D17">
              <w:rPr>
                <w:i/>
                <w:sz w:val="16"/>
                <w:lang w:val="fr-FR"/>
              </w:rPr>
              <w:t>Détails</w:t>
            </w:r>
          </w:p>
        </w:tc>
      </w:tr>
      <w:tr w:rsidR="003B06C5" w:rsidRPr="008E5027" w:rsidTr="0060234D">
        <w:trPr>
          <w:trHeight w:hRule="exact" w:val="113"/>
          <w:tblHeader/>
        </w:trPr>
        <w:tc>
          <w:tcPr>
            <w:tcW w:w="1540" w:type="dxa"/>
            <w:tcBorders>
              <w:top w:val="single" w:sz="12" w:space="0" w:color="auto"/>
            </w:tcBorders>
            <w:shd w:val="clear" w:color="auto" w:fill="auto"/>
          </w:tcPr>
          <w:p w:rsidR="003B06C5" w:rsidRPr="008E5027" w:rsidRDefault="003B06C5" w:rsidP="00B545C9"/>
        </w:tc>
        <w:tc>
          <w:tcPr>
            <w:tcW w:w="6965" w:type="dxa"/>
            <w:tcBorders>
              <w:top w:val="single" w:sz="12" w:space="0" w:color="auto"/>
            </w:tcBorders>
            <w:shd w:val="clear" w:color="auto" w:fill="auto"/>
          </w:tcPr>
          <w:p w:rsidR="003B06C5" w:rsidRPr="008E5027" w:rsidRDefault="003B06C5" w:rsidP="003B06C5">
            <w:pPr>
              <w:rPr>
                <w:color w:val="000000"/>
              </w:rPr>
            </w:pPr>
          </w:p>
        </w:tc>
      </w:tr>
      <w:tr w:rsidR="00566528" w:rsidRPr="00F25D17" w:rsidTr="0060234D">
        <w:tc>
          <w:tcPr>
            <w:tcW w:w="1540" w:type="dxa"/>
            <w:shd w:val="clear" w:color="auto" w:fill="auto"/>
          </w:tcPr>
          <w:p w:rsidR="00566528" w:rsidRPr="008E5027" w:rsidRDefault="00F25D17" w:rsidP="007019E2">
            <w:pPr>
              <w:spacing w:before="40" w:after="120"/>
            </w:pPr>
            <w:r w:rsidRPr="00F25D17">
              <w:rPr>
                <w:lang w:val="fr-FR"/>
              </w:rPr>
              <w:t>Médias généralistes</w:t>
            </w:r>
          </w:p>
        </w:tc>
        <w:tc>
          <w:tcPr>
            <w:tcW w:w="6965" w:type="dxa"/>
            <w:shd w:val="clear" w:color="auto" w:fill="auto"/>
          </w:tcPr>
          <w:p w:rsidR="00566528" w:rsidRPr="00F25D17" w:rsidRDefault="00B17D2A" w:rsidP="00B17D2A">
            <w:pPr>
              <w:pStyle w:val="Bullet1G"/>
              <w:numPr>
                <w:ilvl w:val="0"/>
                <w:numId w:val="0"/>
              </w:numPr>
              <w:spacing w:before="40"/>
              <w:ind w:left="170" w:right="0" w:hanging="170"/>
              <w:jc w:val="left"/>
              <w:rPr>
                <w:lang w:val="es-ES"/>
              </w:rPr>
            </w:pPr>
            <w:r w:rsidRPr="00F25D17">
              <w:rPr>
                <w:lang w:val="es-ES"/>
              </w:rPr>
              <w:t>•</w:t>
            </w:r>
            <w:r w:rsidRPr="00F25D17">
              <w:rPr>
                <w:lang w:val="es-ES"/>
              </w:rPr>
              <w:tab/>
            </w:r>
            <w:r w:rsidR="00F25D17" w:rsidRPr="00F25D17">
              <w:rPr>
                <w:lang w:val="fr-FR"/>
              </w:rPr>
              <w:t>Les milieux d</w:t>
            </w:r>
            <w:r w:rsidR="00277023">
              <w:rPr>
                <w:lang w:val="fr-FR"/>
              </w:rPr>
              <w:t>’</w:t>
            </w:r>
            <w:r w:rsidR="00F25D17" w:rsidRPr="00F25D17">
              <w:rPr>
                <w:lang w:val="fr-FR"/>
              </w:rPr>
              <w:t>affaires correspondant à la presse écrite, à la radio et à la télévision, à l</w:t>
            </w:r>
            <w:r w:rsidR="00277023">
              <w:rPr>
                <w:lang w:val="fr-FR"/>
              </w:rPr>
              <w:t>’</w:t>
            </w:r>
            <w:r w:rsidR="00F25D17" w:rsidRPr="00F25D17">
              <w:rPr>
                <w:lang w:val="fr-FR"/>
              </w:rPr>
              <w:t>édition, à l</w:t>
            </w:r>
            <w:r w:rsidR="00277023">
              <w:rPr>
                <w:lang w:val="fr-FR"/>
              </w:rPr>
              <w:t>’</w:t>
            </w:r>
            <w:r w:rsidR="00F25D17" w:rsidRPr="00F25D17">
              <w:rPr>
                <w:lang w:val="fr-FR"/>
              </w:rPr>
              <w:t>industrie cinématographique, à la publicité et aux maisons de disques ont établi le Conseil national de promotion de la déontologie des médias qui a tenu des réunions de recherche sur les rapports souhaitables entre les médias et la jeunesse.</w:t>
            </w:r>
            <w:r w:rsidR="00566528" w:rsidRPr="00F25D17">
              <w:rPr>
                <w:lang w:val="es-ES"/>
              </w:rPr>
              <w:t xml:space="preserve"> </w:t>
            </w:r>
          </w:p>
        </w:tc>
      </w:tr>
      <w:tr w:rsidR="00566528" w:rsidRPr="00277023" w:rsidTr="0060234D">
        <w:tc>
          <w:tcPr>
            <w:tcW w:w="1540" w:type="dxa"/>
            <w:shd w:val="clear" w:color="auto" w:fill="auto"/>
          </w:tcPr>
          <w:p w:rsidR="00566528" w:rsidRPr="008E5027" w:rsidRDefault="00F25D17" w:rsidP="007019E2">
            <w:pPr>
              <w:spacing w:before="40" w:after="120"/>
            </w:pPr>
            <w:r w:rsidRPr="00F25D17">
              <w:rPr>
                <w:lang w:val="fr-FR"/>
              </w:rPr>
              <w:t>Editeurs</w:t>
            </w:r>
          </w:p>
        </w:tc>
        <w:tc>
          <w:tcPr>
            <w:tcW w:w="6965" w:type="dxa"/>
            <w:shd w:val="clear" w:color="auto" w:fill="auto"/>
          </w:tcPr>
          <w:p w:rsidR="00566528" w:rsidRPr="00F25D17" w:rsidRDefault="00B17D2A" w:rsidP="00B17D2A">
            <w:pPr>
              <w:pStyle w:val="Bullet1G"/>
              <w:numPr>
                <w:ilvl w:val="0"/>
                <w:numId w:val="0"/>
              </w:numPr>
              <w:spacing w:before="40"/>
              <w:ind w:left="170" w:right="0" w:hanging="170"/>
              <w:jc w:val="left"/>
              <w:rPr>
                <w:lang w:val="es-ES"/>
              </w:rPr>
            </w:pPr>
            <w:r w:rsidRPr="00F25D17">
              <w:rPr>
                <w:lang w:val="es-ES"/>
              </w:rPr>
              <w:t>•</w:t>
            </w:r>
            <w:r w:rsidRPr="00F25D17">
              <w:rPr>
                <w:lang w:val="es-ES"/>
              </w:rPr>
              <w:tab/>
            </w:r>
            <w:r w:rsidR="00F25D17" w:rsidRPr="00F25D17">
              <w:rPr>
                <w:lang w:val="fr-FR"/>
              </w:rPr>
              <w:t>Le Conseil d</w:t>
            </w:r>
            <w:r w:rsidR="00277023">
              <w:rPr>
                <w:lang w:val="fr-FR"/>
              </w:rPr>
              <w:t>’</w:t>
            </w:r>
            <w:r w:rsidR="00F25D17" w:rsidRPr="00F25D17">
              <w:rPr>
                <w:lang w:val="fr-FR"/>
              </w:rPr>
              <w:t>éthique de l</w:t>
            </w:r>
            <w:r w:rsidR="00277023">
              <w:rPr>
                <w:lang w:val="fr-FR"/>
              </w:rPr>
              <w:t>’</w:t>
            </w:r>
            <w:r w:rsidR="00F25D17" w:rsidRPr="00F25D17">
              <w:rPr>
                <w:lang w:val="fr-FR"/>
              </w:rPr>
              <w:t>édition a mis en œuvre de sa propre initiative des mesures indépendantes d</w:t>
            </w:r>
            <w:r w:rsidR="00277023">
              <w:rPr>
                <w:lang w:val="fr-FR"/>
              </w:rPr>
              <w:t>’</w:t>
            </w:r>
            <w:r w:rsidR="00F25D17" w:rsidRPr="00F25D17">
              <w:rPr>
                <w:lang w:val="fr-FR"/>
              </w:rPr>
              <w:t>autocontrôle concernant les publications nuisibles (quatre organisations qui font parties du Conseil ont adopté ces principes déontologiques).</w:t>
            </w:r>
          </w:p>
          <w:p w:rsidR="00566528" w:rsidRPr="00F25D17" w:rsidRDefault="00B17D2A" w:rsidP="00B17D2A">
            <w:pPr>
              <w:pStyle w:val="Bullet1G"/>
              <w:numPr>
                <w:ilvl w:val="0"/>
                <w:numId w:val="0"/>
              </w:numPr>
              <w:spacing w:before="40"/>
              <w:ind w:left="170" w:right="0" w:hanging="170"/>
              <w:jc w:val="left"/>
              <w:rPr>
                <w:lang w:val="es-ES"/>
              </w:rPr>
            </w:pPr>
            <w:r w:rsidRPr="00F25D17">
              <w:rPr>
                <w:lang w:val="es-ES"/>
              </w:rPr>
              <w:t>•</w:t>
            </w:r>
            <w:r w:rsidRPr="00F25D17">
              <w:rPr>
                <w:lang w:val="es-ES"/>
              </w:rPr>
              <w:tab/>
            </w:r>
            <w:smartTag w:uri="urn:schemas-microsoft-com:office:smarttags" w:element="PersonName">
              <w:smartTagPr>
                <w:attr w:name="ProductID" w:val="la Conf￩rence"/>
              </w:smartTagPr>
              <w:r w:rsidR="00F25D17" w:rsidRPr="00F25D17">
                <w:rPr>
                  <w:lang w:val="fr-FR"/>
                </w:rPr>
                <w:t>La Conférence</w:t>
              </w:r>
            </w:smartTag>
            <w:r w:rsidR="00F25D17" w:rsidRPr="00F25D17">
              <w:rPr>
                <w:lang w:val="fr-FR"/>
              </w:rPr>
              <w:t xml:space="preserve"> de l</w:t>
            </w:r>
            <w:r w:rsidR="00277023">
              <w:rPr>
                <w:lang w:val="fr-FR"/>
              </w:rPr>
              <w:t>’</w:t>
            </w:r>
            <w:r w:rsidR="00F25D17" w:rsidRPr="00F25D17">
              <w:rPr>
                <w:lang w:val="fr-FR"/>
              </w:rPr>
              <w:t>éthique de l</w:t>
            </w:r>
            <w:r w:rsidR="00277023">
              <w:rPr>
                <w:lang w:val="fr-FR"/>
              </w:rPr>
              <w:t>’</w:t>
            </w:r>
            <w:r w:rsidR="00F25D17" w:rsidRPr="00F25D17">
              <w:rPr>
                <w:lang w:val="fr-FR"/>
              </w:rPr>
              <w:t>édition, organisée par 37 sociétés qui publient des magazines de divertissement pour adultes, a défini des principes déontologiques d</w:t>
            </w:r>
            <w:r w:rsidR="00277023">
              <w:rPr>
                <w:lang w:val="fr-FR"/>
              </w:rPr>
              <w:t>’</w:t>
            </w:r>
            <w:r w:rsidR="00F25D17" w:rsidRPr="00F25D17">
              <w:rPr>
                <w:lang w:val="fr-FR"/>
              </w:rPr>
              <w:t>autocontrôle de l</w:t>
            </w:r>
            <w:r w:rsidR="00277023">
              <w:rPr>
                <w:lang w:val="fr-FR"/>
              </w:rPr>
              <w:t>’</w:t>
            </w:r>
            <w:r w:rsidR="00F25D17" w:rsidRPr="00F25D17">
              <w:rPr>
                <w:lang w:val="fr-FR"/>
              </w:rPr>
              <w:t>édition en vue de la protection et de l</w:t>
            </w:r>
            <w:r w:rsidR="00277023">
              <w:rPr>
                <w:lang w:val="fr-FR"/>
              </w:rPr>
              <w:t>’</w:t>
            </w:r>
            <w:r w:rsidR="00F25D17" w:rsidRPr="00F25D17">
              <w:rPr>
                <w:lang w:val="fr-FR"/>
              </w:rPr>
              <w:t>éducation de la jeunesse et se conforme à ces principes.</w:t>
            </w:r>
          </w:p>
          <w:p w:rsidR="00566528" w:rsidRPr="00F25D17" w:rsidRDefault="00B17D2A" w:rsidP="00B17D2A">
            <w:pPr>
              <w:pStyle w:val="Bullet1G"/>
              <w:numPr>
                <w:ilvl w:val="0"/>
                <w:numId w:val="0"/>
              </w:numPr>
              <w:spacing w:before="40"/>
              <w:ind w:left="170" w:right="0" w:hanging="170"/>
              <w:jc w:val="left"/>
              <w:rPr>
                <w:lang w:val="es-ES"/>
              </w:rPr>
            </w:pPr>
            <w:r w:rsidRPr="00F25D17">
              <w:rPr>
                <w:lang w:val="es-ES"/>
              </w:rPr>
              <w:t>•</w:t>
            </w:r>
            <w:r w:rsidRPr="00F25D17">
              <w:rPr>
                <w:lang w:val="es-ES"/>
              </w:rPr>
              <w:tab/>
            </w:r>
            <w:r w:rsidR="00F25D17" w:rsidRPr="00F25D17">
              <w:rPr>
                <w:lang w:val="fr-FR"/>
              </w:rPr>
              <w:t>S</w:t>
            </w:r>
            <w:r w:rsidR="00277023">
              <w:rPr>
                <w:lang w:val="fr-FR"/>
              </w:rPr>
              <w:t>’</w:t>
            </w:r>
            <w:r w:rsidR="00F25D17" w:rsidRPr="00F25D17">
              <w:rPr>
                <w:lang w:val="fr-FR"/>
              </w:rPr>
              <w:t>agissant des bandes dessinées et des livres pour enfants contenant des descriptions sexuelles explicites, la jaquette doit être entourée d</w:t>
            </w:r>
            <w:r w:rsidR="00277023">
              <w:rPr>
                <w:lang w:val="fr-FR"/>
              </w:rPr>
              <w:t>’</w:t>
            </w:r>
            <w:r w:rsidR="00F25D17" w:rsidRPr="00F25D17">
              <w:rPr>
                <w:lang w:val="fr-FR"/>
              </w:rPr>
              <w:t>un bandeau de papier qui permet de les repérer dans les magasins.</w:t>
            </w:r>
          </w:p>
          <w:p w:rsidR="00566528" w:rsidRPr="00F25D17" w:rsidRDefault="00B17D2A" w:rsidP="00B17D2A">
            <w:pPr>
              <w:pStyle w:val="Bullet1G"/>
              <w:numPr>
                <w:ilvl w:val="0"/>
                <w:numId w:val="0"/>
              </w:numPr>
              <w:spacing w:before="40"/>
              <w:ind w:left="170" w:right="0" w:hanging="170"/>
              <w:jc w:val="left"/>
              <w:rPr>
                <w:lang w:val="es-ES"/>
              </w:rPr>
            </w:pPr>
            <w:r w:rsidRPr="00F25D17">
              <w:rPr>
                <w:lang w:val="es-ES"/>
              </w:rPr>
              <w:t>•</w:t>
            </w:r>
            <w:r w:rsidRPr="00F25D17">
              <w:rPr>
                <w:lang w:val="es-ES"/>
              </w:rPr>
              <w:tab/>
            </w:r>
            <w:r w:rsidR="00F25D17" w:rsidRPr="00F25D17">
              <w:rPr>
                <w:lang w:val="fr-FR"/>
              </w:rPr>
              <w:t xml:space="preserve">Mises en garde </w:t>
            </w:r>
            <w:r w:rsidR="008E49D4">
              <w:rPr>
                <w:lang w:val="fr-FR"/>
              </w:rPr>
              <w:t>“</w:t>
            </w:r>
            <w:r w:rsidR="00F25D17" w:rsidRPr="00F25D17">
              <w:rPr>
                <w:lang w:val="fr-FR"/>
              </w:rPr>
              <w:t>pour adultes uniquement</w:t>
            </w:r>
            <w:r w:rsidR="008E49D4">
              <w:rPr>
                <w:lang w:val="fr-FR"/>
              </w:rPr>
              <w:t>”</w:t>
            </w:r>
            <w:r w:rsidR="00F25D17" w:rsidRPr="00F25D17">
              <w:rPr>
                <w:lang w:val="fr-FR"/>
              </w:rPr>
              <w:t xml:space="preserve"> sur les magazines et </w:t>
            </w:r>
            <w:r w:rsidR="008E49D4">
              <w:rPr>
                <w:lang w:val="fr-FR"/>
              </w:rPr>
              <w:t>“</w:t>
            </w:r>
            <w:r w:rsidR="00F25D17" w:rsidRPr="00F25D17">
              <w:rPr>
                <w:lang w:val="fr-FR"/>
              </w:rPr>
              <w:t>interdit aux moins de 18 ans</w:t>
            </w:r>
            <w:r w:rsidR="008E49D4">
              <w:rPr>
                <w:lang w:val="fr-FR"/>
              </w:rPr>
              <w:t>”</w:t>
            </w:r>
            <w:r w:rsidR="00F25D17" w:rsidRPr="00F25D17">
              <w:rPr>
                <w:lang w:val="fr-FR"/>
              </w:rPr>
              <w:t xml:space="preserve"> sur d</w:t>
            </w:r>
            <w:r w:rsidR="00277023">
              <w:rPr>
                <w:lang w:val="fr-FR"/>
              </w:rPr>
              <w:t>’</w:t>
            </w:r>
            <w:r w:rsidR="00F25D17" w:rsidRPr="00F25D17">
              <w:rPr>
                <w:lang w:val="fr-FR"/>
              </w:rPr>
              <w:t>autres publications</w:t>
            </w:r>
            <w:r w:rsidR="00F25D17">
              <w:rPr>
                <w:lang w:val="fr-FR"/>
              </w:rPr>
              <w:t>.</w:t>
            </w:r>
          </w:p>
          <w:p w:rsidR="00566528" w:rsidRPr="00277023" w:rsidRDefault="00B17D2A" w:rsidP="00B17D2A">
            <w:pPr>
              <w:pStyle w:val="Bullet1G"/>
              <w:numPr>
                <w:ilvl w:val="0"/>
                <w:numId w:val="0"/>
              </w:numPr>
              <w:spacing w:before="40"/>
              <w:ind w:left="170" w:right="0" w:hanging="170"/>
              <w:jc w:val="left"/>
              <w:rPr>
                <w:lang w:val="es-ES"/>
              </w:rPr>
            </w:pPr>
            <w:r w:rsidRPr="00277023">
              <w:rPr>
                <w:lang w:val="es-ES"/>
              </w:rPr>
              <w:t>•</w:t>
            </w:r>
            <w:r w:rsidRPr="00277023">
              <w:rPr>
                <w:lang w:val="es-ES"/>
              </w:rPr>
              <w:tab/>
            </w:r>
            <w:r w:rsidR="00F25D17" w:rsidRPr="00F25D17">
              <w:rPr>
                <w:lang w:val="fr-FR"/>
              </w:rPr>
              <w:t>Rayons réservés aux adultes</w:t>
            </w:r>
            <w:r w:rsidR="00F25D17">
              <w:rPr>
                <w:lang w:val="fr-FR"/>
              </w:rPr>
              <w:t>.</w:t>
            </w:r>
          </w:p>
          <w:p w:rsidR="00566528" w:rsidRPr="00277023" w:rsidRDefault="00B17D2A" w:rsidP="00B17D2A">
            <w:pPr>
              <w:pStyle w:val="Bullet1G"/>
              <w:numPr>
                <w:ilvl w:val="0"/>
                <w:numId w:val="0"/>
              </w:numPr>
              <w:spacing w:before="40"/>
              <w:ind w:left="170" w:right="0" w:hanging="170"/>
              <w:jc w:val="left"/>
              <w:rPr>
                <w:lang w:val="es-ES"/>
              </w:rPr>
            </w:pPr>
            <w:r w:rsidRPr="00277023">
              <w:rPr>
                <w:lang w:val="es-ES"/>
              </w:rPr>
              <w:t>•</w:t>
            </w:r>
            <w:r w:rsidRPr="00277023">
              <w:rPr>
                <w:lang w:val="es-ES"/>
              </w:rPr>
              <w:tab/>
            </w:r>
            <w:r w:rsidR="00F25D17" w:rsidRPr="00F25D17">
              <w:rPr>
                <w:lang w:val="fr-FR"/>
              </w:rPr>
              <w:t>Achats auprès de vendeurs et non en self-service</w:t>
            </w:r>
            <w:r w:rsidR="00F25D17">
              <w:rPr>
                <w:lang w:val="fr-FR"/>
              </w:rPr>
              <w:t>.</w:t>
            </w:r>
          </w:p>
          <w:p w:rsidR="00566528" w:rsidRPr="00277023" w:rsidRDefault="00B17D2A" w:rsidP="00B17D2A">
            <w:pPr>
              <w:pStyle w:val="Bullet1G"/>
              <w:numPr>
                <w:ilvl w:val="0"/>
                <w:numId w:val="0"/>
              </w:numPr>
              <w:spacing w:before="40"/>
              <w:ind w:left="170" w:right="0" w:hanging="170"/>
              <w:jc w:val="left"/>
              <w:rPr>
                <w:color w:val="000000"/>
                <w:lang w:val="es-ES"/>
              </w:rPr>
            </w:pPr>
            <w:r w:rsidRPr="00277023">
              <w:rPr>
                <w:color w:val="000000"/>
                <w:lang w:val="es-ES"/>
              </w:rPr>
              <w:t>•</w:t>
            </w:r>
            <w:r w:rsidRPr="00277023">
              <w:rPr>
                <w:color w:val="000000"/>
                <w:lang w:val="es-ES"/>
              </w:rPr>
              <w:tab/>
            </w:r>
            <w:r w:rsidR="008F55B7">
              <w:rPr>
                <w:lang w:val="fr-FR"/>
              </w:rPr>
              <w:t>É</w:t>
            </w:r>
            <w:r w:rsidR="00F25D17" w:rsidRPr="00F25D17">
              <w:rPr>
                <w:lang w:val="fr-FR"/>
              </w:rPr>
              <w:t>tablissement d</w:t>
            </w:r>
            <w:r w:rsidR="00277023">
              <w:rPr>
                <w:lang w:val="fr-FR"/>
              </w:rPr>
              <w:t>’</w:t>
            </w:r>
            <w:r w:rsidR="00F25D17" w:rsidRPr="00F25D17">
              <w:rPr>
                <w:lang w:val="fr-FR"/>
              </w:rPr>
              <w:t>un Comité spécial d</w:t>
            </w:r>
            <w:r w:rsidR="00277023">
              <w:rPr>
                <w:lang w:val="fr-FR"/>
              </w:rPr>
              <w:t>’</w:t>
            </w:r>
            <w:r w:rsidR="00F25D17" w:rsidRPr="00F25D17">
              <w:rPr>
                <w:lang w:val="fr-FR"/>
              </w:rPr>
              <w:t>éthique au sein du Comité d</w:t>
            </w:r>
            <w:r w:rsidR="00277023">
              <w:rPr>
                <w:lang w:val="fr-FR"/>
              </w:rPr>
              <w:t>’</w:t>
            </w:r>
            <w:r w:rsidR="00F25D17" w:rsidRPr="00F25D17">
              <w:rPr>
                <w:lang w:val="fr-FR"/>
              </w:rPr>
              <w:t>éthique de l</w:t>
            </w:r>
            <w:r w:rsidR="00277023">
              <w:rPr>
                <w:lang w:val="fr-FR"/>
              </w:rPr>
              <w:t>’</w:t>
            </w:r>
            <w:r w:rsidR="00F25D17" w:rsidRPr="00F25D17">
              <w:rPr>
                <w:lang w:val="fr-FR"/>
              </w:rPr>
              <w:t>édition de l</w:t>
            </w:r>
            <w:r w:rsidR="00277023">
              <w:rPr>
                <w:lang w:val="fr-FR"/>
              </w:rPr>
              <w:t>’</w:t>
            </w:r>
            <w:r w:rsidR="00F25D17" w:rsidRPr="00F25D17">
              <w:rPr>
                <w:lang w:val="fr-FR"/>
              </w:rPr>
              <w:t>association japonaise des éditeurs de magazines et contrôle bimensuel des magazines affiliés à l</w:t>
            </w:r>
            <w:r w:rsidR="00277023">
              <w:rPr>
                <w:lang w:val="fr-FR"/>
              </w:rPr>
              <w:t>’</w:t>
            </w:r>
            <w:r w:rsidR="00F25D17" w:rsidRPr="00F25D17">
              <w:rPr>
                <w:lang w:val="fr-FR"/>
              </w:rPr>
              <w:t>association</w:t>
            </w:r>
            <w:r w:rsidR="00F25D17">
              <w:rPr>
                <w:lang w:val="fr-FR"/>
              </w:rPr>
              <w:t>.</w:t>
            </w:r>
          </w:p>
        </w:tc>
      </w:tr>
      <w:tr w:rsidR="00566528" w:rsidRPr="008E5027" w:rsidTr="0060234D">
        <w:tc>
          <w:tcPr>
            <w:tcW w:w="1540" w:type="dxa"/>
            <w:shd w:val="clear" w:color="auto" w:fill="auto"/>
          </w:tcPr>
          <w:p w:rsidR="00566528" w:rsidRPr="00D74CA4" w:rsidRDefault="00F25D17" w:rsidP="007019E2">
            <w:pPr>
              <w:spacing w:before="40" w:after="120"/>
              <w:rPr>
                <w:lang w:val="es-ES"/>
              </w:rPr>
            </w:pPr>
            <w:r w:rsidRPr="00F25D17">
              <w:rPr>
                <w:lang w:val="fr-FR"/>
              </w:rPr>
              <w:t>Films, vidéos, logiciels, etc.</w:t>
            </w:r>
          </w:p>
        </w:tc>
        <w:tc>
          <w:tcPr>
            <w:tcW w:w="6965" w:type="dxa"/>
            <w:shd w:val="clear" w:color="auto" w:fill="auto"/>
          </w:tcPr>
          <w:p w:rsidR="00566528" w:rsidRPr="00F25D17" w:rsidRDefault="00B17D2A" w:rsidP="00B17D2A">
            <w:pPr>
              <w:pStyle w:val="Bullet1G"/>
              <w:numPr>
                <w:ilvl w:val="0"/>
                <w:numId w:val="0"/>
              </w:numPr>
              <w:spacing w:before="40"/>
              <w:ind w:left="170" w:right="0" w:hanging="170"/>
              <w:jc w:val="left"/>
              <w:rPr>
                <w:lang w:val="es-ES"/>
              </w:rPr>
            </w:pPr>
            <w:r w:rsidRPr="00F25D17">
              <w:rPr>
                <w:lang w:val="es-ES"/>
              </w:rPr>
              <w:t>•</w:t>
            </w:r>
            <w:r w:rsidRPr="00F25D17">
              <w:rPr>
                <w:lang w:val="es-ES"/>
              </w:rPr>
              <w:tab/>
            </w:r>
            <w:smartTag w:uri="urn:schemas-microsoft-com:office:smarttags" w:element="PersonName">
              <w:smartTagPr>
                <w:attr w:name="ProductID" w:val="la Commission"/>
              </w:smartTagPr>
              <w:r w:rsidR="00F25D17" w:rsidRPr="00F25D17">
                <w:rPr>
                  <w:lang w:val="fr-FR"/>
                </w:rPr>
                <w:t>La Commission</w:t>
              </w:r>
            </w:smartTag>
            <w:r w:rsidR="00F25D17" w:rsidRPr="00F25D17">
              <w:rPr>
                <w:lang w:val="fr-FR"/>
              </w:rPr>
              <w:t xml:space="preserve"> d</w:t>
            </w:r>
            <w:r w:rsidR="00277023">
              <w:rPr>
                <w:lang w:val="fr-FR"/>
              </w:rPr>
              <w:t>’</w:t>
            </w:r>
            <w:r w:rsidR="00F25D17" w:rsidRPr="00F25D17">
              <w:rPr>
                <w:lang w:val="fr-FR"/>
              </w:rPr>
              <w:t>administration de la déontologie cinématographique a été instituée en tant qu</w:t>
            </w:r>
            <w:r w:rsidR="00277023">
              <w:rPr>
                <w:lang w:val="fr-FR"/>
              </w:rPr>
              <w:t>’</w:t>
            </w:r>
            <w:r w:rsidR="00F25D17" w:rsidRPr="00F25D17">
              <w:rPr>
                <w:lang w:val="fr-FR"/>
              </w:rPr>
              <w:t>organe indépendant de gestion des activités relatives à l</w:t>
            </w:r>
            <w:r w:rsidR="00277023">
              <w:rPr>
                <w:lang w:val="fr-FR"/>
              </w:rPr>
              <w:t>’</w:t>
            </w:r>
            <w:r w:rsidR="00F25D17" w:rsidRPr="00F25D17">
              <w:rPr>
                <w:lang w:val="fr-FR"/>
              </w:rPr>
              <w:t>éthique cinématographique, et son service d</w:t>
            </w:r>
            <w:r w:rsidR="00277023">
              <w:rPr>
                <w:lang w:val="fr-FR"/>
              </w:rPr>
              <w:t>’</w:t>
            </w:r>
            <w:r w:rsidR="00F25D17" w:rsidRPr="00F25D17">
              <w:rPr>
                <w:lang w:val="fr-FR"/>
              </w:rPr>
              <w:t xml:space="preserve">inspection visionne chaque film selon le </w:t>
            </w:r>
            <w:r w:rsidR="008E49D4">
              <w:rPr>
                <w:lang w:val="fr-FR"/>
              </w:rPr>
              <w:t>“</w:t>
            </w:r>
            <w:r w:rsidR="00F25D17" w:rsidRPr="00F25D17">
              <w:rPr>
                <w:lang w:val="fr-FR"/>
              </w:rPr>
              <w:t>Code d</w:t>
            </w:r>
            <w:r w:rsidR="00277023">
              <w:rPr>
                <w:lang w:val="fr-FR"/>
              </w:rPr>
              <w:t>’</w:t>
            </w:r>
            <w:r w:rsidR="00F25D17" w:rsidRPr="00F25D17">
              <w:rPr>
                <w:lang w:val="fr-FR"/>
              </w:rPr>
              <w:t>éthique cinématographique</w:t>
            </w:r>
            <w:r w:rsidR="008E49D4">
              <w:rPr>
                <w:lang w:val="fr-FR"/>
              </w:rPr>
              <w:t>”</w:t>
            </w:r>
            <w:r w:rsidR="00F25D17" w:rsidRPr="00F25D17">
              <w:rPr>
                <w:lang w:val="fr-FR"/>
              </w:rPr>
              <w:t xml:space="preserve"> pour le classer dans une des catégories</w:t>
            </w:r>
            <w:r w:rsidR="00277023">
              <w:rPr>
                <w:lang w:val="fr-FR"/>
              </w:rPr>
              <w:t>:</w:t>
            </w:r>
            <w:r w:rsidR="00F25D17" w:rsidRPr="00F25D17">
              <w:rPr>
                <w:lang w:val="fr-FR"/>
              </w:rPr>
              <w:t xml:space="preserve"> R-18 (interdit aux moins de 18 ans), R-15 (interdit aux moins de 15 ans), et PG-12 (accompagnement parental ou assimilé souhaitable pour les enfants âgés de moins de 12 ans).</w:t>
            </w:r>
          </w:p>
          <w:p w:rsidR="00566528" w:rsidRPr="00F25D17" w:rsidRDefault="00B17D2A" w:rsidP="00B17D2A">
            <w:pPr>
              <w:pStyle w:val="Bullet1G"/>
              <w:numPr>
                <w:ilvl w:val="0"/>
                <w:numId w:val="0"/>
              </w:numPr>
              <w:spacing w:before="40"/>
              <w:ind w:left="170" w:right="0" w:hanging="170"/>
              <w:jc w:val="left"/>
              <w:rPr>
                <w:lang w:val="es-ES"/>
              </w:rPr>
            </w:pPr>
            <w:r w:rsidRPr="00F25D17">
              <w:rPr>
                <w:lang w:val="es-ES"/>
              </w:rPr>
              <w:t>•</w:t>
            </w:r>
            <w:r w:rsidRPr="00F25D17">
              <w:rPr>
                <w:lang w:val="es-ES"/>
              </w:rPr>
              <w:tab/>
            </w:r>
            <w:r w:rsidR="00F25D17" w:rsidRPr="00F25D17">
              <w:rPr>
                <w:lang w:val="fr-FR"/>
              </w:rPr>
              <w:t>L</w:t>
            </w:r>
            <w:r w:rsidR="00277023">
              <w:rPr>
                <w:lang w:val="fr-FR"/>
              </w:rPr>
              <w:t>’</w:t>
            </w:r>
            <w:r w:rsidR="00F25D17" w:rsidRPr="00F25D17">
              <w:rPr>
                <w:lang w:val="fr-FR"/>
              </w:rPr>
              <w:t>association Nihon d</w:t>
            </w:r>
            <w:r w:rsidR="00277023">
              <w:rPr>
                <w:lang w:val="fr-FR"/>
              </w:rPr>
              <w:t>’</w:t>
            </w:r>
            <w:r w:rsidR="00F25D17" w:rsidRPr="00F25D17">
              <w:rPr>
                <w:lang w:val="fr-FR"/>
              </w:rPr>
              <w:t>éthique de la vidéo (organisation professionnelle d</w:t>
            </w:r>
            <w:r w:rsidR="00277023">
              <w:rPr>
                <w:lang w:val="fr-FR"/>
              </w:rPr>
              <w:t>’</w:t>
            </w:r>
            <w:r w:rsidR="00F25D17" w:rsidRPr="00F25D17">
              <w:rPr>
                <w:lang w:val="fr-FR"/>
              </w:rPr>
              <w:t>autocontrôle) a élaboré le Code de déontologie des logiciels vidéo et procède de son propre chef à des contrôles, par exemple le classement des vidéos considérées dangereuses pour les jeunes dans les catégories NC-18 (logiciel vidéo ne pouvant être montré, vendu ou prêté à des personnes de moins de 18 ans), R-15 (logiciel vidéo ne pouvant être montré, vendu ou prêté</w:t>
            </w:r>
            <w:r w:rsidR="00EA1115">
              <w:rPr>
                <w:lang w:val="fr-FR"/>
              </w:rPr>
              <w:t xml:space="preserve"> </w:t>
            </w:r>
            <w:r w:rsidR="00F25D17" w:rsidRPr="00F25D17">
              <w:rPr>
                <w:lang w:val="fr-FR"/>
              </w:rPr>
              <w:t>à des personnes de moins de 15 ans), ou pour tous publics (aucune restriction).</w:t>
            </w:r>
          </w:p>
          <w:p w:rsidR="00566528" w:rsidRPr="00F25D17" w:rsidRDefault="00B17D2A" w:rsidP="00B17D2A">
            <w:pPr>
              <w:pStyle w:val="Bullet1G"/>
              <w:numPr>
                <w:ilvl w:val="0"/>
                <w:numId w:val="0"/>
              </w:numPr>
              <w:spacing w:before="40"/>
              <w:ind w:left="170" w:right="0" w:hanging="170"/>
              <w:jc w:val="left"/>
              <w:rPr>
                <w:lang w:val="es-ES"/>
              </w:rPr>
            </w:pPr>
            <w:r w:rsidRPr="00F25D17">
              <w:rPr>
                <w:lang w:val="es-ES"/>
              </w:rPr>
              <w:t>•</w:t>
            </w:r>
            <w:r w:rsidRPr="00F25D17">
              <w:rPr>
                <w:lang w:val="es-ES"/>
              </w:rPr>
              <w:tab/>
            </w:r>
            <w:r w:rsidR="00F25D17" w:rsidRPr="00F25D17">
              <w:rPr>
                <w:lang w:val="fr-FR"/>
              </w:rPr>
              <w:t>En outre, les organisations ci-dessous ont établi des principes éthiques et s</w:t>
            </w:r>
            <w:r w:rsidR="00277023">
              <w:rPr>
                <w:lang w:val="fr-FR"/>
              </w:rPr>
              <w:t>’</w:t>
            </w:r>
            <w:r w:rsidR="00F25D17" w:rsidRPr="00F25D17">
              <w:rPr>
                <w:lang w:val="fr-FR"/>
              </w:rPr>
              <w:t>y conforment:</w:t>
            </w:r>
            <w:r w:rsidR="00566528" w:rsidRPr="00F25D17">
              <w:rPr>
                <w:lang w:val="es-ES"/>
              </w:rPr>
              <w:t xml:space="preserve"> </w:t>
            </w:r>
          </w:p>
          <w:p w:rsidR="00566528" w:rsidRPr="00F25D17" w:rsidRDefault="00B17D2A" w:rsidP="00B17D2A">
            <w:pPr>
              <w:pStyle w:val="Bullet1G"/>
              <w:numPr>
                <w:ilvl w:val="0"/>
                <w:numId w:val="0"/>
              </w:numPr>
              <w:spacing w:before="40"/>
              <w:ind w:left="737" w:right="0" w:hanging="170"/>
              <w:jc w:val="left"/>
              <w:rPr>
                <w:lang w:val="es-ES"/>
              </w:rPr>
            </w:pPr>
            <w:r w:rsidRPr="00F25D17">
              <w:rPr>
                <w:lang w:val="es-ES"/>
              </w:rPr>
              <w:t>•</w:t>
            </w:r>
            <w:r w:rsidRPr="00F25D17">
              <w:rPr>
                <w:lang w:val="es-ES"/>
              </w:rPr>
              <w:tab/>
            </w:r>
            <w:r w:rsidR="00DE1B6E" w:rsidRPr="00F25D17">
              <w:rPr>
                <w:lang w:val="es-ES"/>
              </w:rPr>
              <w:t xml:space="preserve">Le </w:t>
            </w:r>
            <w:r w:rsidR="00F25D17" w:rsidRPr="00F25D17">
              <w:rPr>
                <w:lang w:val="es-ES"/>
              </w:rPr>
              <w:t>Conseil d</w:t>
            </w:r>
            <w:r w:rsidR="00277023">
              <w:rPr>
                <w:lang w:val="es-ES"/>
              </w:rPr>
              <w:t>’</w:t>
            </w:r>
            <w:r w:rsidR="00F25D17" w:rsidRPr="00F25D17">
              <w:rPr>
                <w:lang w:val="es-ES"/>
              </w:rPr>
              <w:t xml:space="preserve">éthique de la vidéo (établi par </w:t>
            </w:r>
            <w:smartTag w:uri="urn:schemas-microsoft-com:office:smarttags" w:element="PersonName">
              <w:smartTagPr>
                <w:attr w:name="ProductID" w:val="la Commission"/>
              </w:smartTagPr>
              <w:r w:rsidR="00F25D17" w:rsidRPr="00F25D17">
                <w:rPr>
                  <w:lang w:val="es-ES"/>
                </w:rPr>
                <w:t>la Commission</w:t>
              </w:r>
            </w:smartTag>
            <w:r w:rsidR="00F25D17" w:rsidRPr="00F25D17">
              <w:rPr>
                <w:lang w:val="es-ES"/>
              </w:rPr>
              <w:t xml:space="preserve"> d</w:t>
            </w:r>
            <w:r w:rsidR="00277023">
              <w:rPr>
                <w:lang w:val="es-ES"/>
              </w:rPr>
              <w:t>’</w:t>
            </w:r>
            <w:r w:rsidR="00F25D17" w:rsidRPr="00F25D17">
              <w:rPr>
                <w:lang w:val="es-ES"/>
              </w:rPr>
              <w:t>administration de la déontologie cinématographique et l</w:t>
            </w:r>
            <w:r w:rsidR="00277023">
              <w:rPr>
                <w:lang w:val="es-ES"/>
              </w:rPr>
              <w:t>’</w:t>
            </w:r>
            <w:r w:rsidR="00F25D17" w:rsidRPr="00F25D17">
              <w:rPr>
                <w:lang w:val="es-ES"/>
              </w:rPr>
              <w:t>association Nihon d</w:t>
            </w:r>
            <w:r w:rsidR="00277023">
              <w:rPr>
                <w:lang w:val="es-ES"/>
              </w:rPr>
              <w:t>’</w:t>
            </w:r>
            <w:r w:rsidR="00F25D17" w:rsidRPr="00F25D17">
              <w:rPr>
                <w:lang w:val="es-ES"/>
              </w:rPr>
              <w:t>éthique de la vidéo), pour les films vidéo originaux destinés au grand public et ceux qui n</w:t>
            </w:r>
            <w:r w:rsidR="00277023">
              <w:rPr>
                <w:lang w:val="es-ES"/>
              </w:rPr>
              <w:t>’</w:t>
            </w:r>
            <w:r w:rsidR="00F25D17" w:rsidRPr="00F25D17">
              <w:rPr>
                <w:lang w:val="es-ES"/>
              </w:rPr>
              <w:t>ont pas encore été projetés dans les salles de cinéma</w:t>
            </w:r>
          </w:p>
          <w:p w:rsidR="00566528" w:rsidRPr="008E5027" w:rsidRDefault="00B17D2A" w:rsidP="00B17D2A">
            <w:pPr>
              <w:pStyle w:val="Bullet1G"/>
              <w:numPr>
                <w:ilvl w:val="0"/>
                <w:numId w:val="0"/>
              </w:numPr>
              <w:spacing w:before="40"/>
              <w:ind w:left="737" w:right="0" w:hanging="170"/>
              <w:jc w:val="left"/>
            </w:pPr>
            <w:r w:rsidRPr="008E5027">
              <w:t>•</w:t>
            </w:r>
            <w:r w:rsidRPr="008E5027">
              <w:tab/>
            </w:r>
            <w:r w:rsidR="00F25D17" w:rsidRPr="00F25D17">
              <w:rPr>
                <w:lang w:val="fr-FR"/>
              </w:rPr>
              <w:t>L</w:t>
            </w:r>
            <w:r w:rsidR="00277023">
              <w:rPr>
                <w:lang w:val="fr-FR"/>
              </w:rPr>
              <w:t>’</w:t>
            </w:r>
            <w:r w:rsidR="00F25D17" w:rsidRPr="00F25D17">
              <w:rPr>
                <w:lang w:val="fr-FR"/>
              </w:rPr>
              <w:t>organisation d</w:t>
            </w:r>
            <w:r w:rsidR="00277023">
              <w:rPr>
                <w:lang w:val="fr-FR"/>
              </w:rPr>
              <w:t>’</w:t>
            </w:r>
            <w:r w:rsidR="00F25D17" w:rsidRPr="00F25D17">
              <w:rPr>
                <w:lang w:val="fr-FR"/>
              </w:rPr>
              <w:t>éthique des logiciels pour les ordinateurs individuels</w:t>
            </w:r>
          </w:p>
          <w:p w:rsidR="00566528" w:rsidRPr="008E5027" w:rsidRDefault="00B17D2A" w:rsidP="00B17D2A">
            <w:pPr>
              <w:pStyle w:val="Bullet1G"/>
              <w:numPr>
                <w:ilvl w:val="0"/>
                <w:numId w:val="0"/>
              </w:numPr>
              <w:spacing w:before="40"/>
              <w:ind w:left="737" w:right="0" w:hanging="170"/>
              <w:jc w:val="left"/>
            </w:pPr>
            <w:r w:rsidRPr="008E5027">
              <w:t>•</w:t>
            </w:r>
            <w:r w:rsidRPr="008E5027">
              <w:tab/>
            </w:r>
            <w:r w:rsidR="00F25D17" w:rsidRPr="00F25D17">
              <w:rPr>
                <w:lang w:val="fr-FR"/>
              </w:rPr>
              <w:t>L</w:t>
            </w:r>
            <w:r w:rsidR="00277023">
              <w:rPr>
                <w:lang w:val="fr-FR"/>
              </w:rPr>
              <w:t>’</w:t>
            </w:r>
            <w:r w:rsidR="00F25D17" w:rsidRPr="00F25D17">
              <w:rPr>
                <w:lang w:val="fr-FR"/>
              </w:rPr>
              <w:t>association japonaise des fabricants d</w:t>
            </w:r>
            <w:r w:rsidR="00277023">
              <w:rPr>
                <w:lang w:val="fr-FR"/>
              </w:rPr>
              <w:t>’</w:t>
            </w:r>
            <w:r w:rsidR="00F25D17" w:rsidRPr="00F25D17">
              <w:rPr>
                <w:lang w:val="fr-FR"/>
              </w:rPr>
              <w:t>appareils de divertissement qui contrôle les machines de jeux installées dans les salles de jeux et leurs logiciels</w:t>
            </w:r>
          </w:p>
          <w:p w:rsidR="00566528" w:rsidRPr="008E5027" w:rsidRDefault="00B17D2A" w:rsidP="00B17D2A">
            <w:pPr>
              <w:pStyle w:val="Bullet1G"/>
              <w:numPr>
                <w:ilvl w:val="0"/>
                <w:numId w:val="0"/>
              </w:numPr>
              <w:spacing w:before="40"/>
              <w:ind w:left="737" w:right="0" w:hanging="170"/>
              <w:jc w:val="left"/>
            </w:pPr>
            <w:r w:rsidRPr="008E5027">
              <w:t>•</w:t>
            </w:r>
            <w:r w:rsidRPr="008E5027">
              <w:tab/>
            </w:r>
            <w:r w:rsidR="00F25D17" w:rsidRPr="00E64C5D">
              <w:t>L</w:t>
            </w:r>
            <w:r w:rsidR="00277023">
              <w:t>’</w:t>
            </w:r>
            <w:r w:rsidR="00F25D17" w:rsidRPr="00E64C5D">
              <w:t>association des fournisseurs de ludiciels pour ordinateurs individuels</w:t>
            </w:r>
          </w:p>
        </w:tc>
      </w:tr>
      <w:tr w:rsidR="00566528" w:rsidRPr="00DE1B6E" w:rsidTr="0060234D">
        <w:tc>
          <w:tcPr>
            <w:tcW w:w="1540" w:type="dxa"/>
            <w:shd w:val="clear" w:color="auto" w:fill="auto"/>
          </w:tcPr>
          <w:p w:rsidR="00566528" w:rsidRPr="008E5027" w:rsidRDefault="00DE1B6E" w:rsidP="00DE1B6E">
            <w:pPr>
              <w:spacing w:before="40" w:after="120"/>
              <w:jc w:val="both"/>
            </w:pPr>
            <w:r w:rsidRPr="00DE1B6E">
              <w:rPr>
                <w:lang w:val="fr-FR"/>
              </w:rPr>
              <w:t>Audiovisuel</w:t>
            </w:r>
          </w:p>
        </w:tc>
        <w:tc>
          <w:tcPr>
            <w:tcW w:w="6965" w:type="dxa"/>
            <w:shd w:val="clear" w:color="auto" w:fill="auto"/>
          </w:tcPr>
          <w:p w:rsidR="00566528" w:rsidRPr="00DE1B6E" w:rsidRDefault="00B17D2A" w:rsidP="00DE1B6E">
            <w:pPr>
              <w:pStyle w:val="Bullet1G"/>
              <w:numPr>
                <w:ilvl w:val="0"/>
                <w:numId w:val="0"/>
              </w:numPr>
              <w:spacing w:before="40"/>
              <w:ind w:left="170" w:right="0" w:hanging="170"/>
              <w:jc w:val="left"/>
              <w:rPr>
                <w:lang w:val="es-ES"/>
              </w:rPr>
            </w:pPr>
            <w:r w:rsidRPr="008E5027">
              <w:t>•</w:t>
            </w:r>
            <w:r w:rsidRPr="008E5027">
              <w:tab/>
            </w:r>
            <w:r w:rsidR="00DE1B6E" w:rsidRPr="00DE1B6E">
              <w:rPr>
                <w:lang w:val="fr-FR"/>
              </w:rPr>
              <w:t>La société japonaise de radiodiffusion et de télévision (NHK) et l</w:t>
            </w:r>
            <w:r w:rsidR="00277023">
              <w:rPr>
                <w:lang w:val="fr-FR"/>
              </w:rPr>
              <w:t>’</w:t>
            </w:r>
            <w:r w:rsidR="00DE1B6E" w:rsidRPr="00DE1B6E">
              <w:rPr>
                <w:lang w:val="fr-FR"/>
              </w:rPr>
              <w:t>association nationale des chaînes commerciales (NAB) ont enrichi les programmes de télévision pour les jeunes, accru l</w:t>
            </w:r>
            <w:r w:rsidR="00277023">
              <w:rPr>
                <w:lang w:val="fr-FR"/>
              </w:rPr>
              <w:t>’</w:t>
            </w:r>
            <w:r w:rsidR="00DE1B6E" w:rsidRPr="00DE1B6E">
              <w:rPr>
                <w:lang w:val="fr-FR"/>
              </w:rPr>
              <w:t>initiation aux médias, conduit des études concernant la jeunesse et l</w:t>
            </w:r>
            <w:r w:rsidR="00277023">
              <w:rPr>
                <w:lang w:val="fr-FR"/>
              </w:rPr>
              <w:t>’</w:t>
            </w:r>
            <w:r w:rsidR="00DE1B6E" w:rsidRPr="00DE1B6E">
              <w:rPr>
                <w:lang w:val="fr-FR"/>
              </w:rPr>
              <w:t>audiovisuel, recouru activement à des tierces organisations, tenu compte des horaires de diffusion et amélioré le contenu de l</w:t>
            </w:r>
            <w:r w:rsidR="00277023">
              <w:rPr>
                <w:lang w:val="fr-FR"/>
              </w:rPr>
              <w:t>’</w:t>
            </w:r>
            <w:r w:rsidR="00DE1B6E" w:rsidRPr="00DE1B6E">
              <w:rPr>
                <w:lang w:val="fr-FR"/>
              </w:rPr>
              <w:t>information fournie au regard des programmes proposés. En 2000, elles ont institué le Conseil de l</w:t>
            </w:r>
            <w:r w:rsidR="00277023">
              <w:rPr>
                <w:lang w:val="fr-FR"/>
              </w:rPr>
              <w:t>’</w:t>
            </w:r>
            <w:r w:rsidR="00DE1B6E" w:rsidRPr="00DE1B6E">
              <w:rPr>
                <w:lang w:val="fr-FR"/>
              </w:rPr>
              <w:t>audiovisuel pour les jeunes, (réorganisé en 2003 et devenu l</w:t>
            </w:r>
            <w:r w:rsidR="00277023">
              <w:rPr>
                <w:lang w:val="fr-FR"/>
              </w:rPr>
              <w:t>’</w:t>
            </w:r>
            <w:r w:rsidR="00DE1B6E" w:rsidRPr="00DE1B6E">
              <w:rPr>
                <w:lang w:val="fr-FR"/>
              </w:rPr>
              <w:t>Organisation pour l</w:t>
            </w:r>
            <w:r w:rsidR="00277023">
              <w:rPr>
                <w:lang w:val="fr-FR"/>
              </w:rPr>
              <w:t>’</w:t>
            </w:r>
            <w:r w:rsidR="00DE1B6E" w:rsidRPr="00DE1B6E">
              <w:rPr>
                <w:lang w:val="fr-FR"/>
              </w:rPr>
              <w:t>amélioration de l</w:t>
            </w:r>
            <w:r w:rsidR="00277023">
              <w:rPr>
                <w:lang w:val="fr-FR"/>
              </w:rPr>
              <w:t>’</w:t>
            </w:r>
            <w:r w:rsidR="00DE1B6E" w:rsidRPr="00DE1B6E">
              <w:rPr>
                <w:lang w:val="fr-FR"/>
              </w:rPr>
              <w:t>éthique et des programmes de l</w:t>
            </w:r>
            <w:r w:rsidR="00277023">
              <w:rPr>
                <w:lang w:val="fr-FR"/>
              </w:rPr>
              <w:t>’</w:t>
            </w:r>
            <w:r w:rsidR="00DE1B6E" w:rsidRPr="00DE1B6E">
              <w:rPr>
                <w:lang w:val="fr-FR"/>
              </w:rPr>
              <w:t>audiovisuel), une tierce organisation chargée de recevoir les opinions des téléspectateurs sur les émissions souhaitables pour la jeunesse et celles qui sont diffusées, et d</w:t>
            </w:r>
            <w:r w:rsidR="00277023">
              <w:rPr>
                <w:lang w:val="fr-FR"/>
              </w:rPr>
              <w:t>’</w:t>
            </w:r>
            <w:r w:rsidR="00DE1B6E" w:rsidRPr="00DE1B6E">
              <w:rPr>
                <w:lang w:val="fr-FR"/>
              </w:rPr>
              <w:t>annoncer les résultats ou les mesures à prendre par les chaînes de diffusion. Des programmes spéciaux sur le rapport entre la jeunesse et la télévision ont été créés et sont diffusés depuis 1999.</w:t>
            </w:r>
            <w:r w:rsidR="00566528" w:rsidRPr="00DE1B6E">
              <w:rPr>
                <w:lang w:val="es-ES"/>
              </w:rPr>
              <w:t xml:space="preserve"> </w:t>
            </w:r>
          </w:p>
          <w:p w:rsidR="00566528" w:rsidRPr="00DE1B6E" w:rsidRDefault="00B17D2A" w:rsidP="00DE1B6E">
            <w:pPr>
              <w:pStyle w:val="Bullet1G"/>
              <w:numPr>
                <w:ilvl w:val="0"/>
                <w:numId w:val="0"/>
              </w:numPr>
              <w:spacing w:before="40"/>
              <w:ind w:left="170" w:right="0" w:hanging="170"/>
              <w:jc w:val="left"/>
              <w:rPr>
                <w:lang w:val="es-ES"/>
              </w:rPr>
            </w:pPr>
            <w:r w:rsidRPr="00DE1B6E">
              <w:rPr>
                <w:lang w:val="es-ES"/>
              </w:rPr>
              <w:t>•</w:t>
            </w:r>
            <w:r w:rsidRPr="00DE1B6E">
              <w:rPr>
                <w:lang w:val="es-ES"/>
              </w:rPr>
              <w:tab/>
            </w:r>
            <w:r w:rsidR="00DE1B6E" w:rsidRPr="00DE1B6E">
              <w:rPr>
                <w:lang w:val="fr-FR"/>
              </w:rPr>
              <w:t>Outre l</w:t>
            </w:r>
            <w:r w:rsidR="00277023">
              <w:rPr>
                <w:lang w:val="fr-FR"/>
              </w:rPr>
              <w:t>’</w:t>
            </w:r>
            <w:r w:rsidR="00DE1B6E" w:rsidRPr="00DE1B6E">
              <w:rPr>
                <w:lang w:val="fr-FR"/>
              </w:rPr>
              <w:t>établissement de normes en matière d</w:t>
            </w:r>
            <w:r w:rsidR="00277023">
              <w:rPr>
                <w:lang w:val="fr-FR"/>
              </w:rPr>
              <w:t>’</w:t>
            </w:r>
            <w:r w:rsidR="00DE1B6E" w:rsidRPr="00DE1B6E">
              <w:rPr>
                <w:lang w:val="fr-FR"/>
              </w:rPr>
              <w:t xml:space="preserve">audiovisuel, et en accordant une attention particulière aux enfants, </w:t>
            </w:r>
            <w:smartTag w:uri="urn:schemas-microsoft-com:office:smarttags" w:element="PersonName">
              <w:smartTagPr>
                <w:attr w:name="ProductID" w:val="la NAB"/>
              </w:smartTagPr>
              <w:r w:rsidR="00DE1B6E" w:rsidRPr="00DE1B6E">
                <w:rPr>
                  <w:lang w:val="fr-FR"/>
                </w:rPr>
                <w:t>la NAB</w:t>
              </w:r>
            </w:smartTag>
            <w:r w:rsidR="00DE1B6E" w:rsidRPr="00DE1B6E">
              <w:rPr>
                <w:lang w:val="fr-FR"/>
              </w:rPr>
              <w:t xml:space="preserve"> a adopté des mesures relatives aux jeunes et à l</w:t>
            </w:r>
            <w:r w:rsidR="00277023">
              <w:rPr>
                <w:lang w:val="fr-FR"/>
              </w:rPr>
              <w:t>’</w:t>
            </w:r>
            <w:r w:rsidR="00DE1B6E" w:rsidRPr="00DE1B6E">
              <w:rPr>
                <w:lang w:val="fr-FR"/>
              </w:rPr>
              <w:t>audiovisuel et les a annoncées avec l</w:t>
            </w:r>
            <w:r w:rsidR="00277023">
              <w:rPr>
                <w:lang w:val="fr-FR"/>
              </w:rPr>
              <w:t>’</w:t>
            </w:r>
            <w:r w:rsidR="00DE1B6E" w:rsidRPr="00DE1B6E">
              <w:rPr>
                <w:lang w:val="fr-FR"/>
              </w:rPr>
              <w:t>établissement de nouvelles normes en matière d</w:t>
            </w:r>
            <w:r w:rsidR="00277023">
              <w:rPr>
                <w:lang w:val="fr-FR"/>
              </w:rPr>
              <w:t>’</w:t>
            </w:r>
            <w:r w:rsidR="00DE1B6E" w:rsidRPr="00DE1B6E">
              <w:rPr>
                <w:lang w:val="fr-FR"/>
              </w:rPr>
              <w:t>audiovisuel (en prêtant une attention particulière aux jeunes auditeurs et téléspectateurs à chaque créneau horaire de diffusion)</w:t>
            </w:r>
            <w:r w:rsidR="00277023">
              <w:rPr>
                <w:lang w:val="fr-FR"/>
              </w:rPr>
              <w:t>;</w:t>
            </w:r>
            <w:r w:rsidR="00DE1B6E" w:rsidRPr="00DE1B6E">
              <w:rPr>
                <w:lang w:val="fr-FR"/>
              </w:rPr>
              <w:t xml:space="preserve"> elle a également présenté des émissions, à raison de deux par an, qui visent à développer les connaissances et l</w:t>
            </w:r>
            <w:r w:rsidR="00277023">
              <w:rPr>
                <w:lang w:val="fr-FR"/>
              </w:rPr>
              <w:t>’</w:t>
            </w:r>
            <w:r w:rsidR="00DE1B6E" w:rsidRPr="00DE1B6E">
              <w:rPr>
                <w:lang w:val="fr-FR"/>
              </w:rPr>
              <w:t>intelligence des jeunes et à nourrir leur sensibilité et, de sa propre initiative, a pris des mesures visant à résoudre les problèmes ayant trait à l</w:t>
            </w:r>
            <w:r w:rsidR="00277023">
              <w:rPr>
                <w:lang w:val="fr-FR"/>
              </w:rPr>
              <w:t>’</w:t>
            </w:r>
            <w:r w:rsidR="00DE1B6E" w:rsidRPr="00DE1B6E">
              <w:rPr>
                <w:lang w:val="fr-FR"/>
              </w:rPr>
              <w:t>audiovisuel et à la jeunesse. S</w:t>
            </w:r>
            <w:r w:rsidR="00277023">
              <w:rPr>
                <w:lang w:val="fr-FR"/>
              </w:rPr>
              <w:t>’</w:t>
            </w:r>
            <w:r w:rsidR="00DE1B6E" w:rsidRPr="00DE1B6E">
              <w:rPr>
                <w:lang w:val="fr-FR"/>
              </w:rPr>
              <w:t>agissant de l</w:t>
            </w:r>
            <w:r w:rsidR="00277023">
              <w:rPr>
                <w:lang w:val="fr-FR"/>
              </w:rPr>
              <w:t>’</w:t>
            </w:r>
            <w:r w:rsidR="00DE1B6E" w:rsidRPr="00DE1B6E">
              <w:rPr>
                <w:lang w:val="fr-FR"/>
              </w:rPr>
              <w:t xml:space="preserve">initiation aux médias, </w:t>
            </w:r>
            <w:smartTag w:uri="urn:schemas-microsoft-com:office:smarttags" w:element="PersonName">
              <w:smartTagPr>
                <w:attr w:name="ProductID" w:val="la NAB"/>
              </w:smartTagPr>
              <w:r w:rsidR="00DE1B6E" w:rsidRPr="00DE1B6E">
                <w:rPr>
                  <w:lang w:val="fr-FR"/>
                </w:rPr>
                <w:t>la NAB</w:t>
              </w:r>
            </w:smartTag>
            <w:r w:rsidR="00DE1B6E" w:rsidRPr="00DE1B6E">
              <w:rPr>
                <w:lang w:val="fr-FR"/>
              </w:rPr>
              <w:t xml:space="preserve"> a mené des études concrètes en coopération avec des chaînes commerciales dans quatre régions du Japon et des écoles locales et également organisé des séances de débriefing.</w:t>
            </w:r>
          </w:p>
          <w:p w:rsidR="00566528" w:rsidRPr="00DE1B6E" w:rsidRDefault="00B17D2A" w:rsidP="00DE1B6E">
            <w:pPr>
              <w:pStyle w:val="Bullet1G"/>
              <w:numPr>
                <w:ilvl w:val="0"/>
                <w:numId w:val="0"/>
              </w:numPr>
              <w:spacing w:before="40"/>
              <w:ind w:left="170" w:right="0" w:hanging="170"/>
              <w:jc w:val="left"/>
              <w:rPr>
                <w:lang w:val="es-ES"/>
              </w:rPr>
            </w:pPr>
            <w:r w:rsidRPr="00DE1B6E">
              <w:rPr>
                <w:lang w:val="es-ES"/>
              </w:rPr>
              <w:t>•</w:t>
            </w:r>
            <w:r w:rsidRPr="00DE1B6E">
              <w:rPr>
                <w:lang w:val="es-ES"/>
              </w:rPr>
              <w:tab/>
            </w:r>
            <w:r w:rsidR="00DE1B6E" w:rsidRPr="00DE1B6E">
              <w:rPr>
                <w:lang w:val="fr-FR"/>
              </w:rPr>
              <w:t>Pour ce qui est de la diffusion numérique par satellite, l</w:t>
            </w:r>
            <w:r w:rsidR="00277023">
              <w:rPr>
                <w:lang w:val="fr-FR"/>
              </w:rPr>
              <w:t>’</w:t>
            </w:r>
            <w:r w:rsidR="00DE1B6E" w:rsidRPr="00DE1B6E">
              <w:rPr>
                <w:lang w:val="fr-FR"/>
              </w:rPr>
              <w:t>association de la diffusion par satellite a créé un Comité d</w:t>
            </w:r>
            <w:r w:rsidR="00277023">
              <w:rPr>
                <w:lang w:val="fr-FR"/>
              </w:rPr>
              <w:t>’</w:t>
            </w:r>
            <w:r w:rsidR="00DE1B6E" w:rsidRPr="00DE1B6E">
              <w:rPr>
                <w:lang w:val="fr-FR"/>
              </w:rPr>
              <w:t>éthique, fixé les normes des émissions de divertissement pour adultes et intégré des dispositions relatives à la protection de la jeunesse dans les directives applicables à l</w:t>
            </w:r>
            <w:r w:rsidR="00277023">
              <w:rPr>
                <w:lang w:val="fr-FR"/>
              </w:rPr>
              <w:t>’</w:t>
            </w:r>
            <w:r w:rsidR="00DE1B6E" w:rsidRPr="00DE1B6E">
              <w:rPr>
                <w:lang w:val="fr-FR"/>
              </w:rPr>
              <w:t>audiovisuel commercial dans le souci de promouvoir l</w:t>
            </w:r>
            <w:r w:rsidR="00277023">
              <w:rPr>
                <w:lang w:val="fr-FR"/>
              </w:rPr>
              <w:t>’</w:t>
            </w:r>
            <w:r w:rsidR="00DE1B6E" w:rsidRPr="00DE1B6E">
              <w:rPr>
                <w:lang w:val="fr-FR"/>
              </w:rPr>
              <w:t>éthique dans l</w:t>
            </w:r>
            <w:r w:rsidR="00277023">
              <w:rPr>
                <w:lang w:val="fr-FR"/>
              </w:rPr>
              <w:t>’</w:t>
            </w:r>
            <w:r w:rsidR="00DE1B6E" w:rsidRPr="00DE1B6E">
              <w:rPr>
                <w:lang w:val="fr-FR"/>
              </w:rPr>
              <w:t>audiovisuel.</w:t>
            </w:r>
          </w:p>
          <w:p w:rsidR="00566528" w:rsidRPr="00DE1B6E" w:rsidRDefault="00B17D2A" w:rsidP="00DE1B6E">
            <w:pPr>
              <w:pStyle w:val="Bullet1G"/>
              <w:numPr>
                <w:ilvl w:val="0"/>
                <w:numId w:val="0"/>
              </w:numPr>
              <w:spacing w:before="40"/>
              <w:ind w:left="170" w:right="0" w:hanging="170"/>
              <w:jc w:val="left"/>
              <w:rPr>
                <w:lang w:val="es-ES"/>
              </w:rPr>
            </w:pPr>
            <w:r w:rsidRPr="00DE1B6E">
              <w:rPr>
                <w:lang w:val="es-ES"/>
              </w:rPr>
              <w:t>•</w:t>
            </w:r>
            <w:r w:rsidRPr="00DE1B6E">
              <w:rPr>
                <w:lang w:val="es-ES"/>
              </w:rPr>
              <w:tab/>
            </w:r>
            <w:r w:rsidR="00DE1B6E" w:rsidRPr="00DE1B6E">
              <w:rPr>
                <w:lang w:val="fr-FR"/>
              </w:rPr>
              <w:t>Le Comité japonais d</w:t>
            </w:r>
            <w:r w:rsidR="00277023">
              <w:rPr>
                <w:lang w:val="fr-FR"/>
              </w:rPr>
              <w:t>’</w:t>
            </w:r>
            <w:r w:rsidR="00DE1B6E" w:rsidRPr="00DE1B6E">
              <w:rPr>
                <w:lang w:val="fr-FR"/>
              </w:rPr>
              <w:t>éthique de la diffusion des programmes pour adultes par satellite, fondé par les chaînes satellites qui diffusent des émissions pour adultes, a mis au point un Code d</w:t>
            </w:r>
            <w:r w:rsidR="00277023">
              <w:rPr>
                <w:lang w:val="fr-FR"/>
              </w:rPr>
              <w:t>’</w:t>
            </w:r>
            <w:r w:rsidR="00DE1B6E" w:rsidRPr="00DE1B6E">
              <w:rPr>
                <w:lang w:val="fr-FR"/>
              </w:rPr>
              <w:t>éthique des programmes diffusés, des normes de vérification des programmes, des directives sur la vérification des programmes et d</w:t>
            </w:r>
            <w:r w:rsidR="00277023">
              <w:rPr>
                <w:lang w:val="fr-FR"/>
              </w:rPr>
              <w:t>’</w:t>
            </w:r>
            <w:r w:rsidR="00DE1B6E" w:rsidRPr="00DE1B6E">
              <w:rPr>
                <w:lang w:val="fr-FR"/>
              </w:rPr>
              <w:t xml:space="preserve">autres directives pour la promotion des programmes et la publicité permettant un autofiltrage. Il a également mis sur pied des sous-comités spécialisés chargés de faire respecter et de promouvoir les normes déontologiques. En outre, il a adopté des normes sur le contrôle des émissions pour adultes et créé et diffusé des </w:t>
            </w:r>
            <w:r w:rsidR="008E49D4">
              <w:rPr>
                <w:lang w:val="fr-FR"/>
              </w:rPr>
              <w:t>“</w:t>
            </w:r>
            <w:r w:rsidR="00DE1B6E" w:rsidRPr="00DE1B6E">
              <w:rPr>
                <w:lang w:val="fr-FR"/>
              </w:rPr>
              <w:t>modèles de mosaïque du Comité d</w:t>
            </w:r>
            <w:r w:rsidR="00277023">
              <w:rPr>
                <w:lang w:val="fr-FR"/>
              </w:rPr>
              <w:t>’</w:t>
            </w:r>
            <w:r w:rsidR="00DE1B6E" w:rsidRPr="00DE1B6E">
              <w:rPr>
                <w:lang w:val="fr-FR"/>
              </w:rPr>
              <w:t>éthique chargé des programmes pour adultes</w:t>
            </w:r>
            <w:r w:rsidR="008E49D4">
              <w:rPr>
                <w:lang w:val="fr-FR"/>
              </w:rPr>
              <w:t>”</w:t>
            </w:r>
            <w:r w:rsidR="00DE1B6E" w:rsidRPr="00DE1B6E">
              <w:rPr>
                <w:lang w:val="fr-FR"/>
              </w:rPr>
              <w:t>.</w:t>
            </w:r>
            <w:r w:rsidR="00566528" w:rsidRPr="00DE1B6E">
              <w:rPr>
                <w:lang w:val="es-ES"/>
              </w:rPr>
              <w:t xml:space="preserve"> </w:t>
            </w:r>
          </w:p>
        </w:tc>
      </w:tr>
      <w:tr w:rsidR="00566528" w:rsidRPr="00DE1B6E" w:rsidTr="0060234D">
        <w:tc>
          <w:tcPr>
            <w:tcW w:w="1540" w:type="dxa"/>
            <w:shd w:val="clear" w:color="auto" w:fill="auto"/>
          </w:tcPr>
          <w:p w:rsidR="00566528" w:rsidRPr="008E5027" w:rsidRDefault="00DE1B6E" w:rsidP="0060234D">
            <w:pPr>
              <w:keepNext/>
              <w:keepLines/>
              <w:spacing w:before="40" w:after="120"/>
              <w:jc w:val="both"/>
            </w:pPr>
            <w:r w:rsidRPr="00DE1B6E">
              <w:rPr>
                <w:lang w:val="fr-FR"/>
              </w:rPr>
              <w:t>Publicité</w:t>
            </w:r>
          </w:p>
        </w:tc>
        <w:tc>
          <w:tcPr>
            <w:tcW w:w="6965" w:type="dxa"/>
            <w:shd w:val="clear" w:color="auto" w:fill="auto"/>
          </w:tcPr>
          <w:p w:rsidR="00566528" w:rsidRPr="00DE1B6E" w:rsidRDefault="00B17D2A" w:rsidP="0060234D">
            <w:pPr>
              <w:pStyle w:val="Bullet1G"/>
              <w:keepNext/>
              <w:keepLines/>
              <w:numPr>
                <w:ilvl w:val="0"/>
                <w:numId w:val="0"/>
              </w:numPr>
              <w:spacing w:before="40"/>
              <w:ind w:left="170" w:right="0" w:hanging="170"/>
              <w:jc w:val="left"/>
              <w:rPr>
                <w:lang w:val="es-ES"/>
              </w:rPr>
            </w:pPr>
            <w:r w:rsidRPr="00DE1B6E">
              <w:rPr>
                <w:lang w:val="es-ES"/>
              </w:rPr>
              <w:t>•</w:t>
            </w:r>
            <w:r w:rsidRPr="00DE1B6E">
              <w:rPr>
                <w:lang w:val="es-ES"/>
              </w:rPr>
              <w:tab/>
            </w:r>
            <w:r w:rsidR="00DE1B6E" w:rsidRPr="00DE1B6E">
              <w:rPr>
                <w:lang w:val="fr-FR"/>
              </w:rPr>
              <w:t>Chaque organisation a ses propres normes d</w:t>
            </w:r>
            <w:r w:rsidR="00277023">
              <w:rPr>
                <w:lang w:val="fr-FR"/>
              </w:rPr>
              <w:t>’</w:t>
            </w:r>
            <w:r w:rsidR="00DE1B6E" w:rsidRPr="00DE1B6E">
              <w:rPr>
                <w:lang w:val="fr-FR"/>
              </w:rPr>
              <w:t>autocontrôle. De plus, des sociétés comprenant des donateurs, des journaux, des organismes de radiodiffusion, des éditeurs, des publicitaires et des producteurs de publicité ont créé conjointement l</w:t>
            </w:r>
            <w:r w:rsidR="00277023">
              <w:rPr>
                <w:lang w:val="fr-FR"/>
              </w:rPr>
              <w:t>’</w:t>
            </w:r>
            <w:r w:rsidR="00DE1B6E" w:rsidRPr="00DE1B6E">
              <w:rPr>
                <w:lang w:val="fr-FR"/>
              </w:rPr>
              <w:t>Organisation japonaise de contrôle de la publicité (JARO) qui traite les plaintes déposées contre des publicités, y compris celles qui peuvent être nuisibles aux jeunes.</w:t>
            </w:r>
            <w:r w:rsidR="00566528" w:rsidRPr="00DE1B6E">
              <w:rPr>
                <w:lang w:val="es-ES"/>
              </w:rPr>
              <w:t xml:space="preserve"> </w:t>
            </w:r>
          </w:p>
        </w:tc>
      </w:tr>
      <w:tr w:rsidR="00566528" w:rsidRPr="008E5027" w:rsidTr="0060234D">
        <w:tc>
          <w:tcPr>
            <w:tcW w:w="1540" w:type="dxa"/>
            <w:shd w:val="clear" w:color="auto" w:fill="auto"/>
          </w:tcPr>
          <w:p w:rsidR="00566528" w:rsidRPr="008E5027" w:rsidRDefault="00DE1B6E" w:rsidP="00DE1B6E">
            <w:pPr>
              <w:keepNext/>
              <w:keepLines/>
              <w:spacing w:before="40" w:after="120"/>
            </w:pPr>
            <w:r w:rsidRPr="00DE1B6E">
              <w:rPr>
                <w:lang w:val="fr-FR"/>
              </w:rPr>
              <w:t>Industrie du spectacle</w:t>
            </w:r>
          </w:p>
        </w:tc>
        <w:tc>
          <w:tcPr>
            <w:tcW w:w="6965" w:type="dxa"/>
            <w:shd w:val="clear" w:color="auto" w:fill="auto"/>
          </w:tcPr>
          <w:p w:rsidR="00566528" w:rsidRPr="008E5027" w:rsidRDefault="00B17D2A" w:rsidP="00DE1B6E">
            <w:pPr>
              <w:pStyle w:val="Bullet1G"/>
              <w:keepNext/>
              <w:keepLines/>
              <w:numPr>
                <w:ilvl w:val="0"/>
                <w:numId w:val="0"/>
              </w:numPr>
              <w:spacing w:before="40"/>
              <w:ind w:left="170" w:right="0" w:hanging="170"/>
              <w:jc w:val="left"/>
            </w:pPr>
            <w:r w:rsidRPr="008E5027">
              <w:t>•</w:t>
            </w:r>
            <w:r w:rsidRPr="008E5027">
              <w:tab/>
            </w:r>
            <w:r w:rsidR="00DE1B6E" w:rsidRPr="00DE1B6E">
              <w:rPr>
                <w:lang w:val="fr-FR"/>
              </w:rPr>
              <w:t>L</w:t>
            </w:r>
            <w:r w:rsidR="00277023">
              <w:rPr>
                <w:lang w:val="fr-FR"/>
              </w:rPr>
              <w:t>’</w:t>
            </w:r>
            <w:r w:rsidR="00DE1B6E" w:rsidRPr="00DE1B6E">
              <w:rPr>
                <w:lang w:val="fr-FR"/>
              </w:rPr>
              <w:t>association japonaise des propriétaires de salles de spectacle, constituée par des professionnels du cinéma, du théâtre et des variétés a défini ses propres normes d</w:t>
            </w:r>
            <w:r w:rsidR="00277023">
              <w:rPr>
                <w:lang w:val="fr-FR"/>
              </w:rPr>
              <w:t>’</w:t>
            </w:r>
            <w:r w:rsidR="00DE1B6E" w:rsidRPr="00DE1B6E">
              <w:rPr>
                <w:lang w:val="fr-FR"/>
              </w:rPr>
              <w:t>autocontrôle, notamment l</w:t>
            </w:r>
            <w:r w:rsidR="00277023">
              <w:rPr>
                <w:lang w:val="fr-FR"/>
              </w:rPr>
              <w:t>’</w:t>
            </w:r>
            <w:r w:rsidR="00DE1B6E" w:rsidRPr="00DE1B6E">
              <w:rPr>
                <w:lang w:val="fr-FR"/>
              </w:rPr>
              <w:t>interdiction des programmes comportant deux longs métrages dont l</w:t>
            </w:r>
            <w:r w:rsidR="00277023">
              <w:rPr>
                <w:lang w:val="fr-FR"/>
              </w:rPr>
              <w:t>’</w:t>
            </w:r>
            <w:r w:rsidR="00DE1B6E" w:rsidRPr="00DE1B6E">
              <w:rPr>
                <w:lang w:val="fr-FR"/>
              </w:rPr>
              <w:t>un est pour tous publics et l</w:t>
            </w:r>
            <w:r w:rsidR="00277023">
              <w:rPr>
                <w:lang w:val="fr-FR"/>
              </w:rPr>
              <w:t>’</w:t>
            </w:r>
            <w:r w:rsidR="00DE1B6E" w:rsidRPr="00DE1B6E">
              <w:rPr>
                <w:lang w:val="fr-FR"/>
              </w:rPr>
              <w:t>autre soumis à des restrictions du type</w:t>
            </w:r>
            <w:r w:rsidR="00DE1B6E">
              <w:rPr>
                <w:lang w:val="fr-FR"/>
              </w:rPr>
              <w:t xml:space="preserve"> PG-12, R</w:t>
            </w:r>
            <w:r w:rsidR="002B5F2D">
              <w:rPr>
                <w:lang w:val="fr-FR"/>
              </w:rPr>
              <w:t>-</w:t>
            </w:r>
            <w:r w:rsidR="00DE1B6E" w:rsidRPr="00DE1B6E">
              <w:rPr>
                <w:lang w:val="fr-FR"/>
              </w:rPr>
              <w:t>15 et R-18, l</w:t>
            </w:r>
            <w:r w:rsidR="00277023">
              <w:rPr>
                <w:lang w:val="fr-FR"/>
              </w:rPr>
              <w:t>’</w:t>
            </w:r>
            <w:r w:rsidR="00DE1B6E" w:rsidRPr="00DE1B6E">
              <w:rPr>
                <w:lang w:val="fr-FR"/>
              </w:rPr>
              <w:t>affichage d</w:t>
            </w:r>
            <w:r w:rsidR="00277023">
              <w:rPr>
                <w:lang w:val="fr-FR"/>
              </w:rPr>
              <w:t>’</w:t>
            </w:r>
            <w:r w:rsidR="00DE1B6E" w:rsidRPr="00DE1B6E">
              <w:rPr>
                <w:lang w:val="fr-FR"/>
              </w:rPr>
              <w:t>une mise en garde établie par l</w:t>
            </w:r>
            <w:r w:rsidR="00277023">
              <w:rPr>
                <w:lang w:val="fr-FR"/>
              </w:rPr>
              <w:t>’</w:t>
            </w:r>
            <w:r w:rsidR="00DE1B6E" w:rsidRPr="00DE1B6E">
              <w:rPr>
                <w:lang w:val="fr-FR"/>
              </w:rPr>
              <w:t>association pour les films assortis des restrictions et le refus de laisser entrer les personnes visées par ces restrictions.</w:t>
            </w:r>
          </w:p>
          <w:p w:rsidR="00566528" w:rsidRPr="008E5027" w:rsidRDefault="00B17D2A" w:rsidP="00DE1B6E">
            <w:pPr>
              <w:pStyle w:val="Bullet1G"/>
              <w:keepNext/>
              <w:keepLines/>
              <w:numPr>
                <w:ilvl w:val="0"/>
                <w:numId w:val="0"/>
              </w:numPr>
              <w:spacing w:before="40"/>
              <w:ind w:left="170" w:right="0" w:hanging="170"/>
              <w:jc w:val="left"/>
            </w:pPr>
            <w:r w:rsidRPr="008E5027">
              <w:t>•</w:t>
            </w:r>
            <w:r w:rsidRPr="008E5027">
              <w:tab/>
            </w:r>
            <w:r w:rsidR="00DE1B6E" w:rsidRPr="00DE1B6E">
              <w:rPr>
                <w:lang w:val="fr-FR"/>
              </w:rPr>
              <w:t>La fédération de l</w:t>
            </w:r>
            <w:r w:rsidR="00277023">
              <w:rPr>
                <w:lang w:val="fr-FR"/>
              </w:rPr>
              <w:t>’</w:t>
            </w:r>
            <w:r w:rsidR="00DE1B6E" w:rsidRPr="00DE1B6E">
              <w:rPr>
                <w:lang w:val="fr-FR"/>
              </w:rPr>
              <w:t>industrie cinématographique japonaise, fondée par les organisations du monde du cinéma, a finalisé un accord sur les séances nocturnes qui prévoit notamment le refus d</w:t>
            </w:r>
            <w:r w:rsidR="00277023">
              <w:rPr>
                <w:lang w:val="fr-FR"/>
              </w:rPr>
              <w:t>’</w:t>
            </w:r>
            <w:r w:rsidR="00DE1B6E" w:rsidRPr="00DE1B6E">
              <w:rPr>
                <w:lang w:val="fr-FR"/>
              </w:rPr>
              <w:t>accès aux salles où sont projetés des films assortis de restrictions aux personnes visées par celles-ci, et l</w:t>
            </w:r>
            <w:r w:rsidR="00277023">
              <w:rPr>
                <w:lang w:val="fr-FR"/>
              </w:rPr>
              <w:t>’</w:t>
            </w:r>
            <w:r w:rsidR="00DE1B6E" w:rsidRPr="00DE1B6E">
              <w:rPr>
                <w:lang w:val="fr-FR"/>
              </w:rPr>
              <w:t>interdiction faite aux mineurs de moins de 18 ans d</w:t>
            </w:r>
            <w:r w:rsidR="00277023">
              <w:rPr>
                <w:lang w:val="fr-FR"/>
              </w:rPr>
              <w:t>’</w:t>
            </w:r>
            <w:r w:rsidR="00DE1B6E" w:rsidRPr="00DE1B6E">
              <w:rPr>
                <w:lang w:val="fr-FR"/>
              </w:rPr>
              <w:t>assister aux séances nocturnes.</w:t>
            </w:r>
            <w:r w:rsidR="00566528" w:rsidRPr="008E5027">
              <w:t xml:space="preserve"> </w:t>
            </w:r>
          </w:p>
        </w:tc>
      </w:tr>
      <w:tr w:rsidR="00566528" w:rsidRPr="00DE1B6E" w:rsidTr="0060234D">
        <w:tc>
          <w:tcPr>
            <w:tcW w:w="1540" w:type="dxa"/>
            <w:shd w:val="clear" w:color="auto" w:fill="auto"/>
          </w:tcPr>
          <w:p w:rsidR="00566528" w:rsidRPr="008E5027" w:rsidRDefault="00DE1B6E" w:rsidP="00B545C9">
            <w:r w:rsidRPr="00DE1B6E">
              <w:rPr>
                <w:lang w:val="fr-FR"/>
              </w:rPr>
              <w:t>Karaoké</w:t>
            </w:r>
          </w:p>
        </w:tc>
        <w:tc>
          <w:tcPr>
            <w:tcW w:w="6965" w:type="dxa"/>
            <w:shd w:val="clear" w:color="auto" w:fill="auto"/>
          </w:tcPr>
          <w:p w:rsidR="00566528" w:rsidRPr="00DE1B6E" w:rsidRDefault="00B17D2A" w:rsidP="00B17D2A">
            <w:pPr>
              <w:pStyle w:val="Bullet1G"/>
              <w:numPr>
                <w:ilvl w:val="0"/>
                <w:numId w:val="0"/>
              </w:numPr>
              <w:spacing w:before="40"/>
              <w:ind w:left="170" w:right="0" w:hanging="170"/>
              <w:jc w:val="left"/>
              <w:rPr>
                <w:lang w:val="es-ES"/>
              </w:rPr>
            </w:pPr>
            <w:r w:rsidRPr="00DE1B6E">
              <w:rPr>
                <w:lang w:val="es-ES"/>
              </w:rPr>
              <w:t>•</w:t>
            </w:r>
            <w:r w:rsidRPr="00DE1B6E">
              <w:rPr>
                <w:lang w:val="es-ES"/>
              </w:rPr>
              <w:tab/>
            </w:r>
            <w:r w:rsidR="00DE1B6E" w:rsidRPr="00DE1B6E">
              <w:rPr>
                <w:lang w:val="fr-FR"/>
              </w:rPr>
              <w:t>L</w:t>
            </w:r>
            <w:r w:rsidR="00277023">
              <w:rPr>
                <w:lang w:val="fr-FR"/>
              </w:rPr>
              <w:t>’</w:t>
            </w:r>
            <w:r w:rsidR="00DE1B6E" w:rsidRPr="00DE1B6E">
              <w:rPr>
                <w:lang w:val="fr-FR"/>
              </w:rPr>
              <w:t>association japonaise des studios de Karaoké a établi des normes d</w:t>
            </w:r>
            <w:r w:rsidR="00277023">
              <w:rPr>
                <w:lang w:val="fr-FR"/>
              </w:rPr>
              <w:t>’</w:t>
            </w:r>
            <w:r w:rsidR="00DE1B6E" w:rsidRPr="00DE1B6E">
              <w:rPr>
                <w:lang w:val="fr-FR"/>
              </w:rPr>
              <w:t>autocontrôle telles que des restrictions concernant le temps qu</w:t>
            </w:r>
            <w:r w:rsidR="00277023">
              <w:rPr>
                <w:lang w:val="fr-FR"/>
              </w:rPr>
              <w:t>’</w:t>
            </w:r>
            <w:r w:rsidR="00DE1B6E" w:rsidRPr="00DE1B6E">
              <w:rPr>
                <w:lang w:val="fr-FR"/>
              </w:rPr>
              <w:t>y passent les jeunes, l</w:t>
            </w:r>
            <w:r w:rsidR="00277023">
              <w:rPr>
                <w:lang w:val="fr-FR"/>
              </w:rPr>
              <w:t>’</w:t>
            </w:r>
            <w:r w:rsidR="00DE1B6E" w:rsidRPr="00DE1B6E">
              <w:rPr>
                <w:lang w:val="fr-FR"/>
              </w:rPr>
              <w:t>interdiction de boire et de fumer pour les mineurs, la prévention de la toxicomanie, mais également des règles concernant la sécurité, comme l</w:t>
            </w:r>
            <w:r w:rsidR="00277023">
              <w:rPr>
                <w:lang w:val="fr-FR"/>
              </w:rPr>
              <w:t>’</w:t>
            </w:r>
            <w:r w:rsidR="00DE1B6E" w:rsidRPr="00DE1B6E">
              <w:rPr>
                <w:lang w:val="fr-FR"/>
              </w:rPr>
              <w:t>interdiction de verrouiller les portes de l</w:t>
            </w:r>
            <w:r w:rsidR="00277023">
              <w:rPr>
                <w:lang w:val="fr-FR"/>
              </w:rPr>
              <w:t>’</w:t>
            </w:r>
            <w:r w:rsidR="00DE1B6E" w:rsidRPr="00DE1B6E">
              <w:rPr>
                <w:lang w:val="fr-FR"/>
              </w:rPr>
              <w:t>intérieur et l</w:t>
            </w:r>
            <w:r w:rsidR="00277023">
              <w:rPr>
                <w:lang w:val="fr-FR"/>
              </w:rPr>
              <w:t>’</w:t>
            </w:r>
            <w:r w:rsidR="00DE1B6E" w:rsidRPr="00DE1B6E">
              <w:rPr>
                <w:lang w:val="fr-FR"/>
              </w:rPr>
              <w:t>obligation d</w:t>
            </w:r>
            <w:r w:rsidR="00277023">
              <w:rPr>
                <w:lang w:val="fr-FR"/>
              </w:rPr>
              <w:t>’</w:t>
            </w:r>
            <w:r w:rsidR="00DE1B6E" w:rsidRPr="00DE1B6E">
              <w:rPr>
                <w:lang w:val="fr-FR"/>
              </w:rPr>
              <w:t>avoir une fenêtre à travers laquelle l</w:t>
            </w:r>
            <w:r w:rsidR="00277023">
              <w:rPr>
                <w:lang w:val="fr-FR"/>
              </w:rPr>
              <w:t>’</w:t>
            </w:r>
            <w:r w:rsidR="00DE1B6E" w:rsidRPr="00DE1B6E">
              <w:rPr>
                <w:lang w:val="fr-FR"/>
              </w:rPr>
              <w:t>intérieur soit visible de l</w:t>
            </w:r>
            <w:r w:rsidR="00277023">
              <w:rPr>
                <w:lang w:val="fr-FR"/>
              </w:rPr>
              <w:t>’</w:t>
            </w:r>
            <w:r w:rsidR="00DE1B6E" w:rsidRPr="00DE1B6E">
              <w:rPr>
                <w:lang w:val="fr-FR"/>
              </w:rPr>
              <w:t>extérieur</w:t>
            </w:r>
            <w:r w:rsidR="00277023">
              <w:rPr>
                <w:lang w:val="fr-FR"/>
              </w:rPr>
              <w:t>;</w:t>
            </w:r>
            <w:r w:rsidR="00DE1B6E" w:rsidRPr="00DE1B6E">
              <w:rPr>
                <w:lang w:val="fr-FR"/>
              </w:rPr>
              <w:t xml:space="preserve"> des conférences sont également organisées dans tout le pays à l</w:t>
            </w:r>
            <w:r w:rsidR="00277023">
              <w:rPr>
                <w:lang w:val="fr-FR"/>
              </w:rPr>
              <w:t>’</w:t>
            </w:r>
            <w:r w:rsidR="00DE1B6E" w:rsidRPr="00DE1B6E">
              <w:rPr>
                <w:lang w:val="fr-FR"/>
              </w:rPr>
              <w:t>intention des gérants de ces lieux.</w:t>
            </w:r>
            <w:r w:rsidR="00566528" w:rsidRPr="00DE1B6E">
              <w:rPr>
                <w:lang w:val="es-ES"/>
              </w:rPr>
              <w:t xml:space="preserve"> </w:t>
            </w:r>
          </w:p>
        </w:tc>
      </w:tr>
      <w:tr w:rsidR="00566528" w:rsidRPr="008E5027" w:rsidTr="0060234D">
        <w:tc>
          <w:tcPr>
            <w:tcW w:w="1540" w:type="dxa"/>
            <w:shd w:val="clear" w:color="auto" w:fill="auto"/>
          </w:tcPr>
          <w:p w:rsidR="00566528" w:rsidRPr="008E5027" w:rsidRDefault="00566528" w:rsidP="00B545C9">
            <w:pPr>
              <w:jc w:val="both"/>
            </w:pPr>
            <w:r w:rsidRPr="008E5027">
              <w:t>Internet</w:t>
            </w:r>
          </w:p>
        </w:tc>
        <w:tc>
          <w:tcPr>
            <w:tcW w:w="6965" w:type="dxa"/>
            <w:shd w:val="clear" w:color="auto" w:fill="auto"/>
          </w:tcPr>
          <w:p w:rsidR="00566528" w:rsidRPr="008E5027" w:rsidRDefault="00B17D2A" w:rsidP="00B17D2A">
            <w:pPr>
              <w:pStyle w:val="Bullet1G"/>
              <w:numPr>
                <w:ilvl w:val="0"/>
                <w:numId w:val="0"/>
              </w:numPr>
              <w:spacing w:before="40"/>
              <w:ind w:left="170" w:right="0" w:hanging="170"/>
              <w:jc w:val="left"/>
              <w:rPr>
                <w:color w:val="000000"/>
              </w:rPr>
            </w:pPr>
            <w:r w:rsidRPr="008E5027">
              <w:rPr>
                <w:color w:val="000000"/>
              </w:rPr>
              <w:t>•</w:t>
            </w:r>
            <w:r w:rsidRPr="008E5027">
              <w:rPr>
                <w:color w:val="000000"/>
              </w:rPr>
              <w:tab/>
            </w:r>
            <w:r w:rsidR="00DE1B6E" w:rsidRPr="00DE1B6E">
              <w:rPr>
                <w:lang w:val="fr-FR"/>
              </w:rPr>
              <w:t>L</w:t>
            </w:r>
            <w:r w:rsidR="00277023">
              <w:rPr>
                <w:lang w:val="fr-FR"/>
              </w:rPr>
              <w:t>’</w:t>
            </w:r>
            <w:r w:rsidR="00DE1B6E" w:rsidRPr="00DE1B6E">
              <w:rPr>
                <w:lang w:val="fr-FR"/>
              </w:rPr>
              <w:t>association des entreprises de télécommunications a publié des directives pour la fourniture des services d</w:t>
            </w:r>
            <w:r w:rsidR="00277023">
              <w:rPr>
                <w:lang w:val="fr-FR"/>
              </w:rPr>
              <w:t>’</w:t>
            </w:r>
            <w:r w:rsidR="00DE1B6E" w:rsidRPr="00DE1B6E">
              <w:rPr>
                <w:lang w:val="fr-FR"/>
              </w:rPr>
              <w:t>accès à internet.</w:t>
            </w:r>
          </w:p>
          <w:p w:rsidR="00566528" w:rsidRPr="008E5027" w:rsidRDefault="00B17D2A" w:rsidP="00B17D2A">
            <w:pPr>
              <w:pStyle w:val="Bullet1G"/>
              <w:numPr>
                <w:ilvl w:val="0"/>
                <w:numId w:val="0"/>
              </w:numPr>
              <w:spacing w:before="40"/>
              <w:ind w:left="170" w:right="0" w:hanging="170"/>
              <w:jc w:val="left"/>
            </w:pPr>
            <w:r w:rsidRPr="008E5027">
              <w:t>•</w:t>
            </w:r>
            <w:r w:rsidRPr="008E5027">
              <w:tab/>
            </w:r>
            <w:r w:rsidR="00DE1B6E" w:rsidRPr="00DE1B6E">
              <w:rPr>
                <w:lang w:val="fr-FR"/>
              </w:rPr>
              <w:t>L</w:t>
            </w:r>
            <w:r w:rsidR="00277023">
              <w:rPr>
                <w:lang w:val="fr-FR"/>
              </w:rPr>
              <w:t>’</w:t>
            </w:r>
            <w:r w:rsidR="00DE1B6E" w:rsidRPr="00DE1B6E">
              <w:rPr>
                <w:lang w:val="fr-FR"/>
              </w:rPr>
              <w:t xml:space="preserve">association des services de télécommunication a annoncé la publication des </w:t>
            </w:r>
            <w:r w:rsidR="008E49D4">
              <w:rPr>
                <w:lang w:val="fr-FR"/>
              </w:rPr>
              <w:t>“</w:t>
            </w:r>
            <w:r w:rsidR="00DE1B6E" w:rsidRPr="00DE1B6E">
              <w:rPr>
                <w:lang w:val="fr-FR"/>
              </w:rPr>
              <w:t>directives concernant les mesures prises par les entreprises liées aux services d</w:t>
            </w:r>
            <w:r w:rsidR="00277023">
              <w:rPr>
                <w:lang w:val="fr-FR"/>
              </w:rPr>
              <w:t>’</w:t>
            </w:r>
            <w:r w:rsidR="00DE1B6E" w:rsidRPr="00DE1B6E">
              <w:rPr>
                <w:lang w:val="fr-FR"/>
              </w:rPr>
              <w:t>accès à Internet</w:t>
            </w:r>
            <w:r w:rsidR="008E49D4">
              <w:rPr>
                <w:lang w:val="fr-FR"/>
              </w:rPr>
              <w:t>”</w:t>
            </w:r>
            <w:r w:rsidR="00DE1B6E" w:rsidRPr="00DE1B6E">
              <w:rPr>
                <w:lang w:val="fr-FR"/>
              </w:rPr>
              <w:t xml:space="preserve"> et de </w:t>
            </w:r>
            <w:r w:rsidR="008E49D4">
              <w:rPr>
                <w:lang w:val="fr-FR"/>
              </w:rPr>
              <w:t>“</w:t>
            </w:r>
            <w:r w:rsidR="00DE1B6E" w:rsidRPr="00DE1B6E">
              <w:rPr>
                <w:lang w:val="fr-FR"/>
              </w:rPr>
              <w:t>dispositions modèles sur les conditions contractuelles des services d</w:t>
            </w:r>
            <w:r w:rsidR="00277023">
              <w:rPr>
                <w:lang w:val="fr-FR"/>
              </w:rPr>
              <w:t>’</w:t>
            </w:r>
            <w:r w:rsidR="00DE1B6E" w:rsidRPr="00DE1B6E">
              <w:rPr>
                <w:lang w:val="fr-FR"/>
              </w:rPr>
              <w:t>accès à Internet</w:t>
            </w:r>
            <w:r w:rsidR="008E49D4">
              <w:rPr>
                <w:lang w:val="fr-FR"/>
              </w:rPr>
              <w:t>”</w:t>
            </w:r>
            <w:r w:rsidR="00DE1B6E" w:rsidRPr="00DE1B6E">
              <w:rPr>
                <w:lang w:val="fr-FR"/>
              </w:rPr>
              <w:t>.</w:t>
            </w:r>
            <w:r w:rsidR="00566528" w:rsidRPr="008E5027">
              <w:t xml:space="preserve"> </w:t>
            </w:r>
          </w:p>
          <w:p w:rsidR="00566528" w:rsidRPr="008E5027" w:rsidRDefault="00B17D2A" w:rsidP="00B17D2A">
            <w:pPr>
              <w:pStyle w:val="Bullet1G"/>
              <w:numPr>
                <w:ilvl w:val="0"/>
                <w:numId w:val="0"/>
              </w:numPr>
              <w:spacing w:before="40"/>
              <w:ind w:left="170" w:right="0" w:hanging="170"/>
              <w:jc w:val="left"/>
              <w:rPr>
                <w:color w:val="000000"/>
              </w:rPr>
            </w:pPr>
            <w:r w:rsidRPr="008E5027">
              <w:rPr>
                <w:color w:val="000000"/>
              </w:rPr>
              <w:t>•</w:t>
            </w:r>
            <w:r w:rsidRPr="008E5027">
              <w:rPr>
                <w:color w:val="000000"/>
              </w:rPr>
              <w:tab/>
            </w:r>
            <w:r w:rsidR="00DE1B6E" w:rsidRPr="00DE1B6E">
              <w:rPr>
                <w:lang w:val="fr-FR"/>
              </w:rPr>
              <w:t>L</w:t>
            </w:r>
            <w:r w:rsidR="00277023">
              <w:rPr>
                <w:lang w:val="fr-FR"/>
              </w:rPr>
              <w:t>’</w:t>
            </w:r>
            <w:r w:rsidR="00DE1B6E" w:rsidRPr="00DE1B6E">
              <w:rPr>
                <w:lang w:val="fr-FR"/>
              </w:rPr>
              <w:t>Association Internet du Japon a créé un site Web spécial de filtrage (fonction de blocage sélectif en cas de navigation illicite ou de contenu préjudiciable sur des sites Internet) et fournit des logiciels de filtrage à titre gracieux.</w:t>
            </w:r>
          </w:p>
        </w:tc>
      </w:tr>
      <w:tr w:rsidR="00566528" w:rsidRPr="008E5027" w:rsidTr="0060234D">
        <w:tc>
          <w:tcPr>
            <w:tcW w:w="1540" w:type="dxa"/>
            <w:shd w:val="clear" w:color="auto" w:fill="auto"/>
          </w:tcPr>
          <w:p w:rsidR="00566528" w:rsidRPr="008E5027" w:rsidRDefault="00DE1B6E" w:rsidP="00B545C9">
            <w:r w:rsidRPr="00DE1B6E">
              <w:rPr>
                <w:lang w:val="fr-FR"/>
              </w:rPr>
              <w:t xml:space="preserve">Cybercafés </w:t>
            </w:r>
            <w:r>
              <w:rPr>
                <w:lang w:val="fr-FR"/>
              </w:rPr>
              <w:br/>
            </w:r>
            <w:r w:rsidRPr="00DE1B6E">
              <w:rPr>
                <w:lang w:val="fr-FR"/>
              </w:rPr>
              <w:t xml:space="preserve">et </w:t>
            </w:r>
            <w:r w:rsidR="008E49D4">
              <w:rPr>
                <w:lang w:val="fr-FR"/>
              </w:rPr>
              <w:t>“</w:t>
            </w:r>
            <w:r w:rsidRPr="00DE1B6E">
              <w:rPr>
                <w:lang w:val="fr-FR"/>
              </w:rPr>
              <w:t>comic cafes</w:t>
            </w:r>
            <w:r w:rsidR="008E49D4">
              <w:rPr>
                <w:lang w:val="fr-FR"/>
              </w:rPr>
              <w:t>”</w:t>
            </w:r>
          </w:p>
        </w:tc>
        <w:tc>
          <w:tcPr>
            <w:tcW w:w="6965" w:type="dxa"/>
            <w:shd w:val="clear" w:color="auto" w:fill="auto"/>
          </w:tcPr>
          <w:p w:rsidR="00566528" w:rsidRPr="008E5027" w:rsidRDefault="00B17D2A" w:rsidP="00B17D2A">
            <w:pPr>
              <w:pStyle w:val="Bullet1G"/>
              <w:numPr>
                <w:ilvl w:val="0"/>
                <w:numId w:val="0"/>
              </w:numPr>
              <w:spacing w:before="40"/>
              <w:ind w:left="170" w:right="0" w:hanging="170"/>
              <w:jc w:val="left"/>
              <w:rPr>
                <w:color w:val="000000"/>
              </w:rPr>
            </w:pPr>
            <w:r w:rsidRPr="00DE1B6E">
              <w:rPr>
                <w:color w:val="000000"/>
                <w:lang w:val="es-ES"/>
              </w:rPr>
              <w:t>•</w:t>
            </w:r>
            <w:r w:rsidRPr="00DE1B6E">
              <w:rPr>
                <w:color w:val="000000"/>
                <w:lang w:val="es-ES"/>
              </w:rPr>
              <w:tab/>
            </w:r>
            <w:r w:rsidR="00DE1B6E" w:rsidRPr="00DE1B6E">
              <w:rPr>
                <w:color w:val="000000"/>
                <w:lang w:val="fr-FR"/>
              </w:rPr>
              <w:t>L</w:t>
            </w:r>
            <w:r w:rsidR="00277023">
              <w:rPr>
                <w:color w:val="000000"/>
                <w:lang w:val="fr-FR"/>
              </w:rPr>
              <w:t>’</w:t>
            </w:r>
            <w:r w:rsidR="00DE1B6E" w:rsidRPr="00DE1B6E">
              <w:rPr>
                <w:color w:val="000000"/>
                <w:lang w:val="fr-FR"/>
              </w:rPr>
              <w:t>association des propriétaires de cafés a formulé des directives sur la gestion des cafés. Ceux qui respectent les normes, par exemple imposent des limites de durée aux mineurs, sont labellisés AA.</w:t>
            </w:r>
            <w:r w:rsidR="00566528" w:rsidRPr="008E5027">
              <w:rPr>
                <w:color w:val="000000"/>
              </w:rPr>
              <w:t xml:space="preserve"> </w:t>
            </w:r>
          </w:p>
        </w:tc>
      </w:tr>
      <w:tr w:rsidR="00566528" w:rsidRPr="00DE1B6E" w:rsidTr="0060234D">
        <w:tc>
          <w:tcPr>
            <w:tcW w:w="1540" w:type="dxa"/>
            <w:tcBorders>
              <w:bottom w:val="single" w:sz="12" w:space="0" w:color="auto"/>
            </w:tcBorders>
            <w:shd w:val="clear" w:color="auto" w:fill="auto"/>
          </w:tcPr>
          <w:p w:rsidR="00566528" w:rsidRPr="00DE1B6E" w:rsidRDefault="00DE1B6E" w:rsidP="00B545C9">
            <w:pPr>
              <w:rPr>
                <w:lang w:val="es-ES"/>
              </w:rPr>
            </w:pPr>
            <w:r w:rsidRPr="00DE1B6E">
              <w:rPr>
                <w:lang w:val="fr-FR"/>
              </w:rPr>
              <w:t>Téléphones mobiles et PHS</w:t>
            </w:r>
          </w:p>
        </w:tc>
        <w:tc>
          <w:tcPr>
            <w:tcW w:w="6965" w:type="dxa"/>
            <w:tcBorders>
              <w:bottom w:val="single" w:sz="12" w:space="0" w:color="auto"/>
            </w:tcBorders>
            <w:shd w:val="clear" w:color="auto" w:fill="auto"/>
          </w:tcPr>
          <w:p w:rsidR="00566528" w:rsidRPr="00DE1B6E" w:rsidRDefault="00B17D2A" w:rsidP="00B17D2A">
            <w:pPr>
              <w:pStyle w:val="Bullet1G"/>
              <w:numPr>
                <w:ilvl w:val="0"/>
                <w:numId w:val="0"/>
              </w:numPr>
              <w:spacing w:before="40"/>
              <w:ind w:left="170" w:right="0" w:hanging="170"/>
              <w:jc w:val="left"/>
              <w:rPr>
                <w:lang w:val="fr-FR"/>
              </w:rPr>
            </w:pPr>
            <w:r w:rsidRPr="00DE1B6E">
              <w:rPr>
                <w:lang w:val="es-ES"/>
              </w:rPr>
              <w:t>•</w:t>
            </w:r>
            <w:r w:rsidRPr="00DE1B6E">
              <w:rPr>
                <w:lang w:val="es-ES"/>
              </w:rPr>
              <w:tab/>
            </w:r>
            <w:r w:rsidR="00DE1B6E" w:rsidRPr="00DE1B6E">
              <w:rPr>
                <w:lang w:val="fr-FR"/>
              </w:rPr>
              <w:t>Tout opérateur doit obtenir l</w:t>
            </w:r>
            <w:r w:rsidR="00277023">
              <w:rPr>
                <w:lang w:val="fr-FR"/>
              </w:rPr>
              <w:t>’</w:t>
            </w:r>
            <w:r w:rsidR="00DE1B6E" w:rsidRPr="00DE1B6E">
              <w:rPr>
                <w:lang w:val="fr-FR"/>
              </w:rPr>
              <w:t>autorisation de la personne investie de l</w:t>
            </w:r>
            <w:r w:rsidR="00277023">
              <w:rPr>
                <w:lang w:val="fr-FR"/>
              </w:rPr>
              <w:t>’</w:t>
            </w:r>
            <w:r w:rsidR="00DE1B6E" w:rsidRPr="00DE1B6E">
              <w:rPr>
                <w:lang w:val="fr-FR"/>
              </w:rPr>
              <w:t>autorité parentale lorsqu</w:t>
            </w:r>
            <w:r w:rsidR="00277023">
              <w:rPr>
                <w:lang w:val="fr-FR"/>
              </w:rPr>
              <w:t>’</w:t>
            </w:r>
            <w:r w:rsidR="00DE1B6E" w:rsidRPr="00DE1B6E">
              <w:rPr>
                <w:lang w:val="fr-FR"/>
              </w:rPr>
              <w:t>il conclut un contrat avec un mineur. Parmi les autres mesures on trouve la formulation des directives sur la fourniture de contenus officiels, des aide-mémoire destinés aux usagers dans des brochures ou sur des sites Internet, la fourniture de fonctions qui restreignent l</w:t>
            </w:r>
            <w:r w:rsidR="00277023">
              <w:rPr>
                <w:lang w:val="fr-FR"/>
              </w:rPr>
              <w:t>’</w:t>
            </w:r>
            <w:r w:rsidR="00DE1B6E" w:rsidRPr="00DE1B6E">
              <w:rPr>
                <w:lang w:val="fr-FR"/>
              </w:rPr>
              <w:t>accès à Internet, les demandes aux fournisseurs de contenus officiels de confirmer le contenu des forums de discussion.</w:t>
            </w:r>
            <w:r w:rsidR="00566528" w:rsidRPr="00DE1B6E">
              <w:rPr>
                <w:lang w:val="fr-FR"/>
              </w:rPr>
              <w:t xml:space="preserve"> </w:t>
            </w:r>
          </w:p>
        </w:tc>
      </w:tr>
    </w:tbl>
    <w:p w:rsidR="003434B4" w:rsidRPr="00277023" w:rsidRDefault="00197D5F" w:rsidP="002B5F2D">
      <w:pPr>
        <w:spacing w:before="120" w:after="240"/>
        <w:ind w:left="1134" w:right="1134" w:firstLine="170"/>
        <w:rPr>
          <w:sz w:val="18"/>
          <w:szCs w:val="18"/>
          <w:lang w:val="fr-FR"/>
        </w:rPr>
      </w:pPr>
      <w:r w:rsidRPr="00197D5F">
        <w:rPr>
          <w:i/>
          <w:iCs/>
          <w:sz w:val="18"/>
          <w:szCs w:val="18"/>
          <w:lang w:val="fr-FR"/>
        </w:rPr>
        <w:t>Source</w:t>
      </w:r>
      <w:r w:rsidRPr="00197D5F">
        <w:rPr>
          <w:i/>
          <w:sz w:val="18"/>
          <w:szCs w:val="18"/>
          <w:lang w:val="fr-FR"/>
        </w:rPr>
        <w:t>:</w:t>
      </w:r>
      <w:r w:rsidRPr="00197D5F">
        <w:rPr>
          <w:sz w:val="18"/>
          <w:szCs w:val="18"/>
          <w:lang w:val="fr-FR"/>
        </w:rPr>
        <w:t xml:space="preserve"> Bureau du Cabinet</w:t>
      </w:r>
      <w:r w:rsidR="009E281D" w:rsidRPr="00277023">
        <w:rPr>
          <w:sz w:val="18"/>
          <w:szCs w:val="18"/>
          <w:lang w:val="fr-FR"/>
        </w:rPr>
        <w:t>.</w:t>
      </w:r>
    </w:p>
    <w:p w:rsidR="00197D5F" w:rsidRPr="00197D5F" w:rsidRDefault="00197D5F" w:rsidP="00197D5F">
      <w:pPr>
        <w:pStyle w:val="SingleTxtG"/>
        <w:rPr>
          <w:lang w:val="fr-FR"/>
        </w:rPr>
      </w:pPr>
      <w:r w:rsidRPr="00197D5F">
        <w:rPr>
          <w:lang w:val="fr-FR"/>
        </w:rPr>
        <w:t>(Activités des services chargés de l</w:t>
      </w:r>
      <w:r w:rsidR="00277023">
        <w:rPr>
          <w:lang w:val="fr-FR"/>
        </w:rPr>
        <w:t>’</w:t>
      </w:r>
      <w:r w:rsidRPr="00197D5F">
        <w:rPr>
          <w:lang w:val="fr-FR"/>
        </w:rPr>
        <w:t>application de la loi pour la protection des enfants contre les informations illicites et préjudiciables)</w:t>
      </w:r>
    </w:p>
    <w:p w:rsidR="00197D5F" w:rsidRPr="00197D5F" w:rsidRDefault="00197D5F" w:rsidP="00197D5F">
      <w:pPr>
        <w:pStyle w:val="SingleTxtG"/>
        <w:rPr>
          <w:lang w:val="fr-FR"/>
        </w:rPr>
      </w:pPr>
      <w:r w:rsidRPr="00197D5F">
        <w:rPr>
          <w:lang w:val="fr-FR"/>
        </w:rPr>
        <w:t>246.</w:t>
      </w:r>
      <w:r w:rsidRPr="00197D5F">
        <w:rPr>
          <w:lang w:val="fr-FR"/>
        </w:rPr>
        <w:tab/>
        <w:t>Voir paragraphe 195 du deuxième rapport du Japon.</w:t>
      </w:r>
    </w:p>
    <w:p w:rsidR="00197D5F" w:rsidRPr="00197D5F" w:rsidRDefault="00197D5F" w:rsidP="00197D5F">
      <w:pPr>
        <w:pStyle w:val="SingleTxtG"/>
        <w:rPr>
          <w:lang w:val="fr-FR"/>
        </w:rPr>
      </w:pPr>
      <w:r w:rsidRPr="00197D5F">
        <w:rPr>
          <w:lang w:val="fr-FR"/>
        </w:rPr>
        <w:t>247.</w:t>
      </w:r>
      <w:r w:rsidRPr="00197D5F">
        <w:rPr>
          <w:lang w:val="fr-FR"/>
        </w:rPr>
        <w:tab/>
        <w:t xml:space="preserve">Les dispositions relatives à la protection des enfants contre des informations illicites et préjudiciables figurent dans </w:t>
      </w:r>
      <w:smartTag w:uri="urn:schemas-microsoft-com:office:smarttags" w:element="PersonName">
        <w:smartTagPr>
          <w:attr w:name="ProductID" w:val="la Politique"/>
        </w:smartTagPr>
        <w:r w:rsidRPr="00197D5F">
          <w:rPr>
            <w:lang w:val="fr-FR"/>
          </w:rPr>
          <w:t>la Politique</w:t>
        </w:r>
      </w:smartTag>
      <w:r w:rsidRPr="00197D5F">
        <w:rPr>
          <w:lang w:val="fr-FR"/>
        </w:rPr>
        <w:t xml:space="preserve"> nationale en faveur de la jeunesse et le Plan d</w:t>
      </w:r>
      <w:r w:rsidR="00277023">
        <w:rPr>
          <w:lang w:val="fr-FR"/>
        </w:rPr>
        <w:t>’</w:t>
      </w:r>
      <w:r w:rsidRPr="00197D5F">
        <w:rPr>
          <w:lang w:val="fr-FR"/>
        </w:rPr>
        <w:t>action pour l</w:t>
      </w:r>
      <w:r w:rsidR="00277023">
        <w:rPr>
          <w:lang w:val="fr-FR"/>
        </w:rPr>
        <w:t>’</w:t>
      </w:r>
      <w:r w:rsidRPr="00197D5F">
        <w:rPr>
          <w:lang w:val="fr-FR"/>
        </w:rPr>
        <w:t>édification d</w:t>
      </w:r>
      <w:r w:rsidR="00277023">
        <w:rPr>
          <w:lang w:val="fr-FR"/>
        </w:rPr>
        <w:t>’</w:t>
      </w:r>
      <w:r w:rsidRPr="00197D5F">
        <w:rPr>
          <w:lang w:val="fr-FR"/>
        </w:rPr>
        <w:t>une société sans crime. Conformément à ces dispositions, les services chargés de l</w:t>
      </w:r>
      <w:r w:rsidR="00277023">
        <w:rPr>
          <w:lang w:val="fr-FR"/>
        </w:rPr>
        <w:t>’</w:t>
      </w:r>
      <w:r w:rsidRPr="00197D5F">
        <w:rPr>
          <w:lang w:val="fr-FR"/>
        </w:rPr>
        <w:t>application de la loi travaillent en coopération avec les habitants pour promouvoir des activités telles que la suppression des distributeurs automatiques de livres nuisibles et des publicités illicites et préjudiciables (comme les dépliants placés dans les cabines de téléphone public incitant à la prostitution).</w:t>
      </w:r>
    </w:p>
    <w:p w:rsidR="00197D5F" w:rsidRPr="00197D5F" w:rsidRDefault="00197D5F" w:rsidP="00197D5F">
      <w:pPr>
        <w:pStyle w:val="SingleTxtG"/>
        <w:rPr>
          <w:lang w:val="fr-FR"/>
        </w:rPr>
      </w:pPr>
      <w:r w:rsidRPr="00197D5F">
        <w:rPr>
          <w:lang w:val="fr-FR"/>
        </w:rPr>
        <w:t>248.</w:t>
      </w:r>
      <w:r w:rsidRPr="00197D5F">
        <w:rPr>
          <w:lang w:val="fr-FR"/>
        </w:rPr>
        <w:tab/>
        <w:t>En outre, compte tenu des crimes dus à des informations illicites ou nuisibles diffusées sur Internet, les services chargés de l</w:t>
      </w:r>
      <w:r w:rsidR="00277023">
        <w:rPr>
          <w:lang w:val="fr-FR"/>
        </w:rPr>
        <w:t>’</w:t>
      </w:r>
      <w:r w:rsidRPr="00197D5F">
        <w:rPr>
          <w:lang w:val="fr-FR"/>
        </w:rPr>
        <w:t>application de la loi travaillent en coopération avec des écoles et utilisent des opportunités comme des cours sur la prévention de la délinquance pour protéger les enfants de ce type d</w:t>
      </w:r>
      <w:r w:rsidR="00277023">
        <w:rPr>
          <w:lang w:val="fr-FR"/>
        </w:rPr>
        <w:t>’</w:t>
      </w:r>
      <w:r w:rsidRPr="00197D5F">
        <w:rPr>
          <w:lang w:val="fr-FR"/>
        </w:rPr>
        <w:t>information circulant sur Internet, se fondant sur les mesures formulées à l</w:t>
      </w:r>
      <w:r w:rsidR="00277023">
        <w:rPr>
          <w:lang w:val="fr-FR"/>
        </w:rPr>
        <w:t>’</w:t>
      </w:r>
      <w:r w:rsidRPr="00197D5F">
        <w:rPr>
          <w:lang w:val="fr-FR"/>
        </w:rPr>
        <w:t xml:space="preserve">occasion de </w:t>
      </w:r>
      <w:smartTag w:uri="urn:schemas-microsoft-com:office:smarttags" w:element="PersonName">
        <w:smartTagPr>
          <w:attr w:name="ProductID" w:val="la Conf￩rence"/>
        </w:smartTagPr>
        <w:r w:rsidRPr="00197D5F">
          <w:rPr>
            <w:lang w:val="fr-FR"/>
          </w:rPr>
          <w:t>la Conférence</w:t>
        </w:r>
      </w:smartTag>
      <w:r w:rsidRPr="00197D5F">
        <w:rPr>
          <w:lang w:val="fr-FR"/>
        </w:rPr>
        <w:t xml:space="preserve"> sur la sécurité de la technologie de l</w:t>
      </w:r>
      <w:r w:rsidR="00277023">
        <w:rPr>
          <w:lang w:val="fr-FR"/>
        </w:rPr>
        <w:t>’</w:t>
      </w:r>
      <w:r w:rsidRPr="00197D5F">
        <w:rPr>
          <w:lang w:val="fr-FR"/>
        </w:rPr>
        <w:t>information (Conférence de liaison des ministères et organismes concernés par les informations illicites et nuisibles diffusées sur Internet). Les activités concrètes de sensibilisation ciblant les jeunes et leurs parents sont les suivantes</w:t>
      </w:r>
      <w:r w:rsidR="00277023">
        <w:rPr>
          <w:lang w:val="fr-FR"/>
        </w:rPr>
        <w:t>:</w:t>
      </w:r>
      <w:r w:rsidRPr="00197D5F">
        <w:rPr>
          <w:lang w:val="fr-FR"/>
        </w:rPr>
        <w:t xml:space="preserve"> diffusion et promotion des dispositifs de filtrage à la maison</w:t>
      </w:r>
      <w:r w:rsidR="00277023">
        <w:rPr>
          <w:lang w:val="fr-FR"/>
        </w:rPr>
        <w:t>;</w:t>
      </w:r>
      <w:r w:rsidRPr="00197D5F">
        <w:rPr>
          <w:lang w:val="fr-FR"/>
        </w:rPr>
        <w:t xml:space="preserve"> mesures visant à</w:t>
      </w:r>
      <w:r w:rsidR="00EA1115">
        <w:rPr>
          <w:lang w:val="fr-FR"/>
        </w:rPr>
        <w:t xml:space="preserve"> </w:t>
      </w:r>
      <w:r w:rsidRPr="00197D5F">
        <w:rPr>
          <w:lang w:val="fr-FR"/>
        </w:rPr>
        <w:t>accroître la capacité d</w:t>
      </w:r>
      <w:r w:rsidR="00277023">
        <w:rPr>
          <w:lang w:val="fr-FR"/>
        </w:rPr>
        <w:t>’</w:t>
      </w:r>
      <w:r w:rsidRPr="00197D5F">
        <w:rPr>
          <w:lang w:val="fr-FR"/>
        </w:rPr>
        <w:t>utiliser avec discernement les informations sur Internet, par volonté ou par choix, et à renforcer l</w:t>
      </w:r>
      <w:r w:rsidR="00277023">
        <w:rPr>
          <w:lang w:val="fr-FR"/>
        </w:rPr>
        <w:t>’</w:t>
      </w:r>
      <w:r w:rsidRPr="00197D5F">
        <w:rPr>
          <w:lang w:val="fr-FR"/>
        </w:rPr>
        <w:t xml:space="preserve">éducation morale. </w:t>
      </w:r>
    </w:p>
    <w:p w:rsidR="00197D5F" w:rsidRPr="00197D5F" w:rsidRDefault="00197D5F" w:rsidP="00197D5F">
      <w:pPr>
        <w:pStyle w:val="SingleTxtG"/>
        <w:rPr>
          <w:lang w:val="fr-FR"/>
        </w:rPr>
      </w:pPr>
      <w:r w:rsidRPr="00197D5F">
        <w:rPr>
          <w:lang w:val="fr-FR"/>
        </w:rPr>
        <w:t>249.</w:t>
      </w:r>
      <w:r w:rsidRPr="00197D5F">
        <w:rPr>
          <w:lang w:val="fr-FR"/>
        </w:rPr>
        <w:tab/>
        <w:t>S</w:t>
      </w:r>
      <w:r w:rsidR="00277023">
        <w:rPr>
          <w:lang w:val="fr-FR"/>
        </w:rPr>
        <w:t>’</w:t>
      </w:r>
      <w:r w:rsidRPr="00197D5F">
        <w:rPr>
          <w:lang w:val="fr-FR"/>
        </w:rPr>
        <w:t>agissant également de protéger les enfants des informations illicites et nuisibles accessibles dans des lieux comme les cybercafés, l</w:t>
      </w:r>
      <w:r w:rsidR="00277023">
        <w:rPr>
          <w:lang w:val="fr-FR"/>
        </w:rPr>
        <w:t>’</w:t>
      </w:r>
      <w:r w:rsidRPr="00197D5F">
        <w:rPr>
          <w:lang w:val="fr-FR"/>
        </w:rPr>
        <w:t>association des propriétaires de cafés conseille des formules d</w:t>
      </w:r>
      <w:r w:rsidR="00277023">
        <w:rPr>
          <w:lang w:val="fr-FR"/>
        </w:rPr>
        <w:t>’</w:t>
      </w:r>
      <w:r w:rsidRPr="00197D5F">
        <w:rPr>
          <w:lang w:val="fr-FR"/>
        </w:rPr>
        <w:t>autoréglementation, comme la vérification des pièces d</w:t>
      </w:r>
      <w:r w:rsidR="00277023">
        <w:rPr>
          <w:lang w:val="fr-FR"/>
        </w:rPr>
        <w:t>’</w:t>
      </w:r>
      <w:r w:rsidRPr="00197D5F">
        <w:rPr>
          <w:lang w:val="fr-FR"/>
        </w:rPr>
        <w:t>identité des mineurs et l</w:t>
      </w:r>
      <w:r w:rsidR="00277023">
        <w:rPr>
          <w:lang w:val="fr-FR"/>
        </w:rPr>
        <w:t>’</w:t>
      </w:r>
      <w:r w:rsidRPr="00197D5F">
        <w:rPr>
          <w:lang w:val="fr-FR"/>
        </w:rPr>
        <w:t>utilisation d</w:t>
      </w:r>
      <w:r w:rsidR="00277023">
        <w:rPr>
          <w:lang w:val="fr-FR"/>
        </w:rPr>
        <w:t>’</w:t>
      </w:r>
      <w:r w:rsidRPr="00197D5F">
        <w:rPr>
          <w:lang w:val="fr-FR"/>
        </w:rPr>
        <w:t>ordinateurs équipés d</w:t>
      </w:r>
      <w:r w:rsidR="00277023">
        <w:rPr>
          <w:lang w:val="fr-FR"/>
        </w:rPr>
        <w:t>’</w:t>
      </w:r>
      <w:r w:rsidRPr="00197D5F">
        <w:rPr>
          <w:lang w:val="fr-FR"/>
        </w:rPr>
        <w:t xml:space="preserve">un système de filtrage. </w:t>
      </w:r>
    </w:p>
    <w:p w:rsidR="00197D5F" w:rsidRPr="00197D5F" w:rsidRDefault="00197D5F" w:rsidP="00197D5F">
      <w:pPr>
        <w:pStyle w:val="SingleTxtG"/>
        <w:rPr>
          <w:lang w:val="fr-FR"/>
        </w:rPr>
      </w:pPr>
      <w:r w:rsidRPr="00197D5F">
        <w:rPr>
          <w:lang w:val="fr-FR"/>
        </w:rPr>
        <w:t>250.</w:t>
      </w:r>
      <w:r w:rsidRPr="00197D5F">
        <w:rPr>
          <w:lang w:val="fr-FR"/>
        </w:rPr>
        <w:tab/>
        <w:t>En raison de la gravité du problème des sites Web proposant des contenus préjudiciables tels que les sites de rencontre en ligne qui ont tendance à devenir un vivier de prostitution enfantine, les services chargés de l</w:t>
      </w:r>
      <w:r w:rsidR="00277023">
        <w:rPr>
          <w:lang w:val="fr-FR"/>
        </w:rPr>
        <w:t>’</w:t>
      </w:r>
      <w:r w:rsidRPr="00197D5F">
        <w:rPr>
          <w:lang w:val="fr-FR"/>
        </w:rPr>
        <w:t>application de la loi apportent leur concours aux organisations privées qui demandent aux responsables de ces sites de prendre les mesures requises pour interdire l</w:t>
      </w:r>
      <w:r w:rsidR="00277023">
        <w:rPr>
          <w:lang w:val="fr-FR"/>
        </w:rPr>
        <w:t>’</w:t>
      </w:r>
      <w:r w:rsidRPr="00197D5F">
        <w:rPr>
          <w:lang w:val="fr-FR"/>
        </w:rPr>
        <w:t xml:space="preserve">accès aux mineurs et de mettre en garde les mineurs qui accèdent à ces sites (depuis juin 2004). De plus, ces services ont mis en place des cyberpatrouilles qui luttent contre les contenus illicites et nuisibles tels que la pornographie mettant en scène des enfants. </w:t>
      </w:r>
    </w:p>
    <w:p w:rsidR="00197D5F" w:rsidRPr="00197D5F" w:rsidRDefault="00197D5F" w:rsidP="00197D5F">
      <w:pPr>
        <w:pStyle w:val="SingleTxtG"/>
        <w:rPr>
          <w:lang w:val="fr-FR"/>
        </w:rPr>
      </w:pPr>
      <w:r w:rsidRPr="00197D5F">
        <w:rPr>
          <w:lang w:val="fr-FR"/>
        </w:rPr>
        <w:t>251.</w:t>
      </w:r>
      <w:r w:rsidRPr="00197D5F">
        <w:rPr>
          <w:lang w:val="fr-FR"/>
        </w:rPr>
        <w:tab/>
        <w:t xml:space="preserve">Pour plus de détails concernant </w:t>
      </w:r>
      <w:smartTag w:uri="urn:schemas-microsoft-com:office:smarttags" w:element="PersonName">
        <w:smartTagPr>
          <w:attr w:name="ProductID" w:val="la Loi"/>
        </w:smartTagPr>
        <w:r w:rsidRPr="00197D5F">
          <w:rPr>
            <w:lang w:val="fr-FR"/>
          </w:rPr>
          <w:t>la Loi</w:t>
        </w:r>
      </w:smartTag>
      <w:r w:rsidRPr="00197D5F">
        <w:rPr>
          <w:lang w:val="fr-FR"/>
        </w:rPr>
        <w:t xml:space="preserve"> sur les sites de rencontre sur Internet, voir paragraphe 14, et concernant la pornographie enfantine en ligne, voir paragraphes 549-550 </w:t>
      </w:r>
      <w:r w:rsidR="008E49D4">
        <w:rPr>
          <w:lang w:val="fr-FR"/>
        </w:rPr>
        <w:t>“</w:t>
      </w:r>
      <w:r w:rsidRPr="00197D5F">
        <w:rPr>
          <w:lang w:val="fr-FR"/>
        </w:rPr>
        <w:t>Riposte aux informations illicites et nuisibles telles que la pornographie mettant en scène des enfants</w:t>
      </w:r>
      <w:r w:rsidR="008E49D4">
        <w:rPr>
          <w:lang w:val="fr-FR"/>
        </w:rPr>
        <w:t>”</w:t>
      </w:r>
      <w:r w:rsidRPr="00197D5F">
        <w:rPr>
          <w:lang w:val="fr-FR"/>
        </w:rPr>
        <w:t xml:space="preserve">). </w:t>
      </w:r>
    </w:p>
    <w:p w:rsidR="00197D5F" w:rsidRPr="00197D5F" w:rsidRDefault="00197D5F" w:rsidP="00197D5F">
      <w:pPr>
        <w:pStyle w:val="SingleTxtG"/>
        <w:rPr>
          <w:lang w:val="fr-FR"/>
        </w:rPr>
      </w:pPr>
      <w:r w:rsidRPr="00197D5F">
        <w:rPr>
          <w:lang w:val="fr-FR"/>
        </w:rPr>
        <w:t>(Protection contre les informations nuisibles dans le domaine de l</w:t>
      </w:r>
      <w:r w:rsidR="00277023">
        <w:rPr>
          <w:lang w:val="fr-FR"/>
        </w:rPr>
        <w:t>’</w:t>
      </w:r>
      <w:r w:rsidRPr="00197D5F">
        <w:rPr>
          <w:lang w:val="fr-FR"/>
        </w:rPr>
        <w:t xml:space="preserve">audiovisuel) </w:t>
      </w:r>
    </w:p>
    <w:p w:rsidR="00197D5F" w:rsidRPr="00197D5F" w:rsidRDefault="00197D5F" w:rsidP="00197D5F">
      <w:pPr>
        <w:pStyle w:val="SingleTxtG"/>
        <w:rPr>
          <w:lang w:val="fr-FR"/>
        </w:rPr>
      </w:pPr>
      <w:r w:rsidRPr="00197D5F">
        <w:rPr>
          <w:lang w:val="fr-FR"/>
        </w:rPr>
        <w:t>252.</w:t>
      </w:r>
      <w:r w:rsidRPr="00197D5F">
        <w:rPr>
          <w:lang w:val="fr-FR"/>
        </w:rPr>
        <w:tab/>
        <w:t xml:space="preserve">Voir paragraphes 198-201 du deuxième rapport du Japon. </w:t>
      </w:r>
    </w:p>
    <w:p w:rsidR="00197D5F" w:rsidRPr="00197D5F" w:rsidRDefault="00197D5F" w:rsidP="00197D5F">
      <w:pPr>
        <w:pStyle w:val="SingleTxtG"/>
        <w:rPr>
          <w:lang w:val="fr-FR"/>
        </w:rPr>
      </w:pPr>
      <w:r w:rsidRPr="00197D5F">
        <w:rPr>
          <w:lang w:val="fr-FR"/>
        </w:rPr>
        <w:t>253.</w:t>
      </w:r>
      <w:r w:rsidRPr="00197D5F">
        <w:rPr>
          <w:lang w:val="fr-FR"/>
        </w:rPr>
        <w:tab/>
        <w:t>Le Conseil de l</w:t>
      </w:r>
      <w:r w:rsidR="00277023">
        <w:rPr>
          <w:lang w:val="fr-FR"/>
        </w:rPr>
        <w:t>’</w:t>
      </w:r>
      <w:r w:rsidRPr="00197D5F">
        <w:rPr>
          <w:lang w:val="fr-FR"/>
        </w:rPr>
        <w:t>audiovisuel pour les jeunes a été réorganisé et remplacé par l</w:t>
      </w:r>
      <w:r w:rsidR="00277023">
        <w:rPr>
          <w:lang w:val="fr-FR"/>
        </w:rPr>
        <w:t>’</w:t>
      </w:r>
      <w:r w:rsidRPr="00197D5F">
        <w:rPr>
          <w:lang w:val="fr-FR"/>
        </w:rPr>
        <w:t>Organisation pour l</w:t>
      </w:r>
      <w:r w:rsidR="00277023">
        <w:rPr>
          <w:lang w:val="fr-FR"/>
        </w:rPr>
        <w:t>’</w:t>
      </w:r>
      <w:r w:rsidRPr="00197D5F">
        <w:rPr>
          <w:lang w:val="fr-FR"/>
        </w:rPr>
        <w:t>amélioration des programmes et de l</w:t>
      </w:r>
      <w:r w:rsidR="00277023">
        <w:rPr>
          <w:lang w:val="fr-FR"/>
        </w:rPr>
        <w:t>’</w:t>
      </w:r>
      <w:r w:rsidRPr="00197D5F">
        <w:rPr>
          <w:lang w:val="fr-FR"/>
        </w:rPr>
        <w:t>éthique dans l</w:t>
      </w:r>
      <w:r w:rsidR="00277023">
        <w:rPr>
          <w:lang w:val="fr-FR"/>
        </w:rPr>
        <w:t>’</w:t>
      </w:r>
      <w:r w:rsidRPr="00197D5F">
        <w:rPr>
          <w:lang w:val="fr-FR"/>
        </w:rPr>
        <w:t xml:space="preserve">audiovisuel. </w:t>
      </w:r>
    </w:p>
    <w:p w:rsidR="00197D5F" w:rsidRPr="00197D5F" w:rsidRDefault="00197D5F" w:rsidP="00197D5F">
      <w:pPr>
        <w:pStyle w:val="SingleTxtG"/>
        <w:rPr>
          <w:lang w:val="fr-FR"/>
        </w:rPr>
      </w:pPr>
      <w:r w:rsidRPr="00197D5F">
        <w:rPr>
          <w:lang w:val="fr-FR"/>
        </w:rPr>
        <w:t>(Protection contre les informations illicites et nuisibles sur Internet)</w:t>
      </w:r>
    </w:p>
    <w:p w:rsidR="00197D5F" w:rsidRPr="00197D5F" w:rsidRDefault="00197D5F" w:rsidP="00197D5F">
      <w:pPr>
        <w:pStyle w:val="SingleTxtG"/>
        <w:rPr>
          <w:lang w:val="fr-FR"/>
        </w:rPr>
      </w:pPr>
      <w:r w:rsidRPr="00197D5F">
        <w:rPr>
          <w:lang w:val="fr-FR"/>
        </w:rPr>
        <w:t>254.</w:t>
      </w:r>
      <w:r w:rsidRPr="00197D5F">
        <w:rPr>
          <w:lang w:val="fr-FR"/>
        </w:rPr>
        <w:tab/>
        <w:t>Depuis août 2005, le Ministère de l</w:t>
      </w:r>
      <w:r w:rsidR="00277023">
        <w:rPr>
          <w:lang w:val="fr-FR"/>
        </w:rPr>
        <w:t>’</w:t>
      </w:r>
      <w:r w:rsidRPr="00197D5F">
        <w:rPr>
          <w:lang w:val="fr-FR"/>
        </w:rPr>
        <w:t>intérieur et de la communication réunit des groupes d</w:t>
      </w:r>
      <w:r w:rsidR="00277023">
        <w:rPr>
          <w:lang w:val="fr-FR"/>
        </w:rPr>
        <w:t>’</w:t>
      </w:r>
      <w:r w:rsidRPr="00197D5F">
        <w:rPr>
          <w:lang w:val="fr-FR"/>
        </w:rPr>
        <w:t>étude sur la lutte contre les informations illicites et nuisibles sur Internet, composés d</w:t>
      </w:r>
      <w:r w:rsidR="00277023">
        <w:rPr>
          <w:lang w:val="fr-FR"/>
        </w:rPr>
        <w:t>’</w:t>
      </w:r>
      <w:r w:rsidRPr="00197D5F">
        <w:rPr>
          <w:lang w:val="fr-FR"/>
        </w:rPr>
        <w:t>experts universitaires et de fournisseurs d</w:t>
      </w:r>
      <w:r w:rsidR="00277023">
        <w:rPr>
          <w:lang w:val="fr-FR"/>
        </w:rPr>
        <w:t>’</w:t>
      </w:r>
      <w:r w:rsidRPr="00197D5F">
        <w:rPr>
          <w:lang w:val="fr-FR"/>
        </w:rPr>
        <w:t>accès, dans lesquels sont discutées notamment les mesures volontaires prises par ces derniers au regard des informations illicites et nuisibles sur Internet et les politiques d</w:t>
      </w:r>
      <w:r w:rsidR="00277023">
        <w:rPr>
          <w:lang w:val="fr-FR"/>
        </w:rPr>
        <w:t>’</w:t>
      </w:r>
      <w:r w:rsidRPr="00197D5F">
        <w:rPr>
          <w:lang w:val="fr-FR"/>
        </w:rPr>
        <w:t>appui à ces mesures. Un rapport intérimaire a été publié le 26 janvier 2006 et un rapport final est attendu pour juillet, intégrant d</w:t>
      </w:r>
      <w:r w:rsidR="00277023">
        <w:rPr>
          <w:lang w:val="fr-FR"/>
        </w:rPr>
        <w:t>’</w:t>
      </w:r>
      <w:r w:rsidRPr="00197D5F">
        <w:rPr>
          <w:lang w:val="fr-FR"/>
        </w:rPr>
        <w:t>autres considérations. Par ailleurs, le Ministère travaille actuellement sur le développement de technologies qui permettront d</w:t>
      </w:r>
      <w:r w:rsidR="00277023">
        <w:rPr>
          <w:lang w:val="fr-FR"/>
        </w:rPr>
        <w:t>’</w:t>
      </w:r>
      <w:r w:rsidRPr="00197D5F">
        <w:rPr>
          <w:lang w:val="fr-FR"/>
        </w:rPr>
        <w:t>utiliser les dispositifs de filtrage des contenus nuisibles, déjà utilisés sur les ordinateurs, les téléphones mobiles, et on devrait connaître les résultats finals d</w:t>
      </w:r>
      <w:r w:rsidR="00277023">
        <w:rPr>
          <w:lang w:val="fr-FR"/>
        </w:rPr>
        <w:t>’</w:t>
      </w:r>
      <w:r w:rsidRPr="00197D5F">
        <w:rPr>
          <w:lang w:val="fr-FR"/>
        </w:rPr>
        <w:t>ici à mars 2006.</w:t>
      </w:r>
    </w:p>
    <w:p w:rsidR="00197D5F" w:rsidRPr="00197D5F" w:rsidRDefault="00197D5F" w:rsidP="00197D5F">
      <w:pPr>
        <w:pStyle w:val="SingleTxtG"/>
        <w:rPr>
          <w:lang w:val="fr-FR"/>
        </w:rPr>
      </w:pPr>
      <w:r w:rsidRPr="00197D5F">
        <w:rPr>
          <w:lang w:val="fr-FR"/>
        </w:rPr>
        <w:t>(Soutien des associations parents/professeurs aux mesures de lutte contre l</w:t>
      </w:r>
      <w:r w:rsidR="00277023">
        <w:rPr>
          <w:lang w:val="fr-FR"/>
        </w:rPr>
        <w:t>’</w:t>
      </w:r>
      <w:r w:rsidRPr="00197D5F">
        <w:rPr>
          <w:lang w:val="fr-FR"/>
        </w:rPr>
        <w:t>impact négatif des informations nuisibles parvenant aux jeunes)</w:t>
      </w:r>
    </w:p>
    <w:p w:rsidR="00197D5F" w:rsidRPr="00197D5F" w:rsidRDefault="00197D5F" w:rsidP="00197D5F">
      <w:pPr>
        <w:pStyle w:val="SingleTxtG"/>
        <w:rPr>
          <w:lang w:val="fr-FR"/>
        </w:rPr>
      </w:pPr>
      <w:r w:rsidRPr="00197D5F">
        <w:rPr>
          <w:lang w:val="fr-FR"/>
        </w:rPr>
        <w:t>255.</w:t>
      </w:r>
      <w:r w:rsidRPr="00197D5F">
        <w:rPr>
          <w:lang w:val="fr-FR"/>
        </w:rPr>
        <w:tab/>
        <w:t>Dans le cadre des mesures de lutte contre les informations nuisibles parvenant aux jeunes, telles que les contenus sexuels et violents diffusés dans les médias, le Ministère de l</w:t>
      </w:r>
      <w:r w:rsidR="00277023">
        <w:rPr>
          <w:lang w:val="fr-FR"/>
        </w:rPr>
        <w:t>’</w:t>
      </w:r>
      <w:r w:rsidRPr="00197D5F">
        <w:rPr>
          <w:lang w:val="fr-FR"/>
        </w:rPr>
        <w:t>éducation, de la culture, des sports, des sciences et de la technologie demande depuis avril 1998 aux ministères, organismes et autres organes concernés de mettre en œuvre des autoréglementations strictes, et il apporte également son appui aux études de surveillance des programmes de télévision, réalisées par le Congrès national de l</w:t>
      </w:r>
      <w:r w:rsidR="00277023">
        <w:rPr>
          <w:lang w:val="fr-FR"/>
        </w:rPr>
        <w:t>’</w:t>
      </w:r>
      <w:r w:rsidRPr="00197D5F">
        <w:rPr>
          <w:lang w:val="fr-FR"/>
        </w:rPr>
        <w:t>association de parents et d</w:t>
      </w:r>
      <w:r w:rsidR="00277023">
        <w:rPr>
          <w:lang w:val="fr-FR"/>
        </w:rPr>
        <w:t>’</w:t>
      </w:r>
      <w:r w:rsidRPr="00197D5F">
        <w:rPr>
          <w:lang w:val="fr-FR"/>
        </w:rPr>
        <w:t>enseignants du Japon. De plus, le Ministère a mené entre 2001 et 2003 des études sur des organisations à but non lucratif portant sur l</w:t>
      </w:r>
      <w:r w:rsidR="00277023">
        <w:rPr>
          <w:lang w:val="fr-FR"/>
        </w:rPr>
        <w:t>’</w:t>
      </w:r>
      <w:r w:rsidRPr="00197D5F">
        <w:rPr>
          <w:lang w:val="fr-FR"/>
        </w:rPr>
        <w:t>influence de la télévision et d</w:t>
      </w:r>
      <w:r w:rsidR="00277023">
        <w:rPr>
          <w:lang w:val="fr-FR"/>
        </w:rPr>
        <w:t>’</w:t>
      </w:r>
      <w:r w:rsidRPr="00197D5F">
        <w:rPr>
          <w:lang w:val="fr-FR"/>
        </w:rPr>
        <w:t>Internet sur les enfants, et des enfants et les jeux vidéo. Depuis 2004, il réalise également des études sur les approches les plus récentes adoptées à l</w:t>
      </w:r>
      <w:r w:rsidR="00277023">
        <w:rPr>
          <w:lang w:val="fr-FR"/>
        </w:rPr>
        <w:t>’</w:t>
      </w:r>
      <w:r w:rsidRPr="00197D5F">
        <w:rPr>
          <w:lang w:val="fr-FR"/>
        </w:rPr>
        <w:t>étranger pour lutter contre les informations nuisibles. Souhaitant promouvoir des mesures contre les informations nuisibles diffusées dans les médias environnant les jeunes, le Ministère a également élaboré des projets pilotes qui permettent de mener des activités pédagogiques et d</w:t>
      </w:r>
      <w:r w:rsidR="00277023">
        <w:rPr>
          <w:lang w:val="fr-FR"/>
        </w:rPr>
        <w:t>’</w:t>
      </w:r>
      <w:r w:rsidRPr="00197D5F">
        <w:rPr>
          <w:lang w:val="fr-FR"/>
        </w:rPr>
        <w:t>initiation aux médias avec des enfants de la région et leurs représentants légaux, ainsi que des activités éducatives dans tout le pays.</w:t>
      </w:r>
    </w:p>
    <w:p w:rsidR="00197D5F" w:rsidRPr="00197D5F" w:rsidRDefault="00197D5F" w:rsidP="00197D5F">
      <w:pPr>
        <w:pStyle w:val="SingleTxtG"/>
        <w:rPr>
          <w:lang w:val="fr-FR"/>
        </w:rPr>
      </w:pPr>
      <w:r w:rsidRPr="00197D5F">
        <w:rPr>
          <w:lang w:val="fr-FR"/>
        </w:rPr>
        <w:t>(Ordonnances relatives à la protection et à l</w:t>
      </w:r>
      <w:r w:rsidR="00277023">
        <w:rPr>
          <w:lang w:val="fr-FR"/>
        </w:rPr>
        <w:t>’</w:t>
      </w:r>
      <w:r w:rsidRPr="00197D5F">
        <w:rPr>
          <w:lang w:val="fr-FR"/>
        </w:rPr>
        <w:t>éducation des jeunes)</w:t>
      </w:r>
    </w:p>
    <w:p w:rsidR="003434B4" w:rsidRPr="00197D5F" w:rsidRDefault="00197D5F" w:rsidP="00197D5F">
      <w:pPr>
        <w:pStyle w:val="SingleTxtG"/>
        <w:rPr>
          <w:lang w:val="fr-FR"/>
        </w:rPr>
      </w:pPr>
      <w:r w:rsidRPr="00197D5F">
        <w:rPr>
          <w:lang w:val="fr-FR"/>
        </w:rPr>
        <w:t>256.</w:t>
      </w:r>
      <w:r w:rsidRPr="00197D5F">
        <w:rPr>
          <w:lang w:val="fr-FR"/>
        </w:rPr>
        <w:tab/>
        <w:t>Conformément aux ordonnances relatives à la protection et à l</w:t>
      </w:r>
      <w:r w:rsidR="00277023">
        <w:rPr>
          <w:lang w:val="fr-FR"/>
        </w:rPr>
        <w:t>’</w:t>
      </w:r>
      <w:r w:rsidRPr="00197D5F">
        <w:rPr>
          <w:lang w:val="fr-FR"/>
        </w:rPr>
        <w:t>éducation de la jeunesse, les autorités préfectorales ont interdit aux jeunes de regarder des livres que le gouverneur ou toute autre personne investie d</w:t>
      </w:r>
      <w:r w:rsidR="00277023">
        <w:rPr>
          <w:lang w:val="fr-FR"/>
        </w:rPr>
        <w:t>’</w:t>
      </w:r>
      <w:r w:rsidRPr="00197D5F">
        <w:rPr>
          <w:lang w:val="fr-FR"/>
        </w:rPr>
        <w:t>une autorité aura désignés comme préjudiciables à la jeunesse, ainsi que le fait d</w:t>
      </w:r>
      <w:r w:rsidR="00277023">
        <w:rPr>
          <w:lang w:val="fr-FR"/>
        </w:rPr>
        <w:t>’</w:t>
      </w:r>
      <w:r w:rsidRPr="00197D5F">
        <w:rPr>
          <w:lang w:val="fr-FR"/>
        </w:rPr>
        <w:t>acheter, de vendre, de prêter ou de distribuer de tels livres aux jeunes. Les pouvoirs publics entendent faire appliquer les ordonnances et assurer le strict contrôle de ces livres, conformément aux lois et dispositions pertinentes.</w:t>
      </w:r>
    </w:p>
    <w:p w:rsidR="003434B4" w:rsidRPr="00197D5F" w:rsidRDefault="00365506" w:rsidP="003434B4">
      <w:pPr>
        <w:pStyle w:val="Heading1"/>
        <w:rPr>
          <w:lang w:val="es-ES"/>
        </w:rPr>
      </w:pPr>
      <w:r w:rsidRPr="00F206B8">
        <w:rPr>
          <w:lang w:val="fr-FR"/>
        </w:rPr>
        <w:t>Tableau</w:t>
      </w:r>
      <w:r w:rsidRPr="00F206B8">
        <w:rPr>
          <w:lang w:val="es-ES"/>
        </w:rPr>
        <w:t xml:space="preserve"> </w:t>
      </w:r>
      <w:r w:rsidR="003434B4" w:rsidRPr="00197D5F">
        <w:rPr>
          <w:lang w:val="es-ES"/>
        </w:rPr>
        <w:t>9</w:t>
      </w:r>
    </w:p>
    <w:p w:rsidR="003434B4" w:rsidRPr="00197D5F" w:rsidRDefault="00270871" w:rsidP="00AC5677">
      <w:pPr>
        <w:pStyle w:val="SingleTxtG"/>
        <w:jc w:val="left"/>
        <w:rPr>
          <w:b/>
          <w:lang w:val="es-ES"/>
        </w:rPr>
      </w:pPr>
      <w:r>
        <w:rPr>
          <w:b/>
          <w:bCs/>
          <w:lang w:val="fr-FR"/>
        </w:rPr>
        <w:t>É</w:t>
      </w:r>
      <w:r w:rsidR="00197D5F" w:rsidRPr="00197D5F">
        <w:rPr>
          <w:b/>
          <w:bCs/>
          <w:lang w:val="fr-FR"/>
        </w:rPr>
        <w:t>volution du nombre de cas considérés comme dangereux en vertu des ordonnances de protection de la jeunesse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EA3A34" w:rsidRPr="008E5027">
        <w:trPr>
          <w:trHeight w:hRule="exact" w:val="284"/>
        </w:trPr>
        <w:tc>
          <w:tcPr>
            <w:tcW w:w="1474" w:type="dxa"/>
            <w:tcBorders>
              <w:top w:val="single" w:sz="4" w:space="0" w:color="auto"/>
            </w:tcBorders>
            <w:shd w:val="clear" w:color="auto" w:fill="auto"/>
            <w:vAlign w:val="bottom"/>
          </w:tcPr>
          <w:p w:rsidR="00EA3A34" w:rsidRPr="008E5027" w:rsidRDefault="0087532D" w:rsidP="00EA3A34">
            <w:pPr>
              <w:spacing w:before="80" w:after="80" w:line="200" w:lineRule="exact"/>
              <w:jc w:val="right"/>
              <w:rPr>
                <w:i/>
                <w:sz w:val="16"/>
              </w:rPr>
            </w:pPr>
            <w:r w:rsidRPr="008E5027">
              <w:rPr>
                <w:i/>
                <w:noProof/>
                <w:sz w:val="16"/>
              </w:rPr>
              <w:pict>
                <v:line id="_x0000_s1029" style="position:absolute;left:0;text-align:left;z-index:1" from="-.85pt,-.2pt" to="74.15pt,28pt"/>
              </w:pict>
            </w:r>
            <w:r w:rsidR="0060234D">
              <w:rPr>
                <w:i/>
                <w:sz w:val="16"/>
              </w:rPr>
              <w:t>Année</w:t>
            </w:r>
          </w:p>
        </w:tc>
        <w:tc>
          <w:tcPr>
            <w:tcW w:w="1474" w:type="dxa"/>
            <w:vMerge w:val="restart"/>
            <w:tcBorders>
              <w:top w:val="single" w:sz="4" w:space="0" w:color="auto"/>
            </w:tcBorders>
            <w:shd w:val="clear" w:color="auto" w:fill="auto"/>
            <w:vAlign w:val="bottom"/>
          </w:tcPr>
          <w:p w:rsidR="00EA3A34" w:rsidRPr="008E5027" w:rsidRDefault="005066DB" w:rsidP="00EA3A34">
            <w:pPr>
              <w:spacing w:before="80" w:after="80" w:line="200" w:lineRule="exact"/>
              <w:jc w:val="right"/>
              <w:rPr>
                <w:i/>
                <w:sz w:val="16"/>
              </w:rPr>
            </w:pPr>
            <w:r w:rsidRPr="008E5027">
              <w:rPr>
                <w:i/>
                <w:sz w:val="16"/>
              </w:rPr>
              <w:t>2001</w:t>
            </w:r>
          </w:p>
        </w:tc>
        <w:tc>
          <w:tcPr>
            <w:tcW w:w="1474" w:type="dxa"/>
            <w:vMerge w:val="restart"/>
            <w:tcBorders>
              <w:top w:val="single" w:sz="4" w:space="0" w:color="auto"/>
            </w:tcBorders>
            <w:shd w:val="clear" w:color="auto" w:fill="auto"/>
            <w:vAlign w:val="bottom"/>
          </w:tcPr>
          <w:p w:rsidR="00EA3A34" w:rsidRPr="008E5027" w:rsidRDefault="005066DB" w:rsidP="00EA3A34">
            <w:pPr>
              <w:spacing w:before="80" w:after="80" w:line="200" w:lineRule="exact"/>
              <w:jc w:val="right"/>
              <w:rPr>
                <w:i/>
                <w:sz w:val="16"/>
              </w:rPr>
            </w:pPr>
            <w:r w:rsidRPr="008E5027">
              <w:rPr>
                <w:i/>
                <w:sz w:val="16"/>
              </w:rPr>
              <w:t>2002</w:t>
            </w:r>
          </w:p>
        </w:tc>
        <w:tc>
          <w:tcPr>
            <w:tcW w:w="1474" w:type="dxa"/>
            <w:vMerge w:val="restart"/>
            <w:tcBorders>
              <w:top w:val="single" w:sz="4" w:space="0" w:color="auto"/>
            </w:tcBorders>
            <w:shd w:val="clear" w:color="auto" w:fill="auto"/>
            <w:vAlign w:val="bottom"/>
          </w:tcPr>
          <w:p w:rsidR="00EA3A34" w:rsidRPr="008E5027" w:rsidRDefault="005066DB" w:rsidP="00EA3A34">
            <w:pPr>
              <w:spacing w:before="80" w:after="80" w:line="200" w:lineRule="exact"/>
              <w:jc w:val="right"/>
              <w:rPr>
                <w:i/>
                <w:sz w:val="16"/>
              </w:rPr>
            </w:pPr>
            <w:r w:rsidRPr="008E5027">
              <w:rPr>
                <w:i/>
                <w:sz w:val="16"/>
              </w:rPr>
              <w:t>2003</w:t>
            </w:r>
          </w:p>
        </w:tc>
        <w:tc>
          <w:tcPr>
            <w:tcW w:w="1474" w:type="dxa"/>
            <w:vMerge w:val="restart"/>
            <w:tcBorders>
              <w:top w:val="single" w:sz="4" w:space="0" w:color="auto"/>
            </w:tcBorders>
            <w:shd w:val="clear" w:color="auto" w:fill="auto"/>
            <w:vAlign w:val="bottom"/>
          </w:tcPr>
          <w:p w:rsidR="00EA3A34" w:rsidRPr="008E5027" w:rsidRDefault="005066DB" w:rsidP="00EA3A34">
            <w:pPr>
              <w:spacing w:before="80" w:after="80" w:line="200" w:lineRule="exact"/>
              <w:jc w:val="right"/>
              <w:rPr>
                <w:i/>
                <w:sz w:val="16"/>
              </w:rPr>
            </w:pPr>
            <w:r w:rsidRPr="008E5027">
              <w:rPr>
                <w:i/>
                <w:sz w:val="16"/>
              </w:rPr>
              <w:t>2004</w:t>
            </w:r>
          </w:p>
        </w:tc>
      </w:tr>
      <w:tr w:rsidR="00EA3A34" w:rsidRPr="008E5027">
        <w:trPr>
          <w:trHeight w:hRule="exact" w:val="284"/>
        </w:trPr>
        <w:tc>
          <w:tcPr>
            <w:tcW w:w="1474" w:type="dxa"/>
            <w:tcBorders>
              <w:bottom w:val="single" w:sz="12" w:space="0" w:color="auto"/>
            </w:tcBorders>
            <w:shd w:val="clear" w:color="auto" w:fill="auto"/>
          </w:tcPr>
          <w:p w:rsidR="00EA3A34" w:rsidRPr="008E5027" w:rsidRDefault="0060234D" w:rsidP="00EA3A34">
            <w:pPr>
              <w:spacing w:before="80" w:after="80" w:line="200" w:lineRule="exact"/>
              <w:rPr>
                <w:i/>
                <w:sz w:val="16"/>
              </w:rPr>
            </w:pPr>
            <w:r w:rsidRPr="0060234D">
              <w:rPr>
                <w:i/>
                <w:sz w:val="16"/>
                <w:lang w:val="fr-FR"/>
              </w:rPr>
              <w:t>Support</w:t>
            </w:r>
          </w:p>
        </w:tc>
        <w:tc>
          <w:tcPr>
            <w:tcW w:w="1474" w:type="dxa"/>
            <w:vMerge/>
            <w:tcBorders>
              <w:bottom w:val="single" w:sz="12" w:space="0" w:color="auto"/>
            </w:tcBorders>
            <w:shd w:val="clear" w:color="auto" w:fill="auto"/>
            <w:vAlign w:val="bottom"/>
          </w:tcPr>
          <w:p w:rsidR="00EA3A34" w:rsidRPr="008E5027" w:rsidRDefault="00EA3A34" w:rsidP="00EA3A34">
            <w:pPr>
              <w:spacing w:before="80" w:after="80" w:line="200" w:lineRule="exact"/>
              <w:jc w:val="right"/>
              <w:rPr>
                <w:i/>
                <w:sz w:val="16"/>
              </w:rPr>
            </w:pPr>
          </w:p>
        </w:tc>
        <w:tc>
          <w:tcPr>
            <w:tcW w:w="1474" w:type="dxa"/>
            <w:vMerge/>
            <w:tcBorders>
              <w:bottom w:val="single" w:sz="12" w:space="0" w:color="auto"/>
            </w:tcBorders>
            <w:shd w:val="clear" w:color="auto" w:fill="auto"/>
            <w:vAlign w:val="bottom"/>
          </w:tcPr>
          <w:p w:rsidR="00EA3A34" w:rsidRPr="008E5027" w:rsidRDefault="00EA3A34" w:rsidP="00EA3A34">
            <w:pPr>
              <w:spacing w:before="80" w:after="80" w:line="200" w:lineRule="exact"/>
              <w:jc w:val="right"/>
              <w:rPr>
                <w:i/>
                <w:sz w:val="16"/>
              </w:rPr>
            </w:pPr>
          </w:p>
        </w:tc>
        <w:tc>
          <w:tcPr>
            <w:tcW w:w="1474" w:type="dxa"/>
            <w:vMerge/>
            <w:tcBorders>
              <w:bottom w:val="single" w:sz="12" w:space="0" w:color="auto"/>
            </w:tcBorders>
            <w:shd w:val="clear" w:color="auto" w:fill="auto"/>
            <w:vAlign w:val="bottom"/>
          </w:tcPr>
          <w:p w:rsidR="00EA3A34" w:rsidRPr="008E5027" w:rsidRDefault="00EA3A34" w:rsidP="00EA3A34">
            <w:pPr>
              <w:spacing w:before="80" w:after="80" w:line="200" w:lineRule="exact"/>
              <w:jc w:val="right"/>
              <w:rPr>
                <w:i/>
                <w:sz w:val="16"/>
              </w:rPr>
            </w:pPr>
          </w:p>
        </w:tc>
        <w:tc>
          <w:tcPr>
            <w:tcW w:w="1474" w:type="dxa"/>
            <w:vMerge/>
            <w:tcBorders>
              <w:bottom w:val="single" w:sz="12" w:space="0" w:color="auto"/>
            </w:tcBorders>
            <w:shd w:val="clear" w:color="auto" w:fill="auto"/>
            <w:vAlign w:val="bottom"/>
          </w:tcPr>
          <w:p w:rsidR="00EA3A34" w:rsidRPr="008E5027" w:rsidRDefault="00EA3A34" w:rsidP="00EA3A34">
            <w:pPr>
              <w:spacing w:before="80" w:after="80" w:line="200" w:lineRule="exact"/>
              <w:jc w:val="right"/>
              <w:rPr>
                <w:i/>
                <w:sz w:val="16"/>
              </w:rPr>
            </w:pPr>
          </w:p>
        </w:tc>
      </w:tr>
      <w:tr w:rsidR="005066DB" w:rsidRPr="008E5027">
        <w:tc>
          <w:tcPr>
            <w:tcW w:w="1474" w:type="dxa"/>
            <w:tcBorders>
              <w:top w:val="single" w:sz="12" w:space="0" w:color="auto"/>
              <w:bottom w:val="single" w:sz="4" w:space="0" w:color="auto"/>
            </w:tcBorders>
            <w:shd w:val="clear" w:color="auto" w:fill="auto"/>
            <w:vAlign w:val="bottom"/>
          </w:tcPr>
          <w:p w:rsidR="005066DB" w:rsidRPr="008E5027" w:rsidRDefault="005066DB" w:rsidP="0060234D">
            <w:pPr>
              <w:suppressAutoHyphens w:val="0"/>
              <w:spacing w:before="80" w:after="80" w:line="220" w:lineRule="exact"/>
              <w:ind w:left="284"/>
              <w:rPr>
                <w:b/>
                <w:sz w:val="18"/>
              </w:rPr>
            </w:pPr>
            <w:r w:rsidRPr="008E5027">
              <w:rPr>
                <w:b/>
                <w:sz w:val="18"/>
              </w:rPr>
              <w:t>Total</w:t>
            </w:r>
          </w:p>
        </w:tc>
        <w:tc>
          <w:tcPr>
            <w:tcW w:w="1474" w:type="dxa"/>
            <w:tcBorders>
              <w:top w:val="single" w:sz="12" w:space="0" w:color="auto"/>
              <w:bottom w:val="single" w:sz="4" w:space="0" w:color="auto"/>
            </w:tcBorders>
            <w:shd w:val="clear" w:color="auto" w:fill="auto"/>
            <w:vAlign w:val="bottom"/>
          </w:tcPr>
          <w:p w:rsidR="005066DB" w:rsidRPr="008E5027" w:rsidRDefault="005066DB" w:rsidP="0060234D">
            <w:pPr>
              <w:suppressAutoHyphens w:val="0"/>
              <w:spacing w:before="80" w:after="80" w:line="220" w:lineRule="exact"/>
              <w:jc w:val="right"/>
              <w:rPr>
                <w:b/>
                <w:sz w:val="18"/>
              </w:rPr>
            </w:pPr>
            <w:r w:rsidRPr="008E5027">
              <w:rPr>
                <w:b/>
                <w:sz w:val="18"/>
              </w:rPr>
              <w:t>14 007</w:t>
            </w:r>
          </w:p>
        </w:tc>
        <w:tc>
          <w:tcPr>
            <w:tcW w:w="1474" w:type="dxa"/>
            <w:tcBorders>
              <w:top w:val="single" w:sz="12" w:space="0" w:color="auto"/>
              <w:bottom w:val="single" w:sz="4" w:space="0" w:color="auto"/>
            </w:tcBorders>
            <w:shd w:val="clear" w:color="auto" w:fill="auto"/>
            <w:vAlign w:val="bottom"/>
          </w:tcPr>
          <w:p w:rsidR="005066DB" w:rsidRPr="008E5027" w:rsidRDefault="005066DB" w:rsidP="0060234D">
            <w:pPr>
              <w:suppressAutoHyphens w:val="0"/>
              <w:spacing w:before="80" w:after="80" w:line="220" w:lineRule="exact"/>
              <w:jc w:val="right"/>
              <w:rPr>
                <w:b/>
                <w:sz w:val="18"/>
              </w:rPr>
            </w:pPr>
            <w:r w:rsidRPr="008E5027">
              <w:rPr>
                <w:b/>
                <w:sz w:val="18"/>
              </w:rPr>
              <w:t>6 947</w:t>
            </w:r>
          </w:p>
        </w:tc>
        <w:tc>
          <w:tcPr>
            <w:tcW w:w="1474" w:type="dxa"/>
            <w:tcBorders>
              <w:top w:val="single" w:sz="12" w:space="0" w:color="auto"/>
              <w:bottom w:val="single" w:sz="4" w:space="0" w:color="auto"/>
            </w:tcBorders>
            <w:shd w:val="clear" w:color="auto" w:fill="auto"/>
            <w:vAlign w:val="bottom"/>
          </w:tcPr>
          <w:p w:rsidR="005066DB" w:rsidRPr="008E5027" w:rsidRDefault="005066DB" w:rsidP="0060234D">
            <w:pPr>
              <w:suppressAutoHyphens w:val="0"/>
              <w:spacing w:before="80" w:after="80" w:line="220" w:lineRule="exact"/>
              <w:jc w:val="right"/>
              <w:rPr>
                <w:b/>
                <w:sz w:val="18"/>
              </w:rPr>
            </w:pPr>
            <w:r w:rsidRPr="008E5027">
              <w:rPr>
                <w:b/>
                <w:sz w:val="18"/>
              </w:rPr>
              <w:t>3 829</w:t>
            </w:r>
          </w:p>
        </w:tc>
        <w:tc>
          <w:tcPr>
            <w:tcW w:w="1474" w:type="dxa"/>
            <w:tcBorders>
              <w:top w:val="single" w:sz="12" w:space="0" w:color="auto"/>
              <w:bottom w:val="single" w:sz="4" w:space="0" w:color="auto"/>
            </w:tcBorders>
            <w:shd w:val="clear" w:color="auto" w:fill="auto"/>
            <w:vAlign w:val="bottom"/>
          </w:tcPr>
          <w:p w:rsidR="005066DB" w:rsidRPr="008E5027" w:rsidRDefault="005066DB" w:rsidP="0060234D">
            <w:pPr>
              <w:suppressAutoHyphens w:val="0"/>
              <w:spacing w:before="80" w:after="80" w:line="220" w:lineRule="exact"/>
              <w:jc w:val="right"/>
              <w:rPr>
                <w:b/>
                <w:sz w:val="18"/>
              </w:rPr>
            </w:pPr>
            <w:r w:rsidRPr="008E5027">
              <w:rPr>
                <w:b/>
                <w:sz w:val="18"/>
              </w:rPr>
              <w:t>5 357</w:t>
            </w:r>
          </w:p>
        </w:tc>
      </w:tr>
      <w:tr w:rsidR="005066DB" w:rsidRPr="008E5027">
        <w:tc>
          <w:tcPr>
            <w:tcW w:w="1474" w:type="dxa"/>
            <w:tcBorders>
              <w:top w:val="single" w:sz="4" w:space="0" w:color="auto"/>
            </w:tcBorders>
            <w:shd w:val="clear" w:color="auto" w:fill="auto"/>
            <w:vAlign w:val="bottom"/>
          </w:tcPr>
          <w:p w:rsidR="005066DB" w:rsidRPr="008E5027" w:rsidRDefault="0060234D" w:rsidP="00EA3A34">
            <w:pPr>
              <w:suppressAutoHyphens w:val="0"/>
              <w:spacing w:before="40" w:after="40" w:line="220" w:lineRule="exact"/>
              <w:rPr>
                <w:sz w:val="18"/>
              </w:rPr>
            </w:pPr>
            <w:r w:rsidRPr="0060234D">
              <w:rPr>
                <w:sz w:val="18"/>
                <w:lang w:val="fr-FR"/>
              </w:rPr>
              <w:t>Films</w:t>
            </w:r>
          </w:p>
        </w:tc>
        <w:tc>
          <w:tcPr>
            <w:tcW w:w="1474" w:type="dxa"/>
            <w:tcBorders>
              <w:top w:val="single" w:sz="4" w:space="0" w:color="auto"/>
            </w:tcBorders>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727</w:t>
            </w:r>
          </w:p>
        </w:tc>
        <w:tc>
          <w:tcPr>
            <w:tcW w:w="1474" w:type="dxa"/>
            <w:tcBorders>
              <w:top w:val="single" w:sz="4" w:space="0" w:color="auto"/>
            </w:tcBorders>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378</w:t>
            </w:r>
          </w:p>
        </w:tc>
        <w:tc>
          <w:tcPr>
            <w:tcW w:w="1474" w:type="dxa"/>
            <w:tcBorders>
              <w:top w:val="single" w:sz="4" w:space="0" w:color="auto"/>
            </w:tcBorders>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437</w:t>
            </w:r>
          </w:p>
        </w:tc>
        <w:tc>
          <w:tcPr>
            <w:tcW w:w="1474" w:type="dxa"/>
            <w:tcBorders>
              <w:top w:val="single" w:sz="4" w:space="0" w:color="auto"/>
            </w:tcBorders>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1 273</w:t>
            </w:r>
          </w:p>
        </w:tc>
      </w:tr>
      <w:tr w:rsidR="005066DB" w:rsidRPr="008E5027">
        <w:tc>
          <w:tcPr>
            <w:tcW w:w="1474" w:type="dxa"/>
            <w:shd w:val="clear" w:color="auto" w:fill="auto"/>
            <w:vAlign w:val="bottom"/>
          </w:tcPr>
          <w:p w:rsidR="005066DB" w:rsidRPr="008E5027" w:rsidRDefault="0060234D" w:rsidP="00EA3A34">
            <w:pPr>
              <w:suppressAutoHyphens w:val="0"/>
              <w:spacing w:before="40" w:after="40" w:line="220" w:lineRule="exact"/>
              <w:rPr>
                <w:sz w:val="18"/>
              </w:rPr>
            </w:pPr>
            <w:r w:rsidRPr="0060234D">
              <w:rPr>
                <w:sz w:val="18"/>
                <w:lang w:val="fr-FR"/>
              </w:rPr>
              <w:t>Magazines</w:t>
            </w:r>
          </w:p>
        </w:tc>
        <w:tc>
          <w:tcPr>
            <w:tcW w:w="1474" w:type="dxa"/>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2 612</w:t>
            </w:r>
          </w:p>
        </w:tc>
        <w:tc>
          <w:tcPr>
            <w:tcW w:w="1474" w:type="dxa"/>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2 049</w:t>
            </w:r>
          </w:p>
        </w:tc>
        <w:tc>
          <w:tcPr>
            <w:tcW w:w="1474" w:type="dxa"/>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2 217</w:t>
            </w:r>
          </w:p>
        </w:tc>
        <w:tc>
          <w:tcPr>
            <w:tcW w:w="1474" w:type="dxa"/>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3 892</w:t>
            </w:r>
          </w:p>
        </w:tc>
      </w:tr>
      <w:tr w:rsidR="005066DB" w:rsidRPr="008E5027">
        <w:tc>
          <w:tcPr>
            <w:tcW w:w="1474" w:type="dxa"/>
            <w:shd w:val="clear" w:color="auto" w:fill="auto"/>
            <w:vAlign w:val="bottom"/>
          </w:tcPr>
          <w:p w:rsidR="005066DB" w:rsidRPr="008E5027" w:rsidRDefault="0060234D" w:rsidP="00EA3A34">
            <w:pPr>
              <w:suppressAutoHyphens w:val="0"/>
              <w:spacing w:before="40" w:after="40" w:line="220" w:lineRule="exact"/>
              <w:rPr>
                <w:sz w:val="18"/>
              </w:rPr>
            </w:pPr>
            <w:r w:rsidRPr="0060234D">
              <w:rPr>
                <w:sz w:val="18"/>
                <w:lang w:val="fr-FR"/>
              </w:rPr>
              <w:t>Vidéos</w:t>
            </w:r>
          </w:p>
        </w:tc>
        <w:tc>
          <w:tcPr>
            <w:tcW w:w="1474" w:type="dxa"/>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10 722</w:t>
            </w:r>
          </w:p>
        </w:tc>
        <w:tc>
          <w:tcPr>
            <w:tcW w:w="1474" w:type="dxa"/>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4 518</w:t>
            </w:r>
          </w:p>
        </w:tc>
        <w:tc>
          <w:tcPr>
            <w:tcW w:w="1474" w:type="dxa"/>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1 171</w:t>
            </w:r>
          </w:p>
        </w:tc>
        <w:tc>
          <w:tcPr>
            <w:tcW w:w="1474" w:type="dxa"/>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192</w:t>
            </w:r>
          </w:p>
        </w:tc>
      </w:tr>
      <w:tr w:rsidR="005066DB" w:rsidRPr="008E5027">
        <w:tc>
          <w:tcPr>
            <w:tcW w:w="1474" w:type="dxa"/>
            <w:tcBorders>
              <w:bottom w:val="single" w:sz="12" w:space="0" w:color="auto"/>
            </w:tcBorders>
            <w:shd w:val="clear" w:color="auto" w:fill="auto"/>
            <w:vAlign w:val="bottom"/>
          </w:tcPr>
          <w:p w:rsidR="005066DB" w:rsidRPr="008E5027" w:rsidRDefault="006C57C4" w:rsidP="00EA3A34">
            <w:pPr>
              <w:suppressAutoHyphens w:val="0"/>
              <w:spacing w:before="40" w:after="40" w:line="220" w:lineRule="exact"/>
              <w:rPr>
                <w:sz w:val="18"/>
              </w:rPr>
            </w:pPr>
            <w:r w:rsidRPr="006C57C4">
              <w:rPr>
                <w:sz w:val="18"/>
                <w:lang w:val="fr-FR"/>
              </w:rPr>
              <w:t>Autres</w:t>
            </w:r>
          </w:p>
        </w:tc>
        <w:tc>
          <w:tcPr>
            <w:tcW w:w="1474" w:type="dxa"/>
            <w:tcBorders>
              <w:bottom w:val="single" w:sz="12" w:space="0" w:color="auto"/>
            </w:tcBorders>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16</w:t>
            </w:r>
          </w:p>
        </w:tc>
        <w:tc>
          <w:tcPr>
            <w:tcW w:w="1474" w:type="dxa"/>
            <w:tcBorders>
              <w:bottom w:val="single" w:sz="12" w:space="0" w:color="auto"/>
            </w:tcBorders>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2</w:t>
            </w:r>
          </w:p>
        </w:tc>
        <w:tc>
          <w:tcPr>
            <w:tcW w:w="1474" w:type="dxa"/>
            <w:tcBorders>
              <w:bottom w:val="single" w:sz="12" w:space="0" w:color="auto"/>
            </w:tcBorders>
            <w:shd w:val="clear" w:color="auto" w:fill="auto"/>
            <w:vAlign w:val="bottom"/>
          </w:tcPr>
          <w:p w:rsidR="005066DB" w:rsidRPr="008E5027" w:rsidRDefault="005066DB" w:rsidP="005066DB">
            <w:pPr>
              <w:suppressAutoHyphens w:val="0"/>
              <w:spacing w:before="40" w:after="40" w:line="220" w:lineRule="exact"/>
              <w:jc w:val="right"/>
              <w:rPr>
                <w:sz w:val="18"/>
              </w:rPr>
            </w:pPr>
            <w:r w:rsidRPr="008E5027">
              <w:rPr>
                <w:sz w:val="18"/>
              </w:rPr>
              <w:t>4</w:t>
            </w:r>
          </w:p>
        </w:tc>
        <w:tc>
          <w:tcPr>
            <w:tcW w:w="1474" w:type="dxa"/>
            <w:tcBorders>
              <w:bottom w:val="single" w:sz="12" w:space="0" w:color="auto"/>
            </w:tcBorders>
            <w:shd w:val="clear" w:color="auto" w:fill="auto"/>
            <w:vAlign w:val="bottom"/>
          </w:tcPr>
          <w:p w:rsidR="005066DB" w:rsidRPr="008E5027" w:rsidRDefault="005066DB" w:rsidP="005066DB">
            <w:pPr>
              <w:suppressAutoHyphens w:val="0"/>
              <w:spacing w:before="40" w:after="40" w:line="220" w:lineRule="exact"/>
              <w:jc w:val="right"/>
              <w:rPr>
                <w:sz w:val="18"/>
              </w:rPr>
            </w:pPr>
          </w:p>
        </w:tc>
      </w:tr>
    </w:tbl>
    <w:p w:rsidR="00DF004F" w:rsidRPr="00197D5F" w:rsidRDefault="00197D5F" w:rsidP="00197D5F">
      <w:pPr>
        <w:spacing w:before="120" w:after="240"/>
        <w:ind w:left="1134" w:right="1134" w:firstLine="170"/>
        <w:rPr>
          <w:sz w:val="18"/>
          <w:szCs w:val="18"/>
          <w:lang w:val="es-ES"/>
        </w:rPr>
      </w:pPr>
      <w:r w:rsidRPr="00197D5F">
        <w:rPr>
          <w:sz w:val="18"/>
          <w:szCs w:val="18"/>
          <w:lang w:val="fr-FR"/>
        </w:rPr>
        <w:t>Une année couvre la période de mars à février de l</w:t>
      </w:r>
      <w:r w:rsidR="00277023">
        <w:rPr>
          <w:sz w:val="18"/>
          <w:szCs w:val="18"/>
          <w:lang w:val="fr-FR"/>
        </w:rPr>
        <w:t>’</w:t>
      </w:r>
      <w:r w:rsidRPr="00197D5F">
        <w:rPr>
          <w:sz w:val="18"/>
          <w:szCs w:val="18"/>
          <w:lang w:val="fr-FR"/>
        </w:rPr>
        <w:t>année suivante.</w:t>
      </w:r>
    </w:p>
    <w:p w:rsidR="00197D5F" w:rsidRPr="00197D5F" w:rsidRDefault="00197D5F" w:rsidP="00197D5F">
      <w:pPr>
        <w:pStyle w:val="H1G"/>
        <w:rPr>
          <w:lang w:val="fr-FR"/>
        </w:rPr>
      </w:pPr>
      <w:r>
        <w:rPr>
          <w:lang w:val="fr-FR"/>
        </w:rPr>
        <w:tab/>
      </w:r>
      <w:r w:rsidRPr="00197D5F">
        <w:rPr>
          <w:lang w:val="fr-FR"/>
        </w:rPr>
        <w:t>H.</w:t>
      </w:r>
      <w:r>
        <w:rPr>
          <w:lang w:val="fr-FR"/>
        </w:rPr>
        <w:tab/>
      </w:r>
      <w:r w:rsidRPr="00197D5F">
        <w:rPr>
          <w:lang w:val="fr-FR"/>
        </w:rPr>
        <w:t>Droit de ne pas être soumis à la torture ou à des peines ou traitements</w:t>
      </w:r>
      <w:r w:rsidR="00EA1115">
        <w:rPr>
          <w:lang w:val="fr-FR"/>
        </w:rPr>
        <w:t xml:space="preserve"> </w:t>
      </w:r>
      <w:r w:rsidRPr="00197D5F">
        <w:rPr>
          <w:lang w:val="fr-FR"/>
        </w:rPr>
        <w:t xml:space="preserve">cruels, inhumains ou dégradants (article </w:t>
      </w:r>
      <w:smartTag w:uri="urn:schemas-microsoft-com:office:smarttags" w:element="metricconverter">
        <w:smartTagPr>
          <w:attr w:name="ProductID" w:val="37 a"/>
        </w:smartTagPr>
        <w:r w:rsidRPr="00197D5F">
          <w:rPr>
            <w:lang w:val="fr-FR"/>
          </w:rPr>
          <w:t>37 a</w:t>
        </w:r>
      </w:smartTag>
      <w:r w:rsidRPr="00197D5F">
        <w:rPr>
          <w:lang w:val="fr-FR"/>
        </w:rPr>
        <w:t>))</w:t>
      </w:r>
    </w:p>
    <w:p w:rsidR="00197D5F" w:rsidRPr="00197D5F" w:rsidRDefault="00197D5F" w:rsidP="00197D5F">
      <w:pPr>
        <w:pStyle w:val="SingleTxtG"/>
        <w:rPr>
          <w:lang w:val="fr-FR"/>
        </w:rPr>
      </w:pPr>
      <w:r w:rsidRPr="00197D5F">
        <w:rPr>
          <w:lang w:val="fr-FR"/>
        </w:rPr>
        <w:t>(Protection des enfants contre la torture)</w:t>
      </w:r>
    </w:p>
    <w:p w:rsidR="00197D5F" w:rsidRPr="00197D5F" w:rsidRDefault="00197D5F" w:rsidP="00197D5F">
      <w:pPr>
        <w:pStyle w:val="SingleTxtG"/>
        <w:rPr>
          <w:lang w:val="fr-FR"/>
        </w:rPr>
      </w:pPr>
      <w:r w:rsidRPr="00197D5F">
        <w:rPr>
          <w:lang w:val="fr-FR"/>
        </w:rPr>
        <w:t>257.</w:t>
      </w:r>
      <w:r w:rsidRPr="00197D5F">
        <w:rPr>
          <w:lang w:val="fr-FR"/>
        </w:rPr>
        <w:tab/>
        <w:t xml:space="preserve">Voir paragraphe 207 du deuxième rapport du Japon (paragraphes 107-110 du rapport initial du Japon). </w:t>
      </w:r>
    </w:p>
    <w:p w:rsidR="00197D5F" w:rsidRPr="00197D5F" w:rsidRDefault="00197D5F" w:rsidP="00197D5F">
      <w:pPr>
        <w:pStyle w:val="SingleTxtG"/>
        <w:rPr>
          <w:lang w:val="fr-FR"/>
        </w:rPr>
      </w:pPr>
      <w:r w:rsidRPr="00197D5F">
        <w:rPr>
          <w:lang w:val="fr-FR"/>
        </w:rPr>
        <w:t>(Châtiments corporels infligés dans les établissements de protection de l</w:t>
      </w:r>
      <w:r w:rsidR="00277023">
        <w:rPr>
          <w:lang w:val="fr-FR"/>
        </w:rPr>
        <w:t>’</w:t>
      </w:r>
      <w:r w:rsidRPr="00197D5F">
        <w:rPr>
          <w:lang w:val="fr-FR"/>
        </w:rPr>
        <w:t>enfance)</w:t>
      </w:r>
    </w:p>
    <w:p w:rsidR="00197D5F" w:rsidRPr="00197D5F" w:rsidRDefault="00197D5F" w:rsidP="00197D5F">
      <w:pPr>
        <w:pStyle w:val="SingleTxtG"/>
        <w:rPr>
          <w:lang w:val="fr-FR"/>
        </w:rPr>
      </w:pPr>
      <w:r w:rsidRPr="00197D5F">
        <w:rPr>
          <w:lang w:val="fr-FR"/>
        </w:rPr>
        <w:t>258.</w:t>
      </w:r>
      <w:r w:rsidRPr="00197D5F">
        <w:rPr>
          <w:lang w:val="fr-FR"/>
        </w:rPr>
        <w:tab/>
        <w:t>Pour ce qui est des directeurs des établissements de protection de l</w:t>
      </w:r>
      <w:r w:rsidR="00277023">
        <w:rPr>
          <w:lang w:val="fr-FR"/>
        </w:rPr>
        <w:t>’</w:t>
      </w:r>
      <w:r w:rsidRPr="00197D5F">
        <w:rPr>
          <w:lang w:val="fr-FR"/>
        </w:rPr>
        <w:t>enfant, les normes minima relatives à ces établissements (article 9-3 de l</w:t>
      </w:r>
      <w:r w:rsidR="00277023">
        <w:rPr>
          <w:lang w:val="fr-FR"/>
        </w:rPr>
        <w:t>’</w:t>
      </w:r>
      <w:r w:rsidRPr="00197D5F">
        <w:rPr>
          <w:lang w:val="fr-FR"/>
        </w:rPr>
        <w:t xml:space="preserve">ordonnance </w:t>
      </w:r>
      <w:r w:rsidR="00862799" w:rsidRPr="00197D5F">
        <w:rPr>
          <w:lang w:val="fr-FR"/>
        </w:rPr>
        <w:t>No</w:t>
      </w:r>
      <w:r w:rsidRPr="00197D5F">
        <w:rPr>
          <w:lang w:val="fr-FR"/>
        </w:rPr>
        <w:t>. 63 de 1948 du Ministère de la santé, du travail et de la protection sociale) leur interdisent d</w:t>
      </w:r>
      <w:r w:rsidR="00277023">
        <w:rPr>
          <w:lang w:val="fr-FR"/>
        </w:rPr>
        <w:t>’</w:t>
      </w:r>
      <w:r w:rsidRPr="00197D5F">
        <w:rPr>
          <w:lang w:val="fr-FR"/>
        </w:rPr>
        <w:t>abuser de leur autorité à des fins disciplinaires, par exemple en infligeant des châtiments corporels. De plus, concernant le personnel employé dans ces établissements, lesdites normes (articles 9-2) contiennent une nouvelle disposition depuis janvier 2005, qui interdit au personnel de maltraiter les enfants séjournant dans les établissements. Les parties concernées sont également priées de respecter strictement cette norme qui interdit tout abus du droit de prendre des mesures disciplinaires, comme les châtiments corporels. Les établissements de protection de l</w:t>
      </w:r>
      <w:r w:rsidR="00277023">
        <w:rPr>
          <w:lang w:val="fr-FR"/>
        </w:rPr>
        <w:t>’</w:t>
      </w:r>
      <w:r w:rsidRPr="00197D5F">
        <w:rPr>
          <w:lang w:val="fr-FR"/>
        </w:rPr>
        <w:t>enfance sont ainsi tenus de surveiller particulièrement les abus en matière de mesures disciplinaires, tels que les châtiments corporels, lorsqu</w:t>
      </w:r>
      <w:r w:rsidR="00277023">
        <w:rPr>
          <w:lang w:val="fr-FR"/>
        </w:rPr>
        <w:t>’</w:t>
      </w:r>
      <w:r w:rsidRPr="00197D5F">
        <w:rPr>
          <w:lang w:val="fr-FR"/>
        </w:rPr>
        <w:t>ils procèdent à l</w:t>
      </w:r>
      <w:r w:rsidR="00277023">
        <w:rPr>
          <w:lang w:val="fr-FR"/>
        </w:rPr>
        <w:t>’</w:t>
      </w:r>
      <w:r w:rsidRPr="00197D5F">
        <w:rPr>
          <w:lang w:val="fr-FR"/>
        </w:rPr>
        <w:t>orientation administrative d</w:t>
      </w:r>
      <w:r w:rsidR="00277023">
        <w:rPr>
          <w:lang w:val="fr-FR"/>
        </w:rPr>
        <w:t>’</w:t>
      </w:r>
      <w:r w:rsidRPr="00197D5F">
        <w:rPr>
          <w:lang w:val="fr-FR"/>
        </w:rPr>
        <w:t>un enfant aux fins de sa protection.</w:t>
      </w:r>
    </w:p>
    <w:p w:rsidR="00197D5F" w:rsidRPr="00197D5F" w:rsidRDefault="00197D5F" w:rsidP="00197D5F">
      <w:pPr>
        <w:pStyle w:val="SingleTxtG"/>
        <w:rPr>
          <w:lang w:val="fr-FR"/>
        </w:rPr>
      </w:pPr>
      <w:r w:rsidRPr="00197D5F">
        <w:rPr>
          <w:lang w:val="fr-FR"/>
        </w:rPr>
        <w:t>259.</w:t>
      </w:r>
      <w:r w:rsidRPr="00197D5F">
        <w:rPr>
          <w:lang w:val="fr-FR"/>
        </w:rPr>
        <w:tab/>
        <w:t xml:space="preserve">Conformément à </w:t>
      </w:r>
      <w:smartTag w:uri="urn:schemas-microsoft-com:office:smarttags" w:element="PersonName">
        <w:smartTagPr>
          <w:attr w:name="ProductID" w:val="la Loi"/>
        </w:smartTagPr>
        <w:r w:rsidRPr="00197D5F">
          <w:rPr>
            <w:lang w:val="fr-FR"/>
          </w:rPr>
          <w:t>la Loi</w:t>
        </w:r>
      </w:smartTag>
      <w:r w:rsidRPr="00197D5F">
        <w:rPr>
          <w:lang w:val="fr-FR"/>
        </w:rPr>
        <w:t xml:space="preserve"> sur la protection sociale, les directeurs des services de protection</w:t>
      </w:r>
      <w:r w:rsidR="00EA1115">
        <w:rPr>
          <w:lang w:val="fr-FR"/>
        </w:rPr>
        <w:t xml:space="preserve"> </w:t>
      </w:r>
      <w:r w:rsidRPr="00197D5F">
        <w:rPr>
          <w:lang w:val="fr-FR"/>
        </w:rPr>
        <w:t>sociale sont tenus de faire leur possible pour fournir des informations, prendre des mesures d</w:t>
      </w:r>
      <w:r w:rsidR="00277023">
        <w:rPr>
          <w:lang w:val="fr-FR"/>
        </w:rPr>
        <w:t>’</w:t>
      </w:r>
      <w:r w:rsidRPr="00197D5F">
        <w:rPr>
          <w:lang w:val="fr-FR"/>
        </w:rPr>
        <w:t>amélioration des services à travers des autoévaluations et des audits externes et apporter une réponse aux plaintes déposées. Par ailleurs, obligation est faite à chaque préfecture d</w:t>
      </w:r>
      <w:r w:rsidR="00277023">
        <w:rPr>
          <w:lang w:val="fr-FR"/>
        </w:rPr>
        <w:t>’</w:t>
      </w:r>
      <w:r w:rsidRPr="00197D5F">
        <w:rPr>
          <w:lang w:val="fr-FR"/>
        </w:rPr>
        <w:t>établir un comité chargé de la gestion au sein du Conseil préfectoral de la protection sociale en vue de mettre en place un mécanisme qui offre aux usagers un service de consultation concernant</w:t>
      </w:r>
      <w:r w:rsidR="00EA1115">
        <w:rPr>
          <w:lang w:val="fr-FR"/>
        </w:rPr>
        <w:t xml:space="preserve"> </w:t>
      </w:r>
      <w:r w:rsidRPr="00197D5F">
        <w:rPr>
          <w:lang w:val="fr-FR"/>
        </w:rPr>
        <w:t>les plaintes qu</w:t>
      </w:r>
      <w:r w:rsidR="00277023">
        <w:rPr>
          <w:lang w:val="fr-FR"/>
        </w:rPr>
        <w:t>’</w:t>
      </w:r>
      <w:r w:rsidRPr="00197D5F">
        <w:rPr>
          <w:lang w:val="fr-FR"/>
        </w:rPr>
        <w:t>ils peuvent vouloir déposer et sert de médiateur dans le cadre de la résolution des plaintes. De même, il a été demandé aux établissements de protection de l</w:t>
      </w:r>
      <w:r w:rsidR="00277023">
        <w:rPr>
          <w:lang w:val="fr-FR"/>
        </w:rPr>
        <w:t>’</w:t>
      </w:r>
      <w:r w:rsidRPr="00197D5F">
        <w:rPr>
          <w:lang w:val="fr-FR"/>
        </w:rPr>
        <w:t>enfance de mettre en place un bureau de réception des plaintes, conformément aux normes minima relatives aux établissements de protection de l</w:t>
      </w:r>
      <w:r w:rsidR="00277023">
        <w:rPr>
          <w:lang w:val="fr-FR"/>
        </w:rPr>
        <w:t>’</w:t>
      </w:r>
      <w:r w:rsidRPr="00197D5F">
        <w:rPr>
          <w:lang w:val="fr-FR"/>
        </w:rPr>
        <w:t xml:space="preserve">enfance (ordonnance </w:t>
      </w:r>
      <w:r w:rsidR="00862799" w:rsidRPr="00197D5F">
        <w:rPr>
          <w:lang w:val="fr-FR"/>
        </w:rPr>
        <w:t>No</w:t>
      </w:r>
      <w:r w:rsidRPr="00197D5F">
        <w:rPr>
          <w:lang w:val="fr-FR"/>
        </w:rPr>
        <w:t>. 63 de 1948 du Ministère de la santé, du travail et de la protection sociale) afin d</w:t>
      </w:r>
      <w:r w:rsidR="00277023">
        <w:rPr>
          <w:lang w:val="fr-FR"/>
        </w:rPr>
        <w:t>’</w:t>
      </w:r>
      <w:r w:rsidRPr="00197D5F">
        <w:rPr>
          <w:lang w:val="fr-FR"/>
        </w:rPr>
        <w:t>assurer qu</w:t>
      </w:r>
      <w:r w:rsidR="00277023">
        <w:rPr>
          <w:lang w:val="fr-FR"/>
        </w:rPr>
        <w:t>’</w:t>
      </w:r>
      <w:r w:rsidRPr="00197D5F">
        <w:rPr>
          <w:lang w:val="fr-FR"/>
        </w:rPr>
        <w:t>une plainte émanant d</w:t>
      </w:r>
      <w:r w:rsidR="00277023">
        <w:rPr>
          <w:lang w:val="fr-FR"/>
        </w:rPr>
        <w:t>’</w:t>
      </w:r>
      <w:r w:rsidRPr="00197D5F">
        <w:rPr>
          <w:lang w:val="fr-FR"/>
        </w:rPr>
        <w:t>un enfant placé dans un établissement ou de ses représentants légaux concernant le traitement dans l</w:t>
      </w:r>
      <w:r w:rsidR="00277023">
        <w:rPr>
          <w:lang w:val="fr-FR"/>
        </w:rPr>
        <w:t>’</w:t>
      </w:r>
      <w:r w:rsidRPr="00197D5F">
        <w:rPr>
          <w:lang w:val="fr-FR"/>
        </w:rPr>
        <w:t>établissement soit rapidement et convenablement traitée.</w:t>
      </w:r>
    </w:p>
    <w:p w:rsidR="00197D5F" w:rsidRPr="00197D5F" w:rsidRDefault="00197D5F" w:rsidP="00197D5F">
      <w:pPr>
        <w:pStyle w:val="SingleTxtG"/>
        <w:rPr>
          <w:lang w:val="fr-FR"/>
        </w:rPr>
      </w:pPr>
      <w:r w:rsidRPr="00197D5F">
        <w:rPr>
          <w:lang w:val="fr-FR"/>
        </w:rPr>
        <w:t>(Châtiments corporels à l</w:t>
      </w:r>
      <w:r w:rsidR="00277023">
        <w:rPr>
          <w:lang w:val="fr-FR"/>
        </w:rPr>
        <w:t>’</w:t>
      </w:r>
      <w:r w:rsidRPr="00197D5F">
        <w:rPr>
          <w:lang w:val="fr-FR"/>
        </w:rPr>
        <w:t>école)</w:t>
      </w:r>
    </w:p>
    <w:p w:rsidR="00197D5F" w:rsidRPr="00197D5F" w:rsidRDefault="00197D5F" w:rsidP="00197D5F">
      <w:pPr>
        <w:pStyle w:val="SingleTxtG"/>
        <w:rPr>
          <w:lang w:val="fr-FR"/>
        </w:rPr>
      </w:pPr>
      <w:r w:rsidRPr="00197D5F">
        <w:rPr>
          <w:lang w:val="fr-FR"/>
        </w:rPr>
        <w:t>260.</w:t>
      </w:r>
      <w:r w:rsidRPr="00197D5F">
        <w:rPr>
          <w:lang w:val="fr-FR"/>
        </w:rPr>
        <w:tab/>
        <w:t>Les châtiments corporels sont strictement interdits à l</w:t>
      </w:r>
      <w:r w:rsidR="00277023">
        <w:rPr>
          <w:lang w:val="fr-FR"/>
        </w:rPr>
        <w:t>’</w:t>
      </w:r>
      <w:r w:rsidRPr="00197D5F">
        <w:rPr>
          <w:lang w:val="fr-FR"/>
        </w:rPr>
        <w:t>école en vertu de l</w:t>
      </w:r>
      <w:r w:rsidR="00277023">
        <w:rPr>
          <w:lang w:val="fr-FR"/>
        </w:rPr>
        <w:t>’</w:t>
      </w:r>
      <w:r w:rsidRPr="00197D5F">
        <w:rPr>
          <w:lang w:val="fr-FR"/>
        </w:rPr>
        <w:t xml:space="preserve">article 11 de </w:t>
      </w:r>
      <w:smartTag w:uri="urn:schemas-microsoft-com:office:smarttags" w:element="PersonName">
        <w:smartTagPr>
          <w:attr w:name="ProductID" w:val="la Loi"/>
        </w:smartTagPr>
        <w:r w:rsidRPr="00197D5F">
          <w:rPr>
            <w:lang w:val="fr-FR"/>
          </w:rPr>
          <w:t>la Loi</w:t>
        </w:r>
      </w:smartTag>
      <w:r w:rsidRPr="00197D5F">
        <w:rPr>
          <w:lang w:val="fr-FR"/>
        </w:rPr>
        <w:t xml:space="preserve"> sur l</w:t>
      </w:r>
      <w:r w:rsidR="00277023">
        <w:rPr>
          <w:lang w:val="fr-FR"/>
        </w:rPr>
        <w:t>’</w:t>
      </w:r>
      <w:r w:rsidRPr="00197D5F">
        <w:rPr>
          <w:lang w:val="fr-FR"/>
        </w:rPr>
        <w:t>enseignement scolaire. Le Gouvernement mène une activité de sensibilisation à ce sujet dans le cadre des conférences annuelles à l</w:t>
      </w:r>
      <w:r w:rsidR="00277023">
        <w:rPr>
          <w:lang w:val="fr-FR"/>
        </w:rPr>
        <w:t>’</w:t>
      </w:r>
      <w:r w:rsidRPr="00197D5F">
        <w:rPr>
          <w:lang w:val="fr-FR"/>
        </w:rPr>
        <w:t>intention des futurs conseillers d</w:t>
      </w:r>
      <w:r w:rsidR="00277023">
        <w:rPr>
          <w:lang w:val="fr-FR"/>
        </w:rPr>
        <w:t>’</w:t>
      </w:r>
      <w:r w:rsidRPr="00197D5F">
        <w:rPr>
          <w:lang w:val="fr-FR"/>
        </w:rPr>
        <w:t>orientation. Dans les écoles japonaises, il est possible de prendre des mesures disciplinaires si elles sont considérées nécessaires à des fins éducatives. A maintes reprises, le Gouvernement a rappelé par le biais des programmes de formation d</w:t>
      </w:r>
      <w:r w:rsidR="00277023">
        <w:rPr>
          <w:lang w:val="fr-FR"/>
        </w:rPr>
        <w:t>’</w:t>
      </w:r>
      <w:r w:rsidRPr="00197D5F">
        <w:rPr>
          <w:lang w:val="fr-FR"/>
        </w:rPr>
        <w:t>accorder une grande attention à la situation personnelle de chaque élève lorsque de telles mesures sont prises, en écoutant ses explications et son point de vue, et d</w:t>
      </w:r>
      <w:r w:rsidR="00277023">
        <w:rPr>
          <w:lang w:val="fr-FR"/>
        </w:rPr>
        <w:t>’</w:t>
      </w:r>
      <w:r w:rsidRPr="00197D5F">
        <w:rPr>
          <w:lang w:val="fr-FR"/>
        </w:rPr>
        <w:t>assurer que les mesures disciplinaires ont un objectif éducatif majeur et ne servent pas uniquement de sanctions.</w:t>
      </w:r>
    </w:p>
    <w:p w:rsidR="00197D5F" w:rsidRPr="00197D5F" w:rsidRDefault="00197D5F" w:rsidP="00197D5F">
      <w:pPr>
        <w:pStyle w:val="SingleTxtG"/>
        <w:rPr>
          <w:lang w:val="fr-FR"/>
        </w:rPr>
      </w:pPr>
      <w:r w:rsidRPr="00197D5F">
        <w:rPr>
          <w:lang w:val="fr-FR"/>
        </w:rPr>
        <w:t>261.</w:t>
      </w:r>
      <w:r w:rsidRPr="00197D5F">
        <w:rPr>
          <w:lang w:val="fr-FR"/>
        </w:rPr>
        <w:tab/>
        <w:t>Au centre de perfectionnement des enseignants, institution administrative indépendante chargée de mettre en œuvre de manière uniforme et globale les programmes de formation contrôlés par le Gouvernement, des conférences sur les lois et règlements relatifs à l</w:t>
      </w:r>
      <w:r w:rsidR="00277023">
        <w:rPr>
          <w:lang w:val="fr-FR"/>
        </w:rPr>
        <w:t>’</w:t>
      </w:r>
      <w:r w:rsidRPr="00197D5F">
        <w:rPr>
          <w:lang w:val="fr-FR"/>
        </w:rPr>
        <w:t>éducation sont proposées dans le cadre des programmes de formation conçus pour les enseignants, qui sont censés jouer un rôle de premier plan à l</w:t>
      </w:r>
      <w:r w:rsidR="00277023">
        <w:rPr>
          <w:lang w:val="fr-FR"/>
        </w:rPr>
        <w:t>’</w:t>
      </w:r>
      <w:r w:rsidRPr="00197D5F">
        <w:rPr>
          <w:lang w:val="fr-FR"/>
        </w:rPr>
        <w:t>échelon local. Les conférences couvrent également des sujets ayant trait aux mesures disciplinaires et à l</w:t>
      </w:r>
      <w:r w:rsidR="00277023">
        <w:rPr>
          <w:lang w:val="fr-FR"/>
        </w:rPr>
        <w:t>’</w:t>
      </w:r>
      <w:r w:rsidRPr="00197D5F">
        <w:rPr>
          <w:lang w:val="fr-FR"/>
        </w:rPr>
        <w:t>interdiction d</w:t>
      </w:r>
      <w:r w:rsidR="00277023">
        <w:rPr>
          <w:lang w:val="fr-FR"/>
        </w:rPr>
        <w:t>’</w:t>
      </w:r>
      <w:r w:rsidRPr="00197D5F">
        <w:rPr>
          <w:lang w:val="fr-FR"/>
        </w:rPr>
        <w:t>infliger des châtiments corporels aux élèves. De plus, s</w:t>
      </w:r>
      <w:r w:rsidR="00277023">
        <w:rPr>
          <w:lang w:val="fr-FR"/>
        </w:rPr>
        <w:t>’</w:t>
      </w:r>
      <w:r w:rsidRPr="00197D5F">
        <w:rPr>
          <w:lang w:val="fr-FR"/>
        </w:rPr>
        <w:t>agissant d</w:t>
      </w:r>
      <w:r w:rsidR="00277023">
        <w:rPr>
          <w:lang w:val="fr-FR"/>
        </w:rPr>
        <w:t>’</w:t>
      </w:r>
      <w:r w:rsidRPr="00197D5F">
        <w:rPr>
          <w:lang w:val="fr-FR"/>
        </w:rPr>
        <w:t>assurer le traitement d</w:t>
      </w:r>
      <w:r w:rsidR="00277023">
        <w:rPr>
          <w:lang w:val="fr-FR"/>
        </w:rPr>
        <w:t>’</w:t>
      </w:r>
      <w:r w:rsidRPr="00197D5F">
        <w:rPr>
          <w:lang w:val="fr-FR"/>
        </w:rPr>
        <w:t>une plainte émanant d</w:t>
      </w:r>
      <w:r w:rsidR="00277023">
        <w:rPr>
          <w:lang w:val="fr-FR"/>
        </w:rPr>
        <w:t>’</w:t>
      </w:r>
      <w:r w:rsidRPr="00197D5F">
        <w:rPr>
          <w:lang w:val="fr-FR"/>
        </w:rPr>
        <w:t>un élève victime d</w:t>
      </w:r>
      <w:r w:rsidR="00277023">
        <w:rPr>
          <w:lang w:val="fr-FR"/>
        </w:rPr>
        <w:t>’</w:t>
      </w:r>
      <w:r w:rsidRPr="00197D5F">
        <w:rPr>
          <w:lang w:val="fr-FR"/>
        </w:rPr>
        <w:t>un châtiment corporel, des travaux ont été engagés pour mettre en place des centres éducatifs offrant des services d</w:t>
      </w:r>
      <w:r w:rsidR="00277023">
        <w:rPr>
          <w:lang w:val="fr-FR"/>
        </w:rPr>
        <w:t>’</w:t>
      </w:r>
      <w:r w:rsidRPr="00197D5F">
        <w:rPr>
          <w:lang w:val="fr-FR"/>
        </w:rPr>
        <w:t>orientation scolaire.</w:t>
      </w:r>
    </w:p>
    <w:p w:rsidR="00197D5F" w:rsidRPr="00197D5F" w:rsidRDefault="00197D5F" w:rsidP="00197D5F">
      <w:pPr>
        <w:pStyle w:val="SingleTxtG"/>
        <w:rPr>
          <w:lang w:val="fr-FR"/>
        </w:rPr>
      </w:pPr>
      <w:r w:rsidRPr="00197D5F">
        <w:rPr>
          <w:lang w:val="fr-FR"/>
        </w:rPr>
        <w:t>(Interdiction de la torture dans les établissements pénitentiaires)</w:t>
      </w:r>
    </w:p>
    <w:p w:rsidR="00197D5F" w:rsidRPr="00197D5F" w:rsidRDefault="00197D5F" w:rsidP="00197D5F">
      <w:pPr>
        <w:pStyle w:val="SingleTxtG"/>
        <w:rPr>
          <w:lang w:val="fr-FR"/>
        </w:rPr>
      </w:pPr>
      <w:r w:rsidRPr="00197D5F">
        <w:rPr>
          <w:lang w:val="fr-FR"/>
        </w:rPr>
        <w:t>262.</w:t>
      </w:r>
      <w:r w:rsidRPr="00197D5F">
        <w:rPr>
          <w:lang w:val="fr-FR"/>
        </w:rPr>
        <w:tab/>
        <w:t xml:space="preserve">Voir paragraphe 208 du deuxième rapport du Japon. </w:t>
      </w:r>
    </w:p>
    <w:p w:rsidR="00197D5F" w:rsidRPr="00197D5F" w:rsidRDefault="00197D5F" w:rsidP="00197D5F">
      <w:pPr>
        <w:pStyle w:val="SingleTxtG"/>
        <w:rPr>
          <w:lang w:val="fr-FR"/>
        </w:rPr>
      </w:pPr>
      <w:r w:rsidRPr="00197D5F">
        <w:rPr>
          <w:lang w:val="fr-FR"/>
        </w:rPr>
        <w:t>263.</w:t>
      </w:r>
      <w:r w:rsidRPr="00197D5F">
        <w:rPr>
          <w:lang w:val="fr-FR"/>
        </w:rPr>
        <w:tab/>
        <w:t>Dans les établissements pénitentiaires pour mineurs tels que les foyers de classification pour mineurs, les centres de formation pour mineurs et les prisons pour mineurs, il est interdit à tout fonctionnaire d</w:t>
      </w:r>
      <w:r w:rsidR="00277023">
        <w:rPr>
          <w:lang w:val="fr-FR"/>
        </w:rPr>
        <w:t>’</w:t>
      </w:r>
      <w:r w:rsidRPr="00197D5F">
        <w:rPr>
          <w:lang w:val="fr-FR"/>
        </w:rPr>
        <w:t>infliger des actes de torture ou de cruauté en vertu de l</w:t>
      </w:r>
      <w:r w:rsidR="00277023">
        <w:rPr>
          <w:lang w:val="fr-FR"/>
        </w:rPr>
        <w:t>’</w:t>
      </w:r>
      <w:r w:rsidRPr="00197D5F">
        <w:rPr>
          <w:lang w:val="fr-FR"/>
        </w:rPr>
        <w:t xml:space="preserve">article 36 de </w:t>
      </w:r>
      <w:smartTag w:uri="urn:schemas-microsoft-com:office:smarttags" w:element="PersonName">
        <w:smartTagPr>
          <w:attr w:name="ProductID" w:val="la Constitution"/>
        </w:smartTagPr>
        <w:r w:rsidRPr="00197D5F">
          <w:rPr>
            <w:lang w:val="fr-FR"/>
          </w:rPr>
          <w:t>la Constitution</w:t>
        </w:r>
      </w:smartTag>
      <w:r w:rsidRPr="00197D5F">
        <w:rPr>
          <w:lang w:val="fr-FR"/>
        </w:rPr>
        <w:t xml:space="preserve"> du Japon. De même, les sanctions pénales prévues au paragraphe 2 de l</w:t>
      </w:r>
      <w:r w:rsidR="00277023">
        <w:rPr>
          <w:lang w:val="fr-FR"/>
        </w:rPr>
        <w:t>’</w:t>
      </w:r>
      <w:r w:rsidRPr="00197D5F">
        <w:rPr>
          <w:lang w:val="fr-FR"/>
        </w:rPr>
        <w:t xml:space="preserve">article 195 du Code pénal interdisent les voies de fait. </w:t>
      </w:r>
      <w:smartTag w:uri="urn:schemas-microsoft-com:office:smarttags" w:element="PersonName">
        <w:smartTagPr>
          <w:attr w:name="ProductID" w:val="la Loi"/>
        </w:smartTagPr>
        <w:r w:rsidRPr="00197D5F">
          <w:rPr>
            <w:lang w:val="fr-FR"/>
          </w:rPr>
          <w:t>La Loi</w:t>
        </w:r>
      </w:smartTag>
      <w:r w:rsidRPr="00197D5F">
        <w:rPr>
          <w:lang w:val="fr-FR"/>
        </w:rPr>
        <w:t xml:space="preserve"> relative aux établissements pénitentiaires et au traitement des condamnés, </w:t>
      </w:r>
      <w:smartTag w:uri="urn:schemas-microsoft-com:office:smarttags" w:element="PersonName">
        <w:smartTagPr>
          <w:attr w:name="ProductID" w:val="la Loi"/>
        </w:smartTagPr>
        <w:r w:rsidRPr="00197D5F">
          <w:rPr>
            <w:lang w:val="fr-FR"/>
          </w:rPr>
          <w:t>la Loi</w:t>
        </w:r>
      </w:smartTag>
      <w:r w:rsidRPr="00197D5F">
        <w:rPr>
          <w:lang w:val="fr-FR"/>
        </w:rPr>
        <w:t xml:space="preserve"> relative à la détention des condamnés dans les établissements pénitentiaires (note</w:t>
      </w:r>
      <w:r w:rsidR="00277023">
        <w:rPr>
          <w:lang w:val="fr-FR"/>
        </w:rPr>
        <w:t>:</w:t>
      </w:r>
      <w:r w:rsidRPr="00197D5F">
        <w:rPr>
          <w:lang w:val="fr-FR"/>
        </w:rPr>
        <w:t xml:space="preserve"> doit prendre effet en 2006</w:t>
      </w:r>
      <w:r w:rsidR="00277023">
        <w:rPr>
          <w:lang w:val="fr-FR"/>
        </w:rPr>
        <w:t>;</w:t>
      </w:r>
      <w:r w:rsidRPr="00197D5F">
        <w:rPr>
          <w:lang w:val="fr-FR"/>
        </w:rPr>
        <w:t xml:space="preserve"> actuellement </w:t>
      </w:r>
      <w:r w:rsidR="008E49D4">
        <w:rPr>
          <w:lang w:val="fr-FR"/>
        </w:rPr>
        <w:t>“</w:t>
      </w:r>
      <w:r w:rsidRPr="00197D5F">
        <w:rPr>
          <w:lang w:val="fr-FR"/>
        </w:rPr>
        <w:t>Loi sur les prisons</w:t>
      </w:r>
      <w:r w:rsidR="008E49D4">
        <w:rPr>
          <w:lang w:val="fr-FR"/>
        </w:rPr>
        <w:t>”</w:t>
      </w:r>
      <w:r w:rsidRPr="00197D5F">
        <w:rPr>
          <w:lang w:val="fr-FR"/>
        </w:rPr>
        <w:t xml:space="preserve">) et </w:t>
      </w:r>
      <w:smartTag w:uri="urn:schemas-microsoft-com:office:smarttags" w:element="PersonName">
        <w:smartTagPr>
          <w:attr w:name="ProductID" w:val="la Loi"/>
        </w:smartTagPr>
        <w:r w:rsidRPr="00197D5F">
          <w:rPr>
            <w:lang w:val="fr-FR"/>
          </w:rPr>
          <w:t>la Loi</w:t>
        </w:r>
      </w:smartTag>
      <w:r w:rsidRPr="00197D5F">
        <w:rPr>
          <w:lang w:val="fr-FR"/>
        </w:rPr>
        <w:t xml:space="preserve"> relative aux centres de formation pour mineurs garantissent des conditions de vie adaptées aux enfants dans les établissements pénitentiaires, tandis que des dispositions adéquates sont prises pour préserver leur santé et ainsi leur offrir un traitement humain.</w:t>
      </w:r>
    </w:p>
    <w:p w:rsidR="00197D5F" w:rsidRPr="00197D5F" w:rsidRDefault="00197D5F" w:rsidP="00197D5F">
      <w:pPr>
        <w:pStyle w:val="SingleTxtG"/>
        <w:rPr>
          <w:lang w:val="fr-FR"/>
        </w:rPr>
      </w:pPr>
      <w:r w:rsidRPr="00197D5F">
        <w:rPr>
          <w:lang w:val="fr-FR"/>
        </w:rPr>
        <w:t>264.</w:t>
      </w:r>
      <w:r w:rsidRPr="00197D5F">
        <w:rPr>
          <w:lang w:val="fr-FR"/>
        </w:rPr>
        <w:tab/>
        <w:t>S</w:t>
      </w:r>
      <w:r w:rsidR="00277023">
        <w:rPr>
          <w:lang w:val="fr-FR"/>
        </w:rPr>
        <w:t>’</w:t>
      </w:r>
      <w:r w:rsidRPr="00197D5F">
        <w:rPr>
          <w:lang w:val="fr-FR"/>
        </w:rPr>
        <w:t>agissant d</w:t>
      </w:r>
      <w:r w:rsidR="00277023">
        <w:rPr>
          <w:lang w:val="fr-FR"/>
        </w:rPr>
        <w:t>’</w:t>
      </w:r>
      <w:r w:rsidRPr="00197D5F">
        <w:rPr>
          <w:lang w:val="fr-FR"/>
        </w:rPr>
        <w:t>assurer que les enfants détenus dans des établissements pénitentiaires se voient garantir leurs droits de ne pas être soumis à la torture ou à autres peines ou traitements cruels, inhumains ou dégradants, le personnel pénitentiaire suit des formations et des exercices pratiques afin de se pénétrer des droits fondamentaux des détenus, et d</w:t>
      </w:r>
      <w:r w:rsidR="00277023">
        <w:rPr>
          <w:lang w:val="fr-FR"/>
        </w:rPr>
        <w:t>’</w:t>
      </w:r>
      <w:r w:rsidRPr="00197D5F">
        <w:rPr>
          <w:lang w:val="fr-FR"/>
        </w:rPr>
        <w:t>assurer que les personnels acquièrent et développent les connaissances et compétences nécessaires pour appliquer le traitement adapté aux détenus. Le personnel pénitentiaire est également tenu informé des règles internationales relatives aux droits fondamentaux des enfants détenus dans des établissements pénitentiaires, notamment des dispositions concernant les droits des enfants, ainsi que des méthodes de traitement les plus récentes, comme les techniques non violentes d</w:t>
      </w:r>
      <w:r w:rsidR="00277023">
        <w:rPr>
          <w:lang w:val="fr-FR"/>
        </w:rPr>
        <w:t>’</w:t>
      </w:r>
      <w:r w:rsidRPr="00197D5F">
        <w:rPr>
          <w:lang w:val="fr-FR"/>
        </w:rPr>
        <w:t xml:space="preserve">intervention en cas de crise. Par ailleurs, des visites des établissements par des inspecteurs et un nouveau mécanisme de réclamation ont été mis en place. En vertu de </w:t>
      </w:r>
      <w:smartTag w:uri="urn:schemas-microsoft-com:office:smarttags" w:element="PersonName">
        <w:smartTagPr>
          <w:attr w:name="ProductID" w:val="la Loi"/>
        </w:smartTagPr>
        <w:r w:rsidRPr="00197D5F">
          <w:rPr>
            <w:lang w:val="fr-FR"/>
          </w:rPr>
          <w:t>la Loi</w:t>
        </w:r>
      </w:smartTag>
      <w:r w:rsidRPr="00197D5F">
        <w:rPr>
          <w:lang w:val="fr-FR"/>
        </w:rPr>
        <w:t xml:space="preserve"> sur les établissements pénitentiaires et le traitement des condamnés, un nouveau dispositif permettant à des organisations indépendantes d</w:t>
      </w:r>
      <w:r w:rsidR="00277023">
        <w:rPr>
          <w:lang w:val="fr-FR"/>
        </w:rPr>
        <w:t>’</w:t>
      </w:r>
      <w:r w:rsidRPr="00197D5F">
        <w:rPr>
          <w:lang w:val="fr-FR"/>
        </w:rPr>
        <w:t>inspecter les établissements pénitentiaires et de formuler des observations sur leur administration aux directeurs a été mis en place.</w:t>
      </w:r>
      <w:r w:rsidR="00EA1115">
        <w:rPr>
          <w:lang w:val="fr-FR"/>
        </w:rPr>
        <w:t xml:space="preserve"> </w:t>
      </w:r>
    </w:p>
    <w:p w:rsidR="00197D5F" w:rsidRPr="00197D5F" w:rsidRDefault="00197D5F" w:rsidP="00197D5F">
      <w:pPr>
        <w:pStyle w:val="SingleTxtG"/>
        <w:rPr>
          <w:lang w:val="fr-FR"/>
        </w:rPr>
      </w:pPr>
      <w:r w:rsidRPr="00197D5F">
        <w:rPr>
          <w:lang w:val="fr-FR"/>
        </w:rPr>
        <w:t xml:space="preserve">(Loi sur les établissements pénitentiaires et le traitement des condamnés) </w:t>
      </w:r>
    </w:p>
    <w:p w:rsidR="00197D5F" w:rsidRPr="00197D5F" w:rsidRDefault="00197D5F" w:rsidP="00197D5F">
      <w:pPr>
        <w:pStyle w:val="SingleTxtG"/>
        <w:rPr>
          <w:lang w:val="fr-FR"/>
        </w:rPr>
      </w:pPr>
      <w:r w:rsidRPr="00197D5F">
        <w:rPr>
          <w:lang w:val="fr-FR"/>
        </w:rPr>
        <w:t>265.</w:t>
      </w:r>
      <w:r w:rsidRPr="00197D5F">
        <w:rPr>
          <w:lang w:val="fr-FR"/>
        </w:rPr>
        <w:tab/>
        <w:t xml:space="preserve">En mai </w:t>
      </w:r>
      <w:smartTag w:uri="urn:schemas-microsoft-com:office:smarttags" w:element="metricconverter">
        <w:smartTagPr>
          <w:attr w:name="ProductID" w:val="2005 a"/>
        </w:smartTagPr>
        <w:r w:rsidRPr="00197D5F">
          <w:rPr>
            <w:lang w:val="fr-FR"/>
          </w:rPr>
          <w:t>2005 a</w:t>
        </w:r>
      </w:smartTag>
      <w:r w:rsidRPr="00197D5F">
        <w:rPr>
          <w:lang w:val="fr-FR"/>
        </w:rPr>
        <w:t xml:space="preserve"> été promulguée </w:t>
      </w:r>
      <w:smartTag w:uri="urn:schemas-microsoft-com:office:smarttags" w:element="PersonName">
        <w:smartTagPr>
          <w:attr w:name="ProductID" w:val="la Loi"/>
        </w:smartTagPr>
        <w:r w:rsidRPr="00197D5F">
          <w:rPr>
            <w:lang w:val="fr-FR"/>
          </w:rPr>
          <w:t>la Loi</w:t>
        </w:r>
      </w:smartTag>
      <w:r w:rsidRPr="00197D5F">
        <w:rPr>
          <w:lang w:val="fr-FR"/>
        </w:rPr>
        <w:t xml:space="preserve"> sur les établissements pénitentiaires et le traitement des condamnés (note</w:t>
      </w:r>
      <w:r w:rsidR="00277023">
        <w:rPr>
          <w:lang w:val="fr-FR"/>
        </w:rPr>
        <w:t>:</w:t>
      </w:r>
      <w:r w:rsidRPr="00197D5F">
        <w:rPr>
          <w:lang w:val="fr-FR"/>
        </w:rPr>
        <w:t xml:space="preserve"> entrée en application prévue en 2006), qui définit clairement les normes de prévention de toutes les formes de violence physique ou psychologique. Ainsi, les mesures à prendre pour maintenir convenablement la discipline et l</w:t>
      </w:r>
      <w:r w:rsidR="00277023">
        <w:rPr>
          <w:lang w:val="fr-FR"/>
        </w:rPr>
        <w:t>’</w:t>
      </w:r>
      <w:r w:rsidRPr="00197D5F">
        <w:rPr>
          <w:lang w:val="fr-FR"/>
        </w:rPr>
        <w:t xml:space="preserve">ordre dans les établissements pénitentiaires </w:t>
      </w:r>
      <w:r w:rsidR="008E49D4">
        <w:rPr>
          <w:lang w:val="fr-FR"/>
        </w:rPr>
        <w:t>“</w:t>
      </w:r>
      <w:r w:rsidRPr="00197D5F">
        <w:rPr>
          <w:lang w:val="fr-FR"/>
        </w:rPr>
        <w:t>ne dépasseront pas la mesure nécessaire à assurer la réclusion des détenus et à maintenir un environnement adapté à leur traitement et propre à assurer une vie collective pacifique et sans danger</w:t>
      </w:r>
      <w:r w:rsidR="00877226">
        <w:rPr>
          <w:lang w:val="fr-FR"/>
        </w:rPr>
        <w:t>”</w:t>
      </w:r>
      <w:r w:rsidRPr="00197D5F">
        <w:rPr>
          <w:lang w:val="fr-FR"/>
        </w:rPr>
        <w:t xml:space="preserve"> (paragraphe 2 de l</w:t>
      </w:r>
      <w:r w:rsidR="00277023">
        <w:rPr>
          <w:lang w:val="fr-FR"/>
        </w:rPr>
        <w:t>’</w:t>
      </w:r>
      <w:r w:rsidRPr="00197D5F">
        <w:rPr>
          <w:lang w:val="fr-FR"/>
        </w:rPr>
        <w:t xml:space="preserve">article 50), et </w:t>
      </w:r>
      <w:r w:rsidR="008E49D4">
        <w:rPr>
          <w:lang w:val="fr-FR"/>
        </w:rPr>
        <w:t>“</w:t>
      </w:r>
      <w:r w:rsidRPr="00197D5F">
        <w:rPr>
          <w:lang w:val="fr-FR"/>
        </w:rPr>
        <w:t>les sanctions disciplinaires ne dépasseront pas la mesure requise pour empêcher les détenus de commettre des actes constituant une infraction aux règlements</w:t>
      </w:r>
      <w:r w:rsidR="008E49D4">
        <w:rPr>
          <w:lang w:val="fr-FR"/>
        </w:rPr>
        <w:t>”</w:t>
      </w:r>
      <w:r w:rsidRPr="00197D5F">
        <w:rPr>
          <w:lang w:val="fr-FR"/>
        </w:rPr>
        <w:t xml:space="preserve"> (paragraphe 3 de l</w:t>
      </w:r>
      <w:r w:rsidR="00277023">
        <w:rPr>
          <w:lang w:val="fr-FR"/>
        </w:rPr>
        <w:t>’</w:t>
      </w:r>
      <w:r w:rsidRPr="00197D5F">
        <w:rPr>
          <w:lang w:val="fr-FR"/>
        </w:rPr>
        <w:t>article 105). Dans le cas où un membre du personnel pénitentiaire fait un usage illicite de la force physique, ou illicite et déplacé de moyens de contrainte tels que des menottes (paragraphe 2 de l</w:t>
      </w:r>
      <w:r w:rsidR="00277023">
        <w:rPr>
          <w:lang w:val="fr-FR"/>
        </w:rPr>
        <w:t>’</w:t>
      </w:r>
      <w:r w:rsidRPr="00197D5F">
        <w:rPr>
          <w:lang w:val="fr-FR"/>
        </w:rPr>
        <w:t>article 111) à l</w:t>
      </w:r>
      <w:r w:rsidR="00277023">
        <w:rPr>
          <w:lang w:val="fr-FR"/>
        </w:rPr>
        <w:t>’</w:t>
      </w:r>
      <w:r w:rsidRPr="00197D5F">
        <w:rPr>
          <w:lang w:val="fr-FR"/>
        </w:rPr>
        <w:t>encontre d</w:t>
      </w:r>
      <w:r w:rsidR="00277023">
        <w:rPr>
          <w:lang w:val="fr-FR"/>
        </w:rPr>
        <w:t>’</w:t>
      </w:r>
      <w:r w:rsidRPr="00197D5F">
        <w:rPr>
          <w:lang w:val="fr-FR"/>
        </w:rPr>
        <w:t>un détenu, celui-ci peut en informer le supérieur hiérarchique du directeur de l</w:t>
      </w:r>
      <w:r w:rsidR="00277023">
        <w:rPr>
          <w:lang w:val="fr-FR"/>
        </w:rPr>
        <w:t>’</w:t>
      </w:r>
      <w:r w:rsidRPr="00197D5F">
        <w:rPr>
          <w:lang w:val="fr-FR"/>
        </w:rPr>
        <w:t>établissement pénitentiaire où cet acte a été commis, et le supérieur saisi de la plainte devra, s</w:t>
      </w:r>
      <w:r w:rsidR="00277023">
        <w:rPr>
          <w:lang w:val="fr-FR"/>
        </w:rPr>
        <w:t>’</w:t>
      </w:r>
      <w:r w:rsidRPr="00197D5F">
        <w:rPr>
          <w:lang w:val="fr-FR"/>
        </w:rPr>
        <w:t>il le juge nécessaire après confirmation des faits, prendre les dispositions requises pour empêcher toute récidive (articles 118 et 119). S</w:t>
      </w:r>
      <w:r w:rsidR="00277023">
        <w:rPr>
          <w:lang w:val="fr-FR"/>
        </w:rPr>
        <w:t>’</w:t>
      </w:r>
      <w:r w:rsidRPr="00197D5F">
        <w:rPr>
          <w:lang w:val="fr-FR"/>
        </w:rPr>
        <w:t>il s</w:t>
      </w:r>
      <w:r w:rsidR="00277023">
        <w:rPr>
          <w:lang w:val="fr-FR"/>
        </w:rPr>
        <w:t>’</w:t>
      </w:r>
      <w:r w:rsidRPr="00197D5F">
        <w:rPr>
          <w:lang w:val="fr-FR"/>
        </w:rPr>
        <w:t>agit de prendre des mesures contre des conditions de détention plus sévères que la normale, par exemple une sanction disciplinaire consistant à confiner un détenu dans sa cellule, un expert médical devra d</w:t>
      </w:r>
      <w:r w:rsidR="00277023">
        <w:rPr>
          <w:lang w:val="fr-FR"/>
        </w:rPr>
        <w:t>’</w:t>
      </w:r>
      <w:r w:rsidRPr="00197D5F">
        <w:rPr>
          <w:lang w:val="fr-FR"/>
        </w:rPr>
        <w:t>abord se prononcer</w:t>
      </w:r>
      <w:r w:rsidR="00EA1115">
        <w:rPr>
          <w:lang w:val="fr-FR"/>
        </w:rPr>
        <w:t xml:space="preserve"> </w:t>
      </w:r>
      <w:r w:rsidRPr="00197D5F">
        <w:rPr>
          <w:lang w:val="fr-FR"/>
        </w:rPr>
        <w:t>sur l</w:t>
      </w:r>
      <w:r w:rsidR="00277023">
        <w:rPr>
          <w:lang w:val="fr-FR"/>
        </w:rPr>
        <w:t>’</w:t>
      </w:r>
      <w:r w:rsidRPr="00197D5F">
        <w:rPr>
          <w:lang w:val="fr-FR"/>
        </w:rPr>
        <w:t>état de santé du détenu (paragraphe 2 de l</w:t>
      </w:r>
      <w:r w:rsidR="00277023">
        <w:rPr>
          <w:lang w:val="fr-FR"/>
        </w:rPr>
        <w:t>’</w:t>
      </w:r>
      <w:r w:rsidRPr="00197D5F">
        <w:rPr>
          <w:lang w:val="fr-FR"/>
        </w:rPr>
        <w:t>article 111).</w:t>
      </w:r>
    </w:p>
    <w:p w:rsidR="00197D5F" w:rsidRPr="00197D5F" w:rsidRDefault="00197D5F" w:rsidP="00197D5F">
      <w:pPr>
        <w:pStyle w:val="SingleTxtG"/>
        <w:rPr>
          <w:lang w:val="fr-FR"/>
        </w:rPr>
      </w:pPr>
      <w:r w:rsidRPr="00197D5F">
        <w:rPr>
          <w:lang w:val="fr-FR"/>
        </w:rPr>
        <w:t>(Procédure de dépôt de plainte dans les établissements pénitentiaires)</w:t>
      </w:r>
    </w:p>
    <w:p w:rsidR="00197D5F" w:rsidRPr="00197D5F" w:rsidRDefault="00197D5F" w:rsidP="00197D5F">
      <w:pPr>
        <w:pStyle w:val="SingleTxtG"/>
        <w:rPr>
          <w:lang w:val="fr-FR"/>
        </w:rPr>
      </w:pPr>
      <w:r w:rsidRPr="00197D5F">
        <w:rPr>
          <w:lang w:val="fr-FR"/>
        </w:rPr>
        <w:t>266.</w:t>
      </w:r>
      <w:r w:rsidRPr="00197D5F">
        <w:rPr>
          <w:lang w:val="fr-FR"/>
        </w:rPr>
        <w:tab/>
        <w:t xml:space="preserve">Les procédures de dépôt de plainte dans les établissements pénitentiaires ont déjà été exposées au paragraphe 110 du rapport initial du Japon et aux paragraphes 430-434 du deuxième rapport du Japon. Cependant, </w:t>
      </w:r>
      <w:smartTag w:uri="urn:schemas-microsoft-com:office:smarttags" w:element="PersonName">
        <w:smartTagPr>
          <w:attr w:name="ProductID" w:val="la Loi"/>
        </w:smartTagPr>
        <w:r w:rsidRPr="00197D5F">
          <w:rPr>
            <w:lang w:val="fr-FR"/>
          </w:rPr>
          <w:t>la Loi</w:t>
        </w:r>
      </w:smartTag>
      <w:r w:rsidRPr="00197D5F">
        <w:rPr>
          <w:lang w:val="fr-FR"/>
        </w:rPr>
        <w:t xml:space="preserve"> sur les établissements pénitentiaires et le traitement des condamnés (</w:t>
      </w:r>
      <w:r w:rsidR="00862799" w:rsidRPr="00197D5F">
        <w:rPr>
          <w:lang w:val="fr-FR"/>
        </w:rPr>
        <w:t>No</w:t>
      </w:r>
      <w:r w:rsidRPr="00197D5F">
        <w:rPr>
          <w:lang w:val="fr-FR"/>
        </w:rPr>
        <w:t>. 50 de 2005) établit les nouvelles procédures suivantes pour les condamnés placés dans des établissements pénitentiaires</w:t>
      </w:r>
      <w:r w:rsidR="00277023">
        <w:rPr>
          <w:lang w:val="fr-FR"/>
        </w:rPr>
        <w:t>:</w:t>
      </w:r>
      <w:r w:rsidRPr="00197D5F">
        <w:rPr>
          <w:lang w:val="fr-FR"/>
        </w:rPr>
        <w:t xml:space="preserve"> </w:t>
      </w:r>
    </w:p>
    <w:p w:rsidR="00197D5F" w:rsidRPr="00197D5F" w:rsidRDefault="00197D5F" w:rsidP="00197D5F">
      <w:pPr>
        <w:pStyle w:val="SingleTxtG"/>
        <w:rPr>
          <w:lang w:val="fr-FR"/>
        </w:rPr>
      </w:pPr>
      <w:r w:rsidRPr="00197D5F">
        <w:rPr>
          <w:lang w:val="fr-FR"/>
        </w:rPr>
        <w:tab/>
        <w:t>1)</w:t>
      </w:r>
      <w:r>
        <w:rPr>
          <w:lang w:val="fr-FR"/>
        </w:rPr>
        <w:tab/>
      </w:r>
      <w:r w:rsidRPr="00197D5F">
        <w:rPr>
          <w:lang w:val="fr-FR"/>
        </w:rPr>
        <w:t>Un détenu qui s</w:t>
      </w:r>
      <w:r w:rsidR="00277023">
        <w:rPr>
          <w:lang w:val="fr-FR"/>
        </w:rPr>
        <w:t>’</w:t>
      </w:r>
      <w:r w:rsidRPr="00197D5F">
        <w:rPr>
          <w:lang w:val="fr-FR"/>
        </w:rPr>
        <w:t>est vu infliger certaines mesures par le directeur de l</w:t>
      </w:r>
      <w:r w:rsidR="00277023">
        <w:rPr>
          <w:lang w:val="fr-FR"/>
        </w:rPr>
        <w:t>’</w:t>
      </w:r>
      <w:r w:rsidRPr="00197D5F">
        <w:rPr>
          <w:lang w:val="fr-FR"/>
        </w:rPr>
        <w:t>établissement pénitentiaire et qui en est mécontent peut requérir une inspection de la part de la direction régionale de l</w:t>
      </w:r>
      <w:r w:rsidR="00277023">
        <w:rPr>
          <w:lang w:val="fr-FR"/>
        </w:rPr>
        <w:t>’</w:t>
      </w:r>
      <w:r w:rsidRPr="00197D5F">
        <w:rPr>
          <w:lang w:val="fr-FR"/>
        </w:rPr>
        <w:t>administration pénitentiaire. De plus, s</w:t>
      </w:r>
      <w:r w:rsidR="00277023">
        <w:rPr>
          <w:lang w:val="fr-FR"/>
        </w:rPr>
        <w:t>’</w:t>
      </w:r>
      <w:r w:rsidRPr="00197D5F">
        <w:rPr>
          <w:lang w:val="fr-FR"/>
        </w:rPr>
        <w:t>il est toujours mécontent de la décision prise à la suite à sa requête, il peut saisir le Ministre de la justice pour un réexamen.</w:t>
      </w:r>
    </w:p>
    <w:p w:rsidR="00197D5F" w:rsidRPr="00197D5F" w:rsidRDefault="00197D5F" w:rsidP="00197D5F">
      <w:pPr>
        <w:pStyle w:val="SingleTxtG"/>
        <w:rPr>
          <w:lang w:val="fr-FR"/>
        </w:rPr>
      </w:pPr>
      <w:r w:rsidRPr="00197D5F">
        <w:rPr>
          <w:lang w:val="fr-FR"/>
        </w:rPr>
        <w:tab/>
        <w:t>2)</w:t>
      </w:r>
      <w:r>
        <w:rPr>
          <w:lang w:val="fr-FR"/>
        </w:rPr>
        <w:tab/>
      </w:r>
      <w:r w:rsidRPr="00197D5F">
        <w:rPr>
          <w:lang w:val="fr-FR"/>
        </w:rPr>
        <w:t>Un détenu qui a été soumis à un usage illicite de la force physique par des membres du personnel pénitentiaire peut signaler les faits à la direction régionale de l</w:t>
      </w:r>
      <w:r w:rsidR="00277023">
        <w:rPr>
          <w:lang w:val="fr-FR"/>
        </w:rPr>
        <w:t>’</w:t>
      </w:r>
      <w:r w:rsidRPr="00197D5F">
        <w:rPr>
          <w:lang w:val="fr-FR"/>
        </w:rPr>
        <w:t>administration pénitentiaire. En outre, un détenu peut adresser un rapport des faits au Ministre de la justice s</w:t>
      </w:r>
      <w:r w:rsidR="00277023">
        <w:rPr>
          <w:lang w:val="fr-FR"/>
        </w:rPr>
        <w:t>’</w:t>
      </w:r>
      <w:r w:rsidRPr="00197D5F">
        <w:rPr>
          <w:lang w:val="fr-FR"/>
        </w:rPr>
        <w:t xml:space="preserve">il est mécontent du résultat de la confirmation des faits présentés dans le rapport initial. </w:t>
      </w:r>
    </w:p>
    <w:p w:rsidR="00197D5F" w:rsidRPr="00197D5F" w:rsidRDefault="00197D5F" w:rsidP="00197D5F">
      <w:pPr>
        <w:pStyle w:val="SingleTxtG"/>
        <w:rPr>
          <w:lang w:val="fr-FR"/>
        </w:rPr>
      </w:pPr>
      <w:r w:rsidRPr="00197D5F">
        <w:rPr>
          <w:lang w:val="fr-FR"/>
        </w:rPr>
        <w:tab/>
        <w:t>3)</w:t>
      </w:r>
      <w:r>
        <w:rPr>
          <w:lang w:val="fr-FR"/>
        </w:rPr>
        <w:tab/>
      </w:r>
      <w:r w:rsidRPr="00197D5F">
        <w:rPr>
          <w:lang w:val="fr-FR"/>
        </w:rPr>
        <w:t>Un détenu peut déposer une plainte auprès du Ministre de la justice, d</w:t>
      </w:r>
      <w:r w:rsidR="00277023">
        <w:rPr>
          <w:lang w:val="fr-FR"/>
        </w:rPr>
        <w:t>’</w:t>
      </w:r>
      <w:r w:rsidRPr="00197D5F">
        <w:rPr>
          <w:lang w:val="fr-FR"/>
        </w:rPr>
        <w:t>un inspecteur ou d</w:t>
      </w:r>
      <w:r w:rsidR="00277023">
        <w:rPr>
          <w:lang w:val="fr-FR"/>
        </w:rPr>
        <w:t>’</w:t>
      </w:r>
      <w:r w:rsidRPr="00197D5F">
        <w:rPr>
          <w:lang w:val="fr-FR"/>
        </w:rPr>
        <w:t xml:space="preserve">un directeur de prison concernant le traitement qui lui est infligé. </w:t>
      </w:r>
    </w:p>
    <w:p w:rsidR="00197D5F" w:rsidRPr="00197D5F" w:rsidRDefault="00197D5F" w:rsidP="00197D5F">
      <w:pPr>
        <w:pStyle w:val="SingleTxtG"/>
        <w:rPr>
          <w:lang w:val="fr-FR"/>
        </w:rPr>
      </w:pPr>
      <w:r w:rsidRPr="00197D5F">
        <w:rPr>
          <w:lang w:val="fr-FR"/>
        </w:rPr>
        <w:t>(Mesures prises pour enquêter sur les auteurs de châtiments corporels et les sanctionner)</w:t>
      </w:r>
    </w:p>
    <w:p w:rsidR="00197D5F" w:rsidRPr="00197D5F" w:rsidRDefault="00197D5F" w:rsidP="00197D5F">
      <w:pPr>
        <w:pStyle w:val="SingleTxtG"/>
        <w:rPr>
          <w:lang w:val="fr-FR"/>
        </w:rPr>
      </w:pPr>
      <w:r w:rsidRPr="00197D5F">
        <w:rPr>
          <w:lang w:val="fr-FR"/>
        </w:rPr>
        <w:t>267.</w:t>
      </w:r>
      <w:r w:rsidRPr="00197D5F">
        <w:rPr>
          <w:lang w:val="fr-FR"/>
        </w:rPr>
        <w:tab/>
        <w:t>Entre mai 2001 et septembre 2005, il y a eu 12 cas dans lesquels des fonctionnaires ont fait l</w:t>
      </w:r>
      <w:r w:rsidR="00277023">
        <w:rPr>
          <w:lang w:val="fr-FR"/>
        </w:rPr>
        <w:t>’</w:t>
      </w:r>
      <w:r w:rsidRPr="00197D5F">
        <w:rPr>
          <w:lang w:val="fr-FR"/>
        </w:rPr>
        <w:t xml:space="preserve">objet de sanctions disciplinaires en application de </w:t>
      </w:r>
      <w:smartTag w:uri="urn:schemas-microsoft-com:office:smarttags" w:element="PersonName">
        <w:smartTagPr>
          <w:attr w:name="ProductID" w:val="la Loi"/>
        </w:smartTagPr>
        <w:r w:rsidRPr="00197D5F">
          <w:rPr>
            <w:lang w:val="fr-FR"/>
          </w:rPr>
          <w:t>la Loi</w:t>
        </w:r>
      </w:smartTag>
      <w:r w:rsidRPr="00197D5F">
        <w:rPr>
          <w:lang w:val="fr-FR"/>
        </w:rPr>
        <w:t xml:space="preserve"> sur la fonction publique, pour voies de fait sur un détenu mineur dans un centre de formation pour mineurs, un foyer de classification des mineurs ou une prison pour mineurs. Lorsque ces incidents se produisent, le directeur de l</w:t>
      </w:r>
      <w:r w:rsidR="00277023">
        <w:rPr>
          <w:lang w:val="fr-FR"/>
        </w:rPr>
        <w:t>’</w:t>
      </w:r>
      <w:r w:rsidRPr="00197D5F">
        <w:rPr>
          <w:lang w:val="fr-FR"/>
        </w:rPr>
        <w:t>établissement prend les dispositions requises pour empêcher que les faits ne se reproduisent, comme par exemple adresser immédiatement une mise en garde à l</w:t>
      </w:r>
      <w:r w:rsidR="00277023">
        <w:rPr>
          <w:lang w:val="fr-FR"/>
        </w:rPr>
        <w:t>’</w:t>
      </w:r>
      <w:r w:rsidRPr="00197D5F">
        <w:rPr>
          <w:lang w:val="fr-FR"/>
        </w:rPr>
        <w:t>ensemble du personnel et dispenser une formation sur les droits fondamentaux des détenus.</w:t>
      </w:r>
    </w:p>
    <w:p w:rsidR="00197D5F" w:rsidRPr="00197D5F" w:rsidRDefault="00197D5F" w:rsidP="00197D5F">
      <w:pPr>
        <w:pStyle w:val="SingleTxtG"/>
        <w:rPr>
          <w:lang w:val="fr-FR"/>
        </w:rPr>
      </w:pPr>
      <w:r w:rsidRPr="00197D5F">
        <w:rPr>
          <w:lang w:val="fr-FR"/>
        </w:rPr>
        <w:t>(Procès)</w:t>
      </w:r>
    </w:p>
    <w:p w:rsidR="00197D5F" w:rsidRPr="00197D5F" w:rsidRDefault="00197D5F" w:rsidP="00197D5F">
      <w:pPr>
        <w:pStyle w:val="SingleTxtG"/>
        <w:rPr>
          <w:lang w:val="fr-FR"/>
        </w:rPr>
      </w:pPr>
      <w:r w:rsidRPr="00197D5F">
        <w:rPr>
          <w:lang w:val="fr-FR"/>
        </w:rPr>
        <w:t>268.</w:t>
      </w:r>
      <w:r w:rsidRPr="00197D5F">
        <w:rPr>
          <w:lang w:val="fr-FR"/>
        </w:rPr>
        <w:tab/>
        <w:t>Il n</w:t>
      </w:r>
      <w:r w:rsidR="00277023">
        <w:rPr>
          <w:lang w:val="fr-FR"/>
        </w:rPr>
        <w:t>’</w:t>
      </w:r>
      <w:r w:rsidRPr="00197D5F">
        <w:rPr>
          <w:lang w:val="fr-FR"/>
        </w:rPr>
        <w:t>y a aucune décision de justice dans laquelle un enfant aurait été reconnu victime d</w:t>
      </w:r>
      <w:r w:rsidR="00277023">
        <w:rPr>
          <w:lang w:val="fr-FR"/>
        </w:rPr>
        <w:t>’</w:t>
      </w:r>
      <w:r w:rsidRPr="00197D5F">
        <w:rPr>
          <w:lang w:val="fr-FR"/>
        </w:rPr>
        <w:t xml:space="preserve">actes de torture. </w:t>
      </w:r>
    </w:p>
    <w:p w:rsidR="00197D5F" w:rsidRPr="00197D5F" w:rsidRDefault="00197D5F" w:rsidP="00197D5F">
      <w:pPr>
        <w:pStyle w:val="HChG"/>
        <w:rPr>
          <w:lang w:val="fr-FR"/>
        </w:rPr>
      </w:pPr>
      <w:r>
        <w:rPr>
          <w:lang w:val="fr-FR"/>
        </w:rPr>
        <w:tab/>
        <w:t>V.</w:t>
      </w:r>
      <w:r>
        <w:rPr>
          <w:lang w:val="fr-FR"/>
        </w:rPr>
        <w:tab/>
      </w:r>
      <w:r w:rsidRPr="00197D5F">
        <w:rPr>
          <w:lang w:val="fr-FR"/>
        </w:rPr>
        <w:t>Milieu familial et protection de remplacement</w:t>
      </w:r>
    </w:p>
    <w:p w:rsidR="00197D5F" w:rsidRPr="00197D5F" w:rsidRDefault="00197D5F" w:rsidP="00197D5F">
      <w:pPr>
        <w:pStyle w:val="H1G"/>
        <w:rPr>
          <w:lang w:val="fr-FR"/>
        </w:rPr>
      </w:pPr>
      <w:r>
        <w:rPr>
          <w:lang w:val="fr-FR"/>
        </w:rPr>
        <w:tab/>
        <w:t>A.</w:t>
      </w:r>
      <w:r>
        <w:rPr>
          <w:lang w:val="fr-FR"/>
        </w:rPr>
        <w:tab/>
      </w:r>
      <w:r w:rsidRPr="00197D5F">
        <w:rPr>
          <w:lang w:val="fr-FR"/>
        </w:rPr>
        <w:t>Guidance parentale (article 5)</w:t>
      </w:r>
    </w:p>
    <w:p w:rsidR="00197D5F" w:rsidRPr="00197D5F" w:rsidRDefault="00197D5F" w:rsidP="00197D5F">
      <w:pPr>
        <w:pStyle w:val="SingleTxtG"/>
        <w:rPr>
          <w:lang w:val="fr-FR"/>
        </w:rPr>
      </w:pPr>
      <w:r w:rsidRPr="00197D5F">
        <w:rPr>
          <w:lang w:val="fr-FR"/>
        </w:rPr>
        <w:t>(Guidance parentale)</w:t>
      </w:r>
    </w:p>
    <w:p w:rsidR="00197D5F" w:rsidRPr="00197D5F" w:rsidRDefault="00197D5F" w:rsidP="00197D5F">
      <w:pPr>
        <w:pStyle w:val="SingleTxtG"/>
        <w:rPr>
          <w:lang w:val="fr-FR"/>
        </w:rPr>
      </w:pPr>
      <w:r w:rsidRPr="00197D5F">
        <w:rPr>
          <w:lang w:val="fr-FR"/>
        </w:rPr>
        <w:t>269.</w:t>
      </w:r>
      <w:r w:rsidRPr="00197D5F">
        <w:rPr>
          <w:lang w:val="fr-FR"/>
        </w:rPr>
        <w:tab/>
        <w:t xml:space="preserve">Voir paragraphe 213 du deuxième rapport du Japon (paragraphes 111 et 112 du rapport initial du Japon) </w:t>
      </w:r>
    </w:p>
    <w:p w:rsidR="00197D5F" w:rsidRPr="00197D5F" w:rsidRDefault="00197D5F" w:rsidP="00197D5F">
      <w:pPr>
        <w:pStyle w:val="SingleTxtG"/>
        <w:rPr>
          <w:lang w:val="fr-FR"/>
        </w:rPr>
      </w:pPr>
      <w:r w:rsidRPr="00197D5F">
        <w:rPr>
          <w:lang w:val="fr-FR"/>
        </w:rPr>
        <w:t>(Conseil familial sur les droits des enfants, programmes éducatifs et activités de sensibilisation pour les parents, programmes de formation pour les professionnels concernés)</w:t>
      </w:r>
    </w:p>
    <w:p w:rsidR="00197D5F" w:rsidRPr="00197D5F" w:rsidRDefault="00197D5F" w:rsidP="00197D5F">
      <w:pPr>
        <w:pStyle w:val="SingleTxtG"/>
        <w:rPr>
          <w:lang w:val="fr-FR"/>
        </w:rPr>
      </w:pPr>
      <w:r w:rsidRPr="00197D5F">
        <w:rPr>
          <w:lang w:val="fr-FR"/>
        </w:rPr>
        <w:t>270.</w:t>
      </w:r>
      <w:r w:rsidRPr="00197D5F">
        <w:rPr>
          <w:lang w:val="fr-FR"/>
        </w:rPr>
        <w:tab/>
        <w:t xml:space="preserve">Voir paragraphe 214 du deuxième rapport du Japon. </w:t>
      </w:r>
    </w:p>
    <w:p w:rsidR="00197D5F" w:rsidRPr="00197D5F" w:rsidRDefault="00197D5F" w:rsidP="00197D5F">
      <w:pPr>
        <w:pStyle w:val="SingleTxtG"/>
        <w:rPr>
          <w:lang w:val="fr-FR"/>
        </w:rPr>
      </w:pPr>
      <w:r w:rsidRPr="00197D5F">
        <w:rPr>
          <w:lang w:val="fr-FR"/>
        </w:rPr>
        <w:t xml:space="preserve">(Consultation et assistance de spécialistes dans les cas de troubles du développement) </w:t>
      </w:r>
    </w:p>
    <w:p w:rsidR="00197D5F" w:rsidRPr="00197D5F" w:rsidRDefault="00197D5F" w:rsidP="00197D5F">
      <w:pPr>
        <w:pStyle w:val="SingleTxtG"/>
        <w:rPr>
          <w:lang w:val="fr-FR"/>
        </w:rPr>
      </w:pPr>
      <w:r w:rsidRPr="00197D5F">
        <w:rPr>
          <w:lang w:val="fr-FR"/>
        </w:rPr>
        <w:t>271.</w:t>
      </w:r>
      <w:r w:rsidRPr="00197D5F">
        <w:rPr>
          <w:lang w:val="fr-FR"/>
        </w:rPr>
        <w:tab/>
        <w:t>Dans les centres d</w:t>
      </w:r>
      <w:r w:rsidR="00277023">
        <w:rPr>
          <w:lang w:val="fr-FR"/>
        </w:rPr>
        <w:t>’</w:t>
      </w:r>
      <w:r w:rsidRPr="00197D5F">
        <w:rPr>
          <w:lang w:val="fr-FR"/>
        </w:rPr>
        <w:t xml:space="preserve">assistance aux personnes présentant des troubles du développement, établis en application de </w:t>
      </w:r>
      <w:smartTag w:uri="urn:schemas-microsoft-com:office:smarttags" w:element="PersonName">
        <w:smartTagPr>
          <w:attr w:name="ProductID" w:val="la Loi"/>
        </w:smartTagPr>
        <w:r w:rsidRPr="00197D5F">
          <w:rPr>
            <w:lang w:val="fr-FR"/>
          </w:rPr>
          <w:t>la Loi</w:t>
        </w:r>
      </w:smartTag>
      <w:r w:rsidRPr="00197D5F">
        <w:rPr>
          <w:lang w:val="fr-FR"/>
        </w:rPr>
        <w:t xml:space="preserve"> sur l</w:t>
      </w:r>
      <w:r w:rsidR="00277023">
        <w:rPr>
          <w:lang w:val="fr-FR"/>
        </w:rPr>
        <w:t>’</w:t>
      </w:r>
      <w:r w:rsidRPr="00197D5F">
        <w:rPr>
          <w:lang w:val="fr-FR"/>
        </w:rPr>
        <w:t>assistance aux personnes handicapées, des consultations</w:t>
      </w:r>
      <w:r w:rsidR="00EA1115">
        <w:rPr>
          <w:lang w:val="fr-FR"/>
        </w:rPr>
        <w:t xml:space="preserve"> </w:t>
      </w:r>
      <w:r w:rsidRPr="00197D5F">
        <w:rPr>
          <w:lang w:val="fr-FR"/>
        </w:rPr>
        <w:t>et conseils de spécialistes sont offerts aux personnes présentant un trouble du développement, y compris les enfants et leurs parents, afin de permettre un dépistage précoce des troubles et d</w:t>
      </w:r>
      <w:r w:rsidR="00277023">
        <w:rPr>
          <w:lang w:val="fr-FR"/>
        </w:rPr>
        <w:t>’</w:t>
      </w:r>
      <w:r w:rsidRPr="00197D5F">
        <w:rPr>
          <w:lang w:val="fr-FR"/>
        </w:rPr>
        <w:t xml:space="preserve">intervenir rapidement. </w:t>
      </w:r>
    </w:p>
    <w:p w:rsidR="00197D5F" w:rsidRPr="00197D5F" w:rsidRDefault="00197D5F" w:rsidP="00197D5F">
      <w:pPr>
        <w:pStyle w:val="SingleTxtG"/>
        <w:rPr>
          <w:lang w:val="fr-FR"/>
        </w:rPr>
      </w:pPr>
      <w:r w:rsidRPr="00197D5F">
        <w:rPr>
          <w:lang w:val="fr-FR"/>
        </w:rPr>
        <w:t xml:space="preserve">(Observation des principes directeurs de </w:t>
      </w:r>
      <w:smartTag w:uri="urn:schemas-microsoft-com:office:smarttags" w:element="PersonName">
        <w:smartTagPr>
          <w:attr w:name="ProductID" w:val="LA CONVENTION"/>
        </w:smartTagPr>
        <w:r w:rsidRPr="00197D5F">
          <w:rPr>
            <w:lang w:val="fr-FR"/>
          </w:rPr>
          <w:t>la Convention</w:t>
        </w:r>
      </w:smartTag>
      <w:r w:rsidRPr="00197D5F">
        <w:rPr>
          <w:lang w:val="fr-FR"/>
        </w:rPr>
        <w:t xml:space="preserve"> tels que la non-discrimination et le respect de l</w:t>
      </w:r>
      <w:r w:rsidR="00277023">
        <w:rPr>
          <w:lang w:val="fr-FR"/>
        </w:rPr>
        <w:t>’</w:t>
      </w:r>
      <w:r w:rsidRPr="00197D5F">
        <w:rPr>
          <w:lang w:val="fr-FR"/>
        </w:rPr>
        <w:t>intérêt supérieur de l</w:t>
      </w:r>
      <w:r w:rsidR="00277023">
        <w:rPr>
          <w:lang w:val="fr-FR"/>
        </w:rPr>
        <w:t>’</w:t>
      </w:r>
      <w:r w:rsidRPr="00197D5F">
        <w:rPr>
          <w:lang w:val="fr-FR"/>
        </w:rPr>
        <w:t>enfant. Progrès accomplis et problèmes rencontrés dans le cadre de l</w:t>
      </w:r>
      <w:r w:rsidR="00277023">
        <w:rPr>
          <w:lang w:val="fr-FR"/>
        </w:rPr>
        <w:t>’</w:t>
      </w:r>
      <w:r w:rsidRPr="00197D5F">
        <w:rPr>
          <w:lang w:val="fr-FR"/>
        </w:rPr>
        <w:t>application de l</w:t>
      </w:r>
      <w:r w:rsidR="00277023">
        <w:rPr>
          <w:lang w:val="fr-FR"/>
        </w:rPr>
        <w:t>’</w:t>
      </w:r>
      <w:r w:rsidRPr="00197D5F">
        <w:rPr>
          <w:lang w:val="fr-FR"/>
        </w:rPr>
        <w:t>article 5)</w:t>
      </w:r>
    </w:p>
    <w:p w:rsidR="00197D5F" w:rsidRPr="00197D5F" w:rsidRDefault="00197D5F" w:rsidP="00197D5F">
      <w:pPr>
        <w:pStyle w:val="SingleTxtG"/>
        <w:rPr>
          <w:lang w:val="fr-FR"/>
        </w:rPr>
      </w:pPr>
      <w:r w:rsidRPr="00197D5F">
        <w:rPr>
          <w:lang w:val="fr-FR"/>
        </w:rPr>
        <w:t>272.</w:t>
      </w:r>
      <w:r w:rsidRPr="00197D5F">
        <w:rPr>
          <w:lang w:val="fr-FR"/>
        </w:rPr>
        <w:tab/>
        <w:t xml:space="preserve">Voir paragraphe 217 du deuxième rapport du Japon (paragraphes 106-110 du deuxième rapport du Japon) </w:t>
      </w:r>
    </w:p>
    <w:p w:rsidR="00197D5F" w:rsidRPr="00197D5F" w:rsidRDefault="00197D5F" w:rsidP="00197D5F">
      <w:pPr>
        <w:pStyle w:val="H1G"/>
        <w:rPr>
          <w:lang w:val="fr-FR"/>
        </w:rPr>
      </w:pPr>
      <w:r>
        <w:rPr>
          <w:lang w:val="fr-FR"/>
        </w:rPr>
        <w:tab/>
        <w:t>B.</w:t>
      </w:r>
      <w:r>
        <w:rPr>
          <w:lang w:val="fr-FR"/>
        </w:rPr>
        <w:tab/>
      </w:r>
      <w:r w:rsidRPr="00197D5F">
        <w:rPr>
          <w:lang w:val="fr-FR"/>
        </w:rPr>
        <w:t>Responsabilité parentale (paragraphes 1 et 2 de l</w:t>
      </w:r>
      <w:r w:rsidR="00277023">
        <w:rPr>
          <w:lang w:val="fr-FR"/>
        </w:rPr>
        <w:t>’</w:t>
      </w:r>
      <w:r w:rsidRPr="00197D5F">
        <w:rPr>
          <w:lang w:val="fr-FR"/>
        </w:rPr>
        <w:t>article 18)</w:t>
      </w:r>
    </w:p>
    <w:p w:rsidR="00197D5F" w:rsidRPr="00197D5F" w:rsidRDefault="00197D5F" w:rsidP="00197D5F">
      <w:pPr>
        <w:pStyle w:val="SingleTxtG"/>
        <w:rPr>
          <w:lang w:val="fr-FR"/>
        </w:rPr>
      </w:pPr>
      <w:r w:rsidRPr="00197D5F">
        <w:rPr>
          <w:lang w:val="fr-FR"/>
        </w:rPr>
        <w:t xml:space="preserve">(Aspects juridiques de la responsabilité parentale) </w:t>
      </w:r>
    </w:p>
    <w:p w:rsidR="00197D5F" w:rsidRPr="00197D5F" w:rsidRDefault="00197D5F" w:rsidP="00197D5F">
      <w:pPr>
        <w:pStyle w:val="SingleTxtG"/>
        <w:rPr>
          <w:lang w:val="fr-FR"/>
        </w:rPr>
      </w:pPr>
      <w:r w:rsidRPr="00197D5F">
        <w:rPr>
          <w:lang w:val="fr-FR"/>
        </w:rPr>
        <w:t>273.</w:t>
      </w:r>
      <w:r w:rsidRPr="00197D5F">
        <w:rPr>
          <w:lang w:val="fr-FR"/>
        </w:rPr>
        <w:tab/>
        <w:t xml:space="preserve">Voir paragraphe 218 du deuxième rapport du Japon. </w:t>
      </w:r>
    </w:p>
    <w:p w:rsidR="00197D5F" w:rsidRPr="00197D5F" w:rsidRDefault="00197D5F" w:rsidP="00197D5F">
      <w:pPr>
        <w:pStyle w:val="SingleTxtG"/>
        <w:rPr>
          <w:lang w:val="fr-FR"/>
        </w:rPr>
      </w:pPr>
      <w:r w:rsidRPr="00197D5F">
        <w:rPr>
          <w:lang w:val="fr-FR"/>
        </w:rPr>
        <w:t>(Obligation de faire donner à un enfant une éducation générale)</w:t>
      </w:r>
    </w:p>
    <w:p w:rsidR="00197D5F" w:rsidRPr="00197D5F" w:rsidRDefault="00197D5F" w:rsidP="00197D5F">
      <w:pPr>
        <w:pStyle w:val="SingleTxtG"/>
        <w:rPr>
          <w:lang w:val="fr-FR"/>
        </w:rPr>
      </w:pPr>
      <w:r w:rsidRPr="00197D5F">
        <w:rPr>
          <w:lang w:val="fr-FR"/>
        </w:rPr>
        <w:t>274.</w:t>
      </w:r>
      <w:r w:rsidRPr="00197D5F">
        <w:rPr>
          <w:lang w:val="fr-FR"/>
        </w:rPr>
        <w:tab/>
        <w:t xml:space="preserve">Voir paragraphe 219 du deuxième rapport du Japon. </w:t>
      </w:r>
    </w:p>
    <w:p w:rsidR="00197D5F" w:rsidRPr="00197D5F" w:rsidRDefault="00197D5F" w:rsidP="00197D5F">
      <w:pPr>
        <w:pStyle w:val="SingleTxtG"/>
        <w:rPr>
          <w:lang w:val="fr-FR"/>
        </w:rPr>
      </w:pPr>
      <w:r w:rsidRPr="00197D5F">
        <w:rPr>
          <w:lang w:val="fr-FR"/>
        </w:rPr>
        <w:t>(Assistance aux personnes investies de l</w:t>
      </w:r>
      <w:r w:rsidR="00277023">
        <w:rPr>
          <w:lang w:val="fr-FR"/>
        </w:rPr>
        <w:t>’</w:t>
      </w:r>
      <w:r w:rsidRPr="00197D5F">
        <w:rPr>
          <w:lang w:val="fr-FR"/>
        </w:rPr>
        <w:t>autorité parentale)</w:t>
      </w:r>
    </w:p>
    <w:p w:rsidR="00197D5F" w:rsidRPr="00197D5F" w:rsidRDefault="00197D5F" w:rsidP="00197D5F">
      <w:pPr>
        <w:pStyle w:val="SingleTxtG"/>
        <w:rPr>
          <w:lang w:val="fr-FR"/>
        </w:rPr>
      </w:pPr>
      <w:r w:rsidRPr="00197D5F">
        <w:rPr>
          <w:lang w:val="fr-FR"/>
        </w:rPr>
        <w:t>275.</w:t>
      </w:r>
      <w:r w:rsidRPr="00197D5F">
        <w:rPr>
          <w:lang w:val="fr-FR"/>
        </w:rPr>
        <w:tab/>
        <w:t>Voir paragraphe 57. Les municipalités doivent également apporter l</w:t>
      </w:r>
      <w:r w:rsidR="00277023">
        <w:rPr>
          <w:lang w:val="fr-FR"/>
        </w:rPr>
        <w:t>’</w:t>
      </w:r>
      <w:r w:rsidRPr="00197D5F">
        <w:rPr>
          <w:lang w:val="fr-FR"/>
        </w:rPr>
        <w:t>aide requise aux représentants légaux dont les enfants d</w:t>
      </w:r>
      <w:r w:rsidR="00277023">
        <w:rPr>
          <w:lang w:val="fr-FR"/>
        </w:rPr>
        <w:t>’</w:t>
      </w:r>
      <w:r w:rsidRPr="00197D5F">
        <w:rPr>
          <w:lang w:val="fr-FR"/>
        </w:rPr>
        <w:t xml:space="preserve">âge scolaire ne peuvent être scolarisés pour des raisons financières (articles 25 et 40 de </w:t>
      </w:r>
      <w:smartTag w:uri="urn:schemas-microsoft-com:office:smarttags" w:element="PersonName">
        <w:smartTagPr>
          <w:attr w:name="ProductID" w:val="la Loi"/>
        </w:smartTagPr>
        <w:r w:rsidRPr="00197D5F">
          <w:rPr>
            <w:lang w:val="fr-FR"/>
          </w:rPr>
          <w:t>la Loi</w:t>
        </w:r>
      </w:smartTag>
      <w:r w:rsidRPr="00197D5F">
        <w:rPr>
          <w:lang w:val="fr-FR"/>
        </w:rPr>
        <w:t xml:space="preserve"> sur l</w:t>
      </w:r>
      <w:r w:rsidR="00277023">
        <w:rPr>
          <w:lang w:val="fr-FR"/>
        </w:rPr>
        <w:t>’</w:t>
      </w:r>
      <w:r w:rsidRPr="00197D5F">
        <w:rPr>
          <w:lang w:val="fr-FR"/>
        </w:rPr>
        <w:t>enseignement scolaire), afin que l</w:t>
      </w:r>
      <w:r w:rsidR="00277023">
        <w:rPr>
          <w:lang w:val="fr-FR"/>
        </w:rPr>
        <w:t>’</w:t>
      </w:r>
      <w:r w:rsidRPr="00197D5F">
        <w:rPr>
          <w:lang w:val="fr-FR"/>
        </w:rPr>
        <w:t>instruction obligatoire puisse être mise en œuvre sans problème. Le Gouvernement contribue également à promouvoir la mise en œuvre de l</w:t>
      </w:r>
      <w:r w:rsidR="00277023">
        <w:rPr>
          <w:lang w:val="fr-FR"/>
        </w:rPr>
        <w:t>’</w:t>
      </w:r>
      <w:r w:rsidRPr="00197D5F">
        <w:rPr>
          <w:lang w:val="fr-FR"/>
        </w:rPr>
        <w:t>instruction obligatoire en apportant l</w:t>
      </w:r>
      <w:r w:rsidR="00277023">
        <w:rPr>
          <w:lang w:val="fr-FR"/>
        </w:rPr>
        <w:t>’</w:t>
      </w:r>
      <w:r w:rsidRPr="00197D5F">
        <w:rPr>
          <w:lang w:val="fr-FR"/>
        </w:rPr>
        <w:t>aide nécessaire aux municipalités qui encouragent l</w:t>
      </w:r>
      <w:r w:rsidR="00277023">
        <w:rPr>
          <w:lang w:val="fr-FR"/>
        </w:rPr>
        <w:t>’</w:t>
      </w:r>
      <w:r w:rsidRPr="00197D5F">
        <w:rPr>
          <w:lang w:val="fr-FR"/>
        </w:rPr>
        <w:t>assiduité scolaire par la distribution gratuite des fournitures scolaires aux enfants qui ont des difficultés à fréquenter l</w:t>
      </w:r>
      <w:r w:rsidR="00277023">
        <w:rPr>
          <w:lang w:val="fr-FR"/>
        </w:rPr>
        <w:t>’</w:t>
      </w:r>
      <w:r w:rsidRPr="00197D5F">
        <w:rPr>
          <w:lang w:val="fr-FR"/>
        </w:rPr>
        <w:t xml:space="preserve">école pour des raisons financières, conformément à </w:t>
      </w:r>
      <w:smartTag w:uri="urn:schemas-microsoft-com:office:smarttags" w:element="PersonName">
        <w:smartTagPr>
          <w:attr w:name="ProductID" w:val="la Loi"/>
        </w:smartTagPr>
        <w:r w:rsidRPr="00197D5F">
          <w:rPr>
            <w:lang w:val="fr-FR"/>
          </w:rPr>
          <w:t>la Loi</w:t>
        </w:r>
      </w:smartTag>
      <w:r w:rsidRPr="00197D5F">
        <w:rPr>
          <w:lang w:val="fr-FR"/>
        </w:rPr>
        <w:t xml:space="preserve"> sur la participation des finances publiques à la scolarité des élèves et étudiants rencontrant des difficultés financières</w:t>
      </w:r>
      <w:r w:rsidR="00277023">
        <w:rPr>
          <w:lang w:val="fr-FR"/>
        </w:rPr>
        <w:t>;</w:t>
      </w:r>
    </w:p>
    <w:p w:rsidR="00197D5F" w:rsidRPr="00197D5F" w:rsidRDefault="00197D5F" w:rsidP="00197D5F">
      <w:pPr>
        <w:pStyle w:val="SingleTxtG"/>
        <w:rPr>
          <w:lang w:val="fr-FR"/>
        </w:rPr>
      </w:pPr>
      <w:r w:rsidRPr="00197D5F">
        <w:rPr>
          <w:lang w:val="fr-FR"/>
        </w:rPr>
        <w:t>(Services de protection de l</w:t>
      </w:r>
      <w:r w:rsidR="00277023">
        <w:rPr>
          <w:lang w:val="fr-FR"/>
        </w:rPr>
        <w:t>’</w:t>
      </w:r>
      <w:r w:rsidRPr="00197D5F">
        <w:rPr>
          <w:lang w:val="fr-FR"/>
        </w:rPr>
        <w:t>enfance et leur amélioration)</w:t>
      </w:r>
    </w:p>
    <w:p w:rsidR="00197D5F" w:rsidRPr="00197D5F" w:rsidRDefault="00197D5F" w:rsidP="00197D5F">
      <w:pPr>
        <w:pStyle w:val="SingleTxtG"/>
        <w:rPr>
          <w:lang w:val="fr-FR"/>
        </w:rPr>
      </w:pPr>
      <w:r w:rsidRPr="00197D5F">
        <w:rPr>
          <w:lang w:val="fr-FR"/>
        </w:rPr>
        <w:t>276.</w:t>
      </w:r>
      <w:r w:rsidRPr="00197D5F">
        <w:rPr>
          <w:lang w:val="fr-FR"/>
        </w:rPr>
        <w:tab/>
        <w:t xml:space="preserve">Voir paragraphe 222 du deuxième rapport du Japon. </w:t>
      </w:r>
    </w:p>
    <w:p w:rsidR="00197D5F" w:rsidRPr="00197D5F" w:rsidRDefault="00197D5F" w:rsidP="00197D5F">
      <w:pPr>
        <w:pStyle w:val="SingleTxtG"/>
        <w:rPr>
          <w:lang w:val="fr-FR"/>
        </w:rPr>
      </w:pPr>
      <w:r w:rsidRPr="00197D5F">
        <w:rPr>
          <w:lang w:val="fr-FR"/>
        </w:rPr>
        <w:t>(Progrès accomplis et problèmes rencontrés dans le cadre de l</w:t>
      </w:r>
      <w:r w:rsidR="00277023">
        <w:rPr>
          <w:lang w:val="fr-FR"/>
        </w:rPr>
        <w:t>’</w:t>
      </w:r>
      <w:r w:rsidRPr="00197D5F">
        <w:rPr>
          <w:lang w:val="fr-FR"/>
        </w:rPr>
        <w:t>application de l</w:t>
      </w:r>
      <w:r w:rsidR="00277023">
        <w:rPr>
          <w:lang w:val="fr-FR"/>
        </w:rPr>
        <w:t>’</w:t>
      </w:r>
      <w:r w:rsidRPr="00197D5F">
        <w:rPr>
          <w:lang w:val="fr-FR"/>
        </w:rPr>
        <w:t>article 18 et objectifs)</w:t>
      </w:r>
    </w:p>
    <w:p w:rsidR="00197D5F" w:rsidRPr="00197D5F" w:rsidRDefault="00197D5F" w:rsidP="00197D5F">
      <w:pPr>
        <w:pStyle w:val="SingleTxtG"/>
        <w:rPr>
          <w:lang w:val="fr-FR"/>
        </w:rPr>
      </w:pPr>
      <w:r w:rsidRPr="00197D5F">
        <w:rPr>
          <w:lang w:val="fr-FR"/>
        </w:rPr>
        <w:t>277.</w:t>
      </w:r>
      <w:r w:rsidRPr="00197D5F">
        <w:rPr>
          <w:lang w:val="fr-FR"/>
        </w:rPr>
        <w:tab/>
        <w:t>Selon le sondage sur la question de l</w:t>
      </w:r>
      <w:r w:rsidR="00277023">
        <w:rPr>
          <w:lang w:val="fr-FR"/>
        </w:rPr>
        <w:t>’</w:t>
      </w:r>
      <w:r w:rsidRPr="00197D5F">
        <w:rPr>
          <w:lang w:val="fr-FR"/>
        </w:rPr>
        <w:t>égalité des sexes réalisé par le Bureau du premier Ministre en 2000, le taux de personnes interrogées favorables au fait que les pères participent plus activement à l</w:t>
      </w:r>
      <w:r w:rsidR="00277023">
        <w:rPr>
          <w:lang w:val="fr-FR"/>
        </w:rPr>
        <w:t>’</w:t>
      </w:r>
      <w:r w:rsidRPr="00197D5F">
        <w:rPr>
          <w:lang w:val="fr-FR"/>
        </w:rPr>
        <w:t>éducation de leurs enfants à tous les niveaux est en hausse, passant de 38,7</w:t>
      </w:r>
      <w:r w:rsidR="00277023">
        <w:rPr>
          <w:lang w:val="fr-FR"/>
        </w:rPr>
        <w:t>%</w:t>
      </w:r>
      <w:r w:rsidRPr="00197D5F">
        <w:rPr>
          <w:lang w:val="fr-FR"/>
        </w:rPr>
        <w:t xml:space="preserve"> en 1993 à 44,4</w:t>
      </w:r>
      <w:r w:rsidR="00277023">
        <w:rPr>
          <w:lang w:val="fr-FR"/>
        </w:rPr>
        <w:t>%</w:t>
      </w:r>
      <w:r w:rsidRPr="00197D5F">
        <w:rPr>
          <w:lang w:val="fr-FR"/>
        </w:rPr>
        <w:t xml:space="preserve"> en 2000. Selon le même sondage d</w:t>
      </w:r>
      <w:r w:rsidR="00277023">
        <w:rPr>
          <w:lang w:val="fr-FR"/>
        </w:rPr>
        <w:t>’</w:t>
      </w:r>
      <w:r w:rsidRPr="00197D5F">
        <w:rPr>
          <w:lang w:val="fr-FR"/>
        </w:rPr>
        <w:t>opinion réalisé en 2004, le taux d</w:t>
      </w:r>
      <w:r w:rsidR="00277023">
        <w:rPr>
          <w:lang w:val="fr-FR"/>
        </w:rPr>
        <w:t>’</w:t>
      </w:r>
      <w:r w:rsidRPr="00197D5F">
        <w:rPr>
          <w:lang w:val="fr-FR"/>
        </w:rPr>
        <w:t xml:space="preserve">opinions favorables au fait que </w:t>
      </w:r>
      <w:r w:rsidR="008E49D4">
        <w:rPr>
          <w:lang w:val="fr-FR"/>
        </w:rPr>
        <w:t>“</w:t>
      </w:r>
      <w:r w:rsidRPr="00197D5F">
        <w:rPr>
          <w:lang w:val="fr-FR"/>
        </w:rPr>
        <w:t>le mari devrait être le soutien de famille et la femme devrait rester à la maison</w:t>
      </w:r>
      <w:r w:rsidR="008E49D4">
        <w:rPr>
          <w:lang w:val="fr-FR"/>
        </w:rPr>
        <w:t>”</w:t>
      </w:r>
      <w:r w:rsidRPr="00197D5F">
        <w:rPr>
          <w:lang w:val="fr-FR"/>
        </w:rPr>
        <w:t xml:space="preserve"> en est en baisse, passant de 57,8</w:t>
      </w:r>
      <w:r w:rsidR="00277023">
        <w:rPr>
          <w:lang w:val="fr-FR"/>
        </w:rPr>
        <w:t>%</w:t>
      </w:r>
      <w:r w:rsidRPr="00197D5F">
        <w:rPr>
          <w:lang w:val="fr-FR"/>
        </w:rPr>
        <w:t xml:space="preserve"> en 1997 à 45,2</w:t>
      </w:r>
      <w:r w:rsidR="00277023">
        <w:rPr>
          <w:lang w:val="fr-FR"/>
        </w:rPr>
        <w:t>%</w:t>
      </w:r>
      <w:r w:rsidRPr="00197D5F">
        <w:rPr>
          <w:lang w:val="fr-FR"/>
        </w:rPr>
        <w:t xml:space="preserve"> en 2004, ce qui indique que les stéréotypes relatifs au rôle de chaque sexe évoluent constamment chez les hommes comme chez les femmes. Conformément à </w:t>
      </w:r>
      <w:smartTag w:uri="urn:schemas-microsoft-com:office:smarttags" w:element="PersonName">
        <w:smartTagPr>
          <w:attr w:name="ProductID" w:val="la Loi"/>
        </w:smartTagPr>
        <w:r w:rsidRPr="00197D5F">
          <w:rPr>
            <w:lang w:val="fr-FR"/>
          </w:rPr>
          <w:t>la Loi</w:t>
        </w:r>
      </w:smartTag>
      <w:r w:rsidRPr="00197D5F">
        <w:rPr>
          <w:lang w:val="fr-FR"/>
        </w:rPr>
        <w:t xml:space="preserve"> fondamentale pour une société fondée sur l</w:t>
      </w:r>
      <w:r w:rsidR="00277023">
        <w:rPr>
          <w:lang w:val="fr-FR"/>
        </w:rPr>
        <w:t>’</w:t>
      </w:r>
      <w:r w:rsidRPr="00197D5F">
        <w:rPr>
          <w:lang w:val="fr-FR"/>
        </w:rPr>
        <w:t>égalité des sexes promulguée en 1999 et le deuxième Plan de base pour une société fondée sur l</w:t>
      </w:r>
      <w:r w:rsidR="00277023">
        <w:rPr>
          <w:lang w:val="fr-FR"/>
        </w:rPr>
        <w:t>’</w:t>
      </w:r>
      <w:r w:rsidRPr="00197D5F">
        <w:rPr>
          <w:lang w:val="fr-FR"/>
        </w:rPr>
        <w:t>égalité des sexes adopté en 2005, d</w:t>
      </w:r>
      <w:r w:rsidR="00277023">
        <w:rPr>
          <w:lang w:val="fr-FR"/>
        </w:rPr>
        <w:t>’</w:t>
      </w:r>
      <w:r w:rsidRPr="00197D5F">
        <w:rPr>
          <w:lang w:val="fr-FR"/>
        </w:rPr>
        <w:t>autres actions vont être menées en faveur de l</w:t>
      </w:r>
      <w:r w:rsidR="00277023">
        <w:rPr>
          <w:lang w:val="fr-FR"/>
        </w:rPr>
        <w:t>’</w:t>
      </w:r>
      <w:r w:rsidRPr="00197D5F">
        <w:rPr>
          <w:lang w:val="fr-FR"/>
        </w:rPr>
        <w:t xml:space="preserve">égalité des sexes en matière de tâches domestiques. </w:t>
      </w:r>
    </w:p>
    <w:p w:rsidR="00197D5F" w:rsidRPr="00197D5F" w:rsidRDefault="00197D5F" w:rsidP="00197D5F">
      <w:pPr>
        <w:pStyle w:val="H1G"/>
        <w:rPr>
          <w:lang w:val="fr-FR"/>
        </w:rPr>
      </w:pPr>
      <w:r>
        <w:rPr>
          <w:lang w:val="fr-FR"/>
        </w:rPr>
        <w:tab/>
        <w:t>C.</w:t>
      </w:r>
      <w:r>
        <w:rPr>
          <w:lang w:val="fr-FR"/>
        </w:rPr>
        <w:tab/>
      </w:r>
      <w:r w:rsidRPr="00197D5F">
        <w:rPr>
          <w:lang w:val="fr-FR"/>
        </w:rPr>
        <w:t>Séparation d</w:t>
      </w:r>
      <w:r w:rsidR="00277023">
        <w:rPr>
          <w:lang w:val="fr-FR"/>
        </w:rPr>
        <w:t>’</w:t>
      </w:r>
      <w:r w:rsidRPr="00197D5F">
        <w:rPr>
          <w:lang w:val="fr-FR"/>
        </w:rPr>
        <w:t>avec les parents (article 9)</w:t>
      </w:r>
    </w:p>
    <w:p w:rsidR="00197D5F" w:rsidRPr="00197D5F" w:rsidRDefault="00197D5F" w:rsidP="00197D5F">
      <w:pPr>
        <w:pStyle w:val="H23G"/>
        <w:rPr>
          <w:i/>
          <w:lang w:val="fr-FR"/>
        </w:rPr>
      </w:pPr>
      <w:r>
        <w:rPr>
          <w:lang w:val="fr-FR"/>
        </w:rPr>
        <w:tab/>
        <w:t>a)</w:t>
      </w:r>
      <w:r>
        <w:rPr>
          <w:lang w:val="fr-FR"/>
        </w:rPr>
        <w:tab/>
      </w:r>
      <w:r w:rsidRPr="00197D5F">
        <w:rPr>
          <w:lang w:val="fr-FR"/>
        </w:rPr>
        <w:t>Assurer qu</w:t>
      </w:r>
      <w:r w:rsidR="00277023">
        <w:rPr>
          <w:lang w:val="fr-FR"/>
        </w:rPr>
        <w:t>’</w:t>
      </w:r>
      <w:r w:rsidRPr="00197D5F">
        <w:rPr>
          <w:lang w:val="fr-FR"/>
        </w:rPr>
        <w:t>un enfant ne sera pas séparé de ses parents, conformément au pr</w:t>
      </w:r>
      <w:r w:rsidR="006F0FA4">
        <w:rPr>
          <w:lang w:val="fr-FR"/>
        </w:rPr>
        <w:t>emier paragraphe de l</w:t>
      </w:r>
      <w:r w:rsidR="00277023">
        <w:rPr>
          <w:lang w:val="fr-FR"/>
        </w:rPr>
        <w:t>’</w:t>
      </w:r>
      <w:r w:rsidR="006F0FA4">
        <w:rPr>
          <w:lang w:val="fr-FR"/>
        </w:rPr>
        <w:t>article 9</w:t>
      </w:r>
    </w:p>
    <w:p w:rsidR="00197D5F" w:rsidRPr="00197D5F" w:rsidRDefault="00197D5F" w:rsidP="00197D5F">
      <w:pPr>
        <w:pStyle w:val="SingleTxtG"/>
        <w:rPr>
          <w:lang w:val="fr-FR"/>
        </w:rPr>
      </w:pPr>
      <w:r w:rsidRPr="00197D5F">
        <w:rPr>
          <w:lang w:val="fr-FR"/>
        </w:rPr>
        <w:t>278.</w:t>
      </w:r>
      <w:r w:rsidRPr="00197D5F">
        <w:rPr>
          <w:lang w:val="fr-FR"/>
        </w:rPr>
        <w:tab/>
        <w:t xml:space="preserve">Voir paragraphe 225 du deuxième rapport du Japon (paragraphes 123 et 124 du rapport initial du Japon). </w:t>
      </w:r>
    </w:p>
    <w:p w:rsidR="00197D5F" w:rsidRPr="00197D5F" w:rsidRDefault="00197D5F" w:rsidP="00197D5F">
      <w:pPr>
        <w:pStyle w:val="H23G"/>
        <w:rPr>
          <w:i/>
          <w:lang w:val="fr-FR"/>
        </w:rPr>
      </w:pPr>
      <w:r>
        <w:rPr>
          <w:lang w:val="fr-FR"/>
        </w:rPr>
        <w:tab/>
        <w:t>b)</w:t>
      </w:r>
      <w:r>
        <w:rPr>
          <w:lang w:val="fr-FR"/>
        </w:rPr>
        <w:tab/>
      </w:r>
      <w:r w:rsidRPr="00197D5F">
        <w:rPr>
          <w:lang w:val="fr-FR"/>
        </w:rPr>
        <w:t>Assurer que toutes les parties prenantes ont la possibilité de participer à la procédure.</w:t>
      </w:r>
    </w:p>
    <w:p w:rsidR="00197D5F" w:rsidRPr="00197D5F" w:rsidRDefault="00197D5F" w:rsidP="00197D5F">
      <w:pPr>
        <w:pStyle w:val="SingleTxtG"/>
        <w:rPr>
          <w:lang w:val="fr-FR"/>
        </w:rPr>
      </w:pPr>
      <w:r w:rsidRPr="00197D5F">
        <w:rPr>
          <w:lang w:val="fr-FR"/>
        </w:rPr>
        <w:t xml:space="preserve">(Définition des relations familiales) </w:t>
      </w:r>
    </w:p>
    <w:p w:rsidR="00197D5F" w:rsidRPr="00197D5F" w:rsidRDefault="00197D5F" w:rsidP="00197D5F">
      <w:pPr>
        <w:pStyle w:val="SingleTxtG"/>
        <w:rPr>
          <w:lang w:val="fr-FR"/>
        </w:rPr>
      </w:pPr>
      <w:r w:rsidRPr="00197D5F">
        <w:rPr>
          <w:lang w:val="fr-FR"/>
        </w:rPr>
        <w:t>279.</w:t>
      </w:r>
      <w:r w:rsidRPr="00197D5F">
        <w:rPr>
          <w:lang w:val="fr-FR"/>
        </w:rPr>
        <w:tab/>
        <w:t>Voir paragraphe 226 du deuxième rapport du Japon (paragraphes 126 et 127 du rapport initial du Japon)</w:t>
      </w:r>
    </w:p>
    <w:p w:rsidR="00197D5F" w:rsidRPr="00197D5F" w:rsidRDefault="00197D5F" w:rsidP="00197D5F">
      <w:pPr>
        <w:pStyle w:val="SingleTxtG"/>
        <w:rPr>
          <w:lang w:val="fr-FR"/>
        </w:rPr>
      </w:pPr>
      <w:r w:rsidRPr="00197D5F">
        <w:rPr>
          <w:lang w:val="fr-FR"/>
        </w:rPr>
        <w:t>280.</w:t>
      </w:r>
      <w:r w:rsidRPr="00197D5F">
        <w:rPr>
          <w:lang w:val="fr-FR"/>
        </w:rPr>
        <w:tab/>
        <w:t>Dans les actions relatives au statut personnel, les enfants seront entendus (paragraphe 4 de l</w:t>
      </w:r>
      <w:r w:rsidR="00277023">
        <w:rPr>
          <w:lang w:val="fr-FR"/>
        </w:rPr>
        <w:t>’</w:t>
      </w:r>
      <w:r w:rsidRPr="00197D5F">
        <w:rPr>
          <w:lang w:val="fr-FR"/>
        </w:rPr>
        <w:t>article 32 du Code de procédure concernant des affaires portant sur le statut personnel) au cours des procès portant sur la désignation de l</w:t>
      </w:r>
      <w:r w:rsidR="00277023">
        <w:rPr>
          <w:lang w:val="fr-FR"/>
        </w:rPr>
        <w:t>’</w:t>
      </w:r>
      <w:r w:rsidRPr="00197D5F">
        <w:rPr>
          <w:lang w:val="fr-FR"/>
        </w:rPr>
        <w:t>autorité parentale s</w:t>
      </w:r>
      <w:r w:rsidR="00277023">
        <w:rPr>
          <w:lang w:val="fr-FR"/>
        </w:rPr>
        <w:t>’</w:t>
      </w:r>
      <w:r w:rsidRPr="00197D5F">
        <w:rPr>
          <w:lang w:val="fr-FR"/>
        </w:rPr>
        <w:t>ils sont âgés de 15 ans ou plus, comme par exemple dans une procédure de divorce. De plus, en l</w:t>
      </w:r>
      <w:r w:rsidR="00277023">
        <w:rPr>
          <w:lang w:val="fr-FR"/>
        </w:rPr>
        <w:t>’</w:t>
      </w:r>
      <w:r w:rsidRPr="00197D5F">
        <w:rPr>
          <w:lang w:val="fr-FR"/>
        </w:rPr>
        <w:t>espèce, le tribunal peut examiner les faits (premier paragraphe du Code), ce qui permet en conséquence d</w:t>
      </w:r>
      <w:r w:rsidR="00277023">
        <w:rPr>
          <w:lang w:val="fr-FR"/>
        </w:rPr>
        <w:t>’</w:t>
      </w:r>
      <w:r w:rsidRPr="00197D5F">
        <w:rPr>
          <w:lang w:val="fr-FR"/>
        </w:rPr>
        <w:t>entendre également les enfants de moins de 15 ans.</w:t>
      </w:r>
    </w:p>
    <w:p w:rsidR="00197D5F" w:rsidRPr="00197D5F" w:rsidRDefault="00197D5F" w:rsidP="00197D5F">
      <w:pPr>
        <w:pStyle w:val="SingleTxtG"/>
        <w:rPr>
          <w:lang w:val="fr-FR"/>
        </w:rPr>
      </w:pPr>
      <w:r w:rsidRPr="00197D5F">
        <w:rPr>
          <w:lang w:val="fr-FR"/>
        </w:rPr>
        <w:t xml:space="preserve">(Mesures prises par les centres de guidance infantile) </w:t>
      </w:r>
    </w:p>
    <w:p w:rsidR="00197D5F" w:rsidRPr="00197D5F" w:rsidRDefault="00197D5F" w:rsidP="00197D5F">
      <w:pPr>
        <w:pStyle w:val="SingleTxtG"/>
        <w:rPr>
          <w:lang w:val="fr-FR"/>
        </w:rPr>
      </w:pPr>
      <w:r w:rsidRPr="00197D5F">
        <w:rPr>
          <w:lang w:val="fr-FR"/>
        </w:rPr>
        <w:t>281.</w:t>
      </w:r>
      <w:r w:rsidRPr="00197D5F">
        <w:rPr>
          <w:lang w:val="fr-FR"/>
        </w:rPr>
        <w:tab/>
        <w:t>Le paragraphe 4 de l</w:t>
      </w:r>
      <w:r w:rsidR="00277023">
        <w:rPr>
          <w:lang w:val="fr-FR"/>
        </w:rPr>
        <w:t>’</w:t>
      </w:r>
      <w:r w:rsidRPr="00197D5F">
        <w:rPr>
          <w:lang w:val="fr-FR"/>
        </w:rPr>
        <w:t xml:space="preserve">article 27 de </w:t>
      </w:r>
      <w:smartTag w:uri="urn:schemas-microsoft-com:office:smarttags" w:element="PersonName">
        <w:smartTagPr>
          <w:attr w:name="ProductID" w:val="la Loi"/>
        </w:smartTagPr>
        <w:r w:rsidRPr="00197D5F">
          <w:rPr>
            <w:lang w:val="fr-FR"/>
          </w:rPr>
          <w:t>la Loi</w:t>
        </w:r>
      </w:smartTag>
      <w:r w:rsidRPr="00197D5F">
        <w:rPr>
          <w:lang w:val="fr-FR"/>
        </w:rPr>
        <w:t xml:space="preserve"> sur la protection de l</w:t>
      </w:r>
      <w:r w:rsidR="00277023">
        <w:rPr>
          <w:lang w:val="fr-FR"/>
        </w:rPr>
        <w:t>’</w:t>
      </w:r>
      <w:r w:rsidRPr="00197D5F">
        <w:rPr>
          <w:lang w:val="fr-FR"/>
        </w:rPr>
        <w:t>enfance dispose que lorsqu</w:t>
      </w:r>
      <w:r w:rsidR="00277023">
        <w:rPr>
          <w:lang w:val="fr-FR"/>
        </w:rPr>
        <w:t>’</w:t>
      </w:r>
      <w:r w:rsidRPr="00197D5F">
        <w:rPr>
          <w:lang w:val="fr-FR"/>
        </w:rPr>
        <w:t xml:space="preserve">un centre de guidance infantile prend des dispositions concernant un enfant conformément à </w:t>
      </w:r>
      <w:smartTag w:uri="urn:schemas-microsoft-com:office:smarttags" w:element="PersonName">
        <w:smartTagPr>
          <w:attr w:name="ProductID" w:val="la Loi"/>
        </w:smartTagPr>
        <w:r w:rsidRPr="00197D5F">
          <w:rPr>
            <w:lang w:val="fr-FR"/>
          </w:rPr>
          <w:t>la Loi</w:t>
        </w:r>
      </w:smartTag>
      <w:r w:rsidRPr="00197D5F">
        <w:rPr>
          <w:lang w:val="fr-FR"/>
        </w:rPr>
        <w:t>, il convient d</w:t>
      </w:r>
      <w:r w:rsidR="00277023">
        <w:rPr>
          <w:lang w:val="fr-FR"/>
        </w:rPr>
        <w:t>’</w:t>
      </w:r>
      <w:r w:rsidRPr="00197D5F">
        <w:rPr>
          <w:lang w:val="fr-FR"/>
        </w:rPr>
        <w:t>entendre les vues du représentant légal de l</w:t>
      </w:r>
      <w:r w:rsidR="00277023">
        <w:rPr>
          <w:lang w:val="fr-FR"/>
        </w:rPr>
        <w:t>’</w:t>
      </w:r>
      <w:r w:rsidRPr="00197D5F">
        <w:rPr>
          <w:lang w:val="fr-FR"/>
        </w:rPr>
        <w:t xml:space="preserve">enfant. </w:t>
      </w:r>
    </w:p>
    <w:p w:rsidR="00197D5F" w:rsidRPr="00197D5F" w:rsidRDefault="00197D5F" w:rsidP="00197D5F">
      <w:pPr>
        <w:pStyle w:val="H23G"/>
        <w:rPr>
          <w:lang w:val="fr-FR"/>
        </w:rPr>
      </w:pPr>
      <w:r>
        <w:rPr>
          <w:lang w:val="fr-FR"/>
        </w:rPr>
        <w:tab/>
        <w:t>c)</w:t>
      </w:r>
      <w:r>
        <w:rPr>
          <w:lang w:val="fr-FR"/>
        </w:rPr>
        <w:tab/>
      </w:r>
      <w:r w:rsidRPr="00197D5F">
        <w:rPr>
          <w:lang w:val="fr-FR"/>
        </w:rPr>
        <w:t>Assurer le droit d</w:t>
      </w:r>
      <w:r w:rsidR="00277023">
        <w:rPr>
          <w:lang w:val="fr-FR"/>
        </w:rPr>
        <w:t>’</w:t>
      </w:r>
      <w:r w:rsidRPr="00197D5F">
        <w:rPr>
          <w:lang w:val="fr-FR"/>
        </w:rPr>
        <w:t>un enfant séparé de l</w:t>
      </w:r>
      <w:r w:rsidR="00277023">
        <w:rPr>
          <w:lang w:val="fr-FR"/>
        </w:rPr>
        <w:t>’</w:t>
      </w:r>
      <w:r w:rsidRPr="00197D5F">
        <w:rPr>
          <w:lang w:val="fr-FR"/>
        </w:rPr>
        <w:t>un ou l</w:t>
      </w:r>
      <w:r w:rsidR="00277023">
        <w:rPr>
          <w:lang w:val="fr-FR"/>
        </w:rPr>
        <w:t>’</w:t>
      </w:r>
      <w:r w:rsidRPr="00197D5F">
        <w:rPr>
          <w:lang w:val="fr-FR"/>
        </w:rPr>
        <w:t>autre de ses parents, ou des deux, à entretenir régulièrement des relations personnelle</w:t>
      </w:r>
      <w:r>
        <w:rPr>
          <w:lang w:val="fr-FR"/>
        </w:rPr>
        <w:t>s ou un contact direct avec eux</w:t>
      </w:r>
    </w:p>
    <w:p w:rsidR="00197D5F" w:rsidRPr="00197D5F" w:rsidRDefault="00197D5F" w:rsidP="00197D5F">
      <w:pPr>
        <w:pStyle w:val="SingleTxtG"/>
        <w:rPr>
          <w:lang w:val="fr-FR"/>
        </w:rPr>
      </w:pPr>
      <w:r w:rsidRPr="00197D5F">
        <w:rPr>
          <w:lang w:val="fr-FR"/>
        </w:rPr>
        <w:t>282.</w:t>
      </w:r>
      <w:r w:rsidRPr="00197D5F">
        <w:rPr>
          <w:lang w:val="fr-FR"/>
        </w:rPr>
        <w:tab/>
        <w:t xml:space="preserve">Voir paragraphes 228-233 du deuxième rapport du Japon. </w:t>
      </w:r>
    </w:p>
    <w:p w:rsidR="00197D5F" w:rsidRPr="00197D5F" w:rsidRDefault="00197D5F" w:rsidP="00197D5F">
      <w:pPr>
        <w:pStyle w:val="H23G"/>
        <w:rPr>
          <w:lang w:val="fr-FR"/>
        </w:rPr>
      </w:pPr>
      <w:r>
        <w:rPr>
          <w:lang w:val="fr-FR"/>
        </w:rPr>
        <w:tab/>
        <w:t>d)</w:t>
      </w:r>
      <w:r>
        <w:rPr>
          <w:lang w:val="fr-FR"/>
        </w:rPr>
        <w:tab/>
      </w:r>
      <w:r w:rsidRPr="00197D5F">
        <w:rPr>
          <w:lang w:val="fr-FR"/>
        </w:rPr>
        <w:t>Assurer la communication d</w:t>
      </w:r>
      <w:r w:rsidR="00277023">
        <w:rPr>
          <w:lang w:val="fr-FR"/>
        </w:rPr>
        <w:t>’</w:t>
      </w:r>
      <w:r w:rsidRPr="00197D5F">
        <w:rPr>
          <w:lang w:val="fr-FR"/>
        </w:rPr>
        <w:t>informations sur le lieu où se trouve(nt) le(s) membre(s) absent(s) de la famille</w:t>
      </w:r>
    </w:p>
    <w:p w:rsidR="00197D5F" w:rsidRPr="00197D5F" w:rsidRDefault="00197D5F" w:rsidP="00197D5F">
      <w:pPr>
        <w:pStyle w:val="SingleTxtG"/>
        <w:rPr>
          <w:lang w:val="fr-FR"/>
        </w:rPr>
      </w:pPr>
      <w:r w:rsidRPr="00197D5F">
        <w:rPr>
          <w:lang w:val="fr-FR"/>
        </w:rPr>
        <w:t xml:space="preserve">283. </w:t>
      </w:r>
      <w:r w:rsidRPr="00197D5F">
        <w:rPr>
          <w:lang w:val="fr-FR"/>
        </w:rPr>
        <w:tab/>
        <w:t xml:space="preserve">Voir paragraphe 234 du deuxième rapport du Japon (paragraphe 129 du rapport initial du Japon). </w:t>
      </w:r>
    </w:p>
    <w:p w:rsidR="00197D5F" w:rsidRPr="00197D5F" w:rsidRDefault="006F0FA4" w:rsidP="006F0FA4">
      <w:pPr>
        <w:pStyle w:val="H23G"/>
        <w:rPr>
          <w:lang w:val="fr-FR"/>
        </w:rPr>
      </w:pPr>
      <w:r>
        <w:rPr>
          <w:lang w:val="fr-FR"/>
        </w:rPr>
        <w:tab/>
        <w:t>e)</w:t>
      </w:r>
      <w:r>
        <w:rPr>
          <w:lang w:val="fr-FR"/>
        </w:rPr>
        <w:tab/>
      </w:r>
      <w:r w:rsidR="00197D5F" w:rsidRPr="00197D5F">
        <w:rPr>
          <w:lang w:val="fr-FR"/>
        </w:rPr>
        <w:t>Progrès accomplis et problèmes rencontrés dans le cadre de la mise en oeuvre de l</w:t>
      </w:r>
      <w:r w:rsidR="00277023">
        <w:rPr>
          <w:lang w:val="fr-FR"/>
        </w:rPr>
        <w:t>’</w:t>
      </w:r>
      <w:r w:rsidR="00197D5F" w:rsidRPr="00197D5F">
        <w:rPr>
          <w:lang w:val="fr-FR"/>
        </w:rPr>
        <w:t>article 9, et informations pertinentes relatives à l</w:t>
      </w:r>
      <w:r w:rsidR="00277023">
        <w:rPr>
          <w:lang w:val="fr-FR"/>
        </w:rPr>
        <w:t>’</w:t>
      </w:r>
      <w:r w:rsidR="00197D5F" w:rsidRPr="00197D5F">
        <w:rPr>
          <w:lang w:val="fr-FR"/>
        </w:rPr>
        <w:t>arrestation, l</w:t>
      </w:r>
      <w:r w:rsidR="00277023">
        <w:rPr>
          <w:lang w:val="fr-FR"/>
        </w:rPr>
        <w:t>’</w:t>
      </w:r>
      <w:r w:rsidR="00197D5F" w:rsidRPr="00197D5F">
        <w:rPr>
          <w:lang w:val="fr-FR"/>
        </w:rPr>
        <w:t>incarcération, l</w:t>
      </w:r>
      <w:r w:rsidR="00277023">
        <w:rPr>
          <w:lang w:val="fr-FR"/>
        </w:rPr>
        <w:t>’</w:t>
      </w:r>
      <w:r w:rsidR="00197D5F" w:rsidRPr="00197D5F">
        <w:rPr>
          <w:lang w:val="fr-FR"/>
        </w:rPr>
        <w:t>expulsi</w:t>
      </w:r>
      <w:r>
        <w:rPr>
          <w:lang w:val="fr-FR"/>
        </w:rPr>
        <w:t>on, le rapatriement et au décès</w:t>
      </w:r>
    </w:p>
    <w:p w:rsidR="00197D5F" w:rsidRPr="00197D5F" w:rsidRDefault="00197D5F" w:rsidP="00197D5F">
      <w:pPr>
        <w:pStyle w:val="SingleTxtG"/>
        <w:rPr>
          <w:lang w:val="fr-FR"/>
        </w:rPr>
      </w:pPr>
      <w:r w:rsidRPr="00197D5F">
        <w:rPr>
          <w:lang w:val="fr-FR"/>
        </w:rPr>
        <w:t>284.</w:t>
      </w:r>
      <w:r w:rsidRPr="00197D5F">
        <w:rPr>
          <w:lang w:val="fr-FR"/>
        </w:rPr>
        <w:tab/>
        <w:t xml:space="preserve">Voir paragraphe 235 du deuxième rapport du Japon. </w:t>
      </w:r>
    </w:p>
    <w:p w:rsidR="00197D5F" w:rsidRPr="00197D5F" w:rsidRDefault="006F0FA4" w:rsidP="006F0FA4">
      <w:pPr>
        <w:pStyle w:val="H1G"/>
        <w:rPr>
          <w:lang w:val="fr-FR"/>
        </w:rPr>
      </w:pPr>
      <w:r>
        <w:rPr>
          <w:lang w:val="fr-FR"/>
        </w:rPr>
        <w:tab/>
        <w:t>D.</w:t>
      </w:r>
      <w:r>
        <w:rPr>
          <w:lang w:val="fr-FR"/>
        </w:rPr>
        <w:tab/>
      </w:r>
      <w:r w:rsidR="00197D5F" w:rsidRPr="00197D5F">
        <w:rPr>
          <w:lang w:val="fr-FR"/>
        </w:rPr>
        <w:t>Réunification familiale (article 10)</w:t>
      </w:r>
    </w:p>
    <w:p w:rsidR="00197D5F" w:rsidRPr="00197D5F" w:rsidRDefault="00197D5F" w:rsidP="00197D5F">
      <w:pPr>
        <w:pStyle w:val="SingleTxtG"/>
        <w:rPr>
          <w:lang w:val="fr-FR"/>
        </w:rPr>
      </w:pPr>
      <w:r w:rsidRPr="00197D5F">
        <w:rPr>
          <w:lang w:val="fr-FR"/>
        </w:rPr>
        <w:t>(Assurer la réunification familiale)</w:t>
      </w:r>
    </w:p>
    <w:p w:rsidR="00197D5F" w:rsidRPr="00197D5F" w:rsidRDefault="00197D5F" w:rsidP="00197D5F">
      <w:pPr>
        <w:pStyle w:val="SingleTxtG"/>
        <w:rPr>
          <w:lang w:val="fr-FR"/>
        </w:rPr>
      </w:pPr>
      <w:r w:rsidRPr="00197D5F">
        <w:rPr>
          <w:lang w:val="fr-FR"/>
        </w:rPr>
        <w:t>285.</w:t>
      </w:r>
      <w:r w:rsidRPr="00197D5F">
        <w:rPr>
          <w:lang w:val="fr-FR"/>
        </w:rPr>
        <w:tab/>
        <w:t xml:space="preserve">Voir paragraphe 236 (paragraphes 130 à 132 du rapport initial du Japon), et paragraphe 237 du deuxième rapport du Japon. </w:t>
      </w:r>
    </w:p>
    <w:p w:rsidR="00197D5F" w:rsidRPr="00197D5F" w:rsidRDefault="00197D5F" w:rsidP="00197D5F">
      <w:pPr>
        <w:pStyle w:val="SingleTxtG"/>
        <w:rPr>
          <w:lang w:val="fr-FR"/>
        </w:rPr>
      </w:pPr>
      <w:r w:rsidRPr="00197D5F">
        <w:rPr>
          <w:lang w:val="fr-FR"/>
        </w:rPr>
        <w:t>(Assurer les droits d</w:t>
      </w:r>
      <w:r w:rsidR="00277023">
        <w:rPr>
          <w:lang w:val="fr-FR"/>
        </w:rPr>
        <w:t>’</w:t>
      </w:r>
      <w:r w:rsidRPr="00197D5F">
        <w:rPr>
          <w:lang w:val="fr-FR"/>
        </w:rPr>
        <w:t>un enfant dont les parents résident dans des Etats différents)</w:t>
      </w:r>
    </w:p>
    <w:p w:rsidR="00197D5F" w:rsidRPr="00197D5F" w:rsidRDefault="00197D5F" w:rsidP="00197D5F">
      <w:pPr>
        <w:pStyle w:val="SingleTxtG"/>
        <w:rPr>
          <w:lang w:val="fr-FR"/>
        </w:rPr>
      </w:pPr>
      <w:r w:rsidRPr="00197D5F">
        <w:rPr>
          <w:lang w:val="fr-FR"/>
        </w:rPr>
        <w:t>286.</w:t>
      </w:r>
      <w:r w:rsidRPr="00197D5F">
        <w:rPr>
          <w:lang w:val="fr-FR"/>
        </w:rPr>
        <w:tab/>
        <w:t xml:space="preserve">Voir paragraphe 238 du deuxième rapport du Japon (paragraphes 131 et 132 du rapport initial du Japon). </w:t>
      </w:r>
    </w:p>
    <w:p w:rsidR="00197D5F" w:rsidRPr="00197D5F" w:rsidRDefault="00197D5F" w:rsidP="00197D5F">
      <w:pPr>
        <w:pStyle w:val="SingleTxtG"/>
        <w:rPr>
          <w:lang w:val="fr-FR"/>
        </w:rPr>
      </w:pPr>
      <w:r w:rsidRPr="00197D5F">
        <w:rPr>
          <w:lang w:val="fr-FR"/>
        </w:rPr>
        <w:t>(Assurer le respect des droits de l</w:t>
      </w:r>
      <w:r w:rsidR="00277023">
        <w:rPr>
          <w:lang w:val="fr-FR"/>
        </w:rPr>
        <w:t>’</w:t>
      </w:r>
      <w:r w:rsidRPr="00197D5F">
        <w:rPr>
          <w:lang w:val="fr-FR"/>
        </w:rPr>
        <w:t>enfant et de ses parents, ou de l</w:t>
      </w:r>
      <w:r w:rsidR="00277023">
        <w:rPr>
          <w:lang w:val="fr-FR"/>
        </w:rPr>
        <w:t>’</w:t>
      </w:r>
      <w:r w:rsidRPr="00197D5F">
        <w:rPr>
          <w:lang w:val="fr-FR"/>
        </w:rPr>
        <w:t>un d</w:t>
      </w:r>
      <w:r w:rsidR="00277023">
        <w:rPr>
          <w:lang w:val="fr-FR"/>
        </w:rPr>
        <w:t>’</w:t>
      </w:r>
      <w:r w:rsidRPr="00197D5F">
        <w:rPr>
          <w:lang w:val="fr-FR"/>
        </w:rPr>
        <w:t>eux, à entrer dans un pays ou à en sortir, et restrictions au droit d</w:t>
      </w:r>
      <w:r w:rsidR="00277023">
        <w:rPr>
          <w:lang w:val="fr-FR"/>
        </w:rPr>
        <w:t>’</w:t>
      </w:r>
      <w:r w:rsidRPr="00197D5F">
        <w:rPr>
          <w:lang w:val="fr-FR"/>
        </w:rPr>
        <w:t>en sortir)</w:t>
      </w:r>
    </w:p>
    <w:p w:rsidR="00197D5F" w:rsidRPr="00197D5F" w:rsidRDefault="00197D5F" w:rsidP="00197D5F">
      <w:pPr>
        <w:pStyle w:val="SingleTxtG"/>
        <w:rPr>
          <w:lang w:val="fr-FR"/>
        </w:rPr>
      </w:pPr>
      <w:r w:rsidRPr="00197D5F">
        <w:rPr>
          <w:lang w:val="fr-FR"/>
        </w:rPr>
        <w:t>287.</w:t>
      </w:r>
      <w:r w:rsidRPr="00197D5F">
        <w:rPr>
          <w:lang w:val="fr-FR"/>
        </w:rPr>
        <w:tab/>
        <w:t xml:space="preserve">Voir paragraphe 239 du deuxième rapport du Japon (paragraphes 131 et 132 du rapport initial du Japon). </w:t>
      </w:r>
    </w:p>
    <w:p w:rsidR="00197D5F" w:rsidRPr="00197D5F" w:rsidRDefault="00197D5F" w:rsidP="00197D5F">
      <w:pPr>
        <w:pStyle w:val="SingleTxtG"/>
        <w:rPr>
          <w:lang w:val="fr-FR"/>
        </w:rPr>
      </w:pPr>
      <w:r w:rsidRPr="00197D5F">
        <w:rPr>
          <w:lang w:val="fr-FR"/>
        </w:rPr>
        <w:t xml:space="preserve">(Progrès accomplis et problèmes rencontrés dans le cadre de la </w:t>
      </w:r>
      <w:r w:rsidR="006F0FA4">
        <w:rPr>
          <w:lang w:val="fr-FR"/>
        </w:rPr>
        <w:t>mise en oeuvre de l</w:t>
      </w:r>
      <w:r w:rsidR="00277023">
        <w:rPr>
          <w:lang w:val="fr-FR"/>
        </w:rPr>
        <w:t>’</w:t>
      </w:r>
      <w:r w:rsidR="006F0FA4">
        <w:rPr>
          <w:lang w:val="fr-FR"/>
        </w:rPr>
        <w:t>article </w:t>
      </w:r>
      <w:r w:rsidRPr="00197D5F">
        <w:rPr>
          <w:lang w:val="fr-FR"/>
        </w:rPr>
        <w:t xml:space="preserve">10) </w:t>
      </w:r>
    </w:p>
    <w:p w:rsidR="00197D5F" w:rsidRPr="00197D5F" w:rsidRDefault="00197D5F" w:rsidP="00197D5F">
      <w:pPr>
        <w:pStyle w:val="SingleTxtG"/>
        <w:rPr>
          <w:lang w:val="fr-FR"/>
        </w:rPr>
      </w:pPr>
      <w:r w:rsidRPr="00197D5F">
        <w:rPr>
          <w:lang w:val="fr-FR"/>
        </w:rPr>
        <w:t>288.</w:t>
      </w:r>
      <w:r w:rsidRPr="00197D5F">
        <w:rPr>
          <w:lang w:val="fr-FR"/>
        </w:rPr>
        <w:tab/>
        <w:t xml:space="preserve">Voir paragraphe 240 du deuxième rapport du Japon. </w:t>
      </w:r>
    </w:p>
    <w:p w:rsidR="00197D5F" w:rsidRPr="00197D5F" w:rsidRDefault="006F0FA4" w:rsidP="006F0FA4">
      <w:pPr>
        <w:pStyle w:val="H1G"/>
        <w:rPr>
          <w:lang w:val="fr-FR"/>
        </w:rPr>
      </w:pPr>
      <w:r>
        <w:rPr>
          <w:lang w:val="fr-FR"/>
        </w:rPr>
        <w:tab/>
        <w:t>E.</w:t>
      </w:r>
      <w:r>
        <w:rPr>
          <w:lang w:val="fr-FR"/>
        </w:rPr>
        <w:tab/>
      </w:r>
      <w:r w:rsidR="00197D5F" w:rsidRPr="00197D5F">
        <w:rPr>
          <w:lang w:val="fr-FR"/>
        </w:rPr>
        <w:t>Déplacements et non-retours illicites d</w:t>
      </w:r>
      <w:r w:rsidR="00277023">
        <w:rPr>
          <w:lang w:val="fr-FR"/>
        </w:rPr>
        <w:t>’</w:t>
      </w:r>
      <w:r w:rsidR="00197D5F" w:rsidRPr="00197D5F">
        <w:rPr>
          <w:lang w:val="fr-FR"/>
        </w:rPr>
        <w:t>enfants à l</w:t>
      </w:r>
      <w:r w:rsidR="00277023">
        <w:rPr>
          <w:lang w:val="fr-FR"/>
        </w:rPr>
        <w:t>’</w:t>
      </w:r>
      <w:r w:rsidR="00197D5F" w:rsidRPr="00197D5F">
        <w:rPr>
          <w:lang w:val="fr-FR"/>
        </w:rPr>
        <w:t>étranger (article 11)</w:t>
      </w:r>
    </w:p>
    <w:p w:rsidR="00197D5F" w:rsidRPr="00197D5F" w:rsidRDefault="00197D5F" w:rsidP="00197D5F">
      <w:pPr>
        <w:pStyle w:val="SingleTxtG"/>
        <w:rPr>
          <w:lang w:val="fr-FR"/>
        </w:rPr>
      </w:pPr>
      <w:r w:rsidRPr="00197D5F">
        <w:rPr>
          <w:lang w:val="fr-FR"/>
        </w:rPr>
        <w:t>(Prévention des déplacements illicites d</w:t>
      </w:r>
      <w:r w:rsidR="00277023">
        <w:rPr>
          <w:lang w:val="fr-FR"/>
        </w:rPr>
        <w:t>’</w:t>
      </w:r>
      <w:r w:rsidRPr="00197D5F">
        <w:rPr>
          <w:lang w:val="fr-FR"/>
        </w:rPr>
        <w:t>enfants à l</w:t>
      </w:r>
      <w:r w:rsidR="00277023">
        <w:rPr>
          <w:lang w:val="fr-FR"/>
        </w:rPr>
        <w:t>’</w:t>
      </w:r>
      <w:r w:rsidRPr="00197D5F">
        <w:rPr>
          <w:lang w:val="fr-FR"/>
        </w:rPr>
        <w:t>étranger et des non-retours d</w:t>
      </w:r>
      <w:r w:rsidR="00277023">
        <w:rPr>
          <w:lang w:val="fr-FR"/>
        </w:rPr>
        <w:t>’</w:t>
      </w:r>
      <w:r w:rsidRPr="00197D5F">
        <w:rPr>
          <w:lang w:val="fr-FR"/>
        </w:rPr>
        <w:t>enfants de l</w:t>
      </w:r>
      <w:r w:rsidR="00277023">
        <w:rPr>
          <w:lang w:val="fr-FR"/>
        </w:rPr>
        <w:t>’</w:t>
      </w:r>
      <w:r w:rsidRPr="00197D5F">
        <w:rPr>
          <w:lang w:val="fr-FR"/>
        </w:rPr>
        <w:t xml:space="preserve">étranger) </w:t>
      </w:r>
    </w:p>
    <w:p w:rsidR="00197D5F" w:rsidRPr="00197D5F" w:rsidRDefault="00197D5F" w:rsidP="00197D5F">
      <w:pPr>
        <w:pStyle w:val="SingleTxtG"/>
        <w:rPr>
          <w:lang w:val="fr-FR"/>
        </w:rPr>
      </w:pPr>
      <w:r w:rsidRPr="00197D5F">
        <w:rPr>
          <w:lang w:val="fr-FR"/>
        </w:rPr>
        <w:t>289.</w:t>
      </w:r>
      <w:r w:rsidRPr="00197D5F">
        <w:rPr>
          <w:lang w:val="fr-FR"/>
        </w:rPr>
        <w:tab/>
        <w:t>Voir paragraphe 241 du deuxième rapport du Japon.</w:t>
      </w:r>
    </w:p>
    <w:p w:rsidR="00197D5F" w:rsidRPr="00197D5F" w:rsidRDefault="00197D5F" w:rsidP="00197D5F">
      <w:pPr>
        <w:pStyle w:val="SingleTxtG"/>
        <w:rPr>
          <w:lang w:val="fr-FR"/>
        </w:rPr>
      </w:pPr>
      <w:r w:rsidRPr="00197D5F">
        <w:rPr>
          <w:lang w:val="fr-FR"/>
        </w:rPr>
        <w:t>290.</w:t>
      </w:r>
      <w:r w:rsidRPr="00197D5F">
        <w:rPr>
          <w:lang w:val="fr-FR"/>
        </w:rPr>
        <w:tab/>
        <w:t>En vertu du Code pénal du Japon, le fait d</w:t>
      </w:r>
      <w:r w:rsidR="00277023">
        <w:rPr>
          <w:lang w:val="fr-FR"/>
        </w:rPr>
        <w:t>’</w:t>
      </w:r>
      <w:r w:rsidRPr="00197D5F">
        <w:rPr>
          <w:lang w:val="fr-FR"/>
        </w:rPr>
        <w:t>enlever et de séquestrer, d</w:t>
      </w:r>
      <w:r w:rsidR="00277023">
        <w:rPr>
          <w:lang w:val="fr-FR"/>
        </w:rPr>
        <w:t>’</w:t>
      </w:r>
      <w:r w:rsidRPr="00197D5F">
        <w:rPr>
          <w:lang w:val="fr-FR"/>
        </w:rPr>
        <w:t>acheter et de vendre des personnes à l</w:t>
      </w:r>
      <w:r w:rsidR="00277023">
        <w:rPr>
          <w:lang w:val="fr-FR"/>
        </w:rPr>
        <w:t>’</w:t>
      </w:r>
      <w:r w:rsidRPr="00197D5F">
        <w:rPr>
          <w:lang w:val="fr-FR"/>
        </w:rPr>
        <w:t>étranger pour les déplacer est passible d</w:t>
      </w:r>
      <w:r w:rsidR="00277023">
        <w:rPr>
          <w:lang w:val="fr-FR"/>
        </w:rPr>
        <w:t>’</w:t>
      </w:r>
      <w:r w:rsidRPr="00197D5F">
        <w:rPr>
          <w:lang w:val="fr-FR"/>
        </w:rPr>
        <w:t>une sanction. En juin 2005, le Code pénal a été partiellement modifié, dans le sens où le fait d</w:t>
      </w:r>
      <w:r w:rsidR="00277023">
        <w:rPr>
          <w:lang w:val="fr-FR"/>
        </w:rPr>
        <w:t>’</w:t>
      </w:r>
      <w:r w:rsidRPr="00197D5F">
        <w:rPr>
          <w:lang w:val="fr-FR"/>
        </w:rPr>
        <w:t>enlever et de séquestrer, d</w:t>
      </w:r>
      <w:r w:rsidR="00277023">
        <w:rPr>
          <w:lang w:val="fr-FR"/>
        </w:rPr>
        <w:t>’</w:t>
      </w:r>
      <w:r w:rsidRPr="00197D5F">
        <w:rPr>
          <w:lang w:val="fr-FR"/>
        </w:rPr>
        <w:t>acheter et de vendre des personnes afin de les sortir</w:t>
      </w:r>
      <w:r w:rsidR="00EA1115">
        <w:rPr>
          <w:lang w:val="fr-FR"/>
        </w:rPr>
        <w:t xml:space="preserve"> </w:t>
      </w:r>
      <w:r w:rsidRPr="00197D5F">
        <w:rPr>
          <w:lang w:val="fr-FR"/>
        </w:rPr>
        <w:t>de leur pays de résidence est devenu passible d</w:t>
      </w:r>
      <w:r w:rsidR="00277023">
        <w:rPr>
          <w:lang w:val="fr-FR"/>
        </w:rPr>
        <w:t>’</w:t>
      </w:r>
      <w:r w:rsidRPr="00197D5F">
        <w:rPr>
          <w:lang w:val="fr-FR"/>
        </w:rPr>
        <w:t>une sanction, sans considération du fait que cet acte se soit produit ou non au Japon. Ceci permet de punir les actes d</w:t>
      </w:r>
      <w:r w:rsidR="00277023">
        <w:rPr>
          <w:lang w:val="fr-FR"/>
        </w:rPr>
        <w:t>’</w:t>
      </w:r>
      <w:r w:rsidRPr="00197D5F">
        <w:rPr>
          <w:lang w:val="fr-FR"/>
        </w:rPr>
        <w:t>enlèvement et de séquestration, d</w:t>
      </w:r>
      <w:r w:rsidR="00277023">
        <w:rPr>
          <w:lang w:val="fr-FR"/>
        </w:rPr>
        <w:t>’</w:t>
      </w:r>
      <w:r w:rsidRPr="00197D5F">
        <w:rPr>
          <w:lang w:val="fr-FR"/>
        </w:rPr>
        <w:t>achat et de vente d</w:t>
      </w:r>
      <w:r w:rsidR="00277023">
        <w:rPr>
          <w:lang w:val="fr-FR"/>
        </w:rPr>
        <w:t>’</w:t>
      </w:r>
      <w:r w:rsidRPr="00197D5F">
        <w:rPr>
          <w:lang w:val="fr-FR"/>
        </w:rPr>
        <w:t>enfants, même entre des Etats étrangers (sans l</w:t>
      </w:r>
      <w:r w:rsidR="00277023">
        <w:rPr>
          <w:lang w:val="fr-FR"/>
        </w:rPr>
        <w:t>’</w:t>
      </w:r>
      <w:r w:rsidRPr="00197D5F">
        <w:rPr>
          <w:lang w:val="fr-FR"/>
        </w:rPr>
        <w:t xml:space="preserve">implication du Japon), lorsque les auteurs ou les victimes sont des ressortissants japonais. Le Code pénal révisé a pris effet en juillet de la même année. </w:t>
      </w:r>
    </w:p>
    <w:p w:rsidR="00197D5F" w:rsidRPr="00197D5F" w:rsidRDefault="00197D5F" w:rsidP="00197D5F">
      <w:pPr>
        <w:pStyle w:val="SingleTxtG"/>
        <w:rPr>
          <w:lang w:val="fr-FR"/>
        </w:rPr>
      </w:pPr>
      <w:r w:rsidRPr="00197D5F">
        <w:rPr>
          <w:lang w:val="fr-FR"/>
        </w:rPr>
        <w:t>291.</w:t>
      </w:r>
      <w:r w:rsidRPr="00197D5F">
        <w:rPr>
          <w:lang w:val="fr-FR"/>
        </w:rPr>
        <w:tab/>
        <w:t>S</w:t>
      </w:r>
      <w:r w:rsidR="00277023">
        <w:rPr>
          <w:lang w:val="fr-FR"/>
        </w:rPr>
        <w:t>’</w:t>
      </w:r>
      <w:r w:rsidRPr="00197D5F">
        <w:rPr>
          <w:lang w:val="fr-FR"/>
        </w:rPr>
        <w:t>agissant d</w:t>
      </w:r>
      <w:r w:rsidR="00277023">
        <w:rPr>
          <w:lang w:val="fr-FR"/>
        </w:rPr>
        <w:t>’</w:t>
      </w:r>
      <w:r w:rsidRPr="00197D5F">
        <w:rPr>
          <w:lang w:val="fr-FR"/>
        </w:rPr>
        <w:t xml:space="preserve">améliorer les mesures de lutte contre la traite des êtres humains dans la perspective de la ratification du Protocole relatif à la traite des personnes, </w:t>
      </w:r>
      <w:smartTag w:uri="urn:schemas-microsoft-com:office:smarttags" w:element="PersonName">
        <w:smartTagPr>
          <w:attr w:name="ProductID" w:val="la Loi"/>
        </w:smartTagPr>
        <w:r w:rsidRPr="00197D5F">
          <w:rPr>
            <w:lang w:val="fr-FR"/>
          </w:rPr>
          <w:t>la Loi</w:t>
        </w:r>
      </w:smartTag>
      <w:r w:rsidRPr="00197D5F">
        <w:rPr>
          <w:lang w:val="fr-FR"/>
        </w:rPr>
        <w:t xml:space="preserve"> sur le contrôle de l</w:t>
      </w:r>
      <w:r w:rsidR="00277023">
        <w:rPr>
          <w:lang w:val="fr-FR"/>
        </w:rPr>
        <w:t>’</w:t>
      </w:r>
      <w:r w:rsidRPr="00197D5F">
        <w:rPr>
          <w:lang w:val="fr-FR"/>
        </w:rPr>
        <w:t>immigration et la reconnaissance du statut de réfugié a été partiellement modifiée (elle a pris effet en juillet 2005), et une définition de la traite des êtres humains (y compris des dispositions concernant les actes commis à l</w:t>
      </w:r>
      <w:r w:rsidR="00277023">
        <w:rPr>
          <w:lang w:val="fr-FR"/>
        </w:rPr>
        <w:t>’</w:t>
      </w:r>
      <w:r w:rsidRPr="00197D5F">
        <w:rPr>
          <w:lang w:val="fr-FR"/>
        </w:rPr>
        <w:t>encontre de personnes âgées de moins de 18 ans) a été intégrée au point 7 de l</w:t>
      </w:r>
      <w:r w:rsidR="00277023">
        <w:rPr>
          <w:lang w:val="fr-FR"/>
        </w:rPr>
        <w:t>’</w:t>
      </w:r>
      <w:r w:rsidRPr="00197D5F">
        <w:rPr>
          <w:lang w:val="fr-FR"/>
        </w:rPr>
        <w:t xml:space="preserve">article 2 de </w:t>
      </w:r>
      <w:smartTag w:uri="urn:schemas-microsoft-com:office:smarttags" w:element="PersonName">
        <w:smartTagPr>
          <w:attr w:name="ProductID" w:val="la Loi"/>
        </w:smartTagPr>
        <w:r w:rsidRPr="00197D5F">
          <w:rPr>
            <w:lang w:val="fr-FR"/>
          </w:rPr>
          <w:t>la Loi</w:t>
        </w:r>
      </w:smartTag>
      <w:r w:rsidRPr="00197D5F">
        <w:rPr>
          <w:lang w:val="fr-FR"/>
        </w:rPr>
        <w:t>, dans l</w:t>
      </w:r>
      <w:r w:rsidR="00277023">
        <w:rPr>
          <w:lang w:val="fr-FR"/>
        </w:rPr>
        <w:t>’</w:t>
      </w:r>
      <w:r w:rsidRPr="00197D5F">
        <w:rPr>
          <w:lang w:val="fr-FR"/>
        </w:rPr>
        <w:t>objectif de préciser sur le plan juridique que les victimes de la traite doivent bénéficier d</w:t>
      </w:r>
      <w:r w:rsidR="00277023">
        <w:rPr>
          <w:lang w:val="fr-FR"/>
        </w:rPr>
        <w:t>’</w:t>
      </w:r>
      <w:r w:rsidRPr="00197D5F">
        <w:rPr>
          <w:lang w:val="fr-FR"/>
        </w:rPr>
        <w:t>une protection. Parallèlement, s</w:t>
      </w:r>
      <w:r w:rsidR="00277023">
        <w:rPr>
          <w:lang w:val="fr-FR"/>
        </w:rPr>
        <w:t>’</w:t>
      </w:r>
      <w:r w:rsidRPr="00197D5F">
        <w:rPr>
          <w:lang w:val="fr-FR"/>
        </w:rPr>
        <w:t>agissant des délinquants étrangers qui se sont rendus coupables de</w:t>
      </w:r>
      <w:r w:rsidR="00EA1115">
        <w:rPr>
          <w:lang w:val="fr-FR"/>
        </w:rPr>
        <w:t xml:space="preserve"> </w:t>
      </w:r>
      <w:r w:rsidRPr="00197D5F">
        <w:rPr>
          <w:lang w:val="fr-FR"/>
        </w:rPr>
        <w:t>traites de personnes, des motifs de refus d</w:t>
      </w:r>
      <w:r w:rsidR="00277023">
        <w:rPr>
          <w:lang w:val="fr-FR"/>
        </w:rPr>
        <w:t>’</w:t>
      </w:r>
      <w:r w:rsidRPr="00197D5F">
        <w:rPr>
          <w:lang w:val="fr-FR"/>
        </w:rPr>
        <w:t>entrée sur le territoire et d</w:t>
      </w:r>
      <w:r w:rsidR="00277023">
        <w:rPr>
          <w:lang w:val="fr-FR"/>
        </w:rPr>
        <w:t>’</w:t>
      </w:r>
      <w:r w:rsidRPr="00197D5F">
        <w:rPr>
          <w:lang w:val="fr-FR"/>
        </w:rPr>
        <w:t>expulsion ont été récemment établis, ce qui contribue à empêcher les ressortissants étrangers de se livrer à des activités liées à la traite. Les victimes ne sont pas concernées par les motifs de refus d</w:t>
      </w:r>
      <w:r w:rsidR="00277023">
        <w:rPr>
          <w:lang w:val="fr-FR"/>
        </w:rPr>
        <w:t>’</w:t>
      </w:r>
      <w:r w:rsidRPr="00197D5F">
        <w:rPr>
          <w:lang w:val="fr-FR"/>
        </w:rPr>
        <w:t>entrée et d</w:t>
      </w:r>
      <w:r w:rsidR="00277023">
        <w:rPr>
          <w:lang w:val="fr-FR"/>
        </w:rPr>
        <w:t>’</w:t>
      </w:r>
      <w:r w:rsidRPr="00197D5F">
        <w:rPr>
          <w:lang w:val="fr-FR"/>
        </w:rPr>
        <w:t>expulsion, partant, même si elles relèvent des motifs de refus d</w:t>
      </w:r>
      <w:r w:rsidR="00277023">
        <w:rPr>
          <w:lang w:val="fr-FR"/>
        </w:rPr>
        <w:t>’</w:t>
      </w:r>
      <w:r w:rsidRPr="00197D5F">
        <w:rPr>
          <w:lang w:val="fr-FR"/>
        </w:rPr>
        <w:t>entrée ou des motifs d</w:t>
      </w:r>
      <w:r w:rsidR="00277023">
        <w:rPr>
          <w:lang w:val="fr-FR"/>
        </w:rPr>
        <w:t>’</w:t>
      </w:r>
      <w:r w:rsidRPr="00197D5F">
        <w:rPr>
          <w:lang w:val="fr-FR"/>
        </w:rPr>
        <w:t>expulsion, il est clairement stipulé que ces victimes bénéficient d</w:t>
      </w:r>
      <w:r w:rsidR="00277023">
        <w:rPr>
          <w:lang w:val="fr-FR"/>
        </w:rPr>
        <w:t>’</w:t>
      </w:r>
      <w:r w:rsidRPr="00197D5F">
        <w:rPr>
          <w:lang w:val="fr-FR"/>
        </w:rPr>
        <w:t>une autorisation spéciale d</w:t>
      </w:r>
      <w:r w:rsidR="00277023">
        <w:rPr>
          <w:lang w:val="fr-FR"/>
        </w:rPr>
        <w:t>’</w:t>
      </w:r>
      <w:r w:rsidRPr="00197D5F">
        <w:rPr>
          <w:lang w:val="fr-FR"/>
        </w:rPr>
        <w:t>entrée sur le territoire et d</w:t>
      </w:r>
      <w:r w:rsidR="00277023">
        <w:rPr>
          <w:lang w:val="fr-FR"/>
        </w:rPr>
        <w:t>’</w:t>
      </w:r>
      <w:r w:rsidRPr="00197D5F">
        <w:rPr>
          <w:lang w:val="fr-FR"/>
        </w:rPr>
        <w:t xml:space="preserve">y résider. Par ailleurs, sans considération des </w:t>
      </w:r>
      <w:r w:rsidR="008E49D4">
        <w:rPr>
          <w:lang w:val="fr-FR"/>
        </w:rPr>
        <w:t>“</w:t>
      </w:r>
      <w:r w:rsidRPr="00197D5F">
        <w:rPr>
          <w:lang w:val="fr-FR"/>
        </w:rPr>
        <w:t>moyens</w:t>
      </w:r>
      <w:r w:rsidR="008E49D4">
        <w:rPr>
          <w:lang w:val="fr-FR"/>
        </w:rPr>
        <w:t>”</w:t>
      </w:r>
      <w:r w:rsidRPr="00197D5F">
        <w:rPr>
          <w:lang w:val="fr-FR"/>
        </w:rPr>
        <w:t xml:space="preserve"> stipulés dans la définition de la traite des êtres humains ciblant des personnes âgées de 18 ans et plus, les ressortissants étrangers de moins de 18 ans sont reconnus comme victimes s</w:t>
      </w:r>
      <w:r w:rsidR="00277023">
        <w:rPr>
          <w:lang w:val="fr-FR"/>
        </w:rPr>
        <w:t>’</w:t>
      </w:r>
      <w:r w:rsidRPr="00197D5F">
        <w:rPr>
          <w:lang w:val="fr-FR"/>
        </w:rPr>
        <w:t>ils ont été placés sous le contrôle d</w:t>
      </w:r>
      <w:r w:rsidR="00277023">
        <w:rPr>
          <w:lang w:val="fr-FR"/>
        </w:rPr>
        <w:t>’</w:t>
      </w:r>
      <w:r w:rsidRPr="00197D5F">
        <w:rPr>
          <w:lang w:val="fr-FR"/>
        </w:rPr>
        <w:t>une autre personne et remis à un tiers aux fins de la traite et peuvent dès lors bénéficier d</w:t>
      </w:r>
      <w:r w:rsidR="00277023">
        <w:rPr>
          <w:lang w:val="fr-FR"/>
        </w:rPr>
        <w:t>’</w:t>
      </w:r>
      <w:r w:rsidRPr="00197D5F">
        <w:rPr>
          <w:lang w:val="fr-FR"/>
        </w:rPr>
        <w:t>une protection à ce titre.</w:t>
      </w:r>
    </w:p>
    <w:p w:rsidR="00197D5F" w:rsidRPr="00197D5F" w:rsidRDefault="006F0FA4" w:rsidP="006F0FA4">
      <w:pPr>
        <w:pStyle w:val="H1G"/>
        <w:rPr>
          <w:lang w:val="fr-FR"/>
        </w:rPr>
      </w:pPr>
      <w:r>
        <w:rPr>
          <w:lang w:val="fr-FR"/>
        </w:rPr>
        <w:tab/>
        <w:t>F.</w:t>
      </w:r>
      <w:r>
        <w:rPr>
          <w:lang w:val="fr-FR"/>
        </w:rPr>
        <w:tab/>
      </w:r>
      <w:r w:rsidR="00197D5F" w:rsidRPr="00197D5F">
        <w:rPr>
          <w:lang w:val="fr-FR"/>
        </w:rPr>
        <w:t>Recouvrement de la pension alimentaire de l</w:t>
      </w:r>
      <w:r w:rsidR="00277023">
        <w:rPr>
          <w:lang w:val="fr-FR"/>
        </w:rPr>
        <w:t>’</w:t>
      </w:r>
      <w:r w:rsidR="00197D5F" w:rsidRPr="00197D5F">
        <w:rPr>
          <w:lang w:val="fr-FR"/>
        </w:rPr>
        <w:t>enfant (paragraphe 4 de l</w:t>
      </w:r>
      <w:r w:rsidR="00277023">
        <w:rPr>
          <w:lang w:val="fr-FR"/>
        </w:rPr>
        <w:t>’</w:t>
      </w:r>
      <w:r w:rsidR="00197D5F" w:rsidRPr="00197D5F">
        <w:rPr>
          <w:lang w:val="fr-FR"/>
        </w:rPr>
        <w:t>article 27)</w:t>
      </w:r>
    </w:p>
    <w:p w:rsidR="00197D5F" w:rsidRPr="00197D5F" w:rsidRDefault="00197D5F" w:rsidP="00197D5F">
      <w:pPr>
        <w:pStyle w:val="SingleTxtG"/>
        <w:rPr>
          <w:lang w:val="fr-FR"/>
        </w:rPr>
      </w:pPr>
      <w:r w:rsidRPr="00197D5F">
        <w:rPr>
          <w:lang w:val="fr-FR"/>
        </w:rPr>
        <w:t>292.</w:t>
      </w:r>
      <w:r w:rsidRPr="00197D5F">
        <w:rPr>
          <w:lang w:val="fr-FR"/>
        </w:rPr>
        <w:tab/>
        <w:t>Une pension alimentaire peut être demandée au titre</w:t>
      </w:r>
      <w:r w:rsidR="00277023">
        <w:rPr>
          <w:lang w:val="fr-FR"/>
        </w:rPr>
        <w:t>:</w:t>
      </w:r>
      <w:r w:rsidRPr="00197D5F">
        <w:rPr>
          <w:lang w:val="fr-FR"/>
        </w:rPr>
        <w:t xml:space="preserve"> (i) de composante des dépenses pendant</w:t>
      </w:r>
      <w:r w:rsidR="00EA1115">
        <w:rPr>
          <w:lang w:val="fr-FR"/>
        </w:rPr>
        <w:t xml:space="preserve"> </w:t>
      </w:r>
      <w:r w:rsidRPr="00197D5F">
        <w:rPr>
          <w:lang w:val="fr-FR"/>
        </w:rPr>
        <w:t>une relation matrimoniale</w:t>
      </w:r>
      <w:r w:rsidR="00277023">
        <w:rPr>
          <w:lang w:val="fr-FR"/>
        </w:rPr>
        <w:t>;</w:t>
      </w:r>
      <w:r w:rsidRPr="00197D5F">
        <w:rPr>
          <w:lang w:val="fr-FR"/>
        </w:rPr>
        <w:t xml:space="preserve"> (ii) de composante des dépenses engagées pour la garde et les soins de l</w:t>
      </w:r>
      <w:r w:rsidR="00277023">
        <w:rPr>
          <w:lang w:val="fr-FR"/>
        </w:rPr>
        <w:t>’</w:t>
      </w:r>
      <w:r w:rsidRPr="00197D5F">
        <w:rPr>
          <w:lang w:val="fr-FR"/>
        </w:rPr>
        <w:t>enfant en cas de divorce</w:t>
      </w:r>
      <w:r w:rsidR="00277023">
        <w:rPr>
          <w:lang w:val="fr-FR"/>
        </w:rPr>
        <w:t>;</w:t>
      </w:r>
      <w:r w:rsidRPr="00197D5F">
        <w:rPr>
          <w:lang w:val="fr-FR"/>
        </w:rPr>
        <w:t xml:space="preserve"> ou (iii) de l</w:t>
      </w:r>
      <w:r w:rsidR="00277023">
        <w:rPr>
          <w:lang w:val="fr-FR"/>
        </w:rPr>
        <w:t>’</w:t>
      </w:r>
      <w:r w:rsidRPr="00197D5F">
        <w:rPr>
          <w:lang w:val="fr-FR"/>
        </w:rPr>
        <w:t>obligation faite aux parents de subvenir aux besoins de l</w:t>
      </w:r>
      <w:r w:rsidR="00277023">
        <w:rPr>
          <w:lang w:val="fr-FR"/>
        </w:rPr>
        <w:t>’</w:t>
      </w:r>
      <w:r w:rsidRPr="00197D5F">
        <w:rPr>
          <w:lang w:val="fr-FR"/>
        </w:rPr>
        <w:t xml:space="preserve">enfant. </w:t>
      </w:r>
    </w:p>
    <w:p w:rsidR="00197D5F" w:rsidRPr="00197D5F" w:rsidRDefault="00197D5F" w:rsidP="00197D5F">
      <w:pPr>
        <w:pStyle w:val="SingleTxtG"/>
        <w:rPr>
          <w:lang w:val="fr-FR"/>
        </w:rPr>
      </w:pPr>
      <w:r w:rsidRPr="00197D5F">
        <w:rPr>
          <w:lang w:val="fr-FR"/>
        </w:rPr>
        <w:t>293.</w:t>
      </w:r>
      <w:r w:rsidRPr="00197D5F">
        <w:rPr>
          <w:lang w:val="fr-FR"/>
        </w:rPr>
        <w:tab/>
        <w:t xml:space="preserve">Les moyens de recouvrement prévus dans </w:t>
      </w:r>
      <w:smartTag w:uri="urn:schemas-microsoft-com:office:smarttags" w:element="PersonName">
        <w:smartTagPr>
          <w:attr w:name="ProductID" w:val="la Loi"/>
        </w:smartTagPr>
        <w:r w:rsidRPr="00197D5F">
          <w:rPr>
            <w:lang w:val="fr-FR"/>
          </w:rPr>
          <w:t>la Loi</w:t>
        </w:r>
      </w:smartTag>
      <w:r w:rsidRPr="00197D5F">
        <w:rPr>
          <w:lang w:val="fr-FR"/>
        </w:rPr>
        <w:t xml:space="preserve"> sur les jugements concernant les relations familiales sont les suivants</w:t>
      </w:r>
      <w:r w:rsidR="00277023">
        <w:rPr>
          <w:lang w:val="fr-FR"/>
        </w:rPr>
        <w:t>:</w:t>
      </w:r>
      <w:r w:rsidRPr="00197D5F">
        <w:rPr>
          <w:lang w:val="fr-FR"/>
        </w:rPr>
        <w:t xml:space="preserve"> (i) conciliation sur ces questions</w:t>
      </w:r>
      <w:r w:rsidR="00277023">
        <w:rPr>
          <w:lang w:val="fr-FR"/>
        </w:rPr>
        <w:t>;</w:t>
      </w:r>
      <w:r w:rsidRPr="00197D5F">
        <w:rPr>
          <w:lang w:val="fr-FR"/>
        </w:rPr>
        <w:t xml:space="preserve"> (ii) réclamation portant sur une partie des dépenses familiales dans le cadre d</w:t>
      </w:r>
      <w:r w:rsidR="00277023">
        <w:rPr>
          <w:lang w:val="fr-FR"/>
        </w:rPr>
        <w:t>’</w:t>
      </w:r>
      <w:r w:rsidRPr="00197D5F">
        <w:rPr>
          <w:lang w:val="fr-FR"/>
        </w:rPr>
        <w:t>un litige</w:t>
      </w:r>
      <w:r w:rsidR="00277023">
        <w:rPr>
          <w:lang w:val="fr-FR"/>
        </w:rPr>
        <w:t>;</w:t>
      </w:r>
      <w:r w:rsidRPr="00197D5F">
        <w:rPr>
          <w:lang w:val="fr-FR"/>
        </w:rPr>
        <w:t xml:space="preserve"> (iii) réclamation portant sur la pension alimentaire dans le cadre d</w:t>
      </w:r>
      <w:r w:rsidR="00277023">
        <w:rPr>
          <w:lang w:val="fr-FR"/>
        </w:rPr>
        <w:t>’</w:t>
      </w:r>
      <w:r w:rsidRPr="00197D5F">
        <w:rPr>
          <w:lang w:val="fr-FR"/>
        </w:rPr>
        <w:t>un litige portant sur les soins et la garde de</w:t>
      </w:r>
      <w:r w:rsidR="00EA1115">
        <w:rPr>
          <w:lang w:val="fr-FR"/>
        </w:rPr>
        <w:t xml:space="preserve"> </w:t>
      </w:r>
      <w:r w:rsidRPr="00197D5F">
        <w:rPr>
          <w:lang w:val="fr-FR"/>
        </w:rPr>
        <w:t>l</w:t>
      </w:r>
      <w:r w:rsidR="00277023">
        <w:rPr>
          <w:lang w:val="fr-FR"/>
        </w:rPr>
        <w:t>’</w:t>
      </w:r>
      <w:r w:rsidRPr="00197D5F">
        <w:rPr>
          <w:lang w:val="fr-FR"/>
        </w:rPr>
        <w:t>enfant</w:t>
      </w:r>
      <w:r w:rsidR="00277023">
        <w:rPr>
          <w:lang w:val="fr-FR"/>
        </w:rPr>
        <w:t>;</w:t>
      </w:r>
      <w:r w:rsidRPr="00197D5F">
        <w:rPr>
          <w:lang w:val="fr-FR"/>
        </w:rPr>
        <w:t xml:space="preserve"> (iv) réclamation portant sur la pension alimentaire dans le cadre d</w:t>
      </w:r>
      <w:r w:rsidR="00277023">
        <w:rPr>
          <w:lang w:val="fr-FR"/>
        </w:rPr>
        <w:t>’</w:t>
      </w:r>
      <w:r w:rsidRPr="00197D5F">
        <w:rPr>
          <w:lang w:val="fr-FR"/>
        </w:rPr>
        <w:t>un litige relatif à la satisfaction des besoins de l</w:t>
      </w:r>
      <w:r w:rsidR="00277023">
        <w:rPr>
          <w:lang w:val="fr-FR"/>
        </w:rPr>
        <w:t>’</w:t>
      </w:r>
      <w:r w:rsidRPr="00197D5F">
        <w:rPr>
          <w:lang w:val="fr-FR"/>
        </w:rPr>
        <w:t>enfant</w:t>
      </w:r>
      <w:r w:rsidR="00277023">
        <w:rPr>
          <w:lang w:val="fr-FR"/>
        </w:rPr>
        <w:t>;</w:t>
      </w:r>
      <w:r w:rsidRPr="00197D5F">
        <w:rPr>
          <w:lang w:val="fr-FR"/>
        </w:rPr>
        <w:t xml:space="preserve"> et (v) réclamations collatérales dans les procédures de divorce en vertu des paragraphes 1 et 2 de l</w:t>
      </w:r>
      <w:r w:rsidR="00277023">
        <w:rPr>
          <w:lang w:val="fr-FR"/>
        </w:rPr>
        <w:t>’</w:t>
      </w:r>
      <w:r w:rsidRPr="00197D5F">
        <w:rPr>
          <w:lang w:val="fr-FR"/>
        </w:rPr>
        <w:t>article 32 du Code de procédure concernant les affaires portant sur le statut personnel. Outre les décisions de recevabilité des réclamations collatérales dans les procédures de divorce mentionnées au (v), l</w:t>
      </w:r>
      <w:r w:rsidR="00277023">
        <w:rPr>
          <w:lang w:val="fr-FR"/>
        </w:rPr>
        <w:t>’</w:t>
      </w:r>
      <w:r w:rsidRPr="00197D5F">
        <w:rPr>
          <w:lang w:val="fr-FR"/>
        </w:rPr>
        <w:t>acte de conciliation</w:t>
      </w:r>
      <w:r w:rsidRPr="00197D5F" w:rsidDel="00F52460">
        <w:rPr>
          <w:lang w:val="fr-FR"/>
        </w:rPr>
        <w:t xml:space="preserve"> </w:t>
      </w:r>
      <w:r w:rsidRPr="00197D5F">
        <w:rPr>
          <w:lang w:val="fr-FR"/>
        </w:rPr>
        <w:t>et les injonctions de verser la pension alimentaire ont le même effet qu</w:t>
      </w:r>
      <w:r w:rsidR="00277023">
        <w:rPr>
          <w:lang w:val="fr-FR"/>
        </w:rPr>
        <w:t>’</w:t>
      </w:r>
      <w:r w:rsidRPr="00197D5F">
        <w:rPr>
          <w:lang w:val="fr-FR"/>
        </w:rPr>
        <w:t>un titre d</w:t>
      </w:r>
      <w:r w:rsidR="00277023">
        <w:rPr>
          <w:lang w:val="fr-FR"/>
        </w:rPr>
        <w:t>’</w:t>
      </w:r>
      <w:r w:rsidRPr="00197D5F">
        <w:rPr>
          <w:lang w:val="fr-FR"/>
        </w:rPr>
        <w:t>obligation exécutoire. Dès lors, la pension alimentaire peut être recouvrée au titre d</w:t>
      </w:r>
      <w:r w:rsidR="00277023">
        <w:rPr>
          <w:lang w:val="fr-FR"/>
        </w:rPr>
        <w:t>’</w:t>
      </w:r>
      <w:r w:rsidRPr="00197D5F">
        <w:rPr>
          <w:lang w:val="fr-FR"/>
        </w:rPr>
        <w:t>une exécution forcée si l</w:t>
      </w:r>
      <w:r w:rsidR="00277023">
        <w:rPr>
          <w:lang w:val="fr-FR"/>
        </w:rPr>
        <w:t>’</w:t>
      </w:r>
      <w:r w:rsidRPr="00197D5F">
        <w:rPr>
          <w:lang w:val="fr-FR"/>
        </w:rPr>
        <w:t>obligé ne s</w:t>
      </w:r>
      <w:r w:rsidR="00277023">
        <w:rPr>
          <w:lang w:val="fr-FR"/>
        </w:rPr>
        <w:t>’</w:t>
      </w:r>
      <w:r w:rsidRPr="00197D5F">
        <w:rPr>
          <w:lang w:val="fr-FR"/>
        </w:rPr>
        <w:t>y résout pas spontanément. Outre l</w:t>
      </w:r>
      <w:r w:rsidR="00277023">
        <w:rPr>
          <w:lang w:val="fr-FR"/>
        </w:rPr>
        <w:t>’</w:t>
      </w:r>
      <w:r w:rsidRPr="00197D5F">
        <w:rPr>
          <w:lang w:val="fr-FR"/>
        </w:rPr>
        <w:t xml:space="preserve">exécution forcée, le Code de procédure concernant les affaires portant sur le statut personnel et </w:t>
      </w:r>
      <w:smartTag w:uri="urn:schemas-microsoft-com:office:smarttags" w:element="PersonName">
        <w:smartTagPr>
          <w:attr w:name="ProductID" w:val="la Loi"/>
        </w:smartTagPr>
        <w:r w:rsidRPr="00197D5F">
          <w:rPr>
            <w:lang w:val="fr-FR"/>
          </w:rPr>
          <w:t>la Loi</w:t>
        </w:r>
      </w:smartTag>
      <w:r w:rsidRPr="00197D5F">
        <w:rPr>
          <w:lang w:val="fr-FR"/>
        </w:rPr>
        <w:t xml:space="preserve"> relative aux procédures portant sur le statut personnel constituent un cadre assurant que l</w:t>
      </w:r>
      <w:r w:rsidR="00277023">
        <w:rPr>
          <w:lang w:val="fr-FR"/>
        </w:rPr>
        <w:t>’</w:t>
      </w:r>
      <w:r w:rsidRPr="00197D5F">
        <w:rPr>
          <w:lang w:val="fr-FR"/>
        </w:rPr>
        <w:t>obligé fera face à ses responsabilités familiales, en application duquel le tribunal des affaires familiales peut émettre un avis à cette fin ou ordonner l</w:t>
      </w:r>
      <w:r w:rsidR="00277023">
        <w:rPr>
          <w:lang w:val="fr-FR"/>
        </w:rPr>
        <w:t>’</w:t>
      </w:r>
      <w:r w:rsidRPr="00197D5F">
        <w:rPr>
          <w:lang w:val="fr-FR"/>
        </w:rPr>
        <w:t>exécution demandée dans l</w:t>
      </w:r>
      <w:r w:rsidR="00277023">
        <w:rPr>
          <w:lang w:val="fr-FR"/>
        </w:rPr>
        <w:t>’</w:t>
      </w:r>
      <w:r w:rsidRPr="00197D5F">
        <w:rPr>
          <w:lang w:val="fr-FR"/>
        </w:rPr>
        <w:t>injonction ou l</w:t>
      </w:r>
      <w:r w:rsidR="00277023">
        <w:rPr>
          <w:lang w:val="fr-FR"/>
        </w:rPr>
        <w:t>’</w:t>
      </w:r>
      <w:r w:rsidRPr="00197D5F">
        <w:rPr>
          <w:lang w:val="fr-FR"/>
        </w:rPr>
        <w:t>acte de conciliation.</w:t>
      </w:r>
    </w:p>
    <w:p w:rsidR="00197D5F" w:rsidRPr="00197D5F" w:rsidRDefault="00197D5F" w:rsidP="00197D5F">
      <w:pPr>
        <w:pStyle w:val="SingleTxtG"/>
        <w:rPr>
          <w:lang w:val="fr-FR"/>
        </w:rPr>
      </w:pPr>
      <w:r w:rsidRPr="00197D5F">
        <w:rPr>
          <w:lang w:val="fr-FR"/>
        </w:rPr>
        <w:t>294.</w:t>
      </w:r>
      <w:r w:rsidRPr="00197D5F">
        <w:rPr>
          <w:lang w:val="fr-FR"/>
        </w:rPr>
        <w:tab/>
        <w:t>En 2005, on a compté 14</w:t>
      </w:r>
      <w:r w:rsidR="00EA1115">
        <w:rPr>
          <w:lang w:val="fr-FR"/>
        </w:rPr>
        <w:t>.</w:t>
      </w:r>
      <w:r w:rsidRPr="00197D5F">
        <w:rPr>
          <w:lang w:val="fr-FR"/>
        </w:rPr>
        <w:t>481 affaires matrimoniales ayant donné lieu à des avis requérant le respect des obligations financières, dont</w:t>
      </w:r>
      <w:r w:rsidR="00EA1115">
        <w:rPr>
          <w:lang w:val="fr-FR"/>
        </w:rPr>
        <w:t xml:space="preserve"> </w:t>
      </w:r>
      <w:r w:rsidRPr="00197D5F">
        <w:rPr>
          <w:lang w:val="fr-FR"/>
        </w:rPr>
        <w:t>8</w:t>
      </w:r>
      <w:r w:rsidR="00EA1115">
        <w:rPr>
          <w:lang w:val="fr-FR"/>
        </w:rPr>
        <w:t>.</w:t>
      </w:r>
      <w:r w:rsidRPr="00197D5F">
        <w:rPr>
          <w:lang w:val="fr-FR"/>
        </w:rPr>
        <w:t>009 ont été exécutés, pleinement ou en partie.</w:t>
      </w:r>
    </w:p>
    <w:p w:rsidR="00197D5F" w:rsidRPr="00197D5F" w:rsidRDefault="00197D5F" w:rsidP="00197D5F">
      <w:pPr>
        <w:pStyle w:val="SingleTxtG"/>
        <w:rPr>
          <w:lang w:val="fr-FR"/>
        </w:rPr>
      </w:pPr>
      <w:r w:rsidRPr="00197D5F">
        <w:rPr>
          <w:lang w:val="fr-FR"/>
        </w:rPr>
        <w:t>295.</w:t>
      </w:r>
      <w:r w:rsidRPr="00197D5F">
        <w:rPr>
          <w:lang w:val="fr-FR"/>
        </w:rPr>
        <w:tab/>
        <w:t>S</w:t>
      </w:r>
      <w:r w:rsidR="00277023">
        <w:rPr>
          <w:lang w:val="fr-FR"/>
        </w:rPr>
        <w:t>’</w:t>
      </w:r>
      <w:r w:rsidRPr="00197D5F">
        <w:rPr>
          <w:lang w:val="fr-FR"/>
        </w:rPr>
        <w:t>agissant des cas où un enfant doit recevoir une pension alimentaire au Japon mais que ses parents, ou l</w:t>
      </w:r>
      <w:r w:rsidR="00277023">
        <w:rPr>
          <w:lang w:val="fr-FR"/>
        </w:rPr>
        <w:t>’</w:t>
      </w:r>
      <w:r w:rsidRPr="00197D5F">
        <w:rPr>
          <w:lang w:val="fr-FR"/>
        </w:rPr>
        <w:t>un d</w:t>
      </w:r>
      <w:r w:rsidR="00277023">
        <w:rPr>
          <w:lang w:val="fr-FR"/>
        </w:rPr>
        <w:t>’</w:t>
      </w:r>
      <w:r w:rsidRPr="00197D5F">
        <w:rPr>
          <w:lang w:val="fr-FR"/>
        </w:rPr>
        <w:t>eux, ou d</w:t>
      </w:r>
      <w:r w:rsidR="00277023">
        <w:rPr>
          <w:lang w:val="fr-FR"/>
        </w:rPr>
        <w:t>’</w:t>
      </w:r>
      <w:r w:rsidRPr="00197D5F">
        <w:rPr>
          <w:lang w:val="fr-FR"/>
        </w:rPr>
        <w:t>autres personnes assumant une responsabilité financière à son égard, vivent dans un pays différent du sien, voir paragraphe 136 du rapport initial du Japon.</w:t>
      </w:r>
    </w:p>
    <w:p w:rsidR="00197D5F" w:rsidRPr="00197D5F" w:rsidRDefault="00197D5F" w:rsidP="00197D5F">
      <w:pPr>
        <w:pStyle w:val="SingleTxtG"/>
        <w:rPr>
          <w:lang w:val="fr-FR"/>
        </w:rPr>
      </w:pPr>
      <w:r w:rsidRPr="00197D5F">
        <w:rPr>
          <w:lang w:val="fr-FR"/>
        </w:rPr>
        <w:t>296.</w:t>
      </w:r>
      <w:r w:rsidRPr="00197D5F">
        <w:rPr>
          <w:lang w:val="fr-FR"/>
        </w:rPr>
        <w:tab/>
        <w:t>En ce qui concerne l</w:t>
      </w:r>
      <w:r w:rsidR="00277023">
        <w:rPr>
          <w:lang w:val="fr-FR"/>
        </w:rPr>
        <w:t>’</w:t>
      </w:r>
      <w:r w:rsidRPr="00197D5F">
        <w:rPr>
          <w:lang w:val="fr-FR"/>
        </w:rPr>
        <w:t>exécution forcée d</w:t>
      </w:r>
      <w:r w:rsidR="00277023">
        <w:rPr>
          <w:lang w:val="fr-FR"/>
        </w:rPr>
        <w:t>’</w:t>
      </w:r>
      <w:r w:rsidRPr="00197D5F">
        <w:rPr>
          <w:lang w:val="fr-FR"/>
        </w:rPr>
        <w:t>engagements financiers fondés sur l</w:t>
      </w:r>
      <w:r w:rsidR="00277023">
        <w:rPr>
          <w:lang w:val="fr-FR"/>
        </w:rPr>
        <w:t>’</w:t>
      </w:r>
      <w:r w:rsidRPr="00197D5F">
        <w:rPr>
          <w:lang w:val="fr-FR"/>
        </w:rPr>
        <w:t>obligation d</w:t>
      </w:r>
      <w:r w:rsidR="00277023">
        <w:rPr>
          <w:lang w:val="fr-FR"/>
        </w:rPr>
        <w:t>’</w:t>
      </w:r>
      <w:r w:rsidRPr="00197D5F">
        <w:rPr>
          <w:lang w:val="fr-FR"/>
        </w:rPr>
        <w:t xml:space="preserve">entretien, la modification partielle de </w:t>
      </w:r>
      <w:smartTag w:uri="urn:schemas-microsoft-com:office:smarttags" w:element="PersonName">
        <w:smartTagPr>
          <w:attr w:name="ProductID" w:val="la Loi"/>
        </w:smartTagPr>
        <w:r w:rsidRPr="00197D5F">
          <w:rPr>
            <w:lang w:val="fr-FR"/>
          </w:rPr>
          <w:t>la Loi</w:t>
        </w:r>
      </w:smartTag>
      <w:r w:rsidRPr="00197D5F">
        <w:rPr>
          <w:lang w:val="fr-FR"/>
        </w:rPr>
        <w:t xml:space="preserve"> sur l</w:t>
      </w:r>
      <w:r w:rsidR="00277023">
        <w:rPr>
          <w:lang w:val="fr-FR"/>
        </w:rPr>
        <w:t>’</w:t>
      </w:r>
      <w:r w:rsidRPr="00197D5F">
        <w:rPr>
          <w:lang w:val="fr-FR"/>
        </w:rPr>
        <w:t>exécution civile a instauré en avril 2004 un dispositif qui permet une saisie collective des revenus à venir de l</w:t>
      </w:r>
      <w:r w:rsidR="00277023">
        <w:rPr>
          <w:lang w:val="fr-FR"/>
        </w:rPr>
        <w:t>’</w:t>
      </w:r>
      <w:r w:rsidRPr="00197D5F">
        <w:rPr>
          <w:lang w:val="fr-FR"/>
        </w:rPr>
        <w:t>obligé, y compris les pensions (alimentaires) ultérieurement exigibles. Depuis avril 2005, outre l</w:t>
      </w:r>
      <w:r w:rsidR="00277023">
        <w:rPr>
          <w:lang w:val="fr-FR"/>
        </w:rPr>
        <w:t>’</w:t>
      </w:r>
      <w:r w:rsidRPr="00197D5F">
        <w:rPr>
          <w:lang w:val="fr-FR"/>
        </w:rPr>
        <w:t>exécution directe (les actifs de l</w:t>
      </w:r>
      <w:r w:rsidR="00277023">
        <w:rPr>
          <w:lang w:val="fr-FR"/>
        </w:rPr>
        <w:t>’</w:t>
      </w:r>
      <w:r w:rsidRPr="00197D5F">
        <w:rPr>
          <w:lang w:val="fr-FR"/>
        </w:rPr>
        <w:t>obligé sont convertis en une somme d</w:t>
      </w:r>
      <w:r w:rsidR="00277023">
        <w:rPr>
          <w:lang w:val="fr-FR"/>
        </w:rPr>
        <w:t>’</w:t>
      </w:r>
      <w:r w:rsidRPr="00197D5F">
        <w:rPr>
          <w:lang w:val="fr-FR"/>
        </w:rPr>
        <w:t>argent qui sert au versement de la pension alimentaire), le tribunal peut</w:t>
      </w:r>
      <w:r w:rsidR="00EA1115">
        <w:rPr>
          <w:lang w:val="fr-FR"/>
        </w:rPr>
        <w:t xml:space="preserve"> </w:t>
      </w:r>
      <w:r w:rsidRPr="00197D5F">
        <w:rPr>
          <w:lang w:val="fr-FR"/>
        </w:rPr>
        <w:t>recourir à l</w:t>
      </w:r>
      <w:r w:rsidR="00277023">
        <w:rPr>
          <w:lang w:val="fr-FR"/>
        </w:rPr>
        <w:t>’</w:t>
      </w:r>
      <w:r w:rsidRPr="00197D5F">
        <w:rPr>
          <w:lang w:val="fr-FR"/>
        </w:rPr>
        <w:t>exécution indirecte (si l</w:t>
      </w:r>
      <w:r w:rsidR="00277023">
        <w:rPr>
          <w:lang w:val="fr-FR"/>
        </w:rPr>
        <w:t>’</w:t>
      </w:r>
      <w:r w:rsidRPr="00197D5F">
        <w:rPr>
          <w:lang w:val="fr-FR"/>
        </w:rPr>
        <w:t>obligé ne répond pas à ses obligations, on exerce sur lui une pression psychologique pour qu</w:t>
      </w:r>
      <w:r w:rsidR="00277023">
        <w:rPr>
          <w:lang w:val="fr-FR"/>
        </w:rPr>
        <w:t>’</w:t>
      </w:r>
      <w:r w:rsidRPr="00197D5F">
        <w:rPr>
          <w:lang w:val="fr-FR"/>
        </w:rPr>
        <w:t>il s</w:t>
      </w:r>
      <w:r w:rsidR="00277023">
        <w:rPr>
          <w:lang w:val="fr-FR"/>
        </w:rPr>
        <w:t>’</w:t>
      </w:r>
      <w:r w:rsidRPr="00197D5F">
        <w:rPr>
          <w:lang w:val="fr-FR"/>
        </w:rPr>
        <w:t>exécute spontanément en le sommant de verser un certain montant).</w:t>
      </w:r>
    </w:p>
    <w:p w:rsidR="00197D5F" w:rsidRPr="00197D5F" w:rsidRDefault="006F0FA4" w:rsidP="006F0FA4">
      <w:pPr>
        <w:pStyle w:val="H1G"/>
        <w:rPr>
          <w:lang w:val="fr-FR"/>
        </w:rPr>
      </w:pPr>
      <w:r>
        <w:rPr>
          <w:lang w:val="fr-FR"/>
        </w:rPr>
        <w:tab/>
        <w:t>G.</w:t>
      </w:r>
      <w:r>
        <w:rPr>
          <w:lang w:val="fr-FR"/>
        </w:rPr>
        <w:tab/>
      </w:r>
      <w:r w:rsidR="00197D5F" w:rsidRPr="00197D5F">
        <w:rPr>
          <w:lang w:val="fr-FR"/>
        </w:rPr>
        <w:t>Enfants privés de milieu familial (article 20)</w:t>
      </w:r>
    </w:p>
    <w:p w:rsidR="00197D5F" w:rsidRPr="00197D5F" w:rsidRDefault="00197D5F" w:rsidP="00197D5F">
      <w:pPr>
        <w:pStyle w:val="SingleTxtG"/>
        <w:rPr>
          <w:lang w:val="fr-FR"/>
        </w:rPr>
      </w:pPr>
      <w:r w:rsidRPr="00197D5F">
        <w:rPr>
          <w:lang w:val="fr-FR"/>
        </w:rPr>
        <w:t>297.</w:t>
      </w:r>
      <w:r w:rsidRPr="00197D5F">
        <w:rPr>
          <w:lang w:val="fr-FR"/>
        </w:rPr>
        <w:tab/>
        <w:t xml:space="preserve">Voir paragraphes 244-248 du deuxième rapport du Japon. </w:t>
      </w:r>
    </w:p>
    <w:p w:rsidR="00197D5F" w:rsidRPr="00197D5F" w:rsidRDefault="006F0FA4" w:rsidP="006F0FA4">
      <w:pPr>
        <w:pStyle w:val="H1G"/>
        <w:rPr>
          <w:lang w:val="fr-FR"/>
        </w:rPr>
      </w:pPr>
      <w:r>
        <w:rPr>
          <w:lang w:val="fr-FR"/>
        </w:rPr>
        <w:tab/>
        <w:t>H.</w:t>
      </w:r>
      <w:r>
        <w:rPr>
          <w:lang w:val="fr-FR"/>
        </w:rPr>
        <w:tab/>
      </w:r>
      <w:r w:rsidR="00197D5F" w:rsidRPr="00197D5F">
        <w:rPr>
          <w:lang w:val="fr-FR"/>
        </w:rPr>
        <w:t>Adoption (article 21)</w:t>
      </w:r>
    </w:p>
    <w:p w:rsidR="00197D5F" w:rsidRPr="00197D5F" w:rsidRDefault="006F0FA4" w:rsidP="006F0FA4">
      <w:pPr>
        <w:pStyle w:val="H23G"/>
        <w:rPr>
          <w:lang w:val="fr-FR"/>
        </w:rPr>
      </w:pPr>
      <w:r>
        <w:rPr>
          <w:lang w:val="fr-FR"/>
        </w:rPr>
        <w:tab/>
        <w:t>a)</w:t>
      </w:r>
      <w:r>
        <w:rPr>
          <w:lang w:val="fr-FR"/>
        </w:rPr>
        <w:tab/>
      </w:r>
      <w:r w:rsidR="00197D5F" w:rsidRPr="00197D5F">
        <w:rPr>
          <w:lang w:val="fr-FR"/>
        </w:rPr>
        <w:t>Assurer que la plus grande attention est accordée à l</w:t>
      </w:r>
      <w:r w:rsidR="00277023">
        <w:rPr>
          <w:lang w:val="fr-FR"/>
        </w:rPr>
        <w:t>’</w:t>
      </w:r>
      <w:r w:rsidR="00197D5F" w:rsidRPr="00197D5F">
        <w:rPr>
          <w:lang w:val="fr-FR"/>
        </w:rPr>
        <w:t>intérêt supérieur de l</w:t>
      </w:r>
      <w:r w:rsidR="00277023">
        <w:rPr>
          <w:lang w:val="fr-FR"/>
        </w:rPr>
        <w:t>’</w:t>
      </w:r>
      <w:r w:rsidR="00197D5F" w:rsidRPr="00197D5F">
        <w:rPr>
          <w:lang w:val="fr-FR"/>
        </w:rPr>
        <w:t>enfant dans les procédures d</w:t>
      </w:r>
      <w:r w:rsidR="00277023">
        <w:rPr>
          <w:lang w:val="fr-FR"/>
        </w:rPr>
        <w:t>’</w:t>
      </w:r>
      <w:r w:rsidR="00197D5F" w:rsidRPr="00197D5F">
        <w:rPr>
          <w:lang w:val="fr-FR"/>
        </w:rPr>
        <w:t>adoption</w:t>
      </w:r>
    </w:p>
    <w:p w:rsidR="00197D5F" w:rsidRPr="00197D5F" w:rsidRDefault="006F0FA4" w:rsidP="00197D5F">
      <w:pPr>
        <w:pStyle w:val="SingleTxtG"/>
        <w:rPr>
          <w:lang w:val="fr-FR"/>
        </w:rPr>
      </w:pPr>
      <w:r>
        <w:rPr>
          <w:lang w:val="fr-FR"/>
        </w:rPr>
        <w:t>(Procédures d</w:t>
      </w:r>
      <w:r w:rsidR="00277023">
        <w:rPr>
          <w:lang w:val="fr-FR"/>
        </w:rPr>
        <w:t>’</w:t>
      </w:r>
      <w:r>
        <w:rPr>
          <w:lang w:val="fr-FR"/>
        </w:rPr>
        <w:t>adoption)</w:t>
      </w:r>
    </w:p>
    <w:p w:rsidR="00197D5F" w:rsidRPr="00197D5F" w:rsidRDefault="00197D5F" w:rsidP="00197D5F">
      <w:pPr>
        <w:pStyle w:val="SingleTxtG"/>
        <w:rPr>
          <w:lang w:val="fr-FR"/>
        </w:rPr>
      </w:pPr>
      <w:r w:rsidRPr="00197D5F">
        <w:rPr>
          <w:lang w:val="fr-FR"/>
        </w:rPr>
        <w:t>298.</w:t>
      </w:r>
      <w:r w:rsidRPr="00197D5F">
        <w:rPr>
          <w:lang w:val="fr-FR"/>
        </w:rPr>
        <w:tab/>
        <w:t xml:space="preserve">Voir paragraphes 132-134 et 249 du deuxième rapport du Japon. </w:t>
      </w:r>
    </w:p>
    <w:p w:rsidR="00197D5F" w:rsidRPr="00197D5F" w:rsidRDefault="00197D5F" w:rsidP="00197D5F">
      <w:pPr>
        <w:pStyle w:val="SingleTxtG"/>
        <w:rPr>
          <w:lang w:val="fr-FR"/>
        </w:rPr>
      </w:pPr>
      <w:r w:rsidRPr="00197D5F">
        <w:rPr>
          <w:lang w:val="fr-FR"/>
        </w:rPr>
        <w:t>299.</w:t>
      </w:r>
      <w:r w:rsidRPr="00197D5F">
        <w:rPr>
          <w:lang w:val="fr-FR"/>
        </w:rPr>
        <w:tab/>
        <w:t>En vertu du Code japonais, l</w:t>
      </w:r>
      <w:r w:rsidR="00277023">
        <w:rPr>
          <w:lang w:val="fr-FR"/>
        </w:rPr>
        <w:t>’</w:t>
      </w:r>
      <w:r w:rsidRPr="00197D5F">
        <w:rPr>
          <w:lang w:val="fr-FR"/>
        </w:rPr>
        <w:t>autorisation du tribunal des affaires familiales est en principe requise pour l</w:t>
      </w:r>
      <w:r w:rsidR="00277023">
        <w:rPr>
          <w:lang w:val="fr-FR"/>
        </w:rPr>
        <w:t>’</w:t>
      </w:r>
      <w:r w:rsidRPr="00197D5F">
        <w:rPr>
          <w:lang w:val="fr-FR"/>
        </w:rPr>
        <w:t>adoption d</w:t>
      </w:r>
      <w:r w:rsidR="00277023">
        <w:rPr>
          <w:lang w:val="fr-FR"/>
        </w:rPr>
        <w:t>’</w:t>
      </w:r>
      <w:r w:rsidRPr="00197D5F">
        <w:rPr>
          <w:lang w:val="fr-FR"/>
        </w:rPr>
        <w:t>un mineur, afin d</w:t>
      </w:r>
      <w:r w:rsidR="00277023">
        <w:rPr>
          <w:lang w:val="fr-FR"/>
        </w:rPr>
        <w:t>’</w:t>
      </w:r>
      <w:r w:rsidRPr="00197D5F">
        <w:rPr>
          <w:lang w:val="fr-FR"/>
        </w:rPr>
        <w:t>assurer que l</w:t>
      </w:r>
      <w:r w:rsidR="00277023">
        <w:rPr>
          <w:lang w:val="fr-FR"/>
        </w:rPr>
        <w:t>’</w:t>
      </w:r>
      <w:r w:rsidR="002B5F2D">
        <w:rPr>
          <w:lang w:val="fr-FR"/>
        </w:rPr>
        <w:t>adoption répond au bien</w:t>
      </w:r>
      <w:r w:rsidR="002B5F2D">
        <w:rPr>
          <w:lang w:val="fr-FR"/>
        </w:rPr>
        <w:noBreakHyphen/>
      </w:r>
      <w:r w:rsidRPr="00197D5F">
        <w:rPr>
          <w:lang w:val="fr-FR"/>
        </w:rPr>
        <w:t>être de l</w:t>
      </w:r>
      <w:r w:rsidR="00277023">
        <w:rPr>
          <w:lang w:val="fr-FR"/>
        </w:rPr>
        <w:t>’</w:t>
      </w:r>
      <w:r w:rsidRPr="00197D5F">
        <w:rPr>
          <w:lang w:val="fr-FR"/>
        </w:rPr>
        <w:t>enfant. Dans le cas où l</w:t>
      </w:r>
      <w:r w:rsidR="00277023">
        <w:rPr>
          <w:lang w:val="fr-FR"/>
        </w:rPr>
        <w:t>’</w:t>
      </w:r>
      <w:r w:rsidRPr="00197D5F">
        <w:rPr>
          <w:lang w:val="fr-FR"/>
        </w:rPr>
        <w:t>enfant à adopter est un descendant en ligne directe de l</w:t>
      </w:r>
      <w:r w:rsidR="00277023">
        <w:rPr>
          <w:lang w:val="fr-FR"/>
        </w:rPr>
        <w:t>’</w:t>
      </w:r>
      <w:r w:rsidRPr="00197D5F">
        <w:rPr>
          <w:lang w:val="fr-FR"/>
        </w:rPr>
        <w:t xml:space="preserve">un des parents adoptifs ou du conjoint du parent adoptif, </w:t>
      </w:r>
      <w:smartTag w:uri="urn:schemas-microsoft-com:office:smarttags" w:element="PersonName">
        <w:smartTagPr>
          <w:attr w:name="ProductID" w:val="la Loi"/>
        </w:smartTagPr>
        <w:r w:rsidRPr="00197D5F">
          <w:rPr>
            <w:lang w:val="fr-FR"/>
          </w:rPr>
          <w:t>la Loi</w:t>
        </w:r>
      </w:smartTag>
      <w:r w:rsidRPr="00197D5F">
        <w:rPr>
          <w:lang w:val="fr-FR"/>
        </w:rPr>
        <w:t xml:space="preserve"> ne requiert pas l</w:t>
      </w:r>
      <w:r w:rsidR="00277023">
        <w:rPr>
          <w:lang w:val="fr-FR"/>
        </w:rPr>
        <w:t>’</w:t>
      </w:r>
      <w:r w:rsidRPr="00197D5F">
        <w:rPr>
          <w:lang w:val="fr-FR"/>
        </w:rPr>
        <w:t>autorisation du tribunal des affaires familiales. La raison en est que dans ce cas, comme l</w:t>
      </w:r>
      <w:r w:rsidR="00277023">
        <w:rPr>
          <w:lang w:val="fr-FR"/>
        </w:rPr>
        <w:t>’</w:t>
      </w:r>
      <w:r w:rsidRPr="00197D5F">
        <w:rPr>
          <w:lang w:val="fr-FR"/>
        </w:rPr>
        <w:t>ascendant en ligne directe du mineur est le parent adoptif ou le conjoint du parent adoptif, il est tout à fait improbable que l</w:t>
      </w:r>
      <w:r w:rsidR="00277023">
        <w:rPr>
          <w:lang w:val="fr-FR"/>
        </w:rPr>
        <w:t>’</w:t>
      </w:r>
      <w:r w:rsidRPr="00197D5F">
        <w:rPr>
          <w:lang w:val="fr-FR"/>
        </w:rPr>
        <w:t>adoption ne réponde pas au bien-être de l</w:t>
      </w:r>
      <w:r w:rsidR="00277023">
        <w:rPr>
          <w:lang w:val="fr-FR"/>
        </w:rPr>
        <w:t>’</w:t>
      </w:r>
      <w:r w:rsidRPr="00197D5F">
        <w:rPr>
          <w:lang w:val="fr-FR"/>
        </w:rPr>
        <w:t>enfant, par exemple en le laissant à l</w:t>
      </w:r>
      <w:r w:rsidR="00277023">
        <w:rPr>
          <w:lang w:val="fr-FR"/>
        </w:rPr>
        <w:t>’</w:t>
      </w:r>
      <w:r w:rsidRPr="00197D5F">
        <w:rPr>
          <w:lang w:val="fr-FR"/>
        </w:rPr>
        <w:t>adoption à l</w:t>
      </w:r>
      <w:r w:rsidR="00277023">
        <w:rPr>
          <w:lang w:val="fr-FR"/>
        </w:rPr>
        <w:t>’</w:t>
      </w:r>
      <w:r w:rsidRPr="00197D5F">
        <w:rPr>
          <w:lang w:val="fr-FR"/>
        </w:rPr>
        <w:t>entière discrétion du parent.</w:t>
      </w:r>
    </w:p>
    <w:p w:rsidR="00197D5F" w:rsidRPr="00197D5F" w:rsidRDefault="00197D5F" w:rsidP="00197D5F">
      <w:pPr>
        <w:pStyle w:val="SingleTxtG"/>
        <w:rPr>
          <w:lang w:val="fr-FR"/>
        </w:rPr>
      </w:pPr>
      <w:r w:rsidRPr="00197D5F">
        <w:rPr>
          <w:lang w:val="fr-FR"/>
        </w:rPr>
        <w:t>(Réponses des centres de guidance infantile)</w:t>
      </w:r>
    </w:p>
    <w:p w:rsidR="00197D5F" w:rsidRPr="00197D5F" w:rsidRDefault="006F0FA4" w:rsidP="00197D5F">
      <w:pPr>
        <w:pStyle w:val="SingleTxtG"/>
        <w:rPr>
          <w:lang w:val="fr-FR"/>
        </w:rPr>
      </w:pPr>
      <w:r>
        <w:rPr>
          <w:lang w:val="fr-FR"/>
        </w:rPr>
        <w:t>300.</w:t>
      </w:r>
      <w:r>
        <w:rPr>
          <w:lang w:val="fr-FR"/>
        </w:rPr>
        <w:tab/>
      </w:r>
      <w:r w:rsidR="00197D5F" w:rsidRPr="00197D5F">
        <w:rPr>
          <w:lang w:val="fr-FR"/>
        </w:rPr>
        <w:t>Lorsqu</w:t>
      </w:r>
      <w:r w:rsidR="00277023">
        <w:rPr>
          <w:lang w:val="fr-FR"/>
        </w:rPr>
        <w:t>’</w:t>
      </w:r>
      <w:r w:rsidR="00197D5F" w:rsidRPr="00197D5F">
        <w:rPr>
          <w:lang w:val="fr-FR"/>
        </w:rPr>
        <w:t>ils proposent des services d</w:t>
      </w:r>
      <w:r w:rsidR="00277023">
        <w:rPr>
          <w:lang w:val="fr-FR"/>
        </w:rPr>
        <w:t>’</w:t>
      </w:r>
      <w:r w:rsidR="00197D5F" w:rsidRPr="00197D5F">
        <w:rPr>
          <w:lang w:val="fr-FR"/>
        </w:rPr>
        <w:t>adoption, les centres de guidance infantile s</w:t>
      </w:r>
      <w:r w:rsidR="00277023">
        <w:rPr>
          <w:lang w:val="fr-FR"/>
        </w:rPr>
        <w:t>’</w:t>
      </w:r>
      <w:r w:rsidR="00197D5F" w:rsidRPr="00197D5F">
        <w:rPr>
          <w:lang w:val="fr-FR"/>
        </w:rPr>
        <w:t>emploient à obtenir le consentement de l</w:t>
      </w:r>
      <w:r w:rsidR="00277023">
        <w:rPr>
          <w:lang w:val="fr-FR"/>
        </w:rPr>
        <w:t>’</w:t>
      </w:r>
      <w:r w:rsidR="00197D5F" w:rsidRPr="00197D5F">
        <w:rPr>
          <w:lang w:val="fr-FR"/>
        </w:rPr>
        <w:t>enfant ou du représentant légal. Le directeur du centre demande que les candidats à l</w:t>
      </w:r>
      <w:r w:rsidR="00277023">
        <w:rPr>
          <w:lang w:val="fr-FR"/>
        </w:rPr>
        <w:t>’</w:t>
      </w:r>
      <w:r w:rsidR="00197D5F" w:rsidRPr="00197D5F">
        <w:rPr>
          <w:lang w:val="fr-FR"/>
        </w:rPr>
        <w:t>adoption s</w:t>
      </w:r>
      <w:r w:rsidR="00277023">
        <w:rPr>
          <w:lang w:val="fr-FR"/>
        </w:rPr>
        <w:t>’</w:t>
      </w:r>
      <w:r w:rsidR="00197D5F" w:rsidRPr="00197D5F">
        <w:rPr>
          <w:lang w:val="fr-FR"/>
        </w:rPr>
        <w:t>occupent de l</w:t>
      </w:r>
      <w:r w:rsidR="00277023">
        <w:rPr>
          <w:lang w:val="fr-FR"/>
        </w:rPr>
        <w:t>’</w:t>
      </w:r>
      <w:r w:rsidR="00197D5F" w:rsidRPr="00197D5F">
        <w:rPr>
          <w:lang w:val="fr-FR"/>
        </w:rPr>
        <w:t>enfant dans un premier temps pendant au moins six mois en tant que famille d</w:t>
      </w:r>
      <w:r w:rsidR="00277023">
        <w:rPr>
          <w:lang w:val="fr-FR"/>
        </w:rPr>
        <w:t>’</w:t>
      </w:r>
      <w:r w:rsidR="00197D5F" w:rsidRPr="00197D5F">
        <w:rPr>
          <w:lang w:val="fr-FR"/>
        </w:rPr>
        <w:t>accueil.</w:t>
      </w:r>
    </w:p>
    <w:p w:rsidR="00197D5F" w:rsidRPr="00197D5F" w:rsidRDefault="00197D5F" w:rsidP="00197D5F">
      <w:pPr>
        <w:pStyle w:val="SingleTxtG"/>
        <w:rPr>
          <w:lang w:val="fr-FR"/>
        </w:rPr>
      </w:pPr>
      <w:r w:rsidRPr="00197D5F">
        <w:rPr>
          <w:lang w:val="fr-FR"/>
        </w:rPr>
        <w:t>(Recommandations à l</w:t>
      </w:r>
      <w:r w:rsidR="00277023">
        <w:rPr>
          <w:lang w:val="fr-FR"/>
        </w:rPr>
        <w:t>’</w:t>
      </w:r>
      <w:r w:rsidRPr="00197D5F">
        <w:rPr>
          <w:lang w:val="fr-FR"/>
        </w:rPr>
        <w:t>attention de services d</w:t>
      </w:r>
      <w:r w:rsidR="00277023">
        <w:rPr>
          <w:lang w:val="fr-FR"/>
        </w:rPr>
        <w:t>’</w:t>
      </w:r>
      <w:r w:rsidRPr="00197D5F">
        <w:rPr>
          <w:lang w:val="fr-FR"/>
        </w:rPr>
        <w:t>adoption)</w:t>
      </w:r>
    </w:p>
    <w:p w:rsidR="00197D5F" w:rsidRPr="00197D5F" w:rsidRDefault="00197D5F" w:rsidP="00197D5F">
      <w:pPr>
        <w:pStyle w:val="SingleTxtG"/>
        <w:rPr>
          <w:lang w:val="fr-FR"/>
        </w:rPr>
      </w:pPr>
      <w:r w:rsidRPr="00197D5F">
        <w:rPr>
          <w:lang w:val="fr-FR"/>
        </w:rPr>
        <w:t>301.</w:t>
      </w:r>
      <w:r w:rsidRPr="00197D5F">
        <w:rPr>
          <w:lang w:val="fr-FR"/>
        </w:rPr>
        <w:tab/>
        <w:t>Les personnes qui exercent une activité relative à l</w:t>
      </w:r>
      <w:r w:rsidR="00277023">
        <w:rPr>
          <w:lang w:val="fr-FR"/>
        </w:rPr>
        <w:t>’</w:t>
      </w:r>
      <w:r w:rsidRPr="00197D5F">
        <w:rPr>
          <w:lang w:val="fr-FR"/>
        </w:rPr>
        <w:t>adoption doivent, conformément à l</w:t>
      </w:r>
      <w:r w:rsidR="00277023">
        <w:rPr>
          <w:lang w:val="fr-FR"/>
        </w:rPr>
        <w:t>’</w:t>
      </w:r>
      <w:r w:rsidRPr="00197D5F">
        <w:rPr>
          <w:lang w:val="fr-FR"/>
        </w:rPr>
        <w:t xml:space="preserve">article 69 de </w:t>
      </w:r>
      <w:smartTag w:uri="urn:schemas-microsoft-com:office:smarttags" w:element="PersonName">
        <w:smartTagPr>
          <w:attr w:name="ProductID" w:val="la Loi"/>
        </w:smartTagPr>
        <w:r w:rsidRPr="00197D5F">
          <w:rPr>
            <w:lang w:val="fr-FR"/>
          </w:rPr>
          <w:t>la Loi</w:t>
        </w:r>
      </w:smartTag>
      <w:r w:rsidRPr="00197D5F">
        <w:rPr>
          <w:lang w:val="fr-FR"/>
        </w:rPr>
        <w:t xml:space="preserve"> sur la protection sociale, informer le gouverneur préfectoral du lieu d</w:t>
      </w:r>
      <w:r w:rsidR="00277023">
        <w:rPr>
          <w:lang w:val="fr-FR"/>
        </w:rPr>
        <w:t>’</w:t>
      </w:r>
      <w:r w:rsidRPr="00197D5F">
        <w:rPr>
          <w:lang w:val="fr-FR"/>
        </w:rPr>
        <w:t xml:space="preserve">implantation du service. Si elles ne présentent pas la déclaration prescrite par </w:t>
      </w:r>
      <w:smartTag w:uri="urn:schemas-microsoft-com:office:smarttags" w:element="PersonName">
        <w:smartTagPr>
          <w:attr w:name="ProductID" w:val="la Loi"/>
        </w:smartTagPr>
        <w:r w:rsidRPr="00197D5F">
          <w:rPr>
            <w:lang w:val="fr-FR"/>
          </w:rPr>
          <w:t>la Loi</w:t>
        </w:r>
      </w:smartTag>
      <w:r w:rsidRPr="00197D5F">
        <w:rPr>
          <w:lang w:val="fr-FR"/>
        </w:rPr>
        <w:t>, elles reçoivent un rappel à l</w:t>
      </w:r>
      <w:r w:rsidR="00277023">
        <w:rPr>
          <w:lang w:val="fr-FR"/>
        </w:rPr>
        <w:t>’</w:t>
      </w:r>
      <w:r w:rsidRPr="00197D5F">
        <w:rPr>
          <w:lang w:val="fr-FR"/>
        </w:rPr>
        <w:t>ordre du gouvernement préfectoral. Même lorsque la déclaration a été présentée, les gouvernements préfectoraux sont tenus de prendre les mesures requises relatives à ces prestataires, par exemple réaliser une enquête, conformément à l</w:t>
      </w:r>
      <w:r w:rsidR="00277023">
        <w:rPr>
          <w:lang w:val="fr-FR"/>
        </w:rPr>
        <w:t>’</w:t>
      </w:r>
      <w:r w:rsidRPr="00197D5F">
        <w:rPr>
          <w:lang w:val="fr-FR"/>
        </w:rPr>
        <w:t xml:space="preserve">article 70 de </w:t>
      </w:r>
      <w:smartTag w:uri="urn:schemas-microsoft-com:office:smarttags" w:element="PersonName">
        <w:smartTagPr>
          <w:attr w:name="ProductID" w:val="la Loi"/>
        </w:smartTagPr>
        <w:r w:rsidRPr="00197D5F">
          <w:rPr>
            <w:lang w:val="fr-FR"/>
          </w:rPr>
          <w:t>la Loi</w:t>
        </w:r>
      </w:smartTag>
      <w:r w:rsidRPr="00197D5F">
        <w:rPr>
          <w:lang w:val="fr-FR"/>
        </w:rPr>
        <w:t xml:space="preserve"> sur la protection sociale, ou prendre un arrêté pour restreindre ou suspendre l</w:t>
      </w:r>
      <w:r w:rsidR="00277023">
        <w:rPr>
          <w:lang w:val="fr-FR"/>
        </w:rPr>
        <w:t>’</w:t>
      </w:r>
      <w:r w:rsidRPr="00197D5F">
        <w:rPr>
          <w:lang w:val="fr-FR"/>
        </w:rPr>
        <w:t>activité, conformément au premier paragraphe de l</w:t>
      </w:r>
      <w:r w:rsidR="00277023">
        <w:rPr>
          <w:lang w:val="fr-FR"/>
        </w:rPr>
        <w:t>’</w:t>
      </w:r>
      <w:r w:rsidRPr="00197D5F">
        <w:rPr>
          <w:lang w:val="fr-FR"/>
        </w:rPr>
        <w:t xml:space="preserve">article 72 de </w:t>
      </w:r>
      <w:smartTag w:uri="urn:schemas-microsoft-com:office:smarttags" w:element="PersonName">
        <w:smartTagPr>
          <w:attr w:name="ProductID" w:val="la Loi"/>
        </w:smartTagPr>
        <w:r w:rsidRPr="00197D5F">
          <w:rPr>
            <w:lang w:val="fr-FR"/>
          </w:rPr>
          <w:t>la Loi</w:t>
        </w:r>
      </w:smartTag>
      <w:r w:rsidRPr="00197D5F">
        <w:rPr>
          <w:lang w:val="fr-FR"/>
        </w:rPr>
        <w:t>, si la gestion de l</w:t>
      </w:r>
      <w:r w:rsidR="00277023">
        <w:rPr>
          <w:lang w:val="fr-FR"/>
        </w:rPr>
        <w:t>’</w:t>
      </w:r>
      <w:r w:rsidRPr="00197D5F">
        <w:rPr>
          <w:lang w:val="fr-FR"/>
        </w:rPr>
        <w:t>affaire est reconnue non conforme.</w:t>
      </w:r>
    </w:p>
    <w:p w:rsidR="00197D5F" w:rsidRPr="00197D5F" w:rsidRDefault="006F0FA4" w:rsidP="006F0FA4">
      <w:pPr>
        <w:pStyle w:val="H23G"/>
        <w:rPr>
          <w:lang w:val="fr-FR"/>
        </w:rPr>
      </w:pPr>
      <w:r>
        <w:rPr>
          <w:lang w:val="fr-FR"/>
        </w:rPr>
        <w:tab/>
        <w:t>b)</w:t>
      </w:r>
      <w:r>
        <w:rPr>
          <w:lang w:val="fr-FR"/>
        </w:rPr>
        <w:tab/>
        <w:t>Adoption internationale</w:t>
      </w:r>
    </w:p>
    <w:p w:rsidR="00197D5F" w:rsidRPr="00197D5F" w:rsidRDefault="00197D5F" w:rsidP="00197D5F">
      <w:pPr>
        <w:pStyle w:val="SingleTxtG"/>
        <w:rPr>
          <w:lang w:val="fr-FR"/>
        </w:rPr>
      </w:pPr>
      <w:r w:rsidRPr="00197D5F">
        <w:rPr>
          <w:lang w:val="fr-FR"/>
        </w:rPr>
        <w:t>(L</w:t>
      </w:r>
      <w:r w:rsidR="00277023">
        <w:rPr>
          <w:lang w:val="fr-FR"/>
        </w:rPr>
        <w:t>’</w:t>
      </w:r>
      <w:r w:rsidRPr="00197D5F">
        <w:rPr>
          <w:lang w:val="fr-FR"/>
        </w:rPr>
        <w:t>adoption internationale est une alternative dans le cas où un enfant ne peut pas être pris en charge dans son pays; cet enfant adopté à l</w:t>
      </w:r>
      <w:r w:rsidR="00277023">
        <w:rPr>
          <w:lang w:val="fr-FR"/>
        </w:rPr>
        <w:t>’</w:t>
      </w:r>
      <w:r w:rsidRPr="00197D5F">
        <w:rPr>
          <w:lang w:val="fr-FR"/>
        </w:rPr>
        <w:t>étranger reçoit le même niveau de protection qu</w:t>
      </w:r>
      <w:r w:rsidR="00277023">
        <w:rPr>
          <w:lang w:val="fr-FR"/>
        </w:rPr>
        <w:t>’</w:t>
      </w:r>
      <w:r w:rsidRPr="00197D5F">
        <w:rPr>
          <w:lang w:val="fr-FR"/>
        </w:rPr>
        <w:t>un enfant adopté dans le pays)</w:t>
      </w:r>
    </w:p>
    <w:p w:rsidR="00197D5F" w:rsidRPr="00197D5F" w:rsidRDefault="00197D5F" w:rsidP="00197D5F">
      <w:pPr>
        <w:pStyle w:val="SingleTxtG"/>
        <w:rPr>
          <w:lang w:val="fr-FR"/>
        </w:rPr>
      </w:pPr>
      <w:r w:rsidRPr="00197D5F">
        <w:rPr>
          <w:lang w:val="fr-FR"/>
        </w:rPr>
        <w:t>302.</w:t>
      </w:r>
      <w:r w:rsidRPr="00197D5F">
        <w:rPr>
          <w:lang w:val="fr-FR"/>
        </w:rPr>
        <w:tab/>
        <w:t>Ainsi que le stipulent les paragraphes 252 à 254 du deuxième rapport du Japon, dans le cas d</w:t>
      </w:r>
      <w:r w:rsidR="00277023">
        <w:rPr>
          <w:lang w:val="fr-FR"/>
        </w:rPr>
        <w:t>’</w:t>
      </w:r>
      <w:r w:rsidRPr="00197D5F">
        <w:rPr>
          <w:lang w:val="fr-FR"/>
        </w:rPr>
        <w:t>une adoption internationale, l</w:t>
      </w:r>
      <w:r w:rsidR="00277023">
        <w:rPr>
          <w:lang w:val="fr-FR"/>
        </w:rPr>
        <w:t>’</w:t>
      </w:r>
      <w:r w:rsidRPr="00197D5F">
        <w:rPr>
          <w:lang w:val="fr-FR"/>
        </w:rPr>
        <w:t>enfant bénéficie du même niveau de protection que celui accordé dans le cas d</w:t>
      </w:r>
      <w:r w:rsidR="00277023">
        <w:rPr>
          <w:lang w:val="fr-FR"/>
        </w:rPr>
        <w:t>’</w:t>
      </w:r>
      <w:r w:rsidRPr="00197D5F">
        <w:rPr>
          <w:lang w:val="fr-FR"/>
        </w:rPr>
        <w:t xml:space="preserve">une adoption nationale. </w:t>
      </w:r>
    </w:p>
    <w:p w:rsidR="00197D5F" w:rsidRPr="00197D5F" w:rsidRDefault="00197D5F" w:rsidP="00197D5F">
      <w:pPr>
        <w:pStyle w:val="SingleTxtG"/>
        <w:rPr>
          <w:lang w:val="fr-FR"/>
        </w:rPr>
      </w:pPr>
      <w:r w:rsidRPr="00197D5F">
        <w:rPr>
          <w:lang w:val="fr-FR"/>
        </w:rPr>
        <w:t>(Assurer qu</w:t>
      </w:r>
      <w:r w:rsidR="00277023">
        <w:rPr>
          <w:lang w:val="fr-FR"/>
        </w:rPr>
        <w:t>’</w:t>
      </w:r>
      <w:r w:rsidRPr="00197D5F">
        <w:rPr>
          <w:lang w:val="fr-FR"/>
        </w:rPr>
        <w:t>aucun bénéfice financier malhonnête n</w:t>
      </w:r>
      <w:r w:rsidR="00277023">
        <w:rPr>
          <w:lang w:val="fr-FR"/>
        </w:rPr>
        <w:t>’</w:t>
      </w:r>
      <w:r w:rsidRPr="00197D5F">
        <w:rPr>
          <w:lang w:val="fr-FR"/>
        </w:rPr>
        <w:t>y est lié)</w:t>
      </w:r>
    </w:p>
    <w:p w:rsidR="00197D5F" w:rsidRPr="00197D5F" w:rsidRDefault="00197D5F" w:rsidP="00197D5F">
      <w:pPr>
        <w:pStyle w:val="SingleTxtG"/>
        <w:rPr>
          <w:lang w:val="fr-FR"/>
        </w:rPr>
      </w:pPr>
      <w:r w:rsidRPr="00197D5F">
        <w:rPr>
          <w:lang w:val="fr-FR"/>
        </w:rPr>
        <w:t>303.</w:t>
      </w:r>
      <w:r w:rsidRPr="00197D5F">
        <w:rPr>
          <w:lang w:val="fr-FR"/>
        </w:rPr>
        <w:tab/>
        <w:t xml:space="preserve">Voir paragraphe 255 du deuxième rapport du Japon. </w:t>
      </w:r>
    </w:p>
    <w:p w:rsidR="00197D5F" w:rsidRPr="00197D5F" w:rsidRDefault="00197D5F" w:rsidP="00197D5F">
      <w:pPr>
        <w:pStyle w:val="SingleTxtG"/>
        <w:rPr>
          <w:lang w:val="fr-FR"/>
        </w:rPr>
      </w:pPr>
      <w:r w:rsidRPr="00197D5F">
        <w:rPr>
          <w:lang w:val="fr-FR"/>
        </w:rPr>
        <w:t>(Données statistiques relatives au nombre d</w:t>
      </w:r>
      <w:r w:rsidR="00277023">
        <w:rPr>
          <w:lang w:val="fr-FR"/>
        </w:rPr>
        <w:t>’</w:t>
      </w:r>
      <w:r w:rsidRPr="00197D5F">
        <w:rPr>
          <w:lang w:val="fr-FR"/>
        </w:rPr>
        <w:t>enfants adoptés à l</w:t>
      </w:r>
      <w:r w:rsidR="00277023">
        <w:rPr>
          <w:lang w:val="fr-FR"/>
        </w:rPr>
        <w:t>’</w:t>
      </w:r>
      <w:r w:rsidRPr="00197D5F">
        <w:rPr>
          <w:lang w:val="fr-FR"/>
        </w:rPr>
        <w:t>étranger)</w:t>
      </w:r>
    </w:p>
    <w:p w:rsidR="00D3561A" w:rsidRPr="008E5027" w:rsidRDefault="00365506" w:rsidP="005D5F4F">
      <w:pPr>
        <w:pStyle w:val="Heading1"/>
        <w:keepNext/>
      </w:pPr>
      <w:r w:rsidRPr="00F206B8">
        <w:rPr>
          <w:lang w:val="fr-FR"/>
        </w:rPr>
        <w:t>Tableau</w:t>
      </w:r>
      <w:r w:rsidRPr="00F206B8">
        <w:rPr>
          <w:lang w:val="es-ES"/>
        </w:rPr>
        <w:t xml:space="preserve"> </w:t>
      </w:r>
      <w:r w:rsidR="00D3561A" w:rsidRPr="008E5027">
        <w:t>10</w:t>
      </w:r>
    </w:p>
    <w:p w:rsidR="006F0FA4" w:rsidRPr="008E5027" w:rsidRDefault="006F0FA4" w:rsidP="006F0FA4">
      <w:pPr>
        <w:pStyle w:val="SingleTxtG"/>
        <w:keepNext/>
        <w:jc w:val="left"/>
        <w:rPr>
          <w:b/>
        </w:rPr>
      </w:pPr>
      <w:r w:rsidRPr="00632405">
        <w:rPr>
          <w:b/>
          <w:bCs/>
          <w:lang w:val="fr-FR"/>
        </w:rPr>
        <w:t>Nombre de dossiers d</w:t>
      </w:r>
      <w:r w:rsidR="00277023">
        <w:rPr>
          <w:b/>
          <w:bCs/>
          <w:lang w:val="fr-FR"/>
        </w:rPr>
        <w:t>’</w:t>
      </w:r>
      <w:r w:rsidRPr="00632405">
        <w:rPr>
          <w:b/>
          <w:bCs/>
          <w:lang w:val="fr-FR"/>
        </w:rPr>
        <w:t>adoption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50"/>
        <w:gridCol w:w="1055"/>
        <w:gridCol w:w="1055"/>
        <w:gridCol w:w="1055"/>
        <w:gridCol w:w="1055"/>
      </w:tblGrid>
      <w:tr w:rsidR="00D3561A" w:rsidRPr="006C57C4" w:rsidTr="006C57C4">
        <w:tc>
          <w:tcPr>
            <w:tcW w:w="3150" w:type="dxa"/>
            <w:tcBorders>
              <w:top w:val="single" w:sz="4" w:space="0" w:color="auto"/>
              <w:bottom w:val="single" w:sz="12" w:space="0" w:color="auto"/>
            </w:tcBorders>
            <w:shd w:val="clear" w:color="auto" w:fill="auto"/>
            <w:vAlign w:val="bottom"/>
          </w:tcPr>
          <w:p w:rsidR="00D3561A" w:rsidRPr="008E5027" w:rsidRDefault="00D3561A" w:rsidP="006C57C4">
            <w:pPr>
              <w:keepNext/>
              <w:spacing w:before="80" w:after="80" w:line="200" w:lineRule="exact"/>
              <w:rPr>
                <w:i/>
                <w:sz w:val="16"/>
              </w:rPr>
            </w:pPr>
          </w:p>
        </w:tc>
        <w:tc>
          <w:tcPr>
            <w:tcW w:w="1055" w:type="dxa"/>
            <w:tcBorders>
              <w:top w:val="single" w:sz="4" w:space="0" w:color="auto"/>
              <w:bottom w:val="single" w:sz="12" w:space="0" w:color="auto"/>
            </w:tcBorders>
            <w:shd w:val="clear" w:color="auto" w:fill="auto"/>
            <w:vAlign w:val="bottom"/>
          </w:tcPr>
          <w:p w:rsidR="00D3561A" w:rsidRPr="008E5027" w:rsidRDefault="006C57C4" w:rsidP="006C57C4">
            <w:pPr>
              <w:keepNext/>
              <w:spacing w:before="80" w:after="80" w:line="200" w:lineRule="exact"/>
              <w:jc w:val="right"/>
              <w:rPr>
                <w:i/>
                <w:sz w:val="16"/>
              </w:rPr>
            </w:pPr>
            <w:r w:rsidRPr="006C57C4">
              <w:rPr>
                <w:i/>
                <w:sz w:val="16"/>
                <w:lang w:val="fr-FR"/>
              </w:rPr>
              <w:t>Année</w:t>
            </w:r>
          </w:p>
        </w:tc>
        <w:tc>
          <w:tcPr>
            <w:tcW w:w="1055" w:type="dxa"/>
            <w:tcBorders>
              <w:top w:val="single" w:sz="4" w:space="0" w:color="auto"/>
              <w:bottom w:val="single" w:sz="12" w:space="0" w:color="auto"/>
            </w:tcBorders>
            <w:shd w:val="clear" w:color="auto" w:fill="auto"/>
            <w:vAlign w:val="bottom"/>
          </w:tcPr>
          <w:p w:rsidR="00D3561A" w:rsidRPr="008E5027" w:rsidRDefault="006C57C4" w:rsidP="006C57C4">
            <w:pPr>
              <w:keepNext/>
              <w:spacing w:before="80" w:after="80" w:line="200" w:lineRule="exact"/>
              <w:jc w:val="right"/>
              <w:rPr>
                <w:i/>
                <w:sz w:val="16"/>
              </w:rPr>
            </w:pPr>
            <w:r w:rsidRPr="006C57C4">
              <w:rPr>
                <w:i/>
                <w:sz w:val="16"/>
                <w:lang w:val="fr-FR"/>
              </w:rPr>
              <w:t>Dossiers d</w:t>
            </w:r>
            <w:r w:rsidR="00277023">
              <w:rPr>
                <w:i/>
                <w:sz w:val="16"/>
                <w:lang w:val="fr-FR"/>
              </w:rPr>
              <w:t>’</w:t>
            </w:r>
            <w:r w:rsidRPr="006C57C4">
              <w:rPr>
                <w:i/>
                <w:sz w:val="16"/>
                <w:lang w:val="fr-FR"/>
              </w:rPr>
              <w:t>adoption</w:t>
            </w:r>
          </w:p>
        </w:tc>
        <w:tc>
          <w:tcPr>
            <w:tcW w:w="1055" w:type="dxa"/>
            <w:tcBorders>
              <w:top w:val="single" w:sz="4" w:space="0" w:color="auto"/>
              <w:bottom w:val="single" w:sz="12" w:space="0" w:color="auto"/>
            </w:tcBorders>
            <w:shd w:val="clear" w:color="auto" w:fill="auto"/>
            <w:vAlign w:val="bottom"/>
          </w:tcPr>
          <w:p w:rsidR="00D3561A" w:rsidRPr="008E5027" w:rsidRDefault="006C57C4" w:rsidP="006C57C4">
            <w:pPr>
              <w:keepNext/>
              <w:spacing w:before="80" w:after="80" w:line="200" w:lineRule="exact"/>
              <w:jc w:val="right"/>
              <w:rPr>
                <w:i/>
                <w:sz w:val="16"/>
              </w:rPr>
            </w:pPr>
            <w:r w:rsidRPr="006C57C4">
              <w:rPr>
                <w:i/>
                <w:sz w:val="16"/>
                <w:lang w:val="fr-FR"/>
              </w:rPr>
              <w:t xml:space="preserve">Adoption </w:t>
            </w:r>
            <w:r>
              <w:rPr>
                <w:i/>
                <w:sz w:val="16"/>
                <w:lang w:val="fr-FR"/>
              </w:rPr>
              <w:br/>
            </w:r>
            <w:r w:rsidRPr="006C57C4">
              <w:rPr>
                <w:i/>
                <w:sz w:val="16"/>
                <w:lang w:val="fr-FR"/>
              </w:rPr>
              <w:t>ordinaire</w:t>
            </w:r>
          </w:p>
        </w:tc>
        <w:tc>
          <w:tcPr>
            <w:tcW w:w="1055" w:type="dxa"/>
            <w:tcBorders>
              <w:top w:val="single" w:sz="4" w:space="0" w:color="auto"/>
              <w:bottom w:val="single" w:sz="12" w:space="0" w:color="auto"/>
            </w:tcBorders>
            <w:shd w:val="clear" w:color="auto" w:fill="auto"/>
            <w:vAlign w:val="bottom"/>
          </w:tcPr>
          <w:p w:rsidR="00D3561A" w:rsidRPr="006C57C4" w:rsidRDefault="006C57C4" w:rsidP="006C57C4">
            <w:pPr>
              <w:keepNext/>
              <w:spacing w:before="80" w:after="80" w:line="200" w:lineRule="exact"/>
              <w:jc w:val="right"/>
              <w:rPr>
                <w:i/>
                <w:sz w:val="16"/>
                <w:lang w:val="es-ES"/>
              </w:rPr>
            </w:pPr>
            <w:r w:rsidRPr="006C57C4">
              <w:rPr>
                <w:i/>
                <w:sz w:val="16"/>
                <w:lang w:val="fr-FR"/>
              </w:rPr>
              <w:t xml:space="preserve">Adoption </w:t>
            </w:r>
            <w:r>
              <w:rPr>
                <w:i/>
                <w:sz w:val="16"/>
                <w:lang w:val="fr-FR"/>
              </w:rPr>
              <w:br/>
            </w:r>
            <w:r w:rsidRPr="006C57C4">
              <w:rPr>
                <w:i/>
                <w:sz w:val="16"/>
                <w:lang w:val="fr-FR"/>
              </w:rPr>
              <w:t>spéciale</w:t>
            </w:r>
          </w:p>
        </w:tc>
      </w:tr>
      <w:tr w:rsidR="00C25B16" w:rsidRPr="006C57C4" w:rsidTr="00C25B16">
        <w:tc>
          <w:tcPr>
            <w:tcW w:w="3150" w:type="dxa"/>
            <w:vMerge w:val="restart"/>
            <w:tcBorders>
              <w:top w:val="single" w:sz="12" w:space="0" w:color="auto"/>
            </w:tcBorders>
            <w:shd w:val="clear" w:color="auto" w:fill="auto"/>
          </w:tcPr>
          <w:p w:rsidR="00C25B16" w:rsidRPr="006C57C4" w:rsidRDefault="00C25B16" w:rsidP="006C57C4">
            <w:pPr>
              <w:keepNext/>
              <w:suppressAutoHyphens w:val="0"/>
              <w:spacing w:before="40" w:after="40" w:line="220" w:lineRule="exact"/>
              <w:rPr>
                <w:sz w:val="18"/>
                <w:lang w:val="es-ES"/>
              </w:rPr>
            </w:pPr>
            <w:r w:rsidRPr="006C57C4">
              <w:rPr>
                <w:sz w:val="18"/>
                <w:lang w:val="fr-FR"/>
              </w:rPr>
              <w:t>Nombre total de dossiers déposés dans les tribunaux des affaires familiales</w:t>
            </w:r>
          </w:p>
        </w:tc>
        <w:tc>
          <w:tcPr>
            <w:tcW w:w="1055" w:type="dxa"/>
            <w:tcBorders>
              <w:top w:val="single" w:sz="12" w:space="0" w:color="auto"/>
            </w:tcBorders>
            <w:shd w:val="clear" w:color="auto" w:fill="auto"/>
            <w:vAlign w:val="bottom"/>
          </w:tcPr>
          <w:p w:rsidR="00C25B16" w:rsidRPr="006C57C4" w:rsidRDefault="00C25B16" w:rsidP="00C25B16">
            <w:pPr>
              <w:keepNext/>
              <w:suppressAutoHyphens w:val="0"/>
              <w:spacing w:before="40" w:after="40" w:line="220" w:lineRule="exact"/>
              <w:jc w:val="right"/>
              <w:rPr>
                <w:sz w:val="18"/>
                <w:lang w:val="es-ES"/>
              </w:rPr>
            </w:pPr>
            <w:r w:rsidRPr="006C57C4">
              <w:rPr>
                <w:sz w:val="18"/>
                <w:lang w:val="es-ES"/>
              </w:rPr>
              <w:t>2000</w:t>
            </w:r>
          </w:p>
        </w:tc>
        <w:tc>
          <w:tcPr>
            <w:tcW w:w="1055" w:type="dxa"/>
            <w:tcBorders>
              <w:top w:val="single" w:sz="12" w:space="0" w:color="auto"/>
            </w:tcBorders>
            <w:shd w:val="clear" w:color="auto" w:fill="auto"/>
            <w:vAlign w:val="bottom"/>
          </w:tcPr>
          <w:p w:rsidR="00C25B16" w:rsidRPr="006C57C4" w:rsidRDefault="00C25B16" w:rsidP="00C25B16">
            <w:pPr>
              <w:keepNext/>
              <w:suppressAutoHyphens w:val="0"/>
              <w:spacing w:before="40" w:after="40" w:line="220" w:lineRule="exact"/>
              <w:jc w:val="right"/>
              <w:rPr>
                <w:sz w:val="18"/>
                <w:lang w:val="es-ES"/>
              </w:rPr>
            </w:pPr>
            <w:r w:rsidRPr="006C57C4">
              <w:rPr>
                <w:sz w:val="18"/>
                <w:lang w:val="es-ES"/>
              </w:rPr>
              <w:t>534</w:t>
            </w:r>
          </w:p>
        </w:tc>
        <w:tc>
          <w:tcPr>
            <w:tcW w:w="1055" w:type="dxa"/>
            <w:tcBorders>
              <w:top w:val="single" w:sz="12" w:space="0" w:color="auto"/>
            </w:tcBorders>
            <w:shd w:val="clear" w:color="auto" w:fill="auto"/>
            <w:vAlign w:val="bottom"/>
          </w:tcPr>
          <w:p w:rsidR="00C25B16" w:rsidRPr="006C57C4" w:rsidRDefault="00C25B16" w:rsidP="00C25B16">
            <w:pPr>
              <w:keepNext/>
              <w:suppressAutoHyphens w:val="0"/>
              <w:spacing w:before="40" w:after="40" w:line="220" w:lineRule="exact"/>
              <w:jc w:val="right"/>
              <w:rPr>
                <w:sz w:val="18"/>
                <w:lang w:val="es-ES"/>
              </w:rPr>
            </w:pPr>
            <w:r w:rsidRPr="006C57C4">
              <w:rPr>
                <w:sz w:val="18"/>
                <w:lang w:val="es-ES"/>
              </w:rPr>
              <w:t>500</w:t>
            </w:r>
          </w:p>
        </w:tc>
        <w:tc>
          <w:tcPr>
            <w:tcW w:w="1055" w:type="dxa"/>
            <w:tcBorders>
              <w:top w:val="single" w:sz="12" w:space="0" w:color="auto"/>
            </w:tcBorders>
            <w:shd w:val="clear" w:color="auto" w:fill="auto"/>
            <w:vAlign w:val="bottom"/>
          </w:tcPr>
          <w:p w:rsidR="00C25B16" w:rsidRPr="006C57C4" w:rsidRDefault="00C25B16" w:rsidP="00C25B16">
            <w:pPr>
              <w:keepNext/>
              <w:suppressAutoHyphens w:val="0"/>
              <w:spacing w:before="40" w:after="40" w:line="220" w:lineRule="exact"/>
              <w:jc w:val="right"/>
              <w:rPr>
                <w:sz w:val="18"/>
                <w:lang w:val="es-ES"/>
              </w:rPr>
            </w:pPr>
            <w:r w:rsidRPr="006C57C4">
              <w:rPr>
                <w:sz w:val="18"/>
                <w:lang w:val="es-ES"/>
              </w:rPr>
              <w:t>34</w:t>
            </w:r>
          </w:p>
        </w:tc>
      </w:tr>
      <w:tr w:rsidR="00C25B16" w:rsidRPr="006C57C4" w:rsidTr="00C25B16">
        <w:tc>
          <w:tcPr>
            <w:tcW w:w="3150" w:type="dxa"/>
            <w:vMerge/>
            <w:shd w:val="clear" w:color="auto" w:fill="auto"/>
            <w:vAlign w:val="bottom"/>
          </w:tcPr>
          <w:p w:rsidR="00C25B16" w:rsidRPr="006C57C4" w:rsidRDefault="00C25B16" w:rsidP="006C57C4">
            <w:pPr>
              <w:suppressAutoHyphens w:val="0"/>
              <w:spacing w:before="40" w:after="40" w:line="220" w:lineRule="exact"/>
              <w:rPr>
                <w:sz w:val="18"/>
                <w:lang w:val="es-ES"/>
              </w:rPr>
            </w:pPr>
          </w:p>
        </w:tc>
        <w:tc>
          <w:tcPr>
            <w:tcW w:w="1055" w:type="dxa"/>
            <w:shd w:val="clear" w:color="auto" w:fill="auto"/>
            <w:vAlign w:val="bottom"/>
          </w:tcPr>
          <w:p w:rsidR="00C25B16" w:rsidRPr="006C57C4" w:rsidRDefault="00C25B16" w:rsidP="00C25B16">
            <w:pPr>
              <w:suppressAutoHyphens w:val="0"/>
              <w:spacing w:before="40" w:after="40" w:line="220" w:lineRule="exact"/>
              <w:jc w:val="right"/>
              <w:rPr>
                <w:sz w:val="18"/>
                <w:lang w:val="es-ES"/>
              </w:rPr>
            </w:pPr>
            <w:r w:rsidRPr="006C57C4">
              <w:rPr>
                <w:sz w:val="18"/>
                <w:lang w:val="es-ES"/>
              </w:rPr>
              <w:t>2001</w:t>
            </w:r>
          </w:p>
        </w:tc>
        <w:tc>
          <w:tcPr>
            <w:tcW w:w="1055" w:type="dxa"/>
            <w:shd w:val="clear" w:color="auto" w:fill="auto"/>
            <w:vAlign w:val="bottom"/>
          </w:tcPr>
          <w:p w:rsidR="00C25B16" w:rsidRPr="006C57C4" w:rsidRDefault="00C25B16" w:rsidP="00C25B16">
            <w:pPr>
              <w:suppressAutoHyphens w:val="0"/>
              <w:spacing w:before="40" w:after="40" w:line="220" w:lineRule="exact"/>
              <w:jc w:val="right"/>
              <w:rPr>
                <w:sz w:val="18"/>
                <w:lang w:val="es-ES"/>
              </w:rPr>
            </w:pPr>
            <w:r w:rsidRPr="006C57C4">
              <w:rPr>
                <w:sz w:val="18"/>
                <w:lang w:val="es-ES"/>
              </w:rPr>
              <w:t>491</w:t>
            </w:r>
          </w:p>
        </w:tc>
        <w:tc>
          <w:tcPr>
            <w:tcW w:w="1055" w:type="dxa"/>
            <w:shd w:val="clear" w:color="auto" w:fill="auto"/>
            <w:vAlign w:val="bottom"/>
          </w:tcPr>
          <w:p w:rsidR="00C25B16" w:rsidRPr="006C57C4" w:rsidRDefault="00C25B16" w:rsidP="00C25B16">
            <w:pPr>
              <w:suppressAutoHyphens w:val="0"/>
              <w:spacing w:before="40" w:after="40" w:line="220" w:lineRule="exact"/>
              <w:jc w:val="right"/>
              <w:rPr>
                <w:sz w:val="18"/>
                <w:lang w:val="es-ES"/>
              </w:rPr>
            </w:pPr>
            <w:r w:rsidRPr="006C57C4">
              <w:rPr>
                <w:sz w:val="18"/>
                <w:lang w:val="es-ES"/>
              </w:rPr>
              <w:t>460</w:t>
            </w:r>
          </w:p>
        </w:tc>
        <w:tc>
          <w:tcPr>
            <w:tcW w:w="1055" w:type="dxa"/>
            <w:shd w:val="clear" w:color="auto" w:fill="auto"/>
            <w:vAlign w:val="bottom"/>
          </w:tcPr>
          <w:p w:rsidR="00C25B16" w:rsidRPr="006C57C4" w:rsidRDefault="00C25B16" w:rsidP="00C25B16">
            <w:pPr>
              <w:suppressAutoHyphens w:val="0"/>
              <w:spacing w:before="40" w:after="40" w:line="220" w:lineRule="exact"/>
              <w:jc w:val="right"/>
              <w:rPr>
                <w:sz w:val="18"/>
                <w:lang w:val="es-ES"/>
              </w:rPr>
            </w:pPr>
            <w:r w:rsidRPr="006C57C4">
              <w:rPr>
                <w:sz w:val="18"/>
                <w:lang w:val="es-ES"/>
              </w:rPr>
              <w:t>31</w:t>
            </w:r>
          </w:p>
        </w:tc>
      </w:tr>
      <w:tr w:rsidR="00C25B16" w:rsidRPr="008E5027" w:rsidTr="00C25B16">
        <w:tc>
          <w:tcPr>
            <w:tcW w:w="3150" w:type="dxa"/>
            <w:vMerge/>
            <w:shd w:val="clear" w:color="auto" w:fill="auto"/>
            <w:vAlign w:val="bottom"/>
          </w:tcPr>
          <w:p w:rsidR="00C25B16" w:rsidRPr="006C57C4" w:rsidRDefault="00C25B16" w:rsidP="006C57C4">
            <w:pPr>
              <w:suppressAutoHyphens w:val="0"/>
              <w:spacing w:before="40" w:after="40" w:line="220" w:lineRule="exact"/>
              <w:rPr>
                <w:sz w:val="18"/>
                <w:lang w:val="es-ES"/>
              </w:rPr>
            </w:pPr>
          </w:p>
        </w:tc>
        <w:tc>
          <w:tcPr>
            <w:tcW w:w="1055" w:type="dxa"/>
            <w:shd w:val="clear" w:color="auto" w:fill="auto"/>
            <w:vAlign w:val="bottom"/>
          </w:tcPr>
          <w:p w:rsidR="00C25B16" w:rsidRPr="006C57C4" w:rsidRDefault="00C25B16" w:rsidP="00C25B16">
            <w:pPr>
              <w:suppressAutoHyphens w:val="0"/>
              <w:spacing w:before="40" w:after="40" w:line="220" w:lineRule="exact"/>
              <w:jc w:val="right"/>
              <w:rPr>
                <w:sz w:val="18"/>
                <w:lang w:val="es-ES"/>
              </w:rPr>
            </w:pPr>
            <w:r w:rsidRPr="006C57C4">
              <w:rPr>
                <w:sz w:val="18"/>
                <w:lang w:val="es-ES"/>
              </w:rPr>
              <w:t>2002</w:t>
            </w:r>
          </w:p>
        </w:tc>
        <w:tc>
          <w:tcPr>
            <w:tcW w:w="1055" w:type="dxa"/>
            <w:shd w:val="clear" w:color="auto" w:fill="auto"/>
            <w:vAlign w:val="bottom"/>
          </w:tcPr>
          <w:p w:rsidR="00C25B16" w:rsidRPr="006C57C4" w:rsidRDefault="00C25B16" w:rsidP="00C25B16">
            <w:pPr>
              <w:suppressAutoHyphens w:val="0"/>
              <w:spacing w:before="40" w:after="40" w:line="220" w:lineRule="exact"/>
              <w:jc w:val="right"/>
              <w:rPr>
                <w:sz w:val="18"/>
                <w:lang w:val="es-ES"/>
              </w:rPr>
            </w:pPr>
            <w:r w:rsidRPr="006C57C4">
              <w:rPr>
                <w:sz w:val="18"/>
                <w:lang w:val="es-ES"/>
              </w:rPr>
              <w:t>553</w:t>
            </w:r>
          </w:p>
        </w:tc>
        <w:tc>
          <w:tcPr>
            <w:tcW w:w="1055" w:type="dxa"/>
            <w:shd w:val="clear" w:color="auto" w:fill="auto"/>
            <w:vAlign w:val="bottom"/>
          </w:tcPr>
          <w:p w:rsidR="00C25B16" w:rsidRPr="006C57C4" w:rsidRDefault="00C25B16" w:rsidP="00C25B16">
            <w:pPr>
              <w:suppressAutoHyphens w:val="0"/>
              <w:spacing w:before="40" w:after="40" w:line="220" w:lineRule="exact"/>
              <w:jc w:val="right"/>
              <w:rPr>
                <w:sz w:val="18"/>
                <w:lang w:val="es-ES"/>
              </w:rPr>
            </w:pPr>
            <w:r w:rsidRPr="006C57C4">
              <w:rPr>
                <w:sz w:val="18"/>
                <w:lang w:val="es-ES"/>
              </w:rPr>
              <w:t>507</w:t>
            </w:r>
          </w:p>
        </w:tc>
        <w:tc>
          <w:tcPr>
            <w:tcW w:w="1055" w:type="dxa"/>
            <w:shd w:val="clear" w:color="auto" w:fill="auto"/>
            <w:vAlign w:val="bottom"/>
          </w:tcPr>
          <w:p w:rsidR="00C25B16" w:rsidRPr="008E5027" w:rsidRDefault="00C25B16" w:rsidP="00C25B16">
            <w:pPr>
              <w:suppressAutoHyphens w:val="0"/>
              <w:spacing w:before="40" w:after="40" w:line="220" w:lineRule="exact"/>
              <w:jc w:val="right"/>
              <w:rPr>
                <w:sz w:val="18"/>
              </w:rPr>
            </w:pPr>
            <w:r w:rsidRPr="006C57C4">
              <w:rPr>
                <w:sz w:val="18"/>
                <w:lang w:val="es-ES"/>
              </w:rPr>
              <w:t>4</w:t>
            </w:r>
            <w:r w:rsidRPr="008E5027">
              <w:rPr>
                <w:sz w:val="18"/>
              </w:rPr>
              <w:t>6</w:t>
            </w:r>
          </w:p>
        </w:tc>
      </w:tr>
      <w:tr w:rsidR="00C25B16" w:rsidRPr="008E5027" w:rsidTr="00C25B16">
        <w:tc>
          <w:tcPr>
            <w:tcW w:w="3150" w:type="dxa"/>
            <w:vMerge/>
            <w:shd w:val="clear" w:color="auto" w:fill="auto"/>
            <w:vAlign w:val="bottom"/>
          </w:tcPr>
          <w:p w:rsidR="00C25B16" w:rsidRPr="008E5027" w:rsidRDefault="00C25B16" w:rsidP="006C57C4">
            <w:pPr>
              <w:suppressAutoHyphens w:val="0"/>
              <w:spacing w:before="40" w:after="40" w:line="220" w:lineRule="exact"/>
              <w:rPr>
                <w:sz w:val="18"/>
              </w:rPr>
            </w:pPr>
          </w:p>
        </w:tc>
        <w:tc>
          <w:tcPr>
            <w:tcW w:w="1055" w:type="dxa"/>
            <w:shd w:val="clear" w:color="auto" w:fill="auto"/>
            <w:vAlign w:val="bottom"/>
          </w:tcPr>
          <w:p w:rsidR="00C25B16" w:rsidRPr="008E5027" w:rsidRDefault="00C25B16" w:rsidP="00C25B16">
            <w:pPr>
              <w:suppressAutoHyphens w:val="0"/>
              <w:spacing w:before="40" w:after="40" w:line="220" w:lineRule="exact"/>
              <w:jc w:val="right"/>
              <w:rPr>
                <w:sz w:val="18"/>
              </w:rPr>
            </w:pPr>
            <w:r w:rsidRPr="008E5027">
              <w:rPr>
                <w:sz w:val="18"/>
              </w:rPr>
              <w:t>2003</w:t>
            </w:r>
          </w:p>
        </w:tc>
        <w:tc>
          <w:tcPr>
            <w:tcW w:w="1055" w:type="dxa"/>
            <w:shd w:val="clear" w:color="auto" w:fill="auto"/>
            <w:vAlign w:val="bottom"/>
          </w:tcPr>
          <w:p w:rsidR="00C25B16" w:rsidRPr="008E5027" w:rsidRDefault="00C25B16" w:rsidP="00C25B16">
            <w:pPr>
              <w:suppressAutoHyphens w:val="0"/>
              <w:spacing w:before="40" w:after="40" w:line="220" w:lineRule="exact"/>
              <w:jc w:val="right"/>
              <w:rPr>
                <w:sz w:val="18"/>
              </w:rPr>
            </w:pPr>
            <w:r w:rsidRPr="008E5027">
              <w:rPr>
                <w:sz w:val="18"/>
              </w:rPr>
              <w:t>597</w:t>
            </w:r>
          </w:p>
        </w:tc>
        <w:tc>
          <w:tcPr>
            <w:tcW w:w="1055" w:type="dxa"/>
            <w:shd w:val="clear" w:color="auto" w:fill="auto"/>
            <w:vAlign w:val="bottom"/>
          </w:tcPr>
          <w:p w:rsidR="00C25B16" w:rsidRPr="008E5027" w:rsidRDefault="00C25B16" w:rsidP="00C25B16">
            <w:pPr>
              <w:suppressAutoHyphens w:val="0"/>
              <w:spacing w:before="40" w:after="40" w:line="220" w:lineRule="exact"/>
              <w:jc w:val="right"/>
              <w:rPr>
                <w:sz w:val="18"/>
              </w:rPr>
            </w:pPr>
            <w:r w:rsidRPr="008E5027">
              <w:rPr>
                <w:sz w:val="18"/>
              </w:rPr>
              <w:t>574</w:t>
            </w:r>
          </w:p>
        </w:tc>
        <w:tc>
          <w:tcPr>
            <w:tcW w:w="1055" w:type="dxa"/>
            <w:shd w:val="clear" w:color="auto" w:fill="auto"/>
            <w:vAlign w:val="bottom"/>
          </w:tcPr>
          <w:p w:rsidR="00C25B16" w:rsidRPr="008E5027" w:rsidRDefault="00C25B16" w:rsidP="00C25B16">
            <w:pPr>
              <w:suppressAutoHyphens w:val="0"/>
              <w:spacing w:before="40" w:after="40" w:line="220" w:lineRule="exact"/>
              <w:jc w:val="right"/>
              <w:rPr>
                <w:sz w:val="18"/>
              </w:rPr>
            </w:pPr>
            <w:r w:rsidRPr="008E5027">
              <w:rPr>
                <w:sz w:val="18"/>
              </w:rPr>
              <w:t>23</w:t>
            </w:r>
          </w:p>
        </w:tc>
      </w:tr>
      <w:tr w:rsidR="00C25B16" w:rsidRPr="008E5027" w:rsidTr="00C25B16">
        <w:tc>
          <w:tcPr>
            <w:tcW w:w="3150" w:type="dxa"/>
            <w:vMerge/>
            <w:tcBorders>
              <w:bottom w:val="single" w:sz="12" w:space="0" w:color="auto"/>
            </w:tcBorders>
            <w:shd w:val="clear" w:color="auto" w:fill="auto"/>
            <w:vAlign w:val="bottom"/>
          </w:tcPr>
          <w:p w:rsidR="00C25B16" w:rsidRPr="008E5027" w:rsidRDefault="00C25B16" w:rsidP="006C57C4">
            <w:pPr>
              <w:suppressAutoHyphens w:val="0"/>
              <w:spacing w:before="40" w:after="40" w:line="220" w:lineRule="exact"/>
              <w:rPr>
                <w:sz w:val="18"/>
              </w:rPr>
            </w:pPr>
          </w:p>
        </w:tc>
        <w:tc>
          <w:tcPr>
            <w:tcW w:w="1055" w:type="dxa"/>
            <w:tcBorders>
              <w:bottom w:val="single" w:sz="12" w:space="0" w:color="auto"/>
            </w:tcBorders>
            <w:shd w:val="clear" w:color="auto" w:fill="auto"/>
            <w:vAlign w:val="bottom"/>
          </w:tcPr>
          <w:p w:rsidR="00C25B16" w:rsidRPr="008E5027" w:rsidRDefault="00C25B16" w:rsidP="00C25B16">
            <w:pPr>
              <w:suppressAutoHyphens w:val="0"/>
              <w:spacing w:before="40" w:after="40" w:line="220" w:lineRule="exact"/>
              <w:jc w:val="right"/>
              <w:rPr>
                <w:sz w:val="18"/>
              </w:rPr>
            </w:pPr>
            <w:r w:rsidRPr="008E5027">
              <w:rPr>
                <w:sz w:val="18"/>
              </w:rPr>
              <w:t>2004</w:t>
            </w:r>
          </w:p>
        </w:tc>
        <w:tc>
          <w:tcPr>
            <w:tcW w:w="1055" w:type="dxa"/>
            <w:tcBorders>
              <w:bottom w:val="single" w:sz="12" w:space="0" w:color="auto"/>
            </w:tcBorders>
            <w:shd w:val="clear" w:color="auto" w:fill="auto"/>
            <w:vAlign w:val="bottom"/>
          </w:tcPr>
          <w:p w:rsidR="00C25B16" w:rsidRPr="008E5027" w:rsidRDefault="00C25B16" w:rsidP="00C25B16">
            <w:pPr>
              <w:suppressAutoHyphens w:val="0"/>
              <w:spacing w:before="40" w:after="40" w:line="220" w:lineRule="exact"/>
              <w:jc w:val="right"/>
              <w:rPr>
                <w:sz w:val="18"/>
              </w:rPr>
            </w:pPr>
            <w:r w:rsidRPr="008E5027">
              <w:rPr>
                <w:sz w:val="18"/>
              </w:rPr>
              <w:t>700</w:t>
            </w:r>
          </w:p>
        </w:tc>
        <w:tc>
          <w:tcPr>
            <w:tcW w:w="1055" w:type="dxa"/>
            <w:tcBorders>
              <w:bottom w:val="single" w:sz="12" w:space="0" w:color="auto"/>
            </w:tcBorders>
            <w:shd w:val="clear" w:color="auto" w:fill="auto"/>
            <w:vAlign w:val="bottom"/>
          </w:tcPr>
          <w:p w:rsidR="00C25B16" w:rsidRPr="008E5027" w:rsidRDefault="00C25B16" w:rsidP="00C25B16">
            <w:pPr>
              <w:suppressAutoHyphens w:val="0"/>
              <w:spacing w:before="40" w:after="40" w:line="220" w:lineRule="exact"/>
              <w:jc w:val="right"/>
              <w:rPr>
                <w:sz w:val="18"/>
              </w:rPr>
            </w:pPr>
            <w:r w:rsidRPr="008E5027">
              <w:rPr>
                <w:sz w:val="18"/>
              </w:rPr>
              <w:t>665</w:t>
            </w:r>
          </w:p>
        </w:tc>
        <w:tc>
          <w:tcPr>
            <w:tcW w:w="1055" w:type="dxa"/>
            <w:tcBorders>
              <w:bottom w:val="single" w:sz="12" w:space="0" w:color="auto"/>
            </w:tcBorders>
            <w:shd w:val="clear" w:color="auto" w:fill="auto"/>
            <w:vAlign w:val="bottom"/>
          </w:tcPr>
          <w:p w:rsidR="00C25B16" w:rsidRPr="008E5027" w:rsidRDefault="00C25B16" w:rsidP="00C25B16">
            <w:pPr>
              <w:suppressAutoHyphens w:val="0"/>
              <w:spacing w:before="40" w:after="40" w:line="220" w:lineRule="exact"/>
              <w:jc w:val="right"/>
              <w:rPr>
                <w:sz w:val="18"/>
              </w:rPr>
            </w:pPr>
            <w:r w:rsidRPr="008E5027">
              <w:rPr>
                <w:sz w:val="18"/>
              </w:rPr>
              <w:t>35</w:t>
            </w:r>
          </w:p>
        </w:tc>
      </w:tr>
    </w:tbl>
    <w:p w:rsidR="00D3561A" w:rsidRPr="006F0FA4" w:rsidRDefault="00D3561A" w:rsidP="00320815">
      <w:pPr>
        <w:spacing w:before="120"/>
        <w:ind w:left="1134" w:right="1134" w:firstLine="170"/>
        <w:rPr>
          <w:sz w:val="18"/>
          <w:szCs w:val="18"/>
          <w:lang w:val="es-ES"/>
        </w:rPr>
      </w:pPr>
      <w:r w:rsidRPr="006F0FA4">
        <w:rPr>
          <w:sz w:val="18"/>
          <w:szCs w:val="18"/>
          <w:lang w:val="es-ES"/>
        </w:rPr>
        <w:t xml:space="preserve">*  </w:t>
      </w:r>
      <w:r w:rsidR="006F0FA4" w:rsidRPr="006F0FA4">
        <w:rPr>
          <w:sz w:val="18"/>
          <w:szCs w:val="18"/>
          <w:lang w:val="fr-FR"/>
        </w:rPr>
        <w:t>Les chiffres ci-dessus indiquent le nombre de dossiers d</w:t>
      </w:r>
      <w:r w:rsidR="00277023">
        <w:rPr>
          <w:sz w:val="18"/>
          <w:szCs w:val="18"/>
          <w:lang w:val="fr-FR"/>
        </w:rPr>
        <w:t>’</w:t>
      </w:r>
      <w:r w:rsidR="006F0FA4" w:rsidRPr="006F0FA4">
        <w:rPr>
          <w:sz w:val="18"/>
          <w:szCs w:val="18"/>
          <w:lang w:val="fr-FR"/>
        </w:rPr>
        <w:t>adoption déposés entre janvier et décembre de chaque année.</w:t>
      </w:r>
    </w:p>
    <w:p w:rsidR="006F0FA4" w:rsidRPr="006F0FA4" w:rsidRDefault="006F0FA4" w:rsidP="006F0FA4">
      <w:pPr>
        <w:pStyle w:val="H1G"/>
        <w:rPr>
          <w:i/>
          <w:lang w:val="fr-FR"/>
        </w:rPr>
      </w:pPr>
      <w:r>
        <w:rPr>
          <w:lang w:val="es-ES"/>
        </w:rPr>
        <w:tab/>
      </w:r>
      <w:r w:rsidRPr="00D74CA4">
        <w:t>I.</w:t>
      </w:r>
      <w:r w:rsidRPr="00D74CA4">
        <w:tab/>
      </w:r>
      <w:r w:rsidRPr="006F0FA4">
        <w:rPr>
          <w:lang w:val="fr-FR"/>
        </w:rPr>
        <w:t>Examen périodique des circonstances relatives au placement de l</w:t>
      </w:r>
      <w:r w:rsidR="00277023">
        <w:rPr>
          <w:lang w:val="fr-FR"/>
        </w:rPr>
        <w:t>’</w:t>
      </w:r>
      <w:r w:rsidRPr="006F0FA4">
        <w:rPr>
          <w:lang w:val="fr-FR"/>
        </w:rPr>
        <w:t>enfant (article 25)</w:t>
      </w:r>
    </w:p>
    <w:p w:rsidR="006F0FA4" w:rsidRPr="006F0FA4" w:rsidRDefault="006F0FA4" w:rsidP="006F0FA4">
      <w:pPr>
        <w:pStyle w:val="SingleTxtG"/>
        <w:rPr>
          <w:lang w:val="fr-FR"/>
        </w:rPr>
      </w:pPr>
      <w:r w:rsidRPr="006F0FA4">
        <w:rPr>
          <w:lang w:val="fr-FR"/>
        </w:rPr>
        <w:t>(</w:t>
      </w:r>
      <w:r w:rsidR="008F55B7">
        <w:rPr>
          <w:lang w:val="fr-FR"/>
        </w:rPr>
        <w:t>É</w:t>
      </w:r>
      <w:r w:rsidRPr="006F0FA4">
        <w:rPr>
          <w:lang w:val="fr-FR"/>
        </w:rPr>
        <w:t>tablissements pénitentiaires et liberté conditionnelle)</w:t>
      </w:r>
    </w:p>
    <w:p w:rsidR="006F0FA4" w:rsidRPr="006F0FA4" w:rsidRDefault="006F0FA4" w:rsidP="006F0FA4">
      <w:pPr>
        <w:pStyle w:val="SingleTxtG"/>
        <w:rPr>
          <w:lang w:val="fr-FR"/>
        </w:rPr>
      </w:pPr>
      <w:r w:rsidRPr="006F0FA4">
        <w:rPr>
          <w:lang w:val="fr-FR"/>
        </w:rPr>
        <w:t>304.</w:t>
      </w:r>
      <w:r w:rsidRPr="006F0FA4">
        <w:rPr>
          <w:lang w:val="fr-FR"/>
        </w:rPr>
        <w:tab/>
        <w:t xml:space="preserve">Voir paragraphes 256-257 du deuxième rapport du Japon. </w:t>
      </w:r>
    </w:p>
    <w:p w:rsidR="006F0FA4" w:rsidRPr="006F0FA4" w:rsidRDefault="006F0FA4" w:rsidP="006F0FA4">
      <w:pPr>
        <w:pStyle w:val="SingleTxtG"/>
        <w:rPr>
          <w:lang w:val="fr-FR"/>
        </w:rPr>
      </w:pPr>
      <w:r w:rsidRPr="006F0FA4">
        <w:rPr>
          <w:lang w:val="fr-FR"/>
        </w:rPr>
        <w:t>(</w:t>
      </w:r>
      <w:r w:rsidR="008F55B7">
        <w:rPr>
          <w:lang w:val="fr-FR"/>
        </w:rPr>
        <w:t>É</w:t>
      </w:r>
      <w:r w:rsidRPr="006F0FA4">
        <w:rPr>
          <w:lang w:val="fr-FR"/>
        </w:rPr>
        <w:t>tablissements de protection de l</w:t>
      </w:r>
      <w:r w:rsidR="00277023">
        <w:rPr>
          <w:lang w:val="fr-FR"/>
        </w:rPr>
        <w:t>’</w:t>
      </w:r>
      <w:r w:rsidRPr="006F0FA4">
        <w:rPr>
          <w:lang w:val="fr-FR"/>
        </w:rPr>
        <w:t>enfance)</w:t>
      </w:r>
    </w:p>
    <w:p w:rsidR="006F0FA4" w:rsidRPr="006F0FA4" w:rsidRDefault="006F0FA4" w:rsidP="006F0FA4">
      <w:pPr>
        <w:pStyle w:val="SingleTxtG"/>
        <w:rPr>
          <w:lang w:val="fr-FR"/>
        </w:rPr>
      </w:pPr>
      <w:r w:rsidRPr="006F0FA4">
        <w:rPr>
          <w:lang w:val="fr-FR"/>
        </w:rPr>
        <w:t>305.</w:t>
      </w:r>
      <w:r w:rsidRPr="006F0FA4">
        <w:rPr>
          <w:lang w:val="fr-FR"/>
        </w:rPr>
        <w:tab/>
        <w:t xml:space="preserve">Voir paragraphe 258 du deuxième rapport du Japon. </w:t>
      </w:r>
    </w:p>
    <w:p w:rsidR="006F0FA4" w:rsidRPr="006F0FA4" w:rsidRDefault="006F0FA4" w:rsidP="006F0FA4">
      <w:pPr>
        <w:pStyle w:val="H1G"/>
        <w:rPr>
          <w:lang w:val="fr-FR"/>
        </w:rPr>
      </w:pPr>
      <w:r>
        <w:rPr>
          <w:lang w:val="fr-FR"/>
        </w:rPr>
        <w:tab/>
        <w:t>J.</w:t>
      </w:r>
      <w:r>
        <w:rPr>
          <w:lang w:val="fr-FR"/>
        </w:rPr>
        <w:tab/>
      </w:r>
      <w:r w:rsidRPr="006F0FA4">
        <w:rPr>
          <w:lang w:val="fr-FR"/>
        </w:rPr>
        <w:t>Maltraitance et négligence (y compris la réadaptation physique et psychologique et la réinsertion sociale) (articles 19 et 39)</w:t>
      </w:r>
    </w:p>
    <w:p w:rsidR="006F0FA4" w:rsidRPr="006F0FA4" w:rsidRDefault="006F0FA4" w:rsidP="006F0FA4">
      <w:pPr>
        <w:pStyle w:val="H23G"/>
        <w:rPr>
          <w:lang w:val="fr-FR"/>
        </w:rPr>
      </w:pPr>
      <w:r>
        <w:rPr>
          <w:lang w:val="fr-FR"/>
        </w:rPr>
        <w:tab/>
        <w:t>a)</w:t>
      </w:r>
      <w:r>
        <w:rPr>
          <w:lang w:val="fr-FR"/>
        </w:rPr>
        <w:tab/>
      </w:r>
      <w:r w:rsidRPr="006F0FA4">
        <w:rPr>
          <w:lang w:val="fr-FR"/>
        </w:rPr>
        <w:t>Mesures adoptées pour protéger les enfants contre la maltraitance, la négligence et l</w:t>
      </w:r>
      <w:r w:rsidR="00277023">
        <w:rPr>
          <w:lang w:val="fr-FR"/>
        </w:rPr>
        <w:t>’</w:t>
      </w:r>
      <w:r w:rsidRPr="006F0FA4">
        <w:rPr>
          <w:lang w:val="fr-FR"/>
        </w:rPr>
        <w:t>exploitation</w:t>
      </w:r>
    </w:p>
    <w:p w:rsidR="006F0FA4" w:rsidRPr="006F0FA4" w:rsidRDefault="006F0FA4" w:rsidP="006F0FA4">
      <w:pPr>
        <w:pStyle w:val="SingleTxtG"/>
        <w:rPr>
          <w:lang w:val="fr-FR"/>
        </w:rPr>
      </w:pPr>
      <w:r w:rsidRPr="006F0FA4">
        <w:rPr>
          <w:lang w:val="fr-FR"/>
        </w:rPr>
        <w:t>(Interdiction légale de toute forme de maltraitance physique ou psychologique)</w:t>
      </w:r>
    </w:p>
    <w:p w:rsidR="006F0FA4" w:rsidRPr="006F0FA4" w:rsidRDefault="006F0FA4" w:rsidP="006F0FA4">
      <w:pPr>
        <w:pStyle w:val="SingleTxtG"/>
        <w:rPr>
          <w:lang w:val="fr-FR"/>
        </w:rPr>
      </w:pPr>
      <w:r w:rsidRPr="006F0FA4">
        <w:rPr>
          <w:lang w:val="fr-FR"/>
        </w:rPr>
        <w:t>306.</w:t>
      </w:r>
      <w:r w:rsidRPr="006F0FA4">
        <w:rPr>
          <w:lang w:val="fr-FR"/>
        </w:rPr>
        <w:tab/>
        <w:t>Voir paragraphes 260-262 (</w:t>
      </w:r>
      <w:r w:rsidR="008E49D4">
        <w:rPr>
          <w:lang w:val="fr-FR"/>
        </w:rPr>
        <w:t>“</w:t>
      </w:r>
      <w:r w:rsidRPr="006F0FA4">
        <w:rPr>
          <w:lang w:val="fr-FR"/>
        </w:rPr>
        <w:t>Interdiction des châtiments corporels et de la torture dans les établissements pénitentiaires</w:t>
      </w:r>
      <w:r w:rsidR="008E49D4">
        <w:rPr>
          <w:lang w:val="fr-FR"/>
        </w:rPr>
        <w:t>”</w:t>
      </w:r>
      <w:r w:rsidRPr="006F0FA4">
        <w:rPr>
          <w:lang w:val="fr-FR"/>
        </w:rPr>
        <w:t xml:space="preserve">) et paragraphe 259 du deuxième rapport du Japon (paragraphes 107-110 du rapport initial du Japon). </w:t>
      </w:r>
    </w:p>
    <w:p w:rsidR="006F0FA4" w:rsidRPr="006F0FA4" w:rsidRDefault="006F0FA4" w:rsidP="006F0FA4">
      <w:pPr>
        <w:pStyle w:val="SingleTxtG"/>
        <w:rPr>
          <w:lang w:val="fr-FR"/>
        </w:rPr>
      </w:pPr>
      <w:r w:rsidRPr="006F0FA4">
        <w:rPr>
          <w:lang w:val="fr-FR"/>
        </w:rPr>
        <w:t xml:space="preserve">(Modification partielle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maltraitance à l</w:t>
      </w:r>
      <w:r w:rsidR="00277023">
        <w:rPr>
          <w:lang w:val="fr-FR"/>
        </w:rPr>
        <w:t>’</w:t>
      </w:r>
      <w:r w:rsidRPr="006F0FA4">
        <w:rPr>
          <w:lang w:val="fr-FR"/>
        </w:rPr>
        <w:t>égard des enfants)</w:t>
      </w:r>
    </w:p>
    <w:p w:rsidR="006F0FA4" w:rsidRPr="006F0FA4" w:rsidRDefault="006F0FA4" w:rsidP="006F0FA4">
      <w:pPr>
        <w:pStyle w:val="SingleTxtG"/>
        <w:rPr>
          <w:lang w:val="fr-FR"/>
        </w:rPr>
      </w:pPr>
      <w:r w:rsidRPr="006F0FA4">
        <w:rPr>
          <w:lang w:val="fr-FR"/>
        </w:rPr>
        <w:t>307.</w:t>
      </w:r>
      <w:r w:rsidRPr="006F0FA4">
        <w:rPr>
          <w:lang w:val="fr-FR"/>
        </w:rPr>
        <w:tab/>
        <w:t>S</w:t>
      </w:r>
      <w:r w:rsidR="00277023">
        <w:rPr>
          <w:lang w:val="fr-FR"/>
        </w:rPr>
        <w:t>’</w:t>
      </w:r>
      <w:r w:rsidRPr="006F0FA4">
        <w:rPr>
          <w:lang w:val="fr-FR"/>
        </w:rPr>
        <w:t xml:space="preserve">agissant de prévenir la maltraitance des enfants, on a constaté après la mise en œuvre en novembre 2000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maltraitance à l</w:t>
      </w:r>
      <w:r w:rsidR="00277023">
        <w:rPr>
          <w:lang w:val="fr-FR"/>
        </w:rPr>
        <w:t>’</w:t>
      </w:r>
      <w:r w:rsidRPr="006F0FA4">
        <w:rPr>
          <w:lang w:val="fr-FR"/>
        </w:rPr>
        <w:t xml:space="preserve">égard des enfants une meilleure compréhension du public en général et une sensibilisation accrue des personnes concernées à ce sujet, et des actions ont été menées pour promouvoir différentes mesures. Toutefois, malheureusement, les cas graves de maltraitance ne diminuent pas vraiment, et la maltraitance demeure un problème social qui appelle une réponse sans délai. En avril 2004,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maltraitance à l</w:t>
      </w:r>
      <w:r w:rsidR="00277023">
        <w:rPr>
          <w:lang w:val="fr-FR"/>
        </w:rPr>
        <w:t>’</w:t>
      </w:r>
      <w:r w:rsidRPr="006F0FA4">
        <w:rPr>
          <w:lang w:val="fr-FR"/>
        </w:rPr>
        <w:t>égard des enfants a été partiellement modifiée, car il est clair qu</w:t>
      </w:r>
      <w:r w:rsidR="00277023">
        <w:rPr>
          <w:lang w:val="fr-FR"/>
        </w:rPr>
        <w:t>’</w:t>
      </w:r>
      <w:r w:rsidRPr="006F0FA4">
        <w:rPr>
          <w:lang w:val="fr-FR"/>
        </w:rPr>
        <w:t>il s</w:t>
      </w:r>
      <w:r w:rsidR="00277023">
        <w:rPr>
          <w:lang w:val="fr-FR"/>
        </w:rPr>
        <w:t>’</w:t>
      </w:r>
      <w:r w:rsidRPr="006F0FA4">
        <w:rPr>
          <w:lang w:val="fr-FR"/>
        </w:rPr>
        <w:t>agit d</w:t>
      </w:r>
      <w:r w:rsidR="00277023">
        <w:rPr>
          <w:lang w:val="fr-FR"/>
        </w:rPr>
        <w:t>’</w:t>
      </w:r>
      <w:r w:rsidRPr="006F0FA4">
        <w:rPr>
          <w:lang w:val="fr-FR"/>
        </w:rPr>
        <w:t>une violation majeure des droits fondamentaux de l</w:t>
      </w:r>
      <w:r w:rsidR="00277023">
        <w:rPr>
          <w:lang w:val="fr-FR"/>
        </w:rPr>
        <w:t>’</w:t>
      </w:r>
      <w:r w:rsidRPr="006F0FA4">
        <w:rPr>
          <w:lang w:val="fr-FR"/>
        </w:rPr>
        <w:t xml:space="preserve">enfant. </w:t>
      </w:r>
      <w:smartTag w:uri="urn:schemas-microsoft-com:office:smarttags" w:element="PersonName">
        <w:smartTagPr>
          <w:attr w:name="ProductID" w:val="la Loi"/>
        </w:smartTagPr>
        <w:r w:rsidRPr="006F0FA4">
          <w:rPr>
            <w:lang w:val="fr-FR"/>
          </w:rPr>
          <w:t>La Loi</w:t>
        </w:r>
      </w:smartTag>
      <w:r w:rsidRPr="006F0FA4">
        <w:rPr>
          <w:lang w:val="fr-FR"/>
        </w:rPr>
        <w:t xml:space="preserve"> modifiée définit les responsabilités du Gouvernement et des collectivités locales en ce qui concerne la prévention et l</w:t>
      </w:r>
      <w:r w:rsidR="00277023">
        <w:rPr>
          <w:lang w:val="fr-FR"/>
        </w:rPr>
        <w:t>’</w:t>
      </w:r>
      <w:r w:rsidRPr="006F0FA4">
        <w:rPr>
          <w:lang w:val="fr-FR"/>
        </w:rPr>
        <w:t>identification précoce des cas de maltraitance et autres mesures préventives, et elle contient des dispositions relatives au renforcement de l</w:t>
      </w:r>
      <w:r w:rsidR="00277023">
        <w:rPr>
          <w:lang w:val="fr-FR"/>
        </w:rPr>
        <w:t>’</w:t>
      </w:r>
      <w:r w:rsidRPr="006F0FA4">
        <w:rPr>
          <w:lang w:val="fr-FR"/>
        </w:rPr>
        <w:t>obligation de déclaration pour une identification précoce, aux demandes adressées aux services d</w:t>
      </w:r>
      <w:r w:rsidR="00277023">
        <w:rPr>
          <w:lang w:val="fr-FR"/>
        </w:rPr>
        <w:t>’</w:t>
      </w:r>
      <w:r w:rsidRPr="006F0FA4">
        <w:rPr>
          <w:lang w:val="fr-FR"/>
        </w:rPr>
        <w:t>application des lois d</w:t>
      </w:r>
      <w:r w:rsidR="00277023">
        <w:rPr>
          <w:lang w:val="fr-FR"/>
        </w:rPr>
        <w:t>’</w:t>
      </w:r>
      <w:r w:rsidRPr="006F0FA4">
        <w:rPr>
          <w:lang w:val="fr-FR"/>
        </w:rPr>
        <w:t>apporter l</w:t>
      </w:r>
      <w:r w:rsidR="00277023">
        <w:rPr>
          <w:lang w:val="fr-FR"/>
        </w:rPr>
        <w:t>’</w:t>
      </w:r>
      <w:r w:rsidRPr="006F0FA4">
        <w:rPr>
          <w:lang w:val="fr-FR"/>
        </w:rPr>
        <w:t>assistance nécessaire pour assurer la sécurité des enfants et à l</w:t>
      </w:r>
      <w:r w:rsidR="00277023">
        <w:rPr>
          <w:lang w:val="fr-FR"/>
        </w:rPr>
        <w:t>’</w:t>
      </w:r>
      <w:r w:rsidRPr="006F0FA4">
        <w:rPr>
          <w:lang w:val="fr-FR"/>
        </w:rPr>
        <w:t>offre de guidance aux parents maltraitants et d</w:t>
      </w:r>
      <w:r w:rsidR="00277023">
        <w:rPr>
          <w:lang w:val="fr-FR"/>
        </w:rPr>
        <w:t>’</w:t>
      </w:r>
      <w:r w:rsidRPr="006F0FA4">
        <w:rPr>
          <w:lang w:val="fr-FR"/>
        </w:rPr>
        <w:t>aide à la réadaptation des enfants victimes. En outre, la définition de la maltraitance inclut les cas de maltraitance physique, sexuelle ou psychologique du fait d</w:t>
      </w:r>
      <w:r w:rsidR="00277023">
        <w:rPr>
          <w:lang w:val="fr-FR"/>
        </w:rPr>
        <w:t>’</w:t>
      </w:r>
      <w:r w:rsidRPr="006F0FA4">
        <w:rPr>
          <w:lang w:val="fr-FR"/>
        </w:rPr>
        <w:t>une personne, autre que le représentant légal, vivant avec l</w:t>
      </w:r>
      <w:r w:rsidR="00277023">
        <w:rPr>
          <w:lang w:val="fr-FR"/>
        </w:rPr>
        <w:t>’</w:t>
      </w:r>
      <w:r w:rsidRPr="006F0FA4">
        <w:rPr>
          <w:lang w:val="fr-FR"/>
        </w:rPr>
        <w:t>enfant laissé sans surveillance par son représentant légal, les agressions verbales majeures, les rejets violents ainsi que les actes de violence à l</w:t>
      </w:r>
      <w:r w:rsidR="00277023">
        <w:rPr>
          <w:lang w:val="fr-FR"/>
        </w:rPr>
        <w:t>’</w:t>
      </w:r>
      <w:r w:rsidRPr="006F0FA4">
        <w:rPr>
          <w:lang w:val="fr-FR"/>
        </w:rPr>
        <w:t>encontre de l</w:t>
      </w:r>
      <w:r w:rsidR="00277023">
        <w:rPr>
          <w:lang w:val="fr-FR"/>
        </w:rPr>
        <w:t>’</w:t>
      </w:r>
      <w:r w:rsidRPr="006F0FA4">
        <w:rPr>
          <w:lang w:val="fr-FR"/>
        </w:rPr>
        <w:t>épouse dans le foyer où vit l</w:t>
      </w:r>
      <w:r w:rsidR="00277023">
        <w:rPr>
          <w:lang w:val="fr-FR"/>
        </w:rPr>
        <w:t>’</w:t>
      </w:r>
      <w:r w:rsidRPr="006F0FA4">
        <w:rPr>
          <w:lang w:val="fr-FR"/>
        </w:rPr>
        <w:t xml:space="preserve">enfant. Conformément à </w:t>
      </w:r>
      <w:smartTag w:uri="urn:schemas-microsoft-com:office:smarttags" w:element="PersonName">
        <w:smartTagPr>
          <w:attr w:name="ProductID" w:val="la Loi"/>
        </w:smartTagPr>
        <w:r w:rsidRPr="006F0FA4">
          <w:rPr>
            <w:lang w:val="fr-FR"/>
          </w:rPr>
          <w:t>la Loi</w:t>
        </w:r>
      </w:smartTag>
      <w:r w:rsidRPr="006F0FA4">
        <w:rPr>
          <w:lang w:val="fr-FR"/>
        </w:rPr>
        <w:t xml:space="preserve"> modifiée, le Gouvernement japonais prend actuellement diverses mesures dans les domaines des soins de santé, des soins médicaux, du bien-être et de l</w:t>
      </w:r>
      <w:r w:rsidR="00277023">
        <w:rPr>
          <w:lang w:val="fr-FR"/>
        </w:rPr>
        <w:t>’</w:t>
      </w:r>
      <w:r w:rsidRPr="006F0FA4">
        <w:rPr>
          <w:lang w:val="fr-FR"/>
        </w:rPr>
        <w:t>éducation. Un Conseil de prévention de la maltraitance à l</w:t>
      </w:r>
      <w:r w:rsidR="00277023">
        <w:rPr>
          <w:lang w:val="fr-FR"/>
        </w:rPr>
        <w:t>’</w:t>
      </w:r>
      <w:r w:rsidRPr="006F0FA4">
        <w:rPr>
          <w:lang w:val="fr-FR"/>
        </w:rPr>
        <w:t>égard des enfants, composé des ministères compétents et d</w:t>
      </w:r>
      <w:r w:rsidR="00277023">
        <w:rPr>
          <w:lang w:val="fr-FR"/>
        </w:rPr>
        <w:t>’</w:t>
      </w:r>
      <w:r w:rsidRPr="006F0FA4">
        <w:rPr>
          <w:lang w:val="fr-FR"/>
        </w:rPr>
        <w:t>un grand nombre d</w:t>
      </w:r>
      <w:r w:rsidR="00277023">
        <w:rPr>
          <w:lang w:val="fr-FR"/>
        </w:rPr>
        <w:t>’</w:t>
      </w:r>
      <w:r w:rsidRPr="006F0FA4">
        <w:rPr>
          <w:lang w:val="fr-FR"/>
        </w:rPr>
        <w:t>organisations, y compris de représentants légaux, a été établi pour renforcer la coopération et les échanges.</w:t>
      </w:r>
    </w:p>
    <w:p w:rsidR="006F0FA4" w:rsidRPr="006F0FA4" w:rsidRDefault="006F0FA4" w:rsidP="006F0FA4">
      <w:pPr>
        <w:pStyle w:val="SingleTxtG"/>
        <w:rPr>
          <w:lang w:val="fr-FR"/>
        </w:rPr>
      </w:pPr>
      <w:r>
        <w:rPr>
          <w:lang w:val="fr-FR"/>
        </w:rPr>
        <w:t>308.</w:t>
      </w:r>
      <w:r>
        <w:rPr>
          <w:lang w:val="fr-FR"/>
        </w:rPr>
        <w:tab/>
      </w:r>
      <w:r w:rsidRPr="006F0FA4">
        <w:rPr>
          <w:lang w:val="fr-FR"/>
        </w:rPr>
        <w:t>En outre, s</w:t>
      </w:r>
      <w:r w:rsidR="00277023">
        <w:rPr>
          <w:lang w:val="fr-FR"/>
        </w:rPr>
        <w:t>’</w:t>
      </w:r>
      <w:r w:rsidRPr="006F0FA4">
        <w:rPr>
          <w:lang w:val="fr-FR"/>
        </w:rPr>
        <w:t xml:space="preserve">appuyant sur une disposition additionnelle aux amendements apportés en 2004 stipulant le réexamen de </w:t>
      </w:r>
      <w:smartTag w:uri="urn:schemas-microsoft-com:office:smarttags" w:element="PersonName">
        <w:smartTagPr>
          <w:attr w:name="ProductID" w:val="la Loi"/>
        </w:smartTagPr>
        <w:r w:rsidRPr="006F0FA4">
          <w:rPr>
            <w:lang w:val="fr-FR"/>
          </w:rPr>
          <w:t>la Loi</w:t>
        </w:r>
      </w:smartTag>
      <w:r w:rsidRPr="006F0FA4">
        <w:rPr>
          <w:lang w:val="fr-FR"/>
        </w:rPr>
        <w:t xml:space="preserv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maltraitance à l</w:t>
      </w:r>
      <w:r w:rsidR="00277023">
        <w:rPr>
          <w:lang w:val="fr-FR"/>
        </w:rPr>
        <w:t>’</w:t>
      </w:r>
      <w:r w:rsidRPr="006F0FA4">
        <w:rPr>
          <w:lang w:val="fr-FR"/>
        </w:rPr>
        <w:t xml:space="preserve">égard des enfants et </w:t>
      </w:r>
      <w:smartTag w:uri="urn:schemas-microsoft-com:office:smarttags" w:element="PersonName">
        <w:smartTagPr>
          <w:attr w:name="ProductID" w:val="la Loi"/>
        </w:smartTagPr>
        <w:r w:rsidRPr="006F0FA4">
          <w:rPr>
            <w:lang w:val="fr-FR"/>
          </w:rPr>
          <w:t>la Loi</w:t>
        </w:r>
      </w:smartTag>
      <w:r w:rsidRPr="006F0FA4">
        <w:rPr>
          <w:lang w:val="fr-FR"/>
        </w:rPr>
        <w:t xml:space="preserve"> sur la protection de l</w:t>
      </w:r>
      <w:r w:rsidR="00277023">
        <w:rPr>
          <w:lang w:val="fr-FR"/>
        </w:rPr>
        <w:t>’</w:t>
      </w:r>
      <w:r w:rsidRPr="006F0FA4">
        <w:rPr>
          <w:lang w:val="fr-FR"/>
        </w:rPr>
        <w:t>enfance ont été révisées en mai 2007. Ce remaniement a permis d</w:t>
      </w:r>
      <w:r w:rsidR="00277023">
        <w:rPr>
          <w:lang w:val="fr-FR"/>
        </w:rPr>
        <w:t>’</w:t>
      </w:r>
      <w:r w:rsidRPr="006F0FA4">
        <w:rPr>
          <w:lang w:val="fr-FR"/>
        </w:rPr>
        <w:t>adopter les mesures suivantes afin de renforcer la prévention contre la maltraitance des enfants (entrée en application prévue pour avril 2008):</w:t>
      </w:r>
    </w:p>
    <w:p w:rsidR="006F0FA4" w:rsidRPr="006F0FA4" w:rsidRDefault="006F0FA4" w:rsidP="006F0FA4">
      <w:pPr>
        <w:pStyle w:val="SingleTxtG"/>
        <w:rPr>
          <w:lang w:val="fr-FR"/>
        </w:rPr>
      </w:pPr>
      <w:r>
        <w:rPr>
          <w:lang w:val="fr-FR"/>
        </w:rPr>
        <w:tab/>
        <w:t>1)</w:t>
      </w:r>
      <w:r>
        <w:rPr>
          <w:lang w:val="fr-FR"/>
        </w:rPr>
        <w:tab/>
      </w:r>
      <w:r w:rsidRPr="006F0FA4">
        <w:rPr>
          <w:lang w:val="fr-FR"/>
        </w:rPr>
        <w:t>L</w:t>
      </w:r>
      <w:r w:rsidR="00277023">
        <w:rPr>
          <w:lang w:val="fr-FR"/>
        </w:rPr>
        <w:t>’</w:t>
      </w:r>
      <w:r w:rsidRPr="006F0FA4">
        <w:rPr>
          <w:lang w:val="fr-FR"/>
        </w:rPr>
        <w:t>entrée dans des locaux fermés pour assurer la sécurité de l</w:t>
      </w:r>
      <w:r w:rsidR="00277023">
        <w:rPr>
          <w:lang w:val="fr-FR"/>
        </w:rPr>
        <w:t>’</w:t>
      </w:r>
      <w:r w:rsidRPr="006F0FA4">
        <w:rPr>
          <w:lang w:val="fr-FR"/>
        </w:rPr>
        <w:t>enfant est désormais possible, sur autorisation d</w:t>
      </w:r>
      <w:r w:rsidR="00277023">
        <w:rPr>
          <w:lang w:val="fr-FR"/>
        </w:rPr>
        <w:t>’</w:t>
      </w:r>
      <w:r w:rsidRPr="006F0FA4">
        <w:rPr>
          <w:lang w:val="fr-FR"/>
        </w:rPr>
        <w:t>un juge, outre les visites d</w:t>
      </w:r>
      <w:r w:rsidR="00277023">
        <w:rPr>
          <w:lang w:val="fr-FR"/>
        </w:rPr>
        <w:t>’</w:t>
      </w:r>
      <w:r w:rsidRPr="006F0FA4">
        <w:rPr>
          <w:lang w:val="fr-FR"/>
        </w:rPr>
        <w:t>inspection déjà autorisées aux centres de guidance infantile.</w:t>
      </w:r>
    </w:p>
    <w:p w:rsidR="006F0FA4" w:rsidRPr="006F0FA4" w:rsidRDefault="006F0FA4" w:rsidP="006F0FA4">
      <w:pPr>
        <w:pStyle w:val="SingleTxtG"/>
        <w:rPr>
          <w:lang w:val="fr-FR"/>
        </w:rPr>
      </w:pPr>
      <w:r>
        <w:rPr>
          <w:lang w:val="fr-FR"/>
        </w:rPr>
        <w:tab/>
        <w:t>2)</w:t>
      </w:r>
      <w:r>
        <w:rPr>
          <w:lang w:val="fr-FR"/>
        </w:rPr>
        <w:tab/>
      </w:r>
      <w:r w:rsidRPr="006F0FA4">
        <w:rPr>
          <w:lang w:val="fr-FR"/>
        </w:rPr>
        <w:t>Les restrictions des rencontres et communications avec les représentants légaux sont renforcées et les gouverneurs sont habilités à interdire aux représentants légaux de suivre un enfant ou de s</w:t>
      </w:r>
      <w:r w:rsidR="00277023">
        <w:rPr>
          <w:lang w:val="fr-FR"/>
        </w:rPr>
        <w:t>’</w:t>
      </w:r>
      <w:r w:rsidRPr="006F0FA4">
        <w:rPr>
          <w:lang w:val="fr-FR"/>
        </w:rPr>
        <w:t>approcher de son domicile. Une sanction et prévue pour toute violation de l</w:t>
      </w:r>
      <w:r w:rsidR="00277023">
        <w:rPr>
          <w:lang w:val="fr-FR"/>
        </w:rPr>
        <w:t>’</w:t>
      </w:r>
      <w:r w:rsidRPr="006F0FA4">
        <w:rPr>
          <w:lang w:val="fr-FR"/>
        </w:rPr>
        <w:t>ordre de restriction/d</w:t>
      </w:r>
      <w:r w:rsidR="00277023">
        <w:rPr>
          <w:lang w:val="fr-FR"/>
        </w:rPr>
        <w:t>’</w:t>
      </w:r>
      <w:r w:rsidRPr="006F0FA4">
        <w:rPr>
          <w:lang w:val="fr-FR"/>
        </w:rPr>
        <w:t>interdiction.</w:t>
      </w:r>
    </w:p>
    <w:p w:rsidR="006F0FA4" w:rsidRPr="006F0FA4" w:rsidRDefault="006F0FA4" w:rsidP="006F0FA4">
      <w:pPr>
        <w:pStyle w:val="SingleTxtG"/>
        <w:rPr>
          <w:lang w:val="fr-FR"/>
        </w:rPr>
      </w:pPr>
      <w:r>
        <w:rPr>
          <w:lang w:val="fr-FR"/>
        </w:rPr>
        <w:tab/>
        <w:t>3)</w:t>
      </w:r>
      <w:r>
        <w:rPr>
          <w:lang w:val="fr-FR"/>
        </w:rPr>
        <w:tab/>
      </w:r>
      <w:r w:rsidRPr="006F0FA4">
        <w:rPr>
          <w:lang w:val="fr-FR"/>
        </w:rPr>
        <w:t>Des mesures préventives comme l</w:t>
      </w:r>
      <w:r w:rsidR="00277023">
        <w:rPr>
          <w:lang w:val="fr-FR"/>
        </w:rPr>
        <w:t>’</w:t>
      </w:r>
      <w:r w:rsidRPr="006F0FA4">
        <w:rPr>
          <w:lang w:val="fr-FR"/>
        </w:rPr>
        <w:t>hébergement temporaire en foyer ou l</w:t>
      </w:r>
      <w:r w:rsidR="00277023">
        <w:rPr>
          <w:lang w:val="fr-FR"/>
        </w:rPr>
        <w:t>’</w:t>
      </w:r>
      <w:r w:rsidRPr="006F0FA4">
        <w:rPr>
          <w:lang w:val="fr-FR"/>
        </w:rPr>
        <w:t xml:space="preserve">admission forcée dans un centre de guidance infantile peuvent être adoptées si les représentants légaux ne respectent pas la décision rendue. </w:t>
      </w:r>
    </w:p>
    <w:p w:rsidR="006F0FA4" w:rsidRPr="006F0FA4" w:rsidRDefault="006F0FA4" w:rsidP="006F0FA4">
      <w:pPr>
        <w:pStyle w:val="SingleTxtG"/>
        <w:rPr>
          <w:lang w:val="fr-FR"/>
        </w:rPr>
      </w:pPr>
      <w:r w:rsidRPr="006F0FA4">
        <w:rPr>
          <w:lang w:val="fr-FR"/>
        </w:rPr>
        <w:t>309.</w:t>
      </w:r>
      <w:r w:rsidRPr="006F0FA4">
        <w:rPr>
          <w:lang w:val="fr-FR"/>
        </w:rPr>
        <w:tab/>
        <w:t>Les services chargés de l</w:t>
      </w:r>
      <w:r w:rsidR="00277023">
        <w:rPr>
          <w:lang w:val="fr-FR"/>
        </w:rPr>
        <w:t>’</w:t>
      </w:r>
      <w:r w:rsidRPr="006F0FA4">
        <w:rPr>
          <w:lang w:val="fr-FR"/>
        </w:rPr>
        <w:t>application de la loi sont conscients que la maltraitance à l</w:t>
      </w:r>
      <w:r w:rsidR="00277023">
        <w:rPr>
          <w:lang w:val="fr-FR"/>
        </w:rPr>
        <w:t>’</w:t>
      </w:r>
      <w:r w:rsidRPr="006F0FA4">
        <w:rPr>
          <w:lang w:val="fr-FR"/>
        </w:rPr>
        <w:t>égard des enfants est une question grave qui affecte les enfants sérieusement, tant physiquement que psychologiquement, à une période de leur vie où ils sont en plein développement de leur personnalité.</w:t>
      </w:r>
      <w:r w:rsidR="00EA1115">
        <w:rPr>
          <w:lang w:val="fr-FR"/>
        </w:rPr>
        <w:t xml:space="preserve"> </w:t>
      </w:r>
      <w:r w:rsidRPr="006F0FA4">
        <w:rPr>
          <w:lang w:val="fr-FR"/>
        </w:rPr>
        <w:t>Ainsi, outre la protection de la vie des enfants, ils considèrent que cette question revêt une importance majeure dans le processus d</w:t>
      </w:r>
      <w:r w:rsidR="00277023">
        <w:rPr>
          <w:lang w:val="fr-FR"/>
        </w:rPr>
        <w:t>’</w:t>
      </w:r>
      <w:r w:rsidRPr="006F0FA4">
        <w:rPr>
          <w:lang w:val="fr-FR"/>
        </w:rPr>
        <w:t>élaboration de mesures de protection de l</w:t>
      </w:r>
      <w:r w:rsidR="00277023">
        <w:rPr>
          <w:lang w:val="fr-FR"/>
        </w:rPr>
        <w:t>’</w:t>
      </w:r>
      <w:r w:rsidRPr="006F0FA4">
        <w:rPr>
          <w:lang w:val="fr-FR"/>
        </w:rPr>
        <w:t>enfance et intensifient leurs efforts d</w:t>
      </w:r>
      <w:r w:rsidR="00277023">
        <w:rPr>
          <w:lang w:val="fr-FR"/>
        </w:rPr>
        <w:t>’</w:t>
      </w:r>
      <w:r w:rsidRPr="006F0FA4">
        <w:rPr>
          <w:lang w:val="fr-FR"/>
        </w:rPr>
        <w:t xml:space="preserve">appui à la réadaptation psychologique des enfants et par conséquent de prévention des comportements à problèmes. Des mesures ont été prises en application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maltraitance à l</w:t>
      </w:r>
      <w:r w:rsidR="00277023">
        <w:rPr>
          <w:lang w:val="fr-FR"/>
        </w:rPr>
        <w:t>’</w:t>
      </w:r>
      <w:r w:rsidRPr="006F0FA4">
        <w:rPr>
          <w:lang w:val="fr-FR"/>
        </w:rPr>
        <w:t>égard des enfants, modifiée en avril 2004,</w:t>
      </w:r>
      <w:r w:rsidR="00EA1115">
        <w:rPr>
          <w:lang w:val="fr-FR"/>
        </w:rPr>
        <w:t xml:space="preserve"> </w:t>
      </w:r>
      <w:r w:rsidRPr="006F0FA4">
        <w:rPr>
          <w:lang w:val="fr-FR"/>
        </w:rPr>
        <w:t>pour apporter une réponse adaptée aux situations, en prêtant une attention particulière aux points suivants</w:t>
      </w:r>
      <w:r w:rsidR="00277023">
        <w:rPr>
          <w:lang w:val="fr-FR"/>
        </w:rPr>
        <w:t>:</w:t>
      </w:r>
      <w:r w:rsidRPr="006F0FA4">
        <w:rPr>
          <w:lang w:val="fr-FR"/>
        </w:rPr>
        <w:t xml:space="preserve"> i) détection précoce des cas de maltraitance à l</w:t>
      </w:r>
      <w:r w:rsidR="00277023">
        <w:rPr>
          <w:lang w:val="fr-FR"/>
        </w:rPr>
        <w:t>’</w:t>
      </w:r>
      <w:r w:rsidRPr="006F0FA4">
        <w:rPr>
          <w:lang w:val="fr-FR"/>
        </w:rPr>
        <w:t>égard des enfants, suivie par une mise en garde rapide et précise, ii) réponse adaptée aux demandes d</w:t>
      </w:r>
      <w:r w:rsidR="00277023">
        <w:rPr>
          <w:lang w:val="fr-FR"/>
        </w:rPr>
        <w:t>’</w:t>
      </w:r>
      <w:r w:rsidRPr="006F0FA4">
        <w:rPr>
          <w:lang w:val="fr-FR"/>
        </w:rPr>
        <w:t>assistance d</w:t>
      </w:r>
      <w:r w:rsidR="00277023">
        <w:rPr>
          <w:lang w:val="fr-FR"/>
        </w:rPr>
        <w:t>’</w:t>
      </w:r>
      <w:r w:rsidRPr="006F0FA4">
        <w:rPr>
          <w:lang w:val="fr-FR"/>
        </w:rPr>
        <w:t>un directeur d</w:t>
      </w:r>
      <w:r w:rsidR="00277023">
        <w:rPr>
          <w:lang w:val="fr-FR"/>
        </w:rPr>
        <w:t>’</w:t>
      </w:r>
      <w:r w:rsidRPr="006F0FA4">
        <w:rPr>
          <w:lang w:val="fr-FR"/>
        </w:rPr>
        <w:t>un centre de guidance infantile adressées au chef de la police, iii) soutien aux enfants et reconnaissance officielle d</w:t>
      </w:r>
      <w:r w:rsidR="00277023">
        <w:rPr>
          <w:lang w:val="fr-FR"/>
        </w:rPr>
        <w:t>’</w:t>
      </w:r>
      <w:r w:rsidRPr="006F0FA4">
        <w:rPr>
          <w:lang w:val="fr-FR"/>
        </w:rPr>
        <w:t>un cas, iv) amélioration et renforcement du système et de la coopération avec les organisations compétentes telles que les centres de guidance infantile, et v)</w:t>
      </w:r>
      <w:r w:rsidR="00EA1115">
        <w:rPr>
          <w:lang w:val="fr-FR"/>
        </w:rPr>
        <w:t xml:space="preserve"> </w:t>
      </w:r>
      <w:r w:rsidRPr="006F0FA4">
        <w:rPr>
          <w:lang w:val="fr-FR"/>
        </w:rPr>
        <w:t>prise en considération des aspects tels que l</w:t>
      </w:r>
      <w:r w:rsidR="00277023">
        <w:rPr>
          <w:lang w:val="fr-FR"/>
        </w:rPr>
        <w:t>’</w:t>
      </w:r>
      <w:r w:rsidRPr="006F0FA4">
        <w:rPr>
          <w:lang w:val="fr-FR"/>
        </w:rPr>
        <w:t>encadrement et la formation du personnel.</w:t>
      </w:r>
    </w:p>
    <w:p w:rsidR="006F0FA4" w:rsidRPr="006F0FA4" w:rsidRDefault="006F0FA4" w:rsidP="006F0FA4">
      <w:pPr>
        <w:pStyle w:val="SingleTxtG"/>
        <w:rPr>
          <w:lang w:val="fr-FR"/>
        </w:rPr>
      </w:pPr>
      <w:r w:rsidRPr="006F0FA4">
        <w:rPr>
          <w:lang w:val="fr-FR"/>
        </w:rPr>
        <w:t>310.</w:t>
      </w:r>
      <w:r w:rsidRPr="006F0FA4">
        <w:rPr>
          <w:lang w:val="fr-FR"/>
        </w:rPr>
        <w:tab/>
        <w:t>Par ailleurs, le Ministère de l</w:t>
      </w:r>
      <w:r w:rsidR="00277023">
        <w:rPr>
          <w:lang w:val="fr-FR"/>
        </w:rPr>
        <w:t>’</w:t>
      </w:r>
      <w:r w:rsidRPr="006F0FA4">
        <w:rPr>
          <w:lang w:val="fr-FR"/>
        </w:rPr>
        <w:t>éducation, de la culture, des sports, des sciences et de la technologie a informé le personnel éducatif, notamment des établissements scolaires, de l</w:t>
      </w:r>
      <w:r w:rsidR="00277023">
        <w:rPr>
          <w:lang w:val="fr-FR"/>
        </w:rPr>
        <w:t>’</w:t>
      </w:r>
      <w:r w:rsidRPr="006F0FA4">
        <w:rPr>
          <w:lang w:val="fr-FR"/>
        </w:rPr>
        <w:t xml:space="preserve">objet de </w:t>
      </w:r>
      <w:smartTag w:uri="urn:schemas-microsoft-com:office:smarttags" w:element="PersonName">
        <w:smartTagPr>
          <w:attr w:name="ProductID" w:val="la Loi"/>
        </w:smartTagPr>
        <w:r w:rsidRPr="006F0FA4">
          <w:rPr>
            <w:lang w:val="fr-FR"/>
          </w:rPr>
          <w:t>la Loi</w:t>
        </w:r>
      </w:smartTag>
      <w:r w:rsidRPr="006F0FA4">
        <w:rPr>
          <w:lang w:val="fr-FR"/>
        </w:rPr>
        <w:t xml:space="preserve"> modifiée, car le nouvel amendement précise bien que les établissements scolaires et les organismes dont l</w:t>
      </w:r>
      <w:r w:rsidR="00277023">
        <w:rPr>
          <w:lang w:val="fr-FR"/>
        </w:rPr>
        <w:t>’</w:t>
      </w:r>
      <w:r w:rsidRPr="006F0FA4">
        <w:rPr>
          <w:lang w:val="fr-FR"/>
        </w:rPr>
        <w:t>activité a trait au bien-être de l</w:t>
      </w:r>
      <w:r w:rsidR="00277023">
        <w:rPr>
          <w:lang w:val="fr-FR"/>
        </w:rPr>
        <w:t>’</w:t>
      </w:r>
      <w:r w:rsidRPr="006F0FA4">
        <w:rPr>
          <w:lang w:val="fr-FR"/>
        </w:rPr>
        <w:t xml:space="preserve">enfant ont la responsabilité de détecter précocement les cas de maltraitance. </w:t>
      </w:r>
    </w:p>
    <w:p w:rsidR="006F0FA4" w:rsidRPr="006F0FA4" w:rsidRDefault="006F0FA4" w:rsidP="006F0FA4">
      <w:pPr>
        <w:pStyle w:val="SingleTxtG"/>
        <w:rPr>
          <w:lang w:val="fr-FR"/>
        </w:rPr>
      </w:pPr>
      <w:r w:rsidRPr="006F0FA4">
        <w:rPr>
          <w:lang w:val="fr-FR"/>
        </w:rPr>
        <w:t xml:space="preserve">(Modification partielle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protection de l</w:t>
      </w:r>
      <w:r w:rsidR="00277023">
        <w:rPr>
          <w:lang w:val="fr-FR"/>
        </w:rPr>
        <w:t>’</w:t>
      </w:r>
      <w:r w:rsidRPr="006F0FA4">
        <w:rPr>
          <w:lang w:val="fr-FR"/>
        </w:rPr>
        <w:t>enfance)</w:t>
      </w:r>
    </w:p>
    <w:p w:rsidR="006F0FA4" w:rsidRPr="006F0FA4" w:rsidRDefault="006F0FA4" w:rsidP="006F0FA4">
      <w:pPr>
        <w:pStyle w:val="SingleTxtG"/>
        <w:rPr>
          <w:lang w:val="fr-FR"/>
        </w:rPr>
      </w:pPr>
      <w:r w:rsidRPr="006F0FA4">
        <w:rPr>
          <w:lang w:val="fr-FR"/>
        </w:rPr>
        <w:t>311.</w:t>
      </w:r>
      <w:r w:rsidRPr="006F0FA4">
        <w:rPr>
          <w:lang w:val="fr-FR"/>
        </w:rPr>
        <w:tab/>
        <w:t>Voir paragraphe 264 du deuxième rapport du Japon.</w:t>
      </w:r>
    </w:p>
    <w:p w:rsidR="006F0FA4" w:rsidRPr="006F0FA4" w:rsidRDefault="006F0FA4" w:rsidP="006F0FA4">
      <w:pPr>
        <w:pStyle w:val="SingleTxtG"/>
        <w:rPr>
          <w:lang w:val="fr-FR"/>
        </w:rPr>
      </w:pPr>
      <w:r w:rsidRPr="006F0FA4">
        <w:rPr>
          <w:lang w:val="fr-FR"/>
        </w:rPr>
        <w:t>312.</w:t>
      </w:r>
      <w:r w:rsidRPr="006F0FA4">
        <w:rPr>
          <w:lang w:val="fr-FR"/>
        </w:rPr>
        <w:tab/>
        <w:t xml:space="preserve">Ces derniers temps, il apparaît nécessaire que non seulement les centres de guidance infantile, qui orientent les enfants, mais également différentes autres organisations offrent une assistance davantage personnalisée en raison de la hausse rapide du nombre de demandes de consultations liées à des actes de maltraitance. A cette fin, </w:t>
      </w:r>
      <w:smartTag w:uri="urn:schemas-microsoft-com:office:smarttags" w:element="PersonName">
        <w:smartTagPr>
          <w:attr w:name="ProductID" w:val="la Loi"/>
        </w:smartTagPr>
        <w:r w:rsidRPr="006F0FA4">
          <w:rPr>
            <w:lang w:val="fr-FR"/>
          </w:rPr>
          <w:t>la Loi</w:t>
        </w:r>
      </w:smartTag>
      <w:r w:rsidRPr="006F0FA4">
        <w:rPr>
          <w:lang w:val="fr-FR"/>
        </w:rPr>
        <w:t xml:space="preserve"> sur la protection de l</w:t>
      </w:r>
      <w:r w:rsidR="00277023">
        <w:rPr>
          <w:lang w:val="fr-FR"/>
        </w:rPr>
        <w:t>’</w:t>
      </w:r>
      <w:r w:rsidRPr="006F0FA4">
        <w:rPr>
          <w:lang w:val="fr-FR"/>
        </w:rPr>
        <w:t>enfance a été partiellement modifiée en novembre 2004. Aux termes de cet amendement, les services de guidance infantile ont été juridiquement définis comme des services offerts aux habitants par les collectivités locales, le rôle des centres de guidance infantile a été clairement défini, à savoir que la priorité est accordée aux cas difficiles requérant l</w:t>
      </w:r>
      <w:r w:rsidR="00277023">
        <w:rPr>
          <w:lang w:val="fr-FR"/>
        </w:rPr>
        <w:t>’</w:t>
      </w:r>
      <w:r w:rsidRPr="006F0FA4">
        <w:rPr>
          <w:lang w:val="fr-FR"/>
        </w:rPr>
        <w:t>intervention de spécialistes, et il a été demandé aux collectivités locales que les organisations compétentes mettent en place des conseils locaux chargés des mesures en faveur des enfants nécessitant une protection, afin d</w:t>
      </w:r>
      <w:r w:rsidR="00277023">
        <w:rPr>
          <w:lang w:val="fr-FR"/>
        </w:rPr>
        <w:t>’</w:t>
      </w:r>
      <w:r w:rsidRPr="006F0FA4">
        <w:rPr>
          <w:lang w:val="fr-FR"/>
        </w:rPr>
        <w:t>assurer l</w:t>
      </w:r>
      <w:r w:rsidR="00277023">
        <w:rPr>
          <w:lang w:val="fr-FR"/>
        </w:rPr>
        <w:t>’</w:t>
      </w:r>
      <w:r w:rsidRPr="006F0FA4">
        <w:rPr>
          <w:lang w:val="fr-FR"/>
        </w:rPr>
        <w:t>amélioration des dispositifs locaux de guidance infantile.</w:t>
      </w:r>
      <w:r w:rsidR="00EA1115">
        <w:rPr>
          <w:lang w:val="fr-FR"/>
        </w:rPr>
        <w:t xml:space="preserve"> </w:t>
      </w:r>
    </w:p>
    <w:p w:rsidR="006F0FA4" w:rsidRPr="006F0FA4" w:rsidRDefault="006F0FA4" w:rsidP="006F0FA4">
      <w:pPr>
        <w:pStyle w:val="SingleTxtG"/>
        <w:rPr>
          <w:lang w:val="fr-FR"/>
        </w:rPr>
      </w:pPr>
      <w:r w:rsidRPr="006F0FA4">
        <w:rPr>
          <w:lang w:val="fr-FR"/>
        </w:rPr>
        <w:t>313.</w:t>
      </w:r>
      <w:r w:rsidRPr="006F0FA4">
        <w:rPr>
          <w:lang w:val="fr-FR"/>
        </w:rPr>
        <w:tab/>
        <w:t>En outre, conformément à cet amendement, un nouveau dispositif permet au tribunal des affaires familiales d</w:t>
      </w:r>
      <w:r w:rsidR="00277023">
        <w:rPr>
          <w:lang w:val="fr-FR"/>
        </w:rPr>
        <w:t>’</w:t>
      </w:r>
      <w:r w:rsidRPr="006F0FA4">
        <w:rPr>
          <w:lang w:val="fr-FR"/>
        </w:rPr>
        <w:t>intervenir, s</w:t>
      </w:r>
      <w:r w:rsidR="00277023">
        <w:rPr>
          <w:lang w:val="fr-FR"/>
        </w:rPr>
        <w:t>’</w:t>
      </w:r>
      <w:r w:rsidRPr="006F0FA4">
        <w:rPr>
          <w:lang w:val="fr-FR"/>
        </w:rPr>
        <w:t>il y a lieu, dans l</w:t>
      </w:r>
      <w:r w:rsidR="00277023">
        <w:rPr>
          <w:lang w:val="fr-FR"/>
        </w:rPr>
        <w:t>’</w:t>
      </w:r>
      <w:r w:rsidRPr="006F0FA4">
        <w:rPr>
          <w:lang w:val="fr-FR"/>
        </w:rPr>
        <w:t>orientation donnée par les centres de guidance infantile au représentant légal d</w:t>
      </w:r>
      <w:r w:rsidR="00277023">
        <w:rPr>
          <w:lang w:val="fr-FR"/>
        </w:rPr>
        <w:t>’</w:t>
      </w:r>
      <w:r w:rsidRPr="006F0FA4">
        <w:rPr>
          <w:lang w:val="fr-FR"/>
        </w:rPr>
        <w:t>un enfant lorsqu</w:t>
      </w:r>
      <w:r w:rsidR="00277023">
        <w:rPr>
          <w:lang w:val="fr-FR"/>
        </w:rPr>
        <w:t>’</w:t>
      </w:r>
      <w:r w:rsidRPr="006F0FA4">
        <w:rPr>
          <w:lang w:val="fr-FR"/>
        </w:rPr>
        <w:t>il ordonne un placement</w:t>
      </w:r>
      <w:r w:rsidR="00EA1115">
        <w:rPr>
          <w:lang w:val="fr-FR"/>
        </w:rPr>
        <w:t xml:space="preserve"> </w:t>
      </w:r>
      <w:r w:rsidRPr="006F0FA4">
        <w:rPr>
          <w:lang w:val="fr-FR"/>
        </w:rPr>
        <w:t>dans un établissement de protection de l</w:t>
      </w:r>
      <w:r w:rsidR="00277023">
        <w:rPr>
          <w:lang w:val="fr-FR"/>
        </w:rPr>
        <w:t>’</w:t>
      </w:r>
      <w:r w:rsidRPr="006F0FA4">
        <w:rPr>
          <w:lang w:val="fr-FR"/>
        </w:rPr>
        <w:t>enfance ou équivalent. L</w:t>
      </w:r>
      <w:r w:rsidR="00277023">
        <w:rPr>
          <w:lang w:val="fr-FR"/>
        </w:rPr>
        <w:t>’</w:t>
      </w:r>
      <w:r w:rsidRPr="006F0FA4">
        <w:rPr>
          <w:lang w:val="fr-FR"/>
        </w:rPr>
        <w:t>amendement a remanié la disposition relative à la participation du pouvoir judiciaire afin d</w:t>
      </w:r>
      <w:r w:rsidR="00277023">
        <w:rPr>
          <w:lang w:val="fr-FR"/>
        </w:rPr>
        <w:t>’</w:t>
      </w:r>
      <w:r w:rsidRPr="006F0FA4">
        <w:rPr>
          <w:lang w:val="fr-FR"/>
        </w:rPr>
        <w:t>assurer des réponses appropriées aux affaires impliquant des mineurs de plus de 18 ans, comme par exemple étendre les pouvoirs des directeurs des centres de guidance infantile jusqu</w:t>
      </w:r>
      <w:r w:rsidR="00277023">
        <w:rPr>
          <w:lang w:val="fr-FR"/>
        </w:rPr>
        <w:t>’</w:t>
      </w:r>
      <w:r w:rsidRPr="006F0FA4">
        <w:rPr>
          <w:lang w:val="fr-FR"/>
        </w:rPr>
        <w:t>à leur permettre de requérir la déchéance de l</w:t>
      </w:r>
      <w:r w:rsidR="00277023">
        <w:rPr>
          <w:lang w:val="fr-FR"/>
        </w:rPr>
        <w:t>’</w:t>
      </w:r>
      <w:r w:rsidRPr="006F0FA4">
        <w:rPr>
          <w:lang w:val="fr-FR"/>
        </w:rPr>
        <w:t xml:space="preserve">autorité parentale. </w:t>
      </w:r>
    </w:p>
    <w:p w:rsidR="006F0FA4" w:rsidRPr="006F0FA4" w:rsidRDefault="006F0FA4" w:rsidP="006F0FA4">
      <w:pPr>
        <w:pStyle w:val="SingleTxtG"/>
        <w:rPr>
          <w:lang w:val="fr-FR"/>
        </w:rPr>
      </w:pPr>
      <w:r w:rsidRPr="006F0FA4">
        <w:rPr>
          <w:lang w:val="fr-FR"/>
        </w:rPr>
        <w:t>(Code civil)</w:t>
      </w:r>
    </w:p>
    <w:p w:rsidR="006F0FA4" w:rsidRPr="006F0FA4" w:rsidRDefault="006F0FA4" w:rsidP="006F0FA4">
      <w:pPr>
        <w:pStyle w:val="SingleTxtG"/>
        <w:rPr>
          <w:lang w:val="fr-FR"/>
        </w:rPr>
      </w:pPr>
      <w:r w:rsidRPr="006F0FA4">
        <w:rPr>
          <w:lang w:val="fr-FR"/>
        </w:rPr>
        <w:t xml:space="preserve">314. Voir paragraphe 265 du deuxième rapport du Japon. </w:t>
      </w:r>
    </w:p>
    <w:p w:rsidR="006F0FA4" w:rsidRPr="006F0FA4" w:rsidRDefault="006F0FA4" w:rsidP="006F0FA4">
      <w:pPr>
        <w:pStyle w:val="SingleTxtG"/>
        <w:rPr>
          <w:lang w:val="fr-FR"/>
        </w:rPr>
      </w:pPr>
      <w:r w:rsidRPr="006F0FA4">
        <w:rPr>
          <w:lang w:val="fr-FR"/>
        </w:rPr>
        <w:t>(Procédures de dépôt de plainte)</w:t>
      </w:r>
    </w:p>
    <w:p w:rsidR="006F0FA4" w:rsidRPr="006F0FA4" w:rsidRDefault="006F0FA4" w:rsidP="006F0FA4">
      <w:pPr>
        <w:pStyle w:val="SingleTxtG"/>
        <w:rPr>
          <w:lang w:val="fr-FR"/>
        </w:rPr>
      </w:pPr>
      <w:r w:rsidRPr="006F0FA4">
        <w:rPr>
          <w:lang w:val="fr-FR"/>
        </w:rPr>
        <w:t>315.</w:t>
      </w:r>
      <w:r w:rsidRPr="006F0FA4">
        <w:rPr>
          <w:lang w:val="fr-FR"/>
        </w:rPr>
        <w:tab/>
        <w:t>Si l</w:t>
      </w:r>
      <w:r w:rsidR="00277023">
        <w:rPr>
          <w:lang w:val="fr-FR"/>
        </w:rPr>
        <w:t>’</w:t>
      </w:r>
      <w:r w:rsidRPr="006F0FA4">
        <w:rPr>
          <w:lang w:val="fr-FR"/>
        </w:rPr>
        <w:t>on estime qu</w:t>
      </w:r>
      <w:r w:rsidR="00277023">
        <w:rPr>
          <w:lang w:val="fr-FR"/>
        </w:rPr>
        <w:t>’</w:t>
      </w:r>
      <w:r w:rsidRPr="006F0FA4">
        <w:rPr>
          <w:lang w:val="fr-FR"/>
        </w:rPr>
        <w:t>un enfant a été victime de maltraitance, les centres de protection municipaux et préfectoraux ou les centres de guidance infantile sont là pour l</w:t>
      </w:r>
      <w:r w:rsidR="00277023">
        <w:rPr>
          <w:lang w:val="fr-FR"/>
        </w:rPr>
        <w:t>’</w:t>
      </w:r>
      <w:r w:rsidRPr="006F0FA4">
        <w:rPr>
          <w:lang w:val="fr-FR"/>
        </w:rPr>
        <w:t>aider, en se fondant non seulement sur sa plainte mais également sur les informations obtenues des voisins et connaissances, et des personnes exerçant une activité dans les domaines de la protection sociale, de l</w:t>
      </w:r>
      <w:r w:rsidR="00277023">
        <w:rPr>
          <w:lang w:val="fr-FR"/>
        </w:rPr>
        <w:t>’</w:t>
      </w:r>
      <w:r w:rsidRPr="006F0FA4">
        <w:rPr>
          <w:lang w:val="fr-FR"/>
        </w:rPr>
        <w:t>éducation, de la santé publique et des services médicaux.</w:t>
      </w:r>
    </w:p>
    <w:p w:rsidR="006F0FA4" w:rsidRPr="006F0FA4" w:rsidRDefault="006F0FA4" w:rsidP="006F0FA4">
      <w:pPr>
        <w:pStyle w:val="SingleTxtG"/>
        <w:rPr>
          <w:lang w:val="fr-FR"/>
        </w:rPr>
      </w:pPr>
      <w:r w:rsidRPr="006F0FA4">
        <w:rPr>
          <w:lang w:val="fr-FR"/>
        </w:rPr>
        <w:t>(Renforcement de l</w:t>
      </w:r>
      <w:r w:rsidR="00277023">
        <w:rPr>
          <w:lang w:val="fr-FR"/>
        </w:rPr>
        <w:t>’</w:t>
      </w:r>
      <w:r w:rsidRPr="006F0FA4">
        <w:rPr>
          <w:lang w:val="fr-FR"/>
        </w:rPr>
        <w:t xml:space="preserve">intervention légale) </w:t>
      </w:r>
    </w:p>
    <w:p w:rsidR="006F0FA4" w:rsidRPr="006F0FA4" w:rsidRDefault="006F0FA4" w:rsidP="006F0FA4">
      <w:pPr>
        <w:pStyle w:val="SingleTxtG"/>
        <w:rPr>
          <w:lang w:val="fr-FR"/>
        </w:rPr>
      </w:pPr>
      <w:r w:rsidRPr="006F0FA4">
        <w:rPr>
          <w:lang w:val="fr-FR"/>
        </w:rPr>
        <w:t>316.</w:t>
      </w:r>
      <w:r w:rsidRPr="006F0FA4">
        <w:rPr>
          <w:lang w:val="fr-FR"/>
        </w:rPr>
        <w:tab/>
        <w:t xml:space="preserve">Voir paragraphes 307-313 ci-dessus relatifs à la modification partielle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protection de l</w:t>
      </w:r>
      <w:r w:rsidR="00277023">
        <w:rPr>
          <w:lang w:val="fr-FR"/>
        </w:rPr>
        <w:t>’</w:t>
      </w:r>
      <w:r w:rsidRPr="006F0FA4">
        <w:rPr>
          <w:lang w:val="fr-FR"/>
        </w:rPr>
        <w:t xml:space="preserve">enfant et paragraphe 267 du deuxième rapport du Japon. </w:t>
      </w:r>
    </w:p>
    <w:p w:rsidR="006F0FA4" w:rsidRPr="006F0FA4" w:rsidRDefault="006F0FA4" w:rsidP="006F0FA4">
      <w:pPr>
        <w:pStyle w:val="SingleTxtG"/>
        <w:rPr>
          <w:lang w:val="fr-FR"/>
        </w:rPr>
      </w:pPr>
      <w:r w:rsidRPr="006F0FA4">
        <w:rPr>
          <w:lang w:val="fr-FR"/>
        </w:rPr>
        <w:t>(Mesures non violentes en vue d</w:t>
      </w:r>
      <w:r w:rsidR="00277023">
        <w:rPr>
          <w:lang w:val="fr-FR"/>
        </w:rPr>
        <w:t>’</w:t>
      </w:r>
      <w:r w:rsidRPr="006F0FA4">
        <w:rPr>
          <w:lang w:val="fr-FR"/>
        </w:rPr>
        <w:t>appliquer une discipline positive)</w:t>
      </w:r>
    </w:p>
    <w:p w:rsidR="006F0FA4" w:rsidRPr="006F0FA4" w:rsidRDefault="006F0FA4" w:rsidP="006F0FA4">
      <w:pPr>
        <w:pStyle w:val="SingleTxtG"/>
        <w:rPr>
          <w:lang w:val="fr-FR"/>
        </w:rPr>
      </w:pPr>
      <w:r w:rsidRPr="006F0FA4">
        <w:rPr>
          <w:lang w:val="fr-FR"/>
        </w:rPr>
        <w:t>317.</w:t>
      </w:r>
      <w:r w:rsidRPr="006F0FA4">
        <w:rPr>
          <w:lang w:val="fr-FR"/>
        </w:rPr>
        <w:tab/>
        <w:t xml:space="preserve">Voir paragraphes 208-211 et 268 du deuxième rapport du Japon. </w:t>
      </w:r>
    </w:p>
    <w:p w:rsidR="006F0FA4" w:rsidRPr="006F0FA4" w:rsidRDefault="006F0FA4" w:rsidP="006F0FA4">
      <w:pPr>
        <w:pStyle w:val="SingleTxtG"/>
        <w:rPr>
          <w:lang w:val="fr-FR"/>
        </w:rPr>
      </w:pPr>
      <w:r w:rsidRPr="006F0FA4">
        <w:rPr>
          <w:lang w:val="fr-FR"/>
        </w:rPr>
        <w:t>(Campagnes de relations publiques et de sensibilisation)</w:t>
      </w:r>
    </w:p>
    <w:p w:rsidR="006F0FA4" w:rsidRPr="006F0FA4" w:rsidRDefault="006F0FA4" w:rsidP="006F0FA4">
      <w:pPr>
        <w:pStyle w:val="SingleTxtG"/>
        <w:rPr>
          <w:lang w:val="fr-FR"/>
        </w:rPr>
      </w:pPr>
      <w:r w:rsidRPr="006F0FA4">
        <w:rPr>
          <w:lang w:val="fr-FR"/>
        </w:rPr>
        <w:t>318.</w:t>
      </w:r>
      <w:r w:rsidRPr="006F0FA4">
        <w:rPr>
          <w:lang w:val="fr-FR"/>
        </w:rPr>
        <w:tab/>
        <w:t>Chaque année, les services chargés de l</w:t>
      </w:r>
      <w:r w:rsidR="00277023">
        <w:rPr>
          <w:lang w:val="fr-FR"/>
        </w:rPr>
        <w:t>’</w:t>
      </w:r>
      <w:r w:rsidRPr="006F0FA4">
        <w:rPr>
          <w:lang w:val="fr-FR"/>
        </w:rPr>
        <w:t xml:space="preserve">application de la loi éditent des brochures destinées au grand public expliquant de manière simple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violence faite aux enfants, et ils les distribuent dans le but d</w:t>
      </w:r>
      <w:r w:rsidR="00277023">
        <w:rPr>
          <w:lang w:val="fr-FR"/>
        </w:rPr>
        <w:t>’</w:t>
      </w:r>
      <w:r w:rsidRPr="006F0FA4">
        <w:rPr>
          <w:lang w:val="fr-FR"/>
        </w:rPr>
        <w:t>informer le public sur la détection précoce de la maltraitance, ainsi que sur le moyen et le lieu de signalement d</w:t>
      </w:r>
      <w:r w:rsidR="00277023">
        <w:rPr>
          <w:lang w:val="fr-FR"/>
        </w:rPr>
        <w:t>’</w:t>
      </w:r>
      <w:r w:rsidRPr="006F0FA4">
        <w:rPr>
          <w:lang w:val="fr-FR"/>
        </w:rPr>
        <w:t>un tel cas. Les informations sur le contact avec la police pour obtenir des services de consultation, telles qu</w:t>
      </w:r>
      <w:r w:rsidR="00277023">
        <w:rPr>
          <w:lang w:val="fr-FR"/>
        </w:rPr>
        <w:t>’</w:t>
      </w:r>
      <w:r w:rsidRPr="006F0FA4">
        <w:rPr>
          <w:lang w:val="fr-FR"/>
        </w:rPr>
        <w:t>un numéro de téléphone ou une adresse électronique, se trouvent sur leur site Web officiel afin de promouvoir ces services. En vue de prévenir des préjudices, les services chargés de l</w:t>
      </w:r>
      <w:r w:rsidR="00277023">
        <w:rPr>
          <w:lang w:val="fr-FR"/>
        </w:rPr>
        <w:t>’</w:t>
      </w:r>
      <w:r w:rsidRPr="006F0FA4">
        <w:rPr>
          <w:lang w:val="fr-FR"/>
        </w:rPr>
        <w:t>application de la loi publient des exemples de cas et des statistiques relatives à la maltraitance. De plus, au cours du mois en faveur de la prévention de la violence faite aux enfants, ils s</w:t>
      </w:r>
      <w:r w:rsidR="00277023">
        <w:rPr>
          <w:lang w:val="fr-FR"/>
        </w:rPr>
        <w:t>’</w:t>
      </w:r>
      <w:r w:rsidRPr="006F0FA4">
        <w:rPr>
          <w:lang w:val="fr-FR"/>
        </w:rPr>
        <w:t>associent aux ministères et organismes compétents (y compris le Bureau du Cabinet, le Ministère de la santé, du travail et de la protection sociale et le Ministère de l</w:t>
      </w:r>
      <w:r w:rsidR="00277023">
        <w:rPr>
          <w:lang w:val="fr-FR"/>
        </w:rPr>
        <w:t>’</w:t>
      </w:r>
      <w:r w:rsidRPr="006F0FA4">
        <w:rPr>
          <w:lang w:val="fr-FR"/>
        </w:rPr>
        <w:t>éducation, de la culture, des sports, des sciences et de la technologie) et s</w:t>
      </w:r>
      <w:r w:rsidR="00277023">
        <w:rPr>
          <w:lang w:val="fr-FR"/>
        </w:rPr>
        <w:t>’</w:t>
      </w:r>
      <w:r w:rsidRPr="006F0FA4">
        <w:rPr>
          <w:lang w:val="fr-FR"/>
        </w:rPr>
        <w:t>emploient à sensibiliser le public par des affiches sur la prévention de la violence faite aux enfants apposées sur les panneaux d</w:t>
      </w:r>
      <w:r w:rsidR="00277023">
        <w:rPr>
          <w:lang w:val="fr-FR"/>
        </w:rPr>
        <w:t>’</w:t>
      </w:r>
      <w:r w:rsidRPr="006F0FA4">
        <w:rPr>
          <w:lang w:val="fr-FR"/>
        </w:rPr>
        <w:t>information des services de police, la distribution de dépliants et la publication de messages d</w:t>
      </w:r>
      <w:r w:rsidR="00277023">
        <w:rPr>
          <w:lang w:val="fr-FR"/>
        </w:rPr>
        <w:t>’</w:t>
      </w:r>
      <w:r w:rsidRPr="006F0FA4">
        <w:rPr>
          <w:lang w:val="fr-FR"/>
        </w:rPr>
        <w:t>intérêt public sur la prévention de la maltraitance à l</w:t>
      </w:r>
      <w:r w:rsidR="00277023">
        <w:rPr>
          <w:lang w:val="fr-FR"/>
        </w:rPr>
        <w:t>’</w:t>
      </w:r>
      <w:r w:rsidRPr="006F0FA4">
        <w:rPr>
          <w:lang w:val="fr-FR"/>
        </w:rPr>
        <w:t>égard des enfants dans les magazines féminins.</w:t>
      </w:r>
    </w:p>
    <w:p w:rsidR="006F0FA4" w:rsidRPr="006F0FA4" w:rsidRDefault="006F0FA4" w:rsidP="006F0FA4">
      <w:pPr>
        <w:pStyle w:val="SingleTxtG"/>
        <w:rPr>
          <w:lang w:val="fr-FR"/>
        </w:rPr>
      </w:pPr>
      <w:r w:rsidRPr="006F0FA4">
        <w:rPr>
          <w:lang w:val="fr-FR"/>
        </w:rPr>
        <w:t>319.</w:t>
      </w:r>
      <w:r w:rsidRPr="006F0FA4">
        <w:rPr>
          <w:lang w:val="fr-FR"/>
        </w:rPr>
        <w:tab/>
        <w:t xml:space="preserve">Voir paragraphe 279 du deuxième rapport du Japon. </w:t>
      </w:r>
    </w:p>
    <w:p w:rsidR="006F0FA4" w:rsidRPr="006F0FA4" w:rsidRDefault="006F0FA4" w:rsidP="006F0FA4">
      <w:pPr>
        <w:pStyle w:val="SingleTxtG"/>
        <w:rPr>
          <w:lang w:val="fr-FR"/>
        </w:rPr>
      </w:pPr>
      <w:r w:rsidRPr="006F0FA4">
        <w:rPr>
          <w:lang w:val="fr-FR"/>
        </w:rPr>
        <w:t>320.</w:t>
      </w:r>
      <w:r w:rsidRPr="006F0FA4">
        <w:rPr>
          <w:lang w:val="fr-FR"/>
        </w:rPr>
        <w:tab/>
        <w:t>En avril 2004, les directives officielles sur les enquêtes et la résolution des affaires de violation des droits fondamentaux ont été entièrement révisées afin de rendre les procédures de réparation de ces violations plus rapides, plus souples et plus adaptées. Aux termes de cette révision, lorsqu</w:t>
      </w:r>
      <w:r w:rsidR="00277023">
        <w:rPr>
          <w:lang w:val="fr-FR"/>
        </w:rPr>
        <w:t>’</w:t>
      </w:r>
      <w:r w:rsidRPr="006F0FA4">
        <w:rPr>
          <w:lang w:val="fr-FR"/>
        </w:rPr>
        <w:t>un cas de maltraitance est avéré, les bureaux des affaires juridiques (notamment du district) doivent lancer rapidement des procédures d</w:t>
      </w:r>
      <w:r w:rsidR="00277023">
        <w:rPr>
          <w:lang w:val="fr-FR"/>
        </w:rPr>
        <w:t>’</w:t>
      </w:r>
      <w:r w:rsidRPr="006F0FA4">
        <w:rPr>
          <w:lang w:val="fr-FR"/>
        </w:rPr>
        <w:t>assistance et prendre les mesures requises après avoir mené une enquête en collaboration avec les organisations compétentes, notamment les centres de guidance infantile. De plus, dans le cadre du mois de la prévention de la violence faite aux enfants, parrainé par le Bureau du Cabinet et le Ministère de la santé, du travail et de la protection sociale, institué en 2004, les organes de défense des droits de l</w:t>
      </w:r>
      <w:r w:rsidR="00277023">
        <w:rPr>
          <w:lang w:val="fr-FR"/>
        </w:rPr>
        <w:t>’</w:t>
      </w:r>
      <w:r w:rsidRPr="006F0FA4">
        <w:rPr>
          <w:lang w:val="fr-FR"/>
        </w:rPr>
        <w:t xml:space="preserve">homme du Ministère de la justice améliorent et renforcent leur action à travers des manifestations telles que </w:t>
      </w:r>
      <w:smartTag w:uri="urn:schemas-microsoft-com:office:smarttags" w:element="PersonName">
        <w:smartTagPr>
          <w:attr w:name="ProductID" w:val="la Conf￩rence"/>
        </w:smartTagPr>
        <w:r w:rsidRPr="006F0FA4">
          <w:rPr>
            <w:lang w:val="fr-FR"/>
          </w:rPr>
          <w:t>la Conférence</w:t>
        </w:r>
      </w:smartTag>
      <w:r w:rsidRPr="006F0FA4">
        <w:rPr>
          <w:lang w:val="fr-FR"/>
        </w:rPr>
        <w:t xml:space="preserve"> nationale des volontaires pour la protection des droits des enfants, axée sur la prévention de la violence faite aux enfants. </w:t>
      </w:r>
    </w:p>
    <w:p w:rsidR="006F0FA4" w:rsidRPr="006F0FA4" w:rsidRDefault="006F0FA4" w:rsidP="006F0FA4">
      <w:pPr>
        <w:pStyle w:val="SingleTxtG"/>
        <w:rPr>
          <w:lang w:val="fr-FR"/>
        </w:rPr>
      </w:pPr>
      <w:r w:rsidRPr="006F0FA4">
        <w:rPr>
          <w:lang w:val="fr-FR"/>
        </w:rPr>
        <w:t>321.</w:t>
      </w:r>
      <w:r w:rsidRPr="006F0FA4">
        <w:rPr>
          <w:lang w:val="fr-FR"/>
        </w:rPr>
        <w:tab/>
        <w:t xml:space="preserve">Voir paragraphes 110 et 112 du deuxième rapport du Japon. </w:t>
      </w:r>
    </w:p>
    <w:p w:rsidR="006F0FA4" w:rsidRPr="006F0FA4" w:rsidRDefault="006F0FA4" w:rsidP="006F0FA4">
      <w:pPr>
        <w:pStyle w:val="SingleTxtG"/>
        <w:rPr>
          <w:lang w:val="fr-FR"/>
        </w:rPr>
      </w:pPr>
      <w:r w:rsidRPr="006F0FA4">
        <w:rPr>
          <w:lang w:val="fr-FR"/>
        </w:rPr>
        <w:t>322.</w:t>
      </w:r>
      <w:r w:rsidRPr="006F0FA4">
        <w:rPr>
          <w:lang w:val="fr-FR"/>
        </w:rPr>
        <w:tab/>
        <w:t>Dans l</w:t>
      </w:r>
      <w:r w:rsidR="00277023">
        <w:rPr>
          <w:lang w:val="fr-FR"/>
        </w:rPr>
        <w:t>’</w:t>
      </w:r>
      <w:r w:rsidRPr="006F0FA4">
        <w:rPr>
          <w:lang w:val="fr-FR"/>
        </w:rPr>
        <w:t>objectif d</w:t>
      </w:r>
      <w:r w:rsidR="00277023">
        <w:rPr>
          <w:lang w:val="fr-FR"/>
        </w:rPr>
        <w:t>’</w:t>
      </w:r>
      <w:r w:rsidRPr="006F0FA4">
        <w:rPr>
          <w:lang w:val="fr-FR"/>
        </w:rPr>
        <w:t>informer le grand public sur le fait que la maltraitance constitue une violation grave des droits de l</w:t>
      </w:r>
      <w:r w:rsidR="00277023">
        <w:rPr>
          <w:lang w:val="fr-FR"/>
        </w:rPr>
        <w:t>’</w:t>
      </w:r>
      <w:r w:rsidRPr="006F0FA4">
        <w:rPr>
          <w:lang w:val="fr-FR"/>
        </w:rPr>
        <w:t xml:space="preserve">enfant, le Gouvernement a formulé les </w:t>
      </w:r>
      <w:r w:rsidR="008E49D4">
        <w:rPr>
          <w:lang w:val="fr-FR"/>
        </w:rPr>
        <w:t>“</w:t>
      </w:r>
      <w:r w:rsidRPr="006F0FA4">
        <w:rPr>
          <w:lang w:val="fr-FR"/>
        </w:rPr>
        <w:t>cinq points pour la protection des enfants contre la maltraitance</w:t>
      </w:r>
      <w:r w:rsidR="008E49D4">
        <w:rPr>
          <w:lang w:val="fr-FR"/>
        </w:rPr>
        <w:t>”</w:t>
      </w:r>
      <w:r w:rsidRPr="006F0FA4">
        <w:rPr>
          <w:lang w:val="fr-FR"/>
        </w:rPr>
        <w:t>, composés de recommandations visant à promouvoir un comportement correct et des actions concrètes contre les actes de maltraitance. Il mène également des actions d</w:t>
      </w:r>
      <w:r w:rsidR="00277023">
        <w:rPr>
          <w:lang w:val="fr-FR"/>
        </w:rPr>
        <w:t>’</w:t>
      </w:r>
      <w:r w:rsidRPr="006F0FA4">
        <w:rPr>
          <w:lang w:val="fr-FR"/>
        </w:rPr>
        <w:t>information et de sensibilisation à travers différents médias comme les magazines et les affiches d</w:t>
      </w:r>
      <w:r w:rsidR="00277023">
        <w:rPr>
          <w:lang w:val="fr-FR"/>
        </w:rPr>
        <w:t>’</w:t>
      </w:r>
      <w:r w:rsidRPr="006F0FA4">
        <w:rPr>
          <w:lang w:val="fr-FR"/>
        </w:rPr>
        <w:t>information. Depuis 2004, le mois de novembre est le mois de la prévention de la maltraitance faite aux enfants, durant lequel sont menées de nombreuses activités d</w:t>
      </w:r>
      <w:r w:rsidR="00277023">
        <w:rPr>
          <w:lang w:val="fr-FR"/>
        </w:rPr>
        <w:t>’</w:t>
      </w:r>
      <w:r w:rsidRPr="006F0FA4">
        <w:rPr>
          <w:lang w:val="fr-FR"/>
        </w:rPr>
        <w:t>information et de sensibilisation, comme l</w:t>
      </w:r>
      <w:r w:rsidR="00277023">
        <w:rPr>
          <w:lang w:val="fr-FR"/>
        </w:rPr>
        <w:t>’</w:t>
      </w:r>
      <w:r w:rsidRPr="006F0FA4">
        <w:rPr>
          <w:lang w:val="fr-FR"/>
        </w:rPr>
        <w:t>édition d</w:t>
      </w:r>
      <w:r w:rsidR="00277023">
        <w:rPr>
          <w:lang w:val="fr-FR"/>
        </w:rPr>
        <w:t>’</w:t>
      </w:r>
      <w:r w:rsidRPr="006F0FA4">
        <w:rPr>
          <w:lang w:val="fr-FR"/>
        </w:rPr>
        <w:t>affiches et l</w:t>
      </w:r>
      <w:r w:rsidR="00277023">
        <w:rPr>
          <w:lang w:val="fr-FR"/>
        </w:rPr>
        <w:t>’</w:t>
      </w:r>
      <w:r w:rsidRPr="006F0FA4">
        <w:rPr>
          <w:lang w:val="fr-FR"/>
        </w:rPr>
        <w:t>organisation de forums nationaux. Des manuels d</w:t>
      </w:r>
      <w:r w:rsidR="00277023">
        <w:rPr>
          <w:lang w:val="fr-FR"/>
        </w:rPr>
        <w:t>’</w:t>
      </w:r>
      <w:r w:rsidRPr="006F0FA4">
        <w:rPr>
          <w:lang w:val="fr-FR"/>
        </w:rPr>
        <w:t>éducation offrent des conseils sur l</w:t>
      </w:r>
      <w:r w:rsidR="00277023">
        <w:rPr>
          <w:lang w:val="fr-FR"/>
        </w:rPr>
        <w:t>’</w:t>
      </w:r>
      <w:r w:rsidRPr="006F0FA4">
        <w:rPr>
          <w:lang w:val="fr-FR"/>
        </w:rPr>
        <w:t xml:space="preserve">éducation des enfants et la discipline à la maison et des informations telles que </w:t>
      </w:r>
      <w:r w:rsidR="008E49D4">
        <w:rPr>
          <w:lang w:val="fr-FR"/>
        </w:rPr>
        <w:t>“</w:t>
      </w:r>
      <w:r w:rsidRPr="006F0FA4">
        <w:rPr>
          <w:lang w:val="fr-FR"/>
        </w:rPr>
        <w:t>éduquer un enfant selon des méthodes qui le blessent affectivement et physiquement non seulement n</w:t>
      </w:r>
      <w:r w:rsidR="00277023">
        <w:rPr>
          <w:lang w:val="fr-FR"/>
        </w:rPr>
        <w:t>’</w:t>
      </w:r>
      <w:r w:rsidRPr="006F0FA4">
        <w:rPr>
          <w:lang w:val="fr-FR"/>
        </w:rPr>
        <w:t>apporte aucun bénéfice en termes d</w:t>
      </w:r>
      <w:r w:rsidR="00277023">
        <w:rPr>
          <w:lang w:val="fr-FR"/>
        </w:rPr>
        <w:t>’</w:t>
      </w:r>
      <w:r w:rsidRPr="006F0FA4">
        <w:rPr>
          <w:lang w:val="fr-FR"/>
        </w:rPr>
        <w:t>éducation mais peut aller jusqu</w:t>
      </w:r>
      <w:r w:rsidR="00277023">
        <w:rPr>
          <w:lang w:val="fr-FR"/>
        </w:rPr>
        <w:t>’</w:t>
      </w:r>
      <w:r w:rsidRPr="006F0FA4">
        <w:rPr>
          <w:lang w:val="fr-FR"/>
        </w:rPr>
        <w:t>à la maltraitance</w:t>
      </w:r>
      <w:r w:rsidR="008E49D4">
        <w:rPr>
          <w:lang w:val="fr-FR"/>
        </w:rPr>
        <w:t>”</w:t>
      </w:r>
      <w:r w:rsidRPr="006F0FA4">
        <w:rPr>
          <w:lang w:val="fr-FR"/>
        </w:rPr>
        <w:t>, et sont distribués aux parents de jeunes enfants.</w:t>
      </w:r>
    </w:p>
    <w:p w:rsidR="006F0FA4" w:rsidRPr="006F0FA4" w:rsidRDefault="000205DE" w:rsidP="000205DE">
      <w:pPr>
        <w:pStyle w:val="H23G"/>
        <w:rPr>
          <w:lang w:val="fr-FR"/>
        </w:rPr>
      </w:pPr>
      <w:r>
        <w:rPr>
          <w:lang w:val="fr-FR"/>
        </w:rPr>
        <w:tab/>
        <w:t>b)</w:t>
      </w:r>
      <w:r>
        <w:rPr>
          <w:lang w:val="fr-FR"/>
        </w:rPr>
        <w:tab/>
      </w:r>
      <w:r w:rsidR="006F0FA4" w:rsidRPr="006F0FA4">
        <w:rPr>
          <w:lang w:val="fr-FR"/>
        </w:rPr>
        <w:t>Renseignements relatifs au paragraphe 2 de l</w:t>
      </w:r>
      <w:r w:rsidR="00277023">
        <w:rPr>
          <w:lang w:val="fr-FR"/>
        </w:rPr>
        <w:t>’</w:t>
      </w:r>
      <w:r w:rsidR="006F0FA4" w:rsidRPr="006F0FA4">
        <w:rPr>
          <w:lang w:val="fr-FR"/>
        </w:rPr>
        <w:t xml:space="preserve">article 19 </w:t>
      </w:r>
    </w:p>
    <w:p w:rsidR="006F0FA4" w:rsidRPr="006F0FA4" w:rsidRDefault="006F0FA4" w:rsidP="006F0FA4">
      <w:pPr>
        <w:pStyle w:val="SingleTxtG"/>
        <w:rPr>
          <w:lang w:val="fr-FR"/>
        </w:rPr>
      </w:pPr>
      <w:r w:rsidRPr="006F0FA4">
        <w:rPr>
          <w:lang w:val="fr-FR"/>
        </w:rPr>
        <w:t>(Programmes sociaux visant à fournir l</w:t>
      </w:r>
      <w:r w:rsidR="00277023">
        <w:rPr>
          <w:lang w:val="fr-FR"/>
        </w:rPr>
        <w:t>’</w:t>
      </w:r>
      <w:r w:rsidRPr="006F0FA4">
        <w:rPr>
          <w:lang w:val="fr-FR"/>
        </w:rPr>
        <w:t>appui nécessaire à l</w:t>
      </w:r>
      <w:r w:rsidR="00277023">
        <w:rPr>
          <w:lang w:val="fr-FR"/>
        </w:rPr>
        <w:t>’</w:t>
      </w:r>
      <w:r w:rsidRPr="006F0FA4">
        <w:rPr>
          <w:lang w:val="fr-FR"/>
        </w:rPr>
        <w:t>enfant)</w:t>
      </w:r>
    </w:p>
    <w:p w:rsidR="006F0FA4" w:rsidRPr="006F0FA4" w:rsidRDefault="006F0FA4" w:rsidP="006F0FA4">
      <w:pPr>
        <w:pStyle w:val="SingleTxtG"/>
        <w:rPr>
          <w:lang w:val="fr-FR"/>
        </w:rPr>
      </w:pPr>
      <w:r w:rsidRPr="006F0FA4">
        <w:rPr>
          <w:lang w:val="fr-FR"/>
        </w:rPr>
        <w:t>323.</w:t>
      </w:r>
      <w:r w:rsidRPr="006F0FA4">
        <w:rPr>
          <w:lang w:val="fr-FR"/>
        </w:rPr>
        <w:tab/>
        <w:t xml:space="preserve">Voir paragraphe 270 du deuxième rapport du Japon. </w:t>
      </w:r>
    </w:p>
    <w:p w:rsidR="006F0FA4" w:rsidRPr="006F0FA4" w:rsidRDefault="006F0FA4" w:rsidP="006F0FA4">
      <w:pPr>
        <w:pStyle w:val="SingleTxtG"/>
        <w:rPr>
          <w:lang w:val="fr-FR"/>
        </w:rPr>
      </w:pPr>
      <w:r w:rsidRPr="006F0FA4">
        <w:rPr>
          <w:lang w:val="fr-FR"/>
        </w:rPr>
        <w:t>324.</w:t>
      </w:r>
      <w:r w:rsidRPr="006F0FA4">
        <w:rPr>
          <w:lang w:val="fr-FR"/>
        </w:rPr>
        <w:tab/>
        <w:t xml:space="preserve">Conformément à la modification apportée à </w:t>
      </w:r>
      <w:smartTag w:uri="urn:schemas-microsoft-com:office:smarttags" w:element="PersonName">
        <w:smartTagPr>
          <w:attr w:name="ProductID" w:val="la Loi"/>
        </w:smartTagPr>
        <w:r w:rsidRPr="006F0FA4">
          <w:rPr>
            <w:lang w:val="fr-FR"/>
          </w:rPr>
          <w:t>la Loi</w:t>
        </w:r>
      </w:smartTag>
      <w:r w:rsidRPr="006F0FA4">
        <w:rPr>
          <w:lang w:val="fr-FR"/>
        </w:rPr>
        <w:t xml:space="preserve"> sur la protection de l</w:t>
      </w:r>
      <w:r w:rsidR="00277023">
        <w:rPr>
          <w:lang w:val="fr-FR"/>
        </w:rPr>
        <w:t>’</w:t>
      </w:r>
      <w:r w:rsidRPr="006F0FA4">
        <w:rPr>
          <w:lang w:val="fr-FR"/>
        </w:rPr>
        <w:t>enfance en 2004, des dispositions ont été établies à l</w:t>
      </w:r>
      <w:r w:rsidR="00277023">
        <w:rPr>
          <w:lang w:val="fr-FR"/>
        </w:rPr>
        <w:t>’</w:t>
      </w:r>
      <w:r w:rsidRPr="006F0FA4">
        <w:rPr>
          <w:lang w:val="fr-FR"/>
        </w:rPr>
        <w:t>intention des établissements de protection de l</w:t>
      </w:r>
      <w:r w:rsidR="00277023">
        <w:rPr>
          <w:lang w:val="fr-FR"/>
        </w:rPr>
        <w:t>’</w:t>
      </w:r>
      <w:r w:rsidRPr="006F0FA4">
        <w:rPr>
          <w:lang w:val="fr-FR"/>
        </w:rPr>
        <w:t>enfance concernant les services offerts aux enfants ayant quitté un tel établissement</w:t>
      </w:r>
      <w:r w:rsidR="00277023">
        <w:rPr>
          <w:lang w:val="fr-FR"/>
        </w:rPr>
        <w:t>;</w:t>
      </w:r>
      <w:r w:rsidRPr="006F0FA4">
        <w:rPr>
          <w:lang w:val="fr-FR"/>
        </w:rPr>
        <w:t xml:space="preserve"> elles permettent à un enfant de bénéficier d</w:t>
      </w:r>
      <w:r w:rsidR="00277023">
        <w:rPr>
          <w:lang w:val="fr-FR"/>
        </w:rPr>
        <w:t>’</w:t>
      </w:r>
      <w:r w:rsidRPr="006F0FA4">
        <w:rPr>
          <w:lang w:val="fr-FR"/>
        </w:rPr>
        <w:t>un soutien non seulement lorsqu</w:t>
      </w:r>
      <w:r w:rsidR="00277023">
        <w:rPr>
          <w:lang w:val="fr-FR"/>
        </w:rPr>
        <w:t>’</w:t>
      </w:r>
      <w:r w:rsidRPr="006F0FA4">
        <w:rPr>
          <w:lang w:val="fr-FR"/>
        </w:rPr>
        <w:t>il entre dans un établissement mais également après l</w:t>
      </w:r>
      <w:r w:rsidR="00277023">
        <w:rPr>
          <w:lang w:val="fr-FR"/>
        </w:rPr>
        <w:t>’</w:t>
      </w:r>
      <w:r w:rsidRPr="006F0FA4">
        <w:rPr>
          <w:lang w:val="fr-FR"/>
        </w:rPr>
        <w:t xml:space="preserve">avoir quitté. </w:t>
      </w:r>
    </w:p>
    <w:p w:rsidR="006F0FA4" w:rsidRPr="006F0FA4" w:rsidRDefault="006F0FA4" w:rsidP="006F0FA4">
      <w:pPr>
        <w:pStyle w:val="SingleTxtG"/>
        <w:rPr>
          <w:lang w:val="fr-FR"/>
        </w:rPr>
      </w:pPr>
      <w:r w:rsidRPr="006F0FA4">
        <w:rPr>
          <w:lang w:val="fr-FR"/>
        </w:rPr>
        <w:t xml:space="preserve">(Renforcement des mesures en milieu scolaire) </w:t>
      </w:r>
    </w:p>
    <w:p w:rsidR="006F0FA4" w:rsidRPr="006F0FA4" w:rsidRDefault="006F0FA4" w:rsidP="006F0FA4">
      <w:pPr>
        <w:pStyle w:val="SingleTxtG"/>
        <w:rPr>
          <w:lang w:val="fr-FR"/>
        </w:rPr>
      </w:pPr>
      <w:r w:rsidRPr="006F0FA4">
        <w:rPr>
          <w:lang w:val="fr-FR"/>
        </w:rPr>
        <w:t>325.</w:t>
      </w:r>
      <w:r w:rsidRPr="006F0FA4">
        <w:rPr>
          <w:lang w:val="fr-FR"/>
        </w:rPr>
        <w:tab/>
        <w:t>Le Ministère de l</w:t>
      </w:r>
      <w:r w:rsidR="00277023">
        <w:rPr>
          <w:lang w:val="fr-FR"/>
        </w:rPr>
        <w:t>’</w:t>
      </w:r>
      <w:r w:rsidRPr="006F0FA4">
        <w:rPr>
          <w:lang w:val="fr-FR"/>
        </w:rPr>
        <w:t>éducation, de la culture, des sports, des sciences et de la technologie s</w:t>
      </w:r>
      <w:r w:rsidR="00277023">
        <w:rPr>
          <w:lang w:val="fr-FR"/>
        </w:rPr>
        <w:t>’</w:t>
      </w:r>
      <w:r w:rsidRPr="006F0FA4">
        <w:rPr>
          <w:lang w:val="fr-FR"/>
        </w:rPr>
        <w:t>emploie à accroître les activités de prévention de la maltraitance faite aux enfants menées dans les écoles et les conseils d</w:t>
      </w:r>
      <w:r w:rsidR="00277023">
        <w:rPr>
          <w:lang w:val="fr-FR"/>
        </w:rPr>
        <w:t>’</w:t>
      </w:r>
      <w:r w:rsidRPr="006F0FA4">
        <w:rPr>
          <w:lang w:val="fr-FR"/>
        </w:rPr>
        <w:t>éducation à travers des actions comme la collecte et l</w:t>
      </w:r>
      <w:r w:rsidR="00277023">
        <w:rPr>
          <w:lang w:val="fr-FR"/>
        </w:rPr>
        <w:t>’</w:t>
      </w:r>
      <w:r w:rsidRPr="006F0FA4">
        <w:rPr>
          <w:lang w:val="fr-FR"/>
        </w:rPr>
        <w:t>analyse d</w:t>
      </w:r>
      <w:r w:rsidR="00277023">
        <w:rPr>
          <w:lang w:val="fr-FR"/>
        </w:rPr>
        <w:t>’</w:t>
      </w:r>
      <w:r w:rsidRPr="006F0FA4">
        <w:rPr>
          <w:lang w:val="fr-FR"/>
        </w:rPr>
        <w:t>informations sur les approches progressistes adoptées au Japon et à l</w:t>
      </w:r>
      <w:r w:rsidR="00277023">
        <w:rPr>
          <w:lang w:val="fr-FR"/>
        </w:rPr>
        <w:t>’</w:t>
      </w:r>
      <w:r w:rsidRPr="006F0FA4">
        <w:rPr>
          <w:lang w:val="fr-FR"/>
        </w:rPr>
        <w:t xml:space="preserve">étranger. </w:t>
      </w:r>
    </w:p>
    <w:p w:rsidR="006F0FA4" w:rsidRPr="006F0FA4" w:rsidRDefault="006F0FA4" w:rsidP="006F0FA4">
      <w:pPr>
        <w:pStyle w:val="SingleTxtG"/>
        <w:rPr>
          <w:lang w:val="fr-FR"/>
        </w:rPr>
      </w:pPr>
      <w:r w:rsidRPr="006F0FA4">
        <w:rPr>
          <w:lang w:val="fr-FR"/>
        </w:rPr>
        <w:t>(Mesures adoptées aux fins d</w:t>
      </w:r>
      <w:r w:rsidR="00277023">
        <w:rPr>
          <w:lang w:val="fr-FR"/>
        </w:rPr>
        <w:t>’</w:t>
      </w:r>
      <w:r w:rsidRPr="006F0FA4">
        <w:rPr>
          <w:lang w:val="fr-FR"/>
        </w:rPr>
        <w:t>identification et de rapport des cas de maltraitance)</w:t>
      </w:r>
    </w:p>
    <w:p w:rsidR="006F0FA4" w:rsidRPr="006F0FA4" w:rsidRDefault="006F0FA4" w:rsidP="006F0FA4">
      <w:pPr>
        <w:pStyle w:val="SingleTxtG"/>
        <w:rPr>
          <w:lang w:val="fr-FR"/>
        </w:rPr>
      </w:pPr>
      <w:r w:rsidRPr="006F0FA4">
        <w:rPr>
          <w:lang w:val="fr-FR"/>
        </w:rPr>
        <w:t>326.</w:t>
      </w:r>
      <w:r w:rsidRPr="006F0FA4">
        <w:rPr>
          <w:lang w:val="fr-FR"/>
        </w:rPr>
        <w:tab/>
        <w:t xml:space="preserve">Voir paragraphe 271 du deuxième rapport du Japon. </w:t>
      </w:r>
    </w:p>
    <w:p w:rsidR="006F0FA4" w:rsidRPr="006F0FA4" w:rsidRDefault="006F0FA4" w:rsidP="006F0FA4">
      <w:pPr>
        <w:pStyle w:val="SingleTxtG"/>
        <w:rPr>
          <w:lang w:val="fr-FR"/>
        </w:rPr>
      </w:pPr>
      <w:r w:rsidRPr="006F0FA4">
        <w:rPr>
          <w:lang w:val="fr-FR"/>
        </w:rPr>
        <w:t>327.</w:t>
      </w:r>
      <w:r w:rsidRPr="006F0FA4">
        <w:rPr>
          <w:lang w:val="fr-FR"/>
        </w:rPr>
        <w:tab/>
        <w:t>À la lumière de l</w:t>
      </w:r>
      <w:r w:rsidR="00277023">
        <w:rPr>
          <w:lang w:val="fr-FR"/>
        </w:rPr>
        <w:t>’</w:t>
      </w:r>
      <w:r w:rsidRPr="006F0FA4">
        <w:rPr>
          <w:lang w:val="fr-FR"/>
        </w:rPr>
        <w:t xml:space="preserve">objet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violence faite aux enfants, la police nationale a édité en mars 2002</w:t>
      </w:r>
      <w:r w:rsidR="00EA1115">
        <w:rPr>
          <w:lang w:val="fr-FR"/>
        </w:rPr>
        <w:t xml:space="preserve"> </w:t>
      </w:r>
      <w:r w:rsidRPr="006F0FA4">
        <w:rPr>
          <w:lang w:val="fr-FR"/>
        </w:rPr>
        <w:t xml:space="preserve">un </w:t>
      </w:r>
      <w:r w:rsidR="008E49D4">
        <w:rPr>
          <w:lang w:val="fr-FR"/>
        </w:rPr>
        <w:t>“</w:t>
      </w:r>
      <w:r w:rsidRPr="006F0FA4">
        <w:rPr>
          <w:lang w:val="fr-FR"/>
        </w:rPr>
        <w:t>manuel pour la prévention de la maltraitance</w:t>
      </w:r>
      <w:r w:rsidR="008E49D4">
        <w:rPr>
          <w:lang w:val="fr-FR"/>
        </w:rPr>
        <w:t>”</w:t>
      </w:r>
      <w:r w:rsidRPr="006F0FA4">
        <w:rPr>
          <w:lang w:val="fr-FR"/>
        </w:rPr>
        <w:t xml:space="preserve"> et l</w:t>
      </w:r>
      <w:r w:rsidR="00277023">
        <w:rPr>
          <w:lang w:val="fr-FR"/>
        </w:rPr>
        <w:t>’</w:t>
      </w:r>
      <w:r w:rsidRPr="006F0FA4">
        <w:rPr>
          <w:lang w:val="fr-FR"/>
        </w:rPr>
        <w:t>a distribué à la police préfectorale. L</w:t>
      </w:r>
      <w:r w:rsidR="00277023">
        <w:rPr>
          <w:lang w:val="fr-FR"/>
        </w:rPr>
        <w:t>’</w:t>
      </w:r>
      <w:r w:rsidRPr="006F0FA4">
        <w:rPr>
          <w:lang w:val="fr-FR"/>
        </w:rPr>
        <w:t>ensemble de l</w:t>
      </w:r>
      <w:r w:rsidR="00277023">
        <w:rPr>
          <w:lang w:val="fr-FR"/>
        </w:rPr>
        <w:t>’</w:t>
      </w:r>
      <w:r w:rsidRPr="006F0FA4">
        <w:rPr>
          <w:lang w:val="fr-FR"/>
        </w:rPr>
        <w:t xml:space="preserve">organisation travaille sur des mesures approfondies en vue de la détection précoce des cas de maltraitance faite aux enfants. En outre, en avril 2004,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violence faite aux enfants a été partiellement modifiée, et il est désormais stipulé que les centres de guidance infantile sont tenus de demander l</w:t>
      </w:r>
      <w:r w:rsidR="00277023">
        <w:rPr>
          <w:lang w:val="fr-FR"/>
        </w:rPr>
        <w:t>’</w:t>
      </w:r>
      <w:r w:rsidRPr="006F0FA4">
        <w:rPr>
          <w:lang w:val="fr-FR"/>
        </w:rPr>
        <w:t>appui du chef de la police si besoin est, afin d</w:t>
      </w:r>
      <w:r w:rsidR="00277023">
        <w:rPr>
          <w:lang w:val="fr-FR"/>
        </w:rPr>
        <w:t>’</w:t>
      </w:r>
      <w:r w:rsidRPr="006F0FA4">
        <w:rPr>
          <w:lang w:val="fr-FR"/>
        </w:rPr>
        <w:t>utiliser tous les moyens à disposition</w:t>
      </w:r>
      <w:r w:rsidR="00EA1115">
        <w:rPr>
          <w:lang w:val="fr-FR"/>
        </w:rPr>
        <w:t xml:space="preserve"> </w:t>
      </w:r>
      <w:r w:rsidRPr="006F0FA4">
        <w:rPr>
          <w:lang w:val="fr-FR"/>
        </w:rPr>
        <w:t>pour que les directeurs</w:t>
      </w:r>
      <w:r w:rsidR="00EA1115">
        <w:rPr>
          <w:lang w:val="fr-FR"/>
        </w:rPr>
        <w:t xml:space="preserve"> </w:t>
      </w:r>
      <w:r w:rsidRPr="006F0FA4">
        <w:rPr>
          <w:lang w:val="fr-FR"/>
        </w:rPr>
        <w:t>de ces centres respectent et assurent la sécurité des enfants. Partant, les chefs de police qui reçoivent ces requêtes s</w:t>
      </w:r>
      <w:r w:rsidR="00277023">
        <w:rPr>
          <w:lang w:val="fr-FR"/>
        </w:rPr>
        <w:t>’</w:t>
      </w:r>
      <w:r w:rsidRPr="006F0FA4">
        <w:rPr>
          <w:lang w:val="fr-FR"/>
        </w:rPr>
        <w:t>emploient à offrir l</w:t>
      </w:r>
      <w:r w:rsidR="00277023">
        <w:rPr>
          <w:lang w:val="fr-FR"/>
        </w:rPr>
        <w:t>’</w:t>
      </w:r>
      <w:r w:rsidRPr="006F0FA4">
        <w:rPr>
          <w:lang w:val="fr-FR"/>
        </w:rPr>
        <w:t>appui approprié, comme par exemple prendre les dispositions requises pour contribuer rapidement aux actions visant à prévenir les actes de maltraitance et à assurer la protection des enfants.</w:t>
      </w:r>
    </w:p>
    <w:p w:rsidR="006F0FA4" w:rsidRPr="006F0FA4" w:rsidRDefault="006F0FA4" w:rsidP="006F0FA4">
      <w:pPr>
        <w:pStyle w:val="SingleTxtG"/>
        <w:rPr>
          <w:lang w:val="fr-FR"/>
        </w:rPr>
      </w:pPr>
      <w:r w:rsidRPr="006F0FA4">
        <w:rPr>
          <w:lang w:val="fr-FR"/>
        </w:rPr>
        <w:t>(Obligation de signaler les cas aux spécialistes de la protection de l</w:t>
      </w:r>
      <w:r w:rsidR="00277023">
        <w:rPr>
          <w:lang w:val="fr-FR"/>
        </w:rPr>
        <w:t>’</w:t>
      </w:r>
      <w:r w:rsidRPr="006F0FA4">
        <w:rPr>
          <w:lang w:val="fr-FR"/>
        </w:rPr>
        <w:t>enfance)</w:t>
      </w:r>
    </w:p>
    <w:p w:rsidR="006F0FA4" w:rsidRPr="006F0FA4" w:rsidRDefault="006F0FA4" w:rsidP="006F0FA4">
      <w:pPr>
        <w:pStyle w:val="SingleTxtG"/>
        <w:rPr>
          <w:lang w:val="fr-FR"/>
        </w:rPr>
      </w:pPr>
      <w:r w:rsidRPr="006F0FA4">
        <w:rPr>
          <w:lang w:val="fr-FR"/>
        </w:rPr>
        <w:t>328.</w:t>
      </w:r>
      <w:r w:rsidRPr="006F0FA4">
        <w:rPr>
          <w:lang w:val="fr-FR"/>
        </w:rPr>
        <w:tab/>
        <w:t>L</w:t>
      </w:r>
      <w:r w:rsidR="00277023">
        <w:rPr>
          <w:lang w:val="fr-FR"/>
        </w:rPr>
        <w:t>’</w:t>
      </w:r>
      <w:r w:rsidRPr="006F0FA4">
        <w:rPr>
          <w:lang w:val="fr-FR"/>
        </w:rPr>
        <w:t xml:space="preserve">Article 25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protection de l</w:t>
      </w:r>
      <w:r w:rsidR="00277023">
        <w:rPr>
          <w:lang w:val="fr-FR"/>
        </w:rPr>
        <w:t>’</w:t>
      </w:r>
      <w:r w:rsidRPr="006F0FA4">
        <w:rPr>
          <w:lang w:val="fr-FR"/>
        </w:rPr>
        <w:t>enfance et l</w:t>
      </w:r>
      <w:r w:rsidR="00277023">
        <w:rPr>
          <w:lang w:val="fr-FR"/>
        </w:rPr>
        <w:t>’</w:t>
      </w:r>
      <w:r w:rsidRPr="006F0FA4">
        <w:rPr>
          <w:lang w:val="fr-FR"/>
        </w:rPr>
        <w:t xml:space="preserve">Article 6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violence faite aux enfants disposent que toute personne qui identifie un enfant ayant pu être victime de maltraitance doit le signaler à un centre de guidance infantile. L</w:t>
      </w:r>
      <w:r w:rsidR="00277023">
        <w:rPr>
          <w:lang w:val="fr-FR"/>
        </w:rPr>
        <w:t>’</w:t>
      </w:r>
      <w:r w:rsidRPr="006F0FA4">
        <w:rPr>
          <w:lang w:val="fr-FR"/>
        </w:rPr>
        <w:t xml:space="preserve">article 5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violence faite aux enfants stipule que les personnes dont la profession est en rapport avec la protection de l</w:t>
      </w:r>
      <w:r w:rsidR="00277023">
        <w:rPr>
          <w:lang w:val="fr-FR"/>
        </w:rPr>
        <w:t>’</w:t>
      </w:r>
      <w:r w:rsidRPr="006F0FA4">
        <w:rPr>
          <w:lang w:val="fr-FR"/>
        </w:rPr>
        <w:t>enfance, comme les enseignants, le personnel des établissements de la protection de l</w:t>
      </w:r>
      <w:r w:rsidR="00277023">
        <w:rPr>
          <w:lang w:val="fr-FR"/>
        </w:rPr>
        <w:t>’</w:t>
      </w:r>
      <w:r w:rsidRPr="006F0FA4">
        <w:rPr>
          <w:lang w:val="fr-FR"/>
        </w:rPr>
        <w:t>enfance, les médecins et les infirmières de la santé publique, doivent s</w:t>
      </w:r>
      <w:r w:rsidR="00277023">
        <w:rPr>
          <w:lang w:val="fr-FR"/>
        </w:rPr>
        <w:t>’</w:t>
      </w:r>
      <w:r w:rsidRPr="006F0FA4">
        <w:rPr>
          <w:lang w:val="fr-FR"/>
        </w:rPr>
        <w:t>efforcer de détecter les mauvais traitements à un stade précoce. Parallèlement, s</w:t>
      </w:r>
      <w:r w:rsidR="00277023">
        <w:rPr>
          <w:lang w:val="fr-FR"/>
        </w:rPr>
        <w:t>’</w:t>
      </w:r>
      <w:r w:rsidRPr="006F0FA4">
        <w:rPr>
          <w:lang w:val="fr-FR"/>
        </w:rPr>
        <w:t>agissant de l</w:t>
      </w:r>
      <w:r w:rsidR="00277023">
        <w:rPr>
          <w:lang w:val="fr-FR"/>
        </w:rPr>
        <w:t>’</w:t>
      </w:r>
      <w:r w:rsidRPr="006F0FA4">
        <w:rPr>
          <w:lang w:val="fr-FR"/>
        </w:rPr>
        <w:t xml:space="preserve">article 6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violence faite aux enfants, la modification partielle de </w:t>
      </w:r>
      <w:smartTag w:uri="urn:schemas-microsoft-com:office:smarttags" w:element="metricconverter">
        <w:smartTagPr>
          <w:attr w:name="ProductID" w:val="2004 a"/>
        </w:smartTagPr>
        <w:r w:rsidRPr="006F0FA4">
          <w:rPr>
            <w:lang w:val="fr-FR"/>
          </w:rPr>
          <w:t>2004 a</w:t>
        </w:r>
      </w:smartTag>
      <w:r w:rsidRPr="006F0FA4">
        <w:rPr>
          <w:lang w:val="fr-FR"/>
        </w:rPr>
        <w:t xml:space="preserve"> été la suivante</w:t>
      </w:r>
      <w:r w:rsidR="00277023">
        <w:rPr>
          <w:lang w:val="fr-FR"/>
        </w:rPr>
        <w:t>:</w:t>
      </w:r>
      <w:r w:rsidRPr="006F0FA4">
        <w:rPr>
          <w:lang w:val="fr-FR"/>
        </w:rPr>
        <w:t xml:space="preserve"> </w:t>
      </w:r>
      <w:r w:rsidR="008E49D4">
        <w:rPr>
          <w:lang w:val="fr-FR"/>
        </w:rPr>
        <w:t>“</w:t>
      </w:r>
      <w:r w:rsidRPr="006F0FA4">
        <w:rPr>
          <w:lang w:val="fr-FR"/>
        </w:rPr>
        <w:t>un enfant qui a été maltraité</w:t>
      </w:r>
      <w:r w:rsidR="008E49D4">
        <w:rPr>
          <w:lang w:val="fr-FR"/>
        </w:rPr>
        <w:t>”</w:t>
      </w:r>
      <w:r w:rsidRPr="006F0FA4">
        <w:rPr>
          <w:lang w:val="fr-FR"/>
        </w:rPr>
        <w:t xml:space="preserve"> est devenu </w:t>
      </w:r>
      <w:r w:rsidR="008E49D4">
        <w:rPr>
          <w:lang w:val="fr-FR"/>
        </w:rPr>
        <w:t>“</w:t>
      </w:r>
      <w:r w:rsidRPr="006F0FA4">
        <w:rPr>
          <w:lang w:val="fr-FR"/>
        </w:rPr>
        <w:t>un enfant dont on pense qu</w:t>
      </w:r>
      <w:r w:rsidR="00277023">
        <w:rPr>
          <w:lang w:val="fr-FR"/>
        </w:rPr>
        <w:t>’</w:t>
      </w:r>
      <w:r w:rsidRPr="006F0FA4">
        <w:rPr>
          <w:lang w:val="fr-FR"/>
        </w:rPr>
        <w:t>il a été maltraité</w:t>
      </w:r>
      <w:r w:rsidR="008E49D4">
        <w:rPr>
          <w:lang w:val="fr-FR"/>
        </w:rPr>
        <w:t>”</w:t>
      </w:r>
      <w:r w:rsidRPr="006F0FA4">
        <w:rPr>
          <w:lang w:val="fr-FR"/>
        </w:rPr>
        <w:t>, ce qui étend l</w:t>
      </w:r>
      <w:r w:rsidR="00277023">
        <w:rPr>
          <w:lang w:val="fr-FR"/>
        </w:rPr>
        <w:t>’</w:t>
      </w:r>
      <w:r w:rsidRPr="006F0FA4">
        <w:rPr>
          <w:lang w:val="fr-FR"/>
        </w:rPr>
        <w:t>obligation de signalement.</w:t>
      </w:r>
    </w:p>
    <w:p w:rsidR="006F0FA4" w:rsidRPr="006F0FA4" w:rsidRDefault="006F0FA4" w:rsidP="006F0FA4">
      <w:pPr>
        <w:pStyle w:val="SingleTxtG"/>
        <w:rPr>
          <w:lang w:val="fr-FR"/>
        </w:rPr>
      </w:pPr>
      <w:r w:rsidRPr="006F0FA4">
        <w:rPr>
          <w:lang w:val="fr-FR"/>
        </w:rPr>
        <w:t>(Permanence téléphonique confidentielle et services de conseil et de soutien aux enfants victimes d</w:t>
      </w:r>
      <w:r w:rsidR="00277023">
        <w:rPr>
          <w:lang w:val="fr-FR"/>
        </w:rPr>
        <w:t>’</w:t>
      </w:r>
      <w:r w:rsidRPr="006F0FA4">
        <w:rPr>
          <w:lang w:val="fr-FR"/>
        </w:rPr>
        <w:t xml:space="preserve">actes de violence et de maltraitance) </w:t>
      </w:r>
    </w:p>
    <w:p w:rsidR="006F0FA4" w:rsidRPr="006F0FA4" w:rsidRDefault="006F0FA4" w:rsidP="006F0FA4">
      <w:pPr>
        <w:pStyle w:val="SingleTxtG"/>
        <w:rPr>
          <w:lang w:val="fr-FR"/>
        </w:rPr>
      </w:pPr>
      <w:r w:rsidRPr="006F0FA4">
        <w:rPr>
          <w:lang w:val="fr-FR"/>
        </w:rPr>
        <w:t>329.</w:t>
      </w:r>
      <w:r w:rsidRPr="006F0FA4">
        <w:rPr>
          <w:lang w:val="fr-FR"/>
        </w:rPr>
        <w:tab/>
        <w:t>Les services chargés de l</w:t>
      </w:r>
      <w:r w:rsidR="00277023">
        <w:rPr>
          <w:lang w:val="fr-FR"/>
        </w:rPr>
        <w:t>’</w:t>
      </w:r>
      <w:r w:rsidRPr="006F0FA4">
        <w:rPr>
          <w:lang w:val="fr-FR"/>
        </w:rPr>
        <w:t>application de la loi s</w:t>
      </w:r>
      <w:r w:rsidR="00277023">
        <w:rPr>
          <w:lang w:val="fr-FR"/>
        </w:rPr>
        <w:t>’</w:t>
      </w:r>
      <w:r w:rsidRPr="006F0FA4">
        <w:rPr>
          <w:lang w:val="fr-FR"/>
        </w:rPr>
        <w:t>emploient à créer un environnement dans lequel les enfants n</w:t>
      </w:r>
      <w:r w:rsidR="00277023">
        <w:rPr>
          <w:lang w:val="fr-FR"/>
        </w:rPr>
        <w:t>’</w:t>
      </w:r>
      <w:r w:rsidRPr="006F0FA4">
        <w:rPr>
          <w:lang w:val="fr-FR"/>
        </w:rPr>
        <w:t>hésitent pas à demander de l</w:t>
      </w:r>
      <w:r w:rsidR="00277023">
        <w:rPr>
          <w:lang w:val="fr-FR"/>
        </w:rPr>
        <w:t>’</w:t>
      </w:r>
      <w:r w:rsidRPr="006F0FA4">
        <w:rPr>
          <w:lang w:val="fr-FR"/>
        </w:rPr>
        <w:t xml:space="preserve">aide, en publiant et distribuant des prospectus comportant des informations sur des numéros de téléphone, des services de soutien pour les mineurs et sur les </w:t>
      </w:r>
      <w:r w:rsidR="008E49D4">
        <w:rPr>
          <w:lang w:val="fr-FR"/>
        </w:rPr>
        <w:t>“</w:t>
      </w:r>
      <w:r w:rsidRPr="006F0FA4">
        <w:rPr>
          <w:lang w:val="fr-FR"/>
        </w:rPr>
        <w:t>bornes téléphoniques pour les jeunes</w:t>
      </w:r>
      <w:r w:rsidR="008E49D4">
        <w:rPr>
          <w:lang w:val="fr-FR"/>
        </w:rPr>
        <w:t>”</w:t>
      </w:r>
      <w:r w:rsidRPr="006F0FA4">
        <w:rPr>
          <w:lang w:val="fr-FR"/>
        </w:rPr>
        <w:t>.</w:t>
      </w:r>
    </w:p>
    <w:p w:rsidR="006F0FA4" w:rsidRPr="006F0FA4" w:rsidRDefault="000205DE" w:rsidP="006F0FA4">
      <w:pPr>
        <w:pStyle w:val="SingleTxtG"/>
        <w:rPr>
          <w:lang w:val="fr-FR"/>
        </w:rPr>
      </w:pPr>
      <w:r>
        <w:rPr>
          <w:lang w:val="fr-FR"/>
        </w:rPr>
        <w:t>330.</w:t>
      </w:r>
      <w:r>
        <w:rPr>
          <w:lang w:val="fr-FR"/>
        </w:rPr>
        <w:tab/>
      </w:r>
      <w:r w:rsidR="006F0FA4" w:rsidRPr="006F0FA4">
        <w:rPr>
          <w:lang w:val="fr-FR"/>
        </w:rPr>
        <w:t>Le Ministère de la justice a mis en place un numéro d</w:t>
      </w:r>
      <w:r w:rsidR="00277023">
        <w:rPr>
          <w:lang w:val="fr-FR"/>
        </w:rPr>
        <w:t>’</w:t>
      </w:r>
      <w:r w:rsidR="006F0FA4" w:rsidRPr="006F0FA4">
        <w:rPr>
          <w:lang w:val="fr-FR"/>
        </w:rPr>
        <w:t>urgence national pour les victimes dans les bureaux des procureurs de district</w:t>
      </w:r>
      <w:r w:rsidR="00277023">
        <w:rPr>
          <w:lang w:val="fr-FR"/>
        </w:rPr>
        <w:t>;</w:t>
      </w:r>
      <w:r w:rsidR="006F0FA4" w:rsidRPr="006F0FA4">
        <w:rPr>
          <w:lang w:val="fr-FR"/>
        </w:rPr>
        <w:t xml:space="preserve"> il s</w:t>
      </w:r>
      <w:r w:rsidR="00277023">
        <w:rPr>
          <w:lang w:val="fr-FR"/>
        </w:rPr>
        <w:t>’</w:t>
      </w:r>
      <w:r w:rsidR="006F0FA4" w:rsidRPr="006F0FA4">
        <w:rPr>
          <w:lang w:val="fr-FR"/>
        </w:rPr>
        <w:t>agit d</w:t>
      </w:r>
      <w:r w:rsidR="00277023">
        <w:rPr>
          <w:lang w:val="fr-FR"/>
        </w:rPr>
        <w:t>’</w:t>
      </w:r>
      <w:r w:rsidR="006F0FA4" w:rsidRPr="006F0FA4">
        <w:rPr>
          <w:lang w:val="fr-FR"/>
        </w:rPr>
        <w:t>une ligne téléphonique réservée aux consultations et aux questions des victimes. Les organes chargés de la défense des droits de l</w:t>
      </w:r>
      <w:r w:rsidR="00277023">
        <w:rPr>
          <w:lang w:val="fr-FR"/>
        </w:rPr>
        <w:t>’</w:t>
      </w:r>
      <w:r w:rsidR="006F0FA4" w:rsidRPr="006F0FA4">
        <w:rPr>
          <w:lang w:val="fr-FR"/>
        </w:rPr>
        <w:t>homme au Ministère</w:t>
      </w:r>
      <w:r w:rsidR="00EA1115">
        <w:rPr>
          <w:lang w:val="fr-FR"/>
        </w:rPr>
        <w:t xml:space="preserve"> </w:t>
      </w:r>
      <w:r w:rsidR="006F0FA4" w:rsidRPr="006F0FA4">
        <w:rPr>
          <w:lang w:val="fr-FR"/>
        </w:rPr>
        <w:t>de la justice ont également mis en place une permanence téléphonique sur les droits des enfants et répondent aux questions des enfants afin de faciliter la détection précoce et la résolution des violations des droits des enfants.</w:t>
      </w:r>
    </w:p>
    <w:p w:rsidR="006F0FA4" w:rsidRPr="006F0FA4" w:rsidRDefault="006F0FA4" w:rsidP="006F0FA4">
      <w:pPr>
        <w:pStyle w:val="SingleTxtG"/>
        <w:rPr>
          <w:lang w:val="fr-FR"/>
        </w:rPr>
      </w:pPr>
      <w:r w:rsidRPr="006F0FA4">
        <w:rPr>
          <w:lang w:val="fr-FR"/>
        </w:rPr>
        <w:t>331.</w:t>
      </w:r>
      <w:r w:rsidRPr="006F0FA4">
        <w:rPr>
          <w:lang w:val="fr-FR"/>
        </w:rPr>
        <w:tab/>
        <w:t>S</w:t>
      </w:r>
      <w:r w:rsidR="00277023">
        <w:rPr>
          <w:lang w:val="fr-FR"/>
        </w:rPr>
        <w:t>’</w:t>
      </w:r>
      <w:r w:rsidRPr="006F0FA4">
        <w:rPr>
          <w:lang w:val="fr-FR"/>
        </w:rPr>
        <w:t>agissant des centres de guidance infantile établis par les préfectures et certaines villes, chaque centre doté de capacités d</w:t>
      </w:r>
      <w:r w:rsidR="00277023">
        <w:rPr>
          <w:lang w:val="fr-FR"/>
        </w:rPr>
        <w:t>’</w:t>
      </w:r>
      <w:r w:rsidRPr="006F0FA4">
        <w:rPr>
          <w:lang w:val="fr-FR"/>
        </w:rPr>
        <w:t>hébergement temporaire est préparé à donner des conseils dans les situations d</w:t>
      </w:r>
      <w:r w:rsidR="00277023">
        <w:rPr>
          <w:lang w:val="fr-FR"/>
        </w:rPr>
        <w:t>’</w:t>
      </w:r>
      <w:r w:rsidRPr="006F0FA4">
        <w:rPr>
          <w:lang w:val="fr-FR"/>
        </w:rPr>
        <w:t>urgence se présentant la nuit ou pendant les vacances, et certains de ces centres ont un dispositif de consultation téléphonique ouvert 24 heures sur 24, afin d</w:t>
      </w:r>
      <w:r w:rsidR="00277023">
        <w:rPr>
          <w:lang w:val="fr-FR"/>
        </w:rPr>
        <w:t>’</w:t>
      </w:r>
      <w:r w:rsidRPr="006F0FA4">
        <w:rPr>
          <w:lang w:val="fr-FR"/>
        </w:rPr>
        <w:t>assurer des services adaptés aux demandes de consultation des enfants. Les centres d</w:t>
      </w:r>
      <w:r w:rsidR="00277023">
        <w:rPr>
          <w:lang w:val="fr-FR"/>
        </w:rPr>
        <w:t>’</w:t>
      </w:r>
      <w:r w:rsidRPr="006F0FA4">
        <w:rPr>
          <w:lang w:val="fr-FR"/>
        </w:rPr>
        <w:t>appui aux enfants et aux familles proches d</w:t>
      </w:r>
      <w:r w:rsidR="00277023">
        <w:rPr>
          <w:lang w:val="fr-FR"/>
        </w:rPr>
        <w:t>’</w:t>
      </w:r>
      <w:r w:rsidRPr="006F0FA4">
        <w:rPr>
          <w:lang w:val="fr-FR"/>
        </w:rPr>
        <w:t>établissements de protection de l</w:t>
      </w:r>
      <w:r w:rsidR="00277023">
        <w:rPr>
          <w:lang w:val="fr-FR"/>
        </w:rPr>
        <w:t>’</w:t>
      </w:r>
      <w:r w:rsidRPr="006F0FA4">
        <w:rPr>
          <w:lang w:val="fr-FR"/>
        </w:rPr>
        <w:t>enfance, comme les foyers pour enfants, offrent également des services de consultation 24 heures sur 24 et 365 jours par an.</w:t>
      </w:r>
    </w:p>
    <w:p w:rsidR="006F0FA4" w:rsidRPr="006F0FA4" w:rsidRDefault="006F0FA4" w:rsidP="006F0FA4">
      <w:pPr>
        <w:pStyle w:val="SingleTxtG"/>
        <w:rPr>
          <w:lang w:val="fr-FR"/>
        </w:rPr>
      </w:pPr>
      <w:r w:rsidRPr="006F0FA4">
        <w:rPr>
          <w:lang w:val="fr-FR"/>
        </w:rPr>
        <w:t>332.</w:t>
      </w:r>
      <w:r w:rsidRPr="006F0FA4">
        <w:rPr>
          <w:lang w:val="fr-FR"/>
        </w:rPr>
        <w:tab/>
        <w:t xml:space="preserve">Voir paragraphes 443-445 du deuxième rapport du Japon. </w:t>
      </w:r>
    </w:p>
    <w:p w:rsidR="006F0FA4" w:rsidRPr="006F0FA4" w:rsidRDefault="006F0FA4" w:rsidP="006F0FA4">
      <w:pPr>
        <w:pStyle w:val="SingleTxtG"/>
        <w:rPr>
          <w:lang w:val="fr-FR"/>
        </w:rPr>
      </w:pPr>
      <w:r w:rsidRPr="006F0FA4">
        <w:rPr>
          <w:lang w:val="fr-FR"/>
        </w:rPr>
        <w:t>333.</w:t>
      </w:r>
      <w:r w:rsidRPr="006F0FA4">
        <w:rPr>
          <w:lang w:val="fr-FR"/>
        </w:rPr>
        <w:tab/>
        <w:t>En ce qui concerne les services chargés de l</w:t>
      </w:r>
      <w:r w:rsidR="00277023">
        <w:rPr>
          <w:lang w:val="fr-FR"/>
        </w:rPr>
        <w:t>’</w:t>
      </w:r>
      <w:r w:rsidRPr="006F0FA4">
        <w:rPr>
          <w:lang w:val="fr-FR"/>
        </w:rPr>
        <w:t xml:space="preserve">application de </w:t>
      </w:r>
      <w:smartTag w:uri="urn:schemas-microsoft-com:office:smarttags" w:element="PersonName">
        <w:smartTagPr>
          <w:attr w:name="ProductID" w:val="la Loi"/>
        </w:smartTagPr>
        <w:r w:rsidRPr="006F0FA4">
          <w:rPr>
            <w:lang w:val="fr-FR"/>
          </w:rPr>
          <w:t>la Loi</w:t>
        </w:r>
      </w:smartTag>
      <w:r w:rsidRPr="006F0FA4">
        <w:rPr>
          <w:lang w:val="fr-FR"/>
        </w:rPr>
        <w:t>, des centres d</w:t>
      </w:r>
      <w:r w:rsidR="00277023">
        <w:rPr>
          <w:lang w:val="fr-FR"/>
        </w:rPr>
        <w:t>’</w:t>
      </w:r>
      <w:r w:rsidRPr="006F0FA4">
        <w:rPr>
          <w:lang w:val="fr-FR"/>
        </w:rPr>
        <w:t>aide aux mineurs établis dans tous les postes de police préfectorale et les sections pour mineurs des services de police servent de contact pour les demandes de consultation émanant d</w:t>
      </w:r>
      <w:r w:rsidR="00277023">
        <w:rPr>
          <w:lang w:val="fr-FR"/>
        </w:rPr>
        <w:t>’</w:t>
      </w:r>
      <w:r w:rsidRPr="006F0FA4">
        <w:rPr>
          <w:lang w:val="fr-FR"/>
        </w:rPr>
        <w:t>enfants ou d</w:t>
      </w:r>
      <w:r w:rsidR="00277023">
        <w:rPr>
          <w:lang w:val="fr-FR"/>
        </w:rPr>
        <w:t>’</w:t>
      </w:r>
      <w:r w:rsidRPr="006F0FA4">
        <w:rPr>
          <w:lang w:val="fr-FR"/>
        </w:rPr>
        <w:t>un représentant légal au sujet de préoccupations ou problèmes divers. Les consultants sont des spécialistes et des conseillers d</w:t>
      </w:r>
      <w:r w:rsidR="00277023">
        <w:rPr>
          <w:lang w:val="fr-FR"/>
        </w:rPr>
        <w:t>’</w:t>
      </w:r>
      <w:r w:rsidRPr="006F0FA4">
        <w:rPr>
          <w:lang w:val="fr-FR"/>
        </w:rPr>
        <w:t>orientation des mineurs qui ont une connaissance approfondie des mineurs et des compétences en matière de prise en charge</w:t>
      </w:r>
      <w:r w:rsidR="00277023">
        <w:rPr>
          <w:lang w:val="fr-FR"/>
        </w:rPr>
        <w:t>;</w:t>
      </w:r>
      <w:r w:rsidRPr="006F0FA4">
        <w:rPr>
          <w:lang w:val="fr-FR"/>
        </w:rPr>
        <w:t xml:space="preserve"> ils offrent les conseils et l</w:t>
      </w:r>
      <w:r w:rsidR="00277023">
        <w:rPr>
          <w:lang w:val="fr-FR"/>
        </w:rPr>
        <w:t>’</w:t>
      </w:r>
      <w:r w:rsidRPr="006F0FA4">
        <w:rPr>
          <w:lang w:val="fr-FR"/>
        </w:rPr>
        <w:t>orientation requis. En outre, dans les services chargés de l</w:t>
      </w:r>
      <w:r w:rsidR="00277023">
        <w:rPr>
          <w:lang w:val="fr-FR"/>
        </w:rPr>
        <w:t>’</w:t>
      </w:r>
      <w:r w:rsidRPr="006F0FA4">
        <w:rPr>
          <w:lang w:val="fr-FR"/>
        </w:rPr>
        <w:t>application de la loi, des spécialistes et des conseiller d</w:t>
      </w:r>
      <w:r w:rsidR="00277023">
        <w:rPr>
          <w:lang w:val="fr-FR"/>
        </w:rPr>
        <w:t>’</w:t>
      </w:r>
      <w:r w:rsidRPr="006F0FA4">
        <w:rPr>
          <w:lang w:val="fr-FR"/>
        </w:rPr>
        <w:t>orientation des mineurs travaillent, essentiellement dans les centres d</w:t>
      </w:r>
      <w:r w:rsidR="00277023">
        <w:rPr>
          <w:lang w:val="fr-FR"/>
        </w:rPr>
        <w:t>’</w:t>
      </w:r>
      <w:r w:rsidRPr="006F0FA4">
        <w:rPr>
          <w:lang w:val="fr-FR"/>
        </w:rPr>
        <w:t>aide aux mineurs, en collaboration avec des spécialistes externes et des volontaires privés si besoin est, dans l</w:t>
      </w:r>
      <w:r w:rsidR="00277023">
        <w:rPr>
          <w:lang w:val="fr-FR"/>
        </w:rPr>
        <w:t>’</w:t>
      </w:r>
      <w:r w:rsidRPr="006F0FA4">
        <w:rPr>
          <w:lang w:val="fr-FR"/>
        </w:rPr>
        <w:t>objectif de permettre aux victimes de se rétablir aussi rapidement que possible du préjudice psychologique subi à la suite des mauvais traitements. Ils offrent un soutien individualisé ponctuel, fondé sur la personnalité propre de chaque enfant, ou un soutien continu, notamment en modifiant l</w:t>
      </w:r>
      <w:r w:rsidR="00277023">
        <w:rPr>
          <w:lang w:val="fr-FR"/>
        </w:rPr>
        <w:t>’</w:t>
      </w:r>
      <w:r w:rsidRPr="006F0FA4">
        <w:rPr>
          <w:lang w:val="fr-FR"/>
        </w:rPr>
        <w:t>environnement de l</w:t>
      </w:r>
      <w:r w:rsidR="00277023">
        <w:rPr>
          <w:lang w:val="fr-FR"/>
        </w:rPr>
        <w:t>’</w:t>
      </w:r>
      <w:r w:rsidRPr="006F0FA4">
        <w:rPr>
          <w:lang w:val="fr-FR"/>
        </w:rPr>
        <w:t>enfant en collaboration avec son/ses représentant(s) légal(aux). Depuis avril 2005, on compte 190 centres d</w:t>
      </w:r>
      <w:r w:rsidR="00277023">
        <w:rPr>
          <w:lang w:val="fr-FR"/>
        </w:rPr>
        <w:t>’</w:t>
      </w:r>
      <w:r w:rsidRPr="006F0FA4">
        <w:rPr>
          <w:lang w:val="fr-FR"/>
        </w:rPr>
        <w:t>aide aux mineurs sur l</w:t>
      </w:r>
      <w:r w:rsidR="00277023">
        <w:rPr>
          <w:lang w:val="fr-FR"/>
        </w:rPr>
        <w:t>’</w:t>
      </w:r>
      <w:r w:rsidRPr="006F0FA4">
        <w:rPr>
          <w:lang w:val="fr-FR"/>
        </w:rPr>
        <w:t>ensemble du territoire, dont 66 sont installés dans d</w:t>
      </w:r>
      <w:r w:rsidR="00277023">
        <w:rPr>
          <w:lang w:val="fr-FR"/>
        </w:rPr>
        <w:t>’</w:t>
      </w:r>
      <w:r w:rsidRPr="006F0FA4">
        <w:rPr>
          <w:lang w:val="fr-FR"/>
        </w:rPr>
        <w:t>autres locaux que ceux de la police, afin de permettre aux enfants et aux représentants légaux d</w:t>
      </w:r>
      <w:r w:rsidR="00277023">
        <w:rPr>
          <w:lang w:val="fr-FR"/>
        </w:rPr>
        <w:t>’</w:t>
      </w:r>
      <w:r w:rsidRPr="006F0FA4">
        <w:rPr>
          <w:lang w:val="fr-FR"/>
        </w:rPr>
        <w:t>y passer en toute liberté.</w:t>
      </w:r>
      <w:r w:rsidR="00EA1115">
        <w:rPr>
          <w:lang w:val="fr-FR"/>
        </w:rPr>
        <w:t xml:space="preserve"> </w:t>
      </w:r>
      <w:r w:rsidRPr="006F0FA4">
        <w:rPr>
          <w:lang w:val="fr-FR"/>
        </w:rPr>
        <w:t xml:space="preserve">De plus, la police préfectorale offre des services de soutien téléphoniques appelés </w:t>
      </w:r>
      <w:r w:rsidR="008E49D4">
        <w:rPr>
          <w:lang w:val="fr-FR"/>
        </w:rPr>
        <w:t>“</w:t>
      </w:r>
      <w:r w:rsidRPr="006F0FA4">
        <w:rPr>
          <w:lang w:val="fr-FR"/>
        </w:rPr>
        <w:t>bornes téléphoniques pour les jeunes</w:t>
      </w:r>
      <w:r w:rsidR="008E49D4">
        <w:rPr>
          <w:lang w:val="fr-FR"/>
        </w:rPr>
        <w:t>”</w:t>
      </w:r>
      <w:r w:rsidRPr="006F0FA4">
        <w:rPr>
          <w:lang w:val="fr-FR"/>
        </w:rPr>
        <w:t xml:space="preserve"> ainsi que des services téléphoniques et électroniques de conseil gratuits, afin de créer un environnement dans lequel les enfants n</w:t>
      </w:r>
      <w:r w:rsidR="00277023">
        <w:rPr>
          <w:lang w:val="fr-FR"/>
        </w:rPr>
        <w:t>’</w:t>
      </w:r>
      <w:r w:rsidRPr="006F0FA4">
        <w:rPr>
          <w:lang w:val="fr-FR"/>
        </w:rPr>
        <w:t>hésitent pas à demander de l</w:t>
      </w:r>
      <w:r w:rsidR="00277023">
        <w:rPr>
          <w:lang w:val="fr-FR"/>
        </w:rPr>
        <w:t>’</w:t>
      </w:r>
      <w:r w:rsidRPr="006F0FA4">
        <w:rPr>
          <w:lang w:val="fr-FR"/>
        </w:rPr>
        <w:t>aide.</w:t>
      </w:r>
    </w:p>
    <w:p w:rsidR="006F0FA4" w:rsidRPr="006F0FA4" w:rsidRDefault="006F0FA4" w:rsidP="006F0FA4">
      <w:pPr>
        <w:pStyle w:val="SingleTxtG"/>
        <w:rPr>
          <w:lang w:val="fr-FR"/>
        </w:rPr>
      </w:pPr>
      <w:r w:rsidRPr="006F0FA4">
        <w:rPr>
          <w:lang w:val="fr-FR"/>
        </w:rPr>
        <w:t>334.</w:t>
      </w:r>
      <w:r w:rsidRPr="006F0FA4">
        <w:rPr>
          <w:lang w:val="fr-FR"/>
        </w:rPr>
        <w:tab/>
        <w:t>Le Ministère de l</w:t>
      </w:r>
      <w:r w:rsidR="00277023">
        <w:rPr>
          <w:lang w:val="fr-FR"/>
        </w:rPr>
        <w:t>’</w:t>
      </w:r>
      <w:r w:rsidRPr="006F0FA4">
        <w:rPr>
          <w:lang w:val="fr-FR"/>
        </w:rPr>
        <w:t>éducation, de la culture, des sports, des sciences et de la technologie s</w:t>
      </w:r>
      <w:r w:rsidR="00277023">
        <w:rPr>
          <w:lang w:val="fr-FR"/>
        </w:rPr>
        <w:t>’</w:t>
      </w:r>
      <w:r w:rsidRPr="006F0FA4">
        <w:rPr>
          <w:lang w:val="fr-FR"/>
        </w:rPr>
        <w:t>emploie à améliorer les dispositifs d</w:t>
      </w:r>
      <w:r w:rsidR="00277023">
        <w:rPr>
          <w:lang w:val="fr-FR"/>
        </w:rPr>
        <w:t>’</w:t>
      </w:r>
      <w:r w:rsidRPr="006F0FA4">
        <w:rPr>
          <w:lang w:val="fr-FR"/>
        </w:rPr>
        <w:t xml:space="preserve">orientation dans les écoles en nommant des conseillers scolaires pour les parents et les enfants. </w:t>
      </w:r>
    </w:p>
    <w:p w:rsidR="006F0FA4" w:rsidRPr="006F0FA4" w:rsidRDefault="006F0FA4" w:rsidP="006F0FA4">
      <w:pPr>
        <w:pStyle w:val="SingleTxtG"/>
        <w:rPr>
          <w:lang w:val="fr-FR"/>
        </w:rPr>
      </w:pPr>
      <w:r w:rsidRPr="006F0FA4">
        <w:rPr>
          <w:lang w:val="fr-FR"/>
        </w:rPr>
        <w:t>(Formation spéciale dispensée aux experts)</w:t>
      </w:r>
    </w:p>
    <w:p w:rsidR="006F0FA4" w:rsidRPr="006F0FA4" w:rsidRDefault="006F0FA4" w:rsidP="006F0FA4">
      <w:pPr>
        <w:pStyle w:val="SingleTxtG"/>
        <w:rPr>
          <w:lang w:val="fr-FR"/>
        </w:rPr>
      </w:pPr>
      <w:r w:rsidRPr="006F0FA4">
        <w:rPr>
          <w:lang w:val="fr-FR"/>
        </w:rPr>
        <w:t>335.</w:t>
      </w:r>
      <w:r w:rsidRPr="006F0FA4">
        <w:rPr>
          <w:lang w:val="fr-FR"/>
        </w:rPr>
        <w:tab/>
        <w:t xml:space="preserve">En avril </w:t>
      </w:r>
      <w:smartTag w:uri="urn:schemas-microsoft-com:office:smarttags" w:element="metricconverter">
        <w:smartTagPr>
          <w:attr w:name="ProductID" w:val="2004 a"/>
        </w:smartTagPr>
        <w:r w:rsidRPr="006F0FA4">
          <w:rPr>
            <w:lang w:val="fr-FR"/>
          </w:rPr>
          <w:t>2004 a</w:t>
        </w:r>
      </w:smartTag>
      <w:r w:rsidRPr="006F0FA4">
        <w:rPr>
          <w:lang w:val="fr-FR"/>
        </w:rPr>
        <w:t xml:space="preserve"> été créé le </w:t>
      </w:r>
      <w:r w:rsidR="008E49D4">
        <w:rPr>
          <w:lang w:val="fr-FR"/>
        </w:rPr>
        <w:t>“</w:t>
      </w:r>
      <w:r w:rsidRPr="006F0FA4">
        <w:rPr>
          <w:lang w:val="fr-FR"/>
        </w:rPr>
        <w:t>Children</w:t>
      </w:r>
      <w:r w:rsidR="00277023">
        <w:rPr>
          <w:lang w:val="fr-FR"/>
        </w:rPr>
        <w:t>’</w:t>
      </w:r>
      <w:r w:rsidRPr="006F0FA4">
        <w:rPr>
          <w:lang w:val="fr-FR"/>
        </w:rPr>
        <w:t>s Rainbow centre</w:t>
      </w:r>
      <w:r w:rsidR="008E49D4">
        <w:rPr>
          <w:lang w:val="fr-FR"/>
        </w:rPr>
        <w:t>”</w:t>
      </w:r>
      <w:r w:rsidRPr="006F0FA4">
        <w:rPr>
          <w:lang w:val="fr-FR"/>
        </w:rPr>
        <w:t xml:space="preserve"> qui répond aux questions concernant les enfants comme la maltraitance, et une formation a été mise sur pied à l</w:t>
      </w:r>
      <w:r w:rsidR="00277023">
        <w:rPr>
          <w:lang w:val="fr-FR"/>
        </w:rPr>
        <w:t>’</w:t>
      </w:r>
      <w:r w:rsidRPr="006F0FA4">
        <w:rPr>
          <w:lang w:val="fr-FR"/>
        </w:rPr>
        <w:t>intention du personnel des centres de guidance infantile. En 2004 également, une formation pratique a été dispensée aux médecins, aux infirmières de la santé publique et aux praticiens des services sociaux individualisés qui sont pleinement concernés par les questions de maltraitance à l</w:t>
      </w:r>
      <w:r w:rsidR="00277023">
        <w:rPr>
          <w:lang w:val="fr-FR"/>
        </w:rPr>
        <w:t>’</w:t>
      </w:r>
      <w:r w:rsidRPr="006F0FA4">
        <w:rPr>
          <w:lang w:val="fr-FR"/>
        </w:rPr>
        <w:t>égard des enfants dans les communautés locales.</w:t>
      </w:r>
    </w:p>
    <w:p w:rsidR="006F0FA4" w:rsidRPr="006F0FA4" w:rsidRDefault="006F0FA4" w:rsidP="006F0FA4">
      <w:pPr>
        <w:pStyle w:val="SingleTxtG"/>
        <w:rPr>
          <w:lang w:val="fr-FR"/>
        </w:rPr>
      </w:pPr>
      <w:r w:rsidRPr="006F0FA4">
        <w:rPr>
          <w:lang w:val="fr-FR"/>
        </w:rPr>
        <w:t>336.</w:t>
      </w:r>
      <w:r w:rsidRPr="006F0FA4">
        <w:rPr>
          <w:lang w:val="fr-FR"/>
        </w:rPr>
        <w:tab/>
        <w:t>Dans les services chargés de l</w:t>
      </w:r>
      <w:r w:rsidR="00277023">
        <w:rPr>
          <w:lang w:val="fr-FR"/>
        </w:rPr>
        <w:t>’</w:t>
      </w:r>
      <w:r w:rsidRPr="006F0FA4">
        <w:rPr>
          <w:lang w:val="fr-FR"/>
        </w:rPr>
        <w:t xml:space="preserve">application de la loi, des sessions de formation sont offertes au personnel de police nouvellement recruté, de même que des conseils et une éducation sur des sujets tels que le contenu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prévention de la maltraitance à l</w:t>
      </w:r>
      <w:r w:rsidR="00277023">
        <w:rPr>
          <w:lang w:val="fr-FR"/>
        </w:rPr>
        <w:t>’</w:t>
      </w:r>
      <w:r w:rsidRPr="006F0FA4">
        <w:rPr>
          <w:lang w:val="fr-FR"/>
        </w:rPr>
        <w:t>égard des enfants, dans la perspective d</w:t>
      </w:r>
      <w:r w:rsidR="00277023">
        <w:rPr>
          <w:lang w:val="fr-FR"/>
        </w:rPr>
        <w:t>’</w:t>
      </w:r>
      <w:r w:rsidRPr="006F0FA4">
        <w:rPr>
          <w:lang w:val="fr-FR"/>
        </w:rPr>
        <w:t>une détection précoce des cas de maltraitance. Le personnel de police chargé de la protection des enfants et de l</w:t>
      </w:r>
      <w:r w:rsidR="00277023">
        <w:rPr>
          <w:lang w:val="fr-FR"/>
        </w:rPr>
        <w:t>’</w:t>
      </w:r>
      <w:r w:rsidRPr="006F0FA4">
        <w:rPr>
          <w:lang w:val="fr-FR"/>
        </w:rPr>
        <w:t>appui aux représentants légaux reçoit une formation pour améliorer ses connaissances et compétences spécialisées en matière de maltraitance à l</w:t>
      </w:r>
      <w:r w:rsidR="00277023">
        <w:rPr>
          <w:lang w:val="fr-FR"/>
        </w:rPr>
        <w:t>’</w:t>
      </w:r>
      <w:r w:rsidRPr="006F0FA4">
        <w:rPr>
          <w:lang w:val="fr-FR"/>
        </w:rPr>
        <w:t>égard des enfants, comme par exemple les caractéristiques présentées par les enfants victimes de maltraitance, et sur la façon de coopérer avec les organisations compétentes. En particulier, le personnel de la police préfectorale exerçant des fonctions liées aux mesures de prévention de la maltraitance à l</w:t>
      </w:r>
      <w:r w:rsidR="00277023">
        <w:rPr>
          <w:lang w:val="fr-FR"/>
        </w:rPr>
        <w:t>’</w:t>
      </w:r>
      <w:r w:rsidRPr="006F0FA4">
        <w:rPr>
          <w:lang w:val="fr-FR"/>
        </w:rPr>
        <w:t>égard des enfants suit une formation sur la façon de traiter le problème, y compris la coopération procédurale avec ces mêmes organisations. Les conseillers d</w:t>
      </w:r>
      <w:r w:rsidR="00277023">
        <w:rPr>
          <w:lang w:val="fr-FR"/>
        </w:rPr>
        <w:t>’</w:t>
      </w:r>
      <w:r w:rsidRPr="006F0FA4">
        <w:rPr>
          <w:lang w:val="fr-FR"/>
        </w:rPr>
        <w:t>orientation</w:t>
      </w:r>
      <w:r w:rsidR="00EA1115">
        <w:rPr>
          <w:lang w:val="fr-FR"/>
        </w:rPr>
        <w:t xml:space="preserve"> </w:t>
      </w:r>
      <w:r w:rsidRPr="006F0FA4">
        <w:rPr>
          <w:lang w:val="fr-FR"/>
        </w:rPr>
        <w:t>qui travaillent dans les centres d</w:t>
      </w:r>
      <w:r w:rsidR="00277023">
        <w:rPr>
          <w:lang w:val="fr-FR"/>
        </w:rPr>
        <w:t>’</w:t>
      </w:r>
      <w:r w:rsidRPr="006F0FA4">
        <w:rPr>
          <w:lang w:val="fr-FR"/>
        </w:rPr>
        <w:t>aide aux mineurs des préfectures suivent une formation pour acquérir les compétences spéciales en matière de conseil,</w:t>
      </w:r>
      <w:r w:rsidR="00EA1115">
        <w:rPr>
          <w:lang w:val="fr-FR"/>
        </w:rPr>
        <w:t xml:space="preserve"> </w:t>
      </w:r>
      <w:r w:rsidRPr="006F0FA4">
        <w:rPr>
          <w:lang w:val="fr-FR"/>
        </w:rPr>
        <w:t>dispensée par des experts tels que des professeurs et des conseillers d</w:t>
      </w:r>
      <w:r w:rsidR="00277023">
        <w:rPr>
          <w:lang w:val="fr-FR"/>
        </w:rPr>
        <w:t>’</w:t>
      </w:r>
      <w:r w:rsidRPr="006F0FA4">
        <w:rPr>
          <w:lang w:val="fr-FR"/>
        </w:rPr>
        <w:t>université.</w:t>
      </w:r>
    </w:p>
    <w:p w:rsidR="006F0FA4" w:rsidRPr="006F0FA4" w:rsidRDefault="000205DE" w:rsidP="000205DE">
      <w:pPr>
        <w:pStyle w:val="H23G"/>
        <w:rPr>
          <w:lang w:val="fr-FR"/>
        </w:rPr>
      </w:pPr>
      <w:r>
        <w:rPr>
          <w:lang w:val="fr-FR"/>
        </w:rPr>
        <w:tab/>
        <w:t>c)</w:t>
      </w:r>
      <w:r>
        <w:rPr>
          <w:lang w:val="fr-FR"/>
        </w:rPr>
        <w:tab/>
      </w:r>
      <w:r w:rsidR="006F0FA4" w:rsidRPr="006F0FA4">
        <w:rPr>
          <w:lang w:val="fr-FR"/>
        </w:rPr>
        <w:t>Réadaptation et réinserti</w:t>
      </w:r>
      <w:r>
        <w:rPr>
          <w:lang w:val="fr-FR"/>
        </w:rPr>
        <w:t>on sociale des enfants victimes</w:t>
      </w:r>
    </w:p>
    <w:p w:rsidR="006F0FA4" w:rsidRPr="006F0FA4" w:rsidRDefault="006F0FA4" w:rsidP="006F0FA4">
      <w:pPr>
        <w:pStyle w:val="SingleTxtG"/>
        <w:rPr>
          <w:lang w:val="fr-FR"/>
        </w:rPr>
      </w:pPr>
      <w:r w:rsidRPr="006F0FA4">
        <w:rPr>
          <w:lang w:val="fr-FR"/>
        </w:rPr>
        <w:t>337.</w:t>
      </w:r>
      <w:r w:rsidRPr="006F0FA4">
        <w:rPr>
          <w:lang w:val="fr-FR"/>
        </w:rPr>
        <w:tab/>
        <w:t xml:space="preserve">Voir paragraphe 278 du deuxième rapport du Japon. </w:t>
      </w:r>
    </w:p>
    <w:p w:rsidR="006F0FA4" w:rsidRPr="006F0FA4" w:rsidRDefault="006F0FA4" w:rsidP="006F0FA4">
      <w:pPr>
        <w:pStyle w:val="SingleTxtG"/>
        <w:rPr>
          <w:lang w:val="fr-FR"/>
        </w:rPr>
      </w:pPr>
      <w:r w:rsidRPr="006F0FA4">
        <w:rPr>
          <w:lang w:val="fr-FR"/>
        </w:rPr>
        <w:t>338.</w:t>
      </w:r>
      <w:r w:rsidRPr="006F0FA4">
        <w:rPr>
          <w:lang w:val="fr-FR"/>
        </w:rPr>
        <w:tab/>
        <w:t xml:space="preserve">Conformément à </w:t>
      </w:r>
      <w:smartTag w:uri="urn:schemas-microsoft-com:office:smarttags" w:element="PersonName">
        <w:smartTagPr>
          <w:attr w:name="ProductID" w:val="la Loi"/>
        </w:smartTagPr>
        <w:r w:rsidRPr="006F0FA4">
          <w:rPr>
            <w:lang w:val="fr-FR"/>
          </w:rPr>
          <w:t>la Loi</w:t>
        </w:r>
      </w:smartTag>
      <w:r w:rsidRPr="006F0FA4">
        <w:rPr>
          <w:lang w:val="fr-FR"/>
        </w:rPr>
        <w:t xml:space="preserve"> fondamentale relative au soutien aux victimes de crimes, entrée en application en avril 2005, le Gouvernement japonais a formulé le Plan de base pour les victimes de crimes en décembre de la même année. En réponse à ces textes, les services chargés de l</w:t>
      </w:r>
      <w:r w:rsidR="00277023">
        <w:rPr>
          <w:lang w:val="fr-FR"/>
        </w:rPr>
        <w:t>’</w:t>
      </w:r>
      <w:r w:rsidRPr="006F0FA4">
        <w:rPr>
          <w:lang w:val="fr-FR"/>
        </w:rPr>
        <w:t xml:space="preserve">application de la loi renforcent leur coopération avec des organisations concernées par la protection des enfants victimes de maltraitance, offrent des conseils et une formation au personnel de police en vue de la détection des cas de maltraitance et travaillent à renforcer les connaissances et compétences relatives aux spécificités de ce phénomène. </w:t>
      </w:r>
    </w:p>
    <w:p w:rsidR="006F0FA4" w:rsidRPr="006F0FA4" w:rsidRDefault="006F0FA4" w:rsidP="006F0FA4">
      <w:pPr>
        <w:pStyle w:val="SingleTxtG"/>
        <w:rPr>
          <w:lang w:val="fr-FR"/>
        </w:rPr>
      </w:pPr>
      <w:r w:rsidRPr="006F0FA4">
        <w:rPr>
          <w:lang w:val="fr-FR"/>
        </w:rPr>
        <w:t>339.</w:t>
      </w:r>
      <w:r w:rsidRPr="006F0FA4">
        <w:rPr>
          <w:lang w:val="fr-FR"/>
        </w:rPr>
        <w:tab/>
        <w:t xml:space="preserve">Voir paragraphes 311-313 ci-dessus sur la modification partielle de </w:t>
      </w:r>
      <w:smartTag w:uri="urn:schemas-microsoft-com:office:smarttags" w:element="PersonName">
        <w:smartTagPr>
          <w:attr w:name="ProductID" w:val="la Loi"/>
        </w:smartTagPr>
        <w:r w:rsidRPr="006F0FA4">
          <w:rPr>
            <w:lang w:val="fr-FR"/>
          </w:rPr>
          <w:t>la Loi</w:t>
        </w:r>
      </w:smartTag>
      <w:r w:rsidRPr="006F0FA4">
        <w:rPr>
          <w:lang w:val="fr-FR"/>
        </w:rPr>
        <w:t xml:space="preserve"> sur la protection de l</w:t>
      </w:r>
      <w:r w:rsidR="00277023">
        <w:rPr>
          <w:lang w:val="fr-FR"/>
        </w:rPr>
        <w:t>’</w:t>
      </w:r>
      <w:r w:rsidRPr="006F0FA4">
        <w:rPr>
          <w:lang w:val="fr-FR"/>
        </w:rPr>
        <w:t xml:space="preserve">enfance. </w:t>
      </w:r>
    </w:p>
    <w:p w:rsidR="006F0FA4" w:rsidRPr="006F0FA4" w:rsidRDefault="000205DE" w:rsidP="000205DE">
      <w:pPr>
        <w:pStyle w:val="H23G"/>
        <w:rPr>
          <w:lang w:val="fr-FR"/>
        </w:rPr>
      </w:pPr>
      <w:r>
        <w:rPr>
          <w:lang w:val="fr-FR"/>
        </w:rPr>
        <w:tab/>
        <w:t>d)</w:t>
      </w:r>
      <w:r>
        <w:rPr>
          <w:lang w:val="fr-FR"/>
        </w:rPr>
        <w:tab/>
      </w:r>
      <w:r w:rsidR="006F0FA4" w:rsidRPr="006F0FA4">
        <w:rPr>
          <w:lang w:val="fr-FR"/>
        </w:rPr>
        <w:t>Progrès accomplis et problèmes rencontrés dans l</w:t>
      </w:r>
      <w:r w:rsidR="00277023">
        <w:rPr>
          <w:lang w:val="fr-FR"/>
        </w:rPr>
        <w:t>’</w:t>
      </w:r>
      <w:r w:rsidR="006F0FA4" w:rsidRPr="006F0FA4">
        <w:rPr>
          <w:lang w:val="fr-FR"/>
        </w:rPr>
        <w:t xml:space="preserve">application des articles 19 et 39 de </w:t>
      </w:r>
      <w:smartTag w:uri="urn:schemas-microsoft-com:office:smarttags" w:element="PersonName">
        <w:smartTagPr>
          <w:attr w:name="ProductID" w:val="LA CONVENTION"/>
        </w:smartTagPr>
        <w:r w:rsidR="006F0FA4" w:rsidRPr="006F0FA4">
          <w:rPr>
            <w:lang w:val="fr-FR"/>
          </w:rPr>
          <w:t>la Convention</w:t>
        </w:r>
      </w:smartTag>
    </w:p>
    <w:p w:rsidR="006F0FA4" w:rsidRPr="006F0FA4" w:rsidRDefault="006F0FA4" w:rsidP="006F0FA4">
      <w:pPr>
        <w:pStyle w:val="SingleTxtG"/>
        <w:rPr>
          <w:lang w:val="fr-FR"/>
        </w:rPr>
      </w:pPr>
      <w:r w:rsidRPr="006F0FA4">
        <w:rPr>
          <w:lang w:val="fr-FR"/>
        </w:rPr>
        <w:t>(Précédents jurisprudentiels)</w:t>
      </w:r>
    </w:p>
    <w:p w:rsidR="006F0FA4" w:rsidRPr="006F0FA4" w:rsidRDefault="006F0FA4" w:rsidP="006F0FA4">
      <w:pPr>
        <w:pStyle w:val="SingleTxtG"/>
        <w:rPr>
          <w:lang w:val="fr-FR"/>
        </w:rPr>
      </w:pPr>
      <w:r w:rsidRPr="006F0FA4">
        <w:rPr>
          <w:lang w:val="fr-FR"/>
        </w:rPr>
        <w:t>340.</w:t>
      </w:r>
      <w:r w:rsidRPr="006F0FA4">
        <w:rPr>
          <w:lang w:val="fr-FR"/>
        </w:rPr>
        <w:tab/>
        <w:t xml:space="preserve">Voir paragraphe 280 du deuxième rapport du Japon. </w:t>
      </w:r>
    </w:p>
    <w:p w:rsidR="006F0FA4" w:rsidRPr="006F0FA4" w:rsidRDefault="006F0FA4" w:rsidP="006F0FA4">
      <w:pPr>
        <w:pStyle w:val="SingleTxtG"/>
        <w:rPr>
          <w:lang w:val="fr-FR"/>
        </w:rPr>
      </w:pPr>
      <w:r w:rsidRPr="006F0FA4">
        <w:rPr>
          <w:lang w:val="fr-FR"/>
        </w:rPr>
        <w:t>(Statistiques)</w:t>
      </w:r>
    </w:p>
    <w:p w:rsidR="006F0FA4" w:rsidRPr="006F0FA4" w:rsidRDefault="006F0FA4" w:rsidP="006F0FA4">
      <w:pPr>
        <w:pStyle w:val="SingleTxtG"/>
        <w:rPr>
          <w:lang w:val="fr-FR"/>
        </w:rPr>
      </w:pPr>
      <w:r w:rsidRPr="006F0FA4">
        <w:rPr>
          <w:lang w:val="fr-FR"/>
        </w:rPr>
        <w:t>341.</w:t>
      </w:r>
      <w:r w:rsidRPr="006F0FA4">
        <w:rPr>
          <w:lang w:val="fr-FR"/>
        </w:rPr>
        <w:tab/>
        <w:t xml:space="preserve">Voir paragraphe 281 du deuxième rapport du Japon. </w:t>
      </w:r>
    </w:p>
    <w:p w:rsidR="00D3561A" w:rsidRPr="006F0FA4" w:rsidRDefault="006F0FA4" w:rsidP="006F0FA4">
      <w:pPr>
        <w:pStyle w:val="SingleTxtG"/>
        <w:rPr>
          <w:lang w:val="es-ES"/>
        </w:rPr>
      </w:pPr>
      <w:r w:rsidRPr="006F0FA4">
        <w:rPr>
          <w:lang w:val="fr-FR"/>
        </w:rPr>
        <w:t>342.</w:t>
      </w:r>
      <w:r w:rsidRPr="006F0FA4">
        <w:rPr>
          <w:lang w:val="fr-FR"/>
        </w:rPr>
        <w:tab/>
        <w:t>Les données statistiques relatives aux cas de maltraitance sont calculées à partir du nombre de demandes de consultation reçues dans les centres de guidance infantile sur l</w:t>
      </w:r>
      <w:r w:rsidR="00277023">
        <w:rPr>
          <w:lang w:val="fr-FR"/>
        </w:rPr>
        <w:t>’</w:t>
      </w:r>
      <w:r w:rsidRPr="006F0FA4">
        <w:rPr>
          <w:lang w:val="fr-FR"/>
        </w:rPr>
        <w:t>ensemble du territoire depuis 1990. Elles font apparaître une hausse régulière, avec une augmentation rapide de 1.101 cas en 1990 à 33.408 cas en 2004. Le nombre de demandes de consultation reçues dans les services de conseils pour mineurs de la police était de 1.833 en 2004, soit environ dix fois plus qu</w:t>
      </w:r>
      <w:r w:rsidR="00277023">
        <w:rPr>
          <w:lang w:val="fr-FR"/>
        </w:rPr>
        <w:t>’</w:t>
      </w:r>
      <w:r w:rsidRPr="006F0FA4">
        <w:rPr>
          <w:lang w:val="fr-FR"/>
        </w:rPr>
        <w:t xml:space="preserve">en 1995. Le nombre de cas de maltraitance examinés et ayant donné lieu à des arrestations par la police en </w:t>
      </w:r>
      <w:smartTag w:uri="urn:schemas-microsoft-com:office:smarttags" w:element="metricconverter">
        <w:smartTagPr>
          <w:attr w:name="ProductID" w:val="2004 a"/>
        </w:smartTagPr>
        <w:r w:rsidRPr="006F0FA4">
          <w:rPr>
            <w:lang w:val="fr-FR"/>
          </w:rPr>
          <w:t>2004 a</w:t>
        </w:r>
      </w:smartTag>
      <w:r w:rsidRPr="006F0FA4">
        <w:rPr>
          <w:lang w:val="fr-FR"/>
        </w:rPr>
        <w:t xml:space="preserve"> atteint les 229 pour 253 personnes arrêtées, ce qui représente une augmentation de 72 cas (45,9</w:t>
      </w:r>
      <w:r w:rsidR="00277023">
        <w:rPr>
          <w:lang w:val="fr-FR"/>
        </w:rPr>
        <w:t>%</w:t>
      </w:r>
      <w:r w:rsidRPr="006F0FA4">
        <w:rPr>
          <w:lang w:val="fr-FR"/>
        </w:rPr>
        <w:t>) et de 70 personnes arrêtées (38,3</w:t>
      </w:r>
      <w:r w:rsidR="00277023">
        <w:rPr>
          <w:lang w:val="fr-FR"/>
        </w:rPr>
        <w:t>%</w:t>
      </w:r>
      <w:r w:rsidRPr="006F0FA4">
        <w:rPr>
          <w:lang w:val="fr-FR"/>
        </w:rPr>
        <w:t>) par rapport à l</w:t>
      </w:r>
      <w:r w:rsidR="00277023">
        <w:rPr>
          <w:lang w:val="fr-FR"/>
        </w:rPr>
        <w:t>’</w:t>
      </w:r>
      <w:r w:rsidRPr="006F0FA4">
        <w:rPr>
          <w:lang w:val="fr-FR"/>
        </w:rPr>
        <w:t>année précédente. Sur les 239 enfants victimes de maltraitance, 51 ont perdu la vie.</w:t>
      </w:r>
    </w:p>
    <w:p w:rsidR="00D3561A" w:rsidRPr="008E5027" w:rsidRDefault="00365506" w:rsidP="002150F8">
      <w:pPr>
        <w:pStyle w:val="Heading1"/>
        <w:keepNext/>
      </w:pPr>
      <w:r w:rsidRPr="00F206B8">
        <w:rPr>
          <w:lang w:val="fr-FR"/>
        </w:rPr>
        <w:t>Tableau</w:t>
      </w:r>
      <w:r w:rsidRPr="00F206B8">
        <w:rPr>
          <w:lang w:val="es-ES"/>
        </w:rPr>
        <w:t xml:space="preserve"> </w:t>
      </w:r>
      <w:r w:rsidR="00DF25F8" w:rsidRPr="008E5027">
        <w:t>11</w:t>
      </w:r>
    </w:p>
    <w:p w:rsidR="00D3561A" w:rsidRPr="008E5027" w:rsidRDefault="00270871" w:rsidP="002150F8">
      <w:pPr>
        <w:pStyle w:val="SingleTxtG"/>
        <w:keepNext/>
        <w:jc w:val="left"/>
        <w:rPr>
          <w:b/>
        </w:rPr>
      </w:pPr>
      <w:r>
        <w:rPr>
          <w:b/>
          <w:lang w:val="fr-FR"/>
        </w:rPr>
        <w:t>É</w:t>
      </w:r>
      <w:r w:rsidR="000205DE" w:rsidRPr="000205DE">
        <w:rPr>
          <w:b/>
          <w:lang w:val="fr-FR"/>
        </w:rPr>
        <w:t>volution du nombre de consultations pour maltraitance à l</w:t>
      </w:r>
      <w:r w:rsidR="00277023">
        <w:rPr>
          <w:b/>
          <w:lang w:val="fr-FR"/>
        </w:rPr>
        <w:t>’</w:t>
      </w:r>
      <w:r w:rsidR="000205DE" w:rsidRPr="000205DE">
        <w:rPr>
          <w:b/>
          <w:lang w:val="fr-FR"/>
        </w:rPr>
        <w:t>égard d</w:t>
      </w:r>
      <w:r w:rsidR="00277023">
        <w:rPr>
          <w:b/>
          <w:lang w:val="fr-FR"/>
        </w:rPr>
        <w:t>’</w:t>
      </w:r>
      <w:r w:rsidR="000205DE" w:rsidRPr="000205DE">
        <w:rPr>
          <w:b/>
          <w:lang w:val="fr-FR"/>
        </w:rPr>
        <w:t>enfants dans les établissements de protection de l</w:t>
      </w:r>
      <w:r w:rsidR="00277023">
        <w:rPr>
          <w:b/>
          <w:lang w:val="fr-FR"/>
        </w:rPr>
        <w:t>’</w:t>
      </w:r>
      <w:r w:rsidR="000205DE" w:rsidRPr="000205DE">
        <w:rPr>
          <w:b/>
          <w:lang w:val="fr-FR"/>
        </w:rPr>
        <w:t>enfance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23"/>
        <w:gridCol w:w="1293"/>
        <w:gridCol w:w="1293"/>
        <w:gridCol w:w="1293"/>
        <w:gridCol w:w="1164"/>
        <w:gridCol w:w="905"/>
      </w:tblGrid>
      <w:tr w:rsidR="00D3561A" w:rsidRPr="008E5027" w:rsidTr="00365506">
        <w:tc>
          <w:tcPr>
            <w:tcW w:w="1423" w:type="dxa"/>
            <w:tcBorders>
              <w:top w:val="single" w:sz="4" w:space="0" w:color="auto"/>
              <w:bottom w:val="single" w:sz="12" w:space="0" w:color="auto"/>
            </w:tcBorders>
            <w:shd w:val="clear" w:color="auto" w:fill="auto"/>
            <w:vAlign w:val="bottom"/>
          </w:tcPr>
          <w:p w:rsidR="00D3561A" w:rsidRPr="008E5027" w:rsidRDefault="002150F8" w:rsidP="006E25C0">
            <w:pPr>
              <w:spacing w:before="80" w:after="80" w:line="200" w:lineRule="exact"/>
              <w:rPr>
                <w:i/>
                <w:sz w:val="16"/>
              </w:rPr>
            </w:pPr>
            <w:r w:rsidRPr="002150F8">
              <w:rPr>
                <w:i/>
                <w:sz w:val="16"/>
                <w:lang w:val="fr-FR"/>
              </w:rPr>
              <w:t>Année</w:t>
            </w:r>
          </w:p>
        </w:tc>
        <w:tc>
          <w:tcPr>
            <w:tcW w:w="1293"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2001</w:t>
            </w:r>
          </w:p>
        </w:tc>
        <w:tc>
          <w:tcPr>
            <w:tcW w:w="1293"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2002</w:t>
            </w:r>
          </w:p>
        </w:tc>
        <w:tc>
          <w:tcPr>
            <w:tcW w:w="1293"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2003</w:t>
            </w:r>
          </w:p>
        </w:tc>
        <w:tc>
          <w:tcPr>
            <w:tcW w:w="116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2004</w:t>
            </w:r>
          </w:p>
        </w:tc>
        <w:tc>
          <w:tcPr>
            <w:tcW w:w="905" w:type="dxa"/>
            <w:tcBorders>
              <w:top w:val="single" w:sz="4" w:space="0" w:color="auto"/>
              <w:bottom w:val="single" w:sz="12" w:space="0" w:color="auto"/>
            </w:tcBorders>
            <w:vAlign w:val="bottom"/>
          </w:tcPr>
          <w:p w:rsidR="00D3561A" w:rsidRPr="008E5027" w:rsidRDefault="00D3561A" w:rsidP="00D3561A">
            <w:pPr>
              <w:spacing w:before="80" w:after="80" w:line="200" w:lineRule="exact"/>
              <w:jc w:val="right"/>
              <w:rPr>
                <w:i/>
                <w:sz w:val="16"/>
              </w:rPr>
            </w:pPr>
            <w:r w:rsidRPr="008E5027">
              <w:rPr>
                <w:i/>
                <w:sz w:val="16"/>
              </w:rPr>
              <w:t>2005</w:t>
            </w:r>
          </w:p>
        </w:tc>
      </w:tr>
      <w:tr w:rsidR="00D3561A" w:rsidRPr="008E5027" w:rsidTr="00365506">
        <w:tc>
          <w:tcPr>
            <w:tcW w:w="1423" w:type="dxa"/>
            <w:tcBorders>
              <w:top w:val="single" w:sz="12" w:space="0" w:color="auto"/>
              <w:bottom w:val="single" w:sz="12" w:space="0" w:color="auto"/>
            </w:tcBorders>
            <w:shd w:val="clear" w:color="auto" w:fill="auto"/>
            <w:vAlign w:val="bottom"/>
          </w:tcPr>
          <w:p w:rsidR="00D3561A" w:rsidRPr="008E5027" w:rsidRDefault="002150F8" w:rsidP="006E25C0">
            <w:pPr>
              <w:suppressAutoHyphens w:val="0"/>
              <w:spacing w:before="40" w:after="40" w:line="220" w:lineRule="exact"/>
              <w:rPr>
                <w:sz w:val="18"/>
              </w:rPr>
            </w:pPr>
            <w:r w:rsidRPr="002150F8">
              <w:rPr>
                <w:sz w:val="18"/>
                <w:lang w:val="fr-FR"/>
              </w:rPr>
              <w:t>Nombre de cas</w:t>
            </w:r>
          </w:p>
        </w:tc>
        <w:tc>
          <w:tcPr>
            <w:tcW w:w="1293" w:type="dxa"/>
            <w:tcBorders>
              <w:top w:val="single" w:sz="12" w:space="0" w:color="auto"/>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23 274</w:t>
            </w:r>
          </w:p>
        </w:tc>
        <w:tc>
          <w:tcPr>
            <w:tcW w:w="1293" w:type="dxa"/>
            <w:tcBorders>
              <w:top w:val="single" w:sz="12" w:space="0" w:color="auto"/>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23 738</w:t>
            </w:r>
          </w:p>
        </w:tc>
        <w:tc>
          <w:tcPr>
            <w:tcW w:w="1293" w:type="dxa"/>
            <w:tcBorders>
              <w:top w:val="single" w:sz="12" w:space="0" w:color="auto"/>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26 569</w:t>
            </w:r>
          </w:p>
        </w:tc>
        <w:tc>
          <w:tcPr>
            <w:tcW w:w="1164" w:type="dxa"/>
            <w:tcBorders>
              <w:top w:val="single" w:sz="12" w:space="0" w:color="auto"/>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33 408</w:t>
            </w:r>
          </w:p>
        </w:tc>
        <w:tc>
          <w:tcPr>
            <w:tcW w:w="905" w:type="dxa"/>
            <w:tcBorders>
              <w:top w:val="single" w:sz="12" w:space="0" w:color="auto"/>
              <w:bottom w:val="single" w:sz="12" w:space="0" w:color="auto"/>
            </w:tcBorders>
            <w:vAlign w:val="bottom"/>
          </w:tcPr>
          <w:p w:rsidR="00D3561A" w:rsidRPr="008E5027" w:rsidRDefault="00D3561A" w:rsidP="00D3561A">
            <w:pPr>
              <w:suppressAutoHyphens w:val="0"/>
              <w:spacing w:before="40" w:after="40" w:line="220" w:lineRule="exact"/>
              <w:jc w:val="right"/>
              <w:rPr>
                <w:sz w:val="18"/>
              </w:rPr>
            </w:pPr>
            <w:r w:rsidRPr="008E5027">
              <w:rPr>
                <w:sz w:val="18"/>
              </w:rPr>
              <w:t>34 472</w:t>
            </w:r>
          </w:p>
        </w:tc>
      </w:tr>
    </w:tbl>
    <w:p w:rsidR="00D3561A" w:rsidRPr="008E5027" w:rsidRDefault="00365506" w:rsidP="00D3561A">
      <w:pPr>
        <w:pStyle w:val="Heading1"/>
        <w:spacing w:before="240"/>
      </w:pPr>
      <w:r w:rsidRPr="00F206B8">
        <w:rPr>
          <w:lang w:val="fr-FR"/>
        </w:rPr>
        <w:t>Tableau</w:t>
      </w:r>
      <w:r w:rsidRPr="00F206B8">
        <w:rPr>
          <w:lang w:val="es-ES"/>
        </w:rPr>
        <w:t xml:space="preserve"> </w:t>
      </w:r>
      <w:r w:rsidR="00D3561A" w:rsidRPr="008E5027">
        <w:t>12</w:t>
      </w:r>
    </w:p>
    <w:p w:rsidR="00D3561A" w:rsidRPr="008E5027" w:rsidRDefault="00270871" w:rsidP="00AC5677">
      <w:pPr>
        <w:pStyle w:val="SingleTxtG"/>
        <w:jc w:val="left"/>
        <w:rPr>
          <w:b/>
        </w:rPr>
      </w:pPr>
      <w:r>
        <w:rPr>
          <w:b/>
          <w:lang w:val="fr-FR"/>
        </w:rPr>
        <w:t>É</w:t>
      </w:r>
      <w:r w:rsidR="00D55AFE" w:rsidRPr="00D55AFE">
        <w:rPr>
          <w:b/>
          <w:lang w:val="fr-FR"/>
        </w:rPr>
        <w:t>volution du nombre de consultations pour maltraitance à l</w:t>
      </w:r>
      <w:r w:rsidR="00277023">
        <w:rPr>
          <w:b/>
          <w:lang w:val="fr-FR"/>
        </w:rPr>
        <w:t>’</w:t>
      </w:r>
      <w:r w:rsidR="00D55AFE" w:rsidRPr="00D55AFE">
        <w:rPr>
          <w:b/>
          <w:lang w:val="fr-FR"/>
        </w:rPr>
        <w:t>égard d</w:t>
      </w:r>
      <w:r w:rsidR="00277023">
        <w:rPr>
          <w:b/>
          <w:lang w:val="fr-FR"/>
        </w:rPr>
        <w:t>’</w:t>
      </w:r>
      <w:r w:rsidR="00D55AFE" w:rsidRPr="00D55AFE">
        <w:rPr>
          <w:b/>
          <w:lang w:val="fr-FR"/>
        </w:rPr>
        <w:t>enfants dans les postes de police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23"/>
        <w:gridCol w:w="1443"/>
        <w:gridCol w:w="1533"/>
        <w:gridCol w:w="1445"/>
        <w:gridCol w:w="1327"/>
      </w:tblGrid>
      <w:tr w:rsidR="00D3561A" w:rsidRPr="008E5027" w:rsidTr="00365506">
        <w:tc>
          <w:tcPr>
            <w:tcW w:w="1623" w:type="dxa"/>
            <w:tcBorders>
              <w:top w:val="single" w:sz="4" w:space="0" w:color="auto"/>
              <w:bottom w:val="single" w:sz="12" w:space="0" w:color="auto"/>
            </w:tcBorders>
            <w:shd w:val="clear" w:color="auto" w:fill="auto"/>
            <w:vAlign w:val="bottom"/>
          </w:tcPr>
          <w:p w:rsidR="00D3561A" w:rsidRPr="008E5027" w:rsidRDefault="002150F8" w:rsidP="006E25C0">
            <w:pPr>
              <w:spacing w:before="80" w:after="80" w:line="200" w:lineRule="exact"/>
              <w:rPr>
                <w:i/>
                <w:sz w:val="16"/>
              </w:rPr>
            </w:pPr>
            <w:r w:rsidRPr="002150F8">
              <w:rPr>
                <w:i/>
                <w:sz w:val="16"/>
                <w:lang w:val="fr-FR"/>
              </w:rPr>
              <w:t>Année</w:t>
            </w:r>
          </w:p>
        </w:tc>
        <w:tc>
          <w:tcPr>
            <w:tcW w:w="1443"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2001</w:t>
            </w:r>
          </w:p>
        </w:tc>
        <w:tc>
          <w:tcPr>
            <w:tcW w:w="1533"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2002</w:t>
            </w:r>
          </w:p>
        </w:tc>
        <w:tc>
          <w:tcPr>
            <w:tcW w:w="1445"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2003</w:t>
            </w:r>
          </w:p>
        </w:tc>
        <w:tc>
          <w:tcPr>
            <w:tcW w:w="1327"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2004</w:t>
            </w:r>
          </w:p>
        </w:tc>
      </w:tr>
      <w:tr w:rsidR="00D3561A" w:rsidRPr="008E5027" w:rsidTr="00365506">
        <w:tc>
          <w:tcPr>
            <w:tcW w:w="1623" w:type="dxa"/>
            <w:tcBorders>
              <w:top w:val="single" w:sz="12" w:space="0" w:color="auto"/>
              <w:bottom w:val="single" w:sz="12" w:space="0" w:color="auto"/>
            </w:tcBorders>
            <w:shd w:val="clear" w:color="auto" w:fill="auto"/>
            <w:vAlign w:val="bottom"/>
          </w:tcPr>
          <w:p w:rsidR="00D3561A" w:rsidRPr="008E5027" w:rsidRDefault="002150F8" w:rsidP="006E25C0">
            <w:pPr>
              <w:suppressAutoHyphens w:val="0"/>
              <w:spacing w:before="40" w:after="40" w:line="220" w:lineRule="exact"/>
              <w:rPr>
                <w:sz w:val="18"/>
              </w:rPr>
            </w:pPr>
            <w:r w:rsidRPr="002150F8">
              <w:rPr>
                <w:sz w:val="18"/>
                <w:lang w:val="fr-FR"/>
              </w:rPr>
              <w:t>Nombre de cas</w:t>
            </w:r>
          </w:p>
        </w:tc>
        <w:tc>
          <w:tcPr>
            <w:tcW w:w="1443" w:type="dxa"/>
            <w:tcBorders>
              <w:top w:val="single" w:sz="12" w:space="0" w:color="auto"/>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1 574</w:t>
            </w:r>
          </w:p>
        </w:tc>
        <w:tc>
          <w:tcPr>
            <w:tcW w:w="1533" w:type="dxa"/>
            <w:tcBorders>
              <w:top w:val="single" w:sz="12" w:space="0" w:color="auto"/>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1 382</w:t>
            </w:r>
          </w:p>
        </w:tc>
        <w:tc>
          <w:tcPr>
            <w:tcW w:w="1445" w:type="dxa"/>
            <w:tcBorders>
              <w:top w:val="single" w:sz="12" w:space="0" w:color="auto"/>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1 276</w:t>
            </w:r>
          </w:p>
        </w:tc>
        <w:tc>
          <w:tcPr>
            <w:tcW w:w="1327" w:type="dxa"/>
            <w:tcBorders>
              <w:top w:val="single" w:sz="12" w:space="0" w:color="auto"/>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1 833</w:t>
            </w:r>
          </w:p>
        </w:tc>
      </w:tr>
    </w:tbl>
    <w:p w:rsidR="00D3561A" w:rsidRPr="008E5027" w:rsidRDefault="00365506" w:rsidP="00D3561A">
      <w:pPr>
        <w:pStyle w:val="Heading1"/>
        <w:spacing w:before="240"/>
      </w:pPr>
      <w:r w:rsidRPr="00F206B8">
        <w:rPr>
          <w:lang w:val="fr-FR"/>
        </w:rPr>
        <w:t>Tableau</w:t>
      </w:r>
      <w:r w:rsidRPr="00D55AFE">
        <w:t xml:space="preserve"> </w:t>
      </w:r>
      <w:r w:rsidR="00D3561A" w:rsidRPr="008E5027">
        <w:t>13</w:t>
      </w:r>
    </w:p>
    <w:p w:rsidR="00D3561A" w:rsidRPr="008E5027" w:rsidRDefault="00270871" w:rsidP="00AC5677">
      <w:pPr>
        <w:pStyle w:val="SingleTxtG"/>
        <w:jc w:val="left"/>
        <w:rPr>
          <w:sz w:val="16"/>
          <w:szCs w:val="16"/>
        </w:rPr>
      </w:pPr>
      <w:r>
        <w:rPr>
          <w:b/>
        </w:rPr>
        <w:t>É</w:t>
      </w:r>
      <w:r w:rsidR="00D55AFE" w:rsidRPr="00D55AFE">
        <w:rPr>
          <w:b/>
          <w:lang w:val="fr-FR"/>
        </w:rPr>
        <w:t>volution du nombre d</w:t>
      </w:r>
      <w:r w:rsidR="00277023">
        <w:rPr>
          <w:b/>
          <w:lang w:val="fr-FR"/>
        </w:rPr>
        <w:t>’</w:t>
      </w:r>
      <w:r w:rsidR="00D55AFE" w:rsidRPr="00D55AFE">
        <w:rPr>
          <w:b/>
          <w:lang w:val="fr-FR"/>
        </w:rPr>
        <w:t>arrestations pour maltraitance à l</w:t>
      </w:r>
      <w:r w:rsidR="00277023">
        <w:rPr>
          <w:b/>
          <w:lang w:val="fr-FR"/>
        </w:rPr>
        <w:t>’</w:t>
      </w:r>
      <w:r w:rsidR="00D55AFE" w:rsidRPr="00D55AFE">
        <w:rPr>
          <w:b/>
          <w:lang w:val="fr-FR"/>
        </w:rPr>
        <w:t>égard d</w:t>
      </w:r>
      <w:r w:rsidR="00277023">
        <w:rPr>
          <w:b/>
          <w:lang w:val="fr-FR"/>
        </w:rPr>
        <w:t>’</w:t>
      </w:r>
      <w:r w:rsidR="00D55AFE" w:rsidRPr="00D55AFE">
        <w:rPr>
          <w:b/>
          <w:lang w:val="fr-FR"/>
        </w:rPr>
        <w:t>enfants, classées par type d</w:t>
      </w:r>
      <w:r w:rsidR="00277023">
        <w:rPr>
          <w:b/>
          <w:lang w:val="fr-FR"/>
        </w:rPr>
        <w:t>’</w:t>
      </w:r>
      <w:r w:rsidR="00D55AFE" w:rsidRPr="00D55AFE">
        <w:rPr>
          <w:b/>
          <w:lang w:val="fr-FR"/>
        </w:rPr>
        <w:t>infraction</w:t>
      </w:r>
      <w:r w:rsidR="00D55AFE">
        <w:rPr>
          <w:b/>
          <w:lang w:val="fr-FR"/>
        </w:rPr>
        <w:t xml:space="preserve"> </w:t>
      </w:r>
      <w:r w:rsidR="00D55AFE">
        <w:rPr>
          <w:b/>
          <w:lang w:val="fr-FR"/>
        </w:rPr>
        <w:br/>
      </w:r>
      <w:r w:rsidR="00D3561A" w:rsidRPr="008E5027">
        <w:rPr>
          <w:sz w:val="16"/>
          <w:szCs w:val="16"/>
        </w:rPr>
        <w:t>(2001</w:t>
      </w:r>
      <w:r w:rsidR="00D55AFE">
        <w:rPr>
          <w:sz w:val="16"/>
          <w:szCs w:val="16"/>
        </w:rPr>
        <w:t>-</w:t>
      </w:r>
      <w:r w:rsidR="00D3561A" w:rsidRPr="008E5027">
        <w:rPr>
          <w:sz w:val="16"/>
          <w:szCs w:val="16"/>
        </w:rPr>
        <w:t>2004)</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1074"/>
        <w:gridCol w:w="1107"/>
        <w:gridCol w:w="1107"/>
        <w:gridCol w:w="1106"/>
      </w:tblGrid>
      <w:tr w:rsidR="00D3561A" w:rsidRPr="008E5027" w:rsidTr="00C25B16">
        <w:trPr>
          <w:tblHeader/>
        </w:trPr>
        <w:tc>
          <w:tcPr>
            <w:tcW w:w="2977"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noProof/>
                <w:sz w:val="16"/>
              </w:rPr>
              <w:pict>
                <v:line id="_x0000_s1032" style="position:absolute;left:0;text-align:left;z-index:2" from="-2.6pt,-.55pt" to="148.6pt,31.55pt">
                  <w10:anchorlock/>
                </v:line>
              </w:pict>
            </w:r>
            <w:r w:rsidR="002150F8">
              <w:rPr>
                <w:i/>
                <w:noProof/>
                <w:sz w:val="16"/>
              </w:rPr>
              <w:t>Année</w:t>
            </w:r>
          </w:p>
          <w:p w:rsidR="00D3561A" w:rsidRPr="008E5027" w:rsidRDefault="002150F8" w:rsidP="00D3561A">
            <w:pPr>
              <w:spacing w:before="80" w:after="80" w:line="200" w:lineRule="exact"/>
              <w:rPr>
                <w:i/>
                <w:sz w:val="16"/>
              </w:rPr>
            </w:pPr>
            <w:r w:rsidRPr="002150F8">
              <w:rPr>
                <w:i/>
                <w:sz w:val="16"/>
                <w:lang w:val="fr-FR"/>
              </w:rPr>
              <w:t>Type d</w:t>
            </w:r>
            <w:r w:rsidR="00277023">
              <w:rPr>
                <w:i/>
                <w:sz w:val="16"/>
                <w:lang w:val="fr-FR"/>
              </w:rPr>
              <w:t>’</w:t>
            </w:r>
            <w:r w:rsidRPr="002150F8">
              <w:rPr>
                <w:i/>
                <w:sz w:val="16"/>
                <w:lang w:val="fr-FR"/>
              </w:rPr>
              <w:t>infraction</w:t>
            </w:r>
          </w:p>
        </w:tc>
        <w:tc>
          <w:tcPr>
            <w:tcW w:w="1074" w:type="dxa"/>
            <w:tcBorders>
              <w:top w:val="single" w:sz="4" w:space="0" w:color="auto"/>
              <w:bottom w:val="single" w:sz="12" w:space="0" w:color="auto"/>
            </w:tcBorders>
            <w:shd w:val="clear" w:color="auto" w:fill="auto"/>
            <w:vAlign w:val="bottom"/>
          </w:tcPr>
          <w:p w:rsidR="00D3561A" w:rsidRPr="008E5027" w:rsidRDefault="00D3561A" w:rsidP="00C25B16">
            <w:pPr>
              <w:spacing w:before="80" w:after="80" w:line="200" w:lineRule="exact"/>
              <w:jc w:val="right"/>
              <w:rPr>
                <w:i/>
                <w:sz w:val="16"/>
              </w:rPr>
            </w:pPr>
            <w:r w:rsidRPr="008E5027">
              <w:rPr>
                <w:i/>
                <w:sz w:val="16"/>
              </w:rPr>
              <w:t>2004</w:t>
            </w:r>
          </w:p>
        </w:tc>
        <w:tc>
          <w:tcPr>
            <w:tcW w:w="1107" w:type="dxa"/>
            <w:tcBorders>
              <w:top w:val="single" w:sz="4" w:space="0" w:color="auto"/>
              <w:bottom w:val="single" w:sz="12" w:space="0" w:color="auto"/>
            </w:tcBorders>
            <w:shd w:val="clear" w:color="auto" w:fill="auto"/>
            <w:vAlign w:val="bottom"/>
          </w:tcPr>
          <w:p w:rsidR="00D3561A" w:rsidRPr="008E5027" w:rsidRDefault="00D3561A" w:rsidP="00C25B16">
            <w:pPr>
              <w:spacing w:before="80" w:after="80" w:line="200" w:lineRule="exact"/>
              <w:jc w:val="right"/>
              <w:rPr>
                <w:i/>
                <w:sz w:val="16"/>
              </w:rPr>
            </w:pPr>
            <w:r w:rsidRPr="008E5027">
              <w:rPr>
                <w:i/>
                <w:sz w:val="16"/>
              </w:rPr>
              <w:t>2003</w:t>
            </w:r>
          </w:p>
        </w:tc>
        <w:tc>
          <w:tcPr>
            <w:tcW w:w="1107" w:type="dxa"/>
            <w:tcBorders>
              <w:top w:val="single" w:sz="4" w:space="0" w:color="auto"/>
              <w:bottom w:val="single" w:sz="12" w:space="0" w:color="auto"/>
            </w:tcBorders>
            <w:shd w:val="clear" w:color="auto" w:fill="auto"/>
            <w:vAlign w:val="bottom"/>
          </w:tcPr>
          <w:p w:rsidR="00D3561A" w:rsidRPr="008E5027" w:rsidRDefault="00D3561A" w:rsidP="00C25B16">
            <w:pPr>
              <w:spacing w:before="80" w:after="80" w:line="200" w:lineRule="exact"/>
              <w:jc w:val="right"/>
              <w:rPr>
                <w:i/>
                <w:sz w:val="16"/>
              </w:rPr>
            </w:pPr>
            <w:r w:rsidRPr="008E5027">
              <w:rPr>
                <w:i/>
                <w:sz w:val="16"/>
              </w:rPr>
              <w:t>2002</w:t>
            </w:r>
          </w:p>
        </w:tc>
        <w:tc>
          <w:tcPr>
            <w:tcW w:w="1106" w:type="dxa"/>
            <w:tcBorders>
              <w:top w:val="single" w:sz="4" w:space="0" w:color="auto"/>
              <w:bottom w:val="single" w:sz="12" w:space="0" w:color="auto"/>
            </w:tcBorders>
            <w:shd w:val="clear" w:color="auto" w:fill="auto"/>
            <w:vAlign w:val="bottom"/>
          </w:tcPr>
          <w:p w:rsidR="00D3561A" w:rsidRPr="008E5027" w:rsidRDefault="00D3561A" w:rsidP="00C25B16">
            <w:pPr>
              <w:spacing w:before="80" w:after="80" w:line="200" w:lineRule="exact"/>
              <w:jc w:val="right"/>
              <w:rPr>
                <w:i/>
                <w:sz w:val="16"/>
              </w:rPr>
            </w:pPr>
            <w:r w:rsidRPr="008E5027">
              <w:rPr>
                <w:i/>
                <w:sz w:val="16"/>
              </w:rPr>
              <w:t>2001</w:t>
            </w:r>
          </w:p>
        </w:tc>
      </w:tr>
      <w:tr w:rsidR="00D3561A" w:rsidRPr="008E5027" w:rsidTr="00C25B16">
        <w:tc>
          <w:tcPr>
            <w:tcW w:w="2977" w:type="dxa"/>
            <w:tcBorders>
              <w:top w:val="single" w:sz="12" w:space="0" w:color="auto"/>
              <w:bottom w:val="single" w:sz="4" w:space="0" w:color="auto"/>
            </w:tcBorders>
            <w:shd w:val="clear" w:color="auto" w:fill="auto"/>
            <w:vAlign w:val="bottom"/>
          </w:tcPr>
          <w:p w:rsidR="00D3561A" w:rsidRPr="008E5027" w:rsidRDefault="00C25B16" w:rsidP="00C25B16">
            <w:pPr>
              <w:suppressAutoHyphens w:val="0"/>
              <w:spacing w:before="80" w:after="80" w:line="220" w:lineRule="exact"/>
              <w:ind w:left="284"/>
              <w:rPr>
                <w:b/>
                <w:sz w:val="18"/>
                <w:szCs w:val="18"/>
              </w:rPr>
            </w:pPr>
            <w:r w:rsidRPr="00C25B16">
              <w:rPr>
                <w:b/>
                <w:sz w:val="18"/>
                <w:szCs w:val="18"/>
                <w:lang w:val="fr-FR"/>
              </w:rPr>
              <w:t>N</w:t>
            </w:r>
            <w:r>
              <w:rPr>
                <w:b/>
                <w:sz w:val="18"/>
                <w:szCs w:val="18"/>
                <w:lang w:val="fr-FR"/>
              </w:rPr>
              <w:t>om</w:t>
            </w:r>
            <w:r w:rsidRPr="00C25B16">
              <w:rPr>
                <w:b/>
                <w:sz w:val="18"/>
                <w:szCs w:val="18"/>
                <w:lang w:val="fr-FR"/>
              </w:rPr>
              <w:t>b</w:t>
            </w:r>
            <w:r>
              <w:rPr>
                <w:b/>
                <w:sz w:val="18"/>
                <w:szCs w:val="18"/>
                <w:lang w:val="fr-FR"/>
              </w:rPr>
              <w:t>re</w:t>
            </w:r>
            <w:r w:rsidRPr="00C25B16">
              <w:rPr>
                <w:b/>
                <w:sz w:val="18"/>
                <w:szCs w:val="18"/>
                <w:lang w:val="fr-FR"/>
              </w:rPr>
              <w:t xml:space="preserve"> total de personnes</w:t>
            </w:r>
          </w:p>
        </w:tc>
        <w:tc>
          <w:tcPr>
            <w:tcW w:w="1074" w:type="dxa"/>
            <w:tcBorders>
              <w:top w:val="single" w:sz="12" w:space="0" w:color="auto"/>
              <w:bottom w:val="single" w:sz="4" w:space="0" w:color="auto"/>
            </w:tcBorders>
            <w:shd w:val="clear" w:color="auto" w:fill="auto"/>
            <w:vAlign w:val="bottom"/>
          </w:tcPr>
          <w:p w:rsidR="00D3561A" w:rsidRPr="008E5027" w:rsidRDefault="00D3561A" w:rsidP="00C25B16">
            <w:pPr>
              <w:suppressAutoHyphens w:val="0"/>
              <w:spacing w:before="80" w:after="80" w:line="220" w:lineRule="exact"/>
              <w:jc w:val="right"/>
              <w:rPr>
                <w:b/>
                <w:sz w:val="18"/>
                <w:szCs w:val="18"/>
              </w:rPr>
            </w:pPr>
            <w:r w:rsidRPr="008E5027">
              <w:rPr>
                <w:b/>
                <w:sz w:val="18"/>
                <w:szCs w:val="18"/>
              </w:rPr>
              <w:t>253</w:t>
            </w:r>
          </w:p>
        </w:tc>
        <w:tc>
          <w:tcPr>
            <w:tcW w:w="1107" w:type="dxa"/>
            <w:tcBorders>
              <w:top w:val="single" w:sz="12" w:space="0" w:color="auto"/>
              <w:bottom w:val="single" w:sz="4" w:space="0" w:color="auto"/>
            </w:tcBorders>
            <w:shd w:val="clear" w:color="auto" w:fill="auto"/>
            <w:vAlign w:val="bottom"/>
          </w:tcPr>
          <w:p w:rsidR="00D3561A" w:rsidRPr="008E5027" w:rsidRDefault="00D3561A" w:rsidP="00C25B16">
            <w:pPr>
              <w:suppressAutoHyphens w:val="0"/>
              <w:spacing w:before="80" w:after="80" w:line="220" w:lineRule="exact"/>
              <w:jc w:val="right"/>
              <w:rPr>
                <w:b/>
                <w:sz w:val="18"/>
                <w:szCs w:val="18"/>
              </w:rPr>
            </w:pPr>
            <w:r w:rsidRPr="008E5027">
              <w:rPr>
                <w:b/>
                <w:sz w:val="18"/>
                <w:szCs w:val="18"/>
              </w:rPr>
              <w:t>183</w:t>
            </w:r>
          </w:p>
        </w:tc>
        <w:tc>
          <w:tcPr>
            <w:tcW w:w="1107" w:type="dxa"/>
            <w:tcBorders>
              <w:top w:val="single" w:sz="12" w:space="0" w:color="auto"/>
              <w:bottom w:val="single" w:sz="4" w:space="0" w:color="auto"/>
            </w:tcBorders>
            <w:shd w:val="clear" w:color="auto" w:fill="auto"/>
            <w:vAlign w:val="bottom"/>
          </w:tcPr>
          <w:p w:rsidR="00D3561A" w:rsidRPr="008E5027" w:rsidRDefault="00D3561A" w:rsidP="00C25B16">
            <w:pPr>
              <w:suppressAutoHyphens w:val="0"/>
              <w:spacing w:before="80" w:after="80" w:line="220" w:lineRule="exact"/>
              <w:jc w:val="right"/>
              <w:rPr>
                <w:b/>
                <w:sz w:val="18"/>
                <w:szCs w:val="18"/>
              </w:rPr>
            </w:pPr>
            <w:r w:rsidRPr="008E5027">
              <w:rPr>
                <w:b/>
                <w:sz w:val="18"/>
                <w:szCs w:val="18"/>
              </w:rPr>
              <w:t>184</w:t>
            </w:r>
          </w:p>
        </w:tc>
        <w:tc>
          <w:tcPr>
            <w:tcW w:w="1106" w:type="dxa"/>
            <w:tcBorders>
              <w:top w:val="single" w:sz="12" w:space="0" w:color="auto"/>
              <w:bottom w:val="single" w:sz="4" w:space="0" w:color="auto"/>
            </w:tcBorders>
            <w:shd w:val="clear" w:color="auto" w:fill="auto"/>
            <w:vAlign w:val="bottom"/>
          </w:tcPr>
          <w:p w:rsidR="00D3561A" w:rsidRPr="008E5027" w:rsidRDefault="00D3561A" w:rsidP="00C25B16">
            <w:pPr>
              <w:suppressAutoHyphens w:val="0"/>
              <w:spacing w:before="80" w:after="80" w:line="220" w:lineRule="exact"/>
              <w:jc w:val="right"/>
              <w:rPr>
                <w:b/>
                <w:sz w:val="18"/>
                <w:szCs w:val="18"/>
              </w:rPr>
            </w:pPr>
            <w:r w:rsidRPr="008E5027">
              <w:rPr>
                <w:b/>
                <w:sz w:val="18"/>
                <w:szCs w:val="18"/>
              </w:rPr>
              <w:t>216</w:t>
            </w:r>
          </w:p>
        </w:tc>
      </w:tr>
      <w:tr w:rsidR="00D3561A" w:rsidRPr="008E5027" w:rsidTr="00C25B16">
        <w:tc>
          <w:tcPr>
            <w:tcW w:w="2977" w:type="dxa"/>
            <w:tcBorders>
              <w:top w:val="single" w:sz="4" w:space="0" w:color="auto"/>
            </w:tcBorders>
            <w:shd w:val="clear" w:color="auto" w:fill="auto"/>
            <w:vAlign w:val="bottom"/>
          </w:tcPr>
          <w:p w:rsidR="00D3561A" w:rsidRPr="008E5027" w:rsidRDefault="00C25B16" w:rsidP="00C25B16">
            <w:pPr>
              <w:suppressAutoHyphens w:val="0"/>
              <w:spacing w:before="40" w:after="40" w:line="220" w:lineRule="exact"/>
              <w:rPr>
                <w:sz w:val="18"/>
                <w:szCs w:val="18"/>
              </w:rPr>
            </w:pPr>
            <w:r w:rsidRPr="00C25B16">
              <w:rPr>
                <w:sz w:val="18"/>
                <w:szCs w:val="18"/>
                <w:lang w:val="fr-FR"/>
              </w:rPr>
              <w:t>Homicide</w:t>
            </w:r>
          </w:p>
        </w:tc>
        <w:tc>
          <w:tcPr>
            <w:tcW w:w="1074" w:type="dxa"/>
            <w:tcBorders>
              <w:top w:val="single" w:sz="4" w:space="0" w:color="auto"/>
            </w:tcBorders>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33</w:t>
            </w:r>
          </w:p>
        </w:tc>
        <w:tc>
          <w:tcPr>
            <w:tcW w:w="1107" w:type="dxa"/>
            <w:tcBorders>
              <w:top w:val="single" w:sz="4" w:space="0" w:color="auto"/>
            </w:tcBorders>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26</w:t>
            </w:r>
          </w:p>
        </w:tc>
        <w:tc>
          <w:tcPr>
            <w:tcW w:w="1107" w:type="dxa"/>
            <w:tcBorders>
              <w:top w:val="single" w:sz="4" w:space="0" w:color="auto"/>
            </w:tcBorders>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20</w:t>
            </w:r>
          </w:p>
        </w:tc>
        <w:tc>
          <w:tcPr>
            <w:tcW w:w="1106" w:type="dxa"/>
            <w:tcBorders>
              <w:top w:val="single" w:sz="4" w:space="0" w:color="auto"/>
            </w:tcBorders>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38</w:t>
            </w:r>
          </w:p>
        </w:tc>
      </w:tr>
      <w:tr w:rsidR="00D3561A" w:rsidRPr="008E5027" w:rsidTr="00C25B16">
        <w:tc>
          <w:tcPr>
            <w:tcW w:w="2977" w:type="dxa"/>
            <w:shd w:val="clear" w:color="auto" w:fill="auto"/>
            <w:vAlign w:val="bottom"/>
          </w:tcPr>
          <w:p w:rsidR="00D3561A" w:rsidRPr="008E5027" w:rsidRDefault="00C25B16" w:rsidP="00C25B16">
            <w:pPr>
              <w:suppressAutoHyphens w:val="0"/>
              <w:spacing w:before="40" w:after="40" w:line="220" w:lineRule="exact"/>
              <w:rPr>
                <w:sz w:val="18"/>
                <w:szCs w:val="18"/>
              </w:rPr>
            </w:pPr>
            <w:r w:rsidRPr="00C25B16">
              <w:rPr>
                <w:sz w:val="18"/>
                <w:szCs w:val="18"/>
                <w:lang w:val="fr-FR"/>
              </w:rPr>
              <w:t>Coups et blessures</w:t>
            </w:r>
          </w:p>
        </w:tc>
        <w:tc>
          <w:tcPr>
            <w:tcW w:w="1074"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142</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98</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101</w:t>
            </w:r>
          </w:p>
        </w:tc>
        <w:tc>
          <w:tcPr>
            <w:tcW w:w="1106"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109</w:t>
            </w:r>
          </w:p>
        </w:tc>
      </w:tr>
      <w:tr w:rsidR="00D3561A" w:rsidRPr="008E5027" w:rsidTr="00C25B16">
        <w:tc>
          <w:tcPr>
            <w:tcW w:w="2977" w:type="dxa"/>
            <w:shd w:val="clear" w:color="auto" w:fill="auto"/>
            <w:vAlign w:val="bottom"/>
          </w:tcPr>
          <w:p w:rsidR="00D3561A" w:rsidRPr="008E5027" w:rsidRDefault="00C25B16" w:rsidP="00C25B16">
            <w:pPr>
              <w:suppressAutoHyphens w:val="0"/>
              <w:spacing w:before="40" w:after="40" w:line="220" w:lineRule="exact"/>
              <w:rPr>
                <w:sz w:val="18"/>
                <w:szCs w:val="18"/>
              </w:rPr>
            </w:pPr>
            <w:r w:rsidRPr="00C25B16">
              <w:rPr>
                <w:sz w:val="18"/>
                <w:szCs w:val="18"/>
                <w:lang w:val="fr-FR"/>
              </w:rPr>
              <w:t>Coups et blessures ayant entraîné la mort</w:t>
            </w:r>
          </w:p>
        </w:tc>
        <w:tc>
          <w:tcPr>
            <w:tcW w:w="1074"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29</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25</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20</w:t>
            </w:r>
          </w:p>
        </w:tc>
        <w:tc>
          <w:tcPr>
            <w:tcW w:w="1106"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32</w:t>
            </w:r>
          </w:p>
        </w:tc>
      </w:tr>
      <w:tr w:rsidR="00D3561A" w:rsidRPr="008E5027" w:rsidTr="00C25B16">
        <w:tc>
          <w:tcPr>
            <w:tcW w:w="2977" w:type="dxa"/>
            <w:shd w:val="clear" w:color="auto" w:fill="auto"/>
            <w:vAlign w:val="bottom"/>
          </w:tcPr>
          <w:p w:rsidR="00D3561A" w:rsidRPr="008E5027" w:rsidRDefault="00C25B16" w:rsidP="00C25B16">
            <w:pPr>
              <w:suppressAutoHyphens w:val="0"/>
              <w:spacing w:before="40" w:after="40" w:line="220" w:lineRule="exact"/>
              <w:rPr>
                <w:sz w:val="18"/>
                <w:szCs w:val="18"/>
              </w:rPr>
            </w:pPr>
            <w:r w:rsidRPr="00C25B16">
              <w:rPr>
                <w:sz w:val="18"/>
                <w:szCs w:val="18"/>
                <w:lang w:val="fr-FR"/>
              </w:rPr>
              <w:t>Violence</w:t>
            </w:r>
          </w:p>
        </w:tc>
        <w:tc>
          <w:tcPr>
            <w:tcW w:w="1074"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16</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6</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5</w:t>
            </w:r>
          </w:p>
        </w:tc>
        <w:tc>
          <w:tcPr>
            <w:tcW w:w="1106"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9</w:t>
            </w:r>
          </w:p>
        </w:tc>
      </w:tr>
      <w:tr w:rsidR="00D3561A" w:rsidRPr="008E5027" w:rsidTr="00C25B16">
        <w:tc>
          <w:tcPr>
            <w:tcW w:w="2977" w:type="dxa"/>
            <w:shd w:val="clear" w:color="auto" w:fill="auto"/>
            <w:vAlign w:val="bottom"/>
          </w:tcPr>
          <w:p w:rsidR="00D3561A" w:rsidRPr="008E5027" w:rsidRDefault="00C25B16" w:rsidP="00C25B16">
            <w:pPr>
              <w:suppressAutoHyphens w:val="0"/>
              <w:spacing w:before="40" w:after="40" w:line="220" w:lineRule="exact"/>
              <w:rPr>
                <w:sz w:val="18"/>
                <w:szCs w:val="18"/>
              </w:rPr>
            </w:pPr>
            <w:r w:rsidRPr="00C25B16">
              <w:rPr>
                <w:sz w:val="18"/>
                <w:szCs w:val="18"/>
                <w:lang w:val="fr-FR"/>
              </w:rPr>
              <w:t>Arrestation et emprisonnement</w:t>
            </w:r>
          </w:p>
        </w:tc>
        <w:tc>
          <w:tcPr>
            <w:tcW w:w="1074"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1</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0</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1</w:t>
            </w:r>
          </w:p>
        </w:tc>
        <w:tc>
          <w:tcPr>
            <w:tcW w:w="1106"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0</w:t>
            </w:r>
          </w:p>
        </w:tc>
      </w:tr>
      <w:tr w:rsidR="00D3561A" w:rsidRPr="008E5027" w:rsidTr="00C25B16">
        <w:tc>
          <w:tcPr>
            <w:tcW w:w="2977" w:type="dxa"/>
            <w:shd w:val="clear" w:color="auto" w:fill="auto"/>
            <w:vAlign w:val="bottom"/>
          </w:tcPr>
          <w:p w:rsidR="00D3561A" w:rsidRPr="008E5027" w:rsidRDefault="00C25B16" w:rsidP="00C25B16">
            <w:pPr>
              <w:suppressAutoHyphens w:val="0"/>
              <w:spacing w:before="40" w:after="40" w:line="220" w:lineRule="exact"/>
              <w:rPr>
                <w:sz w:val="18"/>
                <w:szCs w:val="18"/>
              </w:rPr>
            </w:pPr>
            <w:r w:rsidRPr="00C25B16">
              <w:rPr>
                <w:sz w:val="18"/>
                <w:szCs w:val="18"/>
                <w:lang w:val="fr-FR"/>
              </w:rPr>
              <w:t>Viol</w:t>
            </w:r>
          </w:p>
        </w:tc>
        <w:tc>
          <w:tcPr>
            <w:tcW w:w="1074"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16</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6</w:t>
            </w:r>
          </w:p>
        </w:tc>
        <w:tc>
          <w:tcPr>
            <w:tcW w:w="1107"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7</w:t>
            </w:r>
          </w:p>
        </w:tc>
        <w:tc>
          <w:tcPr>
            <w:tcW w:w="1106" w:type="dxa"/>
            <w:shd w:val="clear" w:color="auto" w:fill="auto"/>
            <w:vAlign w:val="bottom"/>
          </w:tcPr>
          <w:p w:rsidR="00D3561A" w:rsidRPr="008E5027" w:rsidRDefault="00D3561A" w:rsidP="00C25B16">
            <w:pPr>
              <w:suppressAutoHyphens w:val="0"/>
              <w:spacing w:before="40" w:after="40" w:line="220" w:lineRule="exact"/>
              <w:jc w:val="right"/>
              <w:rPr>
                <w:sz w:val="18"/>
                <w:szCs w:val="18"/>
              </w:rPr>
            </w:pPr>
            <w:r w:rsidRPr="008E5027">
              <w:rPr>
                <w:sz w:val="18"/>
                <w:szCs w:val="18"/>
              </w:rPr>
              <w:t>4</w:t>
            </w:r>
          </w:p>
        </w:tc>
      </w:tr>
      <w:tr w:rsidR="00C25B16" w:rsidRPr="008E5027" w:rsidTr="00C25B16">
        <w:tc>
          <w:tcPr>
            <w:tcW w:w="2977" w:type="dxa"/>
            <w:shd w:val="clear" w:color="auto" w:fill="auto"/>
            <w:vAlign w:val="bottom"/>
          </w:tcPr>
          <w:p w:rsidR="00C25B16" w:rsidRPr="00C25B16" w:rsidRDefault="00C25B16" w:rsidP="00C25B16">
            <w:pPr>
              <w:keepNext/>
              <w:spacing w:before="40" w:after="40" w:line="220" w:lineRule="exact"/>
              <w:rPr>
                <w:sz w:val="18"/>
                <w:szCs w:val="18"/>
              </w:rPr>
            </w:pPr>
            <w:r w:rsidRPr="00C25B16">
              <w:rPr>
                <w:sz w:val="18"/>
                <w:szCs w:val="18"/>
              </w:rPr>
              <w:t>Attentat à la pudeur</w:t>
            </w:r>
          </w:p>
        </w:tc>
        <w:tc>
          <w:tcPr>
            <w:tcW w:w="1074"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8</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3</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4</w:t>
            </w:r>
          </w:p>
        </w:tc>
        <w:tc>
          <w:tcPr>
            <w:tcW w:w="1106"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5</w:t>
            </w:r>
          </w:p>
        </w:tc>
      </w:tr>
      <w:tr w:rsidR="00C25B16" w:rsidRPr="008E5027" w:rsidTr="00C25B16">
        <w:tc>
          <w:tcPr>
            <w:tcW w:w="2977" w:type="dxa"/>
            <w:shd w:val="clear" w:color="auto" w:fill="auto"/>
            <w:vAlign w:val="bottom"/>
          </w:tcPr>
          <w:p w:rsidR="00C25B16" w:rsidRPr="00C25B16" w:rsidRDefault="00C25B16" w:rsidP="00C25B16">
            <w:pPr>
              <w:spacing w:before="40" w:after="40" w:line="220" w:lineRule="exact"/>
              <w:rPr>
                <w:sz w:val="18"/>
                <w:szCs w:val="18"/>
                <w:lang w:val="es-ES"/>
              </w:rPr>
            </w:pPr>
            <w:r w:rsidRPr="00C25B16">
              <w:rPr>
                <w:sz w:val="18"/>
                <w:szCs w:val="18"/>
                <w:lang w:val="es-ES"/>
              </w:rPr>
              <w:t xml:space="preserve">Violation de </w:t>
            </w:r>
            <w:smartTag w:uri="urn:schemas-microsoft-com:office:smarttags" w:element="PersonName">
              <w:smartTagPr>
                <w:attr w:name="ProductID" w:val="la Loi"/>
              </w:smartTagPr>
              <w:r w:rsidRPr="00C25B16">
                <w:rPr>
                  <w:sz w:val="18"/>
                  <w:szCs w:val="18"/>
                  <w:lang w:val="es-ES"/>
                </w:rPr>
                <w:t>la Loi</w:t>
              </w:r>
            </w:smartTag>
            <w:r w:rsidRPr="00C25B16">
              <w:rPr>
                <w:sz w:val="18"/>
                <w:szCs w:val="18"/>
                <w:lang w:val="es-ES"/>
              </w:rPr>
              <w:t xml:space="preserve"> sur la protection de l</w:t>
            </w:r>
            <w:r w:rsidR="00277023">
              <w:rPr>
                <w:sz w:val="18"/>
                <w:szCs w:val="18"/>
                <w:lang w:val="es-ES"/>
              </w:rPr>
              <w:t>’</w:t>
            </w:r>
            <w:r w:rsidRPr="00C25B16">
              <w:rPr>
                <w:sz w:val="18"/>
                <w:szCs w:val="18"/>
                <w:lang w:val="es-ES"/>
              </w:rPr>
              <w:t>enfance</w:t>
            </w:r>
          </w:p>
        </w:tc>
        <w:tc>
          <w:tcPr>
            <w:tcW w:w="1074"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17</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18</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21</w:t>
            </w:r>
          </w:p>
        </w:tc>
        <w:tc>
          <w:tcPr>
            <w:tcW w:w="1106"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14</w:t>
            </w:r>
          </w:p>
        </w:tc>
      </w:tr>
      <w:tr w:rsidR="00C25B16" w:rsidRPr="008E5027" w:rsidTr="00C25B16">
        <w:tc>
          <w:tcPr>
            <w:tcW w:w="2977" w:type="dxa"/>
            <w:shd w:val="clear" w:color="auto" w:fill="auto"/>
            <w:vAlign w:val="bottom"/>
          </w:tcPr>
          <w:p w:rsidR="00C25B16" w:rsidRPr="00C25B16" w:rsidRDefault="00C25B16" w:rsidP="00C25B16">
            <w:pPr>
              <w:spacing w:before="40" w:after="40" w:line="220" w:lineRule="exact"/>
              <w:rPr>
                <w:sz w:val="18"/>
                <w:szCs w:val="18"/>
                <w:lang w:val="es-ES"/>
              </w:rPr>
            </w:pPr>
            <w:r w:rsidRPr="00C25B16">
              <w:rPr>
                <w:sz w:val="18"/>
                <w:szCs w:val="18"/>
                <w:lang w:val="es-ES"/>
              </w:rPr>
              <w:t>Violation des dispositions relatives à la prévention de la délinquance et au développement de la jeunesse</w:t>
            </w:r>
          </w:p>
        </w:tc>
        <w:tc>
          <w:tcPr>
            <w:tcW w:w="1074"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1</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2</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0</w:t>
            </w:r>
          </w:p>
        </w:tc>
        <w:tc>
          <w:tcPr>
            <w:tcW w:w="1106"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10</w:t>
            </w:r>
          </w:p>
        </w:tc>
      </w:tr>
      <w:tr w:rsidR="00C25B16" w:rsidRPr="008E5027" w:rsidTr="00C25B16">
        <w:tc>
          <w:tcPr>
            <w:tcW w:w="2977" w:type="dxa"/>
            <w:shd w:val="clear" w:color="auto" w:fill="auto"/>
            <w:vAlign w:val="bottom"/>
          </w:tcPr>
          <w:p w:rsidR="00C25B16" w:rsidRPr="00C25B16" w:rsidRDefault="00C25B16" w:rsidP="00C25B16">
            <w:pPr>
              <w:spacing w:before="40" w:after="40" w:line="220" w:lineRule="exact"/>
              <w:rPr>
                <w:sz w:val="18"/>
                <w:szCs w:val="18"/>
                <w:lang w:val="es-ES"/>
              </w:rPr>
            </w:pPr>
            <w:r w:rsidRPr="00C25B16">
              <w:rPr>
                <w:sz w:val="18"/>
                <w:szCs w:val="18"/>
                <w:lang w:val="es-ES"/>
              </w:rPr>
              <w:t>Défaut de soins de la part d</w:t>
            </w:r>
            <w:r w:rsidR="00277023">
              <w:rPr>
                <w:sz w:val="18"/>
                <w:szCs w:val="18"/>
                <w:lang w:val="es-ES"/>
              </w:rPr>
              <w:t>’</w:t>
            </w:r>
            <w:r w:rsidRPr="00C25B16">
              <w:rPr>
                <w:sz w:val="18"/>
                <w:szCs w:val="18"/>
                <w:lang w:val="es-ES"/>
              </w:rPr>
              <w:t>une personne responsable de la garde et de la protection de l</w:t>
            </w:r>
            <w:r w:rsidR="00277023">
              <w:rPr>
                <w:sz w:val="18"/>
                <w:szCs w:val="18"/>
                <w:lang w:val="es-ES"/>
              </w:rPr>
              <w:t>’</w:t>
            </w:r>
            <w:r w:rsidRPr="00C25B16">
              <w:rPr>
                <w:sz w:val="18"/>
                <w:szCs w:val="18"/>
                <w:lang w:val="es-ES"/>
              </w:rPr>
              <w:t>enfant</w:t>
            </w:r>
          </w:p>
        </w:tc>
        <w:tc>
          <w:tcPr>
            <w:tcW w:w="1074"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16</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20</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25</w:t>
            </w:r>
          </w:p>
        </w:tc>
        <w:tc>
          <w:tcPr>
            <w:tcW w:w="1106"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23</w:t>
            </w:r>
          </w:p>
        </w:tc>
      </w:tr>
      <w:tr w:rsidR="00C25B16" w:rsidRPr="008E5027" w:rsidTr="00C25B16">
        <w:tc>
          <w:tcPr>
            <w:tcW w:w="2977" w:type="dxa"/>
            <w:shd w:val="clear" w:color="auto" w:fill="auto"/>
            <w:vAlign w:val="bottom"/>
          </w:tcPr>
          <w:p w:rsidR="00C25B16" w:rsidRPr="00C25B16" w:rsidRDefault="00C25B16" w:rsidP="00C25B16">
            <w:pPr>
              <w:spacing w:before="40" w:after="40" w:line="220" w:lineRule="exact"/>
              <w:rPr>
                <w:sz w:val="18"/>
                <w:szCs w:val="18"/>
                <w:lang w:val="es-ES"/>
              </w:rPr>
            </w:pPr>
            <w:r w:rsidRPr="00C25B16">
              <w:rPr>
                <w:sz w:val="18"/>
                <w:szCs w:val="18"/>
                <w:lang w:val="es-ES"/>
              </w:rPr>
              <w:t>Négligence grave et homicide involontaire</w:t>
            </w:r>
          </w:p>
        </w:tc>
        <w:tc>
          <w:tcPr>
            <w:tcW w:w="1074"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3</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4</w:t>
            </w:r>
          </w:p>
        </w:tc>
        <w:tc>
          <w:tcPr>
            <w:tcW w:w="1107"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0</w:t>
            </w:r>
          </w:p>
        </w:tc>
        <w:tc>
          <w:tcPr>
            <w:tcW w:w="1106" w:type="dxa"/>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3</w:t>
            </w:r>
          </w:p>
        </w:tc>
      </w:tr>
      <w:tr w:rsidR="00C25B16" w:rsidRPr="008E5027" w:rsidTr="00C25B16">
        <w:tc>
          <w:tcPr>
            <w:tcW w:w="2977" w:type="dxa"/>
            <w:tcBorders>
              <w:bottom w:val="single" w:sz="12" w:space="0" w:color="auto"/>
            </w:tcBorders>
            <w:shd w:val="clear" w:color="auto" w:fill="auto"/>
            <w:vAlign w:val="bottom"/>
          </w:tcPr>
          <w:p w:rsidR="00C25B16" w:rsidRPr="00C25B16" w:rsidRDefault="00C25B16" w:rsidP="00C25B16">
            <w:pPr>
              <w:spacing w:before="40" w:after="40" w:line="220" w:lineRule="exact"/>
              <w:rPr>
                <w:sz w:val="18"/>
                <w:szCs w:val="18"/>
                <w:lang w:val="es-ES"/>
              </w:rPr>
            </w:pPr>
            <w:r w:rsidRPr="00C25B16">
              <w:rPr>
                <w:sz w:val="18"/>
                <w:szCs w:val="18"/>
                <w:lang w:val="es-ES"/>
              </w:rPr>
              <w:t xml:space="preserve">Violation de </w:t>
            </w:r>
            <w:smartTag w:uri="urn:schemas-microsoft-com:office:smarttags" w:element="PersonName">
              <w:smartTagPr>
                <w:attr w:name="ProductID" w:val="la Loi"/>
              </w:smartTagPr>
              <w:r w:rsidRPr="00C25B16">
                <w:rPr>
                  <w:sz w:val="18"/>
                  <w:szCs w:val="18"/>
                  <w:lang w:val="es-ES"/>
                </w:rPr>
                <w:t>la Loi</w:t>
              </w:r>
            </w:smartTag>
            <w:r w:rsidRPr="00C25B16">
              <w:rPr>
                <w:sz w:val="18"/>
                <w:szCs w:val="18"/>
                <w:lang w:val="es-ES"/>
              </w:rPr>
              <w:t xml:space="preserve"> sur le contrôle des stupéfiants</w:t>
            </w:r>
          </w:p>
        </w:tc>
        <w:tc>
          <w:tcPr>
            <w:tcW w:w="1074" w:type="dxa"/>
            <w:tcBorders>
              <w:bottom w:val="single" w:sz="12" w:space="0" w:color="auto"/>
            </w:tcBorders>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0</w:t>
            </w:r>
          </w:p>
        </w:tc>
        <w:tc>
          <w:tcPr>
            <w:tcW w:w="1107" w:type="dxa"/>
            <w:tcBorders>
              <w:bottom w:val="single" w:sz="12" w:space="0" w:color="auto"/>
            </w:tcBorders>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0</w:t>
            </w:r>
          </w:p>
        </w:tc>
        <w:tc>
          <w:tcPr>
            <w:tcW w:w="1107" w:type="dxa"/>
            <w:tcBorders>
              <w:bottom w:val="single" w:sz="12" w:space="0" w:color="auto"/>
            </w:tcBorders>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0</w:t>
            </w:r>
          </w:p>
        </w:tc>
        <w:tc>
          <w:tcPr>
            <w:tcW w:w="1106" w:type="dxa"/>
            <w:tcBorders>
              <w:bottom w:val="single" w:sz="12" w:space="0" w:color="auto"/>
            </w:tcBorders>
            <w:shd w:val="clear" w:color="auto" w:fill="auto"/>
            <w:vAlign w:val="bottom"/>
          </w:tcPr>
          <w:p w:rsidR="00C25B16" w:rsidRPr="008E5027" w:rsidRDefault="00C25B16" w:rsidP="00C25B16">
            <w:pPr>
              <w:suppressAutoHyphens w:val="0"/>
              <w:spacing w:before="40" w:after="40" w:line="220" w:lineRule="exact"/>
              <w:jc w:val="right"/>
              <w:rPr>
                <w:sz w:val="18"/>
                <w:szCs w:val="18"/>
              </w:rPr>
            </w:pPr>
            <w:r w:rsidRPr="008E5027">
              <w:rPr>
                <w:sz w:val="18"/>
                <w:szCs w:val="18"/>
              </w:rPr>
              <w:t>1</w:t>
            </w:r>
          </w:p>
        </w:tc>
      </w:tr>
    </w:tbl>
    <w:p w:rsidR="002F07F2" w:rsidRPr="002F07F2" w:rsidRDefault="002F07F2" w:rsidP="002F07F2">
      <w:pPr>
        <w:pStyle w:val="HChG"/>
      </w:pPr>
      <w:r>
        <w:tab/>
        <w:t>VI.</w:t>
      </w:r>
      <w:r>
        <w:tab/>
      </w:r>
      <w:r w:rsidRPr="002F07F2">
        <w:t>Santé et bien-être de base (articles 6 et 18, paragraphe 3, articles 23, 24, 26 et 27, paragraphes 1</w:t>
      </w:r>
      <w:r>
        <w:t>-</w:t>
      </w:r>
      <w:r w:rsidRPr="002F07F2">
        <w:t>3)</w:t>
      </w:r>
    </w:p>
    <w:p w:rsidR="002F07F2" w:rsidRPr="002F07F2" w:rsidRDefault="002F07F2" w:rsidP="002F07F2">
      <w:pPr>
        <w:pStyle w:val="H1G"/>
      </w:pPr>
      <w:r>
        <w:tab/>
        <w:t>A.</w:t>
      </w:r>
      <w:r>
        <w:tab/>
      </w:r>
      <w:r w:rsidRPr="002F07F2">
        <w:t>Enfants handicapés (article 23)</w:t>
      </w:r>
    </w:p>
    <w:p w:rsidR="002F07F2" w:rsidRPr="00D74CA4" w:rsidRDefault="002F07F2" w:rsidP="002F07F2">
      <w:pPr>
        <w:pStyle w:val="H23G"/>
      </w:pPr>
      <w:r>
        <w:tab/>
      </w:r>
      <w:r w:rsidRPr="00D74CA4">
        <w:t>a)</w:t>
      </w:r>
      <w:r w:rsidRPr="00D74CA4">
        <w:tab/>
        <w:t>Situation des enfants présentant des handicaps physiques ou intellectuels</w:t>
      </w:r>
    </w:p>
    <w:p w:rsidR="00D3561A" w:rsidRPr="00D74CA4" w:rsidRDefault="002F07F2" w:rsidP="002F07F2">
      <w:pPr>
        <w:pStyle w:val="SingleTxtG"/>
        <w:rPr>
          <w:lang w:val="es-ES"/>
        </w:rPr>
      </w:pPr>
      <w:r w:rsidRPr="002F07F2">
        <w:rPr>
          <w:lang w:val="es-ES"/>
        </w:rPr>
        <w:t>343.</w:t>
      </w:r>
      <w:r w:rsidRPr="002F07F2">
        <w:rPr>
          <w:lang w:val="es-ES"/>
        </w:rPr>
        <w:tab/>
        <w:t>Au Japon, le nombre d</w:t>
      </w:r>
      <w:r w:rsidR="00277023">
        <w:rPr>
          <w:lang w:val="es-ES"/>
        </w:rPr>
        <w:t>’</w:t>
      </w:r>
      <w:r w:rsidRPr="002F07F2">
        <w:rPr>
          <w:lang w:val="es-ES"/>
        </w:rPr>
        <w:t>enfants handicapés physiques gardés à domicile était de 81.600 en 1996 et de 81.900 en 2001, ce qui témoigne d</w:t>
      </w:r>
      <w:r w:rsidR="00277023">
        <w:rPr>
          <w:lang w:val="es-ES"/>
        </w:rPr>
        <w:t>’</w:t>
      </w:r>
      <w:r w:rsidRPr="002F07F2">
        <w:rPr>
          <w:lang w:val="es-ES"/>
        </w:rPr>
        <w:t xml:space="preserve">une certaine stabilité. </w:t>
      </w:r>
      <w:r w:rsidRPr="00D74CA4">
        <w:rPr>
          <w:lang w:val="es-ES"/>
        </w:rPr>
        <w:t>Le nombre d</w:t>
      </w:r>
      <w:r w:rsidR="00277023">
        <w:rPr>
          <w:lang w:val="es-ES"/>
        </w:rPr>
        <w:t>’</w:t>
      </w:r>
      <w:r w:rsidRPr="00D74CA4">
        <w:rPr>
          <w:lang w:val="es-ES"/>
        </w:rPr>
        <w:t>enfants atteints d</w:t>
      </w:r>
      <w:r w:rsidR="00277023">
        <w:rPr>
          <w:lang w:val="es-ES"/>
        </w:rPr>
        <w:t>’</w:t>
      </w:r>
      <w:r w:rsidRPr="00D74CA4">
        <w:rPr>
          <w:lang w:val="es-ES"/>
        </w:rPr>
        <w:t>un handicap intellectuel était de 85.600 en 1995 mais est passé à 93.600 en 2000, soit une légère augmentation. Ci-après, les enfants présentant un handicap physique ou mental sont désignés sous l</w:t>
      </w:r>
      <w:r w:rsidR="00277023">
        <w:rPr>
          <w:lang w:val="es-ES"/>
        </w:rPr>
        <w:t>’</w:t>
      </w:r>
      <w:r w:rsidRPr="00D74CA4">
        <w:rPr>
          <w:lang w:val="es-ES"/>
        </w:rPr>
        <w:t xml:space="preserve">appellation </w:t>
      </w:r>
      <w:r w:rsidR="008E49D4">
        <w:rPr>
          <w:lang w:val="es-ES"/>
        </w:rPr>
        <w:t>“</w:t>
      </w:r>
      <w:r w:rsidRPr="00D74CA4">
        <w:rPr>
          <w:lang w:val="es-ES"/>
        </w:rPr>
        <w:t>enfants handicapés</w:t>
      </w:r>
      <w:r w:rsidR="008E49D4">
        <w:rPr>
          <w:lang w:val="es-ES"/>
        </w:rPr>
        <w:t>”</w:t>
      </w:r>
      <w:r w:rsidRPr="00D74CA4">
        <w:rPr>
          <w:lang w:val="es-ES"/>
        </w:rPr>
        <w:t>.</w:t>
      </w:r>
    </w:p>
    <w:p w:rsidR="00D3561A" w:rsidRPr="002F07F2" w:rsidRDefault="00365506" w:rsidP="00D3561A">
      <w:pPr>
        <w:pStyle w:val="Heading1"/>
        <w:rPr>
          <w:lang w:val="es-ES"/>
        </w:rPr>
      </w:pPr>
      <w:r w:rsidRPr="00F206B8">
        <w:rPr>
          <w:lang w:val="fr-FR"/>
        </w:rPr>
        <w:t>Tableau</w:t>
      </w:r>
      <w:r w:rsidRPr="00F206B8">
        <w:rPr>
          <w:lang w:val="es-ES"/>
        </w:rPr>
        <w:t xml:space="preserve"> </w:t>
      </w:r>
      <w:r w:rsidR="00D3561A" w:rsidRPr="002F07F2">
        <w:rPr>
          <w:lang w:val="es-ES"/>
        </w:rPr>
        <w:t>14</w:t>
      </w:r>
    </w:p>
    <w:p w:rsidR="00D3561A" w:rsidRPr="002F07F2" w:rsidRDefault="002F07F2" w:rsidP="00AC5677">
      <w:pPr>
        <w:pStyle w:val="SingleTxtG"/>
        <w:spacing w:after="0"/>
        <w:jc w:val="left"/>
        <w:rPr>
          <w:b/>
          <w:bCs/>
          <w:lang w:val="es-ES"/>
        </w:rPr>
      </w:pPr>
      <w:r w:rsidRPr="00632405">
        <w:rPr>
          <w:b/>
          <w:bCs/>
          <w:lang w:val="fr-FR"/>
        </w:rPr>
        <w:t>Nombre d</w:t>
      </w:r>
      <w:r w:rsidR="00277023">
        <w:rPr>
          <w:b/>
          <w:bCs/>
          <w:lang w:val="fr-FR"/>
        </w:rPr>
        <w:t>’</w:t>
      </w:r>
      <w:r w:rsidRPr="00632405">
        <w:rPr>
          <w:b/>
          <w:bCs/>
          <w:lang w:val="fr-FR"/>
        </w:rPr>
        <w:t>enfants handicapés</w:t>
      </w:r>
    </w:p>
    <w:p w:rsidR="00D3561A" w:rsidRPr="002F07F2" w:rsidRDefault="00D3561A" w:rsidP="00AC5677">
      <w:pPr>
        <w:pStyle w:val="SingleTxtG"/>
        <w:jc w:val="left"/>
        <w:rPr>
          <w:sz w:val="16"/>
          <w:szCs w:val="16"/>
          <w:lang w:val="es-ES"/>
        </w:rPr>
      </w:pPr>
      <w:r w:rsidRPr="002F07F2">
        <w:rPr>
          <w:sz w:val="16"/>
          <w:szCs w:val="16"/>
          <w:lang w:val="es-ES"/>
        </w:rPr>
        <w:t>(</w:t>
      </w:r>
      <w:r w:rsidR="002F07F2" w:rsidRPr="00632405">
        <w:rPr>
          <w:sz w:val="16"/>
          <w:szCs w:val="16"/>
          <w:lang w:val="fr-FR"/>
        </w:rPr>
        <w:t>unité: individu</w:t>
      </w:r>
      <w:r w:rsidRPr="002F07F2">
        <w:rPr>
          <w:sz w:val="16"/>
          <w:szCs w:val="16"/>
          <w:lang w:val="es-ES"/>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963"/>
        <w:gridCol w:w="964"/>
        <w:gridCol w:w="964"/>
        <w:gridCol w:w="964"/>
        <w:gridCol w:w="964"/>
      </w:tblGrid>
      <w:tr w:rsidR="00D3561A" w:rsidRPr="008E5027">
        <w:tc>
          <w:tcPr>
            <w:tcW w:w="2552" w:type="dxa"/>
            <w:tcBorders>
              <w:top w:val="single" w:sz="4" w:space="0" w:color="auto"/>
              <w:bottom w:val="single" w:sz="12" w:space="0" w:color="auto"/>
            </w:tcBorders>
            <w:shd w:val="clear" w:color="auto" w:fill="auto"/>
            <w:vAlign w:val="bottom"/>
          </w:tcPr>
          <w:p w:rsidR="00D3561A" w:rsidRPr="002F07F2" w:rsidRDefault="00D3561A" w:rsidP="00D3561A">
            <w:pPr>
              <w:spacing w:before="80" w:after="80" w:line="200" w:lineRule="exact"/>
              <w:jc w:val="right"/>
              <w:rPr>
                <w:i/>
                <w:sz w:val="16"/>
                <w:lang w:val="es-ES"/>
              </w:rPr>
            </w:pPr>
          </w:p>
        </w:tc>
        <w:tc>
          <w:tcPr>
            <w:tcW w:w="963"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b/>
                <w:i/>
                <w:sz w:val="16"/>
              </w:rPr>
            </w:pPr>
            <w:r w:rsidRPr="008E5027">
              <w:rPr>
                <w:b/>
                <w:i/>
                <w:sz w:val="16"/>
              </w:rPr>
              <w:t>Total</w:t>
            </w:r>
          </w:p>
        </w:tc>
        <w:tc>
          <w:tcPr>
            <w:tcW w:w="96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0</w:t>
            </w:r>
            <w:r w:rsidR="00C25B16">
              <w:rPr>
                <w:i/>
                <w:sz w:val="16"/>
              </w:rPr>
              <w:t>-</w:t>
            </w:r>
            <w:r w:rsidRPr="008E5027">
              <w:rPr>
                <w:i/>
                <w:sz w:val="16"/>
              </w:rPr>
              <w:t xml:space="preserve">4 </w:t>
            </w:r>
            <w:r w:rsidR="00C25B16">
              <w:rPr>
                <w:i/>
                <w:sz w:val="16"/>
              </w:rPr>
              <w:t>ans</w:t>
            </w:r>
          </w:p>
        </w:tc>
        <w:tc>
          <w:tcPr>
            <w:tcW w:w="96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5</w:t>
            </w:r>
            <w:r w:rsidR="00C25B16">
              <w:rPr>
                <w:i/>
                <w:sz w:val="16"/>
              </w:rPr>
              <w:t>-</w:t>
            </w:r>
            <w:r w:rsidRPr="008E5027">
              <w:rPr>
                <w:i/>
                <w:sz w:val="16"/>
              </w:rPr>
              <w:t xml:space="preserve">9 </w:t>
            </w:r>
            <w:r w:rsidR="00C25B16">
              <w:rPr>
                <w:i/>
                <w:sz w:val="16"/>
              </w:rPr>
              <w:t>ans</w:t>
            </w:r>
          </w:p>
        </w:tc>
        <w:tc>
          <w:tcPr>
            <w:tcW w:w="96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10</w:t>
            </w:r>
            <w:r w:rsidR="00C25B16">
              <w:rPr>
                <w:i/>
                <w:sz w:val="16"/>
              </w:rPr>
              <w:t>-</w:t>
            </w:r>
            <w:r w:rsidRPr="008E5027">
              <w:rPr>
                <w:i/>
                <w:sz w:val="16"/>
              </w:rPr>
              <w:t xml:space="preserve">14 </w:t>
            </w:r>
            <w:r w:rsidR="00C25B16">
              <w:rPr>
                <w:i/>
                <w:sz w:val="16"/>
              </w:rPr>
              <w:t>ans</w:t>
            </w:r>
          </w:p>
        </w:tc>
        <w:tc>
          <w:tcPr>
            <w:tcW w:w="964" w:type="dxa"/>
            <w:tcBorders>
              <w:top w:val="single" w:sz="4" w:space="0" w:color="auto"/>
              <w:bottom w:val="single" w:sz="12" w:space="0" w:color="auto"/>
            </w:tcBorders>
            <w:vAlign w:val="bottom"/>
          </w:tcPr>
          <w:p w:rsidR="00D3561A" w:rsidRPr="008E5027" w:rsidRDefault="00D3561A" w:rsidP="00D3561A">
            <w:pPr>
              <w:spacing w:before="80" w:after="80" w:line="200" w:lineRule="exact"/>
              <w:jc w:val="right"/>
              <w:rPr>
                <w:i/>
                <w:sz w:val="16"/>
              </w:rPr>
            </w:pPr>
            <w:r w:rsidRPr="008E5027">
              <w:rPr>
                <w:i/>
                <w:sz w:val="16"/>
              </w:rPr>
              <w:t>15</w:t>
            </w:r>
            <w:r w:rsidR="00C25B16">
              <w:rPr>
                <w:i/>
                <w:sz w:val="16"/>
              </w:rPr>
              <w:t>-</w:t>
            </w:r>
            <w:r w:rsidRPr="008E5027">
              <w:rPr>
                <w:i/>
                <w:sz w:val="16"/>
              </w:rPr>
              <w:t xml:space="preserve">17 </w:t>
            </w:r>
            <w:r w:rsidR="00C25B16">
              <w:rPr>
                <w:i/>
                <w:sz w:val="16"/>
              </w:rPr>
              <w:t>ans</w:t>
            </w:r>
          </w:p>
        </w:tc>
      </w:tr>
      <w:tr w:rsidR="00D3561A" w:rsidRPr="008E5027">
        <w:tc>
          <w:tcPr>
            <w:tcW w:w="2552" w:type="dxa"/>
            <w:tcBorders>
              <w:top w:val="single" w:sz="12" w:space="0" w:color="auto"/>
            </w:tcBorders>
            <w:shd w:val="clear" w:color="auto" w:fill="auto"/>
            <w:vAlign w:val="bottom"/>
          </w:tcPr>
          <w:p w:rsidR="00D3561A" w:rsidRPr="008E5027" w:rsidRDefault="00C25B16" w:rsidP="00D3561A">
            <w:pPr>
              <w:suppressAutoHyphens w:val="0"/>
              <w:spacing w:before="40" w:after="40" w:line="220" w:lineRule="exact"/>
              <w:rPr>
                <w:sz w:val="18"/>
              </w:rPr>
            </w:pPr>
            <w:r w:rsidRPr="00C25B16">
              <w:rPr>
                <w:sz w:val="18"/>
                <w:lang w:val="fr-FR"/>
              </w:rPr>
              <w:t>Handicaps physiques (en 2001)</w:t>
            </w:r>
          </w:p>
        </w:tc>
        <w:tc>
          <w:tcPr>
            <w:tcW w:w="963" w:type="dxa"/>
            <w:tcBorders>
              <w:top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b/>
                <w:sz w:val="18"/>
              </w:rPr>
            </w:pPr>
            <w:r w:rsidRPr="008E5027">
              <w:rPr>
                <w:b/>
                <w:sz w:val="18"/>
              </w:rPr>
              <w:t>81 900</w:t>
            </w:r>
          </w:p>
        </w:tc>
        <w:tc>
          <w:tcPr>
            <w:tcW w:w="964" w:type="dxa"/>
            <w:tcBorders>
              <w:top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13 500</w:t>
            </w:r>
          </w:p>
        </w:tc>
        <w:tc>
          <w:tcPr>
            <w:tcW w:w="964" w:type="dxa"/>
            <w:tcBorders>
              <w:top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23 100</w:t>
            </w:r>
          </w:p>
        </w:tc>
        <w:tc>
          <w:tcPr>
            <w:tcW w:w="964" w:type="dxa"/>
            <w:tcBorders>
              <w:top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28 900</w:t>
            </w:r>
          </w:p>
        </w:tc>
        <w:tc>
          <w:tcPr>
            <w:tcW w:w="964" w:type="dxa"/>
            <w:tcBorders>
              <w:top w:val="single" w:sz="12" w:space="0" w:color="auto"/>
            </w:tcBorders>
            <w:vAlign w:val="bottom"/>
          </w:tcPr>
          <w:p w:rsidR="00D3561A" w:rsidRPr="008E5027" w:rsidRDefault="00D3561A" w:rsidP="00D3561A">
            <w:pPr>
              <w:suppressAutoHyphens w:val="0"/>
              <w:spacing w:before="40" w:after="40" w:line="220" w:lineRule="exact"/>
              <w:jc w:val="right"/>
              <w:rPr>
                <w:sz w:val="18"/>
              </w:rPr>
            </w:pPr>
            <w:r w:rsidRPr="008E5027">
              <w:rPr>
                <w:sz w:val="18"/>
              </w:rPr>
              <w:t>15 400</w:t>
            </w:r>
          </w:p>
        </w:tc>
      </w:tr>
      <w:tr w:rsidR="00D3561A" w:rsidRPr="008E5027">
        <w:tc>
          <w:tcPr>
            <w:tcW w:w="2552" w:type="dxa"/>
            <w:tcBorders>
              <w:bottom w:val="single" w:sz="12" w:space="0" w:color="auto"/>
            </w:tcBorders>
            <w:shd w:val="clear" w:color="auto" w:fill="auto"/>
            <w:vAlign w:val="bottom"/>
          </w:tcPr>
          <w:p w:rsidR="00D3561A" w:rsidRPr="008E5027" w:rsidRDefault="00C25B16" w:rsidP="00D3561A">
            <w:pPr>
              <w:suppressAutoHyphens w:val="0"/>
              <w:spacing w:before="40" w:after="40" w:line="220" w:lineRule="exact"/>
              <w:rPr>
                <w:sz w:val="18"/>
              </w:rPr>
            </w:pPr>
            <w:r w:rsidRPr="00C25B16">
              <w:rPr>
                <w:sz w:val="18"/>
                <w:lang w:val="fr-FR"/>
              </w:rPr>
              <w:t>Handicaps mentaux (en 2000)</w:t>
            </w:r>
          </w:p>
        </w:tc>
        <w:tc>
          <w:tcPr>
            <w:tcW w:w="963"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b/>
                <w:sz w:val="18"/>
              </w:rPr>
            </w:pPr>
            <w:r w:rsidRPr="008E5027">
              <w:rPr>
                <w:b/>
                <w:sz w:val="18"/>
              </w:rPr>
              <w:t>93 600</w:t>
            </w:r>
          </w:p>
        </w:tc>
        <w:tc>
          <w:tcPr>
            <w:tcW w:w="964"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12 400</w:t>
            </w:r>
          </w:p>
        </w:tc>
        <w:tc>
          <w:tcPr>
            <w:tcW w:w="964"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30 100</w:t>
            </w:r>
          </w:p>
        </w:tc>
        <w:tc>
          <w:tcPr>
            <w:tcW w:w="964"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33 100</w:t>
            </w:r>
          </w:p>
        </w:tc>
        <w:tc>
          <w:tcPr>
            <w:tcW w:w="964" w:type="dxa"/>
            <w:tcBorders>
              <w:bottom w:val="single" w:sz="12" w:space="0" w:color="auto"/>
            </w:tcBorders>
            <w:vAlign w:val="bottom"/>
          </w:tcPr>
          <w:p w:rsidR="00D3561A" w:rsidRPr="008E5027" w:rsidRDefault="00D3561A" w:rsidP="00D3561A">
            <w:pPr>
              <w:suppressAutoHyphens w:val="0"/>
              <w:spacing w:before="40" w:after="40" w:line="220" w:lineRule="exact"/>
              <w:jc w:val="right"/>
              <w:rPr>
                <w:sz w:val="18"/>
              </w:rPr>
            </w:pPr>
            <w:r w:rsidRPr="008E5027">
              <w:rPr>
                <w:sz w:val="18"/>
              </w:rPr>
              <w:t>18 000</w:t>
            </w:r>
          </w:p>
        </w:tc>
      </w:tr>
    </w:tbl>
    <w:p w:rsidR="00D3561A" w:rsidRPr="002F07F2" w:rsidRDefault="00D3561A" w:rsidP="00594AD5">
      <w:pPr>
        <w:spacing w:before="120"/>
        <w:ind w:left="1134" w:right="1134" w:firstLine="170"/>
        <w:rPr>
          <w:sz w:val="18"/>
          <w:szCs w:val="18"/>
          <w:lang w:val="es-ES"/>
        </w:rPr>
      </w:pPr>
      <w:r w:rsidRPr="002F07F2">
        <w:rPr>
          <w:i/>
          <w:iCs/>
          <w:sz w:val="18"/>
          <w:szCs w:val="18"/>
          <w:lang w:val="es-ES"/>
        </w:rPr>
        <w:t>Source</w:t>
      </w:r>
      <w:r w:rsidRPr="00011BD8">
        <w:rPr>
          <w:i/>
          <w:iCs/>
          <w:sz w:val="18"/>
          <w:szCs w:val="18"/>
          <w:lang w:val="es-ES"/>
        </w:rPr>
        <w:t>:</w:t>
      </w:r>
      <w:r w:rsidR="00D017E5" w:rsidRPr="002F07F2">
        <w:rPr>
          <w:sz w:val="18"/>
          <w:szCs w:val="18"/>
          <w:lang w:val="es-ES"/>
        </w:rPr>
        <w:t xml:space="preserve"> </w:t>
      </w:r>
      <w:r w:rsidR="002F07F2" w:rsidRPr="00632405">
        <w:rPr>
          <w:sz w:val="18"/>
          <w:szCs w:val="18"/>
          <w:lang w:val="fr-FR"/>
        </w:rPr>
        <w:t>Etude du Ministère de la santé, du travail et de la protection sociale</w:t>
      </w:r>
      <w:r w:rsidR="002F07F2" w:rsidRPr="00632405">
        <w:rPr>
          <w:sz w:val="18"/>
          <w:szCs w:val="18"/>
          <w:lang w:val="es-ES"/>
        </w:rPr>
        <w:t>.</w:t>
      </w:r>
    </w:p>
    <w:p w:rsidR="00C478E4" w:rsidRPr="00D74CA4" w:rsidRDefault="00C478E4" w:rsidP="00C478E4">
      <w:pPr>
        <w:pStyle w:val="H23G"/>
        <w:rPr>
          <w:lang w:val="es-ES"/>
        </w:rPr>
      </w:pPr>
      <w:r w:rsidRPr="00D74CA4">
        <w:rPr>
          <w:lang w:val="es-ES"/>
        </w:rPr>
        <w:tab/>
        <w:t>b)</w:t>
      </w:r>
      <w:r w:rsidRPr="00D74CA4">
        <w:rPr>
          <w:lang w:val="es-ES"/>
        </w:rPr>
        <w:tab/>
        <w:t>Assurer à l</w:t>
      </w:r>
      <w:r w:rsidR="00277023">
        <w:rPr>
          <w:lang w:val="es-ES"/>
        </w:rPr>
        <w:t>’</w:t>
      </w:r>
      <w:r w:rsidRPr="00D74CA4">
        <w:rPr>
          <w:lang w:val="es-ES"/>
        </w:rPr>
        <w:t>enfant une vie satisfaisante et adaptée dans des conditions garantes de sa dignité</w:t>
      </w:r>
    </w:p>
    <w:p w:rsidR="00C478E4" w:rsidRPr="00C478E4" w:rsidRDefault="00C478E4" w:rsidP="00C478E4">
      <w:pPr>
        <w:pStyle w:val="SingleTxtG"/>
        <w:rPr>
          <w:lang w:val="es-ES"/>
        </w:rPr>
      </w:pPr>
      <w:r w:rsidRPr="00C478E4">
        <w:rPr>
          <w:lang w:val="es-ES"/>
        </w:rPr>
        <w:t>(Promotion de mesures globales et systématiques en faveur des personnes handicapées)</w:t>
      </w:r>
    </w:p>
    <w:p w:rsidR="00C478E4" w:rsidRPr="00C478E4" w:rsidRDefault="00C478E4" w:rsidP="00C478E4">
      <w:pPr>
        <w:pStyle w:val="SingleTxtG"/>
        <w:rPr>
          <w:lang w:val="es-ES"/>
        </w:rPr>
      </w:pPr>
      <w:r w:rsidRPr="00C478E4">
        <w:rPr>
          <w:lang w:val="es-ES"/>
        </w:rPr>
        <w:t>344.</w:t>
      </w:r>
      <w:r w:rsidRPr="00C478E4">
        <w:rPr>
          <w:lang w:val="es-ES"/>
        </w:rPr>
        <w:tab/>
      </w:r>
      <w:smartTag w:uri="urn:schemas-microsoft-com:office:smarttags" w:element="PersonName">
        <w:smartTagPr>
          <w:attr w:name="ProductID" w:val="la Loi"/>
        </w:smartTagPr>
        <w:r w:rsidRPr="00C478E4">
          <w:rPr>
            <w:lang w:val="es-ES"/>
          </w:rPr>
          <w:t>La Loi</w:t>
        </w:r>
      </w:smartTag>
      <w:r w:rsidRPr="00C478E4">
        <w:rPr>
          <w:lang w:val="es-ES"/>
        </w:rPr>
        <w:t xml:space="preserve"> fondamentale relative aux personnes handicapées qui énonce les principes de base des mesures en faveur des personnes handicapées et les obligations des pouvoirs publics nationaux et locaux, a été partiellement modifiée en 2004 dans l</w:t>
      </w:r>
      <w:r w:rsidR="00277023">
        <w:rPr>
          <w:lang w:val="es-ES"/>
        </w:rPr>
        <w:t>’</w:t>
      </w:r>
      <w:r w:rsidRPr="00C478E4">
        <w:rPr>
          <w:lang w:val="es-ES"/>
        </w:rPr>
        <w:t>objectif d</w:t>
      </w:r>
      <w:r w:rsidR="00277023">
        <w:rPr>
          <w:lang w:val="es-ES"/>
        </w:rPr>
        <w:t>’</w:t>
      </w:r>
      <w:r w:rsidRPr="00C478E4">
        <w:rPr>
          <w:lang w:val="es-ES"/>
        </w:rPr>
        <w:t>améliorer l</w:t>
      </w:r>
      <w:r w:rsidR="00277023">
        <w:rPr>
          <w:lang w:val="es-ES"/>
        </w:rPr>
        <w:t>’</w:t>
      </w:r>
      <w:r w:rsidRPr="00C478E4">
        <w:rPr>
          <w:lang w:val="es-ES"/>
        </w:rPr>
        <w:t>autonomie et la participation sociale des personnes handicapées, et elle établit la notion de non-discrimination fondée sur un handicap (voir paragraphe 151).</w:t>
      </w:r>
    </w:p>
    <w:p w:rsidR="00C478E4" w:rsidRPr="00D74CA4" w:rsidRDefault="00C478E4" w:rsidP="00C478E4">
      <w:pPr>
        <w:pStyle w:val="SingleTxtG"/>
        <w:rPr>
          <w:lang w:val="es-ES"/>
        </w:rPr>
      </w:pPr>
      <w:r w:rsidRPr="00C478E4">
        <w:rPr>
          <w:lang w:val="es-ES"/>
        </w:rPr>
        <w:t>345.</w:t>
      </w:r>
      <w:r w:rsidRPr="00C478E4">
        <w:rPr>
          <w:lang w:val="es-ES"/>
        </w:rPr>
        <w:tab/>
        <w:t>Le 24 décembre 2002, le Gouvernement a formulé le Programme de base en faveur des personnes handicapées qui établit l</w:t>
      </w:r>
      <w:r w:rsidR="00277023">
        <w:rPr>
          <w:lang w:val="es-ES"/>
        </w:rPr>
        <w:t>’</w:t>
      </w:r>
      <w:r w:rsidRPr="00C478E4">
        <w:rPr>
          <w:lang w:val="es-ES"/>
        </w:rPr>
        <w:t>orientation fondamentale des mesures en faveur des personnes handicapées et a été adopté lors d</w:t>
      </w:r>
      <w:r w:rsidR="00277023">
        <w:rPr>
          <w:lang w:val="es-ES"/>
        </w:rPr>
        <w:t>’</w:t>
      </w:r>
      <w:r w:rsidRPr="00C478E4">
        <w:rPr>
          <w:lang w:val="es-ES"/>
        </w:rPr>
        <w:t xml:space="preserve">une réunion du Cabinet. </w:t>
      </w:r>
      <w:r w:rsidRPr="00D74CA4">
        <w:rPr>
          <w:lang w:val="es-ES"/>
        </w:rPr>
        <w:t>Parallèlement, le Gouvernement a également formulé le Plan quinquennal de mise en œuvre de mesures prioritaires (adopté par le centre pour la promotion des mesures en faveur des personnes handicapées), qui énonce les domaines prioritaires, les objectifs et les stratégies de mise en œuvre du programme de base au cours des cinq premières années. S</w:t>
      </w:r>
      <w:r w:rsidR="00277023">
        <w:rPr>
          <w:lang w:val="es-ES"/>
        </w:rPr>
        <w:t>’</w:t>
      </w:r>
      <w:r w:rsidRPr="00D74CA4">
        <w:rPr>
          <w:lang w:val="es-ES"/>
        </w:rPr>
        <w:t xml:space="preserve">appuyant sur le programme de base et le Plan quinquennal, le Gouvernement appuie globalement et systématiquement les mesures en faveur des personnes handicapées. </w:t>
      </w:r>
    </w:p>
    <w:p w:rsidR="00C478E4" w:rsidRPr="00C478E4" w:rsidRDefault="00C478E4" w:rsidP="00C478E4">
      <w:pPr>
        <w:pStyle w:val="SingleTxtG"/>
        <w:rPr>
          <w:lang w:val="es-ES"/>
        </w:rPr>
      </w:pPr>
      <w:r w:rsidRPr="00C478E4">
        <w:rPr>
          <w:lang w:val="es-ES"/>
        </w:rPr>
        <w:t>(Loi sur l</w:t>
      </w:r>
      <w:r w:rsidR="00277023">
        <w:rPr>
          <w:lang w:val="es-ES"/>
        </w:rPr>
        <w:t>’</w:t>
      </w:r>
      <w:r w:rsidRPr="00C478E4">
        <w:rPr>
          <w:lang w:val="es-ES"/>
        </w:rPr>
        <w:t>aide à l</w:t>
      </w:r>
      <w:r w:rsidR="00277023">
        <w:rPr>
          <w:lang w:val="es-ES"/>
        </w:rPr>
        <w:t>’</w:t>
      </w:r>
      <w:r w:rsidRPr="00C478E4">
        <w:rPr>
          <w:lang w:val="es-ES"/>
        </w:rPr>
        <w:t>autonomie des personnes handicapées)</w:t>
      </w:r>
    </w:p>
    <w:p w:rsidR="00C478E4" w:rsidRPr="00D74CA4" w:rsidRDefault="00C478E4" w:rsidP="00C478E4">
      <w:pPr>
        <w:pStyle w:val="SingleTxtG"/>
        <w:rPr>
          <w:lang w:val="es-ES"/>
        </w:rPr>
      </w:pPr>
      <w:r w:rsidRPr="00C478E4">
        <w:rPr>
          <w:lang w:val="es-ES"/>
        </w:rPr>
        <w:t>346.</w:t>
      </w:r>
      <w:r w:rsidRPr="00C478E4">
        <w:rPr>
          <w:lang w:val="es-ES"/>
        </w:rPr>
        <w:tab/>
        <w:t>S</w:t>
      </w:r>
      <w:r w:rsidR="00277023">
        <w:rPr>
          <w:lang w:val="es-ES"/>
        </w:rPr>
        <w:t>’</w:t>
      </w:r>
      <w:r w:rsidRPr="00C478E4">
        <w:rPr>
          <w:lang w:val="es-ES"/>
        </w:rPr>
        <w:t>agissant de permettre aux adultes et aux enfants handicapés de mener une vie autonome et sociale, il convient de leur verser des prestations en rapport avec les services de bien-être nécessaires et d</w:t>
      </w:r>
      <w:r w:rsidR="00277023">
        <w:rPr>
          <w:lang w:val="es-ES"/>
        </w:rPr>
        <w:t>’</w:t>
      </w:r>
      <w:r w:rsidRPr="00C478E4">
        <w:rPr>
          <w:lang w:val="es-ES"/>
        </w:rPr>
        <w:t xml:space="preserve">autres aides. </w:t>
      </w:r>
      <w:smartTag w:uri="urn:schemas-microsoft-com:office:smarttags" w:element="PersonName">
        <w:smartTagPr>
          <w:attr w:name="ProductID" w:val="la Loi"/>
        </w:smartTagPr>
        <w:r w:rsidRPr="00D74CA4">
          <w:rPr>
            <w:lang w:val="es-ES"/>
          </w:rPr>
          <w:t>La Loi</w:t>
        </w:r>
      </w:smartTag>
      <w:r w:rsidRPr="00D74CA4">
        <w:rPr>
          <w:lang w:val="es-ES"/>
        </w:rPr>
        <w:t xml:space="preserve"> sur l</w:t>
      </w:r>
      <w:r w:rsidR="00277023">
        <w:rPr>
          <w:lang w:val="es-ES"/>
        </w:rPr>
        <w:t>’</w:t>
      </w:r>
      <w:r w:rsidRPr="00D74CA4">
        <w:rPr>
          <w:lang w:val="es-ES"/>
        </w:rPr>
        <w:t>aide à l</w:t>
      </w:r>
      <w:r w:rsidR="00277023">
        <w:rPr>
          <w:lang w:val="es-ES"/>
        </w:rPr>
        <w:t>’</w:t>
      </w:r>
      <w:r w:rsidRPr="00D74CA4">
        <w:rPr>
          <w:lang w:val="es-ES"/>
        </w:rPr>
        <w:t>autonomie des personnes handicapées, dont l</w:t>
      </w:r>
      <w:r w:rsidR="00277023">
        <w:rPr>
          <w:lang w:val="es-ES"/>
        </w:rPr>
        <w:t>’</w:t>
      </w:r>
      <w:r w:rsidRPr="00D74CA4">
        <w:rPr>
          <w:lang w:val="es-ES"/>
        </w:rPr>
        <w:t>objet est de promouvoir le bien-être des adultes et des enfants atteints d</w:t>
      </w:r>
      <w:r w:rsidR="00277023">
        <w:rPr>
          <w:lang w:val="es-ES"/>
        </w:rPr>
        <w:t>’</w:t>
      </w:r>
      <w:r w:rsidRPr="00D74CA4">
        <w:rPr>
          <w:lang w:val="es-ES"/>
        </w:rPr>
        <w:t>un handicap, a été promulguée en octobre 2005 et a permis la mise en place de structures articulées autour des collectivités locales, dans lesquelles les organisations compétentes en matière de soins de santé, de protection sociale, d</w:t>
      </w:r>
      <w:r w:rsidR="00277023">
        <w:rPr>
          <w:lang w:val="es-ES"/>
        </w:rPr>
        <w:t>’</w:t>
      </w:r>
      <w:r w:rsidRPr="00D74CA4">
        <w:rPr>
          <w:lang w:val="es-ES"/>
        </w:rPr>
        <w:t>éducation et d</w:t>
      </w:r>
      <w:r w:rsidR="00277023">
        <w:rPr>
          <w:lang w:val="es-ES"/>
        </w:rPr>
        <w:t>’</w:t>
      </w:r>
      <w:r w:rsidRPr="00D74CA4">
        <w:rPr>
          <w:lang w:val="es-ES"/>
        </w:rPr>
        <w:t>emploi travaillent en coopération pour assurer que les enfants handicapés reçoivent l</w:t>
      </w:r>
      <w:r w:rsidR="00277023">
        <w:rPr>
          <w:lang w:val="es-ES"/>
        </w:rPr>
        <w:t>’</w:t>
      </w:r>
      <w:r w:rsidRPr="00D74CA4">
        <w:rPr>
          <w:lang w:val="es-ES"/>
        </w:rPr>
        <w:t xml:space="preserve">appui approprié au sein des communautés. </w:t>
      </w:r>
    </w:p>
    <w:p w:rsidR="00C478E4" w:rsidRPr="00D74CA4" w:rsidRDefault="00C478E4" w:rsidP="00C478E4">
      <w:pPr>
        <w:pStyle w:val="SingleTxtG"/>
        <w:rPr>
          <w:lang w:val="es-ES"/>
        </w:rPr>
      </w:pPr>
      <w:r w:rsidRPr="00C478E4">
        <w:rPr>
          <w:lang w:val="es-ES"/>
        </w:rPr>
        <w:t>347.</w:t>
      </w:r>
      <w:r w:rsidRPr="00C478E4">
        <w:rPr>
          <w:lang w:val="es-ES"/>
        </w:rPr>
        <w:tab/>
        <w:t>Dans le but de renforcer les dispositifs d</w:t>
      </w:r>
      <w:r w:rsidR="00277023">
        <w:rPr>
          <w:lang w:val="es-ES"/>
        </w:rPr>
        <w:t>’</w:t>
      </w:r>
      <w:r w:rsidRPr="00C478E4">
        <w:rPr>
          <w:lang w:val="es-ES"/>
        </w:rPr>
        <w:t>aide à l</w:t>
      </w:r>
      <w:r w:rsidR="00277023">
        <w:rPr>
          <w:lang w:val="es-ES"/>
        </w:rPr>
        <w:t>’</w:t>
      </w:r>
      <w:r w:rsidRPr="00C478E4">
        <w:rPr>
          <w:lang w:val="es-ES"/>
        </w:rPr>
        <w:t xml:space="preserve">autonomie des personnes handicapées au sein des communautés, </w:t>
      </w:r>
      <w:smartTag w:uri="urn:schemas-microsoft-com:office:smarttags" w:element="PersonName">
        <w:smartTagPr>
          <w:attr w:name="ProductID" w:val="la Loi"/>
        </w:smartTagPr>
        <w:r w:rsidRPr="00C478E4">
          <w:rPr>
            <w:lang w:val="es-ES"/>
          </w:rPr>
          <w:t>la Loi</w:t>
        </w:r>
      </w:smartTag>
      <w:r w:rsidRPr="00C478E4">
        <w:rPr>
          <w:lang w:val="es-ES"/>
        </w:rPr>
        <w:t xml:space="preserve"> sur l</w:t>
      </w:r>
      <w:r w:rsidR="00277023">
        <w:rPr>
          <w:lang w:val="es-ES"/>
        </w:rPr>
        <w:t>’</w:t>
      </w:r>
      <w:r w:rsidRPr="00C478E4">
        <w:rPr>
          <w:lang w:val="es-ES"/>
        </w:rPr>
        <w:t>aide à l</w:t>
      </w:r>
      <w:r w:rsidR="00277023">
        <w:rPr>
          <w:lang w:val="es-ES"/>
        </w:rPr>
        <w:t>’</w:t>
      </w:r>
      <w:r w:rsidRPr="00C478E4">
        <w:rPr>
          <w:lang w:val="es-ES"/>
        </w:rPr>
        <w:t>autonomie des personnes handicapées a été votée en octobre 2005 et contient des dispositions sur le recentrage des services d</w:t>
      </w:r>
      <w:r w:rsidR="00277023">
        <w:rPr>
          <w:lang w:val="es-ES"/>
        </w:rPr>
        <w:t>’</w:t>
      </w:r>
      <w:r w:rsidRPr="00C478E4">
        <w:rPr>
          <w:lang w:val="es-ES"/>
        </w:rPr>
        <w:t>aide aux personnes handicapées, la réorganisation des dispositifs et des systèmes de gestion, l</w:t>
      </w:r>
      <w:r w:rsidR="00277023">
        <w:rPr>
          <w:lang w:val="es-ES"/>
        </w:rPr>
        <w:t>’</w:t>
      </w:r>
      <w:r w:rsidRPr="00C478E4">
        <w:rPr>
          <w:lang w:val="es-ES"/>
        </w:rPr>
        <w:t>examen de la charge supportée par les bénéficiaires et l</w:t>
      </w:r>
      <w:r w:rsidR="00277023">
        <w:rPr>
          <w:lang w:val="es-ES"/>
        </w:rPr>
        <w:t>’</w:t>
      </w:r>
      <w:r w:rsidRPr="00C478E4">
        <w:rPr>
          <w:lang w:val="es-ES"/>
        </w:rPr>
        <w:t>élaboration de projets d</w:t>
      </w:r>
      <w:r w:rsidR="00277023">
        <w:rPr>
          <w:lang w:val="es-ES"/>
        </w:rPr>
        <w:t>’</w:t>
      </w:r>
      <w:r w:rsidRPr="00C478E4">
        <w:rPr>
          <w:lang w:val="es-ES"/>
        </w:rPr>
        <w:t xml:space="preserve">appui communautaires. </w:t>
      </w:r>
      <w:r w:rsidRPr="00D74CA4">
        <w:rPr>
          <w:lang w:val="es-ES"/>
        </w:rPr>
        <w:t xml:space="preserve">Conformément à </w:t>
      </w:r>
      <w:smartTag w:uri="urn:schemas-microsoft-com:office:smarttags" w:element="PersonName">
        <w:smartTagPr>
          <w:attr w:name="ProductID" w:val="la Loi"/>
        </w:smartTagPr>
        <w:r w:rsidRPr="00D74CA4">
          <w:rPr>
            <w:lang w:val="es-ES"/>
          </w:rPr>
          <w:t>la Loi</w:t>
        </w:r>
      </w:smartTag>
      <w:r w:rsidRPr="00D74CA4">
        <w:rPr>
          <w:lang w:val="es-ES"/>
        </w:rPr>
        <w:t xml:space="preserve"> susmentionnée, des structures satellites des collectivités locales, dans lesquelles les organisations compétentes en matière de soins de santé, de protection sociale, d</w:t>
      </w:r>
      <w:r w:rsidR="00277023">
        <w:rPr>
          <w:lang w:val="es-ES"/>
        </w:rPr>
        <w:t>’</w:t>
      </w:r>
      <w:r w:rsidRPr="00D74CA4">
        <w:rPr>
          <w:lang w:val="es-ES"/>
        </w:rPr>
        <w:t>éducation et d</w:t>
      </w:r>
      <w:r w:rsidR="00277023">
        <w:rPr>
          <w:lang w:val="es-ES"/>
        </w:rPr>
        <w:t>’</w:t>
      </w:r>
      <w:r w:rsidRPr="00D74CA4">
        <w:rPr>
          <w:lang w:val="es-ES"/>
        </w:rPr>
        <w:t>emploi unissent leurs efforts ont pu être mises en place pour que les enfants handicapés bénéficient d</w:t>
      </w:r>
      <w:r w:rsidR="00277023">
        <w:rPr>
          <w:lang w:val="es-ES"/>
        </w:rPr>
        <w:t>’</w:t>
      </w:r>
      <w:r w:rsidRPr="00D74CA4">
        <w:rPr>
          <w:lang w:val="es-ES"/>
        </w:rPr>
        <w:t>une aide adaptée au sein des communautés.</w:t>
      </w:r>
    </w:p>
    <w:p w:rsidR="00C478E4" w:rsidRPr="00D74CA4" w:rsidRDefault="00C478E4" w:rsidP="00C478E4">
      <w:pPr>
        <w:pStyle w:val="SingleTxtG"/>
        <w:rPr>
          <w:lang w:val="es-ES"/>
        </w:rPr>
      </w:pPr>
      <w:r w:rsidRPr="00D74CA4">
        <w:rPr>
          <w:lang w:val="es-ES"/>
        </w:rPr>
        <w:t>(Amélioration des dispositifs d</w:t>
      </w:r>
      <w:r w:rsidR="00277023">
        <w:rPr>
          <w:lang w:val="es-ES"/>
        </w:rPr>
        <w:t>’</w:t>
      </w:r>
      <w:r w:rsidRPr="00D74CA4">
        <w:rPr>
          <w:lang w:val="es-ES"/>
        </w:rPr>
        <w:t>aide aux personnes atteintes de troubles du développement)</w:t>
      </w:r>
    </w:p>
    <w:p w:rsidR="00C478E4" w:rsidRPr="00D74CA4" w:rsidRDefault="00C478E4" w:rsidP="00C478E4">
      <w:pPr>
        <w:pStyle w:val="SingleTxtG"/>
        <w:rPr>
          <w:lang w:val="es-ES"/>
        </w:rPr>
      </w:pPr>
      <w:r w:rsidRPr="00D74CA4">
        <w:rPr>
          <w:lang w:val="es-ES"/>
        </w:rPr>
        <w:t>348.</w:t>
      </w:r>
      <w:r w:rsidRPr="00D74CA4">
        <w:rPr>
          <w:lang w:val="es-ES"/>
        </w:rPr>
        <w:tab/>
        <w:t xml:space="preserve">En avril 2005 est entrée en application </w:t>
      </w:r>
      <w:smartTag w:uri="urn:schemas-microsoft-com:office:smarttags" w:element="PersonName">
        <w:smartTagPr>
          <w:attr w:name="ProductID" w:val="la Loi"/>
        </w:smartTagPr>
        <w:r w:rsidRPr="00D74CA4">
          <w:rPr>
            <w:lang w:val="es-ES"/>
          </w:rPr>
          <w:t>la Loi</w:t>
        </w:r>
      </w:smartTag>
      <w:r w:rsidRPr="00D74CA4">
        <w:rPr>
          <w:lang w:val="es-ES"/>
        </w:rPr>
        <w:t xml:space="preserve"> sur l</w:t>
      </w:r>
      <w:r w:rsidR="00277023">
        <w:rPr>
          <w:lang w:val="es-ES"/>
        </w:rPr>
        <w:t>’</w:t>
      </w:r>
      <w:r w:rsidRPr="00D74CA4">
        <w:rPr>
          <w:lang w:val="es-ES"/>
        </w:rPr>
        <w:t>aide aux personnes</w:t>
      </w:r>
      <w:r w:rsidR="00EA1115">
        <w:rPr>
          <w:lang w:val="es-ES"/>
        </w:rPr>
        <w:t xml:space="preserve"> </w:t>
      </w:r>
      <w:r w:rsidRPr="00D74CA4">
        <w:rPr>
          <w:lang w:val="es-ES"/>
        </w:rPr>
        <w:t>atteintes de troubles du développement, qui stipule les obligations faites au Gouvernement et aux collectivités locales en matière de détection précoce des troubles du développement et d</w:t>
      </w:r>
      <w:r w:rsidR="00277023">
        <w:rPr>
          <w:lang w:val="es-ES"/>
        </w:rPr>
        <w:t>’</w:t>
      </w:r>
      <w:r w:rsidRPr="00D74CA4">
        <w:rPr>
          <w:lang w:val="es-ES"/>
        </w:rPr>
        <w:t>aide aux personnes atteintes. A partir de cette Loi sont élaborés des projets visant à développer un système d</w:t>
      </w:r>
      <w:r w:rsidR="00277023">
        <w:rPr>
          <w:lang w:val="es-ES"/>
        </w:rPr>
        <w:t>’</w:t>
      </w:r>
      <w:r w:rsidRPr="00D74CA4">
        <w:rPr>
          <w:lang w:val="es-ES"/>
        </w:rPr>
        <w:t>aide cohérent qui offre une assistance aux personnes atteintes de troubles du développement à chaque étape de la vie, depuis l</w:t>
      </w:r>
      <w:r w:rsidR="00277023">
        <w:rPr>
          <w:lang w:val="es-ES"/>
        </w:rPr>
        <w:t>’</w:t>
      </w:r>
      <w:r w:rsidRPr="00D74CA4">
        <w:rPr>
          <w:lang w:val="es-ES"/>
        </w:rPr>
        <w:t>enfance jusqu</w:t>
      </w:r>
      <w:r w:rsidR="00277023">
        <w:rPr>
          <w:lang w:val="es-ES"/>
        </w:rPr>
        <w:t>’</w:t>
      </w:r>
      <w:r w:rsidRPr="00D74CA4">
        <w:rPr>
          <w:lang w:val="es-ES"/>
        </w:rPr>
        <w:t>à l</w:t>
      </w:r>
      <w:r w:rsidR="00277023">
        <w:rPr>
          <w:lang w:val="es-ES"/>
        </w:rPr>
        <w:t>’</w:t>
      </w:r>
      <w:r w:rsidRPr="00D74CA4">
        <w:rPr>
          <w:lang w:val="es-ES"/>
        </w:rPr>
        <w:t>âge adulte, tandis que le Gouvernement déploie un dispositif d</w:t>
      </w:r>
      <w:r w:rsidR="00277023">
        <w:rPr>
          <w:lang w:val="es-ES"/>
        </w:rPr>
        <w:t>’</w:t>
      </w:r>
      <w:r w:rsidRPr="00D74CA4">
        <w:rPr>
          <w:lang w:val="es-ES"/>
        </w:rPr>
        <w:t>aide complet qui permet aux organisations compétentes en matière de soins de santé, de soins médicaux, de protection sociale, d</w:t>
      </w:r>
      <w:r w:rsidR="00277023">
        <w:rPr>
          <w:lang w:val="es-ES"/>
        </w:rPr>
        <w:t>’</w:t>
      </w:r>
      <w:r w:rsidRPr="00D74CA4">
        <w:rPr>
          <w:lang w:val="es-ES"/>
        </w:rPr>
        <w:t>éducation et d</w:t>
      </w:r>
      <w:r w:rsidR="00277023">
        <w:rPr>
          <w:lang w:val="es-ES"/>
        </w:rPr>
        <w:t>’</w:t>
      </w:r>
      <w:r w:rsidRPr="00D74CA4">
        <w:rPr>
          <w:lang w:val="es-ES"/>
        </w:rPr>
        <w:t>emploi de travailler en synergie.</w:t>
      </w:r>
    </w:p>
    <w:p w:rsidR="00C478E4" w:rsidRPr="00C478E4" w:rsidRDefault="00C478E4" w:rsidP="00C478E4">
      <w:pPr>
        <w:pStyle w:val="SingleTxtG"/>
        <w:rPr>
          <w:lang w:val="es-ES"/>
        </w:rPr>
      </w:pPr>
      <w:r w:rsidRPr="00C478E4">
        <w:rPr>
          <w:lang w:val="es-ES"/>
        </w:rPr>
        <w:t>(Services de bien-être à domicile)</w:t>
      </w:r>
    </w:p>
    <w:p w:rsidR="00C478E4" w:rsidRPr="00D74CA4" w:rsidRDefault="00C478E4" w:rsidP="00C478E4">
      <w:pPr>
        <w:pStyle w:val="SingleTxtG"/>
        <w:rPr>
          <w:lang w:val="es-ES"/>
        </w:rPr>
      </w:pPr>
      <w:r w:rsidRPr="00C478E4">
        <w:rPr>
          <w:lang w:val="es-ES"/>
        </w:rPr>
        <w:t>349.</w:t>
      </w:r>
      <w:r w:rsidRPr="00C478E4">
        <w:rPr>
          <w:lang w:val="es-ES"/>
        </w:rPr>
        <w:tab/>
        <w:t>Outre l</w:t>
      </w:r>
      <w:r w:rsidR="00277023">
        <w:rPr>
          <w:lang w:val="es-ES"/>
        </w:rPr>
        <w:t>’</w:t>
      </w:r>
      <w:r w:rsidRPr="00C478E4">
        <w:rPr>
          <w:lang w:val="es-ES"/>
        </w:rPr>
        <w:t>activité de conseil collectif, comme les classes de mères ou de parents dans les centres de santé, ou de conseil sanitaire personnalisé sous la forme de visites à domicile, qui visent à répondent aux demandes de consultation d</w:t>
      </w:r>
      <w:r w:rsidR="00277023">
        <w:rPr>
          <w:lang w:val="es-ES"/>
        </w:rPr>
        <w:t>’</w:t>
      </w:r>
      <w:r w:rsidRPr="00C478E4">
        <w:rPr>
          <w:lang w:val="es-ES"/>
        </w:rPr>
        <w:t>enfants handicapés ou de leur représentant légal, une orientation relative à l</w:t>
      </w:r>
      <w:r w:rsidR="00277023">
        <w:rPr>
          <w:lang w:val="es-ES"/>
        </w:rPr>
        <w:t>’</w:t>
      </w:r>
      <w:r w:rsidRPr="00C478E4">
        <w:rPr>
          <w:lang w:val="es-ES"/>
        </w:rPr>
        <w:t>éducation sous traitement médical est offerte à tous les enfants atteints d</w:t>
      </w:r>
      <w:r w:rsidR="00277023">
        <w:rPr>
          <w:lang w:val="es-ES"/>
        </w:rPr>
        <w:t>’</w:t>
      </w:r>
      <w:r w:rsidRPr="00C478E4">
        <w:rPr>
          <w:lang w:val="es-ES"/>
        </w:rPr>
        <w:t>un handicap physique ou à ceux qui peuvent développer des incapacités fonctionnelles au fil du temps, pour leur permettre de recevoir un traitement approprié à un stade précoce ou de bénéficier d</w:t>
      </w:r>
      <w:r w:rsidR="00277023">
        <w:rPr>
          <w:lang w:val="es-ES"/>
        </w:rPr>
        <w:t>’</w:t>
      </w:r>
      <w:r w:rsidRPr="00C478E4">
        <w:rPr>
          <w:lang w:val="es-ES"/>
        </w:rPr>
        <w:t xml:space="preserve">une aide sociale. </w:t>
      </w:r>
      <w:r w:rsidRPr="00D74CA4">
        <w:rPr>
          <w:lang w:val="es-ES"/>
        </w:rPr>
        <w:t>Pour ce qui est de l</w:t>
      </w:r>
      <w:r w:rsidR="00277023">
        <w:rPr>
          <w:lang w:val="es-ES"/>
        </w:rPr>
        <w:t>’</w:t>
      </w:r>
      <w:r w:rsidRPr="00D74CA4">
        <w:rPr>
          <w:lang w:val="es-ES"/>
        </w:rPr>
        <w:t>aide à domicile aux enfants handicapés, des services contractuels sont offerts que les bénéficiaires peuvent eux-mêmes planifier. Ces services reposent sur un dispositif d</w:t>
      </w:r>
      <w:r w:rsidR="00277023">
        <w:rPr>
          <w:lang w:val="es-ES"/>
        </w:rPr>
        <w:t>’</w:t>
      </w:r>
      <w:r w:rsidRPr="00D74CA4">
        <w:rPr>
          <w:lang w:val="es-ES"/>
        </w:rPr>
        <w:t>aide financière versée aux allocataires. Parmi les services offerts dans le cadre de ce dispositif on peut citer les soins infirmiers à domicile, les soins de jour, les services de garde et le placement de courte durée dans des centres de soins infirmiers. Toutefois, le nombre de centres devrait continuer à augmenter compte tenu de la hausse sensible du nombre de nouveaux bénéficiaires.</w:t>
      </w:r>
    </w:p>
    <w:p w:rsidR="00C478E4" w:rsidRPr="00D74CA4" w:rsidRDefault="00C478E4" w:rsidP="00C478E4">
      <w:pPr>
        <w:pStyle w:val="SingleTxtG"/>
        <w:rPr>
          <w:lang w:val="es-ES"/>
        </w:rPr>
      </w:pPr>
      <w:r w:rsidRPr="00D74CA4">
        <w:rPr>
          <w:lang w:val="es-ES"/>
        </w:rPr>
        <w:tab/>
        <w:t>1)</w:t>
      </w:r>
      <w:r w:rsidRPr="00D74CA4">
        <w:rPr>
          <w:lang w:val="es-ES"/>
        </w:rPr>
        <w:tab/>
        <w:t>Prestations visant à couvrir les dépenses engagées pour les produits de première nécessité</w:t>
      </w:r>
      <w:r w:rsidR="00277023">
        <w:rPr>
          <w:lang w:val="es-ES"/>
        </w:rPr>
        <w:t>:</w:t>
      </w:r>
      <w:r w:rsidRPr="00D74CA4">
        <w:rPr>
          <w:lang w:val="es-ES"/>
        </w:rPr>
        <w:t xml:space="preserve"> il s</w:t>
      </w:r>
      <w:r w:rsidR="00277023">
        <w:rPr>
          <w:lang w:val="es-ES"/>
        </w:rPr>
        <w:t>’</w:t>
      </w:r>
      <w:r w:rsidRPr="00D74CA4">
        <w:rPr>
          <w:lang w:val="es-ES"/>
        </w:rPr>
        <w:t>agit du prêt ou de la fourniture des biens nécessaires pour subvenir aux besoins quotidiens des enfants handicapés;</w:t>
      </w:r>
    </w:p>
    <w:p w:rsidR="00D3561A" w:rsidRDefault="00C478E4" w:rsidP="00C478E4">
      <w:pPr>
        <w:pStyle w:val="SingleTxtG"/>
        <w:rPr>
          <w:lang w:val="es-ES"/>
        </w:rPr>
      </w:pPr>
      <w:r w:rsidRPr="00D74CA4">
        <w:rPr>
          <w:lang w:val="es-ES"/>
        </w:rPr>
        <w:tab/>
        <w:t>2)</w:t>
      </w:r>
      <w:r w:rsidRPr="00D74CA4">
        <w:rPr>
          <w:lang w:val="es-ES"/>
        </w:rPr>
        <w:tab/>
        <w:t>Soins infirmiers à domicile pour les enfants: s</w:t>
      </w:r>
      <w:r w:rsidR="00277023">
        <w:rPr>
          <w:lang w:val="es-ES"/>
        </w:rPr>
        <w:t>’</w:t>
      </w:r>
      <w:r w:rsidRPr="00D74CA4">
        <w:rPr>
          <w:lang w:val="es-ES"/>
        </w:rPr>
        <w:t>agissant de fournir l</w:t>
      </w:r>
      <w:r w:rsidR="00277023">
        <w:rPr>
          <w:lang w:val="es-ES"/>
        </w:rPr>
        <w:t>’</w:t>
      </w:r>
      <w:r w:rsidRPr="00D74CA4">
        <w:rPr>
          <w:lang w:val="es-ES"/>
        </w:rPr>
        <w:t xml:space="preserve">assistance permettant à ces enfants/personnes handicapés de mener leurs activités quotidiennes normales à leur domicile, des aides médicales à domicile dispensent des soins infirmiers, comme faire prendre un bain. </w:t>
      </w:r>
      <w:r w:rsidRPr="00C478E4">
        <w:rPr>
          <w:lang w:val="es-ES"/>
        </w:rPr>
        <w:t>Il s</w:t>
      </w:r>
      <w:r w:rsidR="00277023">
        <w:rPr>
          <w:lang w:val="es-ES"/>
        </w:rPr>
        <w:t>’</w:t>
      </w:r>
      <w:r w:rsidRPr="00C478E4">
        <w:rPr>
          <w:lang w:val="es-ES"/>
        </w:rPr>
        <w:t>agit de faciliter l</w:t>
      </w:r>
      <w:r w:rsidR="00277023">
        <w:rPr>
          <w:lang w:val="es-ES"/>
        </w:rPr>
        <w:t>’</w:t>
      </w:r>
      <w:r w:rsidRPr="00C478E4">
        <w:rPr>
          <w:lang w:val="es-ES"/>
        </w:rPr>
        <w:t>autonomie des enfants/personnes handicapés et leur participation à la vie sociale et d</w:t>
      </w:r>
      <w:r w:rsidR="00277023">
        <w:rPr>
          <w:lang w:val="es-ES"/>
        </w:rPr>
        <w:t>’</w:t>
      </w:r>
      <w:r w:rsidRPr="00C478E4">
        <w:rPr>
          <w:lang w:val="es-ES"/>
        </w:rPr>
        <w:t>améliorer leur bien</w:t>
      </w:r>
      <w:r w:rsidR="00C25B16">
        <w:rPr>
          <w:lang w:val="es-ES"/>
        </w:rPr>
        <w:t>-</w:t>
      </w:r>
      <w:r w:rsidRPr="00C478E4">
        <w:rPr>
          <w:lang w:val="es-ES"/>
        </w:rPr>
        <w:t>être.</w:t>
      </w:r>
    </w:p>
    <w:p w:rsidR="00D3561A" w:rsidRPr="00C478E4" w:rsidRDefault="00C25B16" w:rsidP="00C25B16">
      <w:pPr>
        <w:pStyle w:val="Heading1"/>
        <w:rPr>
          <w:lang w:val="es-ES"/>
        </w:rPr>
      </w:pPr>
      <w:r>
        <w:rPr>
          <w:lang w:val="es-ES"/>
        </w:rPr>
        <w:br w:type="page"/>
      </w:r>
      <w:r w:rsidR="00365506" w:rsidRPr="00F206B8">
        <w:rPr>
          <w:lang w:val="fr-FR"/>
        </w:rPr>
        <w:t>Tableau</w:t>
      </w:r>
      <w:r w:rsidR="00365506" w:rsidRPr="00F206B8">
        <w:rPr>
          <w:lang w:val="es-ES"/>
        </w:rPr>
        <w:t xml:space="preserve"> </w:t>
      </w:r>
      <w:r w:rsidR="00D3561A" w:rsidRPr="00C478E4">
        <w:rPr>
          <w:lang w:val="es-ES"/>
        </w:rPr>
        <w:t>15</w:t>
      </w:r>
    </w:p>
    <w:p w:rsidR="00D3561A" w:rsidRPr="00C478E4" w:rsidRDefault="00270871" w:rsidP="00AC5677">
      <w:pPr>
        <w:pStyle w:val="SingleTxtG"/>
        <w:jc w:val="left"/>
        <w:rPr>
          <w:b/>
          <w:lang w:val="es-ES"/>
        </w:rPr>
      </w:pPr>
      <w:r>
        <w:rPr>
          <w:b/>
          <w:bCs/>
          <w:lang w:val="fr-FR"/>
        </w:rPr>
        <w:t>É</w:t>
      </w:r>
      <w:r w:rsidR="00C478E4" w:rsidRPr="00C478E4">
        <w:rPr>
          <w:b/>
          <w:bCs/>
          <w:lang w:val="fr-FR"/>
        </w:rPr>
        <w:t>volution du nombre d</w:t>
      </w:r>
      <w:r w:rsidR="00277023">
        <w:rPr>
          <w:b/>
          <w:bCs/>
          <w:lang w:val="fr-FR"/>
        </w:rPr>
        <w:t>’</w:t>
      </w:r>
      <w:r w:rsidR="00C478E4" w:rsidRPr="00C478E4">
        <w:rPr>
          <w:b/>
          <w:bCs/>
          <w:lang w:val="fr-FR"/>
        </w:rPr>
        <w:t>aides médicales à domicile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5"/>
      </w:tblGrid>
      <w:tr w:rsidR="00D3561A" w:rsidRPr="008E5027">
        <w:tc>
          <w:tcPr>
            <w:tcW w:w="147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1999</w:t>
            </w:r>
          </w:p>
        </w:tc>
        <w:tc>
          <w:tcPr>
            <w:tcW w:w="147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2000</w:t>
            </w:r>
          </w:p>
        </w:tc>
        <w:tc>
          <w:tcPr>
            <w:tcW w:w="147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2001</w:t>
            </w:r>
          </w:p>
        </w:tc>
        <w:tc>
          <w:tcPr>
            <w:tcW w:w="147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2000</w:t>
            </w:r>
          </w:p>
        </w:tc>
        <w:tc>
          <w:tcPr>
            <w:tcW w:w="1475"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2003</w:t>
            </w:r>
          </w:p>
        </w:tc>
      </w:tr>
      <w:tr w:rsidR="00D3561A" w:rsidRPr="008E5027">
        <w:tc>
          <w:tcPr>
            <w:tcW w:w="1474" w:type="dxa"/>
            <w:tcBorders>
              <w:top w:val="single" w:sz="12" w:space="0" w:color="auto"/>
              <w:bottom w:val="single" w:sz="12" w:space="0" w:color="auto"/>
            </w:tcBorders>
            <w:shd w:val="clear" w:color="auto" w:fill="auto"/>
            <w:vAlign w:val="bottom"/>
          </w:tcPr>
          <w:p w:rsidR="00D3561A" w:rsidRPr="008E5027" w:rsidRDefault="00D3561A" w:rsidP="00D017E5">
            <w:pPr>
              <w:spacing w:before="40" w:after="40" w:line="220" w:lineRule="exact"/>
              <w:jc w:val="right"/>
              <w:rPr>
                <w:sz w:val="18"/>
                <w:szCs w:val="18"/>
              </w:rPr>
            </w:pPr>
            <w:r w:rsidRPr="008E5027">
              <w:rPr>
                <w:sz w:val="18"/>
                <w:szCs w:val="18"/>
              </w:rPr>
              <w:t>15 154</w:t>
            </w:r>
          </w:p>
        </w:tc>
        <w:tc>
          <w:tcPr>
            <w:tcW w:w="1474" w:type="dxa"/>
            <w:tcBorders>
              <w:top w:val="single" w:sz="12" w:space="0" w:color="auto"/>
              <w:bottom w:val="single" w:sz="12" w:space="0" w:color="auto"/>
            </w:tcBorders>
            <w:shd w:val="clear" w:color="auto" w:fill="auto"/>
            <w:vAlign w:val="bottom"/>
          </w:tcPr>
          <w:p w:rsidR="00D3561A" w:rsidRPr="008E5027" w:rsidRDefault="00D3561A" w:rsidP="00D017E5">
            <w:pPr>
              <w:spacing w:before="40" w:after="40" w:line="220" w:lineRule="exact"/>
              <w:jc w:val="right"/>
              <w:rPr>
                <w:sz w:val="18"/>
                <w:szCs w:val="18"/>
              </w:rPr>
            </w:pPr>
            <w:r w:rsidRPr="008E5027">
              <w:rPr>
                <w:sz w:val="18"/>
                <w:szCs w:val="18"/>
              </w:rPr>
              <w:t>31 773</w:t>
            </w:r>
          </w:p>
        </w:tc>
        <w:tc>
          <w:tcPr>
            <w:tcW w:w="1474" w:type="dxa"/>
            <w:tcBorders>
              <w:top w:val="single" w:sz="12" w:space="0" w:color="auto"/>
              <w:bottom w:val="single" w:sz="12" w:space="0" w:color="auto"/>
            </w:tcBorders>
            <w:shd w:val="clear" w:color="auto" w:fill="auto"/>
            <w:vAlign w:val="bottom"/>
          </w:tcPr>
          <w:p w:rsidR="00D3561A" w:rsidRPr="008E5027" w:rsidRDefault="00D3561A" w:rsidP="00D017E5">
            <w:pPr>
              <w:spacing w:before="40" w:after="40" w:line="220" w:lineRule="exact"/>
              <w:jc w:val="right"/>
              <w:rPr>
                <w:sz w:val="18"/>
                <w:szCs w:val="18"/>
              </w:rPr>
            </w:pPr>
            <w:r w:rsidRPr="008E5027">
              <w:rPr>
                <w:sz w:val="18"/>
                <w:szCs w:val="18"/>
              </w:rPr>
              <w:t>37 377</w:t>
            </w:r>
          </w:p>
        </w:tc>
        <w:tc>
          <w:tcPr>
            <w:tcW w:w="1474" w:type="dxa"/>
            <w:tcBorders>
              <w:top w:val="single" w:sz="12" w:space="0" w:color="auto"/>
              <w:bottom w:val="single" w:sz="12" w:space="0" w:color="auto"/>
            </w:tcBorders>
            <w:shd w:val="clear" w:color="auto" w:fill="auto"/>
            <w:vAlign w:val="bottom"/>
          </w:tcPr>
          <w:p w:rsidR="00D3561A" w:rsidRPr="008E5027" w:rsidRDefault="00D3561A" w:rsidP="00D017E5">
            <w:pPr>
              <w:spacing w:before="40" w:after="40" w:line="220" w:lineRule="exact"/>
              <w:jc w:val="right"/>
              <w:rPr>
                <w:sz w:val="18"/>
                <w:szCs w:val="18"/>
              </w:rPr>
            </w:pPr>
            <w:r w:rsidRPr="008E5027">
              <w:rPr>
                <w:sz w:val="18"/>
                <w:szCs w:val="18"/>
              </w:rPr>
              <w:t>42 722</w:t>
            </w:r>
          </w:p>
        </w:tc>
        <w:tc>
          <w:tcPr>
            <w:tcW w:w="1475" w:type="dxa"/>
            <w:tcBorders>
              <w:top w:val="single" w:sz="12" w:space="0" w:color="auto"/>
              <w:bottom w:val="single" w:sz="12" w:space="0" w:color="auto"/>
            </w:tcBorders>
            <w:shd w:val="clear" w:color="auto" w:fill="auto"/>
            <w:vAlign w:val="bottom"/>
          </w:tcPr>
          <w:p w:rsidR="00D3561A" w:rsidRPr="008E5027" w:rsidRDefault="00D3561A" w:rsidP="00D017E5">
            <w:pPr>
              <w:spacing w:before="40" w:after="40" w:line="220" w:lineRule="exact"/>
              <w:jc w:val="right"/>
              <w:rPr>
                <w:sz w:val="18"/>
                <w:szCs w:val="18"/>
              </w:rPr>
            </w:pPr>
            <w:r w:rsidRPr="008E5027">
              <w:rPr>
                <w:sz w:val="18"/>
                <w:szCs w:val="18"/>
              </w:rPr>
              <w:t>53 771</w:t>
            </w:r>
          </w:p>
        </w:tc>
      </w:tr>
    </w:tbl>
    <w:p w:rsidR="00D3561A" w:rsidRPr="00C478E4" w:rsidRDefault="00D3561A" w:rsidP="004351CC">
      <w:pPr>
        <w:spacing w:before="120"/>
        <w:ind w:left="1134" w:right="1134" w:firstLine="170"/>
        <w:rPr>
          <w:sz w:val="18"/>
          <w:szCs w:val="18"/>
          <w:lang w:val="es-ES"/>
        </w:rPr>
      </w:pPr>
      <w:r w:rsidRPr="00C478E4">
        <w:rPr>
          <w:i/>
          <w:iCs/>
          <w:sz w:val="18"/>
          <w:szCs w:val="18"/>
          <w:lang w:val="es-ES"/>
        </w:rPr>
        <w:t>Source</w:t>
      </w:r>
      <w:r w:rsidRPr="00C478E4">
        <w:rPr>
          <w:iCs/>
          <w:sz w:val="18"/>
          <w:szCs w:val="18"/>
          <w:lang w:val="es-ES"/>
        </w:rPr>
        <w:t>:</w:t>
      </w:r>
      <w:r w:rsidRPr="00C478E4">
        <w:rPr>
          <w:sz w:val="18"/>
          <w:szCs w:val="18"/>
          <w:lang w:val="es-ES"/>
        </w:rPr>
        <w:t xml:space="preserve"> </w:t>
      </w:r>
      <w:r w:rsidR="00C478E4" w:rsidRPr="00C478E4">
        <w:rPr>
          <w:sz w:val="18"/>
          <w:szCs w:val="18"/>
          <w:lang w:val="fr-FR"/>
        </w:rPr>
        <w:t>Etude du Ministère de la santé, du travail et de la protection sociale</w:t>
      </w:r>
      <w:r w:rsidRPr="00C478E4">
        <w:rPr>
          <w:sz w:val="18"/>
          <w:szCs w:val="18"/>
          <w:lang w:val="es-ES"/>
        </w:rPr>
        <w:t>.</w:t>
      </w:r>
    </w:p>
    <w:p w:rsidR="00D3561A" w:rsidRPr="00C478E4" w:rsidRDefault="00D3561A" w:rsidP="004351CC">
      <w:pPr>
        <w:ind w:left="1134" w:right="1134" w:firstLine="170"/>
        <w:rPr>
          <w:sz w:val="18"/>
          <w:szCs w:val="18"/>
          <w:lang w:val="es-ES"/>
        </w:rPr>
      </w:pPr>
      <w:r w:rsidRPr="00C478E4">
        <w:rPr>
          <w:sz w:val="18"/>
          <w:szCs w:val="18"/>
          <w:lang w:val="es-ES"/>
        </w:rPr>
        <w:t>*</w:t>
      </w:r>
      <w:r w:rsidR="00EA1115">
        <w:rPr>
          <w:sz w:val="18"/>
          <w:szCs w:val="18"/>
          <w:lang w:val="es-ES"/>
        </w:rPr>
        <w:t xml:space="preserve">  </w:t>
      </w:r>
      <w:r w:rsidR="00C478E4" w:rsidRPr="00C478E4">
        <w:rPr>
          <w:sz w:val="18"/>
          <w:szCs w:val="18"/>
          <w:lang w:val="fr-FR"/>
        </w:rPr>
        <w:t>Jusqu</w:t>
      </w:r>
      <w:r w:rsidR="00277023">
        <w:rPr>
          <w:sz w:val="18"/>
          <w:szCs w:val="18"/>
          <w:lang w:val="fr-FR"/>
        </w:rPr>
        <w:t>’</w:t>
      </w:r>
      <w:r w:rsidR="00C478E4" w:rsidRPr="00C478E4">
        <w:rPr>
          <w:sz w:val="18"/>
          <w:szCs w:val="18"/>
          <w:lang w:val="fr-FR"/>
        </w:rPr>
        <w:t>en 2002, le chiffre concerne les aides médicales à domicile ne s</w:t>
      </w:r>
      <w:r w:rsidR="00277023">
        <w:rPr>
          <w:sz w:val="18"/>
          <w:szCs w:val="18"/>
          <w:lang w:val="fr-FR"/>
        </w:rPr>
        <w:t>’</w:t>
      </w:r>
      <w:r w:rsidR="00C478E4" w:rsidRPr="00C478E4">
        <w:rPr>
          <w:sz w:val="18"/>
          <w:szCs w:val="18"/>
          <w:lang w:val="fr-FR"/>
        </w:rPr>
        <w:t>occupant que des personnes handicapées physiques ou mentales</w:t>
      </w:r>
      <w:r w:rsidRPr="00C478E4">
        <w:rPr>
          <w:sz w:val="18"/>
          <w:szCs w:val="18"/>
          <w:lang w:val="es-ES"/>
        </w:rPr>
        <w:t>.</w:t>
      </w:r>
    </w:p>
    <w:p w:rsidR="00D3561A" w:rsidRPr="00C478E4" w:rsidRDefault="00D3561A" w:rsidP="00886F24">
      <w:pPr>
        <w:spacing w:after="240"/>
        <w:ind w:left="1134" w:right="1134" w:firstLine="170"/>
        <w:rPr>
          <w:sz w:val="18"/>
          <w:szCs w:val="18"/>
          <w:lang w:val="es-ES"/>
        </w:rPr>
      </w:pPr>
      <w:r w:rsidRPr="00C478E4">
        <w:rPr>
          <w:sz w:val="18"/>
          <w:szCs w:val="18"/>
          <w:lang w:val="es-ES"/>
        </w:rPr>
        <w:t xml:space="preserve">*  </w:t>
      </w:r>
      <w:r w:rsidR="00C478E4" w:rsidRPr="00C478E4">
        <w:rPr>
          <w:sz w:val="18"/>
          <w:szCs w:val="18"/>
          <w:lang w:val="fr-FR"/>
        </w:rPr>
        <w:t>A partir de 2003, le chiffre concerne les aides médicales à domicile ne s</w:t>
      </w:r>
      <w:r w:rsidR="00277023">
        <w:rPr>
          <w:sz w:val="18"/>
          <w:szCs w:val="18"/>
          <w:lang w:val="fr-FR"/>
        </w:rPr>
        <w:t>’</w:t>
      </w:r>
      <w:r w:rsidR="00C478E4" w:rsidRPr="00C478E4">
        <w:rPr>
          <w:sz w:val="18"/>
          <w:szCs w:val="18"/>
          <w:lang w:val="fr-FR"/>
        </w:rPr>
        <w:t>occupant que des personnes handicapées physiques ou mentales, des enfants handicapés et des personnes atteintes de troubles psychologiques.</w:t>
      </w:r>
    </w:p>
    <w:p w:rsidR="00C478E4" w:rsidRPr="00C478E4" w:rsidRDefault="00C478E4" w:rsidP="00C478E4">
      <w:pPr>
        <w:pStyle w:val="SingleTxtG"/>
        <w:rPr>
          <w:lang w:val="fr-FR"/>
        </w:rPr>
      </w:pPr>
      <w:r>
        <w:rPr>
          <w:lang w:val="fr-FR"/>
        </w:rPr>
        <w:tab/>
      </w:r>
      <w:r w:rsidRPr="00C478E4">
        <w:rPr>
          <w:lang w:val="fr-FR"/>
        </w:rPr>
        <w:t>Hausse des allocations pour les services de soins infirmiers à domicile dispensés aux enfants (selon le coût du projet): 280</w:t>
      </w:r>
      <w:r w:rsidR="00277023">
        <w:rPr>
          <w:lang w:val="fr-FR"/>
        </w:rPr>
        <w:t>%</w:t>
      </w:r>
      <w:r w:rsidRPr="00C478E4">
        <w:rPr>
          <w:lang w:val="fr-FR"/>
        </w:rPr>
        <w:t xml:space="preserve"> d</w:t>
      </w:r>
      <w:r w:rsidR="00277023">
        <w:rPr>
          <w:lang w:val="fr-FR"/>
        </w:rPr>
        <w:t>’</w:t>
      </w:r>
      <w:r w:rsidRPr="00C478E4">
        <w:rPr>
          <w:lang w:val="fr-FR"/>
        </w:rPr>
        <w:t>augmentation entre avril 2003 et février 2005.</w:t>
      </w:r>
    </w:p>
    <w:p w:rsidR="00D3561A" w:rsidRPr="00C478E4" w:rsidRDefault="00C478E4" w:rsidP="00C478E4">
      <w:pPr>
        <w:pStyle w:val="SingleTxtG"/>
        <w:rPr>
          <w:lang w:val="fr-FR"/>
        </w:rPr>
      </w:pPr>
      <w:r w:rsidRPr="00C478E4">
        <w:rPr>
          <w:lang w:val="fr-FR"/>
        </w:rPr>
        <w:tab/>
      </w:r>
      <w:r>
        <w:rPr>
          <w:lang w:val="fr-FR"/>
        </w:rPr>
        <w:t>3)</w:t>
      </w:r>
      <w:r>
        <w:rPr>
          <w:lang w:val="fr-FR"/>
        </w:rPr>
        <w:tab/>
      </w:r>
      <w:r w:rsidRPr="00C478E4">
        <w:rPr>
          <w:lang w:val="fr-FR"/>
        </w:rPr>
        <w:t>Service de garderie pour les enfants (programme de scolarisation pour les enfants handicapés)</w:t>
      </w:r>
      <w:r w:rsidR="00277023">
        <w:rPr>
          <w:lang w:val="fr-FR"/>
        </w:rPr>
        <w:t>:</w:t>
      </w:r>
      <w:r w:rsidRPr="00C478E4">
        <w:rPr>
          <w:lang w:val="fr-FR"/>
        </w:rPr>
        <w:t xml:space="preserve"> un programme de scolarisation est offert aux enfants handicapés</w:t>
      </w:r>
      <w:r w:rsidR="00277023">
        <w:rPr>
          <w:lang w:val="fr-FR"/>
        </w:rPr>
        <w:t>;</w:t>
      </w:r>
      <w:r w:rsidRPr="00C478E4">
        <w:rPr>
          <w:lang w:val="fr-FR"/>
        </w:rPr>
        <w:t xml:space="preserve"> il leur propose des conseils sur les mouvements de base nécessaires aux activités quotidiennes et un entraînement adaptatif à la vie collective pour favoriser leur développement.</w:t>
      </w:r>
    </w:p>
    <w:p w:rsidR="00D3561A" w:rsidRPr="00C478E4" w:rsidRDefault="00365506" w:rsidP="002F0C75">
      <w:pPr>
        <w:pStyle w:val="Heading1"/>
        <w:tabs>
          <w:tab w:val="left" w:pos="2490"/>
        </w:tabs>
        <w:rPr>
          <w:lang w:val="es-ES"/>
        </w:rPr>
      </w:pPr>
      <w:r w:rsidRPr="00F206B8">
        <w:rPr>
          <w:lang w:val="fr-FR"/>
        </w:rPr>
        <w:t>Tableau</w:t>
      </w:r>
      <w:r w:rsidRPr="00F206B8">
        <w:rPr>
          <w:lang w:val="es-ES"/>
        </w:rPr>
        <w:t xml:space="preserve"> </w:t>
      </w:r>
      <w:r w:rsidR="00D3561A" w:rsidRPr="00C478E4">
        <w:rPr>
          <w:lang w:val="es-ES"/>
        </w:rPr>
        <w:t>16</w:t>
      </w:r>
    </w:p>
    <w:p w:rsidR="00D3561A" w:rsidRPr="00C478E4" w:rsidRDefault="00270871" w:rsidP="00AC5677">
      <w:pPr>
        <w:pStyle w:val="SingleTxtG"/>
        <w:jc w:val="left"/>
        <w:rPr>
          <w:b/>
          <w:lang w:val="es-ES"/>
        </w:rPr>
      </w:pPr>
      <w:r>
        <w:rPr>
          <w:b/>
          <w:bCs/>
          <w:lang w:val="fr-FR"/>
        </w:rPr>
        <w:t>É</w:t>
      </w:r>
      <w:r w:rsidR="00C478E4" w:rsidRPr="00C478E4">
        <w:rPr>
          <w:b/>
          <w:bCs/>
          <w:lang w:val="fr-FR"/>
        </w:rPr>
        <w:t>volution du nombre de garderies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5"/>
      </w:tblGrid>
      <w:tr w:rsidR="00D3561A" w:rsidRPr="008E5027">
        <w:tc>
          <w:tcPr>
            <w:tcW w:w="147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1999</w:t>
            </w:r>
          </w:p>
        </w:tc>
        <w:tc>
          <w:tcPr>
            <w:tcW w:w="147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2000</w:t>
            </w:r>
          </w:p>
        </w:tc>
        <w:tc>
          <w:tcPr>
            <w:tcW w:w="147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2001</w:t>
            </w:r>
          </w:p>
        </w:tc>
        <w:tc>
          <w:tcPr>
            <w:tcW w:w="1474"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2002</w:t>
            </w:r>
          </w:p>
        </w:tc>
        <w:tc>
          <w:tcPr>
            <w:tcW w:w="1475"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r w:rsidRPr="008E5027">
              <w:rPr>
                <w:i/>
                <w:sz w:val="16"/>
              </w:rPr>
              <w:t>2003</w:t>
            </w:r>
          </w:p>
        </w:tc>
      </w:tr>
      <w:tr w:rsidR="00D3561A" w:rsidRPr="008E5027">
        <w:tc>
          <w:tcPr>
            <w:tcW w:w="1474" w:type="dxa"/>
            <w:tcBorders>
              <w:top w:val="single" w:sz="12" w:space="0" w:color="auto"/>
              <w:bottom w:val="single" w:sz="12" w:space="0" w:color="auto"/>
            </w:tcBorders>
            <w:shd w:val="clear" w:color="auto" w:fill="auto"/>
            <w:vAlign w:val="bottom"/>
          </w:tcPr>
          <w:p w:rsidR="00D3561A" w:rsidRPr="008E5027" w:rsidRDefault="00D3561A" w:rsidP="005F6446">
            <w:pPr>
              <w:spacing w:before="40" w:after="40" w:line="220" w:lineRule="exact"/>
              <w:jc w:val="right"/>
              <w:rPr>
                <w:sz w:val="18"/>
              </w:rPr>
            </w:pPr>
            <w:r w:rsidRPr="008E5027">
              <w:rPr>
                <w:sz w:val="18"/>
              </w:rPr>
              <w:t>793</w:t>
            </w:r>
          </w:p>
        </w:tc>
        <w:tc>
          <w:tcPr>
            <w:tcW w:w="1474" w:type="dxa"/>
            <w:tcBorders>
              <w:top w:val="single" w:sz="12" w:space="0" w:color="auto"/>
              <w:bottom w:val="single" w:sz="12" w:space="0" w:color="auto"/>
            </w:tcBorders>
            <w:shd w:val="clear" w:color="auto" w:fill="auto"/>
            <w:vAlign w:val="bottom"/>
          </w:tcPr>
          <w:p w:rsidR="00D3561A" w:rsidRPr="008E5027" w:rsidRDefault="00D3561A" w:rsidP="005F6446">
            <w:pPr>
              <w:spacing w:before="40" w:after="40" w:line="220" w:lineRule="exact"/>
              <w:jc w:val="right"/>
              <w:rPr>
                <w:sz w:val="18"/>
              </w:rPr>
            </w:pPr>
            <w:r w:rsidRPr="008E5027">
              <w:rPr>
                <w:sz w:val="18"/>
              </w:rPr>
              <w:t>918</w:t>
            </w:r>
          </w:p>
        </w:tc>
        <w:tc>
          <w:tcPr>
            <w:tcW w:w="1474" w:type="dxa"/>
            <w:tcBorders>
              <w:top w:val="single" w:sz="12" w:space="0" w:color="auto"/>
              <w:bottom w:val="single" w:sz="12" w:space="0" w:color="auto"/>
            </w:tcBorders>
            <w:shd w:val="clear" w:color="auto" w:fill="auto"/>
            <w:vAlign w:val="bottom"/>
          </w:tcPr>
          <w:p w:rsidR="00D3561A" w:rsidRPr="008E5027" w:rsidRDefault="00D3561A" w:rsidP="005F6446">
            <w:pPr>
              <w:spacing w:before="40" w:after="40" w:line="220" w:lineRule="exact"/>
              <w:jc w:val="right"/>
              <w:rPr>
                <w:i/>
                <w:sz w:val="16"/>
              </w:rPr>
            </w:pPr>
            <w:r w:rsidRPr="008E5027">
              <w:rPr>
                <w:sz w:val="18"/>
              </w:rPr>
              <w:t>1 052</w:t>
            </w:r>
          </w:p>
        </w:tc>
        <w:tc>
          <w:tcPr>
            <w:tcW w:w="1474" w:type="dxa"/>
            <w:tcBorders>
              <w:top w:val="single" w:sz="12" w:space="0" w:color="auto"/>
              <w:bottom w:val="single" w:sz="12" w:space="0" w:color="auto"/>
            </w:tcBorders>
            <w:shd w:val="clear" w:color="auto" w:fill="auto"/>
            <w:vAlign w:val="bottom"/>
          </w:tcPr>
          <w:p w:rsidR="00D3561A" w:rsidRPr="008E5027" w:rsidRDefault="00D3561A" w:rsidP="005F6446">
            <w:pPr>
              <w:spacing w:before="40" w:after="40" w:line="220" w:lineRule="exact"/>
              <w:jc w:val="right"/>
              <w:rPr>
                <w:i/>
                <w:sz w:val="16"/>
              </w:rPr>
            </w:pPr>
            <w:r w:rsidRPr="008E5027">
              <w:rPr>
                <w:sz w:val="18"/>
              </w:rPr>
              <w:t>1 164</w:t>
            </w:r>
          </w:p>
        </w:tc>
        <w:tc>
          <w:tcPr>
            <w:tcW w:w="1475" w:type="dxa"/>
            <w:tcBorders>
              <w:top w:val="single" w:sz="12" w:space="0" w:color="auto"/>
              <w:bottom w:val="single" w:sz="12" w:space="0" w:color="auto"/>
            </w:tcBorders>
            <w:shd w:val="clear" w:color="auto" w:fill="auto"/>
            <w:vAlign w:val="bottom"/>
          </w:tcPr>
          <w:p w:rsidR="00D3561A" w:rsidRPr="008E5027" w:rsidRDefault="00D3561A" w:rsidP="005F6446">
            <w:pPr>
              <w:spacing w:before="40" w:after="40" w:line="220" w:lineRule="exact"/>
              <w:jc w:val="right"/>
              <w:rPr>
                <w:i/>
                <w:sz w:val="16"/>
              </w:rPr>
            </w:pPr>
            <w:r w:rsidRPr="008E5027">
              <w:rPr>
                <w:sz w:val="18"/>
              </w:rPr>
              <w:t>1 164</w:t>
            </w:r>
          </w:p>
        </w:tc>
      </w:tr>
    </w:tbl>
    <w:p w:rsidR="00D3561A" w:rsidRPr="00C478E4" w:rsidRDefault="00D3561A" w:rsidP="00695802">
      <w:pPr>
        <w:spacing w:before="120"/>
        <w:ind w:left="1134" w:right="1134" w:firstLine="170"/>
        <w:rPr>
          <w:lang w:val="es-ES"/>
        </w:rPr>
      </w:pPr>
      <w:r w:rsidRPr="00C478E4">
        <w:rPr>
          <w:i/>
          <w:iCs/>
          <w:lang w:val="es-ES"/>
        </w:rPr>
        <w:t>Source:</w:t>
      </w:r>
      <w:r w:rsidR="009157A6" w:rsidRPr="00C478E4">
        <w:rPr>
          <w:lang w:val="es-ES"/>
        </w:rPr>
        <w:t xml:space="preserve"> </w:t>
      </w:r>
      <w:r w:rsidR="00C478E4" w:rsidRPr="00C478E4">
        <w:rPr>
          <w:lang w:val="fr-FR"/>
        </w:rPr>
        <w:t>Étude du Ministère de la santé, du travail et de la protection sociale</w:t>
      </w:r>
      <w:r w:rsidR="00C478E4">
        <w:rPr>
          <w:lang w:val="fr-FR"/>
        </w:rPr>
        <w:t>.</w:t>
      </w:r>
    </w:p>
    <w:p w:rsidR="00D3561A" w:rsidRPr="00C478E4" w:rsidRDefault="00D3561A" w:rsidP="00695802">
      <w:pPr>
        <w:spacing w:after="240"/>
        <w:ind w:left="1134" w:right="1134" w:firstLine="170"/>
        <w:rPr>
          <w:lang w:val="es-ES"/>
        </w:rPr>
      </w:pPr>
      <w:r w:rsidRPr="00C478E4">
        <w:rPr>
          <w:lang w:val="es-ES"/>
        </w:rPr>
        <w:t xml:space="preserve">*  </w:t>
      </w:r>
      <w:r w:rsidR="00C478E4" w:rsidRPr="00C478E4">
        <w:rPr>
          <w:lang w:val="fr-FR"/>
        </w:rPr>
        <w:t>Garderies qui n</w:t>
      </w:r>
      <w:r w:rsidR="00277023">
        <w:rPr>
          <w:lang w:val="fr-FR"/>
        </w:rPr>
        <w:t>’</w:t>
      </w:r>
      <w:r w:rsidR="00C478E4" w:rsidRPr="00C478E4">
        <w:rPr>
          <w:lang w:val="fr-FR"/>
        </w:rPr>
        <w:t>acceptent que des personnes handicapées physiques et des enfants handicapés mentaux ou physiques</w:t>
      </w:r>
      <w:r w:rsidRPr="00C478E4">
        <w:rPr>
          <w:lang w:val="es-ES"/>
        </w:rPr>
        <w:t>.</w:t>
      </w:r>
    </w:p>
    <w:p w:rsidR="00C478E4" w:rsidRPr="00C478E4" w:rsidRDefault="00C478E4" w:rsidP="00C478E4">
      <w:pPr>
        <w:pStyle w:val="SingleTxtG"/>
        <w:rPr>
          <w:lang w:val="fr-FR"/>
        </w:rPr>
      </w:pPr>
      <w:r w:rsidRPr="00C478E4">
        <w:rPr>
          <w:lang w:val="fr-FR"/>
        </w:rPr>
        <w:t>(Services de protection sociale en établissement)</w:t>
      </w:r>
    </w:p>
    <w:p w:rsidR="00C478E4" w:rsidRDefault="00C478E4" w:rsidP="00C478E4">
      <w:pPr>
        <w:pStyle w:val="SingleTxtG"/>
        <w:rPr>
          <w:lang w:val="fr-FR"/>
        </w:rPr>
      </w:pPr>
      <w:r w:rsidRPr="00C478E4">
        <w:rPr>
          <w:lang w:val="fr-FR"/>
        </w:rPr>
        <w:t>350.</w:t>
      </w:r>
      <w:r w:rsidRPr="00C478E4">
        <w:rPr>
          <w:lang w:val="fr-FR"/>
        </w:rPr>
        <w:tab/>
        <w:t>Divers types d</w:t>
      </w:r>
      <w:r w:rsidR="00277023">
        <w:rPr>
          <w:lang w:val="fr-FR"/>
        </w:rPr>
        <w:t>’</w:t>
      </w:r>
      <w:r w:rsidRPr="00C478E4">
        <w:rPr>
          <w:lang w:val="fr-FR"/>
        </w:rPr>
        <w:t>établissement, comme les foyers, peuvent offrir une aide active et une formation aux enfants en fonction du degré de handicap, ou comme les centres d</w:t>
      </w:r>
      <w:r w:rsidR="00277023">
        <w:rPr>
          <w:lang w:val="fr-FR"/>
        </w:rPr>
        <w:t>’</w:t>
      </w:r>
      <w:r w:rsidRPr="00C478E4">
        <w:rPr>
          <w:lang w:val="fr-FR"/>
        </w:rPr>
        <w:t>aide à l</w:t>
      </w:r>
      <w:r w:rsidR="00277023">
        <w:rPr>
          <w:lang w:val="fr-FR"/>
        </w:rPr>
        <w:t>’</w:t>
      </w:r>
      <w:r w:rsidRPr="00C478E4">
        <w:rPr>
          <w:lang w:val="fr-FR"/>
        </w:rPr>
        <w:t>emploi et de promotion de la participation à la vie sociale. Il s</w:t>
      </w:r>
      <w:r w:rsidR="00277023">
        <w:rPr>
          <w:lang w:val="fr-FR"/>
        </w:rPr>
        <w:t>’</w:t>
      </w:r>
      <w:r w:rsidRPr="00C478E4">
        <w:rPr>
          <w:lang w:val="fr-FR"/>
        </w:rPr>
        <w:t>agit des établissements pour enfants présentant un handicap physique ou mental, des crèches, des établissements pour enfants atteints de troubles de l</w:t>
      </w:r>
      <w:r w:rsidR="00277023">
        <w:rPr>
          <w:lang w:val="fr-FR"/>
        </w:rPr>
        <w:t>’</w:t>
      </w:r>
      <w:r w:rsidRPr="00C478E4">
        <w:rPr>
          <w:lang w:val="fr-FR"/>
        </w:rPr>
        <w:t>audition ou du langage, des crèches pour enfants ayant des problèmes auditifs et des établissements pour enfants atteints de handicaps sévères. L</w:t>
      </w:r>
      <w:r w:rsidR="00277023">
        <w:rPr>
          <w:lang w:val="fr-FR"/>
        </w:rPr>
        <w:t>’</w:t>
      </w:r>
      <w:r w:rsidRPr="00C478E4">
        <w:rPr>
          <w:lang w:val="fr-FR"/>
        </w:rPr>
        <w:t>admission dans ces établissements est gratuite si les revenus des parents sont en dessous d</w:t>
      </w:r>
      <w:r w:rsidR="00277023">
        <w:rPr>
          <w:lang w:val="fr-FR"/>
        </w:rPr>
        <w:t>’</w:t>
      </w:r>
      <w:r w:rsidRPr="00C478E4">
        <w:rPr>
          <w:lang w:val="fr-FR"/>
        </w:rPr>
        <w:t>un certain seuil.</w:t>
      </w:r>
    </w:p>
    <w:p w:rsidR="00D3561A" w:rsidRPr="008E5027" w:rsidRDefault="00C25B16" w:rsidP="00C25B16">
      <w:pPr>
        <w:pStyle w:val="Heading1"/>
      </w:pPr>
      <w:r>
        <w:rPr>
          <w:lang w:val="fr-FR"/>
        </w:rPr>
        <w:br w:type="page"/>
      </w:r>
      <w:r w:rsidR="00365506" w:rsidRPr="00F206B8">
        <w:rPr>
          <w:lang w:val="fr-FR"/>
        </w:rPr>
        <w:t>Tableau</w:t>
      </w:r>
      <w:r w:rsidR="00365506" w:rsidRPr="00C478E4">
        <w:t xml:space="preserve"> </w:t>
      </w:r>
      <w:r w:rsidR="00D3561A" w:rsidRPr="008E5027">
        <w:t>17</w:t>
      </w:r>
    </w:p>
    <w:p w:rsidR="00D3561A" w:rsidRPr="008E5027" w:rsidRDefault="00C478E4" w:rsidP="00AC5677">
      <w:pPr>
        <w:pStyle w:val="SingleTxtG"/>
        <w:spacing w:after="0"/>
        <w:jc w:val="left"/>
        <w:rPr>
          <w:b/>
        </w:rPr>
      </w:pPr>
      <w:r w:rsidRPr="00C478E4">
        <w:rPr>
          <w:b/>
          <w:bCs/>
          <w:lang w:val="fr-FR"/>
        </w:rPr>
        <w:t>Situation actuelle des établissements pour enfants handicapés</w:t>
      </w:r>
    </w:p>
    <w:p w:rsidR="00D3561A" w:rsidRPr="008E5027" w:rsidRDefault="00C478E4" w:rsidP="00AC5677">
      <w:pPr>
        <w:pStyle w:val="SingleTxtG"/>
        <w:spacing w:after="0"/>
        <w:jc w:val="left"/>
        <w:rPr>
          <w:sz w:val="16"/>
          <w:szCs w:val="16"/>
        </w:rPr>
      </w:pPr>
      <w:r>
        <w:rPr>
          <w:sz w:val="16"/>
          <w:szCs w:val="16"/>
        </w:rPr>
        <w:t>(</w:t>
      </w:r>
      <w:r w:rsidRPr="00C478E4">
        <w:rPr>
          <w:sz w:val="16"/>
          <w:szCs w:val="16"/>
          <w:lang w:val="fr-FR"/>
        </w:rPr>
        <w:t>au 1</w:t>
      </w:r>
      <w:r w:rsidRPr="00C478E4">
        <w:rPr>
          <w:sz w:val="16"/>
          <w:szCs w:val="16"/>
          <w:vertAlign w:val="superscript"/>
          <w:lang w:val="fr-FR"/>
        </w:rPr>
        <w:t>er</w:t>
      </w:r>
      <w:r w:rsidRPr="00C478E4">
        <w:rPr>
          <w:sz w:val="16"/>
          <w:szCs w:val="16"/>
          <w:lang w:val="fr-FR"/>
        </w:rPr>
        <w:t xml:space="preserve"> octobre 2003</w:t>
      </w:r>
      <w:r>
        <w:rPr>
          <w:sz w:val="16"/>
          <w:szCs w:val="16"/>
        </w:rPr>
        <w:t>)</w:t>
      </w:r>
    </w:p>
    <w:tbl>
      <w:tblPr>
        <w:tblStyle w:val="TableGrid"/>
        <w:tblW w:w="736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494"/>
        <w:gridCol w:w="1105"/>
        <w:gridCol w:w="885"/>
        <w:gridCol w:w="885"/>
      </w:tblGrid>
      <w:tr w:rsidR="00D3561A" w:rsidRPr="008E5027" w:rsidTr="006102E2">
        <w:trPr>
          <w:tblHeader/>
        </w:trPr>
        <w:tc>
          <w:tcPr>
            <w:tcW w:w="4494" w:type="dxa"/>
            <w:tcBorders>
              <w:top w:val="single" w:sz="4" w:space="0" w:color="auto"/>
              <w:bottom w:val="single" w:sz="12" w:space="0" w:color="auto"/>
            </w:tcBorders>
            <w:shd w:val="clear" w:color="auto" w:fill="auto"/>
            <w:vAlign w:val="bottom"/>
          </w:tcPr>
          <w:p w:rsidR="00D3561A" w:rsidRPr="008E5027" w:rsidRDefault="00D3561A" w:rsidP="00DD272B">
            <w:pPr>
              <w:spacing w:before="80" w:after="80" w:line="200" w:lineRule="exact"/>
              <w:rPr>
                <w:i/>
                <w:sz w:val="16"/>
              </w:rPr>
            </w:pPr>
          </w:p>
        </w:tc>
        <w:tc>
          <w:tcPr>
            <w:tcW w:w="1105" w:type="dxa"/>
            <w:tcBorders>
              <w:top w:val="single" w:sz="4" w:space="0" w:color="auto"/>
              <w:bottom w:val="single" w:sz="12" w:space="0" w:color="auto"/>
            </w:tcBorders>
            <w:shd w:val="clear" w:color="auto" w:fill="auto"/>
            <w:vAlign w:val="bottom"/>
          </w:tcPr>
          <w:p w:rsidR="00D3561A" w:rsidRPr="008E5027" w:rsidRDefault="00C25B16" w:rsidP="00DD272B">
            <w:pPr>
              <w:spacing w:before="80" w:after="80" w:line="200" w:lineRule="exact"/>
              <w:jc w:val="right"/>
              <w:rPr>
                <w:i/>
                <w:sz w:val="16"/>
              </w:rPr>
            </w:pPr>
            <w:r w:rsidRPr="00C25B16">
              <w:rPr>
                <w:i/>
                <w:sz w:val="16"/>
                <w:lang w:val="fr-FR"/>
              </w:rPr>
              <w:t>Nombre d</w:t>
            </w:r>
            <w:r w:rsidR="00277023">
              <w:rPr>
                <w:i/>
                <w:sz w:val="16"/>
                <w:lang w:val="fr-FR"/>
              </w:rPr>
              <w:t>’</w:t>
            </w:r>
            <w:r w:rsidRPr="00C25B16">
              <w:rPr>
                <w:i/>
                <w:sz w:val="16"/>
                <w:lang w:val="fr-FR"/>
              </w:rPr>
              <w:t>établissements</w:t>
            </w:r>
          </w:p>
        </w:tc>
        <w:tc>
          <w:tcPr>
            <w:tcW w:w="885" w:type="dxa"/>
            <w:tcBorders>
              <w:top w:val="single" w:sz="4" w:space="0" w:color="auto"/>
              <w:bottom w:val="single" w:sz="12" w:space="0" w:color="auto"/>
            </w:tcBorders>
            <w:shd w:val="clear" w:color="auto" w:fill="auto"/>
            <w:vAlign w:val="bottom"/>
          </w:tcPr>
          <w:p w:rsidR="00D3561A" w:rsidRPr="008E5027" w:rsidRDefault="00C25B16" w:rsidP="00DD272B">
            <w:pPr>
              <w:spacing w:before="80" w:after="80" w:line="200" w:lineRule="exact"/>
              <w:jc w:val="right"/>
              <w:rPr>
                <w:i/>
                <w:sz w:val="16"/>
              </w:rPr>
            </w:pPr>
            <w:r w:rsidRPr="00C25B16">
              <w:rPr>
                <w:i/>
                <w:sz w:val="16"/>
                <w:lang w:val="fr-FR"/>
              </w:rPr>
              <w:t>Capacité (personnes)</w:t>
            </w:r>
          </w:p>
        </w:tc>
        <w:tc>
          <w:tcPr>
            <w:tcW w:w="885" w:type="dxa"/>
            <w:tcBorders>
              <w:top w:val="single" w:sz="4" w:space="0" w:color="auto"/>
              <w:bottom w:val="single" w:sz="12" w:space="0" w:color="auto"/>
            </w:tcBorders>
            <w:shd w:val="clear" w:color="auto" w:fill="auto"/>
            <w:vAlign w:val="bottom"/>
          </w:tcPr>
          <w:p w:rsidR="00D3561A" w:rsidRPr="008E5027" w:rsidRDefault="00C25B16" w:rsidP="00DD272B">
            <w:pPr>
              <w:spacing w:before="80" w:after="80" w:line="200" w:lineRule="exact"/>
              <w:jc w:val="right"/>
              <w:rPr>
                <w:i/>
                <w:sz w:val="16"/>
              </w:rPr>
            </w:pPr>
            <w:r w:rsidRPr="00C25B16">
              <w:rPr>
                <w:i/>
                <w:sz w:val="16"/>
                <w:lang w:val="fr-FR"/>
              </w:rPr>
              <w:t>Personnel (personnes)</w:t>
            </w:r>
          </w:p>
        </w:tc>
      </w:tr>
      <w:tr w:rsidR="00D3561A" w:rsidRPr="008E5027" w:rsidTr="006102E2">
        <w:tc>
          <w:tcPr>
            <w:tcW w:w="4494" w:type="dxa"/>
            <w:tcBorders>
              <w:top w:val="single" w:sz="12" w:space="0" w:color="auto"/>
            </w:tcBorders>
            <w:shd w:val="clear" w:color="auto" w:fill="auto"/>
            <w:vAlign w:val="bottom"/>
          </w:tcPr>
          <w:p w:rsidR="00D3561A" w:rsidRPr="008E5027" w:rsidRDefault="00C25B16" w:rsidP="00DD272B">
            <w:pPr>
              <w:suppressAutoHyphens w:val="0"/>
              <w:spacing w:before="40" w:after="40" w:line="220" w:lineRule="exact"/>
              <w:rPr>
                <w:sz w:val="18"/>
              </w:rPr>
            </w:pPr>
            <w:r w:rsidRPr="00C25B16">
              <w:rPr>
                <w:sz w:val="18"/>
                <w:lang w:val="fr-FR"/>
              </w:rPr>
              <w:t>Établissements pour enfants handicapés mentaux</w:t>
            </w:r>
          </w:p>
        </w:tc>
        <w:tc>
          <w:tcPr>
            <w:tcW w:w="1105" w:type="dxa"/>
            <w:tcBorders>
              <w:top w:val="single" w:sz="12" w:space="0" w:color="auto"/>
            </w:tcBorders>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259</w:t>
            </w:r>
          </w:p>
        </w:tc>
        <w:tc>
          <w:tcPr>
            <w:tcW w:w="885" w:type="dxa"/>
            <w:tcBorders>
              <w:top w:val="single" w:sz="12" w:space="0" w:color="auto"/>
            </w:tcBorders>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12 763</w:t>
            </w:r>
          </w:p>
        </w:tc>
        <w:tc>
          <w:tcPr>
            <w:tcW w:w="885" w:type="dxa"/>
            <w:tcBorders>
              <w:top w:val="single" w:sz="12" w:space="0" w:color="auto"/>
            </w:tcBorders>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10 676</w:t>
            </w:r>
          </w:p>
        </w:tc>
      </w:tr>
      <w:tr w:rsidR="00D3561A" w:rsidRPr="008E5027" w:rsidTr="006102E2">
        <w:tc>
          <w:tcPr>
            <w:tcW w:w="4494" w:type="dxa"/>
            <w:shd w:val="clear" w:color="auto" w:fill="auto"/>
            <w:vAlign w:val="bottom"/>
          </w:tcPr>
          <w:p w:rsidR="00D3561A" w:rsidRPr="008E5027" w:rsidRDefault="008F55B7" w:rsidP="00DD272B">
            <w:pPr>
              <w:suppressAutoHyphens w:val="0"/>
              <w:spacing w:before="40" w:after="40" w:line="220" w:lineRule="exact"/>
              <w:rPr>
                <w:sz w:val="18"/>
              </w:rPr>
            </w:pPr>
            <w:r>
              <w:rPr>
                <w:lang w:val="fr-FR"/>
              </w:rPr>
              <w:t>É</w:t>
            </w:r>
            <w:r w:rsidR="00C25B16" w:rsidRPr="00C25B16">
              <w:rPr>
                <w:sz w:val="18"/>
                <w:lang w:val="fr-FR"/>
              </w:rPr>
              <w:t>tablissements pour enfants autistes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7</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332</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213</w:t>
            </w:r>
          </w:p>
        </w:tc>
      </w:tr>
      <w:tr w:rsidR="00D3561A" w:rsidRPr="008E5027" w:rsidTr="006102E2">
        <w:tc>
          <w:tcPr>
            <w:tcW w:w="4494" w:type="dxa"/>
            <w:shd w:val="clear" w:color="auto" w:fill="auto"/>
            <w:vAlign w:val="bottom"/>
          </w:tcPr>
          <w:p w:rsidR="00D3561A" w:rsidRPr="006102E2" w:rsidRDefault="008F55B7" w:rsidP="00DD272B">
            <w:pPr>
              <w:suppressAutoHyphens w:val="0"/>
              <w:spacing w:before="40" w:after="40" w:line="220" w:lineRule="exact"/>
              <w:rPr>
                <w:sz w:val="18"/>
                <w:lang w:val="es-ES"/>
              </w:rPr>
            </w:pPr>
            <w:r>
              <w:rPr>
                <w:sz w:val="18"/>
                <w:lang w:val="fr-FR"/>
              </w:rPr>
              <w:t>É</w:t>
            </w:r>
            <w:r w:rsidR="006102E2" w:rsidRPr="006102E2">
              <w:rPr>
                <w:sz w:val="18"/>
                <w:lang w:val="fr-FR"/>
              </w:rPr>
              <w:t>coles pour enfants handicapés mentaux</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247</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9 068</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8 669</w:t>
            </w:r>
          </w:p>
        </w:tc>
      </w:tr>
      <w:tr w:rsidR="00D3561A" w:rsidRPr="008E5027" w:rsidTr="006102E2">
        <w:tc>
          <w:tcPr>
            <w:tcW w:w="4494" w:type="dxa"/>
            <w:shd w:val="clear" w:color="auto" w:fill="auto"/>
            <w:vAlign w:val="bottom"/>
          </w:tcPr>
          <w:p w:rsidR="00D3561A" w:rsidRPr="008E5027" w:rsidRDefault="006102E2" w:rsidP="00DD272B">
            <w:pPr>
              <w:suppressAutoHyphens w:val="0"/>
              <w:spacing w:before="40" w:after="40" w:line="220" w:lineRule="exact"/>
              <w:rPr>
                <w:sz w:val="18"/>
              </w:rPr>
            </w:pPr>
            <w:r w:rsidRPr="006102E2">
              <w:rPr>
                <w:sz w:val="18"/>
                <w:lang w:val="fr-FR"/>
              </w:rPr>
              <w:t>Établissements pour enfants handicapés physiques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64</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5 738</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3 635</w:t>
            </w:r>
          </w:p>
        </w:tc>
      </w:tr>
      <w:tr w:rsidR="00D3561A" w:rsidRPr="008E5027" w:rsidTr="006102E2">
        <w:tc>
          <w:tcPr>
            <w:tcW w:w="4494" w:type="dxa"/>
            <w:shd w:val="clear" w:color="auto" w:fill="auto"/>
            <w:vAlign w:val="bottom"/>
          </w:tcPr>
          <w:p w:rsidR="00D3561A" w:rsidRPr="008E5027" w:rsidRDefault="008F55B7" w:rsidP="00DD272B">
            <w:pPr>
              <w:suppressAutoHyphens w:val="0"/>
              <w:spacing w:before="40" w:after="40" w:line="220" w:lineRule="exact"/>
              <w:rPr>
                <w:sz w:val="18"/>
              </w:rPr>
            </w:pPr>
            <w:r>
              <w:rPr>
                <w:sz w:val="18"/>
                <w:lang w:val="fr-FR"/>
              </w:rPr>
              <w:t>É</w:t>
            </w:r>
            <w:r w:rsidR="006102E2" w:rsidRPr="006102E2">
              <w:rPr>
                <w:sz w:val="18"/>
                <w:lang w:val="fr-FR"/>
              </w:rPr>
              <w:t>coles pour enfants handicapés physiques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93</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3 650</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2 671</w:t>
            </w:r>
          </w:p>
        </w:tc>
      </w:tr>
      <w:tr w:rsidR="00D3561A" w:rsidRPr="008E5027" w:rsidTr="006102E2">
        <w:tc>
          <w:tcPr>
            <w:tcW w:w="4494" w:type="dxa"/>
            <w:shd w:val="clear" w:color="auto" w:fill="auto"/>
            <w:vAlign w:val="bottom"/>
          </w:tcPr>
          <w:p w:rsidR="00D3561A" w:rsidRPr="008E5027" w:rsidRDefault="006102E2" w:rsidP="00DD272B">
            <w:pPr>
              <w:suppressAutoHyphens w:val="0"/>
              <w:spacing w:before="40" w:after="40" w:line="220" w:lineRule="exact"/>
              <w:rPr>
                <w:sz w:val="18"/>
              </w:rPr>
            </w:pPr>
            <w:r w:rsidRPr="006102E2">
              <w:rPr>
                <w:sz w:val="18"/>
                <w:lang w:val="fr-FR"/>
              </w:rPr>
              <w:t>Services de consultation pour enfants handicapés physiques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6</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360</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237</w:t>
            </w:r>
          </w:p>
        </w:tc>
      </w:tr>
      <w:tr w:rsidR="00D3561A" w:rsidRPr="008E5027" w:rsidTr="006102E2">
        <w:tc>
          <w:tcPr>
            <w:tcW w:w="4494" w:type="dxa"/>
            <w:shd w:val="clear" w:color="auto" w:fill="auto"/>
            <w:vAlign w:val="bottom"/>
          </w:tcPr>
          <w:p w:rsidR="00D3561A" w:rsidRPr="008E5027" w:rsidRDefault="008F55B7" w:rsidP="00DD272B">
            <w:pPr>
              <w:suppressAutoHyphens w:val="0"/>
              <w:spacing w:before="40" w:after="40" w:line="220" w:lineRule="exact"/>
              <w:rPr>
                <w:sz w:val="18"/>
              </w:rPr>
            </w:pPr>
            <w:r>
              <w:rPr>
                <w:sz w:val="18"/>
                <w:lang w:val="fr-FR"/>
              </w:rPr>
              <w:t>É</w:t>
            </w:r>
            <w:r w:rsidR="006102E2" w:rsidRPr="006102E2">
              <w:rPr>
                <w:sz w:val="18"/>
                <w:lang w:val="fr-FR"/>
              </w:rPr>
              <w:t>tablissements pour enfants aveugles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12</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309</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131</w:t>
            </w:r>
          </w:p>
        </w:tc>
      </w:tr>
      <w:tr w:rsidR="00D3561A" w:rsidRPr="008E5027" w:rsidTr="006102E2">
        <w:tc>
          <w:tcPr>
            <w:tcW w:w="4494" w:type="dxa"/>
            <w:shd w:val="clear" w:color="auto" w:fill="auto"/>
            <w:vAlign w:val="bottom"/>
          </w:tcPr>
          <w:p w:rsidR="00D3561A" w:rsidRPr="008E5027" w:rsidRDefault="008F55B7" w:rsidP="00DD272B">
            <w:pPr>
              <w:suppressAutoHyphens w:val="0"/>
              <w:spacing w:before="40" w:after="40" w:line="220" w:lineRule="exact"/>
              <w:rPr>
                <w:sz w:val="18"/>
              </w:rPr>
            </w:pPr>
            <w:r>
              <w:rPr>
                <w:sz w:val="18"/>
                <w:lang w:val="fr-FR"/>
              </w:rPr>
              <w:t>É</w:t>
            </w:r>
            <w:r w:rsidR="006102E2" w:rsidRPr="006102E2">
              <w:rPr>
                <w:sz w:val="18"/>
                <w:lang w:val="fr-FR"/>
              </w:rPr>
              <w:t>tablissements pour enfants atteints de troubles de l</w:t>
            </w:r>
            <w:r w:rsidR="00277023">
              <w:rPr>
                <w:sz w:val="18"/>
                <w:lang w:val="fr-FR"/>
              </w:rPr>
              <w:t>’</w:t>
            </w:r>
            <w:r w:rsidR="006102E2" w:rsidRPr="006102E2">
              <w:rPr>
                <w:sz w:val="18"/>
                <w:lang w:val="fr-FR"/>
              </w:rPr>
              <w:t>audition/du langage</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14</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447</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207</w:t>
            </w:r>
          </w:p>
        </w:tc>
      </w:tr>
      <w:tr w:rsidR="00D3561A" w:rsidRPr="008E5027" w:rsidTr="006102E2">
        <w:tc>
          <w:tcPr>
            <w:tcW w:w="4494" w:type="dxa"/>
            <w:shd w:val="clear" w:color="auto" w:fill="auto"/>
            <w:vAlign w:val="bottom"/>
          </w:tcPr>
          <w:p w:rsidR="00D3561A" w:rsidRPr="008E5027" w:rsidRDefault="008F55B7" w:rsidP="00DD272B">
            <w:pPr>
              <w:suppressAutoHyphens w:val="0"/>
              <w:spacing w:before="40" w:after="40" w:line="220" w:lineRule="exact"/>
              <w:rPr>
                <w:sz w:val="18"/>
              </w:rPr>
            </w:pPr>
            <w:r>
              <w:rPr>
                <w:sz w:val="18"/>
                <w:lang w:val="fr-FR"/>
              </w:rPr>
              <w:t>É</w:t>
            </w:r>
            <w:r w:rsidR="006102E2" w:rsidRPr="006102E2">
              <w:rPr>
                <w:sz w:val="18"/>
                <w:lang w:val="fr-FR"/>
              </w:rPr>
              <w:t>coles pour enfants malentendants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25</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846</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727</w:t>
            </w:r>
          </w:p>
        </w:tc>
      </w:tr>
      <w:tr w:rsidR="00D3561A" w:rsidRPr="008E5027" w:rsidTr="006102E2">
        <w:tc>
          <w:tcPr>
            <w:tcW w:w="4494" w:type="dxa"/>
            <w:shd w:val="clear" w:color="auto" w:fill="auto"/>
            <w:vAlign w:val="bottom"/>
          </w:tcPr>
          <w:p w:rsidR="00D3561A" w:rsidRPr="008E5027" w:rsidRDefault="008F55B7" w:rsidP="00DD272B">
            <w:pPr>
              <w:suppressAutoHyphens w:val="0"/>
              <w:spacing w:before="40" w:after="40" w:line="220" w:lineRule="exact"/>
              <w:rPr>
                <w:sz w:val="18"/>
              </w:rPr>
            </w:pPr>
            <w:r>
              <w:rPr>
                <w:sz w:val="18"/>
                <w:lang w:val="fr-FR"/>
              </w:rPr>
              <w:t>É</w:t>
            </w:r>
            <w:r w:rsidR="006102E2" w:rsidRPr="006102E2">
              <w:rPr>
                <w:sz w:val="18"/>
                <w:lang w:val="fr-FR"/>
              </w:rPr>
              <w:t>tablissements pour enfants lourdement handicapés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103</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10 144</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10 246</w:t>
            </w:r>
          </w:p>
        </w:tc>
      </w:tr>
      <w:tr w:rsidR="00D3561A" w:rsidRPr="008E5027" w:rsidTr="006102E2">
        <w:tc>
          <w:tcPr>
            <w:tcW w:w="4494" w:type="dxa"/>
            <w:shd w:val="clear" w:color="auto" w:fill="auto"/>
            <w:vAlign w:val="bottom"/>
          </w:tcPr>
          <w:p w:rsidR="00D3561A" w:rsidRPr="006102E2" w:rsidRDefault="006102E2" w:rsidP="00DD272B">
            <w:pPr>
              <w:suppressAutoHyphens w:val="0"/>
              <w:spacing w:before="40" w:after="40" w:line="220" w:lineRule="exact"/>
              <w:rPr>
                <w:sz w:val="18"/>
                <w:lang w:val="es-ES"/>
              </w:rPr>
            </w:pPr>
            <w:r w:rsidRPr="006102E2">
              <w:rPr>
                <w:sz w:val="18"/>
                <w:lang w:val="fr-FR"/>
              </w:rPr>
              <w:t>Centres de réadaptation pour personnes handicapées mentales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1 430</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94 097</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92 734</w:t>
            </w:r>
          </w:p>
        </w:tc>
      </w:tr>
      <w:tr w:rsidR="00D3561A" w:rsidRPr="008E5027" w:rsidTr="006102E2">
        <w:tc>
          <w:tcPr>
            <w:tcW w:w="4494" w:type="dxa"/>
            <w:shd w:val="clear" w:color="auto" w:fill="auto"/>
            <w:vAlign w:val="bottom"/>
          </w:tcPr>
          <w:p w:rsidR="00D3561A" w:rsidRPr="008E5027" w:rsidRDefault="006102E2" w:rsidP="00DD272B">
            <w:pPr>
              <w:suppressAutoHyphens w:val="0"/>
              <w:spacing w:before="40" w:after="40" w:line="220" w:lineRule="exact"/>
              <w:rPr>
                <w:sz w:val="18"/>
              </w:rPr>
            </w:pPr>
            <w:r w:rsidRPr="006102E2">
              <w:rPr>
                <w:sz w:val="18"/>
                <w:lang w:val="fr-FR"/>
              </w:rPr>
              <w:t>(Centres ambulatoires)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426</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16 830</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15 811</w:t>
            </w:r>
          </w:p>
        </w:tc>
      </w:tr>
      <w:tr w:rsidR="00D3561A" w:rsidRPr="008E5027" w:rsidTr="006102E2">
        <w:tc>
          <w:tcPr>
            <w:tcW w:w="4494" w:type="dxa"/>
            <w:shd w:val="clear" w:color="auto" w:fill="auto"/>
            <w:vAlign w:val="bottom"/>
          </w:tcPr>
          <w:p w:rsidR="00D3561A" w:rsidRPr="008E5027" w:rsidRDefault="006102E2" w:rsidP="00DD272B">
            <w:pPr>
              <w:suppressAutoHyphens w:val="0"/>
              <w:spacing w:before="40" w:after="40" w:line="220" w:lineRule="exact"/>
              <w:rPr>
                <w:sz w:val="18"/>
              </w:rPr>
            </w:pPr>
            <w:r w:rsidRPr="006102E2">
              <w:rPr>
                <w:sz w:val="18"/>
                <w:lang w:val="fr-FR"/>
              </w:rPr>
              <w:t>Soins maternels pour personnes handicapées mentales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227</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14 438</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14 191</w:t>
            </w:r>
          </w:p>
        </w:tc>
      </w:tr>
      <w:tr w:rsidR="00D3561A" w:rsidRPr="008E5027" w:rsidTr="006102E2">
        <w:tc>
          <w:tcPr>
            <w:tcW w:w="4494" w:type="dxa"/>
            <w:shd w:val="clear" w:color="auto" w:fill="auto"/>
            <w:vAlign w:val="bottom"/>
          </w:tcPr>
          <w:p w:rsidR="00D3561A" w:rsidRPr="008E5027" w:rsidRDefault="006102E2" w:rsidP="00DD272B">
            <w:pPr>
              <w:suppressAutoHyphens w:val="0"/>
              <w:spacing w:before="40" w:after="40" w:line="220" w:lineRule="exact"/>
              <w:rPr>
                <w:sz w:val="18"/>
              </w:rPr>
            </w:pPr>
            <w:r w:rsidRPr="006102E2">
              <w:rPr>
                <w:sz w:val="18"/>
                <w:lang w:val="fr-FR"/>
              </w:rPr>
              <w:t>(Centres ambulatoires)</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1 175</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44 967</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43 727</w:t>
            </w:r>
          </w:p>
        </w:tc>
      </w:tr>
      <w:tr w:rsidR="00D3561A" w:rsidRPr="008E5027" w:rsidTr="006102E2">
        <w:tc>
          <w:tcPr>
            <w:tcW w:w="4494" w:type="dxa"/>
            <w:shd w:val="clear" w:color="auto" w:fill="auto"/>
            <w:vAlign w:val="bottom"/>
          </w:tcPr>
          <w:p w:rsidR="00D3561A" w:rsidRPr="008E5027" w:rsidRDefault="006102E2" w:rsidP="00DD272B">
            <w:pPr>
              <w:suppressAutoHyphens w:val="0"/>
              <w:spacing w:before="40" w:after="40" w:line="220" w:lineRule="exact"/>
              <w:rPr>
                <w:sz w:val="18"/>
              </w:rPr>
            </w:pPr>
            <w:r w:rsidRPr="006102E2">
              <w:rPr>
                <w:sz w:val="18"/>
                <w:lang w:val="fr-FR"/>
              </w:rPr>
              <w:t>Dortoirs pour travailleurs handicapés mentaux</w:t>
            </w:r>
          </w:p>
        </w:tc>
        <w:tc>
          <w:tcPr>
            <w:tcW w:w="110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125</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2 977</w:t>
            </w:r>
          </w:p>
        </w:tc>
        <w:tc>
          <w:tcPr>
            <w:tcW w:w="885" w:type="dxa"/>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2 808</w:t>
            </w:r>
          </w:p>
        </w:tc>
      </w:tr>
      <w:tr w:rsidR="00D3561A" w:rsidRPr="008E5027" w:rsidTr="006102E2">
        <w:tc>
          <w:tcPr>
            <w:tcW w:w="4494" w:type="dxa"/>
            <w:tcBorders>
              <w:bottom w:val="single" w:sz="12" w:space="0" w:color="auto"/>
            </w:tcBorders>
            <w:shd w:val="clear" w:color="auto" w:fill="auto"/>
            <w:vAlign w:val="bottom"/>
          </w:tcPr>
          <w:p w:rsidR="00D3561A" w:rsidRPr="008E5027" w:rsidRDefault="006102E2" w:rsidP="00DD272B">
            <w:pPr>
              <w:suppressAutoHyphens w:val="0"/>
              <w:spacing w:before="40" w:after="40" w:line="220" w:lineRule="exact"/>
              <w:rPr>
                <w:sz w:val="18"/>
              </w:rPr>
            </w:pPr>
            <w:r w:rsidRPr="006102E2">
              <w:rPr>
                <w:sz w:val="18"/>
                <w:lang w:val="fr-FR"/>
              </w:rPr>
              <w:t>Foyers pour personnes handicapées mentales</w:t>
            </w:r>
          </w:p>
        </w:tc>
        <w:tc>
          <w:tcPr>
            <w:tcW w:w="1105" w:type="dxa"/>
            <w:tcBorders>
              <w:bottom w:val="single" w:sz="12" w:space="0" w:color="auto"/>
            </w:tcBorders>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76</w:t>
            </w:r>
          </w:p>
        </w:tc>
        <w:tc>
          <w:tcPr>
            <w:tcW w:w="885" w:type="dxa"/>
            <w:tcBorders>
              <w:bottom w:val="single" w:sz="12" w:space="0" w:color="auto"/>
            </w:tcBorders>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965</w:t>
            </w:r>
          </w:p>
        </w:tc>
        <w:tc>
          <w:tcPr>
            <w:tcW w:w="885" w:type="dxa"/>
            <w:tcBorders>
              <w:bottom w:val="single" w:sz="12" w:space="0" w:color="auto"/>
            </w:tcBorders>
            <w:shd w:val="clear" w:color="auto" w:fill="auto"/>
            <w:vAlign w:val="bottom"/>
          </w:tcPr>
          <w:p w:rsidR="00D3561A" w:rsidRPr="008E5027" w:rsidRDefault="00D3561A" w:rsidP="00DD272B">
            <w:pPr>
              <w:suppressAutoHyphens w:val="0"/>
              <w:spacing w:before="40" w:after="40" w:line="220" w:lineRule="exact"/>
              <w:jc w:val="right"/>
              <w:rPr>
                <w:sz w:val="18"/>
              </w:rPr>
            </w:pPr>
            <w:r w:rsidRPr="008E5027">
              <w:rPr>
                <w:sz w:val="18"/>
              </w:rPr>
              <w:t>788</w:t>
            </w:r>
          </w:p>
        </w:tc>
      </w:tr>
    </w:tbl>
    <w:p w:rsidR="00C478E4" w:rsidRPr="00C478E4" w:rsidRDefault="00C478E4" w:rsidP="006102E2">
      <w:pPr>
        <w:pStyle w:val="SingleTxtG"/>
        <w:spacing w:before="240"/>
        <w:rPr>
          <w:lang w:val="fr-FR"/>
        </w:rPr>
      </w:pPr>
      <w:bookmarkStart w:id="0" w:name="OLE_LINK1"/>
      <w:r w:rsidRPr="00C478E4">
        <w:rPr>
          <w:lang w:val="fr-FR"/>
        </w:rPr>
        <w:t>(Enseignement scolaire)</w:t>
      </w:r>
    </w:p>
    <w:p w:rsidR="00C478E4" w:rsidRPr="00C478E4" w:rsidRDefault="00C478E4" w:rsidP="00C478E4">
      <w:pPr>
        <w:pStyle w:val="SingleTxtG"/>
        <w:rPr>
          <w:lang w:val="fr-FR"/>
        </w:rPr>
      </w:pPr>
      <w:r w:rsidRPr="00C478E4">
        <w:rPr>
          <w:lang w:val="fr-FR"/>
        </w:rPr>
        <w:t>351.</w:t>
      </w:r>
      <w:r w:rsidRPr="00C478E4">
        <w:rPr>
          <w:lang w:val="fr-FR"/>
        </w:rPr>
        <w:tab/>
        <w:t>Il est important que les enfants handicapés suivent un enseignement sérieusement contrôlé tenant dûment compte du type et du degré de handicap, afin qu</w:t>
      </w:r>
      <w:r w:rsidR="00277023">
        <w:rPr>
          <w:lang w:val="fr-FR"/>
        </w:rPr>
        <w:t>’</w:t>
      </w:r>
      <w:r w:rsidRPr="00C478E4">
        <w:rPr>
          <w:lang w:val="fr-FR"/>
        </w:rPr>
        <w:t>ils exercent leurs aptitudes et capacités autant que faire se peut pour développer leur autonomie et leur place dans la société. A cette fin, dans des écoles spécialisées telles que les écoles pour aveugles, sourds, handicapés mentaux, handicapés physiques, personnes de santé déficiente, ainsi que dans certaines classes des écoles primaires et secondaires (premier cycle) ordinaires, et dans des salles de classe équipées de moyens pédagogiques où les élèves handicapés inscrits dans des classes ordinaires suivent un enseignement spécialisé, des actions sont menées pour offrir des cours individualisés</w:t>
      </w:r>
      <w:r w:rsidR="00EA1115">
        <w:rPr>
          <w:lang w:val="fr-FR"/>
        </w:rPr>
        <w:t xml:space="preserve"> </w:t>
      </w:r>
      <w:r w:rsidRPr="00C478E4">
        <w:rPr>
          <w:lang w:val="fr-FR"/>
        </w:rPr>
        <w:t>adaptés à la gravité du handicap et à d</w:t>
      </w:r>
      <w:r w:rsidR="00277023">
        <w:rPr>
          <w:lang w:val="fr-FR"/>
        </w:rPr>
        <w:t>’</w:t>
      </w:r>
      <w:r w:rsidRPr="00C478E4">
        <w:rPr>
          <w:lang w:val="fr-FR"/>
        </w:rPr>
        <w:t xml:space="preserve">autres critères grâce à des programmes spéciaux, des manuels préparés dans une perspective bien définie, des services éducatifs pour des classes à faible effectif, des enseignants spécialisés et des équipements spéciaux. </w:t>
      </w:r>
    </w:p>
    <w:p w:rsidR="00C478E4" w:rsidRPr="00C478E4" w:rsidRDefault="00C478E4" w:rsidP="00C478E4">
      <w:pPr>
        <w:pStyle w:val="SingleTxtG"/>
        <w:rPr>
          <w:lang w:val="fr-FR"/>
        </w:rPr>
      </w:pPr>
      <w:r w:rsidRPr="00C478E4">
        <w:rPr>
          <w:lang w:val="fr-FR"/>
        </w:rPr>
        <w:t>352.</w:t>
      </w:r>
      <w:r w:rsidRPr="00C478E4">
        <w:rPr>
          <w:lang w:val="fr-FR"/>
        </w:rPr>
        <w:tab/>
        <w:t>Pour ce qui est des enfants ne pouvant que difficilement se rendre à l</w:t>
      </w:r>
      <w:r w:rsidR="00277023">
        <w:rPr>
          <w:lang w:val="fr-FR"/>
        </w:rPr>
        <w:t>’</w:t>
      </w:r>
      <w:r w:rsidRPr="00C478E4">
        <w:rPr>
          <w:lang w:val="fr-FR"/>
        </w:rPr>
        <w:t>école en raison de leur handicap, les cycles élémentaire et secondaire de certaines écoles proposent des cours particuliers à domicile ou à l</w:t>
      </w:r>
      <w:r w:rsidR="00277023">
        <w:rPr>
          <w:lang w:val="fr-FR"/>
        </w:rPr>
        <w:t>’</w:t>
      </w:r>
      <w:r w:rsidRPr="00C478E4">
        <w:rPr>
          <w:lang w:val="fr-FR"/>
        </w:rPr>
        <w:t>hôpital. De plus, s</w:t>
      </w:r>
      <w:r w:rsidR="00277023">
        <w:rPr>
          <w:lang w:val="fr-FR"/>
        </w:rPr>
        <w:t>’</w:t>
      </w:r>
      <w:r w:rsidRPr="00C478E4">
        <w:rPr>
          <w:lang w:val="fr-FR"/>
        </w:rPr>
        <w:t>agissant de l</w:t>
      </w:r>
      <w:r w:rsidR="00277023">
        <w:rPr>
          <w:lang w:val="fr-FR"/>
        </w:rPr>
        <w:t>’</w:t>
      </w:r>
      <w:r w:rsidRPr="00C478E4">
        <w:rPr>
          <w:lang w:val="fr-FR"/>
        </w:rPr>
        <w:t>égalité des chances en matière d</w:t>
      </w:r>
      <w:r w:rsidR="00277023">
        <w:rPr>
          <w:lang w:val="fr-FR"/>
        </w:rPr>
        <w:t>’</w:t>
      </w:r>
      <w:r w:rsidRPr="00C478E4">
        <w:rPr>
          <w:lang w:val="fr-FR"/>
        </w:rPr>
        <w:t>éducation et des conditions spécifiques de ces écoles, de réduire la charge financière pour les parents et de faciliter l</w:t>
      </w:r>
      <w:r w:rsidR="00277023">
        <w:rPr>
          <w:lang w:val="fr-FR"/>
        </w:rPr>
        <w:t>’</w:t>
      </w:r>
      <w:r w:rsidRPr="00C478E4">
        <w:rPr>
          <w:lang w:val="fr-FR"/>
        </w:rPr>
        <w:t>inscription dans ces établissements, le Gouvernement japonais verse une allocation spéciale destinée à encourager ce type d</w:t>
      </w:r>
      <w:r w:rsidR="00277023">
        <w:rPr>
          <w:lang w:val="fr-FR"/>
        </w:rPr>
        <w:t>’</w:t>
      </w:r>
      <w:r w:rsidRPr="00C478E4">
        <w:rPr>
          <w:lang w:val="fr-FR"/>
        </w:rPr>
        <w:t>enseignement, qui couvre tout ou partie des dépenses y afférentes. Cette allocation permet de financer l</w:t>
      </w:r>
      <w:r w:rsidR="00277023">
        <w:rPr>
          <w:lang w:val="fr-FR"/>
        </w:rPr>
        <w:t>’</w:t>
      </w:r>
      <w:r w:rsidRPr="00C478E4">
        <w:rPr>
          <w:lang w:val="fr-FR"/>
        </w:rPr>
        <w:t>achat des manuels et des fournitures scolaires, les repas à la cantine, le transport aller et retour, les internats et les sorties scolaires, le montant de l</w:t>
      </w:r>
      <w:r w:rsidR="00277023">
        <w:rPr>
          <w:lang w:val="fr-FR"/>
        </w:rPr>
        <w:t>’</w:t>
      </w:r>
      <w:r w:rsidRPr="00C478E4">
        <w:rPr>
          <w:lang w:val="fr-FR"/>
        </w:rPr>
        <w:t>allocation étant fonction de la situation financière des parents.</w:t>
      </w:r>
    </w:p>
    <w:p w:rsidR="00C478E4" w:rsidRPr="00C478E4" w:rsidRDefault="00C478E4" w:rsidP="00C478E4">
      <w:pPr>
        <w:pStyle w:val="SingleTxtG"/>
        <w:rPr>
          <w:lang w:val="fr-FR"/>
        </w:rPr>
      </w:pPr>
      <w:r w:rsidRPr="00C478E4">
        <w:rPr>
          <w:lang w:val="fr-FR"/>
        </w:rPr>
        <w:t>353.</w:t>
      </w:r>
      <w:r w:rsidRPr="00C478E4">
        <w:rPr>
          <w:lang w:val="fr-FR"/>
        </w:rPr>
        <w:tab/>
        <w:t>Des échanges accrus et des apprentissages mixtes réunissant des enfants handicapés et non handicapés et des membres de la communauté locale sont mis en place, dont on attend des retombées éducatives importantes en matière de développement de grandes qualités humaines chez tous les enfants. Ils servent également d</w:t>
      </w:r>
      <w:r w:rsidR="00277023">
        <w:rPr>
          <w:lang w:val="fr-FR"/>
        </w:rPr>
        <w:t>’</w:t>
      </w:r>
      <w:r w:rsidRPr="00C478E4">
        <w:rPr>
          <w:lang w:val="fr-FR"/>
        </w:rPr>
        <w:t>activité majeure pour les membres de la communauté locale car ils facilitent la bonne compréhension et la sensibilisation à l</w:t>
      </w:r>
      <w:r w:rsidR="00277023">
        <w:rPr>
          <w:lang w:val="fr-FR"/>
        </w:rPr>
        <w:t>’</w:t>
      </w:r>
      <w:r w:rsidRPr="00C478E4">
        <w:rPr>
          <w:lang w:val="fr-FR"/>
        </w:rPr>
        <w:t>égard des enfants handicapés et de leur éducation. Un manuel a été édité et distribué en mars 2004 afin d</w:t>
      </w:r>
      <w:r w:rsidR="00277023">
        <w:rPr>
          <w:lang w:val="fr-FR"/>
        </w:rPr>
        <w:t>’</w:t>
      </w:r>
      <w:r w:rsidRPr="00C478E4">
        <w:rPr>
          <w:lang w:val="fr-FR"/>
        </w:rPr>
        <w:t>encourager ces activités pédagogiques. De plus, des réunions sont organisées dans tout le pays et des brochures sont éditées et diffusées en vue de faciliter la compréhension et la sensibilisation concernant les enfants handicapés.</w:t>
      </w:r>
    </w:p>
    <w:p w:rsidR="00C478E4" w:rsidRPr="00C478E4" w:rsidRDefault="00C478E4" w:rsidP="00C478E4">
      <w:pPr>
        <w:pStyle w:val="SingleTxtG"/>
        <w:rPr>
          <w:lang w:val="fr-FR"/>
        </w:rPr>
      </w:pPr>
      <w:r w:rsidRPr="00C478E4">
        <w:rPr>
          <w:lang w:val="fr-FR"/>
        </w:rPr>
        <w:t>354.</w:t>
      </w:r>
      <w:r w:rsidRPr="00C478E4">
        <w:rPr>
          <w:lang w:val="fr-FR"/>
        </w:rPr>
        <w:tab/>
        <w:t>A la suite du rapport final “Orientations futures de l</w:t>
      </w:r>
      <w:r w:rsidR="00277023">
        <w:rPr>
          <w:lang w:val="fr-FR"/>
        </w:rPr>
        <w:t>’</w:t>
      </w:r>
      <w:r w:rsidRPr="00C478E4">
        <w:rPr>
          <w:lang w:val="fr-FR"/>
        </w:rPr>
        <w:t>enseignement spécialisé au XXIe siècle (janvier 2001)”, le décret d</w:t>
      </w:r>
      <w:r w:rsidR="00277023">
        <w:rPr>
          <w:lang w:val="fr-FR"/>
        </w:rPr>
        <w:t>’</w:t>
      </w:r>
      <w:r w:rsidRPr="00C478E4">
        <w:rPr>
          <w:lang w:val="fr-FR"/>
        </w:rPr>
        <w:t xml:space="preserve">application de </w:t>
      </w:r>
      <w:smartTag w:uri="urn:schemas-microsoft-com:office:smarttags" w:element="PersonName">
        <w:smartTagPr>
          <w:attr w:name="ProductID" w:val="la Loi"/>
        </w:smartTagPr>
        <w:r w:rsidRPr="00C478E4">
          <w:rPr>
            <w:lang w:val="fr-FR"/>
          </w:rPr>
          <w:t>la Loi</w:t>
        </w:r>
      </w:smartTag>
      <w:r w:rsidRPr="00C478E4">
        <w:rPr>
          <w:lang w:val="fr-FR"/>
        </w:rPr>
        <w:t xml:space="preserve"> sur l</w:t>
      </w:r>
      <w:r w:rsidR="00277023">
        <w:rPr>
          <w:lang w:val="fr-FR"/>
        </w:rPr>
        <w:t>’</w:t>
      </w:r>
      <w:r w:rsidRPr="00C478E4">
        <w:rPr>
          <w:lang w:val="fr-FR"/>
        </w:rPr>
        <w:t>enseignement scolaire a été modifié en avril 2002 afin de moderniser et d</w:t>
      </w:r>
      <w:r w:rsidR="00277023">
        <w:rPr>
          <w:lang w:val="fr-FR"/>
        </w:rPr>
        <w:t>’</w:t>
      </w:r>
      <w:r w:rsidRPr="00C478E4">
        <w:rPr>
          <w:lang w:val="fr-FR"/>
        </w:rPr>
        <w:t>assouplir les normes et procédures nationales d</w:t>
      </w:r>
      <w:r w:rsidR="00277023">
        <w:rPr>
          <w:lang w:val="fr-FR"/>
        </w:rPr>
        <w:t>’</w:t>
      </w:r>
      <w:r w:rsidRPr="00C478E4">
        <w:rPr>
          <w:lang w:val="fr-FR"/>
        </w:rPr>
        <w:t>affectation des enfants handicapés, traduisant ainsi les progrès réalisés en sciences et techniques médicales. Aux termes de cette modification, les conseils d</w:t>
      </w:r>
      <w:r w:rsidR="00277023">
        <w:rPr>
          <w:lang w:val="fr-FR"/>
        </w:rPr>
        <w:t>’</w:t>
      </w:r>
      <w:r w:rsidRPr="00C478E4">
        <w:rPr>
          <w:lang w:val="fr-FR"/>
        </w:rPr>
        <w:t>éducation peuvent inscrire un enfant handicapé dans un établissement élémentaire ou secondaire (premier cycle) ordinaire</w:t>
      </w:r>
      <w:r w:rsidR="00EA1115">
        <w:rPr>
          <w:lang w:val="fr-FR"/>
        </w:rPr>
        <w:t xml:space="preserve"> </w:t>
      </w:r>
      <w:r w:rsidRPr="00C478E4">
        <w:rPr>
          <w:lang w:val="fr-FR"/>
        </w:rPr>
        <w:t>lorsque tout porte à croire que l</w:t>
      </w:r>
      <w:r w:rsidR="00277023">
        <w:rPr>
          <w:lang w:val="fr-FR"/>
        </w:rPr>
        <w:t>’</w:t>
      </w:r>
      <w:r w:rsidRPr="00C478E4">
        <w:rPr>
          <w:lang w:val="fr-FR"/>
        </w:rPr>
        <w:t>enfant sera en mesure de suivre un enseignement adapté dans ce cadre.</w:t>
      </w:r>
    </w:p>
    <w:p w:rsidR="00C478E4" w:rsidRPr="00C478E4" w:rsidRDefault="00C478E4" w:rsidP="00C478E4">
      <w:pPr>
        <w:pStyle w:val="SingleTxtG"/>
        <w:rPr>
          <w:lang w:val="fr-FR"/>
        </w:rPr>
      </w:pPr>
      <w:r w:rsidRPr="00C478E4">
        <w:rPr>
          <w:lang w:val="fr-FR"/>
        </w:rPr>
        <w:t>355.</w:t>
      </w:r>
      <w:r w:rsidRPr="00C478E4">
        <w:rPr>
          <w:lang w:val="fr-FR"/>
        </w:rPr>
        <w:tab/>
        <w:t>A la lumière de l</w:t>
      </w:r>
      <w:r w:rsidR="00277023">
        <w:rPr>
          <w:lang w:val="fr-FR"/>
        </w:rPr>
        <w:t>’</w:t>
      </w:r>
      <w:r w:rsidRPr="00C478E4">
        <w:rPr>
          <w:lang w:val="fr-FR"/>
        </w:rPr>
        <w:t>évolution constatée, à savoir l</w:t>
      </w:r>
      <w:r w:rsidR="00277023">
        <w:rPr>
          <w:lang w:val="fr-FR"/>
        </w:rPr>
        <w:t>’</w:t>
      </w:r>
      <w:r w:rsidRPr="00C478E4">
        <w:rPr>
          <w:lang w:val="fr-FR"/>
        </w:rPr>
        <w:t>augmentation du nombre d</w:t>
      </w:r>
      <w:r w:rsidR="00277023">
        <w:rPr>
          <w:lang w:val="fr-FR"/>
        </w:rPr>
        <w:t>’</w:t>
      </w:r>
      <w:r w:rsidRPr="00C478E4">
        <w:rPr>
          <w:lang w:val="fr-FR"/>
        </w:rPr>
        <w:t>enfants atteints de handicaps sévères/multiples, et de la nécessité de développer des supports éducatifs pour les enfants atteints de troubles de l</w:t>
      </w:r>
      <w:r w:rsidR="00277023">
        <w:rPr>
          <w:lang w:val="fr-FR"/>
        </w:rPr>
        <w:t>’</w:t>
      </w:r>
      <w:r w:rsidRPr="00C478E4">
        <w:rPr>
          <w:lang w:val="fr-FR"/>
        </w:rPr>
        <w:t>apprentissage, du syndrome d</w:t>
      </w:r>
      <w:r w:rsidR="00277023">
        <w:rPr>
          <w:lang w:val="fr-FR"/>
        </w:rPr>
        <w:t>’</w:t>
      </w:r>
      <w:r w:rsidRPr="00C478E4">
        <w:rPr>
          <w:lang w:val="fr-FR"/>
        </w:rPr>
        <w:t>hyperactivité avec trouble de l</w:t>
      </w:r>
      <w:r w:rsidR="00277023">
        <w:rPr>
          <w:lang w:val="fr-FR"/>
        </w:rPr>
        <w:t>’</w:t>
      </w:r>
      <w:r w:rsidRPr="00C478E4">
        <w:rPr>
          <w:lang w:val="fr-FR"/>
        </w:rPr>
        <w:t>attention (SHTA), et d</w:t>
      </w:r>
      <w:r w:rsidR="00277023">
        <w:rPr>
          <w:lang w:val="fr-FR"/>
        </w:rPr>
        <w:t>’</w:t>
      </w:r>
      <w:r w:rsidRPr="00C478E4">
        <w:rPr>
          <w:lang w:val="fr-FR"/>
        </w:rPr>
        <w:t xml:space="preserve">autisme de haut niveau, le Comité de recherche sur les besoins éducatifs spécifiques a élaboré un rapport final en mars 2003. Ce rapport recommande que </w:t>
      </w:r>
      <w:r w:rsidR="008E49D4">
        <w:rPr>
          <w:lang w:val="fr-FR"/>
        </w:rPr>
        <w:t>“</w:t>
      </w:r>
      <w:r w:rsidRPr="00C478E4">
        <w:rPr>
          <w:lang w:val="fr-FR"/>
        </w:rPr>
        <w:t>l</w:t>
      </w:r>
      <w:r w:rsidR="00277023">
        <w:rPr>
          <w:lang w:val="fr-FR"/>
        </w:rPr>
        <w:t>’</w:t>
      </w:r>
      <w:r w:rsidRPr="00C478E4">
        <w:rPr>
          <w:lang w:val="fr-FR"/>
        </w:rPr>
        <w:t>éducation spécialisée</w:t>
      </w:r>
      <w:r w:rsidR="008E49D4">
        <w:rPr>
          <w:lang w:val="fr-FR"/>
        </w:rPr>
        <w:t>”</w:t>
      </w:r>
      <w:r w:rsidRPr="00C478E4">
        <w:rPr>
          <w:lang w:val="fr-FR"/>
        </w:rPr>
        <w:t xml:space="preserve"> conventionnelle s</w:t>
      </w:r>
      <w:r w:rsidR="00277023">
        <w:rPr>
          <w:lang w:val="fr-FR"/>
        </w:rPr>
        <w:t>’</w:t>
      </w:r>
      <w:r w:rsidRPr="00C478E4">
        <w:rPr>
          <w:lang w:val="fr-FR"/>
        </w:rPr>
        <w:t xml:space="preserve">adressant aux enfants handicapés devienne une </w:t>
      </w:r>
      <w:r w:rsidR="008E49D4">
        <w:rPr>
          <w:lang w:val="fr-FR"/>
        </w:rPr>
        <w:t>“</w:t>
      </w:r>
      <w:r w:rsidRPr="00C478E4">
        <w:rPr>
          <w:lang w:val="fr-FR"/>
        </w:rPr>
        <w:t>éducation tenant compte des besoins spéciaux</w:t>
      </w:r>
      <w:r w:rsidR="008E49D4">
        <w:rPr>
          <w:lang w:val="fr-FR"/>
        </w:rPr>
        <w:t>”</w:t>
      </w:r>
      <w:r w:rsidRPr="00C478E4">
        <w:rPr>
          <w:lang w:val="fr-FR"/>
        </w:rPr>
        <w:t>, qui offre un enseignement et un soutien adaptés aux besoins de chaque enfant. Ce rapport affirme également la nécessité d</w:t>
      </w:r>
      <w:r w:rsidR="00277023">
        <w:rPr>
          <w:lang w:val="fr-FR"/>
        </w:rPr>
        <w:t>’</w:t>
      </w:r>
      <w:r w:rsidRPr="00C478E4">
        <w:rPr>
          <w:lang w:val="fr-FR"/>
        </w:rPr>
        <w:t>établir un cadre dans les écoles et les conseils d</w:t>
      </w:r>
      <w:r w:rsidR="00277023">
        <w:rPr>
          <w:lang w:val="fr-FR"/>
        </w:rPr>
        <w:t>’</w:t>
      </w:r>
      <w:r w:rsidRPr="00C478E4">
        <w:rPr>
          <w:lang w:val="fr-FR"/>
        </w:rPr>
        <w:t>éducation afin de revoir le dispositif d</w:t>
      </w:r>
      <w:r w:rsidR="00277023">
        <w:rPr>
          <w:lang w:val="fr-FR"/>
        </w:rPr>
        <w:t>’</w:t>
      </w:r>
      <w:r w:rsidRPr="00C478E4">
        <w:rPr>
          <w:lang w:val="fr-FR"/>
        </w:rPr>
        <w:t>éducation tenant compte des besoins spéciaux.</w:t>
      </w:r>
    </w:p>
    <w:p w:rsidR="00C478E4" w:rsidRPr="00C478E4" w:rsidRDefault="00C478E4" w:rsidP="00C478E4">
      <w:pPr>
        <w:pStyle w:val="SingleTxtG"/>
        <w:rPr>
          <w:lang w:val="fr-FR"/>
        </w:rPr>
      </w:pPr>
      <w:r w:rsidRPr="00C478E4">
        <w:rPr>
          <w:lang w:val="fr-FR"/>
        </w:rPr>
        <w:t>356.</w:t>
      </w:r>
      <w:r w:rsidRPr="00C478E4">
        <w:rPr>
          <w:lang w:val="fr-FR"/>
        </w:rPr>
        <w:tab/>
        <w:t>En réponse au rapport, toutes les autorités préfectorales ont été priées, dès 2003, d</w:t>
      </w:r>
      <w:r w:rsidR="00277023">
        <w:rPr>
          <w:lang w:val="fr-FR"/>
        </w:rPr>
        <w:t>’</w:t>
      </w:r>
      <w:r w:rsidRPr="00C478E4">
        <w:rPr>
          <w:lang w:val="fr-FR"/>
        </w:rPr>
        <w:t>engager des projets visant à assurer un système de soutien complet aux enfants handicapés, y compris ceux atteints de troubles de l</w:t>
      </w:r>
      <w:r w:rsidR="00277023">
        <w:rPr>
          <w:lang w:val="fr-FR"/>
        </w:rPr>
        <w:t>’</w:t>
      </w:r>
      <w:r w:rsidRPr="00C478E4">
        <w:rPr>
          <w:lang w:val="fr-FR"/>
        </w:rPr>
        <w:t>apprentissage, du syndrome d</w:t>
      </w:r>
      <w:r w:rsidR="00277023">
        <w:rPr>
          <w:lang w:val="fr-FR"/>
        </w:rPr>
        <w:t>’</w:t>
      </w:r>
      <w:r w:rsidRPr="00C478E4">
        <w:rPr>
          <w:lang w:val="fr-FR"/>
        </w:rPr>
        <w:t>hyperactivité avec trouble de l</w:t>
      </w:r>
      <w:r w:rsidR="00277023">
        <w:rPr>
          <w:lang w:val="fr-FR"/>
        </w:rPr>
        <w:t>’</w:t>
      </w:r>
      <w:r w:rsidRPr="00C478E4">
        <w:rPr>
          <w:lang w:val="fr-FR"/>
        </w:rPr>
        <w:t>attention (SHTA), et d</w:t>
      </w:r>
      <w:r w:rsidR="00277023">
        <w:rPr>
          <w:lang w:val="fr-FR"/>
        </w:rPr>
        <w:t>’</w:t>
      </w:r>
      <w:r w:rsidRPr="00C478E4">
        <w:rPr>
          <w:lang w:val="fr-FR"/>
        </w:rPr>
        <w:t>autisme de haut niveau, qui suivent des cours dans des classes élémentaires et secondaires (premier cycle) ordinaires, et de promouvoir l</w:t>
      </w:r>
      <w:r w:rsidR="00277023">
        <w:rPr>
          <w:lang w:val="fr-FR"/>
        </w:rPr>
        <w:t>’</w:t>
      </w:r>
      <w:r w:rsidRPr="00C478E4">
        <w:rPr>
          <w:lang w:val="fr-FR"/>
        </w:rPr>
        <w:t>élaboration d</w:t>
      </w:r>
      <w:r w:rsidR="00277023">
        <w:rPr>
          <w:lang w:val="fr-FR"/>
        </w:rPr>
        <w:t>’</w:t>
      </w:r>
      <w:r w:rsidRPr="00C478E4">
        <w:rPr>
          <w:lang w:val="fr-FR"/>
        </w:rPr>
        <w:t xml:space="preserve">un système de soutien complet en coopération avec les organisations compétentes. Depuis 2005, les obligations du Gouvernement et des collectivités locales relatives à la détection précoce des troubles du développement et du soutien y afférent ont été clairement définies, et à partir de </w:t>
      </w:r>
      <w:smartTag w:uri="urn:schemas-microsoft-com:office:smarttags" w:element="PersonName">
        <w:smartTagPr>
          <w:attr w:name="ProductID" w:val="la Loi"/>
        </w:smartTagPr>
        <w:r w:rsidRPr="00C478E4">
          <w:rPr>
            <w:lang w:val="fr-FR"/>
          </w:rPr>
          <w:t>la Loi</w:t>
        </w:r>
      </w:smartTag>
      <w:r w:rsidRPr="00C478E4">
        <w:rPr>
          <w:lang w:val="fr-FR"/>
        </w:rPr>
        <w:t xml:space="preserve"> relative au soutien aux personnes atteintes de troubles du développement, qui prévoit une aide à la scolarité et à l</w:t>
      </w:r>
      <w:r w:rsidR="00277023">
        <w:rPr>
          <w:lang w:val="fr-FR"/>
        </w:rPr>
        <w:t>’</w:t>
      </w:r>
      <w:r w:rsidRPr="00C478E4">
        <w:rPr>
          <w:lang w:val="fr-FR"/>
        </w:rPr>
        <w:t>emploi, des projets ont été engagés, ciblant non seulement les établissements élémentaires et secondaires (premier cycle), mais également les jardins d</w:t>
      </w:r>
      <w:r w:rsidR="00277023">
        <w:rPr>
          <w:lang w:val="fr-FR"/>
        </w:rPr>
        <w:t>’</w:t>
      </w:r>
      <w:r w:rsidRPr="00C478E4">
        <w:rPr>
          <w:lang w:val="fr-FR"/>
        </w:rPr>
        <w:t>enfants et le deuxième cycle de l</w:t>
      </w:r>
      <w:r w:rsidR="00277023">
        <w:rPr>
          <w:lang w:val="fr-FR"/>
        </w:rPr>
        <w:t>’</w:t>
      </w:r>
      <w:r w:rsidRPr="00C478E4">
        <w:rPr>
          <w:lang w:val="fr-FR"/>
        </w:rPr>
        <w:t>enseignement secondaire, afin d</w:t>
      </w:r>
      <w:r w:rsidR="00277023">
        <w:rPr>
          <w:lang w:val="fr-FR"/>
        </w:rPr>
        <w:t>’</w:t>
      </w:r>
      <w:r w:rsidRPr="00C478E4">
        <w:rPr>
          <w:lang w:val="fr-FR"/>
        </w:rPr>
        <w:t>assurer un système de soutien cohérent depuis l</w:t>
      </w:r>
      <w:r w:rsidR="00277023">
        <w:rPr>
          <w:lang w:val="fr-FR"/>
        </w:rPr>
        <w:t>’</w:t>
      </w:r>
      <w:r w:rsidRPr="00C478E4">
        <w:rPr>
          <w:lang w:val="fr-FR"/>
        </w:rPr>
        <w:t>enfance jusqu</w:t>
      </w:r>
      <w:r w:rsidR="00277023">
        <w:rPr>
          <w:lang w:val="fr-FR"/>
        </w:rPr>
        <w:t>’</w:t>
      </w:r>
      <w:r w:rsidRPr="00C478E4">
        <w:rPr>
          <w:lang w:val="fr-FR"/>
        </w:rPr>
        <w:t>à l</w:t>
      </w:r>
      <w:r w:rsidR="00277023">
        <w:rPr>
          <w:lang w:val="fr-FR"/>
        </w:rPr>
        <w:t>’</w:t>
      </w:r>
      <w:r w:rsidRPr="00C478E4">
        <w:rPr>
          <w:lang w:val="fr-FR"/>
        </w:rPr>
        <w:t>âge adulte. De plus, s</w:t>
      </w:r>
      <w:r w:rsidR="00277023">
        <w:rPr>
          <w:lang w:val="fr-FR"/>
        </w:rPr>
        <w:t>’</w:t>
      </w:r>
      <w:r w:rsidRPr="00C478E4">
        <w:rPr>
          <w:lang w:val="fr-FR"/>
        </w:rPr>
        <w:t>agissant d</w:t>
      </w:r>
      <w:r w:rsidR="00277023">
        <w:rPr>
          <w:lang w:val="fr-FR"/>
        </w:rPr>
        <w:t>’</w:t>
      </w:r>
      <w:r w:rsidRPr="00C478E4">
        <w:rPr>
          <w:lang w:val="fr-FR"/>
        </w:rPr>
        <w:t>améliorer le dispositif de soutien éducatif en faveur des enfants atteints de troubles de l</w:t>
      </w:r>
      <w:r w:rsidR="00277023">
        <w:rPr>
          <w:lang w:val="fr-FR"/>
        </w:rPr>
        <w:t>’</w:t>
      </w:r>
      <w:r w:rsidRPr="00C478E4">
        <w:rPr>
          <w:lang w:val="fr-FR"/>
        </w:rPr>
        <w:t>apprentissage, du syndrome d</w:t>
      </w:r>
      <w:r w:rsidR="00277023">
        <w:rPr>
          <w:lang w:val="fr-FR"/>
        </w:rPr>
        <w:t>’</w:t>
      </w:r>
      <w:r w:rsidRPr="00C478E4">
        <w:rPr>
          <w:lang w:val="fr-FR"/>
        </w:rPr>
        <w:t>hyperactivité avec trouble de l</w:t>
      </w:r>
      <w:r w:rsidR="00277023">
        <w:rPr>
          <w:lang w:val="fr-FR"/>
        </w:rPr>
        <w:t>’</w:t>
      </w:r>
      <w:r w:rsidRPr="00C478E4">
        <w:rPr>
          <w:lang w:val="fr-FR"/>
        </w:rPr>
        <w:t>attention (SHTA), et d</w:t>
      </w:r>
      <w:r w:rsidR="00277023">
        <w:rPr>
          <w:lang w:val="fr-FR"/>
        </w:rPr>
        <w:t>’</w:t>
      </w:r>
      <w:r w:rsidRPr="00C478E4">
        <w:rPr>
          <w:lang w:val="fr-FR"/>
        </w:rPr>
        <w:t>autisme de haut niveau, le projet de directives relatives à la mise en place d</w:t>
      </w:r>
      <w:r w:rsidR="00277023">
        <w:rPr>
          <w:lang w:val="fr-FR"/>
        </w:rPr>
        <w:t>’</w:t>
      </w:r>
      <w:r w:rsidRPr="00C478E4">
        <w:rPr>
          <w:lang w:val="fr-FR"/>
        </w:rPr>
        <w:t>un système de soutien destiné à ces enfants a été formulé en janvier 2004 et diffusé auprès des établissements primaires et secondaires (premier cycle) et des conseils d</w:t>
      </w:r>
      <w:r w:rsidR="00277023">
        <w:rPr>
          <w:lang w:val="fr-FR"/>
        </w:rPr>
        <w:t>’</w:t>
      </w:r>
      <w:r w:rsidRPr="00C478E4">
        <w:rPr>
          <w:lang w:val="fr-FR"/>
        </w:rPr>
        <w:t>éducation sur l</w:t>
      </w:r>
      <w:r w:rsidR="00277023">
        <w:rPr>
          <w:lang w:val="fr-FR"/>
        </w:rPr>
        <w:t>’</w:t>
      </w:r>
      <w:r w:rsidRPr="00C478E4">
        <w:rPr>
          <w:lang w:val="fr-FR"/>
        </w:rPr>
        <w:t>ensemble du territoire.</w:t>
      </w:r>
    </w:p>
    <w:p w:rsidR="00C478E4" w:rsidRPr="00C478E4" w:rsidRDefault="00C478E4" w:rsidP="00C478E4">
      <w:pPr>
        <w:pStyle w:val="SingleTxtG"/>
        <w:rPr>
          <w:lang w:val="fr-FR"/>
        </w:rPr>
      </w:pPr>
      <w:r w:rsidRPr="00C478E4">
        <w:rPr>
          <w:lang w:val="fr-FR"/>
        </w:rPr>
        <w:t>357.</w:t>
      </w:r>
      <w:r w:rsidRPr="00C478E4">
        <w:rPr>
          <w:lang w:val="fr-FR"/>
        </w:rPr>
        <w:tab/>
        <w:t>Par la suite, s</w:t>
      </w:r>
      <w:r w:rsidR="00277023">
        <w:rPr>
          <w:lang w:val="fr-FR"/>
        </w:rPr>
        <w:t>’</w:t>
      </w:r>
      <w:r w:rsidRPr="00C478E4">
        <w:rPr>
          <w:lang w:val="fr-FR"/>
        </w:rPr>
        <w:t>agissant des dispositions institutionnelles recommandées dans le rapport final, le Conseil central de l</w:t>
      </w:r>
      <w:r w:rsidR="00277023">
        <w:rPr>
          <w:lang w:val="fr-FR"/>
        </w:rPr>
        <w:t>’</w:t>
      </w:r>
      <w:r w:rsidRPr="00C478E4">
        <w:rPr>
          <w:lang w:val="fr-FR"/>
        </w:rPr>
        <w:t>éducation a entamé des discussions en février 2004 et publié un rapport en décembre 2005, préconisant que:</w:t>
      </w:r>
    </w:p>
    <w:p w:rsidR="00C478E4" w:rsidRPr="00C478E4" w:rsidRDefault="00C478E4" w:rsidP="00C478E4">
      <w:pPr>
        <w:pStyle w:val="SingleTxtG"/>
        <w:ind w:left="1701"/>
        <w:rPr>
          <w:lang w:val="fr-FR"/>
        </w:rPr>
      </w:pPr>
      <w:r w:rsidRPr="00C478E4">
        <w:rPr>
          <w:lang w:val="fr-FR"/>
        </w:rPr>
        <w:t>i)</w:t>
      </w:r>
      <w:r>
        <w:rPr>
          <w:lang w:val="fr-FR"/>
        </w:rPr>
        <w:tab/>
      </w:r>
      <w:r w:rsidRPr="00C478E4">
        <w:rPr>
          <w:lang w:val="fr-FR"/>
        </w:rPr>
        <w:t>l</w:t>
      </w:r>
      <w:r w:rsidR="00277023">
        <w:rPr>
          <w:lang w:val="fr-FR"/>
        </w:rPr>
        <w:t>’</w:t>
      </w:r>
      <w:r w:rsidRPr="00C478E4">
        <w:rPr>
          <w:lang w:val="fr-FR"/>
        </w:rPr>
        <w:t>éducation tenant compte des besoins spéciaux assure l</w:t>
      </w:r>
      <w:r w:rsidR="00277023">
        <w:rPr>
          <w:lang w:val="fr-FR"/>
        </w:rPr>
        <w:t>’</w:t>
      </w:r>
      <w:r w:rsidRPr="00C478E4">
        <w:rPr>
          <w:lang w:val="fr-FR"/>
        </w:rPr>
        <w:t>enseignement approprié et le soutien requis, partant du principe qu</w:t>
      </w:r>
      <w:r w:rsidR="00277023">
        <w:rPr>
          <w:lang w:val="fr-FR"/>
        </w:rPr>
        <w:t>’</w:t>
      </w:r>
      <w:r w:rsidRPr="00C478E4">
        <w:rPr>
          <w:lang w:val="fr-FR"/>
        </w:rPr>
        <w:t>elle encourage les efforts personnels des enfants handicapés vers leur autonomie et leur participation à la vie sociale;</w:t>
      </w:r>
    </w:p>
    <w:p w:rsidR="00C478E4" w:rsidRPr="00C478E4" w:rsidRDefault="00C478E4" w:rsidP="00C478E4">
      <w:pPr>
        <w:pStyle w:val="SingleTxtG"/>
        <w:ind w:left="1701"/>
        <w:rPr>
          <w:lang w:val="fr-FR"/>
        </w:rPr>
      </w:pPr>
      <w:r w:rsidRPr="00C478E4">
        <w:rPr>
          <w:lang w:val="fr-FR"/>
        </w:rPr>
        <w:t>ii)</w:t>
      </w:r>
      <w:r>
        <w:rPr>
          <w:lang w:val="fr-FR"/>
        </w:rPr>
        <w:tab/>
      </w:r>
      <w:r w:rsidRPr="00C478E4">
        <w:rPr>
          <w:lang w:val="fr-FR"/>
        </w:rPr>
        <w:t>en réponse à la diversification des handicaps, il conviendrait que le système scolaire actuel, divisé selon le type de handicap, comme par exemple les écoles pour aveugles, sourds, handicapés mentaux, handicapés physiques ou personnes de santé déficiente devienne un système d</w:t>
      </w:r>
      <w:r w:rsidR="00277023">
        <w:rPr>
          <w:lang w:val="fr-FR"/>
        </w:rPr>
        <w:t>’</w:t>
      </w:r>
      <w:r w:rsidRPr="00C478E4">
        <w:rPr>
          <w:lang w:val="fr-FR"/>
        </w:rPr>
        <w:t>écoles tenant compte des besoins spéciaux en mesure d</w:t>
      </w:r>
      <w:r w:rsidR="00277023">
        <w:rPr>
          <w:lang w:val="fr-FR"/>
        </w:rPr>
        <w:t>’</w:t>
      </w:r>
      <w:r w:rsidRPr="00C478E4">
        <w:rPr>
          <w:lang w:val="fr-FR"/>
        </w:rPr>
        <w:t>accepter différentes formes de handicap;</w:t>
      </w:r>
    </w:p>
    <w:p w:rsidR="00C478E4" w:rsidRPr="00C478E4" w:rsidRDefault="00C478E4" w:rsidP="00C478E4">
      <w:pPr>
        <w:pStyle w:val="SingleTxtG"/>
        <w:ind w:left="1701"/>
        <w:rPr>
          <w:lang w:val="fr-FR"/>
        </w:rPr>
      </w:pPr>
      <w:r w:rsidRPr="00C478E4">
        <w:rPr>
          <w:lang w:val="fr-FR"/>
        </w:rPr>
        <w:t>iii)</w:t>
      </w:r>
      <w:r>
        <w:rPr>
          <w:lang w:val="fr-FR"/>
        </w:rPr>
        <w:tab/>
      </w:r>
      <w:r w:rsidRPr="00C478E4">
        <w:rPr>
          <w:lang w:val="fr-FR"/>
        </w:rPr>
        <w:t>le système éducatif devrait être réexaminé pour répondre aux besoins d</w:t>
      </w:r>
      <w:r w:rsidR="00277023">
        <w:rPr>
          <w:lang w:val="fr-FR"/>
        </w:rPr>
        <w:t>’</w:t>
      </w:r>
      <w:r w:rsidRPr="00C478E4">
        <w:rPr>
          <w:lang w:val="fr-FR"/>
        </w:rPr>
        <w:t>enseignement et de soutien adaptés des enfants handicapés, y compris ceux atteints de troubles du développement etc. dans les établissements élémentaires et le premier cycle de l</w:t>
      </w:r>
      <w:r w:rsidR="00277023">
        <w:rPr>
          <w:lang w:val="fr-FR"/>
        </w:rPr>
        <w:t>’</w:t>
      </w:r>
      <w:r w:rsidRPr="00C478E4">
        <w:rPr>
          <w:lang w:val="fr-FR"/>
        </w:rPr>
        <w:t>enseignement secondaire.</w:t>
      </w:r>
    </w:p>
    <w:p w:rsidR="00C478E4" w:rsidRPr="00C478E4" w:rsidRDefault="00C478E4" w:rsidP="00C478E4">
      <w:pPr>
        <w:pStyle w:val="SingleTxtG"/>
        <w:rPr>
          <w:lang w:val="fr-FR"/>
        </w:rPr>
      </w:pPr>
      <w:r w:rsidRPr="00C478E4">
        <w:rPr>
          <w:lang w:val="fr-FR"/>
        </w:rPr>
        <w:t>358.</w:t>
      </w:r>
      <w:r w:rsidRPr="00C478E4">
        <w:rPr>
          <w:lang w:val="fr-FR"/>
        </w:rPr>
        <w:tab/>
        <w:t>Conformément aux recommandations formulées dans le rapport, le Ministère de l</w:t>
      </w:r>
      <w:r w:rsidR="00277023">
        <w:rPr>
          <w:lang w:val="fr-FR"/>
        </w:rPr>
        <w:t>’</w:t>
      </w:r>
      <w:r w:rsidRPr="00C478E4">
        <w:rPr>
          <w:lang w:val="fr-FR"/>
        </w:rPr>
        <w:t>éducation, de la culture, des sports, des sciences et de la technologie a tenu des discussions et réformé l</w:t>
      </w:r>
      <w:r w:rsidR="00277023">
        <w:rPr>
          <w:lang w:val="fr-FR"/>
        </w:rPr>
        <w:t>’</w:t>
      </w:r>
      <w:r w:rsidRPr="00C478E4">
        <w:rPr>
          <w:lang w:val="fr-FR"/>
        </w:rPr>
        <w:t>enseignement comme suit:</w:t>
      </w:r>
    </w:p>
    <w:p w:rsidR="00C478E4" w:rsidRPr="00C478E4" w:rsidRDefault="00C478E4" w:rsidP="00C478E4">
      <w:pPr>
        <w:pStyle w:val="SingleTxtG"/>
        <w:ind w:left="1701"/>
        <w:rPr>
          <w:lang w:val="fr-FR"/>
        </w:rPr>
      </w:pPr>
      <w:r>
        <w:rPr>
          <w:lang w:val="fr-FR"/>
        </w:rPr>
        <w:t>i)</w:t>
      </w:r>
      <w:r>
        <w:rPr>
          <w:lang w:val="fr-FR"/>
        </w:rPr>
        <w:tab/>
      </w:r>
      <w:r w:rsidRPr="00C478E4">
        <w:rPr>
          <w:lang w:val="fr-FR"/>
        </w:rPr>
        <w:t>assouplissement du système des classes adaptées pour couvrir les enfants atteints de troubles du développement et/ou du syndrome d</w:t>
      </w:r>
      <w:r w:rsidR="00277023">
        <w:rPr>
          <w:lang w:val="fr-FR"/>
        </w:rPr>
        <w:t>’</w:t>
      </w:r>
      <w:r w:rsidRPr="00C478E4">
        <w:rPr>
          <w:lang w:val="fr-FR"/>
        </w:rPr>
        <w:t>hyperactivité avec trouble de l</w:t>
      </w:r>
      <w:r w:rsidR="00277023">
        <w:rPr>
          <w:lang w:val="fr-FR"/>
        </w:rPr>
        <w:t>’</w:t>
      </w:r>
      <w:r w:rsidRPr="00C478E4">
        <w:rPr>
          <w:lang w:val="fr-FR"/>
        </w:rPr>
        <w:t>attention inscrits dans les établissements élémentaires ou le premier cycle des établissements secondaires ordinaires, dans le souci d</w:t>
      </w:r>
      <w:r w:rsidR="00277023">
        <w:rPr>
          <w:lang w:val="fr-FR"/>
        </w:rPr>
        <w:t>’</w:t>
      </w:r>
      <w:r w:rsidRPr="00C478E4">
        <w:rPr>
          <w:lang w:val="fr-FR"/>
        </w:rPr>
        <w:t>apporter un soutien éducatif adapté à partir de 2006;</w:t>
      </w:r>
    </w:p>
    <w:p w:rsidR="00C478E4" w:rsidRPr="00C478E4" w:rsidRDefault="00C478E4" w:rsidP="00C478E4">
      <w:pPr>
        <w:pStyle w:val="SingleTxtG"/>
        <w:ind w:left="1701"/>
        <w:rPr>
          <w:lang w:val="fr-FR"/>
        </w:rPr>
      </w:pPr>
      <w:r w:rsidRPr="00C478E4">
        <w:rPr>
          <w:lang w:val="fr-FR"/>
        </w:rPr>
        <w:t>ii)</w:t>
      </w:r>
      <w:r>
        <w:rPr>
          <w:lang w:val="fr-FR"/>
        </w:rPr>
        <w:tab/>
      </w:r>
      <w:r w:rsidRPr="00C478E4">
        <w:rPr>
          <w:lang w:val="fr-FR"/>
        </w:rPr>
        <w:t xml:space="preserve">modification de </w:t>
      </w:r>
      <w:smartTag w:uri="urn:schemas-microsoft-com:office:smarttags" w:element="PersonName">
        <w:smartTagPr>
          <w:attr w:name="ProductID" w:val="la Loi"/>
        </w:smartTagPr>
        <w:r w:rsidRPr="00C478E4">
          <w:rPr>
            <w:lang w:val="fr-FR"/>
          </w:rPr>
          <w:t>la Loi</w:t>
        </w:r>
      </w:smartTag>
      <w:r w:rsidRPr="00C478E4">
        <w:rPr>
          <w:lang w:val="fr-FR"/>
        </w:rPr>
        <w:t xml:space="preserve"> sur l</w:t>
      </w:r>
      <w:r w:rsidR="00277023">
        <w:rPr>
          <w:lang w:val="fr-FR"/>
        </w:rPr>
        <w:t>’</w:t>
      </w:r>
      <w:r w:rsidRPr="00C478E4">
        <w:rPr>
          <w:lang w:val="fr-FR"/>
        </w:rPr>
        <w:t xml:space="preserve">enseignement scolaire (adoptée lors de la 164e session de </w:t>
      </w:r>
      <w:smartTag w:uri="urn:schemas-microsoft-com:office:smarttags" w:element="PersonName">
        <w:smartTagPr>
          <w:attr w:name="ProductID" w:val="la Di￨te"/>
        </w:smartTagPr>
        <w:r w:rsidRPr="00C478E4">
          <w:rPr>
            <w:lang w:val="fr-FR"/>
          </w:rPr>
          <w:t>la Diète</w:t>
        </w:r>
      </w:smartTag>
      <w:r w:rsidRPr="00C478E4">
        <w:rPr>
          <w:lang w:val="fr-FR"/>
        </w:rPr>
        <w:t xml:space="preserve"> en juin 2006 et entrée en application en avril 2007), en stipulant les mesures suivantes</w:t>
      </w:r>
      <w:r w:rsidR="00277023">
        <w:rPr>
          <w:lang w:val="fr-FR"/>
        </w:rPr>
        <w:t>:</w:t>
      </w:r>
      <w:r w:rsidRPr="00C478E4">
        <w:rPr>
          <w:lang w:val="fr-FR"/>
        </w:rPr>
        <w:t xml:space="preserve"> convertir le système </w:t>
      </w:r>
      <w:r w:rsidR="008E49D4">
        <w:rPr>
          <w:lang w:val="fr-FR"/>
        </w:rPr>
        <w:t>“</w:t>
      </w:r>
      <w:r w:rsidRPr="00C478E4">
        <w:rPr>
          <w:lang w:val="fr-FR"/>
        </w:rPr>
        <w:t>d</w:t>
      </w:r>
      <w:r w:rsidR="00277023">
        <w:rPr>
          <w:lang w:val="fr-FR"/>
        </w:rPr>
        <w:t>’</w:t>
      </w:r>
      <w:r w:rsidRPr="00C478E4">
        <w:rPr>
          <w:lang w:val="fr-FR"/>
        </w:rPr>
        <w:t>écoles spécialisées</w:t>
      </w:r>
      <w:r w:rsidR="008E49D4">
        <w:rPr>
          <w:lang w:val="fr-FR"/>
        </w:rPr>
        <w:t>”</w:t>
      </w:r>
      <w:r w:rsidRPr="00C478E4">
        <w:rPr>
          <w:lang w:val="fr-FR"/>
        </w:rPr>
        <w:t xml:space="preserve"> en un système </w:t>
      </w:r>
      <w:r w:rsidR="008E49D4">
        <w:rPr>
          <w:lang w:val="fr-FR"/>
        </w:rPr>
        <w:t>“</w:t>
      </w:r>
      <w:r w:rsidRPr="00C478E4">
        <w:rPr>
          <w:lang w:val="fr-FR"/>
        </w:rPr>
        <w:t>d</w:t>
      </w:r>
      <w:r w:rsidR="00277023">
        <w:rPr>
          <w:lang w:val="fr-FR"/>
        </w:rPr>
        <w:t>’</w:t>
      </w:r>
      <w:r w:rsidRPr="00C478E4">
        <w:rPr>
          <w:lang w:val="fr-FR"/>
        </w:rPr>
        <w:t>écoles tenant compte des besoins spéciaux</w:t>
      </w:r>
      <w:r w:rsidR="008E49D4">
        <w:rPr>
          <w:lang w:val="fr-FR"/>
        </w:rPr>
        <w:t>”</w:t>
      </w:r>
      <w:r w:rsidRPr="00C478E4">
        <w:rPr>
          <w:lang w:val="fr-FR"/>
        </w:rPr>
        <w:t>, qui permettent de dispenser un enseignement à des enfants atteints de différentes formes de handicap dans tous les établissements scolaires</w:t>
      </w:r>
      <w:r w:rsidR="00277023">
        <w:rPr>
          <w:lang w:val="fr-FR"/>
        </w:rPr>
        <w:t>;</w:t>
      </w:r>
      <w:r w:rsidRPr="00C478E4">
        <w:rPr>
          <w:lang w:val="fr-FR"/>
        </w:rPr>
        <w:t xml:space="preserve"> encourager les </w:t>
      </w:r>
      <w:r w:rsidR="008E49D4">
        <w:rPr>
          <w:lang w:val="fr-FR"/>
        </w:rPr>
        <w:t>“</w:t>
      </w:r>
      <w:r w:rsidRPr="00C478E4">
        <w:rPr>
          <w:lang w:val="fr-FR"/>
        </w:rPr>
        <w:t>écoles tenant compte des besoins spéciaux</w:t>
      </w:r>
      <w:r w:rsidR="008E49D4">
        <w:rPr>
          <w:lang w:val="fr-FR"/>
        </w:rPr>
        <w:t>”</w:t>
      </w:r>
      <w:r w:rsidRPr="00C478E4">
        <w:rPr>
          <w:lang w:val="fr-FR"/>
        </w:rPr>
        <w:t xml:space="preserve"> à conseiller et soutenir l</w:t>
      </w:r>
      <w:r w:rsidR="00277023">
        <w:rPr>
          <w:lang w:val="fr-FR"/>
        </w:rPr>
        <w:t>’</w:t>
      </w:r>
      <w:r w:rsidRPr="00C478E4">
        <w:rPr>
          <w:lang w:val="fr-FR"/>
        </w:rPr>
        <w:t>enseignement aux enfants handicapés inscrits dans des établissements élémentaires et secondaires (premier cycle) ordinaires, sur demande</w:t>
      </w:r>
      <w:r w:rsidR="00277023">
        <w:rPr>
          <w:lang w:val="fr-FR"/>
        </w:rPr>
        <w:t>;</w:t>
      </w:r>
      <w:r w:rsidRPr="00C478E4">
        <w:rPr>
          <w:lang w:val="fr-FR"/>
        </w:rPr>
        <w:t xml:space="preserve"> et promouvoir l</w:t>
      </w:r>
      <w:r w:rsidR="00277023">
        <w:rPr>
          <w:lang w:val="fr-FR"/>
        </w:rPr>
        <w:t>’</w:t>
      </w:r>
      <w:r w:rsidRPr="00C478E4">
        <w:rPr>
          <w:lang w:val="fr-FR"/>
        </w:rPr>
        <w:t>éducation tenant compte des besoins spéciaux dans les jardins d</w:t>
      </w:r>
      <w:r w:rsidR="00277023">
        <w:rPr>
          <w:lang w:val="fr-FR"/>
        </w:rPr>
        <w:t>’</w:t>
      </w:r>
      <w:r w:rsidRPr="00C478E4">
        <w:rPr>
          <w:lang w:val="fr-FR"/>
        </w:rPr>
        <w:t>enfants, les établissements élémentaires et secondaires (premier et deuxième cycles) ordinaires.</w:t>
      </w:r>
    </w:p>
    <w:p w:rsidR="00C478E4" w:rsidRPr="00C478E4" w:rsidRDefault="00C478E4" w:rsidP="00C478E4">
      <w:pPr>
        <w:pStyle w:val="SingleTxtG"/>
        <w:rPr>
          <w:lang w:val="fr-FR"/>
        </w:rPr>
      </w:pPr>
      <w:r w:rsidRPr="00C478E4">
        <w:rPr>
          <w:lang w:val="fr-FR"/>
        </w:rPr>
        <w:t>Situation actuelle de l</w:t>
      </w:r>
      <w:r w:rsidR="00277023">
        <w:rPr>
          <w:lang w:val="fr-FR"/>
        </w:rPr>
        <w:t>’</w:t>
      </w:r>
      <w:r w:rsidRPr="00C478E4">
        <w:rPr>
          <w:lang w:val="fr-FR"/>
        </w:rPr>
        <w:t>éducation tenant compte des besoins spéciaux (au niveau de l</w:t>
      </w:r>
      <w:r w:rsidR="00277023">
        <w:rPr>
          <w:lang w:val="fr-FR"/>
        </w:rPr>
        <w:t>’</w:t>
      </w:r>
      <w:r w:rsidRPr="00C478E4">
        <w:rPr>
          <w:lang w:val="fr-FR"/>
        </w:rPr>
        <w:t>instruction obligatoire)</w:t>
      </w:r>
    </w:p>
    <w:p w:rsidR="00D3561A" w:rsidRPr="00C478E4" w:rsidRDefault="00365506" w:rsidP="00D3561A">
      <w:pPr>
        <w:pStyle w:val="Heading1"/>
        <w:rPr>
          <w:lang w:val="fr-FR"/>
        </w:rPr>
      </w:pPr>
      <w:r w:rsidRPr="00F206B8">
        <w:rPr>
          <w:lang w:val="fr-FR"/>
        </w:rPr>
        <w:t>Tableau</w:t>
      </w:r>
      <w:r w:rsidRPr="00C478E4">
        <w:rPr>
          <w:lang w:val="fr-FR"/>
        </w:rPr>
        <w:t xml:space="preserve"> </w:t>
      </w:r>
      <w:r w:rsidR="00D3561A" w:rsidRPr="00C478E4">
        <w:rPr>
          <w:lang w:val="fr-FR"/>
        </w:rPr>
        <w:t>18</w:t>
      </w:r>
    </w:p>
    <w:p w:rsidR="00D3561A" w:rsidRPr="00C478E4" w:rsidRDefault="00270871" w:rsidP="00AC5677">
      <w:pPr>
        <w:pStyle w:val="SingleTxtG"/>
        <w:spacing w:after="0"/>
        <w:jc w:val="left"/>
        <w:rPr>
          <w:b/>
          <w:lang w:val="fr-FR"/>
        </w:rPr>
      </w:pPr>
      <w:r>
        <w:rPr>
          <w:b/>
          <w:bCs/>
          <w:lang w:val="fr-FR"/>
        </w:rPr>
        <w:t>É</w:t>
      </w:r>
      <w:r w:rsidR="00C478E4" w:rsidRPr="00C478E4">
        <w:rPr>
          <w:b/>
          <w:bCs/>
          <w:lang w:val="fr-FR"/>
        </w:rPr>
        <w:t xml:space="preserve">coles pour enfants aveugles, sourds, handicapés mentaux, handicapés physiques </w:t>
      </w:r>
      <w:r>
        <w:rPr>
          <w:b/>
          <w:bCs/>
          <w:lang w:val="fr-FR"/>
        </w:rPr>
        <w:br/>
      </w:r>
      <w:r w:rsidR="00C478E4" w:rsidRPr="00C478E4">
        <w:rPr>
          <w:b/>
          <w:bCs/>
          <w:lang w:val="fr-FR"/>
        </w:rPr>
        <w:t>et de santé déficiente</w:t>
      </w:r>
      <w:r w:rsidR="00D3561A" w:rsidRPr="00C478E4">
        <w:rPr>
          <w:lang w:val="fr-FR"/>
        </w:rPr>
        <w:t>*</w:t>
      </w:r>
    </w:p>
    <w:p w:rsidR="00D3561A" w:rsidRPr="008E5027" w:rsidRDefault="00D3561A" w:rsidP="00AC5677">
      <w:pPr>
        <w:pStyle w:val="SingleTxtG"/>
        <w:jc w:val="left"/>
        <w:rPr>
          <w:sz w:val="16"/>
          <w:szCs w:val="16"/>
        </w:rPr>
      </w:pPr>
      <w:r w:rsidRPr="008E5027">
        <w:rPr>
          <w:sz w:val="16"/>
          <w:szCs w:val="16"/>
        </w:rPr>
        <w:t>(</w:t>
      </w:r>
      <w:r w:rsidR="00C478E4" w:rsidRPr="00C478E4">
        <w:rPr>
          <w:sz w:val="16"/>
          <w:szCs w:val="16"/>
          <w:lang w:val="fr-FR"/>
        </w:rPr>
        <w:t>niveaux élémentaire et secondaire (premier cycle)</w:t>
      </w:r>
      <w:r w:rsidRPr="008E5027">
        <w:rPr>
          <w:sz w:val="16"/>
          <w:szCs w:val="16"/>
        </w:rPr>
        <w:t>)</w:t>
      </w:r>
    </w:p>
    <w:tbl>
      <w:tblPr>
        <w:tblStyle w:val="TableGrid"/>
        <w:tblW w:w="730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14"/>
        <w:gridCol w:w="1721"/>
        <w:gridCol w:w="1384"/>
        <w:gridCol w:w="1384"/>
      </w:tblGrid>
      <w:tr w:rsidR="00D3561A" w:rsidRPr="008E5027" w:rsidTr="000413E3">
        <w:tc>
          <w:tcPr>
            <w:tcW w:w="4535" w:type="dxa"/>
            <w:gridSpan w:val="2"/>
            <w:tcBorders>
              <w:top w:val="single" w:sz="4" w:space="0" w:color="auto"/>
              <w:bottom w:val="single" w:sz="12" w:space="0" w:color="auto"/>
            </w:tcBorders>
            <w:vAlign w:val="bottom"/>
          </w:tcPr>
          <w:p w:rsidR="00D3561A" w:rsidRPr="008E5027" w:rsidRDefault="006102E2" w:rsidP="000413E3">
            <w:pPr>
              <w:spacing w:before="80" w:after="80" w:line="200" w:lineRule="exact"/>
              <w:rPr>
                <w:i/>
                <w:sz w:val="16"/>
              </w:rPr>
            </w:pPr>
            <w:r w:rsidRPr="006102E2">
              <w:rPr>
                <w:i/>
                <w:sz w:val="16"/>
                <w:lang w:val="fr-FR"/>
              </w:rPr>
              <w:t>Type d</w:t>
            </w:r>
            <w:r w:rsidR="00277023">
              <w:rPr>
                <w:i/>
                <w:sz w:val="16"/>
                <w:lang w:val="fr-FR"/>
              </w:rPr>
              <w:t>’</w:t>
            </w:r>
            <w:r w:rsidRPr="006102E2">
              <w:rPr>
                <w:i/>
                <w:sz w:val="16"/>
                <w:lang w:val="fr-FR"/>
              </w:rPr>
              <w:t>établissement scolaire</w:t>
            </w:r>
          </w:p>
        </w:tc>
        <w:tc>
          <w:tcPr>
            <w:tcW w:w="1384" w:type="dxa"/>
            <w:tcBorders>
              <w:top w:val="single" w:sz="4" w:space="0" w:color="auto"/>
              <w:bottom w:val="single" w:sz="12" w:space="0" w:color="auto"/>
            </w:tcBorders>
            <w:shd w:val="clear" w:color="auto" w:fill="auto"/>
            <w:vAlign w:val="bottom"/>
          </w:tcPr>
          <w:p w:rsidR="00D3561A" w:rsidRPr="008E5027" w:rsidRDefault="006102E2" w:rsidP="006102E2">
            <w:pPr>
              <w:spacing w:before="80" w:after="80" w:line="200" w:lineRule="exact"/>
              <w:jc w:val="right"/>
              <w:rPr>
                <w:i/>
                <w:sz w:val="16"/>
              </w:rPr>
            </w:pPr>
            <w:r w:rsidRPr="006102E2">
              <w:rPr>
                <w:i/>
                <w:sz w:val="16"/>
                <w:lang w:val="fr-FR"/>
              </w:rPr>
              <w:t>Nombre d</w:t>
            </w:r>
            <w:r w:rsidR="00277023">
              <w:rPr>
                <w:i/>
                <w:sz w:val="16"/>
                <w:lang w:val="fr-FR"/>
              </w:rPr>
              <w:t>’</w:t>
            </w:r>
            <w:r w:rsidRPr="006102E2">
              <w:rPr>
                <w:i/>
                <w:sz w:val="16"/>
                <w:lang w:val="fr-FR"/>
              </w:rPr>
              <w:t>écoles</w:t>
            </w:r>
          </w:p>
        </w:tc>
        <w:tc>
          <w:tcPr>
            <w:tcW w:w="1384" w:type="dxa"/>
            <w:tcBorders>
              <w:top w:val="single" w:sz="4" w:space="0" w:color="auto"/>
              <w:left w:val="nil"/>
              <w:bottom w:val="single" w:sz="12" w:space="0" w:color="auto"/>
            </w:tcBorders>
            <w:shd w:val="clear" w:color="auto" w:fill="auto"/>
            <w:vAlign w:val="bottom"/>
          </w:tcPr>
          <w:p w:rsidR="00D3561A" w:rsidRPr="008E5027" w:rsidRDefault="006102E2" w:rsidP="006102E2">
            <w:pPr>
              <w:spacing w:before="80" w:after="80" w:line="200" w:lineRule="exact"/>
              <w:jc w:val="right"/>
              <w:rPr>
                <w:i/>
                <w:sz w:val="16"/>
              </w:rPr>
            </w:pPr>
            <w:r w:rsidRPr="006102E2">
              <w:rPr>
                <w:i/>
                <w:sz w:val="16"/>
                <w:lang w:val="fr-FR"/>
              </w:rPr>
              <w:t>Nombre d</w:t>
            </w:r>
            <w:r w:rsidR="00277023">
              <w:rPr>
                <w:i/>
                <w:sz w:val="16"/>
                <w:lang w:val="fr-FR"/>
              </w:rPr>
              <w:t>’</w:t>
            </w:r>
            <w:r w:rsidRPr="006102E2">
              <w:rPr>
                <w:i/>
                <w:sz w:val="16"/>
                <w:lang w:val="fr-FR"/>
              </w:rPr>
              <w:t>enfants</w:t>
            </w:r>
          </w:p>
        </w:tc>
      </w:tr>
      <w:tr w:rsidR="00D3561A" w:rsidRPr="008E5027" w:rsidTr="000413E3">
        <w:tc>
          <w:tcPr>
            <w:tcW w:w="2814" w:type="dxa"/>
            <w:tcBorders>
              <w:top w:val="single" w:sz="12" w:space="0" w:color="auto"/>
            </w:tcBorders>
            <w:vAlign w:val="bottom"/>
          </w:tcPr>
          <w:p w:rsidR="00D3561A" w:rsidRPr="008E5027" w:rsidRDefault="006102E2" w:rsidP="000413E3">
            <w:pPr>
              <w:suppressAutoHyphens w:val="0"/>
              <w:spacing w:before="40" w:after="40" w:line="220" w:lineRule="exact"/>
              <w:rPr>
                <w:b/>
                <w:sz w:val="18"/>
              </w:rPr>
            </w:pPr>
            <w:r w:rsidRPr="006102E2">
              <w:rPr>
                <w:sz w:val="18"/>
                <w:lang w:val="fr-FR"/>
              </w:rPr>
              <w:t>Écoles pour aveugles</w:t>
            </w:r>
          </w:p>
        </w:tc>
        <w:tc>
          <w:tcPr>
            <w:tcW w:w="1721" w:type="dxa"/>
            <w:tcBorders>
              <w:top w:val="single" w:sz="12" w:space="0" w:color="auto"/>
            </w:tcBorders>
            <w:shd w:val="clear" w:color="auto" w:fill="auto"/>
            <w:vAlign w:val="bottom"/>
          </w:tcPr>
          <w:p w:rsidR="00D3561A" w:rsidRPr="008E5027" w:rsidRDefault="00D3561A" w:rsidP="000413E3">
            <w:pPr>
              <w:tabs>
                <w:tab w:val="left" w:pos="567"/>
              </w:tabs>
              <w:suppressAutoHyphens w:val="0"/>
              <w:spacing w:before="40" w:after="40" w:line="220" w:lineRule="exact"/>
              <w:rPr>
                <w:sz w:val="18"/>
              </w:rPr>
            </w:pPr>
          </w:p>
        </w:tc>
        <w:tc>
          <w:tcPr>
            <w:tcW w:w="1384" w:type="dxa"/>
            <w:tcBorders>
              <w:top w:val="single" w:sz="12" w:space="0" w:color="auto"/>
            </w:tcBorders>
            <w:shd w:val="clear" w:color="auto" w:fill="auto"/>
            <w:vAlign w:val="bottom"/>
          </w:tcPr>
          <w:p w:rsidR="00D3561A" w:rsidRPr="008E5027" w:rsidRDefault="00D3561A" w:rsidP="006102E2">
            <w:pPr>
              <w:suppressAutoHyphens w:val="0"/>
              <w:spacing w:before="40" w:after="40" w:line="220" w:lineRule="exact"/>
              <w:jc w:val="right"/>
              <w:rPr>
                <w:sz w:val="18"/>
              </w:rPr>
            </w:pPr>
            <w:r w:rsidRPr="008E5027">
              <w:rPr>
                <w:sz w:val="18"/>
              </w:rPr>
              <w:t>71</w:t>
            </w:r>
          </w:p>
        </w:tc>
        <w:tc>
          <w:tcPr>
            <w:tcW w:w="1384" w:type="dxa"/>
            <w:tcBorders>
              <w:top w:val="single" w:sz="12" w:space="0" w:color="auto"/>
            </w:tcBorders>
            <w:shd w:val="clear" w:color="auto" w:fill="auto"/>
            <w:vAlign w:val="bottom"/>
          </w:tcPr>
          <w:p w:rsidR="00D3561A" w:rsidRPr="008E5027" w:rsidRDefault="00D3561A" w:rsidP="006102E2">
            <w:pPr>
              <w:suppressAutoHyphens w:val="0"/>
              <w:spacing w:before="40" w:after="40" w:line="220" w:lineRule="exact"/>
              <w:jc w:val="right"/>
              <w:rPr>
                <w:sz w:val="18"/>
              </w:rPr>
            </w:pPr>
            <w:r w:rsidRPr="008E5027">
              <w:rPr>
                <w:sz w:val="18"/>
              </w:rPr>
              <w:t>1 164</w:t>
            </w:r>
          </w:p>
        </w:tc>
      </w:tr>
      <w:tr w:rsidR="00D3561A" w:rsidRPr="008E5027" w:rsidTr="000413E3">
        <w:tc>
          <w:tcPr>
            <w:tcW w:w="2814" w:type="dxa"/>
            <w:vAlign w:val="bottom"/>
          </w:tcPr>
          <w:p w:rsidR="00D3561A" w:rsidRPr="008E5027" w:rsidRDefault="006102E2" w:rsidP="000413E3">
            <w:pPr>
              <w:suppressAutoHyphens w:val="0"/>
              <w:spacing w:before="40" w:after="40" w:line="220" w:lineRule="exact"/>
              <w:rPr>
                <w:sz w:val="18"/>
              </w:rPr>
            </w:pPr>
            <w:r w:rsidRPr="006102E2">
              <w:rPr>
                <w:sz w:val="18"/>
                <w:lang w:val="fr-FR"/>
              </w:rPr>
              <w:t>Écoles pour sourds</w:t>
            </w:r>
          </w:p>
        </w:tc>
        <w:tc>
          <w:tcPr>
            <w:tcW w:w="1721" w:type="dxa"/>
            <w:shd w:val="clear" w:color="auto" w:fill="auto"/>
            <w:vAlign w:val="bottom"/>
          </w:tcPr>
          <w:p w:rsidR="00D3561A" w:rsidRPr="008E5027" w:rsidRDefault="00D3561A" w:rsidP="000413E3">
            <w:pPr>
              <w:tabs>
                <w:tab w:val="left" w:pos="567"/>
              </w:tabs>
              <w:suppressAutoHyphens w:val="0"/>
              <w:spacing w:before="40" w:after="40" w:line="220" w:lineRule="exact"/>
              <w:rPr>
                <w:sz w:val="18"/>
              </w:rPr>
            </w:pPr>
          </w:p>
        </w:tc>
        <w:tc>
          <w:tcPr>
            <w:tcW w:w="1384" w:type="dxa"/>
            <w:shd w:val="clear" w:color="auto" w:fill="auto"/>
            <w:vAlign w:val="bottom"/>
          </w:tcPr>
          <w:p w:rsidR="00D3561A" w:rsidRPr="008E5027" w:rsidRDefault="00D3561A" w:rsidP="006102E2">
            <w:pPr>
              <w:suppressAutoHyphens w:val="0"/>
              <w:spacing w:before="40" w:after="40" w:line="220" w:lineRule="exact"/>
              <w:jc w:val="right"/>
              <w:rPr>
                <w:sz w:val="18"/>
              </w:rPr>
            </w:pPr>
            <w:r w:rsidRPr="008E5027">
              <w:rPr>
                <w:sz w:val="18"/>
              </w:rPr>
              <w:t>106</w:t>
            </w:r>
          </w:p>
        </w:tc>
        <w:tc>
          <w:tcPr>
            <w:tcW w:w="1384" w:type="dxa"/>
            <w:shd w:val="clear" w:color="auto" w:fill="auto"/>
            <w:vAlign w:val="bottom"/>
          </w:tcPr>
          <w:p w:rsidR="00D3561A" w:rsidRPr="008E5027" w:rsidRDefault="00D3561A" w:rsidP="006102E2">
            <w:pPr>
              <w:suppressAutoHyphens w:val="0"/>
              <w:spacing w:before="40" w:after="40" w:line="220" w:lineRule="exact"/>
              <w:jc w:val="right"/>
              <w:rPr>
                <w:sz w:val="18"/>
              </w:rPr>
            </w:pPr>
            <w:r w:rsidRPr="008E5027">
              <w:rPr>
                <w:sz w:val="18"/>
              </w:rPr>
              <w:t>3 387</w:t>
            </w:r>
          </w:p>
        </w:tc>
      </w:tr>
      <w:tr w:rsidR="006102E2" w:rsidRPr="008E5027" w:rsidTr="000413E3">
        <w:tc>
          <w:tcPr>
            <w:tcW w:w="2814" w:type="dxa"/>
            <w:vMerge w:val="restart"/>
          </w:tcPr>
          <w:p w:rsidR="006102E2" w:rsidRPr="008E5027" w:rsidRDefault="006102E2" w:rsidP="000413E3">
            <w:pPr>
              <w:suppressAutoHyphens w:val="0"/>
              <w:spacing w:before="40" w:after="40" w:line="220" w:lineRule="exact"/>
              <w:rPr>
                <w:sz w:val="18"/>
              </w:rPr>
            </w:pPr>
            <w:r w:rsidRPr="006102E2">
              <w:rPr>
                <w:sz w:val="18"/>
                <w:lang w:val="fr-FR"/>
              </w:rPr>
              <w:t xml:space="preserve">Écoles pour élèves atteints </w:t>
            </w:r>
            <w:r>
              <w:rPr>
                <w:sz w:val="18"/>
                <w:lang w:val="fr-FR"/>
              </w:rPr>
              <w:br/>
            </w:r>
            <w:r w:rsidRPr="006102E2">
              <w:rPr>
                <w:sz w:val="18"/>
                <w:lang w:val="fr-FR"/>
              </w:rPr>
              <w:t>d</w:t>
            </w:r>
            <w:r w:rsidR="00277023">
              <w:rPr>
                <w:sz w:val="18"/>
                <w:lang w:val="fr-FR"/>
              </w:rPr>
              <w:t>’</w:t>
            </w:r>
            <w:r w:rsidRPr="006102E2">
              <w:rPr>
                <w:sz w:val="18"/>
                <w:lang w:val="fr-FR"/>
              </w:rPr>
              <w:t>autres handicaps</w:t>
            </w:r>
          </w:p>
        </w:tc>
        <w:tc>
          <w:tcPr>
            <w:tcW w:w="1721" w:type="dxa"/>
            <w:shd w:val="clear" w:color="auto" w:fill="auto"/>
            <w:vAlign w:val="bottom"/>
          </w:tcPr>
          <w:p w:rsidR="006102E2" w:rsidRPr="008E5027" w:rsidRDefault="006102E2" w:rsidP="000413E3">
            <w:pPr>
              <w:tabs>
                <w:tab w:val="left" w:pos="567"/>
              </w:tabs>
              <w:suppressAutoHyphens w:val="0"/>
              <w:spacing w:before="40" w:after="40" w:line="220" w:lineRule="exact"/>
              <w:rPr>
                <w:sz w:val="18"/>
              </w:rPr>
            </w:pPr>
            <w:r w:rsidRPr="006102E2">
              <w:rPr>
                <w:sz w:val="18"/>
                <w:lang w:val="fr-FR"/>
              </w:rPr>
              <w:t>Handicapés mentaux</w:t>
            </w:r>
          </w:p>
        </w:tc>
        <w:tc>
          <w:tcPr>
            <w:tcW w:w="1384" w:type="dxa"/>
            <w:shd w:val="clear" w:color="auto" w:fill="auto"/>
            <w:vAlign w:val="bottom"/>
          </w:tcPr>
          <w:p w:rsidR="006102E2" w:rsidRPr="008E5027" w:rsidRDefault="006102E2" w:rsidP="006102E2">
            <w:pPr>
              <w:suppressAutoHyphens w:val="0"/>
              <w:spacing w:before="40" w:after="40" w:line="220" w:lineRule="exact"/>
              <w:jc w:val="right"/>
              <w:rPr>
                <w:sz w:val="18"/>
              </w:rPr>
            </w:pPr>
            <w:r w:rsidRPr="008E5027">
              <w:rPr>
                <w:sz w:val="18"/>
              </w:rPr>
              <w:t>535</w:t>
            </w:r>
          </w:p>
        </w:tc>
        <w:tc>
          <w:tcPr>
            <w:tcW w:w="1384" w:type="dxa"/>
            <w:shd w:val="clear" w:color="auto" w:fill="auto"/>
            <w:vAlign w:val="bottom"/>
          </w:tcPr>
          <w:p w:rsidR="006102E2" w:rsidRPr="008E5027" w:rsidRDefault="006102E2" w:rsidP="006102E2">
            <w:pPr>
              <w:suppressAutoHyphens w:val="0"/>
              <w:spacing w:before="40" w:after="40" w:line="220" w:lineRule="exact"/>
              <w:jc w:val="right"/>
              <w:rPr>
                <w:sz w:val="18"/>
              </w:rPr>
            </w:pPr>
            <w:r w:rsidRPr="008E5027">
              <w:rPr>
                <w:sz w:val="18"/>
              </w:rPr>
              <w:t>34 715</w:t>
            </w:r>
          </w:p>
        </w:tc>
      </w:tr>
      <w:tr w:rsidR="006102E2" w:rsidRPr="008E5027" w:rsidTr="000413E3">
        <w:tc>
          <w:tcPr>
            <w:tcW w:w="2814" w:type="dxa"/>
            <w:vMerge/>
            <w:vAlign w:val="bottom"/>
          </w:tcPr>
          <w:p w:rsidR="006102E2" w:rsidRPr="008E5027" w:rsidRDefault="006102E2" w:rsidP="000413E3">
            <w:pPr>
              <w:suppressAutoHyphens w:val="0"/>
              <w:spacing w:before="40" w:after="40" w:line="220" w:lineRule="exact"/>
              <w:rPr>
                <w:sz w:val="18"/>
              </w:rPr>
            </w:pPr>
          </w:p>
        </w:tc>
        <w:tc>
          <w:tcPr>
            <w:tcW w:w="1721" w:type="dxa"/>
            <w:shd w:val="clear" w:color="auto" w:fill="auto"/>
            <w:vAlign w:val="bottom"/>
          </w:tcPr>
          <w:p w:rsidR="006102E2" w:rsidRPr="008E5027" w:rsidRDefault="006102E2" w:rsidP="000413E3">
            <w:pPr>
              <w:tabs>
                <w:tab w:val="left" w:pos="567"/>
              </w:tabs>
              <w:suppressAutoHyphens w:val="0"/>
              <w:spacing w:before="40" w:after="40" w:line="220" w:lineRule="exact"/>
              <w:rPr>
                <w:sz w:val="18"/>
              </w:rPr>
            </w:pPr>
            <w:r w:rsidRPr="006102E2">
              <w:rPr>
                <w:sz w:val="18"/>
                <w:lang w:val="fr-FR"/>
              </w:rPr>
              <w:t>Handicapés physiques</w:t>
            </w:r>
          </w:p>
        </w:tc>
        <w:tc>
          <w:tcPr>
            <w:tcW w:w="1384" w:type="dxa"/>
            <w:shd w:val="clear" w:color="auto" w:fill="auto"/>
            <w:vAlign w:val="bottom"/>
          </w:tcPr>
          <w:p w:rsidR="006102E2" w:rsidRPr="008E5027" w:rsidRDefault="006102E2" w:rsidP="006102E2">
            <w:pPr>
              <w:suppressAutoHyphens w:val="0"/>
              <w:spacing w:before="40" w:after="40" w:line="220" w:lineRule="exact"/>
              <w:jc w:val="right"/>
              <w:rPr>
                <w:sz w:val="18"/>
              </w:rPr>
            </w:pPr>
            <w:r w:rsidRPr="008E5027">
              <w:rPr>
                <w:sz w:val="18"/>
              </w:rPr>
              <w:t>198</w:t>
            </w:r>
          </w:p>
        </w:tc>
        <w:tc>
          <w:tcPr>
            <w:tcW w:w="1384" w:type="dxa"/>
            <w:shd w:val="clear" w:color="auto" w:fill="auto"/>
            <w:vAlign w:val="bottom"/>
          </w:tcPr>
          <w:p w:rsidR="006102E2" w:rsidRPr="008E5027" w:rsidRDefault="006102E2" w:rsidP="006102E2">
            <w:pPr>
              <w:suppressAutoHyphens w:val="0"/>
              <w:spacing w:before="40" w:after="40" w:line="220" w:lineRule="exact"/>
              <w:jc w:val="right"/>
              <w:rPr>
                <w:sz w:val="18"/>
              </w:rPr>
            </w:pPr>
            <w:r w:rsidRPr="008E5027">
              <w:rPr>
                <w:sz w:val="18"/>
              </w:rPr>
              <w:t>12 211</w:t>
            </w:r>
          </w:p>
        </w:tc>
      </w:tr>
      <w:tr w:rsidR="006102E2" w:rsidRPr="008E5027" w:rsidTr="000413E3">
        <w:tc>
          <w:tcPr>
            <w:tcW w:w="2814" w:type="dxa"/>
            <w:vMerge/>
            <w:tcBorders>
              <w:bottom w:val="single" w:sz="4" w:space="0" w:color="auto"/>
            </w:tcBorders>
            <w:vAlign w:val="bottom"/>
          </w:tcPr>
          <w:p w:rsidR="006102E2" w:rsidRPr="008E5027" w:rsidRDefault="006102E2" w:rsidP="000413E3">
            <w:pPr>
              <w:suppressAutoHyphens w:val="0"/>
              <w:spacing w:before="40" w:after="40" w:line="220" w:lineRule="exact"/>
              <w:rPr>
                <w:sz w:val="18"/>
              </w:rPr>
            </w:pPr>
          </w:p>
        </w:tc>
        <w:tc>
          <w:tcPr>
            <w:tcW w:w="1721" w:type="dxa"/>
            <w:tcBorders>
              <w:bottom w:val="single" w:sz="4" w:space="0" w:color="auto"/>
            </w:tcBorders>
            <w:shd w:val="clear" w:color="auto" w:fill="auto"/>
            <w:vAlign w:val="bottom"/>
          </w:tcPr>
          <w:p w:rsidR="006102E2" w:rsidRPr="008E5027" w:rsidRDefault="006102E2" w:rsidP="000413E3">
            <w:pPr>
              <w:tabs>
                <w:tab w:val="left" w:pos="567"/>
              </w:tabs>
              <w:suppressAutoHyphens w:val="0"/>
              <w:spacing w:before="40" w:after="40" w:line="220" w:lineRule="exact"/>
              <w:rPr>
                <w:sz w:val="18"/>
              </w:rPr>
            </w:pPr>
            <w:r w:rsidRPr="006102E2">
              <w:rPr>
                <w:sz w:val="18"/>
                <w:lang w:val="fr-FR"/>
              </w:rPr>
              <w:t>Santé déficiente</w:t>
            </w:r>
          </w:p>
        </w:tc>
        <w:tc>
          <w:tcPr>
            <w:tcW w:w="1384" w:type="dxa"/>
            <w:tcBorders>
              <w:bottom w:val="single" w:sz="4" w:space="0" w:color="auto"/>
            </w:tcBorders>
            <w:shd w:val="clear" w:color="auto" w:fill="auto"/>
            <w:vAlign w:val="bottom"/>
          </w:tcPr>
          <w:p w:rsidR="006102E2" w:rsidRPr="008E5027" w:rsidRDefault="006102E2" w:rsidP="006102E2">
            <w:pPr>
              <w:suppressAutoHyphens w:val="0"/>
              <w:spacing w:before="40" w:after="40" w:line="220" w:lineRule="exact"/>
              <w:jc w:val="right"/>
              <w:rPr>
                <w:sz w:val="18"/>
              </w:rPr>
            </w:pPr>
            <w:r w:rsidRPr="008E5027">
              <w:rPr>
                <w:sz w:val="18"/>
              </w:rPr>
              <w:t>92</w:t>
            </w:r>
          </w:p>
        </w:tc>
        <w:tc>
          <w:tcPr>
            <w:tcW w:w="1384" w:type="dxa"/>
            <w:tcBorders>
              <w:bottom w:val="single" w:sz="4" w:space="0" w:color="auto"/>
            </w:tcBorders>
            <w:shd w:val="clear" w:color="auto" w:fill="auto"/>
            <w:vAlign w:val="bottom"/>
          </w:tcPr>
          <w:p w:rsidR="006102E2" w:rsidRPr="008E5027" w:rsidRDefault="006102E2" w:rsidP="006102E2">
            <w:pPr>
              <w:suppressAutoHyphens w:val="0"/>
              <w:spacing w:before="40" w:after="40" w:line="220" w:lineRule="exact"/>
              <w:jc w:val="right"/>
              <w:rPr>
                <w:sz w:val="18"/>
              </w:rPr>
            </w:pPr>
            <w:r w:rsidRPr="008E5027">
              <w:rPr>
                <w:sz w:val="18"/>
              </w:rPr>
              <w:t>2 853</w:t>
            </w:r>
          </w:p>
        </w:tc>
      </w:tr>
      <w:tr w:rsidR="00D3561A" w:rsidRPr="008E5027" w:rsidTr="000413E3">
        <w:tc>
          <w:tcPr>
            <w:tcW w:w="2814" w:type="dxa"/>
            <w:tcBorders>
              <w:top w:val="single" w:sz="4" w:space="0" w:color="auto"/>
              <w:bottom w:val="single" w:sz="4" w:space="0" w:color="auto"/>
            </w:tcBorders>
            <w:vAlign w:val="bottom"/>
          </w:tcPr>
          <w:p w:rsidR="00D3561A" w:rsidRPr="008E5027" w:rsidRDefault="00D3561A" w:rsidP="008A6C88">
            <w:pPr>
              <w:tabs>
                <w:tab w:val="left" w:pos="284"/>
              </w:tabs>
              <w:suppressAutoHyphens w:val="0"/>
              <w:spacing w:before="80" w:after="80" w:line="220" w:lineRule="exact"/>
              <w:ind w:left="284"/>
              <w:rPr>
                <w:sz w:val="18"/>
              </w:rPr>
            </w:pPr>
          </w:p>
        </w:tc>
        <w:tc>
          <w:tcPr>
            <w:tcW w:w="1721" w:type="dxa"/>
            <w:tcBorders>
              <w:top w:val="single" w:sz="4" w:space="0" w:color="auto"/>
              <w:bottom w:val="single" w:sz="4" w:space="0" w:color="auto"/>
            </w:tcBorders>
            <w:shd w:val="clear" w:color="auto" w:fill="auto"/>
            <w:vAlign w:val="bottom"/>
          </w:tcPr>
          <w:p w:rsidR="00D3561A" w:rsidRPr="008E5027" w:rsidRDefault="006102E2" w:rsidP="008A6C88">
            <w:pPr>
              <w:tabs>
                <w:tab w:val="left" w:pos="284"/>
              </w:tabs>
              <w:suppressAutoHyphens w:val="0"/>
              <w:spacing w:before="80" w:after="80" w:line="220" w:lineRule="exact"/>
              <w:ind w:left="284"/>
              <w:rPr>
                <w:sz w:val="18"/>
              </w:rPr>
            </w:pPr>
            <w:r w:rsidRPr="006102E2">
              <w:rPr>
                <w:sz w:val="18"/>
                <w:lang w:val="fr-FR"/>
              </w:rPr>
              <w:t>Sous-total</w:t>
            </w:r>
          </w:p>
        </w:tc>
        <w:tc>
          <w:tcPr>
            <w:tcW w:w="1384" w:type="dxa"/>
            <w:tcBorders>
              <w:top w:val="single" w:sz="4" w:space="0" w:color="auto"/>
              <w:bottom w:val="single" w:sz="4" w:space="0" w:color="auto"/>
            </w:tcBorders>
            <w:shd w:val="clear" w:color="auto" w:fill="auto"/>
            <w:vAlign w:val="bottom"/>
          </w:tcPr>
          <w:p w:rsidR="00D3561A" w:rsidRPr="008E5027" w:rsidRDefault="00D3561A" w:rsidP="008A6C88">
            <w:pPr>
              <w:suppressAutoHyphens w:val="0"/>
              <w:spacing w:before="80" w:after="80" w:line="220" w:lineRule="exact"/>
              <w:jc w:val="right"/>
              <w:rPr>
                <w:sz w:val="18"/>
              </w:rPr>
            </w:pPr>
            <w:r w:rsidRPr="008E5027">
              <w:rPr>
                <w:sz w:val="18"/>
              </w:rPr>
              <w:t>825</w:t>
            </w:r>
          </w:p>
        </w:tc>
        <w:tc>
          <w:tcPr>
            <w:tcW w:w="1384" w:type="dxa"/>
            <w:tcBorders>
              <w:top w:val="single" w:sz="4" w:space="0" w:color="auto"/>
              <w:bottom w:val="single" w:sz="4" w:space="0" w:color="auto"/>
            </w:tcBorders>
            <w:shd w:val="clear" w:color="auto" w:fill="auto"/>
            <w:vAlign w:val="bottom"/>
          </w:tcPr>
          <w:p w:rsidR="00D3561A" w:rsidRPr="008E5027" w:rsidRDefault="00D3561A" w:rsidP="008A6C88">
            <w:pPr>
              <w:suppressAutoHyphens w:val="0"/>
              <w:spacing w:before="80" w:after="80" w:line="220" w:lineRule="exact"/>
              <w:jc w:val="right"/>
              <w:rPr>
                <w:sz w:val="18"/>
              </w:rPr>
            </w:pPr>
            <w:r w:rsidRPr="008E5027">
              <w:rPr>
                <w:sz w:val="18"/>
              </w:rPr>
              <w:t>49 779</w:t>
            </w:r>
          </w:p>
        </w:tc>
      </w:tr>
      <w:tr w:rsidR="00D3561A" w:rsidRPr="008E5027" w:rsidTr="006102E2">
        <w:tc>
          <w:tcPr>
            <w:tcW w:w="2814" w:type="dxa"/>
            <w:tcBorders>
              <w:top w:val="single" w:sz="4" w:space="0" w:color="auto"/>
              <w:bottom w:val="single" w:sz="12" w:space="0" w:color="auto"/>
            </w:tcBorders>
            <w:vAlign w:val="bottom"/>
          </w:tcPr>
          <w:p w:rsidR="00D3561A" w:rsidRPr="008E5027" w:rsidRDefault="00D3561A" w:rsidP="006102E2">
            <w:pPr>
              <w:tabs>
                <w:tab w:val="left" w:pos="284"/>
              </w:tabs>
              <w:suppressAutoHyphens w:val="0"/>
              <w:spacing w:before="80" w:after="80" w:line="220" w:lineRule="exact"/>
              <w:ind w:left="284"/>
              <w:rPr>
                <w:sz w:val="18"/>
              </w:rPr>
            </w:pPr>
            <w:r w:rsidRPr="008E5027">
              <w:rPr>
                <w:b/>
                <w:sz w:val="18"/>
              </w:rPr>
              <w:t>Total</w:t>
            </w:r>
          </w:p>
        </w:tc>
        <w:tc>
          <w:tcPr>
            <w:tcW w:w="1721" w:type="dxa"/>
            <w:tcBorders>
              <w:top w:val="single" w:sz="4" w:space="0" w:color="auto"/>
              <w:bottom w:val="single" w:sz="12" w:space="0" w:color="auto"/>
            </w:tcBorders>
            <w:shd w:val="clear" w:color="auto" w:fill="auto"/>
            <w:vAlign w:val="bottom"/>
          </w:tcPr>
          <w:p w:rsidR="00D3561A" w:rsidRPr="008E5027" w:rsidRDefault="00D3561A" w:rsidP="006102E2">
            <w:pPr>
              <w:tabs>
                <w:tab w:val="left" w:pos="284"/>
              </w:tabs>
              <w:suppressAutoHyphens w:val="0"/>
              <w:spacing w:before="80" w:after="80" w:line="220" w:lineRule="exact"/>
              <w:rPr>
                <w:b/>
                <w:sz w:val="18"/>
              </w:rPr>
            </w:pPr>
          </w:p>
        </w:tc>
        <w:tc>
          <w:tcPr>
            <w:tcW w:w="1384" w:type="dxa"/>
            <w:tcBorders>
              <w:top w:val="single" w:sz="4" w:space="0" w:color="auto"/>
              <w:bottom w:val="single" w:sz="12" w:space="0" w:color="auto"/>
            </w:tcBorders>
            <w:shd w:val="clear" w:color="auto" w:fill="auto"/>
            <w:vAlign w:val="bottom"/>
          </w:tcPr>
          <w:p w:rsidR="00D3561A" w:rsidRPr="008E5027" w:rsidRDefault="00D3561A" w:rsidP="006102E2">
            <w:pPr>
              <w:suppressAutoHyphens w:val="0"/>
              <w:spacing w:before="80" w:after="80" w:line="220" w:lineRule="exact"/>
              <w:jc w:val="right"/>
              <w:rPr>
                <w:b/>
                <w:sz w:val="18"/>
              </w:rPr>
            </w:pPr>
            <w:r w:rsidRPr="008E5027">
              <w:rPr>
                <w:b/>
                <w:sz w:val="18"/>
              </w:rPr>
              <w:t>1 002</w:t>
            </w:r>
          </w:p>
        </w:tc>
        <w:tc>
          <w:tcPr>
            <w:tcW w:w="1384" w:type="dxa"/>
            <w:tcBorders>
              <w:top w:val="single" w:sz="4" w:space="0" w:color="auto"/>
              <w:bottom w:val="single" w:sz="12" w:space="0" w:color="auto"/>
            </w:tcBorders>
            <w:shd w:val="clear" w:color="auto" w:fill="auto"/>
            <w:vAlign w:val="bottom"/>
          </w:tcPr>
          <w:p w:rsidR="00D3561A" w:rsidRPr="008E5027" w:rsidRDefault="00D3561A" w:rsidP="006102E2">
            <w:pPr>
              <w:suppressAutoHyphens w:val="0"/>
              <w:spacing w:before="80" w:after="80" w:line="220" w:lineRule="exact"/>
              <w:jc w:val="right"/>
              <w:rPr>
                <w:b/>
                <w:sz w:val="18"/>
              </w:rPr>
            </w:pPr>
            <w:r w:rsidRPr="008E5027">
              <w:rPr>
                <w:b/>
                <w:sz w:val="18"/>
              </w:rPr>
              <w:t>54 330</w:t>
            </w:r>
          </w:p>
        </w:tc>
      </w:tr>
    </w:tbl>
    <w:p w:rsidR="00D3561A" w:rsidRPr="008E5027" w:rsidRDefault="00D3561A" w:rsidP="00461DA0">
      <w:pPr>
        <w:spacing w:before="120"/>
        <w:ind w:left="1134" w:right="1134" w:firstLine="170"/>
        <w:rPr>
          <w:sz w:val="18"/>
          <w:szCs w:val="18"/>
        </w:rPr>
      </w:pPr>
      <w:r w:rsidRPr="008E5027">
        <w:rPr>
          <w:sz w:val="18"/>
          <w:szCs w:val="18"/>
        </w:rPr>
        <w:t>(</w:t>
      </w:r>
      <w:r w:rsidR="00C478E4" w:rsidRPr="00C478E4">
        <w:rPr>
          <w:sz w:val="18"/>
          <w:szCs w:val="18"/>
          <w:lang w:val="fr-FR"/>
        </w:rPr>
        <w:t>au 1</w:t>
      </w:r>
      <w:r w:rsidR="00C478E4" w:rsidRPr="00C478E4">
        <w:rPr>
          <w:sz w:val="18"/>
          <w:szCs w:val="18"/>
          <w:vertAlign w:val="superscript"/>
          <w:lang w:val="fr-FR"/>
        </w:rPr>
        <w:t>er</w:t>
      </w:r>
      <w:r w:rsidR="00C478E4" w:rsidRPr="00C478E4">
        <w:rPr>
          <w:sz w:val="18"/>
          <w:szCs w:val="18"/>
          <w:lang w:val="fr-FR"/>
        </w:rPr>
        <w:t xml:space="preserve"> mai 2005</w:t>
      </w:r>
      <w:r w:rsidRPr="008E5027">
        <w:rPr>
          <w:sz w:val="18"/>
          <w:szCs w:val="18"/>
        </w:rPr>
        <w:t>)</w:t>
      </w:r>
    </w:p>
    <w:p w:rsidR="00D3561A" w:rsidRPr="008E5027" w:rsidRDefault="00365506" w:rsidP="00DF33A5">
      <w:pPr>
        <w:pStyle w:val="Heading1"/>
        <w:keepNext/>
        <w:spacing w:before="240"/>
      </w:pPr>
      <w:r w:rsidRPr="00F206B8">
        <w:rPr>
          <w:lang w:val="fr-FR"/>
        </w:rPr>
        <w:t>Tableau</w:t>
      </w:r>
      <w:r w:rsidRPr="00C478E4">
        <w:t xml:space="preserve"> </w:t>
      </w:r>
      <w:r w:rsidR="00D3561A" w:rsidRPr="008E5027">
        <w:t>19</w:t>
      </w:r>
    </w:p>
    <w:p w:rsidR="00D3561A" w:rsidRPr="008E5027" w:rsidRDefault="008F55B7" w:rsidP="00AC5677">
      <w:pPr>
        <w:pStyle w:val="SingleTxtG"/>
        <w:keepNext/>
        <w:spacing w:after="0"/>
        <w:jc w:val="left"/>
        <w:rPr>
          <w:b/>
        </w:rPr>
      </w:pPr>
      <w:r w:rsidRPr="008F55B7">
        <w:rPr>
          <w:b/>
          <w:lang w:val="fr-FR"/>
        </w:rPr>
        <w:t>É</w:t>
      </w:r>
      <w:r w:rsidR="00C478E4" w:rsidRPr="00C478E4">
        <w:rPr>
          <w:b/>
          <w:bCs/>
          <w:lang w:val="fr-FR"/>
        </w:rPr>
        <w:t>tablissements scolaires élémentaires et secondaires de premier cycle</w:t>
      </w:r>
      <w:r w:rsidR="00D3561A" w:rsidRPr="008E5027">
        <w:t>*</w:t>
      </w:r>
    </w:p>
    <w:p w:rsidR="00D3561A" w:rsidRPr="00D74CA4" w:rsidRDefault="00C478E4" w:rsidP="003061D0">
      <w:pPr>
        <w:pStyle w:val="SingleTxtG"/>
        <w:keepNext/>
        <w:tabs>
          <w:tab w:val="left" w:pos="5443"/>
        </w:tabs>
        <w:jc w:val="left"/>
        <w:rPr>
          <w:sz w:val="16"/>
          <w:szCs w:val="16"/>
          <w:lang w:val="es-ES"/>
        </w:rPr>
      </w:pPr>
      <w:r w:rsidRPr="00C478E4">
        <w:rPr>
          <w:sz w:val="16"/>
          <w:szCs w:val="16"/>
          <w:lang w:val="fr-FR"/>
        </w:rPr>
        <w:t>(classes spécialisées) environ 97.000 élèves</w:t>
      </w:r>
      <w:r w:rsidR="00D3561A" w:rsidRPr="00D74CA4">
        <w:rPr>
          <w:sz w:val="16"/>
          <w:szCs w:val="16"/>
          <w:lang w:val="es-ES"/>
        </w:rPr>
        <w:tab/>
      </w:r>
      <w:r w:rsidR="007B59A2" w:rsidRPr="007B59A2">
        <w:rPr>
          <w:sz w:val="16"/>
          <w:szCs w:val="16"/>
          <w:lang w:val="fr-FR"/>
        </w:rPr>
        <w:t>(classes adaptées) environ 39</w:t>
      </w:r>
      <w:r w:rsidR="007B59A2">
        <w:rPr>
          <w:sz w:val="16"/>
          <w:szCs w:val="16"/>
          <w:lang w:val="fr-FR"/>
        </w:rPr>
        <w:t>.</w:t>
      </w:r>
      <w:r w:rsidR="007B59A2" w:rsidRPr="007B59A2">
        <w:rPr>
          <w:sz w:val="16"/>
          <w:szCs w:val="16"/>
          <w:lang w:val="fr-FR"/>
        </w:rPr>
        <w:t>000 élèves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80"/>
        <w:gridCol w:w="1204"/>
        <w:gridCol w:w="1309"/>
        <w:gridCol w:w="119"/>
        <w:gridCol w:w="1889"/>
        <w:gridCol w:w="1169"/>
      </w:tblGrid>
      <w:tr w:rsidR="00D3561A" w:rsidRPr="008E5027" w:rsidTr="000413E3">
        <w:trPr>
          <w:tblHeader/>
        </w:trPr>
        <w:tc>
          <w:tcPr>
            <w:tcW w:w="1680" w:type="dxa"/>
            <w:tcBorders>
              <w:top w:val="single" w:sz="4" w:space="0" w:color="auto"/>
              <w:bottom w:val="single" w:sz="12" w:space="0" w:color="auto"/>
            </w:tcBorders>
            <w:shd w:val="clear" w:color="auto" w:fill="auto"/>
            <w:vAlign w:val="bottom"/>
          </w:tcPr>
          <w:p w:rsidR="00D3561A" w:rsidRPr="008E5027" w:rsidRDefault="000413E3" w:rsidP="00D3561A">
            <w:pPr>
              <w:spacing w:before="80" w:after="80" w:line="200" w:lineRule="exact"/>
              <w:rPr>
                <w:i/>
                <w:sz w:val="16"/>
              </w:rPr>
            </w:pPr>
            <w:r w:rsidRPr="000413E3">
              <w:rPr>
                <w:i/>
                <w:sz w:val="16"/>
                <w:lang w:val="fr-FR"/>
              </w:rPr>
              <w:t>Type de handicap</w:t>
            </w:r>
          </w:p>
        </w:tc>
        <w:tc>
          <w:tcPr>
            <w:tcW w:w="1204" w:type="dxa"/>
            <w:tcBorders>
              <w:top w:val="single" w:sz="4" w:space="0" w:color="auto"/>
              <w:bottom w:val="single" w:sz="12" w:space="0" w:color="auto"/>
            </w:tcBorders>
            <w:shd w:val="clear" w:color="auto" w:fill="auto"/>
            <w:vAlign w:val="bottom"/>
          </w:tcPr>
          <w:p w:rsidR="00D3561A" w:rsidRPr="008E5027" w:rsidRDefault="000413E3" w:rsidP="000413E3">
            <w:pPr>
              <w:spacing w:before="80" w:after="80" w:line="200" w:lineRule="exact"/>
              <w:jc w:val="right"/>
              <w:rPr>
                <w:i/>
                <w:sz w:val="16"/>
              </w:rPr>
            </w:pPr>
            <w:r w:rsidRPr="000413E3">
              <w:rPr>
                <w:i/>
                <w:sz w:val="16"/>
                <w:lang w:val="fr-FR"/>
              </w:rPr>
              <w:t>Nombre de classes</w:t>
            </w:r>
          </w:p>
        </w:tc>
        <w:tc>
          <w:tcPr>
            <w:tcW w:w="1309" w:type="dxa"/>
            <w:tcBorders>
              <w:top w:val="single" w:sz="4" w:space="0" w:color="auto"/>
              <w:bottom w:val="single" w:sz="12" w:space="0" w:color="auto"/>
            </w:tcBorders>
            <w:shd w:val="clear" w:color="auto" w:fill="auto"/>
            <w:vAlign w:val="bottom"/>
          </w:tcPr>
          <w:p w:rsidR="00D3561A" w:rsidRPr="008E5027" w:rsidRDefault="000413E3" w:rsidP="000413E3">
            <w:pPr>
              <w:spacing w:before="80" w:after="80" w:line="200" w:lineRule="exact"/>
              <w:jc w:val="right"/>
              <w:rPr>
                <w:i/>
                <w:sz w:val="16"/>
              </w:rPr>
            </w:pPr>
            <w:r w:rsidRPr="000413E3">
              <w:rPr>
                <w:i/>
                <w:sz w:val="16"/>
                <w:lang w:val="fr-FR"/>
              </w:rPr>
              <w:t>Nombre d</w:t>
            </w:r>
            <w:r w:rsidR="00277023">
              <w:rPr>
                <w:i/>
                <w:sz w:val="16"/>
                <w:lang w:val="fr-FR"/>
              </w:rPr>
              <w:t>’</w:t>
            </w:r>
            <w:r w:rsidRPr="000413E3">
              <w:rPr>
                <w:i/>
                <w:sz w:val="16"/>
                <w:lang w:val="fr-FR"/>
              </w:rPr>
              <w:t>enfants</w:t>
            </w:r>
          </w:p>
        </w:tc>
        <w:tc>
          <w:tcPr>
            <w:tcW w:w="119" w:type="dxa"/>
            <w:shd w:val="clear" w:color="auto" w:fill="auto"/>
            <w:vAlign w:val="bottom"/>
          </w:tcPr>
          <w:p w:rsidR="00D3561A" w:rsidRPr="008E5027" w:rsidRDefault="00D3561A" w:rsidP="00D3561A">
            <w:pPr>
              <w:spacing w:before="80" w:after="80" w:line="200" w:lineRule="exact"/>
              <w:jc w:val="right"/>
              <w:rPr>
                <w:i/>
                <w:sz w:val="16"/>
              </w:rPr>
            </w:pPr>
          </w:p>
        </w:tc>
        <w:tc>
          <w:tcPr>
            <w:tcW w:w="1889" w:type="dxa"/>
            <w:tcBorders>
              <w:top w:val="single" w:sz="4" w:space="0" w:color="auto"/>
              <w:bottom w:val="single" w:sz="12" w:space="0" w:color="auto"/>
            </w:tcBorders>
            <w:shd w:val="clear" w:color="auto" w:fill="auto"/>
            <w:vAlign w:val="bottom"/>
          </w:tcPr>
          <w:p w:rsidR="00D3561A" w:rsidRPr="008E5027" w:rsidRDefault="000413E3" w:rsidP="00DF0487">
            <w:pPr>
              <w:spacing w:before="80" w:after="80" w:line="200" w:lineRule="exact"/>
              <w:rPr>
                <w:i/>
                <w:sz w:val="16"/>
              </w:rPr>
            </w:pPr>
            <w:r w:rsidRPr="000413E3">
              <w:rPr>
                <w:i/>
                <w:sz w:val="16"/>
                <w:lang w:val="fr-FR"/>
              </w:rPr>
              <w:t>Type de handicap</w:t>
            </w:r>
          </w:p>
        </w:tc>
        <w:tc>
          <w:tcPr>
            <w:tcW w:w="1169" w:type="dxa"/>
            <w:tcBorders>
              <w:top w:val="single" w:sz="4" w:space="0" w:color="auto"/>
              <w:bottom w:val="single" w:sz="12" w:space="0" w:color="auto"/>
            </w:tcBorders>
            <w:shd w:val="clear" w:color="auto" w:fill="auto"/>
            <w:vAlign w:val="bottom"/>
          </w:tcPr>
          <w:p w:rsidR="00D3561A" w:rsidRPr="008E5027" w:rsidRDefault="000413E3" w:rsidP="00D3561A">
            <w:pPr>
              <w:spacing w:before="80" w:after="80" w:line="200" w:lineRule="exact"/>
              <w:jc w:val="right"/>
              <w:rPr>
                <w:i/>
                <w:sz w:val="16"/>
              </w:rPr>
            </w:pPr>
            <w:r w:rsidRPr="000413E3">
              <w:rPr>
                <w:i/>
                <w:sz w:val="16"/>
                <w:lang w:val="fr-FR"/>
              </w:rPr>
              <w:t>Nombre d</w:t>
            </w:r>
            <w:r w:rsidR="00277023">
              <w:rPr>
                <w:i/>
                <w:sz w:val="16"/>
                <w:lang w:val="fr-FR"/>
              </w:rPr>
              <w:t>’</w:t>
            </w:r>
            <w:r w:rsidRPr="000413E3">
              <w:rPr>
                <w:i/>
                <w:sz w:val="16"/>
                <w:lang w:val="fr-FR"/>
              </w:rPr>
              <w:t>enfants</w:t>
            </w:r>
          </w:p>
        </w:tc>
      </w:tr>
      <w:tr w:rsidR="00D3561A" w:rsidRPr="008E5027" w:rsidTr="000413E3">
        <w:tc>
          <w:tcPr>
            <w:tcW w:w="1680" w:type="dxa"/>
            <w:tcBorders>
              <w:top w:val="single" w:sz="12" w:space="0" w:color="auto"/>
            </w:tcBorders>
            <w:shd w:val="clear" w:color="auto" w:fill="auto"/>
            <w:vAlign w:val="bottom"/>
          </w:tcPr>
          <w:p w:rsidR="00D3561A" w:rsidRPr="008E5027" w:rsidRDefault="000413E3" w:rsidP="000413E3">
            <w:pPr>
              <w:overflowPunct w:val="0"/>
              <w:adjustRightInd w:val="0"/>
              <w:spacing w:before="40" w:after="40" w:line="220" w:lineRule="exact"/>
              <w:textAlignment w:val="baseline"/>
              <w:rPr>
                <w:sz w:val="18"/>
              </w:rPr>
            </w:pPr>
            <w:r w:rsidRPr="000413E3">
              <w:rPr>
                <w:sz w:val="18"/>
                <w:lang w:val="fr-FR"/>
              </w:rPr>
              <w:t>Handicap mental</w:t>
            </w:r>
          </w:p>
        </w:tc>
        <w:tc>
          <w:tcPr>
            <w:tcW w:w="1204" w:type="dxa"/>
            <w:tcBorders>
              <w:top w:val="single" w:sz="12" w:space="0" w:color="auto"/>
            </w:tcBorders>
            <w:shd w:val="clear" w:color="auto" w:fill="auto"/>
            <w:vAlign w:val="bottom"/>
          </w:tcPr>
          <w:p w:rsidR="00D3561A" w:rsidRPr="008E5027" w:rsidRDefault="00D3561A" w:rsidP="000413E3">
            <w:pPr>
              <w:suppressAutoHyphens w:val="0"/>
              <w:spacing w:before="40" w:after="40" w:line="220" w:lineRule="exact"/>
              <w:jc w:val="right"/>
              <w:rPr>
                <w:sz w:val="18"/>
              </w:rPr>
            </w:pPr>
            <w:r w:rsidRPr="008E5027">
              <w:rPr>
                <w:sz w:val="18"/>
              </w:rPr>
              <w:t>19 191</w:t>
            </w:r>
          </w:p>
        </w:tc>
        <w:tc>
          <w:tcPr>
            <w:tcW w:w="1309" w:type="dxa"/>
            <w:tcBorders>
              <w:top w:val="single" w:sz="12" w:space="0" w:color="auto"/>
            </w:tcBorders>
            <w:shd w:val="clear" w:color="auto" w:fill="auto"/>
            <w:vAlign w:val="bottom"/>
          </w:tcPr>
          <w:p w:rsidR="00D3561A" w:rsidRPr="008E5027" w:rsidRDefault="00D3561A" w:rsidP="000413E3">
            <w:pPr>
              <w:suppressAutoHyphens w:val="0"/>
              <w:spacing w:before="40" w:after="40" w:line="220" w:lineRule="exact"/>
              <w:jc w:val="right"/>
              <w:rPr>
                <w:sz w:val="18"/>
              </w:rPr>
            </w:pPr>
            <w:r w:rsidRPr="008E5027">
              <w:rPr>
                <w:sz w:val="18"/>
              </w:rPr>
              <w:t>59 749</w:t>
            </w:r>
          </w:p>
        </w:tc>
        <w:tc>
          <w:tcPr>
            <w:tcW w:w="119" w:type="dxa"/>
            <w:shd w:val="clear" w:color="auto" w:fill="auto"/>
            <w:vAlign w:val="bottom"/>
          </w:tcPr>
          <w:p w:rsidR="00D3561A" w:rsidRPr="008E5027" w:rsidRDefault="00D3561A" w:rsidP="00D3561A">
            <w:pPr>
              <w:suppressAutoHyphens w:val="0"/>
              <w:spacing w:before="40" w:after="40" w:line="220" w:lineRule="exact"/>
              <w:jc w:val="right"/>
              <w:rPr>
                <w:sz w:val="18"/>
              </w:rPr>
            </w:pPr>
          </w:p>
        </w:tc>
        <w:tc>
          <w:tcPr>
            <w:tcW w:w="1889" w:type="dxa"/>
            <w:tcBorders>
              <w:top w:val="single" w:sz="12" w:space="0" w:color="auto"/>
            </w:tcBorders>
            <w:shd w:val="clear" w:color="auto" w:fill="auto"/>
            <w:vAlign w:val="bottom"/>
          </w:tcPr>
          <w:p w:rsidR="00D3561A" w:rsidRPr="008E5027" w:rsidRDefault="000413E3" w:rsidP="000413E3">
            <w:pPr>
              <w:overflowPunct w:val="0"/>
              <w:adjustRightInd w:val="0"/>
              <w:spacing w:before="40" w:after="40" w:line="220" w:lineRule="exact"/>
              <w:textAlignment w:val="baseline"/>
              <w:rPr>
                <w:sz w:val="18"/>
              </w:rPr>
            </w:pPr>
            <w:r w:rsidRPr="000413E3">
              <w:rPr>
                <w:sz w:val="18"/>
                <w:lang w:val="fr-FR"/>
              </w:rPr>
              <w:t>Troubles du langage</w:t>
            </w:r>
          </w:p>
        </w:tc>
        <w:tc>
          <w:tcPr>
            <w:tcW w:w="1169" w:type="dxa"/>
            <w:tcBorders>
              <w:top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29 907</w:t>
            </w:r>
          </w:p>
        </w:tc>
      </w:tr>
      <w:tr w:rsidR="00D3561A" w:rsidRPr="008E5027" w:rsidTr="000413E3">
        <w:tc>
          <w:tcPr>
            <w:tcW w:w="1680" w:type="dxa"/>
            <w:shd w:val="clear" w:color="auto" w:fill="auto"/>
            <w:vAlign w:val="bottom"/>
          </w:tcPr>
          <w:p w:rsidR="00D3561A" w:rsidRPr="008E5027" w:rsidRDefault="000413E3" w:rsidP="000413E3">
            <w:pPr>
              <w:overflowPunct w:val="0"/>
              <w:adjustRightInd w:val="0"/>
              <w:spacing w:before="40" w:after="40" w:line="220" w:lineRule="exact"/>
              <w:textAlignment w:val="baseline"/>
              <w:rPr>
                <w:sz w:val="18"/>
              </w:rPr>
            </w:pPr>
            <w:r w:rsidRPr="000413E3">
              <w:rPr>
                <w:sz w:val="18"/>
                <w:lang w:val="fr-FR"/>
              </w:rPr>
              <w:t>Handicap physique</w:t>
            </w:r>
          </w:p>
        </w:tc>
        <w:tc>
          <w:tcPr>
            <w:tcW w:w="1204" w:type="dxa"/>
            <w:shd w:val="clear" w:color="auto" w:fill="auto"/>
            <w:vAlign w:val="bottom"/>
          </w:tcPr>
          <w:p w:rsidR="00D3561A" w:rsidRPr="008E5027" w:rsidRDefault="00D3561A" w:rsidP="000413E3">
            <w:pPr>
              <w:suppressAutoHyphens w:val="0"/>
              <w:spacing w:before="40" w:after="40" w:line="220" w:lineRule="exact"/>
              <w:jc w:val="right"/>
              <w:rPr>
                <w:sz w:val="18"/>
              </w:rPr>
            </w:pPr>
            <w:r w:rsidRPr="008E5027">
              <w:rPr>
                <w:sz w:val="18"/>
              </w:rPr>
              <w:t>2 202</w:t>
            </w:r>
          </w:p>
        </w:tc>
        <w:tc>
          <w:tcPr>
            <w:tcW w:w="1309" w:type="dxa"/>
            <w:shd w:val="clear" w:color="auto" w:fill="auto"/>
            <w:vAlign w:val="bottom"/>
          </w:tcPr>
          <w:p w:rsidR="00D3561A" w:rsidRPr="008E5027" w:rsidRDefault="00D3561A" w:rsidP="000413E3">
            <w:pPr>
              <w:suppressAutoHyphens w:val="0"/>
              <w:spacing w:before="40" w:after="40" w:line="220" w:lineRule="exact"/>
              <w:jc w:val="right"/>
              <w:rPr>
                <w:sz w:val="18"/>
              </w:rPr>
            </w:pPr>
            <w:r w:rsidRPr="008E5027">
              <w:rPr>
                <w:sz w:val="18"/>
              </w:rPr>
              <w:t>3 748</w:t>
            </w:r>
          </w:p>
        </w:tc>
        <w:tc>
          <w:tcPr>
            <w:tcW w:w="119" w:type="dxa"/>
            <w:shd w:val="clear" w:color="auto" w:fill="auto"/>
            <w:vAlign w:val="bottom"/>
          </w:tcPr>
          <w:p w:rsidR="00D3561A" w:rsidRPr="008E5027" w:rsidRDefault="00D3561A" w:rsidP="00D3561A">
            <w:pPr>
              <w:suppressAutoHyphens w:val="0"/>
              <w:spacing w:before="40" w:after="40" w:line="220" w:lineRule="exact"/>
              <w:jc w:val="right"/>
              <w:rPr>
                <w:sz w:val="18"/>
              </w:rPr>
            </w:pPr>
          </w:p>
        </w:tc>
        <w:tc>
          <w:tcPr>
            <w:tcW w:w="1889" w:type="dxa"/>
            <w:shd w:val="clear" w:color="auto" w:fill="auto"/>
            <w:vAlign w:val="bottom"/>
          </w:tcPr>
          <w:p w:rsidR="00D3561A" w:rsidRPr="008E5027" w:rsidRDefault="000413E3" w:rsidP="000413E3">
            <w:pPr>
              <w:overflowPunct w:val="0"/>
              <w:adjustRightInd w:val="0"/>
              <w:spacing w:before="40" w:after="40" w:line="220" w:lineRule="exact"/>
              <w:textAlignment w:val="baseline"/>
              <w:rPr>
                <w:sz w:val="18"/>
              </w:rPr>
            </w:pPr>
            <w:r w:rsidRPr="000413E3">
              <w:rPr>
                <w:sz w:val="18"/>
                <w:lang w:val="fr-FR"/>
              </w:rPr>
              <w:t>Troubles émotionnels</w:t>
            </w:r>
          </w:p>
        </w:tc>
        <w:tc>
          <w:tcPr>
            <w:tcW w:w="1169" w:type="dxa"/>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6 836</w:t>
            </w:r>
          </w:p>
        </w:tc>
      </w:tr>
      <w:tr w:rsidR="000413E3" w:rsidRPr="008E5027" w:rsidTr="000413E3">
        <w:tc>
          <w:tcPr>
            <w:tcW w:w="1680" w:type="dxa"/>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Santé déficiente</w:t>
            </w:r>
          </w:p>
        </w:tc>
        <w:tc>
          <w:tcPr>
            <w:tcW w:w="1204" w:type="dxa"/>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901</w:t>
            </w:r>
          </w:p>
        </w:tc>
        <w:tc>
          <w:tcPr>
            <w:tcW w:w="1309" w:type="dxa"/>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1 696</w:t>
            </w:r>
          </w:p>
        </w:tc>
        <w:tc>
          <w:tcPr>
            <w:tcW w:w="119" w:type="dxa"/>
            <w:shd w:val="clear" w:color="auto" w:fill="auto"/>
            <w:vAlign w:val="bottom"/>
          </w:tcPr>
          <w:p w:rsidR="000413E3" w:rsidRPr="008E5027" w:rsidRDefault="000413E3" w:rsidP="00D3561A">
            <w:pPr>
              <w:suppressAutoHyphens w:val="0"/>
              <w:spacing w:before="40" w:after="40" w:line="220" w:lineRule="exact"/>
              <w:jc w:val="right"/>
              <w:rPr>
                <w:sz w:val="18"/>
              </w:rPr>
            </w:pPr>
          </w:p>
        </w:tc>
        <w:tc>
          <w:tcPr>
            <w:tcW w:w="1889" w:type="dxa"/>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Problèmes de vision</w:t>
            </w:r>
          </w:p>
        </w:tc>
        <w:tc>
          <w:tcPr>
            <w:tcW w:w="1169" w:type="dxa"/>
            <w:shd w:val="clear" w:color="auto" w:fill="auto"/>
            <w:vAlign w:val="bottom"/>
          </w:tcPr>
          <w:p w:rsidR="000413E3" w:rsidRPr="008E5027" w:rsidRDefault="000413E3" w:rsidP="00D3561A">
            <w:pPr>
              <w:suppressAutoHyphens w:val="0"/>
              <w:spacing w:before="40" w:after="40" w:line="220" w:lineRule="exact"/>
              <w:jc w:val="right"/>
              <w:rPr>
                <w:sz w:val="18"/>
              </w:rPr>
            </w:pPr>
            <w:r w:rsidRPr="008E5027">
              <w:rPr>
                <w:sz w:val="18"/>
              </w:rPr>
              <w:t>158</w:t>
            </w:r>
          </w:p>
        </w:tc>
      </w:tr>
      <w:tr w:rsidR="000413E3" w:rsidRPr="008E5027" w:rsidTr="000413E3">
        <w:tc>
          <w:tcPr>
            <w:tcW w:w="1680" w:type="dxa"/>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Problèmes de vision</w:t>
            </w:r>
          </w:p>
        </w:tc>
        <w:tc>
          <w:tcPr>
            <w:tcW w:w="1204" w:type="dxa"/>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226</w:t>
            </w:r>
          </w:p>
        </w:tc>
        <w:tc>
          <w:tcPr>
            <w:tcW w:w="1309" w:type="dxa"/>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295</w:t>
            </w:r>
          </w:p>
        </w:tc>
        <w:tc>
          <w:tcPr>
            <w:tcW w:w="119" w:type="dxa"/>
            <w:shd w:val="clear" w:color="auto" w:fill="auto"/>
            <w:vAlign w:val="bottom"/>
          </w:tcPr>
          <w:p w:rsidR="000413E3" w:rsidRPr="008E5027" w:rsidRDefault="000413E3" w:rsidP="00D3561A">
            <w:pPr>
              <w:suppressAutoHyphens w:val="0"/>
              <w:spacing w:before="40" w:after="40" w:line="220" w:lineRule="exact"/>
              <w:jc w:val="right"/>
              <w:rPr>
                <w:sz w:val="18"/>
              </w:rPr>
            </w:pPr>
          </w:p>
        </w:tc>
        <w:tc>
          <w:tcPr>
            <w:tcW w:w="1889" w:type="dxa"/>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Problèmes d</w:t>
            </w:r>
            <w:r w:rsidR="00277023">
              <w:rPr>
                <w:sz w:val="18"/>
                <w:szCs w:val="18"/>
              </w:rPr>
              <w:t>’</w:t>
            </w:r>
            <w:r w:rsidRPr="000413E3">
              <w:rPr>
                <w:sz w:val="18"/>
                <w:szCs w:val="18"/>
              </w:rPr>
              <w:t>audition</w:t>
            </w:r>
          </w:p>
        </w:tc>
        <w:tc>
          <w:tcPr>
            <w:tcW w:w="1169" w:type="dxa"/>
            <w:shd w:val="clear" w:color="auto" w:fill="auto"/>
            <w:vAlign w:val="bottom"/>
          </w:tcPr>
          <w:p w:rsidR="000413E3" w:rsidRPr="008E5027" w:rsidRDefault="000413E3" w:rsidP="00D3561A">
            <w:pPr>
              <w:suppressAutoHyphens w:val="0"/>
              <w:spacing w:before="40" w:after="40" w:line="220" w:lineRule="exact"/>
              <w:jc w:val="right"/>
              <w:rPr>
                <w:sz w:val="18"/>
              </w:rPr>
            </w:pPr>
            <w:r w:rsidRPr="008E5027">
              <w:rPr>
                <w:sz w:val="18"/>
              </w:rPr>
              <w:t>1 816</w:t>
            </w:r>
          </w:p>
        </w:tc>
      </w:tr>
      <w:tr w:rsidR="000413E3" w:rsidRPr="008E5027" w:rsidTr="000413E3">
        <w:tc>
          <w:tcPr>
            <w:tcW w:w="1680" w:type="dxa"/>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Problèmes d</w:t>
            </w:r>
            <w:r w:rsidR="00277023">
              <w:rPr>
                <w:sz w:val="18"/>
                <w:szCs w:val="18"/>
              </w:rPr>
              <w:t>’</w:t>
            </w:r>
            <w:r w:rsidRPr="000413E3">
              <w:rPr>
                <w:sz w:val="18"/>
                <w:szCs w:val="18"/>
              </w:rPr>
              <w:t>audition</w:t>
            </w:r>
          </w:p>
        </w:tc>
        <w:tc>
          <w:tcPr>
            <w:tcW w:w="1204" w:type="dxa"/>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632</w:t>
            </w:r>
          </w:p>
        </w:tc>
        <w:tc>
          <w:tcPr>
            <w:tcW w:w="1309" w:type="dxa"/>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1 158</w:t>
            </w:r>
          </w:p>
        </w:tc>
        <w:tc>
          <w:tcPr>
            <w:tcW w:w="119" w:type="dxa"/>
            <w:shd w:val="clear" w:color="auto" w:fill="auto"/>
            <w:vAlign w:val="bottom"/>
          </w:tcPr>
          <w:p w:rsidR="000413E3" w:rsidRPr="008E5027" w:rsidRDefault="000413E3" w:rsidP="00D3561A">
            <w:pPr>
              <w:suppressAutoHyphens w:val="0"/>
              <w:spacing w:before="40" w:after="40" w:line="220" w:lineRule="exact"/>
              <w:jc w:val="right"/>
              <w:rPr>
                <w:sz w:val="18"/>
              </w:rPr>
            </w:pPr>
          </w:p>
        </w:tc>
        <w:tc>
          <w:tcPr>
            <w:tcW w:w="1889" w:type="dxa"/>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Handicap physique</w:t>
            </w:r>
          </w:p>
        </w:tc>
        <w:tc>
          <w:tcPr>
            <w:tcW w:w="1169" w:type="dxa"/>
            <w:shd w:val="clear" w:color="auto" w:fill="auto"/>
            <w:vAlign w:val="bottom"/>
          </w:tcPr>
          <w:p w:rsidR="000413E3" w:rsidRPr="008E5027" w:rsidRDefault="000413E3" w:rsidP="00D3561A">
            <w:pPr>
              <w:suppressAutoHyphens w:val="0"/>
              <w:spacing w:before="40" w:after="40" w:line="220" w:lineRule="exact"/>
              <w:jc w:val="right"/>
              <w:rPr>
                <w:sz w:val="18"/>
              </w:rPr>
            </w:pPr>
            <w:r w:rsidRPr="008E5027">
              <w:rPr>
                <w:sz w:val="18"/>
              </w:rPr>
              <w:t>5</w:t>
            </w:r>
          </w:p>
        </w:tc>
      </w:tr>
      <w:tr w:rsidR="000413E3" w:rsidRPr="008E5027" w:rsidTr="000413E3">
        <w:tc>
          <w:tcPr>
            <w:tcW w:w="1680" w:type="dxa"/>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Troubles du langage</w:t>
            </w:r>
          </w:p>
        </w:tc>
        <w:tc>
          <w:tcPr>
            <w:tcW w:w="1204" w:type="dxa"/>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359</w:t>
            </w:r>
          </w:p>
        </w:tc>
        <w:tc>
          <w:tcPr>
            <w:tcW w:w="1309" w:type="dxa"/>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1 241</w:t>
            </w:r>
          </w:p>
        </w:tc>
        <w:tc>
          <w:tcPr>
            <w:tcW w:w="119" w:type="dxa"/>
            <w:shd w:val="clear" w:color="auto" w:fill="auto"/>
            <w:vAlign w:val="bottom"/>
          </w:tcPr>
          <w:p w:rsidR="000413E3" w:rsidRPr="008E5027" w:rsidRDefault="000413E3" w:rsidP="00D3561A">
            <w:pPr>
              <w:suppressAutoHyphens w:val="0"/>
              <w:spacing w:before="40" w:after="40" w:line="220" w:lineRule="exact"/>
              <w:jc w:val="right"/>
              <w:rPr>
                <w:sz w:val="18"/>
              </w:rPr>
            </w:pPr>
          </w:p>
        </w:tc>
        <w:tc>
          <w:tcPr>
            <w:tcW w:w="1889" w:type="dxa"/>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Problèmes de santé</w:t>
            </w:r>
          </w:p>
        </w:tc>
        <w:tc>
          <w:tcPr>
            <w:tcW w:w="1169" w:type="dxa"/>
            <w:shd w:val="clear" w:color="auto" w:fill="auto"/>
            <w:vAlign w:val="bottom"/>
          </w:tcPr>
          <w:p w:rsidR="000413E3" w:rsidRPr="008E5027" w:rsidRDefault="000413E3" w:rsidP="00D3561A">
            <w:pPr>
              <w:suppressAutoHyphens w:val="0"/>
              <w:spacing w:before="40" w:after="40" w:line="220" w:lineRule="exact"/>
              <w:jc w:val="right"/>
              <w:rPr>
                <w:sz w:val="18"/>
              </w:rPr>
            </w:pPr>
            <w:r w:rsidRPr="008E5027">
              <w:rPr>
                <w:sz w:val="18"/>
              </w:rPr>
              <w:t>16</w:t>
            </w:r>
          </w:p>
        </w:tc>
      </w:tr>
      <w:tr w:rsidR="000413E3" w:rsidRPr="008E5027" w:rsidTr="000413E3">
        <w:tc>
          <w:tcPr>
            <w:tcW w:w="1680" w:type="dxa"/>
            <w:tcBorders>
              <w:bottom w:val="single" w:sz="4" w:space="0" w:color="auto"/>
            </w:tcBorders>
            <w:shd w:val="clear" w:color="auto" w:fill="auto"/>
            <w:vAlign w:val="bottom"/>
          </w:tcPr>
          <w:p w:rsidR="000413E3" w:rsidRPr="000413E3" w:rsidRDefault="000413E3" w:rsidP="000413E3">
            <w:pPr>
              <w:overflowPunct w:val="0"/>
              <w:adjustRightInd w:val="0"/>
              <w:spacing w:before="40" w:after="40" w:line="220" w:lineRule="exact"/>
              <w:textAlignment w:val="baseline"/>
              <w:rPr>
                <w:sz w:val="18"/>
                <w:szCs w:val="18"/>
              </w:rPr>
            </w:pPr>
            <w:r w:rsidRPr="000413E3">
              <w:rPr>
                <w:sz w:val="18"/>
                <w:szCs w:val="18"/>
              </w:rPr>
              <w:t>Troubles émotionnels</w:t>
            </w:r>
          </w:p>
        </w:tc>
        <w:tc>
          <w:tcPr>
            <w:tcW w:w="1204" w:type="dxa"/>
            <w:tcBorders>
              <w:bottom w:val="single" w:sz="4" w:space="0" w:color="auto"/>
            </w:tcBorders>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10 503</w:t>
            </w:r>
          </w:p>
        </w:tc>
        <w:tc>
          <w:tcPr>
            <w:tcW w:w="1309" w:type="dxa"/>
            <w:tcBorders>
              <w:bottom w:val="single" w:sz="4" w:space="0" w:color="auto"/>
            </w:tcBorders>
            <w:shd w:val="clear" w:color="auto" w:fill="auto"/>
            <w:vAlign w:val="bottom"/>
          </w:tcPr>
          <w:p w:rsidR="000413E3" w:rsidRPr="008E5027" w:rsidRDefault="000413E3" w:rsidP="000413E3">
            <w:pPr>
              <w:suppressAutoHyphens w:val="0"/>
              <w:spacing w:before="40" w:after="40" w:line="220" w:lineRule="exact"/>
              <w:jc w:val="right"/>
              <w:rPr>
                <w:sz w:val="18"/>
              </w:rPr>
            </w:pPr>
            <w:r w:rsidRPr="008E5027">
              <w:rPr>
                <w:sz w:val="18"/>
              </w:rPr>
              <w:t>28 924</w:t>
            </w:r>
          </w:p>
        </w:tc>
        <w:tc>
          <w:tcPr>
            <w:tcW w:w="119" w:type="dxa"/>
            <w:shd w:val="clear" w:color="auto" w:fill="auto"/>
            <w:vAlign w:val="bottom"/>
          </w:tcPr>
          <w:p w:rsidR="000413E3" w:rsidRPr="008E5027" w:rsidRDefault="000413E3" w:rsidP="00D3561A">
            <w:pPr>
              <w:suppressAutoHyphens w:val="0"/>
              <w:spacing w:before="40" w:after="40" w:line="220" w:lineRule="exact"/>
              <w:jc w:val="right"/>
              <w:rPr>
                <w:sz w:val="18"/>
              </w:rPr>
            </w:pPr>
          </w:p>
        </w:tc>
        <w:tc>
          <w:tcPr>
            <w:tcW w:w="1889" w:type="dxa"/>
            <w:tcBorders>
              <w:bottom w:val="single" w:sz="4" w:space="0" w:color="auto"/>
            </w:tcBorders>
            <w:shd w:val="clear" w:color="auto" w:fill="auto"/>
            <w:vAlign w:val="bottom"/>
          </w:tcPr>
          <w:p w:rsidR="000413E3" w:rsidRPr="008E5027" w:rsidRDefault="000413E3" w:rsidP="00D3561A">
            <w:pPr>
              <w:tabs>
                <w:tab w:val="left" w:pos="284"/>
              </w:tabs>
              <w:suppressAutoHyphens w:val="0"/>
              <w:spacing w:before="40" w:after="40" w:line="220" w:lineRule="exact"/>
              <w:rPr>
                <w:b/>
                <w:sz w:val="18"/>
              </w:rPr>
            </w:pPr>
          </w:p>
        </w:tc>
        <w:tc>
          <w:tcPr>
            <w:tcW w:w="1169" w:type="dxa"/>
            <w:tcBorders>
              <w:bottom w:val="single" w:sz="4" w:space="0" w:color="auto"/>
            </w:tcBorders>
            <w:shd w:val="clear" w:color="auto" w:fill="auto"/>
            <w:vAlign w:val="bottom"/>
          </w:tcPr>
          <w:p w:rsidR="000413E3" w:rsidRPr="008E5027" w:rsidRDefault="000413E3" w:rsidP="00D3561A">
            <w:pPr>
              <w:suppressAutoHyphens w:val="0"/>
              <w:spacing w:before="40" w:after="40" w:line="220" w:lineRule="exact"/>
              <w:jc w:val="right"/>
              <w:rPr>
                <w:b/>
                <w:sz w:val="18"/>
              </w:rPr>
            </w:pPr>
          </w:p>
        </w:tc>
      </w:tr>
      <w:tr w:rsidR="00364167" w:rsidRPr="008E5027" w:rsidTr="000413E3">
        <w:tc>
          <w:tcPr>
            <w:tcW w:w="1680" w:type="dxa"/>
            <w:tcBorders>
              <w:top w:val="single" w:sz="4" w:space="0" w:color="auto"/>
              <w:bottom w:val="single" w:sz="12" w:space="0" w:color="auto"/>
            </w:tcBorders>
            <w:shd w:val="clear" w:color="auto" w:fill="auto"/>
            <w:vAlign w:val="bottom"/>
          </w:tcPr>
          <w:p w:rsidR="00364167" w:rsidRPr="008E5027" w:rsidRDefault="00364167" w:rsidP="000413E3">
            <w:pPr>
              <w:tabs>
                <w:tab w:val="left" w:pos="284"/>
              </w:tabs>
              <w:suppressAutoHyphens w:val="0"/>
              <w:spacing w:before="80" w:after="80" w:line="220" w:lineRule="exact"/>
              <w:ind w:left="57"/>
              <w:rPr>
                <w:b/>
                <w:sz w:val="18"/>
              </w:rPr>
            </w:pPr>
            <w:r w:rsidRPr="008E5027">
              <w:rPr>
                <w:b/>
                <w:sz w:val="18"/>
              </w:rPr>
              <w:tab/>
              <w:t>Total</w:t>
            </w:r>
          </w:p>
        </w:tc>
        <w:tc>
          <w:tcPr>
            <w:tcW w:w="1204" w:type="dxa"/>
            <w:tcBorders>
              <w:top w:val="single" w:sz="4" w:space="0" w:color="auto"/>
              <w:bottom w:val="single" w:sz="12" w:space="0" w:color="auto"/>
            </w:tcBorders>
            <w:shd w:val="clear" w:color="auto" w:fill="auto"/>
            <w:vAlign w:val="bottom"/>
          </w:tcPr>
          <w:p w:rsidR="00364167" w:rsidRPr="008E5027" w:rsidRDefault="00364167" w:rsidP="000413E3">
            <w:pPr>
              <w:suppressAutoHyphens w:val="0"/>
              <w:spacing w:before="80" w:after="80" w:line="220" w:lineRule="exact"/>
              <w:jc w:val="right"/>
              <w:rPr>
                <w:b/>
                <w:sz w:val="18"/>
              </w:rPr>
            </w:pPr>
            <w:r w:rsidRPr="008E5027">
              <w:rPr>
                <w:b/>
                <w:sz w:val="18"/>
              </w:rPr>
              <w:t>34 014</w:t>
            </w:r>
          </w:p>
        </w:tc>
        <w:tc>
          <w:tcPr>
            <w:tcW w:w="1309" w:type="dxa"/>
            <w:tcBorders>
              <w:top w:val="single" w:sz="4" w:space="0" w:color="auto"/>
              <w:bottom w:val="single" w:sz="12" w:space="0" w:color="auto"/>
            </w:tcBorders>
            <w:shd w:val="clear" w:color="auto" w:fill="auto"/>
            <w:vAlign w:val="bottom"/>
          </w:tcPr>
          <w:p w:rsidR="00364167" w:rsidRPr="008E5027" w:rsidRDefault="00364167" w:rsidP="000413E3">
            <w:pPr>
              <w:suppressAutoHyphens w:val="0"/>
              <w:spacing w:before="80" w:after="80" w:line="220" w:lineRule="exact"/>
              <w:jc w:val="right"/>
              <w:rPr>
                <w:b/>
                <w:sz w:val="18"/>
              </w:rPr>
            </w:pPr>
            <w:r w:rsidRPr="008E5027">
              <w:rPr>
                <w:b/>
                <w:sz w:val="18"/>
              </w:rPr>
              <w:t>96 811</w:t>
            </w:r>
          </w:p>
        </w:tc>
        <w:tc>
          <w:tcPr>
            <w:tcW w:w="119" w:type="dxa"/>
            <w:shd w:val="clear" w:color="auto" w:fill="auto"/>
            <w:vAlign w:val="bottom"/>
          </w:tcPr>
          <w:p w:rsidR="00364167" w:rsidRPr="008E5027" w:rsidRDefault="00364167" w:rsidP="000413E3">
            <w:pPr>
              <w:suppressAutoHyphens w:val="0"/>
              <w:spacing w:before="80" w:after="80" w:line="220" w:lineRule="exact"/>
              <w:jc w:val="right"/>
              <w:rPr>
                <w:sz w:val="18"/>
              </w:rPr>
            </w:pPr>
          </w:p>
        </w:tc>
        <w:tc>
          <w:tcPr>
            <w:tcW w:w="1889" w:type="dxa"/>
            <w:tcBorders>
              <w:top w:val="single" w:sz="4" w:space="0" w:color="auto"/>
              <w:bottom w:val="single" w:sz="12" w:space="0" w:color="auto"/>
            </w:tcBorders>
            <w:shd w:val="clear" w:color="auto" w:fill="auto"/>
            <w:vAlign w:val="bottom"/>
          </w:tcPr>
          <w:p w:rsidR="00364167" w:rsidRPr="008E5027" w:rsidRDefault="00364167" w:rsidP="000413E3">
            <w:pPr>
              <w:tabs>
                <w:tab w:val="left" w:pos="284"/>
              </w:tabs>
              <w:suppressAutoHyphens w:val="0"/>
              <w:spacing w:before="80" w:after="80" w:line="220" w:lineRule="exact"/>
              <w:rPr>
                <w:b/>
                <w:sz w:val="18"/>
              </w:rPr>
            </w:pPr>
            <w:r w:rsidRPr="008E5027">
              <w:rPr>
                <w:b/>
                <w:sz w:val="18"/>
              </w:rPr>
              <w:tab/>
              <w:t>Total</w:t>
            </w:r>
          </w:p>
        </w:tc>
        <w:tc>
          <w:tcPr>
            <w:tcW w:w="1169" w:type="dxa"/>
            <w:tcBorders>
              <w:top w:val="single" w:sz="4" w:space="0" w:color="auto"/>
              <w:bottom w:val="single" w:sz="12" w:space="0" w:color="auto"/>
            </w:tcBorders>
            <w:shd w:val="clear" w:color="auto" w:fill="auto"/>
            <w:vAlign w:val="bottom"/>
          </w:tcPr>
          <w:p w:rsidR="00364167" w:rsidRPr="008E5027" w:rsidRDefault="00364167" w:rsidP="000413E3">
            <w:pPr>
              <w:suppressAutoHyphens w:val="0"/>
              <w:spacing w:before="80" w:after="80" w:line="220" w:lineRule="exact"/>
              <w:jc w:val="right"/>
              <w:rPr>
                <w:b/>
                <w:sz w:val="18"/>
              </w:rPr>
            </w:pPr>
            <w:r w:rsidRPr="008E5027">
              <w:rPr>
                <w:b/>
                <w:sz w:val="18"/>
              </w:rPr>
              <w:t>38 738</w:t>
            </w:r>
          </w:p>
        </w:tc>
      </w:tr>
    </w:tbl>
    <w:p w:rsidR="00D3561A" w:rsidRPr="008E5027" w:rsidRDefault="00AB376D" w:rsidP="009A4E12">
      <w:pPr>
        <w:tabs>
          <w:tab w:val="left" w:pos="5600"/>
        </w:tabs>
        <w:spacing w:before="120"/>
        <w:ind w:left="1134" w:right="1134" w:firstLine="170"/>
        <w:rPr>
          <w:sz w:val="18"/>
        </w:rPr>
      </w:pPr>
      <w:r w:rsidRPr="008E5027">
        <w:rPr>
          <w:sz w:val="18"/>
        </w:rPr>
        <w:t>(</w:t>
      </w:r>
      <w:r w:rsidR="007B59A2" w:rsidRPr="007B59A2">
        <w:rPr>
          <w:sz w:val="18"/>
          <w:lang w:val="fr-FR"/>
        </w:rPr>
        <w:t>au 1</w:t>
      </w:r>
      <w:r w:rsidR="007B59A2" w:rsidRPr="007B59A2">
        <w:rPr>
          <w:sz w:val="18"/>
          <w:vertAlign w:val="superscript"/>
          <w:lang w:val="fr-FR"/>
        </w:rPr>
        <w:t>er</w:t>
      </w:r>
      <w:r w:rsidR="007B59A2" w:rsidRPr="007B59A2">
        <w:rPr>
          <w:sz w:val="18"/>
          <w:lang w:val="fr-FR"/>
        </w:rPr>
        <w:t xml:space="preserve"> mai 2005</w:t>
      </w:r>
      <w:r w:rsidR="00D3561A" w:rsidRPr="008E5027">
        <w:rPr>
          <w:sz w:val="18"/>
        </w:rPr>
        <w:t>)</w:t>
      </w:r>
      <w:r w:rsidR="004F3B58" w:rsidRPr="008E5027">
        <w:rPr>
          <w:sz w:val="18"/>
        </w:rPr>
        <w:tab/>
      </w:r>
      <w:r w:rsidRPr="008E5027">
        <w:rPr>
          <w:sz w:val="18"/>
        </w:rPr>
        <w:t>(</w:t>
      </w:r>
      <w:r w:rsidR="007B59A2" w:rsidRPr="007B59A2">
        <w:rPr>
          <w:sz w:val="18"/>
          <w:lang w:val="fr-FR"/>
        </w:rPr>
        <w:t>au 1</w:t>
      </w:r>
      <w:r w:rsidR="007B59A2" w:rsidRPr="007B59A2">
        <w:rPr>
          <w:sz w:val="18"/>
          <w:vertAlign w:val="superscript"/>
          <w:lang w:val="fr-FR"/>
        </w:rPr>
        <w:t>er</w:t>
      </w:r>
      <w:r w:rsidR="007B59A2" w:rsidRPr="007B59A2">
        <w:rPr>
          <w:sz w:val="18"/>
          <w:lang w:val="fr-FR"/>
        </w:rPr>
        <w:t xml:space="preserve"> mai 2005</w:t>
      </w:r>
      <w:r w:rsidR="00D3561A" w:rsidRPr="008E5027">
        <w:rPr>
          <w:sz w:val="18"/>
        </w:rPr>
        <w:t>)</w:t>
      </w:r>
    </w:p>
    <w:p w:rsidR="00D3561A" w:rsidRPr="008E5027" w:rsidRDefault="00D3561A" w:rsidP="00AB376D">
      <w:pPr>
        <w:spacing w:after="240"/>
        <w:ind w:left="1134" w:right="1134" w:firstLine="170"/>
        <w:rPr>
          <w:sz w:val="18"/>
        </w:rPr>
      </w:pPr>
      <w:r w:rsidRPr="008E5027">
        <w:rPr>
          <w:sz w:val="18"/>
        </w:rPr>
        <w:t xml:space="preserve">*  </w:t>
      </w:r>
      <w:r w:rsidR="007B59A2" w:rsidRPr="007B59A2">
        <w:rPr>
          <w:sz w:val="18"/>
          <w:lang w:val="fr-FR"/>
        </w:rPr>
        <w:t>Nombre d</w:t>
      </w:r>
      <w:r w:rsidR="00277023">
        <w:rPr>
          <w:sz w:val="18"/>
          <w:lang w:val="fr-FR"/>
        </w:rPr>
        <w:t>’</w:t>
      </w:r>
      <w:r w:rsidR="007B59A2" w:rsidRPr="007B59A2">
        <w:rPr>
          <w:sz w:val="18"/>
          <w:lang w:val="fr-FR"/>
        </w:rPr>
        <w:t>élèves suivant un enseignement tenant compte des besoins spéciaux: 189.879 (environ 1,7% des enfants au niveau de l</w:t>
      </w:r>
      <w:r w:rsidR="00277023">
        <w:rPr>
          <w:sz w:val="18"/>
          <w:lang w:val="fr-FR"/>
        </w:rPr>
        <w:t>’</w:t>
      </w:r>
      <w:r w:rsidR="007B59A2" w:rsidRPr="007B59A2">
        <w:rPr>
          <w:sz w:val="18"/>
          <w:lang w:val="fr-FR"/>
        </w:rPr>
        <w:t>instruction obligatoire; 91 enfants ont bénéficié d</w:t>
      </w:r>
      <w:r w:rsidR="00277023">
        <w:rPr>
          <w:sz w:val="18"/>
          <w:lang w:val="fr-FR"/>
        </w:rPr>
        <w:t>’</w:t>
      </w:r>
      <w:r w:rsidR="007B59A2" w:rsidRPr="007B59A2">
        <w:rPr>
          <w:sz w:val="18"/>
          <w:lang w:val="fr-FR"/>
        </w:rPr>
        <w:t>une prolongation ou d</w:t>
      </w:r>
      <w:r w:rsidR="00277023">
        <w:rPr>
          <w:sz w:val="18"/>
          <w:lang w:val="fr-FR"/>
        </w:rPr>
        <w:t>’</w:t>
      </w:r>
      <w:r w:rsidR="007B59A2" w:rsidRPr="007B59A2">
        <w:rPr>
          <w:sz w:val="18"/>
          <w:lang w:val="fr-FR"/>
        </w:rPr>
        <w:t>une exemption d</w:t>
      </w:r>
      <w:r w:rsidR="00277023">
        <w:rPr>
          <w:sz w:val="18"/>
          <w:lang w:val="fr-FR"/>
        </w:rPr>
        <w:t>’</w:t>
      </w:r>
      <w:r w:rsidR="007B59A2" w:rsidRPr="007B59A2">
        <w:rPr>
          <w:sz w:val="18"/>
          <w:lang w:val="fr-FR"/>
        </w:rPr>
        <w:t>inscription en raison de leurs déficiences)</w:t>
      </w:r>
      <w:r w:rsidR="007B59A2">
        <w:rPr>
          <w:sz w:val="18"/>
          <w:lang w:val="fr-FR"/>
        </w:rPr>
        <w:t>.</w:t>
      </w:r>
    </w:p>
    <w:p w:rsidR="00D3561A" w:rsidRPr="008E5027" w:rsidRDefault="00365506" w:rsidP="002763B5">
      <w:pPr>
        <w:pStyle w:val="Heading1"/>
      </w:pPr>
      <w:r w:rsidRPr="00F206B8">
        <w:rPr>
          <w:lang w:val="fr-FR"/>
        </w:rPr>
        <w:t>Tableau</w:t>
      </w:r>
      <w:r w:rsidRPr="00F206B8">
        <w:rPr>
          <w:lang w:val="es-ES"/>
        </w:rPr>
        <w:t xml:space="preserve"> </w:t>
      </w:r>
      <w:r w:rsidR="00D3561A" w:rsidRPr="008E5027">
        <w:t>20</w:t>
      </w:r>
    </w:p>
    <w:p w:rsidR="00D3561A" w:rsidRPr="008E5027" w:rsidRDefault="00DA18AE" w:rsidP="00C874F0">
      <w:pPr>
        <w:pStyle w:val="SingleTxtG"/>
        <w:jc w:val="left"/>
        <w:rPr>
          <w:b/>
        </w:rPr>
      </w:pPr>
      <w:r w:rsidRPr="00DA18AE">
        <w:rPr>
          <w:b/>
          <w:bCs/>
          <w:lang w:val="fr-FR"/>
        </w:rPr>
        <w:t>Scolarisation de l</w:t>
      </w:r>
      <w:r w:rsidR="00277023">
        <w:rPr>
          <w:b/>
          <w:bCs/>
          <w:lang w:val="fr-FR"/>
        </w:rPr>
        <w:t>’</w:t>
      </w:r>
      <w:r w:rsidRPr="00DA18AE">
        <w:rPr>
          <w:b/>
          <w:bCs/>
          <w:lang w:val="fr-FR"/>
        </w:rPr>
        <w:t>ensemble des enfants</w:t>
      </w:r>
    </w:p>
    <w:tbl>
      <w:tblPr>
        <w:tblStyle w:val="TableGrid"/>
        <w:tblW w:w="7370" w:type="dxa"/>
        <w:tblInd w:w="1134" w:type="dxa"/>
        <w:tblBorders>
          <w:left w:val="none" w:sz="0" w:space="0" w:color="auto"/>
          <w:bottom w:val="single" w:sz="12"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42"/>
        <w:gridCol w:w="1126"/>
        <w:gridCol w:w="2002"/>
      </w:tblGrid>
      <w:tr w:rsidR="00D3561A" w:rsidRPr="008E5027" w:rsidTr="005427B4">
        <w:tc>
          <w:tcPr>
            <w:tcW w:w="4242" w:type="dxa"/>
            <w:tcBorders>
              <w:bottom w:val="nil"/>
            </w:tcBorders>
            <w:shd w:val="clear" w:color="auto" w:fill="auto"/>
            <w:vAlign w:val="bottom"/>
          </w:tcPr>
          <w:p w:rsidR="00D3561A" w:rsidRPr="008E5027" w:rsidRDefault="005427B4" w:rsidP="004F3B58">
            <w:pPr>
              <w:suppressAutoHyphens w:val="0"/>
              <w:spacing w:before="40" w:after="40" w:line="220" w:lineRule="exact"/>
              <w:rPr>
                <w:sz w:val="18"/>
              </w:rPr>
            </w:pPr>
            <w:r w:rsidRPr="005427B4">
              <w:rPr>
                <w:sz w:val="18"/>
                <w:lang w:val="fr-FR"/>
              </w:rPr>
              <w:t>Nombre total d</w:t>
            </w:r>
            <w:r w:rsidR="00277023">
              <w:rPr>
                <w:sz w:val="18"/>
                <w:lang w:val="fr-FR"/>
              </w:rPr>
              <w:t>’</w:t>
            </w:r>
            <w:r w:rsidRPr="005427B4">
              <w:rPr>
                <w:sz w:val="18"/>
                <w:lang w:val="fr-FR"/>
              </w:rPr>
              <w:t>enfants inscrits dans tous les types d</w:t>
            </w:r>
            <w:r w:rsidR="00277023">
              <w:rPr>
                <w:sz w:val="18"/>
                <w:lang w:val="fr-FR"/>
              </w:rPr>
              <w:t>’</w:t>
            </w:r>
            <w:r w:rsidRPr="005427B4">
              <w:rPr>
                <w:sz w:val="18"/>
                <w:lang w:val="fr-FR"/>
              </w:rPr>
              <w:t>établissement (jardin d</w:t>
            </w:r>
            <w:r w:rsidR="00277023">
              <w:rPr>
                <w:sz w:val="18"/>
                <w:lang w:val="fr-FR"/>
              </w:rPr>
              <w:t>’</w:t>
            </w:r>
            <w:r w:rsidRPr="005427B4">
              <w:rPr>
                <w:sz w:val="18"/>
                <w:lang w:val="fr-FR"/>
              </w:rPr>
              <w:t>enfants, élémentaire, secondaire (premier et deuxième cycle))</w:t>
            </w:r>
          </w:p>
        </w:tc>
        <w:tc>
          <w:tcPr>
            <w:tcW w:w="1126" w:type="dxa"/>
            <w:tcBorders>
              <w:bottom w:val="nil"/>
            </w:tcBorders>
            <w:shd w:val="clear" w:color="auto" w:fill="auto"/>
            <w:vAlign w:val="bottom"/>
          </w:tcPr>
          <w:p w:rsidR="00D3561A" w:rsidRPr="008E5027" w:rsidRDefault="00D3561A" w:rsidP="004F3B58">
            <w:pPr>
              <w:suppressAutoHyphens w:val="0"/>
              <w:spacing w:before="40" w:after="40" w:line="220" w:lineRule="exact"/>
              <w:jc w:val="right"/>
              <w:rPr>
                <w:sz w:val="18"/>
                <w:szCs w:val="18"/>
              </w:rPr>
            </w:pPr>
            <w:r w:rsidRPr="008E5027">
              <w:rPr>
                <w:sz w:val="18"/>
                <w:szCs w:val="18"/>
              </w:rPr>
              <w:t>16 276 161</w:t>
            </w:r>
          </w:p>
        </w:tc>
        <w:tc>
          <w:tcPr>
            <w:tcW w:w="2002" w:type="dxa"/>
            <w:tcBorders>
              <w:bottom w:val="nil"/>
            </w:tcBorders>
            <w:shd w:val="clear" w:color="auto" w:fill="auto"/>
            <w:vAlign w:val="bottom"/>
          </w:tcPr>
          <w:p w:rsidR="00D3561A" w:rsidRPr="008E5027" w:rsidRDefault="00D3561A" w:rsidP="004F3B58">
            <w:pPr>
              <w:suppressAutoHyphens w:val="0"/>
              <w:spacing w:before="40" w:after="40" w:line="220" w:lineRule="exact"/>
              <w:jc w:val="right"/>
              <w:rPr>
                <w:sz w:val="18"/>
                <w:szCs w:val="18"/>
              </w:rPr>
            </w:pPr>
            <w:r w:rsidRPr="008E5027">
              <w:rPr>
                <w:sz w:val="18"/>
                <w:szCs w:val="18"/>
              </w:rPr>
              <w:t>100%</w:t>
            </w:r>
          </w:p>
        </w:tc>
      </w:tr>
      <w:tr w:rsidR="00D3561A" w:rsidRPr="008E5027" w:rsidTr="005427B4">
        <w:tc>
          <w:tcPr>
            <w:tcW w:w="4242" w:type="dxa"/>
            <w:tcBorders>
              <w:top w:val="nil"/>
            </w:tcBorders>
            <w:shd w:val="clear" w:color="auto" w:fill="auto"/>
            <w:vAlign w:val="bottom"/>
          </w:tcPr>
          <w:p w:rsidR="00D3561A" w:rsidRPr="008E5027" w:rsidRDefault="005427B4" w:rsidP="003459FB">
            <w:pPr>
              <w:suppressAutoHyphens w:val="0"/>
              <w:spacing w:before="40" w:after="40" w:line="220" w:lineRule="exact"/>
              <w:ind w:left="284"/>
              <w:rPr>
                <w:sz w:val="18"/>
              </w:rPr>
            </w:pPr>
            <w:r w:rsidRPr="005427B4">
              <w:rPr>
                <w:sz w:val="18"/>
                <w:lang w:val="fr-FR"/>
              </w:rPr>
              <w:t>Nombre d</w:t>
            </w:r>
            <w:r w:rsidR="00277023">
              <w:rPr>
                <w:sz w:val="18"/>
                <w:lang w:val="fr-FR"/>
              </w:rPr>
              <w:t>’</w:t>
            </w:r>
            <w:r w:rsidRPr="005427B4">
              <w:rPr>
                <w:sz w:val="18"/>
                <w:lang w:val="fr-FR"/>
              </w:rPr>
              <w:t>entre eux recevant une forme ou une autre d</w:t>
            </w:r>
            <w:r w:rsidR="00277023">
              <w:rPr>
                <w:sz w:val="18"/>
                <w:lang w:val="fr-FR"/>
              </w:rPr>
              <w:t>’</w:t>
            </w:r>
            <w:r w:rsidRPr="005427B4">
              <w:rPr>
                <w:sz w:val="18"/>
                <w:lang w:val="fr-FR"/>
              </w:rPr>
              <w:t>éducation tenant compte des besoins spéciaux</w:t>
            </w:r>
          </w:p>
        </w:tc>
        <w:tc>
          <w:tcPr>
            <w:tcW w:w="1126" w:type="dxa"/>
            <w:tcBorders>
              <w:top w:val="nil"/>
            </w:tcBorders>
            <w:shd w:val="clear" w:color="auto" w:fill="auto"/>
            <w:vAlign w:val="bottom"/>
          </w:tcPr>
          <w:p w:rsidR="00D3561A" w:rsidRPr="008E5027" w:rsidRDefault="00D3561A" w:rsidP="004F3B58">
            <w:pPr>
              <w:suppressAutoHyphens w:val="0"/>
              <w:spacing w:before="40" w:after="40" w:line="220" w:lineRule="exact"/>
              <w:jc w:val="right"/>
              <w:rPr>
                <w:sz w:val="18"/>
                <w:szCs w:val="18"/>
              </w:rPr>
            </w:pPr>
            <w:r w:rsidRPr="008E5027">
              <w:rPr>
                <w:sz w:val="18"/>
                <w:szCs w:val="18"/>
              </w:rPr>
              <w:t>237 161</w:t>
            </w:r>
          </w:p>
        </w:tc>
        <w:tc>
          <w:tcPr>
            <w:tcW w:w="2002" w:type="dxa"/>
            <w:tcBorders>
              <w:top w:val="nil"/>
            </w:tcBorders>
            <w:shd w:val="clear" w:color="auto" w:fill="auto"/>
            <w:vAlign w:val="bottom"/>
          </w:tcPr>
          <w:p w:rsidR="00D3561A" w:rsidRPr="008E5027" w:rsidRDefault="009047C4" w:rsidP="004F3B58">
            <w:pPr>
              <w:suppressAutoHyphens w:val="0"/>
              <w:spacing w:before="40" w:after="40" w:line="220" w:lineRule="exact"/>
              <w:jc w:val="right"/>
              <w:rPr>
                <w:sz w:val="18"/>
                <w:szCs w:val="18"/>
              </w:rPr>
            </w:pPr>
            <w:r w:rsidRPr="008E5027">
              <w:rPr>
                <w:sz w:val="18"/>
                <w:szCs w:val="18"/>
              </w:rPr>
              <w:t>1</w:t>
            </w:r>
            <w:r w:rsidR="008A6C88">
              <w:rPr>
                <w:sz w:val="18"/>
                <w:szCs w:val="18"/>
              </w:rPr>
              <w:t>,</w:t>
            </w:r>
            <w:r w:rsidR="00D3561A" w:rsidRPr="008E5027">
              <w:rPr>
                <w:sz w:val="18"/>
                <w:szCs w:val="18"/>
              </w:rPr>
              <w:t>457%</w:t>
            </w:r>
          </w:p>
        </w:tc>
      </w:tr>
    </w:tbl>
    <w:p w:rsidR="00D3561A" w:rsidRPr="008E5027" w:rsidRDefault="00D3561A" w:rsidP="00D15586">
      <w:pPr>
        <w:spacing w:before="120" w:after="240"/>
        <w:ind w:left="1134" w:right="1134" w:firstLine="170"/>
        <w:rPr>
          <w:b/>
          <w:bCs/>
          <w:sz w:val="18"/>
          <w:szCs w:val="18"/>
        </w:rPr>
      </w:pPr>
      <w:r w:rsidRPr="008E5027">
        <w:rPr>
          <w:sz w:val="18"/>
          <w:szCs w:val="18"/>
        </w:rPr>
        <w:t>(</w:t>
      </w:r>
      <w:r w:rsidR="00DA18AE" w:rsidRPr="00DA18AE">
        <w:rPr>
          <w:sz w:val="18"/>
          <w:szCs w:val="18"/>
          <w:lang w:val="fr-FR"/>
        </w:rPr>
        <w:t>au 1</w:t>
      </w:r>
      <w:r w:rsidR="00DA18AE" w:rsidRPr="00DA18AE">
        <w:rPr>
          <w:sz w:val="18"/>
          <w:szCs w:val="18"/>
          <w:vertAlign w:val="superscript"/>
          <w:lang w:val="fr-FR"/>
        </w:rPr>
        <w:t>er</w:t>
      </w:r>
      <w:r w:rsidR="00DA18AE" w:rsidRPr="00DA18AE">
        <w:rPr>
          <w:sz w:val="18"/>
          <w:szCs w:val="18"/>
          <w:lang w:val="fr-FR"/>
        </w:rPr>
        <w:t xml:space="preserve"> mai 2005</w:t>
      </w:r>
      <w:r w:rsidRPr="008E5027">
        <w:rPr>
          <w:sz w:val="18"/>
          <w:szCs w:val="18"/>
        </w:rPr>
        <w:t>)</w:t>
      </w:r>
      <w:bookmarkEnd w:id="0"/>
    </w:p>
    <w:p w:rsidR="00DA18AE" w:rsidRPr="00DA18AE" w:rsidRDefault="00DA18AE" w:rsidP="00DA18AE">
      <w:pPr>
        <w:pStyle w:val="SingleTxtG"/>
        <w:rPr>
          <w:lang w:val="fr-FR"/>
        </w:rPr>
      </w:pPr>
      <w:r w:rsidRPr="00DA18AE">
        <w:rPr>
          <w:lang w:val="fr-FR"/>
        </w:rPr>
        <w:t>(Promotion de l</w:t>
      </w:r>
      <w:r w:rsidR="00277023">
        <w:rPr>
          <w:lang w:val="fr-FR"/>
        </w:rPr>
        <w:t>’</w:t>
      </w:r>
      <w:r w:rsidRPr="00DA18AE">
        <w:rPr>
          <w:lang w:val="fr-FR"/>
        </w:rPr>
        <w:t xml:space="preserve">emploi et formation professionnelle) </w:t>
      </w:r>
    </w:p>
    <w:p w:rsidR="00DA18AE" w:rsidRPr="00DA18AE" w:rsidRDefault="00DA18AE" w:rsidP="00DA18AE">
      <w:pPr>
        <w:pStyle w:val="SingleTxtG"/>
        <w:rPr>
          <w:lang w:val="fr-FR"/>
        </w:rPr>
      </w:pPr>
      <w:r w:rsidRPr="00DA18AE">
        <w:rPr>
          <w:lang w:val="fr-FR"/>
        </w:rPr>
        <w:t>359.</w:t>
      </w:r>
      <w:r w:rsidRPr="00DA18AE">
        <w:rPr>
          <w:lang w:val="fr-FR"/>
        </w:rPr>
        <w:tab/>
        <w:t xml:space="preserve">Voir paragraphe 292 du deuxième rapport du Japon </w:t>
      </w:r>
    </w:p>
    <w:p w:rsidR="00DA18AE" w:rsidRPr="00DA18AE" w:rsidRDefault="00DA18AE" w:rsidP="00DA18AE">
      <w:pPr>
        <w:pStyle w:val="SingleTxtG"/>
        <w:rPr>
          <w:lang w:val="fr-FR"/>
        </w:rPr>
      </w:pPr>
      <w:r w:rsidRPr="00DA18AE">
        <w:rPr>
          <w:bCs/>
          <w:iCs/>
          <w:lang w:val="fr-FR"/>
        </w:rPr>
        <w:t>(Mesures favorisant les échanges d</w:t>
      </w:r>
      <w:r w:rsidR="00277023">
        <w:rPr>
          <w:bCs/>
          <w:iCs/>
          <w:lang w:val="fr-FR"/>
        </w:rPr>
        <w:t>’</w:t>
      </w:r>
      <w:r w:rsidRPr="00DA18AE">
        <w:rPr>
          <w:bCs/>
          <w:iCs/>
          <w:lang w:val="fr-FR"/>
        </w:rPr>
        <w:t>informations sur les soins de santé préventifs dans le cadre de la coopération internationale et renforçant l</w:t>
      </w:r>
      <w:r w:rsidR="00277023">
        <w:rPr>
          <w:bCs/>
          <w:iCs/>
          <w:lang w:val="fr-FR"/>
        </w:rPr>
        <w:t>’</w:t>
      </w:r>
      <w:r w:rsidRPr="00DA18AE">
        <w:rPr>
          <w:bCs/>
          <w:iCs/>
          <w:lang w:val="fr-FR"/>
        </w:rPr>
        <w:t>expérience du Japon dans ce domaine</w:t>
      </w:r>
      <w:r w:rsidRPr="00DA18AE">
        <w:rPr>
          <w:lang w:val="fr-FR"/>
        </w:rPr>
        <w:t>)</w:t>
      </w:r>
    </w:p>
    <w:p w:rsidR="00DA18AE" w:rsidRPr="00DA18AE" w:rsidRDefault="00DA18AE" w:rsidP="00DA18AE">
      <w:pPr>
        <w:pStyle w:val="SingleTxtG"/>
        <w:rPr>
          <w:lang w:val="fr-FR"/>
        </w:rPr>
      </w:pPr>
      <w:r w:rsidRPr="00DA18AE">
        <w:rPr>
          <w:lang w:val="fr-FR"/>
        </w:rPr>
        <w:t>360.</w:t>
      </w:r>
      <w:r w:rsidRPr="00DA18AE">
        <w:rPr>
          <w:lang w:val="fr-FR"/>
        </w:rPr>
        <w:tab/>
        <w:t>Appliquer le savoir et l</w:t>
      </w:r>
      <w:r w:rsidR="00277023">
        <w:rPr>
          <w:lang w:val="fr-FR"/>
        </w:rPr>
        <w:t>’</w:t>
      </w:r>
      <w:r w:rsidRPr="00DA18AE">
        <w:rPr>
          <w:lang w:val="fr-FR"/>
        </w:rPr>
        <w:t>expérience du Japon aux mesures en faveur des personnes handicapées dans les pays en développement à travers l</w:t>
      </w:r>
      <w:r w:rsidR="00277023">
        <w:rPr>
          <w:lang w:val="fr-FR"/>
        </w:rPr>
        <w:t>’</w:t>
      </w:r>
      <w:r w:rsidRPr="00DA18AE">
        <w:rPr>
          <w:lang w:val="fr-FR"/>
        </w:rPr>
        <w:t>aide publique au développement (APD) et des groupes d</w:t>
      </w:r>
      <w:r w:rsidR="00277023">
        <w:rPr>
          <w:lang w:val="fr-FR"/>
        </w:rPr>
        <w:t>’</w:t>
      </w:r>
      <w:r w:rsidRPr="00DA18AE">
        <w:rPr>
          <w:lang w:val="fr-FR"/>
        </w:rPr>
        <w:t xml:space="preserve">aide privés est extrêmement utile et important en termes de coopération internationale. Concernant la révision de </w:t>
      </w:r>
      <w:smartTag w:uri="urn:schemas-microsoft-com:office:smarttags" w:element="PersonName">
        <w:smartTagPr>
          <w:attr w:name="ProductID" w:val="la Charte"/>
        </w:smartTagPr>
        <w:r w:rsidRPr="00DA18AE">
          <w:rPr>
            <w:lang w:val="fr-FR"/>
          </w:rPr>
          <w:t>la Charte</w:t>
        </w:r>
      </w:smartTag>
      <w:r w:rsidRPr="00DA18AE">
        <w:rPr>
          <w:lang w:val="fr-FR"/>
        </w:rPr>
        <w:t xml:space="preserve"> de l</w:t>
      </w:r>
      <w:r w:rsidR="00277023">
        <w:rPr>
          <w:lang w:val="fr-FR"/>
        </w:rPr>
        <w:t>’</w:t>
      </w:r>
      <w:r w:rsidRPr="00DA18AE">
        <w:rPr>
          <w:lang w:val="fr-FR"/>
        </w:rPr>
        <w:t>Aide publique au développement en août 2003, l</w:t>
      </w:r>
      <w:r w:rsidR="00277023">
        <w:rPr>
          <w:lang w:val="fr-FR"/>
        </w:rPr>
        <w:t>’</w:t>
      </w:r>
      <w:r w:rsidRPr="00DA18AE">
        <w:rPr>
          <w:lang w:val="fr-FR"/>
        </w:rPr>
        <w:t>équité a été définie comme l</w:t>
      </w:r>
      <w:r w:rsidR="00277023">
        <w:rPr>
          <w:lang w:val="fr-FR"/>
        </w:rPr>
        <w:t>’</w:t>
      </w:r>
      <w:r w:rsidRPr="00DA18AE">
        <w:rPr>
          <w:lang w:val="fr-FR"/>
        </w:rPr>
        <w:t>un des principes de base, dès lors, la situation des personnes socialement vulnérables devra être prise en compte lors de la formulation et de la mise en œuvre des mesures d</w:t>
      </w:r>
      <w:r w:rsidR="00277023">
        <w:rPr>
          <w:lang w:val="fr-FR"/>
        </w:rPr>
        <w:t>’</w:t>
      </w:r>
      <w:r w:rsidRPr="00DA18AE">
        <w:rPr>
          <w:lang w:val="fr-FR"/>
        </w:rPr>
        <w:t xml:space="preserve">APD. Au cours des cinq années couvrant la période 2001-2005, le Gouvernement a contribué à hauteur de 640.000 dollars au fonds de contributions volontaires des Nations Unies pour les handicapés. Il a également contribué au financement de projets mis en œuvre par </w:t>
      </w:r>
      <w:smartTag w:uri="urn:schemas-microsoft-com:office:smarttags" w:element="PersonName">
        <w:smartTagPr>
          <w:attr w:name="ProductID" w:val="la Commission"/>
        </w:smartTagPr>
        <w:r w:rsidRPr="00DA18AE">
          <w:rPr>
            <w:lang w:val="fr-FR"/>
          </w:rPr>
          <w:t>la Commission</w:t>
        </w:r>
      </w:smartTag>
      <w:r w:rsidRPr="00DA18AE">
        <w:rPr>
          <w:lang w:val="fr-FR"/>
        </w:rPr>
        <w:t xml:space="preserve"> économique et sociale pour l</w:t>
      </w:r>
      <w:r w:rsidR="00277023">
        <w:rPr>
          <w:lang w:val="fr-FR"/>
        </w:rPr>
        <w:t>’</w:t>
      </w:r>
      <w:r w:rsidRPr="00DA18AE">
        <w:rPr>
          <w:lang w:val="fr-FR"/>
        </w:rPr>
        <w:t>Asie et le Pacifique (CESAP) presque chaque année (environ 10.000 dollars pour l</w:t>
      </w:r>
      <w:r w:rsidR="00277023">
        <w:rPr>
          <w:lang w:val="fr-FR"/>
        </w:rPr>
        <w:t>’</w:t>
      </w:r>
      <w:r w:rsidRPr="00DA18AE">
        <w:rPr>
          <w:lang w:val="fr-FR"/>
        </w:rPr>
        <w:t xml:space="preserve">exercice budgétaire 2005). </w:t>
      </w:r>
    </w:p>
    <w:p w:rsidR="00DA18AE" w:rsidRPr="00DA18AE" w:rsidRDefault="00DA18AE" w:rsidP="008A6C88">
      <w:pPr>
        <w:pStyle w:val="SingleTxtG"/>
        <w:keepNext/>
        <w:rPr>
          <w:lang w:val="fr-FR"/>
        </w:rPr>
      </w:pPr>
      <w:r w:rsidRPr="00DA18AE">
        <w:rPr>
          <w:lang w:val="fr-FR"/>
        </w:rPr>
        <w:t>361.</w:t>
      </w:r>
      <w:r w:rsidRPr="00DA18AE">
        <w:rPr>
          <w:lang w:val="fr-FR"/>
        </w:rPr>
        <w:tab/>
        <w:t xml:space="preserve">Le Japon a pris une part active aux négociations sur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relative aux droits des personnes handicapées. Il a signé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en septembre 2007 et la ratifiera dès que possible. </w:t>
      </w:r>
    </w:p>
    <w:p w:rsidR="00DA18AE" w:rsidRPr="00DA18AE" w:rsidRDefault="00DA18AE" w:rsidP="00DA18AE">
      <w:pPr>
        <w:pStyle w:val="H1G"/>
        <w:rPr>
          <w:lang w:val="fr-FR"/>
        </w:rPr>
      </w:pPr>
      <w:r>
        <w:rPr>
          <w:lang w:val="fr-FR"/>
        </w:rPr>
        <w:tab/>
        <w:t>B.</w:t>
      </w:r>
      <w:r>
        <w:rPr>
          <w:lang w:val="fr-FR"/>
        </w:rPr>
        <w:tab/>
      </w:r>
      <w:r w:rsidRPr="00DA18AE">
        <w:rPr>
          <w:lang w:val="fr-FR"/>
        </w:rPr>
        <w:t>Santé et services médicaux (article 24)</w:t>
      </w:r>
    </w:p>
    <w:p w:rsidR="00DA18AE" w:rsidRPr="00DA18AE" w:rsidRDefault="00DA18AE" w:rsidP="00DA18AE">
      <w:pPr>
        <w:pStyle w:val="H23G"/>
        <w:rPr>
          <w:bCs/>
          <w:i/>
          <w:lang w:val="fr-FR"/>
        </w:rPr>
      </w:pPr>
      <w:r>
        <w:rPr>
          <w:lang w:val="fr-FR"/>
        </w:rPr>
        <w:tab/>
        <w:t>a)</w:t>
      </w:r>
      <w:r>
        <w:rPr>
          <w:lang w:val="fr-FR"/>
        </w:rPr>
        <w:tab/>
      </w:r>
      <w:r w:rsidRPr="00DA18AE">
        <w:rPr>
          <w:lang w:val="fr-FR"/>
        </w:rPr>
        <w:t>Mesures d</w:t>
      </w:r>
      <w:r w:rsidR="00277023">
        <w:rPr>
          <w:lang w:val="fr-FR"/>
        </w:rPr>
        <w:t>’</w:t>
      </w:r>
      <w:r w:rsidRPr="00DA18AE">
        <w:rPr>
          <w:lang w:val="fr-FR"/>
        </w:rPr>
        <w:t>application des articles 6 et</w:t>
      </w:r>
      <w:r>
        <w:rPr>
          <w:lang w:val="fr-FR"/>
        </w:rPr>
        <w:t xml:space="preserve"> 24</w:t>
      </w:r>
    </w:p>
    <w:p w:rsidR="00DA18AE" w:rsidRPr="00DA18AE" w:rsidRDefault="00DA18AE" w:rsidP="00DA18AE">
      <w:pPr>
        <w:pStyle w:val="SingleTxtG"/>
        <w:rPr>
          <w:lang w:val="fr-FR"/>
        </w:rPr>
      </w:pPr>
      <w:r w:rsidRPr="00DA18AE">
        <w:rPr>
          <w:lang w:val="fr-FR"/>
        </w:rPr>
        <w:t>(Visites médicales en milieu scolaire)</w:t>
      </w:r>
    </w:p>
    <w:p w:rsidR="00DA18AE" w:rsidRPr="00DA18AE" w:rsidRDefault="00DA18AE" w:rsidP="00DA18AE">
      <w:pPr>
        <w:pStyle w:val="SingleTxtG"/>
        <w:rPr>
          <w:lang w:val="fr-FR"/>
        </w:rPr>
      </w:pPr>
      <w:r w:rsidRPr="00DA18AE">
        <w:rPr>
          <w:lang w:val="fr-FR"/>
        </w:rPr>
        <w:t>362.</w:t>
      </w:r>
      <w:r w:rsidRPr="00DA18AE">
        <w:rPr>
          <w:lang w:val="fr-FR"/>
        </w:rPr>
        <w:tab/>
        <w:t xml:space="preserve">Voir paragraphe 294 du deuxième rapport du Japon (voir paragraphe 187 du rapport initial du Japon). </w:t>
      </w:r>
    </w:p>
    <w:p w:rsidR="00DA18AE" w:rsidRPr="00DA18AE" w:rsidRDefault="00DA18AE" w:rsidP="00DA18AE">
      <w:pPr>
        <w:pStyle w:val="SingleTxtG"/>
        <w:rPr>
          <w:lang w:val="fr-FR"/>
        </w:rPr>
      </w:pPr>
      <w:r w:rsidRPr="00DA18AE">
        <w:rPr>
          <w:lang w:val="fr-FR"/>
        </w:rPr>
        <w:t>(Prise en charge des</w:t>
      </w:r>
      <w:r w:rsidR="00EA1115">
        <w:rPr>
          <w:lang w:val="fr-FR"/>
        </w:rPr>
        <w:t xml:space="preserve"> </w:t>
      </w:r>
      <w:r w:rsidRPr="00DA18AE">
        <w:rPr>
          <w:lang w:val="fr-FR"/>
        </w:rPr>
        <w:t>enfants atteints de troubles mentaux)</w:t>
      </w:r>
    </w:p>
    <w:p w:rsidR="00DA18AE" w:rsidRPr="00DA18AE" w:rsidRDefault="00DA18AE" w:rsidP="00DA18AE">
      <w:pPr>
        <w:pStyle w:val="SingleTxtG"/>
        <w:rPr>
          <w:lang w:val="fr-FR"/>
        </w:rPr>
      </w:pPr>
      <w:r w:rsidRPr="00DA18AE">
        <w:rPr>
          <w:lang w:val="fr-FR"/>
        </w:rPr>
        <w:t>363.</w:t>
      </w:r>
      <w:r w:rsidRPr="00DA18AE">
        <w:rPr>
          <w:lang w:val="fr-FR"/>
        </w:rPr>
        <w:tab/>
        <w:t>Concernant la prise en charge les enfants atteints de troubles mentaux, les directives pédagogiques générales ont élargi l</w:t>
      </w:r>
      <w:r w:rsidR="00277023">
        <w:rPr>
          <w:lang w:val="fr-FR"/>
        </w:rPr>
        <w:t>’</w:t>
      </w:r>
      <w:r w:rsidRPr="00DA18AE">
        <w:rPr>
          <w:lang w:val="fr-FR"/>
        </w:rPr>
        <w:t>éventail</w:t>
      </w:r>
      <w:r w:rsidR="00EA1115">
        <w:rPr>
          <w:lang w:val="fr-FR"/>
        </w:rPr>
        <w:t xml:space="preserve"> </w:t>
      </w:r>
      <w:r w:rsidRPr="00DA18AE">
        <w:rPr>
          <w:lang w:val="fr-FR"/>
        </w:rPr>
        <w:t>des sujets enseignés en ajoutant la gestion du stress comme nouveau chapitre des programmes d</w:t>
      </w:r>
      <w:r w:rsidR="00277023">
        <w:rPr>
          <w:lang w:val="fr-FR"/>
        </w:rPr>
        <w:t>’</w:t>
      </w:r>
      <w:r w:rsidRPr="00DA18AE">
        <w:rPr>
          <w:lang w:val="fr-FR"/>
        </w:rPr>
        <w:t>éducation physique et sanitaire des établissements secondaires de premier cycle. D</w:t>
      </w:r>
      <w:r w:rsidR="00277023">
        <w:rPr>
          <w:lang w:val="fr-FR"/>
        </w:rPr>
        <w:t>’</w:t>
      </w:r>
      <w:r w:rsidRPr="00DA18AE">
        <w:rPr>
          <w:lang w:val="fr-FR"/>
        </w:rPr>
        <w:t>autres dispositions ont été adoptées, comme la préparation et la distribution de documents de référence pour les enseignants et des séminaires de formation pour les éducatrices. De plus, les pouvoirs publics ont lancé des projets pilotes visant à offrir des conseils et une éducation sanitaires aux enfants, y compris la visite, sur demande, de médecins spécialistes dans les écoles. Des brochures à l</w:t>
      </w:r>
      <w:r w:rsidR="00277023">
        <w:rPr>
          <w:lang w:val="fr-FR"/>
        </w:rPr>
        <w:t>’</w:t>
      </w:r>
      <w:r w:rsidRPr="00DA18AE">
        <w:rPr>
          <w:lang w:val="fr-FR"/>
        </w:rPr>
        <w:t>intention des représentants légaux sont éditées et distribuées.</w:t>
      </w:r>
    </w:p>
    <w:p w:rsidR="00DA18AE" w:rsidRPr="00DA18AE" w:rsidRDefault="00DA18AE" w:rsidP="00DA18AE">
      <w:pPr>
        <w:pStyle w:val="SingleTxtG"/>
        <w:rPr>
          <w:lang w:val="fr-FR"/>
        </w:rPr>
      </w:pPr>
      <w:r w:rsidRPr="00DA18AE">
        <w:rPr>
          <w:lang w:val="fr-FR"/>
        </w:rPr>
        <w:t>(Education sexuelle et relative au sida)</w:t>
      </w:r>
    </w:p>
    <w:p w:rsidR="00DA18AE" w:rsidRPr="00DA18AE" w:rsidRDefault="00DA18AE" w:rsidP="00DA18AE">
      <w:pPr>
        <w:pStyle w:val="SingleTxtG"/>
        <w:rPr>
          <w:lang w:val="fr-FR"/>
        </w:rPr>
      </w:pPr>
      <w:r w:rsidRPr="00DA18AE">
        <w:rPr>
          <w:lang w:val="fr-FR"/>
        </w:rPr>
        <w:t>364.</w:t>
      </w:r>
      <w:r w:rsidRPr="00DA18AE">
        <w:rPr>
          <w:lang w:val="fr-FR"/>
        </w:rPr>
        <w:tab/>
        <w:t>S</w:t>
      </w:r>
      <w:r w:rsidR="00277023">
        <w:rPr>
          <w:lang w:val="fr-FR"/>
        </w:rPr>
        <w:t>’</w:t>
      </w:r>
      <w:r w:rsidRPr="00DA18AE">
        <w:rPr>
          <w:lang w:val="fr-FR"/>
        </w:rPr>
        <w:t>agissant de l</w:t>
      </w:r>
      <w:r w:rsidR="00277023">
        <w:rPr>
          <w:lang w:val="fr-FR"/>
        </w:rPr>
        <w:t>’</w:t>
      </w:r>
      <w:r w:rsidRPr="00DA18AE">
        <w:rPr>
          <w:lang w:val="fr-FR"/>
        </w:rPr>
        <w:t>éducation sexuelle et relative au VIH/sida dans les écoles, conformément aux directives pédagogiques et selon le degré de développement des enfants, les élèves reçoivent des informations scientifiques relatives à la sexualité, et des conseils en la matière sont intégrés dans toutes les activités scolaires, notamment dans les cours d</w:t>
      </w:r>
      <w:r w:rsidR="00277023">
        <w:rPr>
          <w:lang w:val="fr-FR"/>
        </w:rPr>
        <w:t>’</w:t>
      </w:r>
      <w:r w:rsidRPr="00DA18AE">
        <w:rPr>
          <w:lang w:val="fr-FR"/>
        </w:rPr>
        <w:t>éducation sanitaire et physique, afin d</w:t>
      </w:r>
      <w:r w:rsidR="00277023">
        <w:rPr>
          <w:lang w:val="fr-FR"/>
        </w:rPr>
        <w:t>’</w:t>
      </w:r>
      <w:r w:rsidRPr="00DA18AE">
        <w:rPr>
          <w:lang w:val="fr-FR"/>
        </w:rPr>
        <w:t>aider les enfants à se comporter en conséquence. D</w:t>
      </w:r>
      <w:r w:rsidR="00277023">
        <w:rPr>
          <w:lang w:val="fr-FR"/>
        </w:rPr>
        <w:t>’</w:t>
      </w:r>
      <w:r w:rsidRPr="00DA18AE">
        <w:rPr>
          <w:lang w:val="fr-FR"/>
        </w:rPr>
        <w:t>autres actions menées pour améliorer l</w:t>
      </w:r>
      <w:r w:rsidR="00277023">
        <w:rPr>
          <w:lang w:val="fr-FR"/>
        </w:rPr>
        <w:t>’</w:t>
      </w:r>
      <w:r w:rsidRPr="00DA18AE">
        <w:rPr>
          <w:lang w:val="fr-FR"/>
        </w:rPr>
        <w:t>éducation sexuelle comprennent des programmes de formation destinés au personnel scolaire, la préparation et la distribution de documents de référence aux enseignants et de manuels aux élèves, ainsi que des travaux de recherche pratique sur des méthodes et projets d</w:t>
      </w:r>
      <w:r w:rsidR="00277023">
        <w:rPr>
          <w:lang w:val="fr-FR"/>
        </w:rPr>
        <w:t>’</w:t>
      </w:r>
      <w:r w:rsidRPr="00DA18AE">
        <w:rPr>
          <w:lang w:val="fr-FR"/>
        </w:rPr>
        <w:t>orientation efficaces permettant d</w:t>
      </w:r>
      <w:r w:rsidR="00277023">
        <w:rPr>
          <w:lang w:val="fr-FR"/>
        </w:rPr>
        <w:t>’</w:t>
      </w:r>
      <w:r w:rsidRPr="00DA18AE">
        <w:rPr>
          <w:lang w:val="fr-FR"/>
        </w:rPr>
        <w:t>associer les établissements scolaires et les spécialistes médicaux dans la perspective de la fourniture d</w:t>
      </w:r>
      <w:r w:rsidR="00277023">
        <w:rPr>
          <w:lang w:val="fr-FR"/>
        </w:rPr>
        <w:t>’</w:t>
      </w:r>
      <w:r w:rsidRPr="00DA18AE">
        <w:rPr>
          <w:lang w:val="fr-FR"/>
        </w:rPr>
        <w:t>une éducation à l</w:t>
      </w:r>
      <w:r w:rsidR="00277023">
        <w:rPr>
          <w:lang w:val="fr-FR"/>
        </w:rPr>
        <w:t>’</w:t>
      </w:r>
      <w:r w:rsidRPr="00DA18AE">
        <w:rPr>
          <w:lang w:val="fr-FR"/>
        </w:rPr>
        <w:t>hygiène mentale aux élèves. De plus, des études de cas portant sur des exemples pratiques d</w:t>
      </w:r>
      <w:r w:rsidR="00277023">
        <w:rPr>
          <w:lang w:val="fr-FR"/>
        </w:rPr>
        <w:t>’</w:t>
      </w:r>
      <w:r w:rsidRPr="00DA18AE">
        <w:rPr>
          <w:lang w:val="fr-FR"/>
        </w:rPr>
        <w:t>éducation sexuelle à l</w:t>
      </w:r>
      <w:r w:rsidR="00277023">
        <w:rPr>
          <w:lang w:val="fr-FR"/>
        </w:rPr>
        <w:t>’</w:t>
      </w:r>
      <w:r w:rsidRPr="00DA18AE">
        <w:rPr>
          <w:lang w:val="fr-FR"/>
        </w:rPr>
        <w:t>école et des documents répondant de manière exhaustive aux questions que se posent les élèves, comme les maladies sexuellement transmissibles, vont être préparés et distribués, tandis que des ateliers seront organisés à l</w:t>
      </w:r>
      <w:r w:rsidR="00277023">
        <w:rPr>
          <w:lang w:val="fr-FR"/>
        </w:rPr>
        <w:t>’</w:t>
      </w:r>
      <w:r w:rsidRPr="00DA18AE">
        <w:rPr>
          <w:lang w:val="fr-FR"/>
        </w:rPr>
        <w:t>intention du personnel scolaire chargé de l</w:t>
      </w:r>
      <w:r w:rsidR="00277023">
        <w:rPr>
          <w:lang w:val="fr-FR"/>
        </w:rPr>
        <w:t>’</w:t>
      </w:r>
      <w:r w:rsidRPr="00DA18AE">
        <w:rPr>
          <w:lang w:val="fr-FR"/>
        </w:rPr>
        <w:t>éducation sexuelle.</w:t>
      </w:r>
    </w:p>
    <w:p w:rsidR="00DA18AE" w:rsidRPr="00DA18AE" w:rsidRDefault="00DA18AE" w:rsidP="00DA18AE">
      <w:pPr>
        <w:pStyle w:val="SingleTxtG"/>
        <w:rPr>
          <w:lang w:val="fr-FR"/>
        </w:rPr>
      </w:pPr>
      <w:r w:rsidRPr="00DA18AE">
        <w:rPr>
          <w:lang w:val="fr-FR"/>
        </w:rPr>
        <w:t>(Conseils en matière de nutrition)</w:t>
      </w:r>
    </w:p>
    <w:p w:rsidR="00DA18AE" w:rsidRPr="00DA18AE" w:rsidRDefault="00DA18AE" w:rsidP="00DA18AE">
      <w:pPr>
        <w:pStyle w:val="SingleTxtG"/>
        <w:rPr>
          <w:lang w:val="fr-FR"/>
        </w:rPr>
      </w:pPr>
      <w:r w:rsidRPr="00DA18AE">
        <w:rPr>
          <w:lang w:val="fr-FR"/>
        </w:rPr>
        <w:t>365.</w:t>
      </w:r>
      <w:r w:rsidRPr="00DA18AE">
        <w:rPr>
          <w:lang w:val="fr-FR"/>
        </w:rPr>
        <w:tab/>
        <w:t>Dans l</w:t>
      </w:r>
      <w:r w:rsidR="00277023">
        <w:rPr>
          <w:lang w:val="fr-FR"/>
        </w:rPr>
        <w:t>’</w:t>
      </w:r>
      <w:r w:rsidRPr="00DA18AE">
        <w:rPr>
          <w:lang w:val="fr-FR"/>
        </w:rPr>
        <w:t xml:space="preserve">objectif de voir les Japonais se forger une santé physique et mentale tout au long de leur vie et se doter de grandes qualités humaines, </w:t>
      </w:r>
      <w:smartTag w:uri="urn:schemas-microsoft-com:office:smarttags" w:element="PersonName">
        <w:smartTagPr>
          <w:attr w:name="ProductID" w:val="la Loi"/>
        </w:smartTagPr>
        <w:r w:rsidRPr="00DA18AE">
          <w:rPr>
            <w:lang w:val="fr-FR"/>
          </w:rPr>
          <w:t>la Loi</w:t>
        </w:r>
      </w:smartTag>
      <w:r w:rsidRPr="00DA18AE">
        <w:rPr>
          <w:lang w:val="fr-FR"/>
        </w:rPr>
        <w:t xml:space="preserve"> fondamentale relative à l</w:t>
      </w:r>
      <w:r w:rsidR="00277023">
        <w:rPr>
          <w:lang w:val="fr-FR"/>
        </w:rPr>
        <w:t>’</w:t>
      </w:r>
      <w:r w:rsidRPr="00DA18AE">
        <w:rPr>
          <w:lang w:val="fr-FR"/>
        </w:rPr>
        <w:t>éducation nutritionnelle, dont le but est de promouvoir de façon globale et systématique l</w:t>
      </w:r>
      <w:r w:rsidR="00277023">
        <w:rPr>
          <w:lang w:val="fr-FR"/>
        </w:rPr>
        <w:t>’</w:t>
      </w:r>
      <w:r w:rsidRPr="00DA18AE">
        <w:rPr>
          <w:lang w:val="fr-FR"/>
        </w:rPr>
        <w:t>éducation nutritionnelle, a été promulguée en juin 2005 et a pris effet au mois de juillet de la même année.</w:t>
      </w:r>
      <w:r w:rsidR="00EA1115">
        <w:rPr>
          <w:lang w:val="fr-FR"/>
        </w:rPr>
        <w:t xml:space="preserve"> </w:t>
      </w:r>
      <w:r w:rsidRPr="00DA18AE">
        <w:rPr>
          <w:lang w:val="fr-FR"/>
        </w:rPr>
        <w:t>Un Comité pour la promotion de l</w:t>
      </w:r>
      <w:r w:rsidR="00277023">
        <w:rPr>
          <w:lang w:val="fr-FR"/>
        </w:rPr>
        <w:t>’</w:t>
      </w:r>
      <w:r w:rsidRPr="00DA18AE">
        <w:rPr>
          <w:lang w:val="fr-FR"/>
        </w:rPr>
        <w:t>éducation nutritionnelle, placé sous l</w:t>
      </w:r>
      <w:r w:rsidR="00277023">
        <w:rPr>
          <w:lang w:val="fr-FR"/>
        </w:rPr>
        <w:t>’</w:t>
      </w:r>
      <w:r w:rsidRPr="00DA18AE">
        <w:rPr>
          <w:lang w:val="fr-FR"/>
        </w:rPr>
        <w:t>égide du premier Ministre et composé de membres du Cabinet concernés et de personnalités majeures du secteur privé, a adopté un Plan de base pour la promotion de l</w:t>
      </w:r>
      <w:r w:rsidR="00277023">
        <w:rPr>
          <w:lang w:val="fr-FR"/>
        </w:rPr>
        <w:t>’</w:t>
      </w:r>
      <w:r w:rsidRPr="00DA18AE">
        <w:rPr>
          <w:lang w:val="fr-FR"/>
        </w:rPr>
        <w:t>éducation nutritionnelle en mars 2006. Ce Plan servira à mettre sur pied une éducation nutritionnelle dans le cadre d</w:t>
      </w:r>
      <w:r w:rsidR="00277023">
        <w:rPr>
          <w:lang w:val="fr-FR"/>
        </w:rPr>
        <w:t>’</w:t>
      </w:r>
      <w:r w:rsidRPr="00DA18AE">
        <w:rPr>
          <w:lang w:val="fr-FR"/>
        </w:rPr>
        <w:t>une campagne nationale qui associera les pouvoirs publics, des organismes administratifs locaux et des personnes travaillant dans des domaines ayant trait à la famille, l</w:t>
      </w:r>
      <w:r w:rsidR="00277023">
        <w:rPr>
          <w:lang w:val="fr-FR"/>
        </w:rPr>
        <w:t>’</w:t>
      </w:r>
      <w:r w:rsidRPr="00DA18AE">
        <w:rPr>
          <w:lang w:val="fr-FR"/>
        </w:rPr>
        <w:t>école, la communauté etc. En particulier, il est nécessaire que les communautés et les sociétés favorisent l</w:t>
      </w:r>
      <w:r w:rsidR="00277023">
        <w:rPr>
          <w:lang w:val="fr-FR"/>
        </w:rPr>
        <w:t>’</w:t>
      </w:r>
      <w:r w:rsidRPr="00DA18AE">
        <w:rPr>
          <w:lang w:val="fr-FR"/>
        </w:rPr>
        <w:t>éducation nutritionnelle des enfants, sachant qu</w:t>
      </w:r>
      <w:r w:rsidR="00277023">
        <w:rPr>
          <w:lang w:val="fr-FR"/>
        </w:rPr>
        <w:t>’</w:t>
      </w:r>
      <w:r w:rsidRPr="00DA18AE">
        <w:rPr>
          <w:lang w:val="fr-FR"/>
        </w:rPr>
        <w:t>il est fondamental que les enfants qui vont construire l</w:t>
      </w:r>
      <w:r w:rsidR="00277023">
        <w:rPr>
          <w:lang w:val="fr-FR"/>
        </w:rPr>
        <w:t>’</w:t>
      </w:r>
      <w:r w:rsidRPr="00DA18AE">
        <w:rPr>
          <w:lang w:val="fr-FR"/>
        </w:rPr>
        <w:t>avenir du Japon tiennent compte de la diététique, essentielle à la bonne santé physique et mentale tout au long de la vie, au développement de grandes qualités humaines et à l</w:t>
      </w:r>
      <w:r w:rsidR="00277023">
        <w:rPr>
          <w:lang w:val="fr-FR"/>
        </w:rPr>
        <w:t>’</w:t>
      </w:r>
      <w:r w:rsidRPr="00DA18AE">
        <w:rPr>
          <w:lang w:val="fr-FR"/>
        </w:rPr>
        <w:t>essor continu d</w:t>
      </w:r>
      <w:r w:rsidR="00277023">
        <w:rPr>
          <w:lang w:val="fr-FR"/>
        </w:rPr>
        <w:t>’</w:t>
      </w:r>
      <w:r w:rsidRPr="00DA18AE">
        <w:rPr>
          <w:lang w:val="fr-FR"/>
        </w:rPr>
        <w:t>un pays dynamique et attrayant. Ces efforts contribueront à l</w:t>
      </w:r>
      <w:r w:rsidR="00277023">
        <w:rPr>
          <w:lang w:val="fr-FR"/>
        </w:rPr>
        <w:t>’</w:t>
      </w:r>
      <w:r w:rsidRPr="00DA18AE">
        <w:rPr>
          <w:lang w:val="fr-FR"/>
        </w:rPr>
        <w:t>édification d</w:t>
      </w:r>
      <w:r w:rsidR="00277023">
        <w:rPr>
          <w:lang w:val="fr-FR"/>
        </w:rPr>
        <w:t>’</w:t>
      </w:r>
      <w:r w:rsidRPr="00DA18AE">
        <w:rPr>
          <w:lang w:val="fr-FR"/>
        </w:rPr>
        <w:t>une société dans laquelle la population japonaise pourra préserver sa santé physique et mentale tout au long de la vie et se doter de grandes qualités humaines.</w:t>
      </w:r>
    </w:p>
    <w:p w:rsidR="00DA18AE" w:rsidRPr="00DA18AE" w:rsidRDefault="00DA18AE" w:rsidP="00DA18AE">
      <w:pPr>
        <w:pStyle w:val="SingleTxtG"/>
        <w:rPr>
          <w:lang w:val="fr-FR"/>
        </w:rPr>
      </w:pPr>
      <w:r w:rsidRPr="00DA18AE">
        <w:rPr>
          <w:lang w:val="fr-FR"/>
        </w:rPr>
        <w:t>366.</w:t>
      </w:r>
      <w:r w:rsidRPr="00DA18AE">
        <w:rPr>
          <w:lang w:val="fr-FR"/>
        </w:rPr>
        <w:tab/>
        <w:t>En raison de l</w:t>
      </w:r>
      <w:r w:rsidR="00277023">
        <w:rPr>
          <w:lang w:val="fr-FR"/>
        </w:rPr>
        <w:t>’</w:t>
      </w:r>
      <w:r w:rsidRPr="00DA18AE">
        <w:rPr>
          <w:lang w:val="fr-FR"/>
        </w:rPr>
        <w:t>évolution du contexte social entourant les habitudes alimentaires, on observe de plus en plus de cas de régimes alimentaires déséquilibrés et de tendances à l</w:t>
      </w:r>
      <w:r w:rsidR="00277023">
        <w:rPr>
          <w:lang w:val="fr-FR"/>
        </w:rPr>
        <w:t>’</w:t>
      </w:r>
      <w:r w:rsidRPr="00DA18AE">
        <w:rPr>
          <w:lang w:val="fr-FR"/>
        </w:rPr>
        <w:t>obésité chez les enfants (malnutrition, absence de petit déjeuner)</w:t>
      </w:r>
      <w:r w:rsidR="00277023">
        <w:rPr>
          <w:lang w:val="fr-FR"/>
        </w:rPr>
        <w:t>;</w:t>
      </w:r>
      <w:r w:rsidRPr="00DA18AE">
        <w:rPr>
          <w:lang w:val="fr-FR"/>
        </w:rPr>
        <w:t xml:space="preserve"> la promotion d</w:t>
      </w:r>
      <w:r w:rsidR="00277023">
        <w:rPr>
          <w:lang w:val="fr-FR"/>
        </w:rPr>
        <w:t>’</w:t>
      </w:r>
      <w:r w:rsidRPr="00DA18AE">
        <w:rPr>
          <w:lang w:val="fr-FR"/>
        </w:rPr>
        <w:t>une éducation nutritionnelle revêt ainsi une importance majeure pour que ces enfants adoptent des régimes alimentaires plus sains. L</w:t>
      </w:r>
      <w:r w:rsidR="00277023">
        <w:rPr>
          <w:lang w:val="fr-FR"/>
        </w:rPr>
        <w:t>’</w:t>
      </w:r>
      <w:r w:rsidRPr="00DA18AE">
        <w:rPr>
          <w:lang w:val="fr-FR"/>
        </w:rPr>
        <w:t>éducation nutritionnelle permet également aux enfants de se familiariser avec la culture et les produits locaux, d</w:t>
      </w:r>
      <w:r w:rsidR="00277023">
        <w:rPr>
          <w:lang w:val="fr-FR"/>
        </w:rPr>
        <w:t>’</w:t>
      </w:r>
      <w:r w:rsidRPr="00DA18AE">
        <w:rPr>
          <w:lang w:val="fr-FR"/>
        </w:rPr>
        <w:t>en savoir plus à cet égard, ce qui laisse espérer que les traditions seront ainsi transmises à la génération suivante. Compte tenu de ce qui précède, un système d</w:t>
      </w:r>
      <w:r w:rsidR="00277023">
        <w:rPr>
          <w:lang w:val="fr-FR"/>
        </w:rPr>
        <w:t>’</w:t>
      </w:r>
      <w:r w:rsidRPr="00DA18AE">
        <w:rPr>
          <w:lang w:val="fr-FR"/>
        </w:rPr>
        <w:t>enseignement de la diététique et de la nutrition a été instauré en avril 2005 afin de mettre en place une structure de promotion de l</w:t>
      </w:r>
      <w:r w:rsidR="00277023">
        <w:rPr>
          <w:lang w:val="fr-FR"/>
        </w:rPr>
        <w:t>’</w:t>
      </w:r>
      <w:r w:rsidRPr="00DA18AE">
        <w:rPr>
          <w:lang w:val="fr-FR"/>
        </w:rPr>
        <w:t>éducation nutritionnelle dans les établissements scolaires. Les plans comprennent l</w:t>
      </w:r>
      <w:r w:rsidR="00277023">
        <w:rPr>
          <w:lang w:val="fr-FR"/>
        </w:rPr>
        <w:t>’</w:t>
      </w:r>
      <w:r w:rsidRPr="00DA18AE">
        <w:rPr>
          <w:lang w:val="fr-FR"/>
        </w:rPr>
        <w:t>application progressive du système d</w:t>
      </w:r>
      <w:r w:rsidR="00277023">
        <w:rPr>
          <w:lang w:val="fr-FR"/>
        </w:rPr>
        <w:t>’</w:t>
      </w:r>
      <w:r w:rsidRPr="00DA18AE">
        <w:rPr>
          <w:lang w:val="fr-FR"/>
        </w:rPr>
        <w:t>enseignement de la diététique et de la nutrition, des projets en faveur de l</w:t>
      </w:r>
      <w:r w:rsidR="00277023">
        <w:rPr>
          <w:lang w:val="fr-FR"/>
        </w:rPr>
        <w:t>’</w:t>
      </w:r>
      <w:r w:rsidRPr="00DA18AE">
        <w:rPr>
          <w:lang w:val="fr-FR"/>
        </w:rPr>
        <w:t>éducation nutritionnelle, assurée essentiellement par des diététiciens et des nutritionnistes en coopération avec les établissements scolaires, les familles et les communautés, et des études pratiques sur l</w:t>
      </w:r>
      <w:r w:rsidR="00277023">
        <w:rPr>
          <w:lang w:val="fr-FR"/>
        </w:rPr>
        <w:t>’</w:t>
      </w:r>
      <w:r w:rsidRPr="00DA18AE">
        <w:rPr>
          <w:lang w:val="fr-FR"/>
        </w:rPr>
        <w:t>encouragement à utiliser des produits et du riz locaux dans les repas scolaires.</w:t>
      </w:r>
    </w:p>
    <w:p w:rsidR="00DA18AE" w:rsidRPr="00DA18AE" w:rsidRDefault="00DA18AE" w:rsidP="00DA18AE">
      <w:pPr>
        <w:pStyle w:val="SingleTxtG"/>
        <w:rPr>
          <w:lang w:val="fr-FR"/>
        </w:rPr>
      </w:pPr>
      <w:r w:rsidRPr="00DA18AE">
        <w:rPr>
          <w:lang w:val="fr-FR"/>
        </w:rPr>
        <w:t>(Santé maternelle et infantile)</w:t>
      </w:r>
    </w:p>
    <w:p w:rsidR="00DA18AE" w:rsidRPr="00DA18AE" w:rsidRDefault="00DA18AE" w:rsidP="00DA18AE">
      <w:pPr>
        <w:pStyle w:val="SingleTxtG"/>
        <w:rPr>
          <w:lang w:val="fr-FR"/>
        </w:rPr>
      </w:pPr>
      <w:r w:rsidRPr="00DA18AE">
        <w:rPr>
          <w:lang w:val="fr-FR"/>
        </w:rPr>
        <w:t>367.</w:t>
      </w:r>
      <w:r w:rsidRPr="00DA18AE">
        <w:rPr>
          <w:lang w:val="fr-FR"/>
        </w:rPr>
        <w:tab/>
        <w:t xml:space="preserve">Voir paragraphe 298 du deuxième rapport du Japon (paragraphe 181 du rapport initial du Japon). </w:t>
      </w:r>
    </w:p>
    <w:p w:rsidR="00DA18AE" w:rsidRPr="00DA18AE" w:rsidRDefault="00DA18AE" w:rsidP="00DA18AE">
      <w:pPr>
        <w:pStyle w:val="H23G"/>
        <w:rPr>
          <w:i/>
          <w:lang w:val="fr-FR"/>
        </w:rPr>
      </w:pPr>
      <w:r>
        <w:rPr>
          <w:lang w:val="fr-FR"/>
        </w:rPr>
        <w:tab/>
        <w:t>b)</w:t>
      </w:r>
      <w:r>
        <w:rPr>
          <w:lang w:val="fr-FR"/>
        </w:rPr>
        <w:tab/>
      </w:r>
      <w:r w:rsidRPr="00DA18AE">
        <w:rPr>
          <w:lang w:val="fr-FR"/>
        </w:rPr>
        <w:t>Mesures adoptées pour examiner les changements intervenus après le rapport initial: impact sur la vie des enfants; indicateurs utilisés pour évaluer les progrès réalisés et les problèmes rencontrés dans l</w:t>
      </w:r>
      <w:r w:rsidR="00277023">
        <w:rPr>
          <w:lang w:val="fr-FR"/>
        </w:rPr>
        <w:t>’</w:t>
      </w:r>
      <w:r w:rsidRPr="00DA18AE">
        <w:rPr>
          <w:lang w:val="fr-FR"/>
        </w:rPr>
        <w:t xml:space="preserve">application de </w:t>
      </w:r>
      <w:smartTag w:uri="urn:schemas-microsoft-com:office:smarttags" w:element="PersonName">
        <w:smartTagPr>
          <w:attr w:name="ProductID" w:val="LA CONVENTION"/>
        </w:smartTagPr>
        <w:r w:rsidRPr="00DA18AE">
          <w:rPr>
            <w:lang w:val="fr-FR"/>
          </w:rPr>
          <w:t>la Convention</w:t>
        </w:r>
      </w:smartTag>
    </w:p>
    <w:p w:rsidR="00DA18AE" w:rsidRPr="00DA18AE" w:rsidRDefault="00DA18AE" w:rsidP="00DA18AE">
      <w:pPr>
        <w:pStyle w:val="SingleTxtG"/>
        <w:rPr>
          <w:lang w:val="fr-FR"/>
        </w:rPr>
      </w:pPr>
      <w:r w:rsidRPr="00DA18AE">
        <w:rPr>
          <w:lang w:val="fr-FR"/>
        </w:rPr>
        <w:t xml:space="preserve">(Amélioration des soins médicaux et des soins de santé de base) </w:t>
      </w:r>
    </w:p>
    <w:p w:rsidR="00DA18AE" w:rsidRPr="00DA18AE" w:rsidRDefault="00DA18AE" w:rsidP="00DA18AE">
      <w:pPr>
        <w:pStyle w:val="SingleTxtG"/>
        <w:rPr>
          <w:lang w:val="fr-FR"/>
        </w:rPr>
      </w:pPr>
      <w:r w:rsidRPr="00DA18AE">
        <w:rPr>
          <w:lang w:val="fr-FR"/>
        </w:rPr>
        <w:t>368.</w:t>
      </w:r>
      <w:r w:rsidRPr="00DA18AE">
        <w:rPr>
          <w:lang w:val="fr-FR"/>
        </w:rPr>
        <w:tab/>
        <w:t xml:space="preserve">Voir paragraphes 299 à 302, 303 à 308 du deuxième rapport du Japon. </w:t>
      </w:r>
    </w:p>
    <w:p w:rsidR="00DA18AE" w:rsidRPr="00DA18AE" w:rsidRDefault="00DA18AE" w:rsidP="00DA18AE">
      <w:pPr>
        <w:pStyle w:val="SingleTxtG"/>
        <w:rPr>
          <w:lang w:val="fr-FR"/>
        </w:rPr>
      </w:pPr>
      <w:r w:rsidRPr="00DA18AE">
        <w:rPr>
          <w:lang w:val="fr-FR"/>
        </w:rPr>
        <w:t xml:space="preserve">(Mesures de lutte contre les maladies infectieuses) </w:t>
      </w:r>
    </w:p>
    <w:p w:rsidR="00DA18AE" w:rsidRPr="00DA18AE" w:rsidRDefault="00DA18AE" w:rsidP="00DA18AE">
      <w:pPr>
        <w:pStyle w:val="SingleTxtG"/>
        <w:rPr>
          <w:lang w:val="fr-FR"/>
        </w:rPr>
      </w:pPr>
      <w:r w:rsidRPr="00DA18AE">
        <w:rPr>
          <w:lang w:val="fr-FR"/>
        </w:rPr>
        <w:t>369.</w:t>
      </w:r>
      <w:r w:rsidRPr="00DA18AE">
        <w:rPr>
          <w:lang w:val="fr-FR"/>
        </w:rPr>
        <w:tab/>
        <w:t>La situation et les tendances actuelles concernant la fréquence des maladies sexuellement transmissibles (syphilis, infection génitale à chlamydia, herpès génital, condyloma acuminatum, gonorrhée) et du syndrome immunodéficitaire acquis (sida) font actuellement l</w:t>
      </w:r>
      <w:r w:rsidR="00277023">
        <w:rPr>
          <w:lang w:val="fr-FR"/>
        </w:rPr>
        <w:t>’</w:t>
      </w:r>
      <w:r w:rsidRPr="00DA18AE">
        <w:rPr>
          <w:lang w:val="fr-FR"/>
        </w:rPr>
        <w:t>objet d</w:t>
      </w:r>
      <w:r w:rsidR="00277023">
        <w:rPr>
          <w:lang w:val="fr-FR"/>
        </w:rPr>
        <w:t>’</w:t>
      </w:r>
      <w:r w:rsidRPr="00DA18AE">
        <w:rPr>
          <w:lang w:val="fr-FR"/>
        </w:rPr>
        <w:t xml:space="preserve">études, conformément à </w:t>
      </w:r>
      <w:smartTag w:uri="urn:schemas-microsoft-com:office:smarttags" w:element="PersonName">
        <w:smartTagPr>
          <w:attr w:name="ProductID" w:val="la Loi"/>
        </w:smartTagPr>
        <w:r w:rsidRPr="00DA18AE">
          <w:rPr>
            <w:lang w:val="fr-FR"/>
          </w:rPr>
          <w:t>la Loi</w:t>
        </w:r>
      </w:smartTag>
      <w:r w:rsidRPr="00DA18AE">
        <w:rPr>
          <w:lang w:val="fr-FR"/>
        </w:rPr>
        <w:t xml:space="preserve"> sur la prévention des maladies infectieuses et aux soins aux patients souffrant de ces maladies. Des directives sur la prévention de certaines maladies infectieuses connexes aux maladies sexuellement transmissibles et d</w:t>
      </w:r>
      <w:r w:rsidR="00277023">
        <w:rPr>
          <w:lang w:val="fr-FR"/>
        </w:rPr>
        <w:t>’</w:t>
      </w:r>
      <w:r w:rsidRPr="00DA18AE">
        <w:rPr>
          <w:lang w:val="fr-FR"/>
        </w:rPr>
        <w:t xml:space="preserve">autres sur la prévention de certaines maladies infectieuses connexes au syndrome immunodéficitaire acquis ont été formulées à partir de </w:t>
      </w:r>
      <w:smartTag w:uri="urn:schemas-microsoft-com:office:smarttags" w:element="PersonName">
        <w:smartTagPr>
          <w:attr w:name="ProductID" w:val="la Loi. Aux"/>
        </w:smartTagPr>
        <w:r w:rsidRPr="00DA18AE">
          <w:rPr>
            <w:lang w:val="fr-FR"/>
          </w:rPr>
          <w:t>la Loi. Aux</w:t>
        </w:r>
      </w:smartTag>
      <w:r w:rsidRPr="00DA18AE">
        <w:rPr>
          <w:lang w:val="fr-FR"/>
        </w:rPr>
        <w:t xml:space="preserve"> termes de ces directives, des mesures préventives telles que le dépistage et la diffusion d</w:t>
      </w:r>
      <w:r w:rsidR="00277023">
        <w:rPr>
          <w:lang w:val="fr-FR"/>
        </w:rPr>
        <w:t>’</w:t>
      </w:r>
      <w:r w:rsidRPr="00DA18AE">
        <w:rPr>
          <w:lang w:val="fr-FR"/>
        </w:rPr>
        <w:t xml:space="preserve">informations précises sont mises en oeuvre en coopération avec les collectivités locales, des experts médicaux et le secteur privé. </w:t>
      </w:r>
    </w:p>
    <w:p w:rsidR="00DA18AE" w:rsidRPr="00DA18AE" w:rsidRDefault="00DA18AE" w:rsidP="00DA18AE">
      <w:pPr>
        <w:pStyle w:val="SingleTxtG"/>
        <w:rPr>
          <w:lang w:val="fr-FR"/>
        </w:rPr>
      </w:pPr>
      <w:r w:rsidRPr="00DA18AE">
        <w:rPr>
          <w:lang w:val="fr-FR"/>
        </w:rPr>
        <w:t>(Pourcentage d</w:t>
      </w:r>
      <w:r w:rsidR="00277023">
        <w:rPr>
          <w:lang w:val="fr-FR"/>
        </w:rPr>
        <w:t>’</w:t>
      </w:r>
      <w:r w:rsidRPr="00DA18AE">
        <w:rPr>
          <w:lang w:val="fr-FR"/>
        </w:rPr>
        <w:t>enfants nés prématurément)</w:t>
      </w:r>
    </w:p>
    <w:p w:rsidR="00D3561A" w:rsidRPr="00DA18AE" w:rsidRDefault="00DA18AE" w:rsidP="00DA18AE">
      <w:pPr>
        <w:pStyle w:val="SingleTxtG"/>
        <w:rPr>
          <w:lang w:val="fr-FR"/>
        </w:rPr>
      </w:pPr>
      <w:r w:rsidRPr="00DA18AE">
        <w:rPr>
          <w:lang w:val="fr-FR"/>
        </w:rPr>
        <w:t>370.</w:t>
      </w:r>
      <w:r w:rsidRPr="00DA18AE">
        <w:rPr>
          <w:lang w:val="fr-FR"/>
        </w:rPr>
        <w:tab/>
        <w:t>Récemment, le pourcentage de nourrissons souffrant d</w:t>
      </w:r>
      <w:r w:rsidR="00277023">
        <w:rPr>
          <w:lang w:val="fr-FR"/>
        </w:rPr>
        <w:t>’</w:t>
      </w:r>
      <w:r w:rsidRPr="00DA18AE">
        <w:rPr>
          <w:lang w:val="fr-FR"/>
        </w:rPr>
        <w:t xml:space="preserve">une insuffisance pondérale à la naissance (moins de </w:t>
      </w:r>
      <w:smartTag w:uri="urn:schemas-microsoft-com:office:smarttags" w:element="metricconverter">
        <w:smartTagPr>
          <w:attr w:name="ProductID" w:val="2,500 kg"/>
        </w:smartTagPr>
        <w:r w:rsidRPr="00DA18AE">
          <w:rPr>
            <w:lang w:val="fr-FR"/>
          </w:rPr>
          <w:t>2,500 kg</w:t>
        </w:r>
      </w:smartTag>
      <w:r w:rsidRPr="00DA18AE">
        <w:rPr>
          <w:lang w:val="fr-FR"/>
        </w:rPr>
        <w:t>) a augmenté au Japon, en partie à causes de l</w:t>
      </w:r>
      <w:r w:rsidR="00277023">
        <w:rPr>
          <w:lang w:val="fr-FR"/>
        </w:rPr>
        <w:t>’</w:t>
      </w:r>
      <w:r w:rsidRPr="00DA18AE">
        <w:rPr>
          <w:lang w:val="fr-FR"/>
        </w:rPr>
        <w:t>augmentation des naissances multiples dues aux traitements médicaux favorisant la procréation. Le taux de mortalité des nouveau-nés souffrant d</w:t>
      </w:r>
      <w:r w:rsidR="00277023">
        <w:rPr>
          <w:lang w:val="fr-FR"/>
        </w:rPr>
        <w:t>’</w:t>
      </w:r>
      <w:r w:rsidRPr="00DA18AE">
        <w:rPr>
          <w:lang w:val="fr-FR"/>
        </w:rPr>
        <w:t>insuffisance pondérale diminue grâce à l</w:t>
      </w:r>
      <w:r w:rsidR="00277023">
        <w:rPr>
          <w:lang w:val="fr-FR"/>
        </w:rPr>
        <w:t>’</w:t>
      </w:r>
      <w:r w:rsidRPr="00DA18AE">
        <w:rPr>
          <w:lang w:val="fr-FR"/>
        </w:rPr>
        <w:t>amélioration des soins prénatals, périnatals et postnatals.</w:t>
      </w:r>
    </w:p>
    <w:p w:rsidR="00D3561A" w:rsidRPr="008E5027" w:rsidRDefault="00365506" w:rsidP="002C75A6">
      <w:pPr>
        <w:pStyle w:val="Heading1"/>
        <w:tabs>
          <w:tab w:val="left" w:pos="3075"/>
        </w:tabs>
      </w:pPr>
      <w:r w:rsidRPr="00F206B8">
        <w:rPr>
          <w:lang w:val="fr-FR"/>
        </w:rPr>
        <w:t>Tableau</w:t>
      </w:r>
      <w:r w:rsidRPr="00DA18AE">
        <w:t xml:space="preserve"> </w:t>
      </w:r>
      <w:r w:rsidR="00D3561A" w:rsidRPr="008E5027">
        <w:t>21</w:t>
      </w:r>
    </w:p>
    <w:p w:rsidR="00D3561A" w:rsidRPr="008E5027" w:rsidRDefault="00DA18AE" w:rsidP="00C874F0">
      <w:pPr>
        <w:pStyle w:val="SingleTxtG"/>
        <w:spacing w:after="0"/>
        <w:jc w:val="left"/>
        <w:rPr>
          <w:b/>
          <w:bCs/>
        </w:rPr>
      </w:pPr>
      <w:r w:rsidRPr="00DA18AE">
        <w:rPr>
          <w:b/>
          <w:lang w:val="fr-FR"/>
        </w:rPr>
        <w:t>Nouveau-nés souffrant d</w:t>
      </w:r>
      <w:r w:rsidR="00277023">
        <w:rPr>
          <w:b/>
          <w:lang w:val="fr-FR"/>
        </w:rPr>
        <w:t>’</w:t>
      </w:r>
      <w:r w:rsidRPr="00DA18AE">
        <w:rPr>
          <w:b/>
          <w:lang w:val="fr-FR"/>
        </w:rPr>
        <w:t>une insuffisance pondérale à la naissance</w:t>
      </w:r>
    </w:p>
    <w:p w:rsidR="00D3561A" w:rsidRPr="008E5027" w:rsidRDefault="00D3561A" w:rsidP="00C874F0">
      <w:pPr>
        <w:pStyle w:val="SingleTxtG"/>
        <w:jc w:val="left"/>
        <w:rPr>
          <w:sz w:val="16"/>
          <w:szCs w:val="16"/>
        </w:rPr>
      </w:pPr>
      <w:r w:rsidRPr="008E5027">
        <w:rPr>
          <w:sz w:val="16"/>
          <w:szCs w:val="16"/>
        </w:rPr>
        <w:t>(</w:t>
      </w:r>
      <w:r w:rsidR="00DA18AE" w:rsidRPr="00DA18AE">
        <w:rPr>
          <w:bCs/>
          <w:sz w:val="16"/>
          <w:szCs w:val="16"/>
          <w:lang w:val="fr-FR"/>
        </w:rPr>
        <w:t>pourcentage sur l</w:t>
      </w:r>
      <w:r w:rsidR="00277023">
        <w:rPr>
          <w:bCs/>
          <w:sz w:val="16"/>
          <w:szCs w:val="16"/>
          <w:lang w:val="fr-FR"/>
        </w:rPr>
        <w:t>’</w:t>
      </w:r>
      <w:r w:rsidR="00DA18AE" w:rsidRPr="00DA18AE">
        <w:rPr>
          <w:bCs/>
          <w:sz w:val="16"/>
          <w:szCs w:val="16"/>
          <w:lang w:val="fr-FR"/>
        </w:rPr>
        <w:t>ensemble des nourrissons</w:t>
      </w:r>
      <w:r w:rsidRPr="008E5027">
        <w:rPr>
          <w:sz w:val="16"/>
          <w:szCs w:val="16"/>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850"/>
        <w:gridCol w:w="850"/>
        <w:gridCol w:w="850"/>
        <w:gridCol w:w="851"/>
        <w:gridCol w:w="850"/>
        <w:gridCol w:w="850"/>
        <w:gridCol w:w="851"/>
      </w:tblGrid>
      <w:tr w:rsidR="00D3561A" w:rsidRPr="008E5027" w:rsidTr="008A6C88">
        <w:tc>
          <w:tcPr>
            <w:tcW w:w="1418" w:type="dxa"/>
            <w:tcBorders>
              <w:top w:val="single" w:sz="4" w:space="0" w:color="auto"/>
              <w:bottom w:val="single" w:sz="12" w:space="0" w:color="auto"/>
            </w:tcBorders>
            <w:shd w:val="clear" w:color="auto" w:fill="auto"/>
            <w:vAlign w:val="bottom"/>
          </w:tcPr>
          <w:p w:rsidR="00D3561A" w:rsidRPr="008E5027" w:rsidRDefault="008A6C88" w:rsidP="008A6C88">
            <w:pPr>
              <w:pStyle w:val="SingleTxtG"/>
              <w:spacing w:before="80" w:after="80" w:line="200" w:lineRule="exact"/>
              <w:ind w:left="0" w:right="0"/>
              <w:jc w:val="left"/>
              <w:rPr>
                <w:i/>
                <w:sz w:val="16"/>
              </w:rPr>
            </w:pPr>
            <w:r w:rsidRPr="008A6C88">
              <w:rPr>
                <w:i/>
                <w:sz w:val="16"/>
                <w:lang w:val="fr-FR"/>
              </w:rPr>
              <w:t>Année</w:t>
            </w:r>
          </w:p>
        </w:tc>
        <w:tc>
          <w:tcPr>
            <w:tcW w:w="850" w:type="dxa"/>
            <w:tcBorders>
              <w:top w:val="single" w:sz="4" w:space="0" w:color="auto"/>
              <w:bottom w:val="single" w:sz="12" w:space="0" w:color="auto"/>
            </w:tcBorders>
            <w:shd w:val="clear" w:color="auto" w:fill="auto"/>
            <w:vAlign w:val="bottom"/>
          </w:tcPr>
          <w:p w:rsidR="00D3561A" w:rsidRPr="008E5027" w:rsidRDefault="00D3561A" w:rsidP="008A6C88">
            <w:pPr>
              <w:pStyle w:val="SingleTxtG"/>
              <w:spacing w:before="80" w:after="80" w:line="200" w:lineRule="exact"/>
              <w:ind w:left="0" w:right="0"/>
              <w:jc w:val="right"/>
              <w:rPr>
                <w:i/>
                <w:sz w:val="16"/>
              </w:rPr>
            </w:pPr>
            <w:r w:rsidRPr="008E5027">
              <w:rPr>
                <w:i/>
                <w:sz w:val="16"/>
              </w:rPr>
              <w:t>1975</w:t>
            </w:r>
          </w:p>
        </w:tc>
        <w:tc>
          <w:tcPr>
            <w:tcW w:w="850" w:type="dxa"/>
            <w:tcBorders>
              <w:top w:val="single" w:sz="4" w:space="0" w:color="auto"/>
              <w:bottom w:val="single" w:sz="12" w:space="0" w:color="auto"/>
            </w:tcBorders>
            <w:shd w:val="clear" w:color="auto" w:fill="auto"/>
            <w:vAlign w:val="bottom"/>
          </w:tcPr>
          <w:p w:rsidR="00D3561A" w:rsidRPr="008E5027" w:rsidRDefault="00D3561A" w:rsidP="008A6C88">
            <w:pPr>
              <w:pStyle w:val="SingleTxtG"/>
              <w:spacing w:before="80" w:after="80" w:line="200" w:lineRule="exact"/>
              <w:ind w:left="0" w:right="0"/>
              <w:jc w:val="right"/>
              <w:rPr>
                <w:i/>
                <w:sz w:val="16"/>
              </w:rPr>
            </w:pPr>
            <w:r w:rsidRPr="008E5027">
              <w:rPr>
                <w:i/>
                <w:sz w:val="16"/>
              </w:rPr>
              <w:t>1985</w:t>
            </w:r>
          </w:p>
        </w:tc>
        <w:tc>
          <w:tcPr>
            <w:tcW w:w="850" w:type="dxa"/>
            <w:tcBorders>
              <w:top w:val="single" w:sz="4" w:space="0" w:color="auto"/>
              <w:bottom w:val="single" w:sz="12" w:space="0" w:color="auto"/>
            </w:tcBorders>
            <w:shd w:val="clear" w:color="auto" w:fill="auto"/>
            <w:vAlign w:val="bottom"/>
          </w:tcPr>
          <w:p w:rsidR="00D3561A" w:rsidRPr="008E5027" w:rsidRDefault="00D3561A" w:rsidP="008A6C88">
            <w:pPr>
              <w:pStyle w:val="SingleTxtG"/>
              <w:spacing w:before="80" w:after="80" w:line="200" w:lineRule="exact"/>
              <w:ind w:left="0" w:right="0"/>
              <w:jc w:val="right"/>
              <w:rPr>
                <w:i/>
                <w:sz w:val="16"/>
              </w:rPr>
            </w:pPr>
            <w:r w:rsidRPr="008E5027">
              <w:rPr>
                <w:i/>
                <w:sz w:val="16"/>
              </w:rPr>
              <w:t>1990</w:t>
            </w:r>
          </w:p>
        </w:tc>
        <w:tc>
          <w:tcPr>
            <w:tcW w:w="851" w:type="dxa"/>
            <w:tcBorders>
              <w:top w:val="single" w:sz="4" w:space="0" w:color="auto"/>
              <w:bottom w:val="single" w:sz="12" w:space="0" w:color="auto"/>
            </w:tcBorders>
            <w:shd w:val="clear" w:color="auto" w:fill="auto"/>
            <w:vAlign w:val="bottom"/>
          </w:tcPr>
          <w:p w:rsidR="00D3561A" w:rsidRPr="008E5027" w:rsidRDefault="00D3561A" w:rsidP="008A6C88">
            <w:pPr>
              <w:pStyle w:val="SingleTxtG"/>
              <w:spacing w:before="80" w:after="80" w:line="200" w:lineRule="exact"/>
              <w:ind w:left="0" w:right="0"/>
              <w:jc w:val="right"/>
              <w:rPr>
                <w:i/>
                <w:sz w:val="16"/>
              </w:rPr>
            </w:pPr>
            <w:r w:rsidRPr="008E5027">
              <w:rPr>
                <w:i/>
                <w:sz w:val="16"/>
              </w:rPr>
              <w:t>1995</w:t>
            </w:r>
          </w:p>
        </w:tc>
        <w:tc>
          <w:tcPr>
            <w:tcW w:w="850" w:type="dxa"/>
            <w:tcBorders>
              <w:top w:val="single" w:sz="4" w:space="0" w:color="auto"/>
              <w:bottom w:val="single" w:sz="12" w:space="0" w:color="auto"/>
            </w:tcBorders>
            <w:shd w:val="clear" w:color="auto" w:fill="auto"/>
            <w:vAlign w:val="bottom"/>
          </w:tcPr>
          <w:p w:rsidR="00D3561A" w:rsidRPr="008E5027" w:rsidRDefault="00D3561A" w:rsidP="008A6C88">
            <w:pPr>
              <w:pStyle w:val="SingleTxtG"/>
              <w:spacing w:before="80" w:after="80" w:line="200" w:lineRule="exact"/>
              <w:ind w:left="0" w:right="0"/>
              <w:jc w:val="right"/>
              <w:rPr>
                <w:i/>
                <w:sz w:val="16"/>
              </w:rPr>
            </w:pPr>
            <w:r w:rsidRPr="008E5027">
              <w:rPr>
                <w:i/>
                <w:sz w:val="16"/>
              </w:rPr>
              <w:t>2000</w:t>
            </w:r>
          </w:p>
        </w:tc>
        <w:tc>
          <w:tcPr>
            <w:tcW w:w="850" w:type="dxa"/>
            <w:tcBorders>
              <w:top w:val="single" w:sz="4" w:space="0" w:color="auto"/>
              <w:bottom w:val="single" w:sz="12" w:space="0" w:color="auto"/>
            </w:tcBorders>
            <w:shd w:val="clear" w:color="auto" w:fill="auto"/>
            <w:vAlign w:val="bottom"/>
          </w:tcPr>
          <w:p w:rsidR="00D3561A" w:rsidRPr="008E5027" w:rsidRDefault="00D3561A" w:rsidP="008A6C88">
            <w:pPr>
              <w:pStyle w:val="SingleTxtG"/>
              <w:spacing w:before="80" w:after="80" w:line="200" w:lineRule="exact"/>
              <w:ind w:left="0" w:right="0"/>
              <w:jc w:val="right"/>
              <w:rPr>
                <w:i/>
                <w:sz w:val="16"/>
              </w:rPr>
            </w:pPr>
            <w:r w:rsidRPr="008E5027">
              <w:rPr>
                <w:i/>
                <w:sz w:val="16"/>
              </w:rPr>
              <w:t>2003</w:t>
            </w:r>
          </w:p>
        </w:tc>
        <w:tc>
          <w:tcPr>
            <w:tcW w:w="851" w:type="dxa"/>
            <w:tcBorders>
              <w:top w:val="single" w:sz="4" w:space="0" w:color="auto"/>
              <w:bottom w:val="single" w:sz="12" w:space="0" w:color="auto"/>
            </w:tcBorders>
            <w:shd w:val="clear" w:color="auto" w:fill="auto"/>
            <w:vAlign w:val="bottom"/>
          </w:tcPr>
          <w:p w:rsidR="00D3561A" w:rsidRPr="008E5027" w:rsidRDefault="00D3561A" w:rsidP="008A6C88">
            <w:pPr>
              <w:pStyle w:val="SingleTxtG"/>
              <w:spacing w:before="80" w:after="80" w:line="200" w:lineRule="exact"/>
              <w:ind w:left="0" w:right="0"/>
              <w:jc w:val="right"/>
              <w:rPr>
                <w:i/>
                <w:sz w:val="16"/>
              </w:rPr>
            </w:pPr>
            <w:r w:rsidRPr="008E5027">
              <w:rPr>
                <w:i/>
                <w:sz w:val="16"/>
              </w:rPr>
              <w:t>2004</w:t>
            </w:r>
          </w:p>
        </w:tc>
      </w:tr>
      <w:tr w:rsidR="00D3561A" w:rsidRPr="008E5027" w:rsidTr="008A6C88">
        <w:tc>
          <w:tcPr>
            <w:tcW w:w="1418" w:type="dxa"/>
            <w:tcBorders>
              <w:top w:val="single" w:sz="12" w:space="0" w:color="auto"/>
              <w:bottom w:val="single" w:sz="4" w:space="0" w:color="auto"/>
            </w:tcBorders>
            <w:shd w:val="clear" w:color="auto" w:fill="auto"/>
            <w:vAlign w:val="bottom"/>
          </w:tcPr>
          <w:p w:rsidR="00D3561A" w:rsidRPr="008E5027" w:rsidRDefault="00D3561A" w:rsidP="008A6C88">
            <w:pPr>
              <w:pStyle w:val="SingleTxtG"/>
              <w:suppressAutoHyphens w:val="0"/>
              <w:spacing w:before="80" w:after="80" w:line="220" w:lineRule="exact"/>
              <w:ind w:left="284" w:right="0"/>
              <w:jc w:val="left"/>
              <w:rPr>
                <w:b/>
                <w:sz w:val="18"/>
              </w:rPr>
            </w:pPr>
            <w:r w:rsidRPr="008E5027">
              <w:rPr>
                <w:b/>
                <w:sz w:val="18"/>
              </w:rPr>
              <w:t>Total</w:t>
            </w:r>
          </w:p>
        </w:tc>
        <w:tc>
          <w:tcPr>
            <w:tcW w:w="850" w:type="dxa"/>
            <w:tcBorders>
              <w:top w:val="single" w:sz="12" w:space="0" w:color="auto"/>
              <w:bottom w:val="single" w:sz="4" w:space="0" w:color="auto"/>
            </w:tcBorders>
            <w:shd w:val="clear" w:color="auto" w:fill="auto"/>
            <w:vAlign w:val="bottom"/>
          </w:tcPr>
          <w:p w:rsidR="00D3561A" w:rsidRPr="008E5027" w:rsidRDefault="00D3561A" w:rsidP="008A6C88">
            <w:pPr>
              <w:pStyle w:val="SingleTxtG"/>
              <w:suppressAutoHyphens w:val="0"/>
              <w:spacing w:before="80" w:after="80" w:line="220" w:lineRule="exact"/>
              <w:ind w:left="0" w:right="0"/>
              <w:jc w:val="right"/>
              <w:rPr>
                <w:b/>
                <w:sz w:val="18"/>
              </w:rPr>
            </w:pPr>
            <w:r w:rsidRPr="008E5027">
              <w:rPr>
                <w:b/>
                <w:sz w:val="18"/>
              </w:rPr>
              <w:t>100</w:t>
            </w:r>
            <w:r w:rsidR="008A6C88">
              <w:rPr>
                <w:b/>
                <w:sz w:val="18"/>
              </w:rPr>
              <w:t>,</w:t>
            </w:r>
            <w:r w:rsidRPr="008E5027">
              <w:rPr>
                <w:b/>
                <w:sz w:val="18"/>
              </w:rPr>
              <w:t>0</w:t>
            </w:r>
          </w:p>
        </w:tc>
        <w:tc>
          <w:tcPr>
            <w:tcW w:w="850" w:type="dxa"/>
            <w:tcBorders>
              <w:top w:val="single" w:sz="12" w:space="0" w:color="auto"/>
              <w:bottom w:val="single" w:sz="4" w:space="0" w:color="auto"/>
            </w:tcBorders>
            <w:shd w:val="clear" w:color="auto" w:fill="auto"/>
            <w:vAlign w:val="bottom"/>
          </w:tcPr>
          <w:p w:rsidR="00D3561A" w:rsidRPr="008E5027" w:rsidRDefault="00D3561A" w:rsidP="008A6C88">
            <w:pPr>
              <w:pStyle w:val="SingleTxtG"/>
              <w:suppressAutoHyphens w:val="0"/>
              <w:spacing w:before="80" w:after="80" w:line="220" w:lineRule="exact"/>
              <w:ind w:left="0" w:right="0"/>
              <w:jc w:val="right"/>
              <w:rPr>
                <w:b/>
                <w:sz w:val="18"/>
              </w:rPr>
            </w:pPr>
            <w:r w:rsidRPr="008E5027">
              <w:rPr>
                <w:b/>
                <w:sz w:val="18"/>
              </w:rPr>
              <w:t>100</w:t>
            </w:r>
            <w:r w:rsidR="008A6C88">
              <w:rPr>
                <w:b/>
                <w:sz w:val="18"/>
              </w:rPr>
              <w:t>,</w:t>
            </w:r>
            <w:r w:rsidRPr="008E5027">
              <w:rPr>
                <w:b/>
                <w:sz w:val="18"/>
              </w:rPr>
              <w:t>0</w:t>
            </w:r>
          </w:p>
        </w:tc>
        <w:tc>
          <w:tcPr>
            <w:tcW w:w="850" w:type="dxa"/>
            <w:tcBorders>
              <w:top w:val="single" w:sz="12" w:space="0" w:color="auto"/>
              <w:bottom w:val="single" w:sz="4" w:space="0" w:color="auto"/>
            </w:tcBorders>
            <w:shd w:val="clear" w:color="auto" w:fill="auto"/>
            <w:vAlign w:val="bottom"/>
          </w:tcPr>
          <w:p w:rsidR="00D3561A" w:rsidRPr="008E5027" w:rsidRDefault="00D3561A" w:rsidP="008A6C88">
            <w:pPr>
              <w:pStyle w:val="SingleTxtG"/>
              <w:suppressAutoHyphens w:val="0"/>
              <w:spacing w:before="80" w:after="80" w:line="220" w:lineRule="exact"/>
              <w:ind w:left="0" w:right="0"/>
              <w:jc w:val="right"/>
              <w:rPr>
                <w:b/>
                <w:sz w:val="18"/>
              </w:rPr>
            </w:pPr>
            <w:r w:rsidRPr="008E5027">
              <w:rPr>
                <w:b/>
                <w:sz w:val="18"/>
              </w:rPr>
              <w:t>100</w:t>
            </w:r>
            <w:r w:rsidR="008A6C88">
              <w:rPr>
                <w:b/>
                <w:sz w:val="18"/>
              </w:rPr>
              <w:t>,</w:t>
            </w:r>
            <w:r w:rsidRPr="008E5027">
              <w:rPr>
                <w:b/>
                <w:sz w:val="18"/>
              </w:rPr>
              <w:t>0</w:t>
            </w:r>
          </w:p>
        </w:tc>
        <w:tc>
          <w:tcPr>
            <w:tcW w:w="851" w:type="dxa"/>
            <w:tcBorders>
              <w:top w:val="single" w:sz="12" w:space="0" w:color="auto"/>
              <w:bottom w:val="single" w:sz="4" w:space="0" w:color="auto"/>
            </w:tcBorders>
            <w:shd w:val="clear" w:color="auto" w:fill="auto"/>
            <w:vAlign w:val="bottom"/>
          </w:tcPr>
          <w:p w:rsidR="00D3561A" w:rsidRPr="008E5027" w:rsidRDefault="00D3561A" w:rsidP="008A6C88">
            <w:pPr>
              <w:pStyle w:val="SingleTxtG"/>
              <w:suppressAutoHyphens w:val="0"/>
              <w:spacing w:before="80" w:after="80" w:line="220" w:lineRule="exact"/>
              <w:ind w:left="0" w:right="0"/>
              <w:jc w:val="right"/>
              <w:rPr>
                <w:b/>
                <w:sz w:val="18"/>
              </w:rPr>
            </w:pPr>
            <w:r w:rsidRPr="008E5027">
              <w:rPr>
                <w:b/>
                <w:sz w:val="18"/>
              </w:rPr>
              <w:t>100</w:t>
            </w:r>
            <w:r w:rsidR="008A6C88">
              <w:rPr>
                <w:b/>
                <w:sz w:val="18"/>
              </w:rPr>
              <w:t>,</w:t>
            </w:r>
            <w:r w:rsidRPr="008E5027">
              <w:rPr>
                <w:b/>
                <w:sz w:val="18"/>
              </w:rPr>
              <w:t>0</w:t>
            </w:r>
          </w:p>
        </w:tc>
        <w:tc>
          <w:tcPr>
            <w:tcW w:w="850" w:type="dxa"/>
            <w:tcBorders>
              <w:top w:val="single" w:sz="12" w:space="0" w:color="auto"/>
              <w:bottom w:val="single" w:sz="4" w:space="0" w:color="auto"/>
            </w:tcBorders>
            <w:shd w:val="clear" w:color="auto" w:fill="auto"/>
            <w:vAlign w:val="bottom"/>
          </w:tcPr>
          <w:p w:rsidR="00D3561A" w:rsidRPr="008E5027" w:rsidRDefault="00D3561A" w:rsidP="008A6C88">
            <w:pPr>
              <w:pStyle w:val="SingleTxtG"/>
              <w:suppressAutoHyphens w:val="0"/>
              <w:spacing w:before="80" w:after="80" w:line="220" w:lineRule="exact"/>
              <w:ind w:left="0" w:right="0"/>
              <w:jc w:val="right"/>
              <w:rPr>
                <w:b/>
                <w:sz w:val="18"/>
              </w:rPr>
            </w:pPr>
            <w:r w:rsidRPr="008E5027">
              <w:rPr>
                <w:b/>
                <w:sz w:val="18"/>
              </w:rPr>
              <w:t>100</w:t>
            </w:r>
            <w:r w:rsidR="008A6C88">
              <w:rPr>
                <w:b/>
                <w:sz w:val="18"/>
              </w:rPr>
              <w:t>,</w:t>
            </w:r>
            <w:r w:rsidRPr="008E5027">
              <w:rPr>
                <w:b/>
                <w:sz w:val="18"/>
              </w:rPr>
              <w:t>0</w:t>
            </w:r>
          </w:p>
        </w:tc>
        <w:tc>
          <w:tcPr>
            <w:tcW w:w="850" w:type="dxa"/>
            <w:tcBorders>
              <w:top w:val="single" w:sz="12" w:space="0" w:color="auto"/>
              <w:bottom w:val="single" w:sz="4" w:space="0" w:color="auto"/>
            </w:tcBorders>
            <w:shd w:val="clear" w:color="auto" w:fill="auto"/>
            <w:vAlign w:val="bottom"/>
          </w:tcPr>
          <w:p w:rsidR="00D3561A" w:rsidRPr="008E5027" w:rsidRDefault="00D3561A" w:rsidP="008A6C88">
            <w:pPr>
              <w:pStyle w:val="SingleTxtG"/>
              <w:suppressAutoHyphens w:val="0"/>
              <w:spacing w:before="80" w:after="80" w:line="220" w:lineRule="exact"/>
              <w:ind w:left="0" w:right="0"/>
              <w:jc w:val="right"/>
              <w:rPr>
                <w:b/>
                <w:sz w:val="18"/>
              </w:rPr>
            </w:pPr>
            <w:r w:rsidRPr="008E5027">
              <w:rPr>
                <w:b/>
                <w:sz w:val="18"/>
              </w:rPr>
              <w:t>100</w:t>
            </w:r>
            <w:r w:rsidR="008A6C88">
              <w:rPr>
                <w:b/>
                <w:sz w:val="18"/>
              </w:rPr>
              <w:t>,</w:t>
            </w:r>
            <w:r w:rsidRPr="008E5027">
              <w:rPr>
                <w:b/>
                <w:sz w:val="18"/>
              </w:rPr>
              <w:t>0</w:t>
            </w:r>
          </w:p>
        </w:tc>
        <w:tc>
          <w:tcPr>
            <w:tcW w:w="851" w:type="dxa"/>
            <w:tcBorders>
              <w:top w:val="single" w:sz="12" w:space="0" w:color="auto"/>
              <w:bottom w:val="single" w:sz="4" w:space="0" w:color="auto"/>
            </w:tcBorders>
            <w:shd w:val="clear" w:color="auto" w:fill="auto"/>
            <w:vAlign w:val="bottom"/>
          </w:tcPr>
          <w:p w:rsidR="00D3561A" w:rsidRPr="008E5027" w:rsidRDefault="00D3561A" w:rsidP="008A6C88">
            <w:pPr>
              <w:pStyle w:val="SingleTxtG"/>
              <w:suppressAutoHyphens w:val="0"/>
              <w:spacing w:before="80" w:after="80" w:line="220" w:lineRule="exact"/>
              <w:ind w:left="0" w:right="0"/>
              <w:jc w:val="right"/>
              <w:rPr>
                <w:b/>
                <w:sz w:val="18"/>
              </w:rPr>
            </w:pPr>
            <w:r w:rsidRPr="008E5027">
              <w:rPr>
                <w:b/>
                <w:sz w:val="18"/>
              </w:rPr>
              <w:t>100</w:t>
            </w:r>
            <w:r w:rsidR="008A6C88">
              <w:rPr>
                <w:b/>
                <w:sz w:val="18"/>
              </w:rPr>
              <w:t>,</w:t>
            </w:r>
            <w:r w:rsidRPr="008E5027">
              <w:rPr>
                <w:b/>
                <w:sz w:val="18"/>
              </w:rPr>
              <w:t>0</w:t>
            </w:r>
          </w:p>
        </w:tc>
      </w:tr>
      <w:tr w:rsidR="00D3561A" w:rsidRPr="008E5027" w:rsidTr="008A6C88">
        <w:tc>
          <w:tcPr>
            <w:tcW w:w="1418" w:type="dxa"/>
            <w:tcBorders>
              <w:top w:val="single" w:sz="4" w:space="0" w:color="auto"/>
            </w:tcBorders>
            <w:shd w:val="clear" w:color="auto" w:fill="auto"/>
            <w:vAlign w:val="bottom"/>
          </w:tcPr>
          <w:p w:rsidR="00D3561A" w:rsidRPr="008E5027" w:rsidRDefault="008A6C88" w:rsidP="008A6C88">
            <w:pPr>
              <w:pStyle w:val="SingleTxtG"/>
              <w:suppressAutoHyphens w:val="0"/>
              <w:spacing w:before="40" w:after="40" w:line="220" w:lineRule="exact"/>
              <w:ind w:left="0" w:right="0"/>
              <w:jc w:val="left"/>
              <w:rPr>
                <w:sz w:val="18"/>
              </w:rPr>
            </w:pPr>
            <w:r w:rsidRPr="008A6C88">
              <w:rPr>
                <w:sz w:val="18"/>
                <w:lang w:val="fr-FR"/>
              </w:rPr>
              <w:t xml:space="preserve">Moins de </w:t>
            </w:r>
            <w:smartTag w:uri="urn:schemas-microsoft-com:office:smarttags" w:element="metricconverter">
              <w:smartTagPr>
                <w:attr w:name="ProductID" w:val="2,500 kg"/>
              </w:smartTagPr>
              <w:r w:rsidRPr="008A6C88">
                <w:rPr>
                  <w:sz w:val="18"/>
                  <w:lang w:val="fr-FR"/>
                </w:rPr>
                <w:t>2,500 kg</w:t>
              </w:r>
            </w:smartTag>
          </w:p>
        </w:tc>
        <w:tc>
          <w:tcPr>
            <w:tcW w:w="850" w:type="dxa"/>
            <w:tcBorders>
              <w:top w:val="single" w:sz="4"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5</w:t>
            </w:r>
            <w:r w:rsidR="008A6C88">
              <w:rPr>
                <w:sz w:val="18"/>
              </w:rPr>
              <w:t>,</w:t>
            </w:r>
            <w:r w:rsidRPr="008E5027">
              <w:rPr>
                <w:sz w:val="18"/>
              </w:rPr>
              <w:t>1</w:t>
            </w:r>
          </w:p>
        </w:tc>
        <w:tc>
          <w:tcPr>
            <w:tcW w:w="850" w:type="dxa"/>
            <w:tcBorders>
              <w:top w:val="single" w:sz="4"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5</w:t>
            </w:r>
            <w:r w:rsidR="008A6C88">
              <w:rPr>
                <w:sz w:val="18"/>
              </w:rPr>
              <w:t>,</w:t>
            </w:r>
            <w:r w:rsidRPr="008E5027">
              <w:rPr>
                <w:sz w:val="18"/>
              </w:rPr>
              <w:t>5</w:t>
            </w:r>
          </w:p>
        </w:tc>
        <w:tc>
          <w:tcPr>
            <w:tcW w:w="850" w:type="dxa"/>
            <w:tcBorders>
              <w:top w:val="single" w:sz="4"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6</w:t>
            </w:r>
            <w:r w:rsidR="008A6C88">
              <w:rPr>
                <w:sz w:val="18"/>
              </w:rPr>
              <w:t>,</w:t>
            </w:r>
            <w:r w:rsidRPr="008E5027">
              <w:rPr>
                <w:sz w:val="18"/>
              </w:rPr>
              <w:t>3</w:t>
            </w:r>
          </w:p>
        </w:tc>
        <w:tc>
          <w:tcPr>
            <w:tcW w:w="851" w:type="dxa"/>
            <w:tcBorders>
              <w:top w:val="single" w:sz="4"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7</w:t>
            </w:r>
            <w:r w:rsidR="008A6C88">
              <w:rPr>
                <w:sz w:val="18"/>
              </w:rPr>
              <w:t>,</w:t>
            </w:r>
            <w:r w:rsidRPr="008E5027">
              <w:rPr>
                <w:sz w:val="18"/>
              </w:rPr>
              <w:t>5</w:t>
            </w:r>
          </w:p>
        </w:tc>
        <w:tc>
          <w:tcPr>
            <w:tcW w:w="850" w:type="dxa"/>
            <w:tcBorders>
              <w:top w:val="single" w:sz="4"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8</w:t>
            </w:r>
            <w:r w:rsidR="008A6C88">
              <w:rPr>
                <w:sz w:val="18"/>
              </w:rPr>
              <w:t>,</w:t>
            </w:r>
            <w:r w:rsidRPr="008E5027">
              <w:rPr>
                <w:sz w:val="18"/>
              </w:rPr>
              <w:t>6</w:t>
            </w:r>
          </w:p>
        </w:tc>
        <w:tc>
          <w:tcPr>
            <w:tcW w:w="850" w:type="dxa"/>
            <w:tcBorders>
              <w:top w:val="single" w:sz="4"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9</w:t>
            </w:r>
            <w:r w:rsidR="008A6C88">
              <w:rPr>
                <w:sz w:val="18"/>
              </w:rPr>
              <w:t>,</w:t>
            </w:r>
            <w:r w:rsidRPr="008E5027">
              <w:rPr>
                <w:sz w:val="18"/>
              </w:rPr>
              <w:t>1</w:t>
            </w:r>
          </w:p>
        </w:tc>
        <w:tc>
          <w:tcPr>
            <w:tcW w:w="851" w:type="dxa"/>
            <w:tcBorders>
              <w:top w:val="single" w:sz="4"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9</w:t>
            </w:r>
            <w:r w:rsidR="008A6C88">
              <w:rPr>
                <w:sz w:val="18"/>
              </w:rPr>
              <w:t>,</w:t>
            </w:r>
            <w:r w:rsidRPr="008E5027">
              <w:rPr>
                <w:sz w:val="18"/>
              </w:rPr>
              <w:t>4</w:t>
            </w:r>
          </w:p>
        </w:tc>
      </w:tr>
      <w:tr w:rsidR="00D3561A" w:rsidRPr="008E5027" w:rsidTr="008A6C88">
        <w:tc>
          <w:tcPr>
            <w:tcW w:w="1418" w:type="dxa"/>
            <w:shd w:val="clear" w:color="auto" w:fill="auto"/>
            <w:vAlign w:val="bottom"/>
          </w:tcPr>
          <w:p w:rsidR="00D3561A" w:rsidRPr="008E5027" w:rsidRDefault="008A6C88" w:rsidP="008A6C88">
            <w:pPr>
              <w:pStyle w:val="SingleTxtG"/>
              <w:suppressAutoHyphens w:val="0"/>
              <w:spacing w:before="40" w:after="40" w:line="220" w:lineRule="exact"/>
              <w:ind w:left="0" w:right="0"/>
              <w:jc w:val="left"/>
              <w:rPr>
                <w:sz w:val="18"/>
              </w:rPr>
            </w:pPr>
            <w:r w:rsidRPr="008A6C88">
              <w:rPr>
                <w:sz w:val="18"/>
                <w:lang w:val="fr-FR"/>
              </w:rPr>
              <w:t xml:space="preserve">Moins de </w:t>
            </w:r>
            <w:smartTag w:uri="urn:schemas-microsoft-com:office:smarttags" w:element="metricconverter">
              <w:smartTagPr>
                <w:attr w:name="ProductID" w:val="1,500 kg"/>
              </w:smartTagPr>
              <w:r w:rsidRPr="008A6C88">
                <w:rPr>
                  <w:sz w:val="18"/>
                  <w:lang w:val="fr-FR"/>
                </w:rPr>
                <w:t>1,500 kg</w:t>
              </w:r>
            </w:smartTag>
          </w:p>
        </w:tc>
        <w:tc>
          <w:tcPr>
            <w:tcW w:w="850" w:type="dxa"/>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3</w:t>
            </w:r>
          </w:p>
        </w:tc>
        <w:tc>
          <w:tcPr>
            <w:tcW w:w="850" w:type="dxa"/>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5</w:t>
            </w:r>
          </w:p>
        </w:tc>
        <w:tc>
          <w:tcPr>
            <w:tcW w:w="850" w:type="dxa"/>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5</w:t>
            </w:r>
          </w:p>
        </w:tc>
        <w:tc>
          <w:tcPr>
            <w:tcW w:w="851" w:type="dxa"/>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6</w:t>
            </w:r>
          </w:p>
        </w:tc>
        <w:tc>
          <w:tcPr>
            <w:tcW w:w="850" w:type="dxa"/>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7</w:t>
            </w:r>
          </w:p>
        </w:tc>
        <w:tc>
          <w:tcPr>
            <w:tcW w:w="850" w:type="dxa"/>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7</w:t>
            </w:r>
          </w:p>
        </w:tc>
        <w:tc>
          <w:tcPr>
            <w:tcW w:w="851" w:type="dxa"/>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8</w:t>
            </w:r>
          </w:p>
        </w:tc>
      </w:tr>
      <w:tr w:rsidR="00D3561A" w:rsidRPr="008E5027" w:rsidTr="008A6C88">
        <w:tc>
          <w:tcPr>
            <w:tcW w:w="1418" w:type="dxa"/>
            <w:tcBorders>
              <w:bottom w:val="single" w:sz="12" w:space="0" w:color="auto"/>
            </w:tcBorders>
            <w:shd w:val="clear" w:color="auto" w:fill="auto"/>
            <w:vAlign w:val="bottom"/>
          </w:tcPr>
          <w:p w:rsidR="00D3561A" w:rsidRPr="008E5027" w:rsidRDefault="008A6C88" w:rsidP="008A6C88">
            <w:pPr>
              <w:pStyle w:val="SingleTxtG"/>
              <w:suppressAutoHyphens w:val="0"/>
              <w:spacing w:before="40" w:after="40" w:line="220" w:lineRule="exact"/>
              <w:ind w:left="0" w:right="0"/>
              <w:jc w:val="left"/>
              <w:rPr>
                <w:sz w:val="18"/>
              </w:rPr>
            </w:pPr>
            <w:r w:rsidRPr="008A6C88">
              <w:rPr>
                <w:sz w:val="18"/>
                <w:lang w:val="fr-FR"/>
              </w:rPr>
              <w:t xml:space="preserve">Moins de </w:t>
            </w:r>
            <w:smartTag w:uri="urn:schemas-microsoft-com:office:smarttags" w:element="metricconverter">
              <w:smartTagPr>
                <w:attr w:name="ProductID" w:val="1,000 kg"/>
              </w:smartTagPr>
              <w:r w:rsidRPr="008A6C88">
                <w:rPr>
                  <w:sz w:val="18"/>
                  <w:lang w:val="fr-FR"/>
                </w:rPr>
                <w:t>1,000 kg</w:t>
              </w:r>
            </w:smartTag>
          </w:p>
        </w:tc>
        <w:tc>
          <w:tcPr>
            <w:tcW w:w="850" w:type="dxa"/>
            <w:tcBorders>
              <w:bottom w:val="single" w:sz="12"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1</w:t>
            </w:r>
          </w:p>
        </w:tc>
        <w:tc>
          <w:tcPr>
            <w:tcW w:w="850" w:type="dxa"/>
            <w:tcBorders>
              <w:bottom w:val="single" w:sz="12"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2</w:t>
            </w:r>
          </w:p>
        </w:tc>
        <w:tc>
          <w:tcPr>
            <w:tcW w:w="850" w:type="dxa"/>
            <w:tcBorders>
              <w:bottom w:val="single" w:sz="12"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2</w:t>
            </w:r>
          </w:p>
        </w:tc>
        <w:tc>
          <w:tcPr>
            <w:tcW w:w="851" w:type="dxa"/>
            <w:tcBorders>
              <w:bottom w:val="single" w:sz="12"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2</w:t>
            </w:r>
          </w:p>
        </w:tc>
        <w:tc>
          <w:tcPr>
            <w:tcW w:w="850" w:type="dxa"/>
            <w:tcBorders>
              <w:bottom w:val="single" w:sz="12"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2</w:t>
            </w:r>
          </w:p>
        </w:tc>
        <w:tc>
          <w:tcPr>
            <w:tcW w:w="850" w:type="dxa"/>
            <w:tcBorders>
              <w:bottom w:val="single" w:sz="12"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3</w:t>
            </w:r>
          </w:p>
        </w:tc>
        <w:tc>
          <w:tcPr>
            <w:tcW w:w="851" w:type="dxa"/>
            <w:tcBorders>
              <w:bottom w:val="single" w:sz="12" w:space="0" w:color="auto"/>
            </w:tcBorders>
            <w:shd w:val="clear" w:color="auto" w:fill="auto"/>
            <w:vAlign w:val="bottom"/>
          </w:tcPr>
          <w:p w:rsidR="00D3561A" w:rsidRPr="008E5027" w:rsidRDefault="00D3561A" w:rsidP="008A6C88">
            <w:pPr>
              <w:pStyle w:val="SingleTxtG"/>
              <w:suppressAutoHyphens w:val="0"/>
              <w:spacing w:before="40" w:after="40" w:line="220" w:lineRule="exact"/>
              <w:ind w:left="0" w:right="0"/>
              <w:jc w:val="right"/>
              <w:rPr>
                <w:sz w:val="18"/>
              </w:rPr>
            </w:pPr>
            <w:r w:rsidRPr="008E5027">
              <w:rPr>
                <w:sz w:val="18"/>
              </w:rPr>
              <w:t>0</w:t>
            </w:r>
            <w:r w:rsidR="008A6C88">
              <w:rPr>
                <w:sz w:val="18"/>
              </w:rPr>
              <w:t>,</w:t>
            </w:r>
            <w:r w:rsidRPr="008E5027">
              <w:rPr>
                <w:sz w:val="18"/>
              </w:rPr>
              <w:t>3</w:t>
            </w:r>
          </w:p>
        </w:tc>
      </w:tr>
    </w:tbl>
    <w:p w:rsidR="00DA18AE" w:rsidRPr="00DA18AE" w:rsidRDefault="00DA18AE" w:rsidP="00DA18AE">
      <w:pPr>
        <w:pStyle w:val="SingleTxtG"/>
        <w:spacing w:before="240"/>
        <w:rPr>
          <w:lang w:val="fr-FR"/>
        </w:rPr>
      </w:pPr>
      <w:r w:rsidRPr="00DA18AE">
        <w:rPr>
          <w:lang w:val="fr-FR"/>
        </w:rPr>
        <w:t>(Formation dispensée au personnel travaillant en pédiatrie, y compris sur les maladies mentales)</w:t>
      </w:r>
    </w:p>
    <w:p w:rsidR="00DA18AE" w:rsidRPr="00DA18AE" w:rsidRDefault="00DA18AE" w:rsidP="00DA18AE">
      <w:pPr>
        <w:pStyle w:val="SingleTxtG"/>
        <w:rPr>
          <w:lang w:val="fr-FR"/>
        </w:rPr>
      </w:pPr>
      <w:r w:rsidRPr="00DA18AE">
        <w:rPr>
          <w:lang w:val="fr-FR"/>
        </w:rPr>
        <w:t>371.</w:t>
      </w:r>
      <w:r w:rsidRPr="00DA18AE">
        <w:rPr>
          <w:lang w:val="fr-FR"/>
        </w:rPr>
        <w:tab/>
        <w:t xml:space="preserve">Le personnel des centres de guidance infantile suit une formation au </w:t>
      </w:r>
      <w:r w:rsidR="008E49D4">
        <w:rPr>
          <w:lang w:val="fr-FR"/>
        </w:rPr>
        <w:t>“</w:t>
      </w:r>
      <w:r w:rsidRPr="00DA18AE">
        <w:rPr>
          <w:lang w:val="fr-FR"/>
        </w:rPr>
        <w:t>Children</w:t>
      </w:r>
      <w:r w:rsidR="00277023">
        <w:rPr>
          <w:lang w:val="fr-FR"/>
        </w:rPr>
        <w:t>’</w:t>
      </w:r>
      <w:r w:rsidRPr="00DA18AE">
        <w:rPr>
          <w:lang w:val="fr-FR"/>
        </w:rPr>
        <w:t>s Rainbow centre</w:t>
      </w:r>
      <w:r w:rsidR="008E49D4">
        <w:rPr>
          <w:lang w:val="fr-FR"/>
        </w:rPr>
        <w:t>”</w:t>
      </w:r>
      <w:r w:rsidRPr="00DA18AE">
        <w:rPr>
          <w:lang w:val="fr-FR"/>
        </w:rPr>
        <w:t>, créé en 2002, pour être en mesure de répondre aux questions relatives aux enfants, comme la maltraitance. Le personnel des foyers d</w:t>
      </w:r>
      <w:r w:rsidR="00277023">
        <w:rPr>
          <w:lang w:val="fr-FR"/>
        </w:rPr>
        <w:t>’</w:t>
      </w:r>
      <w:r w:rsidRPr="00DA18AE">
        <w:rPr>
          <w:lang w:val="fr-FR"/>
        </w:rPr>
        <w:t>Etat pour la formation et l</w:t>
      </w:r>
      <w:r w:rsidR="00277023">
        <w:rPr>
          <w:lang w:val="fr-FR"/>
        </w:rPr>
        <w:t>’</w:t>
      </w:r>
      <w:r w:rsidRPr="00DA18AE">
        <w:rPr>
          <w:lang w:val="fr-FR"/>
        </w:rPr>
        <w:t>éducation des mineurs et les autres intervenants dans le domaine de la protection sociale peuvent suivre des cours de recyclage et une formation continue à l</w:t>
      </w:r>
      <w:r w:rsidR="00277023">
        <w:rPr>
          <w:lang w:val="fr-FR"/>
        </w:rPr>
        <w:t>’</w:t>
      </w:r>
      <w:r w:rsidRPr="00DA18AE">
        <w:rPr>
          <w:lang w:val="fr-FR"/>
        </w:rPr>
        <w:t>Institut de formation pour le personnel spécialisé de l</w:t>
      </w:r>
      <w:r w:rsidR="00277023">
        <w:rPr>
          <w:lang w:val="fr-FR"/>
        </w:rPr>
        <w:t>’</w:t>
      </w:r>
      <w:r w:rsidRPr="00DA18AE">
        <w:rPr>
          <w:lang w:val="fr-FR"/>
        </w:rPr>
        <w:t>Institut d</w:t>
      </w:r>
      <w:r w:rsidR="00277023">
        <w:rPr>
          <w:lang w:val="fr-FR"/>
        </w:rPr>
        <w:t>’</w:t>
      </w:r>
      <w:r w:rsidRPr="00DA18AE">
        <w:rPr>
          <w:lang w:val="fr-FR"/>
        </w:rPr>
        <w:t>appui au développement d</w:t>
      </w:r>
      <w:r w:rsidR="00277023">
        <w:rPr>
          <w:lang w:val="fr-FR"/>
        </w:rPr>
        <w:t>’</w:t>
      </w:r>
      <w:r w:rsidRPr="00DA18AE">
        <w:rPr>
          <w:lang w:val="fr-FR"/>
        </w:rPr>
        <w:t>une capacité d</w:t>
      </w:r>
      <w:r w:rsidR="00277023">
        <w:rPr>
          <w:lang w:val="fr-FR"/>
        </w:rPr>
        <w:t>’</w:t>
      </w:r>
      <w:r w:rsidRPr="00DA18AE">
        <w:rPr>
          <w:lang w:val="fr-FR"/>
        </w:rPr>
        <w:t>autonomie des enfants, affilié à Musashino Gakuin. Ces sessions de formation traitent également la question de la santé mentale des mineurs. Il est demandé aux personnes qui ouvrent des crèches (collectivités locales, entreprises de protection sociale et autres) d</w:t>
      </w:r>
      <w:r w:rsidR="00277023">
        <w:rPr>
          <w:lang w:val="fr-FR"/>
        </w:rPr>
        <w:t>’</w:t>
      </w:r>
      <w:r w:rsidRPr="00DA18AE">
        <w:rPr>
          <w:lang w:val="fr-FR"/>
        </w:rPr>
        <w:t>offrir aux employés une formation sur la prise en charge des questions de santé mentale lorsqu</w:t>
      </w:r>
      <w:r w:rsidR="00277023">
        <w:rPr>
          <w:lang w:val="fr-FR"/>
        </w:rPr>
        <w:t>’</w:t>
      </w:r>
      <w:r w:rsidRPr="00DA18AE">
        <w:rPr>
          <w:lang w:val="fr-FR"/>
        </w:rPr>
        <w:t>ils s</w:t>
      </w:r>
      <w:r w:rsidR="00277023">
        <w:rPr>
          <w:lang w:val="fr-FR"/>
        </w:rPr>
        <w:t>’</w:t>
      </w:r>
      <w:r w:rsidRPr="00DA18AE">
        <w:rPr>
          <w:lang w:val="fr-FR"/>
        </w:rPr>
        <w:t>occupent d</w:t>
      </w:r>
      <w:r w:rsidR="00277023">
        <w:rPr>
          <w:lang w:val="fr-FR"/>
        </w:rPr>
        <w:t>’</w:t>
      </w:r>
      <w:r w:rsidRPr="00DA18AE">
        <w:rPr>
          <w:lang w:val="fr-FR"/>
        </w:rPr>
        <w:t>un enfant. De plus, les organisations qui dispensent les formations au personnel des crèches, y compris les éducatrices, doivent proposer une formation à cet égard. S</w:t>
      </w:r>
      <w:r w:rsidR="00277023">
        <w:rPr>
          <w:lang w:val="fr-FR"/>
        </w:rPr>
        <w:t>’</w:t>
      </w:r>
      <w:r w:rsidRPr="00DA18AE">
        <w:rPr>
          <w:lang w:val="fr-FR"/>
        </w:rPr>
        <w:t>agissant de la formation offerte par les gouvernements des préfectures au personnel sanitaire des communautés, comme les infirmières de santé publique, ce personnel composé essentiellement d</w:t>
      </w:r>
      <w:r w:rsidR="00277023">
        <w:rPr>
          <w:lang w:val="fr-FR"/>
        </w:rPr>
        <w:t>’</w:t>
      </w:r>
      <w:r w:rsidRPr="00DA18AE">
        <w:rPr>
          <w:lang w:val="fr-FR"/>
        </w:rPr>
        <w:t>employés municipaux suit une formation dans la ligne des conditions locales concrètes, organisée par les gouvernements des préfectures.</w:t>
      </w:r>
    </w:p>
    <w:p w:rsidR="00DA18AE" w:rsidRPr="00DA18AE" w:rsidRDefault="00DA18AE" w:rsidP="00DA18AE">
      <w:pPr>
        <w:pStyle w:val="SingleTxtG"/>
        <w:rPr>
          <w:lang w:val="fr-FR"/>
        </w:rPr>
      </w:pPr>
      <w:r w:rsidRPr="00DA18AE">
        <w:rPr>
          <w:lang w:val="fr-FR"/>
        </w:rPr>
        <w:t>372.</w:t>
      </w:r>
      <w:r w:rsidRPr="00DA18AE">
        <w:rPr>
          <w:lang w:val="fr-FR"/>
        </w:rPr>
        <w:tab/>
        <w:t>En outre, les auxiliaires médico-sociaux peuvent suivre une formation continue. La formation initiale et la formation en gestion des auxiliaires médico-sociaux sont organisées par l</w:t>
      </w:r>
      <w:r w:rsidR="00277023">
        <w:rPr>
          <w:lang w:val="fr-FR"/>
        </w:rPr>
        <w:t>’</w:t>
      </w:r>
      <w:r w:rsidRPr="00DA18AE">
        <w:rPr>
          <w:lang w:val="fr-FR"/>
        </w:rPr>
        <w:t>Institut national de la santé publique, dans le but de contribuer à la promotion du travail médico-social grâce à une qualification accrue du personnel. Des médecins, infirmières de santé publique, travailleurs psychosociaux des centres d</w:t>
      </w:r>
      <w:r w:rsidR="00277023">
        <w:rPr>
          <w:lang w:val="fr-FR"/>
        </w:rPr>
        <w:t>’</w:t>
      </w:r>
      <w:r w:rsidRPr="00DA18AE">
        <w:rPr>
          <w:lang w:val="fr-FR"/>
        </w:rPr>
        <w:t xml:space="preserve">hygiène mentale et de santé publique suivent également une formation dispensée par des spécialistes des soins de santé mentale aux enfants et adolescents. </w:t>
      </w:r>
    </w:p>
    <w:p w:rsidR="00DA18AE" w:rsidRPr="00DA18AE" w:rsidRDefault="00DA18AE" w:rsidP="00DA18AE">
      <w:pPr>
        <w:pStyle w:val="SingleTxtG"/>
        <w:rPr>
          <w:lang w:val="fr-FR"/>
        </w:rPr>
      </w:pPr>
      <w:r w:rsidRPr="00DA18AE">
        <w:rPr>
          <w:lang w:val="fr-FR"/>
        </w:rPr>
        <w:t>(</w:t>
      </w:r>
      <w:r w:rsidRPr="00DA18AE">
        <w:rPr>
          <w:bCs/>
          <w:iCs/>
          <w:lang w:val="fr-FR"/>
        </w:rPr>
        <w:t>Mesures adoptées pour prévenir les grossesses non désirées des adolescentes</w:t>
      </w:r>
      <w:r w:rsidRPr="00DA18AE">
        <w:rPr>
          <w:lang w:val="fr-FR"/>
        </w:rPr>
        <w:t>)</w:t>
      </w:r>
    </w:p>
    <w:p w:rsidR="00DA18AE" w:rsidRPr="00DA18AE" w:rsidRDefault="00DA18AE" w:rsidP="00DA18AE">
      <w:pPr>
        <w:pStyle w:val="SingleTxtG"/>
        <w:rPr>
          <w:lang w:val="fr-FR"/>
        </w:rPr>
      </w:pPr>
      <w:r w:rsidRPr="00DA18AE">
        <w:rPr>
          <w:lang w:val="fr-FR"/>
        </w:rPr>
        <w:t>373.</w:t>
      </w:r>
      <w:r w:rsidRPr="00DA18AE">
        <w:rPr>
          <w:lang w:val="fr-FR"/>
        </w:rPr>
        <w:tab/>
        <w:t>Voir paragraphe 309 du deuxième rapport du Japon.</w:t>
      </w:r>
    </w:p>
    <w:p w:rsidR="00DA18AE" w:rsidRPr="00DA18AE" w:rsidRDefault="00DA18AE" w:rsidP="00DA18AE">
      <w:pPr>
        <w:pStyle w:val="SingleTxtG"/>
        <w:rPr>
          <w:lang w:val="fr-FR"/>
        </w:rPr>
      </w:pPr>
      <w:r w:rsidRPr="00DA18AE">
        <w:rPr>
          <w:lang w:val="fr-FR"/>
        </w:rPr>
        <w:t>374.</w:t>
      </w:r>
      <w:r w:rsidRPr="00DA18AE">
        <w:rPr>
          <w:lang w:val="fr-FR"/>
        </w:rPr>
        <w:tab/>
        <w:t>Pour ce qui concerne la santé sexuelle et procréative, une étude a été menée entre 2002 et 2004</w:t>
      </w:r>
      <w:r w:rsidR="00EA1115">
        <w:rPr>
          <w:lang w:val="fr-FR"/>
        </w:rPr>
        <w:t xml:space="preserve"> </w:t>
      </w:r>
      <w:r w:rsidRPr="00DA18AE">
        <w:rPr>
          <w:lang w:val="fr-FR"/>
        </w:rPr>
        <w:t>dans le cadre des travaux de recherche du Ministère de la santé, du travail et de la protection sociale sur l</w:t>
      </w:r>
      <w:r w:rsidR="00277023">
        <w:rPr>
          <w:lang w:val="fr-FR"/>
        </w:rPr>
        <w:t>’</w:t>
      </w:r>
      <w:r w:rsidRPr="00DA18AE">
        <w:rPr>
          <w:lang w:val="fr-FR"/>
        </w:rPr>
        <w:t>élaboration d</w:t>
      </w:r>
      <w:r w:rsidR="00277023">
        <w:rPr>
          <w:lang w:val="fr-FR"/>
        </w:rPr>
        <w:t>’</w:t>
      </w:r>
      <w:r w:rsidRPr="00DA18AE">
        <w:rPr>
          <w:lang w:val="fr-FR"/>
        </w:rPr>
        <w:t>un programme éducatif efficace relatif au contrôle des naissances, afin de prévenir les grossesses non désirées et les avortements</w:t>
      </w:r>
      <w:r w:rsidR="00277023">
        <w:rPr>
          <w:lang w:val="fr-FR"/>
        </w:rPr>
        <w:t>;</w:t>
      </w:r>
      <w:r w:rsidRPr="00DA18AE">
        <w:rPr>
          <w:lang w:val="fr-FR"/>
        </w:rPr>
        <w:t xml:space="preserve"> cette étude doit fournir les données de base qui permettront d</w:t>
      </w:r>
      <w:r w:rsidR="00277023">
        <w:rPr>
          <w:lang w:val="fr-FR"/>
        </w:rPr>
        <w:t>’</w:t>
      </w:r>
      <w:r w:rsidRPr="00DA18AE">
        <w:rPr>
          <w:lang w:val="fr-FR"/>
        </w:rPr>
        <w:t>examiner les mesures à adopter par l</w:t>
      </w:r>
      <w:r w:rsidR="00277023">
        <w:rPr>
          <w:lang w:val="fr-FR"/>
        </w:rPr>
        <w:t>’</w:t>
      </w:r>
      <w:r w:rsidRPr="00DA18AE">
        <w:rPr>
          <w:lang w:val="fr-FR"/>
        </w:rPr>
        <w:t xml:space="preserve">administration. </w:t>
      </w:r>
    </w:p>
    <w:p w:rsidR="00DA18AE" w:rsidRPr="00DA18AE" w:rsidRDefault="00DA18AE" w:rsidP="00DA18AE">
      <w:pPr>
        <w:pStyle w:val="H23G"/>
        <w:rPr>
          <w:lang w:val="fr-FR"/>
        </w:rPr>
      </w:pPr>
      <w:r>
        <w:rPr>
          <w:lang w:val="fr-FR"/>
        </w:rPr>
        <w:tab/>
      </w:r>
      <w:r w:rsidRPr="00DA18AE">
        <w:rPr>
          <w:lang w:val="fr-FR"/>
        </w:rPr>
        <w:t>c)</w:t>
      </w:r>
      <w:r>
        <w:rPr>
          <w:lang w:val="fr-FR"/>
        </w:rPr>
        <w:tab/>
      </w:r>
      <w:r w:rsidRPr="00DA18AE">
        <w:rPr>
          <w:lang w:val="fr-FR"/>
        </w:rPr>
        <w:t>Contexte de la propagation du VIH/sida, éducation relative au VIH/sida, et mesures adoptées pour informer le public</w:t>
      </w:r>
    </w:p>
    <w:p w:rsidR="00DA18AE" w:rsidRPr="00DA18AE" w:rsidRDefault="00DA18AE" w:rsidP="00DA18AE">
      <w:pPr>
        <w:pStyle w:val="SingleTxtG"/>
        <w:rPr>
          <w:lang w:val="fr-FR"/>
        </w:rPr>
      </w:pPr>
      <w:r w:rsidRPr="00DA18AE">
        <w:rPr>
          <w:lang w:val="fr-FR"/>
        </w:rPr>
        <w:t xml:space="preserve">(Programmes et stratégies de prévention) </w:t>
      </w:r>
    </w:p>
    <w:p w:rsidR="00DA18AE" w:rsidRPr="00DA18AE" w:rsidRDefault="00DA18AE" w:rsidP="00DA18AE">
      <w:pPr>
        <w:pStyle w:val="SingleTxtG"/>
        <w:rPr>
          <w:lang w:val="fr-FR"/>
        </w:rPr>
      </w:pPr>
      <w:r w:rsidRPr="00DA18AE">
        <w:rPr>
          <w:lang w:val="fr-FR"/>
        </w:rPr>
        <w:t>375.</w:t>
      </w:r>
      <w:r w:rsidRPr="00DA18AE">
        <w:rPr>
          <w:lang w:val="fr-FR"/>
        </w:rPr>
        <w:tab/>
        <w:t xml:space="preserve">Voir paragraphes 310-313 du deuxième rapport du Japon. </w:t>
      </w:r>
    </w:p>
    <w:p w:rsidR="00DA18AE" w:rsidRPr="00DA18AE" w:rsidRDefault="00DA18AE" w:rsidP="00DA18AE">
      <w:pPr>
        <w:pStyle w:val="SingleTxtG"/>
        <w:rPr>
          <w:lang w:val="fr-FR"/>
        </w:rPr>
      </w:pPr>
      <w:r w:rsidRPr="00DA18AE">
        <w:rPr>
          <w:lang w:val="fr-FR"/>
        </w:rPr>
        <w:t>(Surveillance de la pandémie)</w:t>
      </w:r>
    </w:p>
    <w:p w:rsidR="00DA18AE" w:rsidRPr="00DA18AE" w:rsidRDefault="00DA18AE" w:rsidP="00DA18AE">
      <w:pPr>
        <w:pStyle w:val="SingleTxtG"/>
        <w:rPr>
          <w:lang w:val="fr-FR"/>
        </w:rPr>
      </w:pPr>
      <w:r w:rsidRPr="00DA18AE">
        <w:rPr>
          <w:lang w:val="fr-FR"/>
        </w:rPr>
        <w:t>376.</w:t>
      </w:r>
      <w:r w:rsidRPr="00DA18AE">
        <w:rPr>
          <w:lang w:val="fr-FR"/>
        </w:rPr>
        <w:tab/>
        <w:t>Voir paragraphe 314 du deuxième rapport du Japon.</w:t>
      </w:r>
    </w:p>
    <w:p w:rsidR="00DA18AE" w:rsidRPr="00DA18AE" w:rsidRDefault="00DA18AE" w:rsidP="00DA18AE">
      <w:pPr>
        <w:pStyle w:val="SingleTxtG"/>
        <w:rPr>
          <w:lang w:val="fr-FR"/>
        </w:rPr>
      </w:pPr>
      <w:r w:rsidRPr="00DA18AE">
        <w:rPr>
          <w:lang w:val="fr-FR"/>
        </w:rPr>
        <w:t>377.</w:t>
      </w:r>
      <w:r w:rsidRPr="00DA18AE">
        <w:rPr>
          <w:lang w:val="fr-FR"/>
        </w:rPr>
        <w:tab/>
        <w:t>Selon le Comité de surveillance du sida, le nombre annuel de nouvelles infections et de patients déclarés a dépassé le millier en 2004, ce qui est une première au Japon, et le nombre total a dépassé le chiffre de 10.000 en avril 2005. L</w:t>
      </w:r>
      <w:r w:rsidR="00277023">
        <w:rPr>
          <w:lang w:val="fr-FR"/>
        </w:rPr>
        <w:t>’</w:t>
      </w:r>
      <w:r w:rsidRPr="00DA18AE">
        <w:rPr>
          <w:lang w:val="fr-FR"/>
        </w:rPr>
        <w:t>évolution récente est en partie marquée par le fait que i) la contamination passe souvent par des relations sexuelles et que ii) les déclarations d</w:t>
      </w:r>
      <w:r w:rsidR="00277023">
        <w:rPr>
          <w:lang w:val="fr-FR"/>
        </w:rPr>
        <w:t>’</w:t>
      </w:r>
      <w:r w:rsidRPr="00DA18AE">
        <w:rPr>
          <w:lang w:val="fr-FR"/>
        </w:rPr>
        <w:t xml:space="preserve">infection viennent souvent de jeunes de 20 ou 30 ans et de la jeune génération. </w:t>
      </w:r>
    </w:p>
    <w:p w:rsidR="00DA18AE" w:rsidRPr="00DA18AE" w:rsidRDefault="00DA18AE" w:rsidP="00DA18AE">
      <w:pPr>
        <w:pStyle w:val="SingleTxtG"/>
        <w:rPr>
          <w:lang w:val="fr-FR"/>
        </w:rPr>
      </w:pPr>
      <w:r w:rsidRPr="00DA18AE">
        <w:rPr>
          <w:lang w:val="fr-FR"/>
        </w:rPr>
        <w:t xml:space="preserve">(Traitement des enfants et des parents) </w:t>
      </w:r>
    </w:p>
    <w:p w:rsidR="00DA18AE" w:rsidRPr="00DA18AE" w:rsidRDefault="00DA18AE" w:rsidP="00DA18AE">
      <w:pPr>
        <w:pStyle w:val="SingleTxtG"/>
        <w:rPr>
          <w:lang w:val="fr-FR"/>
        </w:rPr>
      </w:pPr>
      <w:r w:rsidRPr="00DA18AE">
        <w:rPr>
          <w:lang w:val="fr-FR"/>
        </w:rPr>
        <w:t>378.</w:t>
      </w:r>
      <w:r w:rsidRPr="00DA18AE">
        <w:rPr>
          <w:lang w:val="fr-FR"/>
        </w:rPr>
        <w:tab/>
        <w:t xml:space="preserve">Voir paragraphes 315-317 du deuxième rapport du Japon. </w:t>
      </w:r>
    </w:p>
    <w:p w:rsidR="00DA18AE" w:rsidRPr="00DA18AE" w:rsidRDefault="00DA18AE" w:rsidP="00DA18AE">
      <w:pPr>
        <w:pStyle w:val="SingleTxtG"/>
        <w:rPr>
          <w:lang w:val="fr-FR"/>
        </w:rPr>
      </w:pPr>
      <w:r w:rsidRPr="00DA18AE">
        <w:rPr>
          <w:lang w:val="fr-FR"/>
        </w:rPr>
        <w:t>(Campagnes de prévention de la discrimination à l</w:t>
      </w:r>
      <w:r w:rsidR="00277023">
        <w:rPr>
          <w:lang w:val="fr-FR"/>
        </w:rPr>
        <w:t>’</w:t>
      </w:r>
      <w:r w:rsidRPr="00DA18AE">
        <w:rPr>
          <w:lang w:val="fr-FR"/>
        </w:rPr>
        <w:t xml:space="preserve">égard des enfants atteints du sida) </w:t>
      </w:r>
    </w:p>
    <w:p w:rsidR="00DA18AE" w:rsidRPr="00DA18AE" w:rsidRDefault="00DA18AE" w:rsidP="00DA18AE">
      <w:pPr>
        <w:pStyle w:val="SingleTxtG"/>
        <w:rPr>
          <w:lang w:val="fr-FR"/>
        </w:rPr>
      </w:pPr>
      <w:r w:rsidRPr="00DA18AE">
        <w:rPr>
          <w:lang w:val="fr-FR"/>
        </w:rPr>
        <w:t>379.</w:t>
      </w:r>
      <w:r w:rsidRPr="00DA18AE">
        <w:rPr>
          <w:lang w:val="fr-FR"/>
        </w:rPr>
        <w:tab/>
        <w:t>En 1988, l</w:t>
      </w:r>
      <w:r w:rsidR="00277023">
        <w:rPr>
          <w:lang w:val="fr-FR"/>
        </w:rPr>
        <w:t>’</w:t>
      </w:r>
      <w:r w:rsidRPr="00DA18AE">
        <w:rPr>
          <w:lang w:val="fr-FR"/>
        </w:rPr>
        <w:t>Organisation mondiale de la santé (OMS) a déclaré le 1</w:t>
      </w:r>
      <w:r w:rsidRPr="00DA18AE">
        <w:rPr>
          <w:vertAlign w:val="superscript"/>
          <w:lang w:val="fr-FR"/>
        </w:rPr>
        <w:t>er</w:t>
      </w:r>
      <w:r w:rsidRPr="00DA18AE">
        <w:rPr>
          <w:lang w:val="fr-FR"/>
        </w:rPr>
        <w:t xml:space="preserve"> décembre </w:t>
      </w:r>
      <w:r w:rsidR="008E49D4">
        <w:rPr>
          <w:lang w:val="fr-FR"/>
        </w:rPr>
        <w:t>“</w:t>
      </w:r>
      <w:r w:rsidRPr="00DA18AE">
        <w:rPr>
          <w:lang w:val="fr-FR"/>
        </w:rPr>
        <w:t>journée mondiale de lutte contre le sida</w:t>
      </w:r>
      <w:r w:rsidR="008E49D4">
        <w:rPr>
          <w:lang w:val="fr-FR"/>
        </w:rPr>
        <w:t>”</w:t>
      </w:r>
      <w:r w:rsidRPr="00DA18AE">
        <w:rPr>
          <w:lang w:val="fr-FR"/>
        </w:rPr>
        <w:t xml:space="preserve"> et proposé des activités éducatives sur ce thème pour prévenir la transmission au niveau mondial et éliminer la discrimination et les préjugés à l</w:t>
      </w:r>
      <w:r w:rsidR="00277023">
        <w:rPr>
          <w:lang w:val="fr-FR"/>
        </w:rPr>
        <w:t>’</w:t>
      </w:r>
      <w:r w:rsidRPr="00DA18AE">
        <w:rPr>
          <w:lang w:val="fr-FR"/>
        </w:rPr>
        <w:t>encontre des malades et des personnes infectées. Le Programme commun des Nations Unies sur le VIH/sida (ONUSIDA) a repris ce programme en 1998. Le Japon a adopté les objectifs de l</w:t>
      </w:r>
      <w:r w:rsidR="00277023">
        <w:rPr>
          <w:lang w:val="fr-FR"/>
        </w:rPr>
        <w:t>’</w:t>
      </w:r>
      <w:r w:rsidRPr="00DA18AE">
        <w:rPr>
          <w:lang w:val="fr-FR"/>
        </w:rPr>
        <w:t>ONUSIDA et, chaque année, organise des campagnes et des manifestations dans la rue, communique des informations par différents médias, y compris les journaux, les magazines, la télévision et Internet, et il mène différentes activités éducatives ayant trait à la journée mondiale de lutte contre le sida. Ainsi, afin de sensibiliser les jeunes au VIH/sida, des concours d</w:t>
      </w:r>
      <w:r w:rsidR="00277023">
        <w:rPr>
          <w:lang w:val="fr-FR"/>
        </w:rPr>
        <w:t>’</w:t>
      </w:r>
      <w:r w:rsidRPr="00DA18AE">
        <w:rPr>
          <w:lang w:val="fr-FR"/>
        </w:rPr>
        <w:t>affiches sont organisés depuis 2001</w:t>
      </w:r>
      <w:r w:rsidR="00277023">
        <w:rPr>
          <w:lang w:val="fr-FR"/>
        </w:rPr>
        <w:t>;</w:t>
      </w:r>
      <w:r w:rsidRPr="00DA18AE">
        <w:rPr>
          <w:lang w:val="fr-FR"/>
        </w:rPr>
        <w:t xml:space="preserve"> les travaux sélectionnés, qui servent d</w:t>
      </w:r>
      <w:r w:rsidR="00277023">
        <w:rPr>
          <w:lang w:val="fr-FR"/>
        </w:rPr>
        <w:t>’</w:t>
      </w:r>
      <w:r w:rsidRPr="00DA18AE">
        <w:rPr>
          <w:lang w:val="fr-FR"/>
        </w:rPr>
        <w:t>affiches de sensibilisation à la prévention du sida, sont largement diffusés dans les bureaux de service public, les collectivités locales, les établissements publics et les cinémas dans tout le pays.</w:t>
      </w:r>
    </w:p>
    <w:p w:rsidR="00DA18AE" w:rsidRPr="00DA18AE" w:rsidRDefault="00DA18AE" w:rsidP="00DA18AE">
      <w:pPr>
        <w:pStyle w:val="SingleTxtG"/>
        <w:rPr>
          <w:lang w:val="fr-FR"/>
        </w:rPr>
      </w:pPr>
      <w:r w:rsidRPr="00DA18AE">
        <w:rPr>
          <w:lang w:val="fr-FR"/>
        </w:rPr>
        <w:t>380.</w:t>
      </w:r>
      <w:r w:rsidRPr="00DA18AE">
        <w:rPr>
          <w:lang w:val="fr-FR"/>
        </w:rPr>
        <w:tab/>
        <w:t>Dans l</w:t>
      </w:r>
      <w:r w:rsidR="00277023">
        <w:rPr>
          <w:lang w:val="fr-FR"/>
        </w:rPr>
        <w:t>’</w:t>
      </w:r>
      <w:r w:rsidRPr="00DA18AE">
        <w:rPr>
          <w:lang w:val="fr-FR"/>
        </w:rPr>
        <w:t>objectif d</w:t>
      </w:r>
      <w:r w:rsidR="00277023">
        <w:rPr>
          <w:lang w:val="fr-FR"/>
        </w:rPr>
        <w:t>’</w:t>
      </w:r>
      <w:r w:rsidRPr="00DA18AE">
        <w:rPr>
          <w:lang w:val="fr-FR"/>
        </w:rPr>
        <w:t>éduquer à la prévention du sida d</w:t>
      </w:r>
      <w:r w:rsidR="00277023">
        <w:rPr>
          <w:lang w:val="fr-FR"/>
        </w:rPr>
        <w:t>’</w:t>
      </w:r>
      <w:r w:rsidRPr="00DA18AE">
        <w:rPr>
          <w:lang w:val="fr-FR"/>
        </w:rPr>
        <w:t>un point de vue scientifique</w:t>
      </w:r>
      <w:r w:rsidR="00EA1115">
        <w:rPr>
          <w:lang w:val="fr-FR"/>
        </w:rPr>
        <w:t xml:space="preserve"> </w:t>
      </w:r>
      <w:r w:rsidRPr="00DA18AE">
        <w:rPr>
          <w:lang w:val="fr-FR"/>
        </w:rPr>
        <w:t>et de diffuser des informations à cet égard selon le niveau de comportement et le degré de développement des jeunes, dans les écoles et les communautés, et de promouvoir la division sociale du travail et la coopération entre les écoles locales, les administrations sanitaires et les représentants légaux, des projets sont actuellement mis en œuvre à l</w:t>
      </w:r>
      <w:r w:rsidR="00277023">
        <w:rPr>
          <w:lang w:val="fr-FR"/>
        </w:rPr>
        <w:t>’</w:t>
      </w:r>
      <w:r w:rsidRPr="00DA18AE">
        <w:rPr>
          <w:lang w:val="fr-FR"/>
        </w:rPr>
        <w:t>intention du personnel des établissements d</w:t>
      </w:r>
      <w:r w:rsidR="00277023">
        <w:rPr>
          <w:lang w:val="fr-FR"/>
        </w:rPr>
        <w:t>’</w:t>
      </w:r>
      <w:r w:rsidRPr="00DA18AE">
        <w:rPr>
          <w:lang w:val="fr-FR"/>
        </w:rPr>
        <w:t>enseignement secondaire et de santé</w:t>
      </w:r>
      <w:r w:rsidR="00277023">
        <w:rPr>
          <w:lang w:val="fr-FR"/>
        </w:rPr>
        <w:t>;</w:t>
      </w:r>
      <w:r w:rsidRPr="00DA18AE">
        <w:rPr>
          <w:lang w:val="fr-FR"/>
        </w:rPr>
        <w:t xml:space="preserve"> ils s</w:t>
      </w:r>
      <w:r w:rsidR="00277023">
        <w:rPr>
          <w:lang w:val="fr-FR"/>
        </w:rPr>
        <w:t>’</w:t>
      </w:r>
      <w:r w:rsidRPr="00DA18AE">
        <w:rPr>
          <w:lang w:val="fr-FR"/>
        </w:rPr>
        <w:t>agit de mesures de lutte contre le sida chez les jeunes qui proposent des méthodes pédagogiques spécifiques issues des sciences du comportement. En renforçant la diffusion d</w:t>
      </w:r>
      <w:r w:rsidR="00277023">
        <w:rPr>
          <w:lang w:val="fr-FR"/>
        </w:rPr>
        <w:t>’</w:t>
      </w:r>
      <w:r w:rsidRPr="00DA18AE">
        <w:rPr>
          <w:lang w:val="fr-FR"/>
        </w:rPr>
        <w:t>informations précises sur le sida à travers tous ces programmes, le Ministère s</w:t>
      </w:r>
      <w:r w:rsidR="00277023">
        <w:rPr>
          <w:lang w:val="fr-FR"/>
        </w:rPr>
        <w:t>’</w:t>
      </w:r>
      <w:r w:rsidRPr="00DA18AE">
        <w:rPr>
          <w:lang w:val="fr-FR"/>
        </w:rPr>
        <w:t>emploie à éliminer la discrimination et les préjugés à l</w:t>
      </w:r>
      <w:r w:rsidR="00277023">
        <w:rPr>
          <w:lang w:val="fr-FR"/>
        </w:rPr>
        <w:t>’</w:t>
      </w:r>
      <w:r w:rsidRPr="00DA18AE">
        <w:rPr>
          <w:lang w:val="fr-FR"/>
        </w:rPr>
        <w:t xml:space="preserve">égard des malades et des personnes infectées. </w:t>
      </w:r>
    </w:p>
    <w:p w:rsidR="00DA18AE" w:rsidRPr="00DA18AE" w:rsidRDefault="00DA18AE" w:rsidP="00DA18AE">
      <w:pPr>
        <w:pStyle w:val="SingleTxtG"/>
        <w:rPr>
          <w:lang w:val="fr-FR"/>
        </w:rPr>
      </w:pPr>
      <w:r w:rsidRPr="00DA18AE">
        <w:rPr>
          <w:lang w:val="fr-FR"/>
        </w:rPr>
        <w:t>(Education sur le sida dans les écoles)</w:t>
      </w:r>
    </w:p>
    <w:p w:rsidR="00DA18AE" w:rsidRPr="00DA18AE" w:rsidRDefault="00DA18AE" w:rsidP="00DA18AE">
      <w:pPr>
        <w:pStyle w:val="SingleTxtG"/>
        <w:rPr>
          <w:lang w:val="fr-FR"/>
        </w:rPr>
      </w:pPr>
      <w:r w:rsidRPr="00DA18AE">
        <w:rPr>
          <w:lang w:val="fr-FR"/>
        </w:rPr>
        <w:t>381.</w:t>
      </w:r>
      <w:r w:rsidRPr="00DA18AE">
        <w:rPr>
          <w:lang w:val="fr-FR"/>
        </w:rPr>
        <w:tab/>
        <w:t xml:space="preserve">Voir paragraphe 320 du deuxième rapport du Japon. </w:t>
      </w:r>
    </w:p>
    <w:p w:rsidR="00DA18AE" w:rsidRPr="00DA18AE" w:rsidRDefault="00DA18AE" w:rsidP="00DA18AE">
      <w:pPr>
        <w:pStyle w:val="H23G"/>
        <w:rPr>
          <w:lang w:val="fr-FR"/>
        </w:rPr>
      </w:pPr>
      <w:r>
        <w:rPr>
          <w:lang w:val="fr-FR"/>
        </w:rPr>
        <w:tab/>
        <w:t>d)</w:t>
      </w:r>
      <w:r>
        <w:rPr>
          <w:lang w:val="fr-FR"/>
        </w:rPr>
        <w:tab/>
      </w:r>
      <w:r w:rsidRPr="00DA18AE">
        <w:rPr>
          <w:lang w:val="fr-FR"/>
        </w:rPr>
        <w:t>Promotion de la coopération internationale en vue de réaliser les droits inscrits à l</w:t>
      </w:r>
      <w:r w:rsidR="00277023">
        <w:rPr>
          <w:lang w:val="fr-FR"/>
        </w:rPr>
        <w:t>’</w:t>
      </w:r>
      <w:r w:rsidRPr="00DA18AE">
        <w:rPr>
          <w:lang w:val="fr-FR"/>
        </w:rPr>
        <w:t>a</w:t>
      </w:r>
      <w:r>
        <w:rPr>
          <w:lang w:val="fr-FR"/>
        </w:rPr>
        <w:t>rticle 24</w:t>
      </w:r>
    </w:p>
    <w:p w:rsidR="00DA18AE" w:rsidRPr="00DA18AE" w:rsidRDefault="00DA18AE" w:rsidP="00DA18AE">
      <w:pPr>
        <w:pStyle w:val="SingleTxtG"/>
        <w:rPr>
          <w:lang w:val="fr-FR"/>
        </w:rPr>
      </w:pPr>
      <w:r w:rsidRPr="00DA18AE">
        <w:rPr>
          <w:lang w:val="fr-FR"/>
        </w:rPr>
        <w:t>382.</w:t>
      </w:r>
      <w:r w:rsidRPr="00DA18AE">
        <w:rPr>
          <w:lang w:val="fr-FR"/>
        </w:rPr>
        <w:tab/>
        <w:t>Voir paragraphes 59-77 (coopération internationale pour l</w:t>
      </w:r>
      <w:r w:rsidR="00277023">
        <w:rPr>
          <w:lang w:val="fr-FR"/>
        </w:rPr>
        <w:t>’</w:t>
      </w:r>
      <w:r w:rsidRPr="00DA18AE">
        <w:rPr>
          <w:lang w:val="fr-FR"/>
        </w:rPr>
        <w:t xml:space="preserve">application de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w:t>
      </w:r>
    </w:p>
    <w:p w:rsidR="00DA18AE" w:rsidRPr="00DA18AE" w:rsidRDefault="00DA18AE" w:rsidP="00DA18AE">
      <w:pPr>
        <w:pStyle w:val="H1G"/>
        <w:rPr>
          <w:lang w:val="fr-FR"/>
        </w:rPr>
      </w:pPr>
      <w:r>
        <w:rPr>
          <w:lang w:val="fr-FR"/>
        </w:rPr>
        <w:tab/>
        <w:t>C.</w:t>
      </w:r>
      <w:r>
        <w:rPr>
          <w:lang w:val="fr-FR"/>
        </w:rPr>
        <w:tab/>
      </w:r>
      <w:r w:rsidRPr="00DA18AE">
        <w:rPr>
          <w:lang w:val="fr-FR"/>
        </w:rPr>
        <w:t>Sécurité sociale, services et établissements de garde d</w:t>
      </w:r>
      <w:r w:rsidR="00277023">
        <w:rPr>
          <w:lang w:val="fr-FR"/>
        </w:rPr>
        <w:t>’</w:t>
      </w:r>
      <w:r w:rsidRPr="00DA18AE">
        <w:rPr>
          <w:lang w:val="fr-FR"/>
        </w:rPr>
        <w:t xml:space="preserve">enfants </w:t>
      </w:r>
      <w:r>
        <w:rPr>
          <w:lang w:val="fr-FR"/>
        </w:rPr>
        <w:br/>
      </w:r>
      <w:r w:rsidRPr="00DA18AE">
        <w:rPr>
          <w:lang w:val="fr-FR"/>
        </w:rPr>
        <w:t>(article 26 et paragraphe 3 de l</w:t>
      </w:r>
      <w:r w:rsidR="00277023">
        <w:rPr>
          <w:lang w:val="fr-FR"/>
        </w:rPr>
        <w:t>’</w:t>
      </w:r>
      <w:r w:rsidRPr="00DA18AE">
        <w:rPr>
          <w:lang w:val="fr-FR"/>
        </w:rPr>
        <w:t>article 18)</w:t>
      </w:r>
    </w:p>
    <w:p w:rsidR="00DA18AE" w:rsidRPr="00DA18AE" w:rsidRDefault="00DA18AE" w:rsidP="00DA18AE">
      <w:pPr>
        <w:pStyle w:val="SingleTxtG"/>
        <w:rPr>
          <w:lang w:val="fr-FR"/>
        </w:rPr>
      </w:pPr>
      <w:r w:rsidRPr="00DA18AE">
        <w:rPr>
          <w:lang w:val="fr-FR"/>
        </w:rPr>
        <w:t>(Allocation pour enfant à charge et allocation d</w:t>
      </w:r>
      <w:r w:rsidR="00277023">
        <w:rPr>
          <w:lang w:val="fr-FR"/>
        </w:rPr>
        <w:t>’</w:t>
      </w:r>
      <w:r w:rsidRPr="00DA18AE">
        <w:rPr>
          <w:lang w:val="fr-FR"/>
        </w:rPr>
        <w:t>éducation)</w:t>
      </w:r>
    </w:p>
    <w:p w:rsidR="00DA18AE" w:rsidRPr="00DA18AE" w:rsidRDefault="00DA18AE" w:rsidP="00DA18AE">
      <w:pPr>
        <w:pStyle w:val="SingleTxtG"/>
        <w:rPr>
          <w:lang w:val="fr-FR"/>
        </w:rPr>
      </w:pPr>
      <w:r w:rsidRPr="00DA18AE">
        <w:rPr>
          <w:lang w:val="fr-FR"/>
        </w:rPr>
        <w:t>383.</w:t>
      </w:r>
      <w:r w:rsidRPr="00DA18AE">
        <w:rPr>
          <w:lang w:val="fr-FR"/>
        </w:rPr>
        <w:tab/>
        <w:t xml:space="preserve">Voir paragraphe 57 (protection des enfants contre les effets négatifs indésirables des mesures économiques prises par le Gouvernement). </w:t>
      </w:r>
    </w:p>
    <w:p w:rsidR="00DA18AE" w:rsidRPr="00DA18AE" w:rsidRDefault="00DA18AE" w:rsidP="00DA18AE">
      <w:pPr>
        <w:pStyle w:val="SingleTxtG"/>
        <w:rPr>
          <w:lang w:val="fr-FR"/>
        </w:rPr>
      </w:pPr>
      <w:r w:rsidRPr="00DA18AE">
        <w:rPr>
          <w:lang w:val="fr-FR"/>
        </w:rPr>
        <w:t>(Services de garde d</w:t>
      </w:r>
      <w:r w:rsidR="00277023">
        <w:rPr>
          <w:lang w:val="fr-FR"/>
        </w:rPr>
        <w:t>’</w:t>
      </w:r>
      <w:r w:rsidRPr="00DA18AE">
        <w:rPr>
          <w:lang w:val="fr-FR"/>
        </w:rPr>
        <w:t>enfants pour les parents qui travaillent)</w:t>
      </w:r>
    </w:p>
    <w:p w:rsidR="00DA18AE" w:rsidRPr="00DA18AE" w:rsidRDefault="00DA18AE" w:rsidP="00DA18AE">
      <w:pPr>
        <w:pStyle w:val="SingleTxtG"/>
        <w:rPr>
          <w:lang w:val="fr-FR"/>
        </w:rPr>
      </w:pPr>
      <w:r w:rsidRPr="00DA18AE">
        <w:rPr>
          <w:lang w:val="fr-FR"/>
        </w:rPr>
        <w:t>384.</w:t>
      </w:r>
      <w:r w:rsidRPr="00DA18AE">
        <w:rPr>
          <w:lang w:val="fr-FR"/>
        </w:rPr>
        <w:tab/>
        <w:t>Voir paragraphe 322-324 du deuxième rapport du Japon.</w:t>
      </w:r>
    </w:p>
    <w:p w:rsidR="00DA18AE" w:rsidRPr="00DA18AE" w:rsidRDefault="00DA18AE" w:rsidP="00DA18AE">
      <w:pPr>
        <w:pStyle w:val="SingleTxtG"/>
        <w:rPr>
          <w:lang w:val="fr-FR"/>
        </w:rPr>
      </w:pPr>
      <w:r w:rsidRPr="00DA18AE">
        <w:rPr>
          <w:lang w:val="fr-FR"/>
        </w:rPr>
        <w:t>385.</w:t>
      </w:r>
      <w:r w:rsidRPr="00DA18AE">
        <w:rPr>
          <w:lang w:val="fr-FR"/>
        </w:rPr>
        <w:tab/>
        <w:t>S</w:t>
      </w:r>
      <w:r w:rsidR="00277023">
        <w:rPr>
          <w:lang w:val="fr-FR"/>
        </w:rPr>
        <w:t>’</w:t>
      </w:r>
      <w:r w:rsidRPr="00DA18AE">
        <w:rPr>
          <w:lang w:val="fr-FR"/>
        </w:rPr>
        <w:t>agissant du projet de mesures de prise en charge des enfants après la journée scolaire pour leur assurer un bon développement, ce sont 15.184 centres de loisirs qui appliquaient ce projet en mai 2005, avec 654.823 enfants inscrits. Ce projet</w:t>
      </w:r>
      <w:r w:rsidR="00EA1115">
        <w:rPr>
          <w:lang w:val="fr-FR"/>
        </w:rPr>
        <w:t xml:space="preserve"> </w:t>
      </w:r>
      <w:r w:rsidRPr="00DA18AE">
        <w:rPr>
          <w:lang w:val="fr-FR"/>
        </w:rPr>
        <w:t>bénéficie de subventions du Gouvernement, des préfectures et des municipalités, chaque entité pour un tiers (subventions pour le projet de mesures de prise en charge des enfants après la journée scolaire pour leur assurer un bon développement). Parallèlement, le nombre de crèches et celui des enfants inscrits étaient respectivement de 22.570 et de 1.993.684 en avril 2005.</w:t>
      </w:r>
      <w:r w:rsidR="00EA1115">
        <w:rPr>
          <w:lang w:val="fr-FR"/>
        </w:rPr>
        <w:t xml:space="preserve"> </w:t>
      </w:r>
      <w:r w:rsidRPr="00DA18AE">
        <w:rPr>
          <w:lang w:val="fr-FR"/>
        </w:rPr>
        <w:t>Le coût des crèches est supporté pour moitié par le Gouvernement, pour un quart par les préfectures et le dernier quart par les municipalités (partage des frais de gestion des crèches)</w:t>
      </w:r>
    </w:p>
    <w:p w:rsidR="00D3561A" w:rsidRPr="008E5027" w:rsidRDefault="00365506" w:rsidP="00D3561A">
      <w:pPr>
        <w:pStyle w:val="Heading1"/>
      </w:pPr>
      <w:r w:rsidRPr="00F206B8">
        <w:rPr>
          <w:lang w:val="fr-FR"/>
        </w:rPr>
        <w:t>Tableau</w:t>
      </w:r>
      <w:r w:rsidRPr="00F206B8">
        <w:rPr>
          <w:lang w:val="es-ES"/>
        </w:rPr>
        <w:t xml:space="preserve"> </w:t>
      </w:r>
      <w:r w:rsidR="00D3561A" w:rsidRPr="008E5027">
        <w:t>22</w:t>
      </w:r>
    </w:p>
    <w:p w:rsidR="00D3561A" w:rsidRPr="008E5027" w:rsidRDefault="00DA18AE" w:rsidP="00C874F0">
      <w:pPr>
        <w:pStyle w:val="SingleTxtG"/>
        <w:jc w:val="left"/>
        <w:rPr>
          <w:b/>
        </w:rPr>
      </w:pPr>
      <w:r w:rsidRPr="00DA18AE">
        <w:rPr>
          <w:b/>
          <w:bCs/>
          <w:lang w:val="fr-FR"/>
        </w:rPr>
        <w:t>Chiffres relatifs aux crèches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547"/>
        <w:gridCol w:w="1847"/>
        <w:gridCol w:w="2135"/>
      </w:tblGrid>
      <w:tr w:rsidR="00D3561A" w:rsidRPr="008E5027" w:rsidTr="008A6C88">
        <w:tc>
          <w:tcPr>
            <w:tcW w:w="1841"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rPr>
                <w:i/>
                <w:sz w:val="16"/>
              </w:rPr>
            </w:pPr>
          </w:p>
        </w:tc>
        <w:tc>
          <w:tcPr>
            <w:tcW w:w="1547" w:type="dxa"/>
            <w:tcBorders>
              <w:top w:val="single" w:sz="4" w:space="0" w:color="auto"/>
              <w:bottom w:val="single" w:sz="12" w:space="0" w:color="auto"/>
            </w:tcBorders>
            <w:shd w:val="clear" w:color="auto" w:fill="auto"/>
            <w:vAlign w:val="bottom"/>
          </w:tcPr>
          <w:p w:rsidR="00D3561A" w:rsidRPr="008E5027" w:rsidRDefault="008A6C88" w:rsidP="00D3561A">
            <w:pPr>
              <w:spacing w:before="80" w:after="80" w:line="200" w:lineRule="exact"/>
              <w:jc w:val="right"/>
              <w:rPr>
                <w:i/>
                <w:sz w:val="16"/>
              </w:rPr>
            </w:pPr>
            <w:r w:rsidRPr="008A6C88">
              <w:rPr>
                <w:i/>
                <w:sz w:val="16"/>
                <w:lang w:val="fr-FR"/>
              </w:rPr>
              <w:t>Nombre de crèches</w:t>
            </w:r>
          </w:p>
        </w:tc>
        <w:tc>
          <w:tcPr>
            <w:tcW w:w="1847" w:type="dxa"/>
            <w:tcBorders>
              <w:top w:val="single" w:sz="4" w:space="0" w:color="auto"/>
              <w:bottom w:val="single" w:sz="12" w:space="0" w:color="auto"/>
            </w:tcBorders>
            <w:shd w:val="clear" w:color="auto" w:fill="auto"/>
            <w:vAlign w:val="bottom"/>
          </w:tcPr>
          <w:p w:rsidR="00D3561A" w:rsidRPr="008E5027" w:rsidRDefault="008A6C88" w:rsidP="00D3561A">
            <w:pPr>
              <w:spacing w:before="80" w:after="80" w:line="200" w:lineRule="exact"/>
              <w:jc w:val="right"/>
              <w:rPr>
                <w:i/>
                <w:sz w:val="16"/>
              </w:rPr>
            </w:pPr>
            <w:r w:rsidRPr="008A6C88">
              <w:rPr>
                <w:i/>
                <w:sz w:val="16"/>
                <w:lang w:val="fr-FR"/>
              </w:rPr>
              <w:t>Capacité des crèches</w:t>
            </w:r>
          </w:p>
        </w:tc>
        <w:tc>
          <w:tcPr>
            <w:tcW w:w="2135" w:type="dxa"/>
            <w:tcBorders>
              <w:top w:val="single" w:sz="4" w:space="0" w:color="auto"/>
              <w:bottom w:val="single" w:sz="12" w:space="0" w:color="auto"/>
            </w:tcBorders>
            <w:shd w:val="clear" w:color="auto" w:fill="auto"/>
            <w:vAlign w:val="bottom"/>
          </w:tcPr>
          <w:p w:rsidR="00D3561A" w:rsidRPr="008E5027" w:rsidRDefault="008A6C88" w:rsidP="00D3561A">
            <w:pPr>
              <w:spacing w:before="80" w:after="80" w:line="200" w:lineRule="exact"/>
              <w:jc w:val="right"/>
              <w:rPr>
                <w:i/>
                <w:sz w:val="16"/>
              </w:rPr>
            </w:pPr>
            <w:r w:rsidRPr="008A6C88">
              <w:rPr>
                <w:i/>
                <w:sz w:val="16"/>
                <w:lang w:val="fr-FR"/>
              </w:rPr>
              <w:t>Nombre d</w:t>
            </w:r>
            <w:r w:rsidR="00277023">
              <w:rPr>
                <w:i/>
                <w:sz w:val="16"/>
                <w:lang w:val="fr-FR"/>
              </w:rPr>
              <w:t>’</w:t>
            </w:r>
            <w:r w:rsidRPr="008A6C88">
              <w:rPr>
                <w:i/>
                <w:sz w:val="16"/>
                <w:lang w:val="fr-FR"/>
              </w:rPr>
              <w:t>enfants accueillis</w:t>
            </w:r>
          </w:p>
        </w:tc>
      </w:tr>
      <w:tr w:rsidR="008A6C88" w:rsidRPr="008E5027" w:rsidTr="008A6C88">
        <w:tc>
          <w:tcPr>
            <w:tcW w:w="1841" w:type="dxa"/>
            <w:tcBorders>
              <w:top w:val="single" w:sz="12" w:space="0" w:color="auto"/>
            </w:tcBorders>
            <w:shd w:val="clear" w:color="auto" w:fill="auto"/>
            <w:vAlign w:val="bottom"/>
          </w:tcPr>
          <w:p w:rsidR="008A6C88" w:rsidRPr="008A6C88" w:rsidRDefault="008A6C88" w:rsidP="008A6C88">
            <w:pPr>
              <w:spacing w:before="40" w:after="40" w:line="220" w:lineRule="exact"/>
              <w:rPr>
                <w:sz w:val="18"/>
                <w:szCs w:val="18"/>
              </w:rPr>
            </w:pPr>
            <w:r w:rsidRPr="008A6C88">
              <w:rPr>
                <w:sz w:val="18"/>
                <w:szCs w:val="18"/>
              </w:rPr>
              <w:t>Au 1er avril 2003</w:t>
            </w:r>
          </w:p>
        </w:tc>
        <w:tc>
          <w:tcPr>
            <w:tcW w:w="1547" w:type="dxa"/>
            <w:tcBorders>
              <w:top w:val="single" w:sz="12" w:space="0" w:color="auto"/>
            </w:tcBorders>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22 354</w:t>
            </w:r>
          </w:p>
        </w:tc>
        <w:tc>
          <w:tcPr>
            <w:tcW w:w="1847" w:type="dxa"/>
            <w:tcBorders>
              <w:top w:val="single" w:sz="12" w:space="0" w:color="auto"/>
            </w:tcBorders>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1 991 145</w:t>
            </w:r>
          </w:p>
        </w:tc>
        <w:tc>
          <w:tcPr>
            <w:tcW w:w="2135" w:type="dxa"/>
            <w:tcBorders>
              <w:top w:val="single" w:sz="12" w:space="0" w:color="auto"/>
            </w:tcBorders>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1 920 599</w:t>
            </w:r>
          </w:p>
        </w:tc>
      </w:tr>
      <w:tr w:rsidR="008A6C88" w:rsidRPr="008E5027" w:rsidTr="008A6C88">
        <w:tc>
          <w:tcPr>
            <w:tcW w:w="1841" w:type="dxa"/>
            <w:shd w:val="clear" w:color="auto" w:fill="auto"/>
            <w:vAlign w:val="bottom"/>
          </w:tcPr>
          <w:p w:rsidR="008A6C88" w:rsidRPr="008A6C88" w:rsidRDefault="008A6C88" w:rsidP="008A6C88">
            <w:pPr>
              <w:spacing w:before="40" w:after="40" w:line="220" w:lineRule="exact"/>
              <w:rPr>
                <w:sz w:val="18"/>
                <w:szCs w:val="18"/>
              </w:rPr>
            </w:pPr>
            <w:r w:rsidRPr="008A6C88">
              <w:rPr>
                <w:sz w:val="18"/>
                <w:szCs w:val="18"/>
              </w:rPr>
              <w:t>Au 1er avril 2004</w:t>
            </w:r>
          </w:p>
        </w:tc>
        <w:tc>
          <w:tcPr>
            <w:tcW w:w="1547" w:type="dxa"/>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22 490</w:t>
            </w:r>
          </w:p>
        </w:tc>
        <w:tc>
          <w:tcPr>
            <w:tcW w:w="1847" w:type="dxa"/>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2 028 045</w:t>
            </w:r>
          </w:p>
        </w:tc>
        <w:tc>
          <w:tcPr>
            <w:tcW w:w="2135" w:type="dxa"/>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1 966 929</w:t>
            </w:r>
          </w:p>
        </w:tc>
      </w:tr>
      <w:tr w:rsidR="008A6C88" w:rsidRPr="008E5027" w:rsidTr="008A6C88">
        <w:tc>
          <w:tcPr>
            <w:tcW w:w="1841" w:type="dxa"/>
            <w:tcBorders>
              <w:bottom w:val="single" w:sz="12" w:space="0" w:color="auto"/>
            </w:tcBorders>
            <w:shd w:val="clear" w:color="auto" w:fill="auto"/>
            <w:vAlign w:val="bottom"/>
          </w:tcPr>
          <w:p w:rsidR="008A6C88" w:rsidRPr="008A6C88" w:rsidRDefault="008A6C88" w:rsidP="008A6C88">
            <w:pPr>
              <w:spacing w:before="40" w:after="40" w:line="220" w:lineRule="exact"/>
              <w:rPr>
                <w:sz w:val="18"/>
                <w:szCs w:val="18"/>
              </w:rPr>
            </w:pPr>
            <w:r w:rsidRPr="008A6C88">
              <w:rPr>
                <w:sz w:val="18"/>
                <w:szCs w:val="18"/>
              </w:rPr>
              <w:t>Au 1er avril 2005</w:t>
            </w:r>
          </w:p>
        </w:tc>
        <w:tc>
          <w:tcPr>
            <w:tcW w:w="1547" w:type="dxa"/>
            <w:tcBorders>
              <w:bottom w:val="single" w:sz="12" w:space="0" w:color="auto"/>
            </w:tcBorders>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22 570</w:t>
            </w:r>
          </w:p>
        </w:tc>
        <w:tc>
          <w:tcPr>
            <w:tcW w:w="1847" w:type="dxa"/>
            <w:tcBorders>
              <w:bottom w:val="single" w:sz="12" w:space="0" w:color="auto"/>
            </w:tcBorders>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2 052 729</w:t>
            </w:r>
          </w:p>
        </w:tc>
        <w:tc>
          <w:tcPr>
            <w:tcW w:w="2135" w:type="dxa"/>
            <w:tcBorders>
              <w:bottom w:val="single" w:sz="12" w:space="0" w:color="auto"/>
            </w:tcBorders>
            <w:shd w:val="clear" w:color="auto" w:fill="auto"/>
            <w:vAlign w:val="bottom"/>
          </w:tcPr>
          <w:p w:rsidR="008A6C88" w:rsidRPr="008E5027" w:rsidRDefault="008A6C88" w:rsidP="00D3561A">
            <w:pPr>
              <w:suppressAutoHyphens w:val="0"/>
              <w:spacing w:before="40" w:after="40" w:line="220" w:lineRule="exact"/>
              <w:jc w:val="right"/>
              <w:rPr>
                <w:sz w:val="18"/>
              </w:rPr>
            </w:pPr>
            <w:r w:rsidRPr="008E5027">
              <w:rPr>
                <w:sz w:val="18"/>
              </w:rPr>
              <w:t>1 993 684</w:t>
            </w:r>
          </w:p>
        </w:tc>
      </w:tr>
    </w:tbl>
    <w:p w:rsidR="00DA18AE" w:rsidRPr="00DA18AE" w:rsidRDefault="00DA18AE" w:rsidP="00DA18AE">
      <w:pPr>
        <w:pStyle w:val="SingleTxtG"/>
        <w:spacing w:before="240"/>
        <w:rPr>
          <w:lang w:val="fr-FR"/>
        </w:rPr>
      </w:pPr>
      <w:r w:rsidRPr="00DA18AE">
        <w:rPr>
          <w:lang w:val="fr-FR"/>
        </w:rPr>
        <w:t>386.</w:t>
      </w:r>
      <w:r w:rsidRPr="00DA18AE">
        <w:rPr>
          <w:lang w:val="fr-FR"/>
        </w:rPr>
        <w:tab/>
        <w:t>En vue de résoudre le problème des enfants placés sur liste d</w:t>
      </w:r>
      <w:r w:rsidR="00277023">
        <w:rPr>
          <w:lang w:val="fr-FR"/>
        </w:rPr>
        <w:t>’</w:t>
      </w:r>
      <w:r w:rsidRPr="00DA18AE">
        <w:rPr>
          <w:lang w:val="fr-FR"/>
        </w:rPr>
        <w:t xml:space="preserve">attente, un projet actuel vise à </w:t>
      </w:r>
      <w:r w:rsidRPr="00DA18AE">
        <w:rPr>
          <w:lang w:val="es-ES"/>
        </w:rPr>
        <w:t>augmenter</w:t>
      </w:r>
      <w:r w:rsidRPr="00DA18AE">
        <w:rPr>
          <w:lang w:val="fr-FR"/>
        </w:rPr>
        <w:t xml:space="preserve"> le nombre d</w:t>
      </w:r>
      <w:r w:rsidR="00277023">
        <w:rPr>
          <w:lang w:val="fr-FR"/>
        </w:rPr>
        <w:t>’</w:t>
      </w:r>
      <w:r w:rsidRPr="00DA18AE">
        <w:rPr>
          <w:lang w:val="fr-FR"/>
        </w:rPr>
        <w:t>enfants pris en charge, notamment dans les villes qui comptent davantage d</w:t>
      </w:r>
      <w:r w:rsidR="00277023">
        <w:rPr>
          <w:lang w:val="fr-FR"/>
        </w:rPr>
        <w:t>’</w:t>
      </w:r>
      <w:r w:rsidRPr="00DA18AE">
        <w:rPr>
          <w:lang w:val="fr-FR"/>
        </w:rPr>
        <w:t>enfants en attente d</w:t>
      </w:r>
      <w:r w:rsidR="00277023">
        <w:rPr>
          <w:lang w:val="fr-FR"/>
        </w:rPr>
        <w:t>’</w:t>
      </w:r>
      <w:r w:rsidRPr="00DA18AE">
        <w:rPr>
          <w:lang w:val="fr-FR"/>
        </w:rPr>
        <w:t>admission, soit de faire passer la capacité d</w:t>
      </w:r>
      <w:r w:rsidR="00277023">
        <w:rPr>
          <w:lang w:val="fr-FR"/>
        </w:rPr>
        <w:t>’</w:t>
      </w:r>
      <w:r w:rsidRPr="00DA18AE">
        <w:rPr>
          <w:lang w:val="fr-FR"/>
        </w:rPr>
        <w:t>accueil de 50.00 en 2002 à 100.000 en 2004 pour un total de 150.000 enfants, en ayant recours aux crèches, aux assistantes maternelles agréées (service par lequel des personnes agréées s</w:t>
      </w:r>
      <w:r w:rsidR="00277023">
        <w:rPr>
          <w:lang w:val="fr-FR"/>
        </w:rPr>
        <w:t>’</w:t>
      </w:r>
      <w:r w:rsidRPr="00DA18AE">
        <w:rPr>
          <w:lang w:val="fr-FR"/>
        </w:rPr>
        <w:t>occupent d</w:t>
      </w:r>
      <w:r w:rsidR="00277023">
        <w:rPr>
          <w:lang w:val="fr-FR"/>
        </w:rPr>
        <w:t>’</w:t>
      </w:r>
      <w:r w:rsidRPr="00DA18AE">
        <w:rPr>
          <w:lang w:val="fr-FR"/>
        </w:rPr>
        <w:t>un petit nombre d</w:t>
      </w:r>
      <w:r w:rsidR="00277023">
        <w:rPr>
          <w:lang w:val="fr-FR"/>
        </w:rPr>
        <w:t>’</w:t>
      </w:r>
      <w:r w:rsidRPr="00DA18AE">
        <w:rPr>
          <w:lang w:val="fr-FR"/>
        </w:rPr>
        <w:t>enfants à leur domicile), à différents lieux indépendants gérés par les municipalités locales, et aux jardins d</w:t>
      </w:r>
      <w:r w:rsidR="00277023">
        <w:rPr>
          <w:lang w:val="fr-FR"/>
        </w:rPr>
        <w:t>’</w:t>
      </w:r>
      <w:r w:rsidRPr="00DA18AE">
        <w:rPr>
          <w:lang w:val="fr-FR"/>
        </w:rPr>
        <w:t>enfants.</w:t>
      </w:r>
      <w:r w:rsidR="00EA1115">
        <w:rPr>
          <w:lang w:val="fr-FR"/>
        </w:rPr>
        <w:t xml:space="preserve"> </w:t>
      </w:r>
      <w:r w:rsidRPr="00DA18AE">
        <w:rPr>
          <w:lang w:val="fr-FR"/>
        </w:rPr>
        <w:t>La hausse du nombre d</w:t>
      </w:r>
      <w:r w:rsidR="00277023">
        <w:rPr>
          <w:lang w:val="fr-FR"/>
        </w:rPr>
        <w:t>’</w:t>
      </w:r>
      <w:r w:rsidRPr="00DA18AE">
        <w:rPr>
          <w:lang w:val="fr-FR"/>
        </w:rPr>
        <w:t>enfants, de 54.000 en 2002 et de 58.000 en 2003, était prévue. En 2004, l</w:t>
      </w:r>
      <w:r w:rsidR="00277023">
        <w:rPr>
          <w:lang w:val="fr-FR"/>
        </w:rPr>
        <w:t>’</w:t>
      </w:r>
      <w:r w:rsidRPr="00DA18AE">
        <w:rPr>
          <w:lang w:val="fr-FR"/>
        </w:rPr>
        <w:t>augmentation globale du nombre d</w:t>
      </w:r>
      <w:r w:rsidR="00277023">
        <w:rPr>
          <w:lang w:val="fr-FR"/>
        </w:rPr>
        <w:t>’</w:t>
      </w:r>
      <w:r w:rsidRPr="00DA18AE">
        <w:rPr>
          <w:lang w:val="fr-FR"/>
        </w:rPr>
        <w:t>enfants accueillis était de 44.000, y compris les quelque 33.000 enfants fréquentant les crèches. Une hausse totale de 156.000 places a été planifiée sur trois ans à partir de 2002, et les objectifs initiaux ont été réalisés. Le nombre d</w:t>
      </w:r>
      <w:r w:rsidR="00277023">
        <w:rPr>
          <w:lang w:val="fr-FR"/>
        </w:rPr>
        <w:t>’</w:t>
      </w:r>
      <w:r w:rsidRPr="00DA18AE">
        <w:rPr>
          <w:lang w:val="fr-FR"/>
        </w:rPr>
        <w:t>enfants placés sur liste d</w:t>
      </w:r>
      <w:r w:rsidR="00277023">
        <w:rPr>
          <w:lang w:val="fr-FR"/>
        </w:rPr>
        <w:t>’</w:t>
      </w:r>
      <w:r w:rsidRPr="00DA18AE">
        <w:rPr>
          <w:lang w:val="fr-FR"/>
        </w:rPr>
        <w:t>attente en avril 2005 avait diminué par rapport à l</w:t>
      </w:r>
      <w:r w:rsidR="00277023">
        <w:rPr>
          <w:lang w:val="fr-FR"/>
        </w:rPr>
        <w:t>’</w:t>
      </w:r>
      <w:r w:rsidRPr="00DA18AE">
        <w:rPr>
          <w:lang w:val="fr-FR"/>
        </w:rPr>
        <w:t>année précédente pour la deuxième année consécutive, s</w:t>
      </w:r>
      <w:r w:rsidR="00277023">
        <w:rPr>
          <w:lang w:val="fr-FR"/>
        </w:rPr>
        <w:t>’</w:t>
      </w:r>
      <w:r w:rsidRPr="00DA18AE">
        <w:rPr>
          <w:lang w:val="fr-FR"/>
        </w:rPr>
        <w:t>établissant à environ 23.000 enfants. Cependant, malgré cette tendance à l</w:t>
      </w:r>
      <w:r w:rsidR="00277023">
        <w:rPr>
          <w:lang w:val="fr-FR"/>
        </w:rPr>
        <w:t>’</w:t>
      </w:r>
      <w:r w:rsidRPr="00DA18AE">
        <w:rPr>
          <w:lang w:val="fr-FR"/>
        </w:rPr>
        <w:t>amélioration, nombre d</w:t>
      </w:r>
      <w:r w:rsidR="00277023">
        <w:rPr>
          <w:lang w:val="fr-FR"/>
        </w:rPr>
        <w:t>’</w:t>
      </w:r>
      <w:r w:rsidRPr="00DA18AE">
        <w:rPr>
          <w:lang w:val="fr-FR"/>
        </w:rPr>
        <w:t>enfants attendent encore leur admission, notamment dans les grandes agglomérations, et ainsi, conformément au Plan de soutien aux soins aux enfants, adopté fin 2004, le Ministère est résolu à augmenter la capacité des crèches au cours des trois années à venir, soit jusqu</w:t>
      </w:r>
      <w:r w:rsidR="00277023">
        <w:rPr>
          <w:lang w:val="fr-FR"/>
        </w:rPr>
        <w:t>’</w:t>
      </w:r>
      <w:r w:rsidRPr="00DA18AE">
        <w:rPr>
          <w:lang w:val="fr-FR"/>
        </w:rPr>
        <w:t>en 2007, notamment dans les municipalités comptant 50 enfants ou plus en attente d</w:t>
      </w:r>
      <w:r w:rsidR="00277023">
        <w:rPr>
          <w:lang w:val="fr-FR"/>
        </w:rPr>
        <w:t>’</w:t>
      </w:r>
      <w:r w:rsidRPr="00DA18AE">
        <w:rPr>
          <w:lang w:val="fr-FR"/>
        </w:rPr>
        <w:t>admission, et entend apporter une réponse à cette question majeure.</w:t>
      </w:r>
    </w:p>
    <w:p w:rsidR="00DA18AE" w:rsidRPr="00DA18AE" w:rsidRDefault="00DA18AE" w:rsidP="00DA18AE">
      <w:pPr>
        <w:pStyle w:val="H1G"/>
        <w:rPr>
          <w:lang w:val="fr-FR"/>
        </w:rPr>
      </w:pPr>
      <w:r>
        <w:rPr>
          <w:lang w:val="fr-FR"/>
        </w:rPr>
        <w:tab/>
        <w:t>D.</w:t>
      </w:r>
      <w:r>
        <w:rPr>
          <w:lang w:val="fr-FR"/>
        </w:rPr>
        <w:tab/>
      </w:r>
      <w:r w:rsidRPr="00DA18AE">
        <w:rPr>
          <w:lang w:val="fr-FR"/>
        </w:rPr>
        <w:t>Niveau de vie (paragraphes 1-3 de l</w:t>
      </w:r>
      <w:r w:rsidR="00277023">
        <w:rPr>
          <w:lang w:val="fr-FR"/>
        </w:rPr>
        <w:t>’</w:t>
      </w:r>
      <w:r w:rsidRPr="00DA18AE">
        <w:rPr>
          <w:lang w:val="fr-FR"/>
        </w:rPr>
        <w:t>article 27)</w:t>
      </w:r>
    </w:p>
    <w:p w:rsidR="00DA18AE" w:rsidRPr="00DA18AE" w:rsidRDefault="00DA18AE" w:rsidP="00DA18AE">
      <w:pPr>
        <w:pStyle w:val="SingleTxtG"/>
        <w:rPr>
          <w:lang w:val="fr-FR"/>
        </w:rPr>
      </w:pPr>
      <w:r w:rsidRPr="00DA18AE">
        <w:rPr>
          <w:lang w:val="fr-FR"/>
        </w:rPr>
        <w:t xml:space="preserve">(Niveau de vie, protection des moyens de subsistance et aide au logement en vertu de </w:t>
      </w:r>
      <w:smartTag w:uri="urn:schemas-microsoft-com:office:smarttags" w:element="PersonName">
        <w:smartTagPr>
          <w:attr w:name="ProductID" w:val="la Loi"/>
        </w:smartTagPr>
        <w:r w:rsidRPr="00DA18AE">
          <w:rPr>
            <w:lang w:val="fr-FR"/>
          </w:rPr>
          <w:t>la Loi</w:t>
        </w:r>
      </w:smartTag>
      <w:r w:rsidRPr="00DA18AE">
        <w:rPr>
          <w:lang w:val="fr-FR"/>
        </w:rPr>
        <w:t xml:space="preserve"> relative à l</w:t>
      </w:r>
      <w:r w:rsidR="00277023">
        <w:rPr>
          <w:lang w:val="fr-FR"/>
        </w:rPr>
        <w:t>’</w:t>
      </w:r>
      <w:r w:rsidRPr="00DA18AE">
        <w:rPr>
          <w:lang w:val="fr-FR"/>
        </w:rPr>
        <w:t>assistance publique)</w:t>
      </w:r>
    </w:p>
    <w:p w:rsidR="00DA18AE" w:rsidRPr="00DA18AE" w:rsidRDefault="00DA18AE" w:rsidP="00DA18AE">
      <w:pPr>
        <w:pStyle w:val="SingleTxtG"/>
        <w:rPr>
          <w:lang w:val="fr-FR"/>
        </w:rPr>
      </w:pPr>
      <w:r w:rsidRPr="00DA18AE">
        <w:rPr>
          <w:lang w:val="fr-FR"/>
        </w:rPr>
        <w:t>387.</w:t>
      </w:r>
      <w:r w:rsidRPr="00DA18AE">
        <w:rPr>
          <w:lang w:val="fr-FR"/>
        </w:rPr>
        <w:tab/>
        <w:t xml:space="preserve">Voir paragraphes 326 et 327 du deuxième rapport du Japon. </w:t>
      </w:r>
    </w:p>
    <w:p w:rsidR="00DA18AE" w:rsidRPr="00DA18AE" w:rsidRDefault="00DA18AE" w:rsidP="00DA18AE">
      <w:pPr>
        <w:pStyle w:val="SingleTxtG"/>
        <w:rPr>
          <w:lang w:val="fr-FR"/>
        </w:rPr>
      </w:pPr>
      <w:r w:rsidRPr="00DA18AE">
        <w:rPr>
          <w:lang w:val="fr-FR"/>
        </w:rPr>
        <w:t>(Suite donnée au Programme pour l</w:t>
      </w:r>
      <w:r w:rsidR="00277023">
        <w:rPr>
          <w:lang w:val="fr-FR"/>
        </w:rPr>
        <w:t>’</w:t>
      </w:r>
      <w:r w:rsidRPr="00DA18AE">
        <w:rPr>
          <w:lang w:val="fr-FR"/>
        </w:rPr>
        <w:t>habitat)</w:t>
      </w:r>
    </w:p>
    <w:p w:rsidR="00DA18AE" w:rsidRPr="00DA18AE" w:rsidRDefault="00DA18AE" w:rsidP="00DA18AE">
      <w:pPr>
        <w:pStyle w:val="SingleTxtG"/>
        <w:rPr>
          <w:lang w:val="fr-FR"/>
        </w:rPr>
      </w:pPr>
      <w:r w:rsidRPr="00DA18AE">
        <w:rPr>
          <w:lang w:val="fr-FR"/>
        </w:rPr>
        <w:t>388.</w:t>
      </w:r>
      <w:r w:rsidRPr="00DA18AE">
        <w:rPr>
          <w:lang w:val="fr-FR"/>
        </w:rPr>
        <w:tab/>
        <w:t>Voir paragraphe 328 du deuxième rapport du Japon.</w:t>
      </w:r>
    </w:p>
    <w:p w:rsidR="00DA18AE" w:rsidRPr="00DA18AE" w:rsidRDefault="00DA18AE" w:rsidP="00DA18AE">
      <w:pPr>
        <w:pStyle w:val="SingleTxtG"/>
        <w:rPr>
          <w:u w:val="single"/>
          <w:lang w:val="fr-FR"/>
        </w:rPr>
      </w:pPr>
      <w:r w:rsidRPr="00DA18AE">
        <w:rPr>
          <w:lang w:val="fr-FR"/>
        </w:rPr>
        <w:t>389.</w:t>
      </w:r>
      <w:r w:rsidRPr="00DA18AE">
        <w:rPr>
          <w:lang w:val="fr-FR"/>
        </w:rPr>
        <w:tab/>
        <w:t>En octobre 2004, le nombre de foyers pour enfants s</w:t>
      </w:r>
      <w:r w:rsidR="00277023">
        <w:rPr>
          <w:lang w:val="fr-FR"/>
        </w:rPr>
        <w:t>’</w:t>
      </w:r>
      <w:r w:rsidRPr="00DA18AE">
        <w:rPr>
          <w:lang w:val="fr-FR"/>
        </w:rPr>
        <w:t xml:space="preserve">élevait à 556 et celui des enfants accueillis à 30.957. </w:t>
      </w:r>
    </w:p>
    <w:p w:rsidR="00DA18AE" w:rsidRPr="00DA18AE" w:rsidRDefault="00DA18AE" w:rsidP="00DA18AE">
      <w:pPr>
        <w:pStyle w:val="HChG"/>
        <w:rPr>
          <w:bCs/>
          <w:lang w:val="fr-FR"/>
        </w:rPr>
      </w:pPr>
      <w:r>
        <w:rPr>
          <w:lang w:val="fr-FR"/>
        </w:rPr>
        <w:tab/>
        <w:t>VII.</w:t>
      </w:r>
      <w:r>
        <w:rPr>
          <w:lang w:val="fr-FR"/>
        </w:rPr>
        <w:tab/>
        <w:t>É</w:t>
      </w:r>
      <w:r w:rsidRPr="00DA18AE">
        <w:rPr>
          <w:lang w:val="fr-FR"/>
        </w:rPr>
        <w:t>ducation, activit</w:t>
      </w:r>
      <w:r w:rsidR="005F24AC">
        <w:rPr>
          <w:lang w:val="fr-FR"/>
        </w:rPr>
        <w:t>é</w:t>
      </w:r>
      <w:r w:rsidRPr="00DA18AE">
        <w:rPr>
          <w:lang w:val="fr-FR"/>
        </w:rPr>
        <w:t>s recreatives et culturelles</w:t>
      </w:r>
      <w:r w:rsidRPr="00DA18AE">
        <w:rPr>
          <w:bCs/>
          <w:lang w:val="fr-FR"/>
        </w:rPr>
        <w:t xml:space="preserve"> </w:t>
      </w:r>
      <w:r>
        <w:rPr>
          <w:bCs/>
          <w:lang w:val="fr-FR"/>
        </w:rPr>
        <w:br/>
      </w:r>
      <w:r w:rsidRPr="00DA18AE">
        <w:rPr>
          <w:bCs/>
          <w:lang w:val="fr-FR"/>
        </w:rPr>
        <w:t>(articles 28, 29 et 31)</w:t>
      </w:r>
    </w:p>
    <w:p w:rsidR="00DA18AE" w:rsidRPr="00DA18AE" w:rsidRDefault="00DA18AE" w:rsidP="00DA18AE">
      <w:pPr>
        <w:pStyle w:val="H1G"/>
        <w:rPr>
          <w:lang w:val="fr-FR"/>
        </w:rPr>
      </w:pPr>
      <w:r>
        <w:rPr>
          <w:lang w:val="fr-FR"/>
        </w:rPr>
        <w:tab/>
        <w:t>A.</w:t>
      </w:r>
      <w:r>
        <w:rPr>
          <w:lang w:val="fr-FR"/>
        </w:rPr>
        <w:tab/>
      </w:r>
      <w:r w:rsidR="00014606">
        <w:rPr>
          <w:lang w:val="fr-FR"/>
        </w:rPr>
        <w:t>É</w:t>
      </w:r>
      <w:r w:rsidRPr="00DA18AE">
        <w:rPr>
          <w:lang w:val="fr-FR"/>
        </w:rPr>
        <w:t>ducation (y compris la formation et l</w:t>
      </w:r>
      <w:r w:rsidR="00277023">
        <w:rPr>
          <w:lang w:val="fr-FR"/>
        </w:rPr>
        <w:t>’</w:t>
      </w:r>
      <w:r w:rsidRPr="00DA18AE">
        <w:rPr>
          <w:lang w:val="fr-FR"/>
        </w:rPr>
        <w:t>orientation</w:t>
      </w:r>
      <w:r w:rsidR="00014606">
        <w:rPr>
          <w:lang w:val="fr-FR"/>
        </w:rPr>
        <w:t xml:space="preserve"> professionnelles) (article 28)</w:t>
      </w:r>
    </w:p>
    <w:p w:rsidR="00DA18AE" w:rsidRPr="00DA18AE" w:rsidRDefault="00CA331C" w:rsidP="00CA331C">
      <w:pPr>
        <w:pStyle w:val="H23G"/>
        <w:rPr>
          <w:bCs/>
          <w:lang w:val="fr-FR"/>
        </w:rPr>
      </w:pPr>
      <w:r>
        <w:rPr>
          <w:lang w:val="fr-FR"/>
        </w:rPr>
        <w:tab/>
        <w:t>a)</w:t>
      </w:r>
      <w:r>
        <w:rPr>
          <w:lang w:val="fr-FR"/>
        </w:rPr>
        <w:tab/>
      </w:r>
      <w:r w:rsidR="00DA18AE" w:rsidRPr="00DA18AE">
        <w:rPr>
          <w:lang w:val="fr-FR"/>
        </w:rPr>
        <w:t>Garantir le droit des enfants à l</w:t>
      </w:r>
      <w:r w:rsidR="00277023">
        <w:rPr>
          <w:lang w:val="fr-FR"/>
        </w:rPr>
        <w:t>’</w:t>
      </w:r>
      <w:r w:rsidR="00DA18AE" w:rsidRPr="00DA18AE">
        <w:rPr>
          <w:lang w:val="fr-FR"/>
        </w:rPr>
        <w:t>éducation</w:t>
      </w:r>
    </w:p>
    <w:p w:rsidR="00DA18AE" w:rsidRPr="00DA18AE" w:rsidRDefault="00DA18AE" w:rsidP="00DA18AE">
      <w:pPr>
        <w:pStyle w:val="SingleTxtG"/>
        <w:rPr>
          <w:bCs/>
          <w:iCs/>
          <w:lang w:val="fr-FR"/>
        </w:rPr>
      </w:pPr>
      <w:r w:rsidRPr="00DA18AE">
        <w:rPr>
          <w:lang w:val="fr-FR"/>
        </w:rPr>
        <w:t>(</w:t>
      </w:r>
      <w:r w:rsidRPr="00DA18AE">
        <w:rPr>
          <w:bCs/>
          <w:iCs/>
          <w:lang w:val="fr-FR"/>
        </w:rPr>
        <w:t>Soutien aux familles à des fins éducatives)</w:t>
      </w:r>
    </w:p>
    <w:p w:rsidR="00DA18AE" w:rsidRPr="00DA18AE" w:rsidRDefault="00DA18AE" w:rsidP="00DA18AE">
      <w:pPr>
        <w:pStyle w:val="SingleTxtG"/>
        <w:rPr>
          <w:lang w:val="fr-FR"/>
        </w:rPr>
      </w:pPr>
      <w:r w:rsidRPr="00DA18AE">
        <w:rPr>
          <w:lang w:val="fr-FR"/>
        </w:rPr>
        <w:t>390.</w:t>
      </w:r>
      <w:r w:rsidRPr="00DA18AE">
        <w:rPr>
          <w:lang w:val="fr-FR"/>
        </w:rPr>
        <w:tab/>
        <w:t>Voir paragraphe 275 (assistance aux personnes investies de l</w:t>
      </w:r>
      <w:r w:rsidR="00277023">
        <w:rPr>
          <w:lang w:val="fr-FR"/>
        </w:rPr>
        <w:t>’</w:t>
      </w:r>
      <w:r w:rsidRPr="00DA18AE">
        <w:rPr>
          <w:lang w:val="fr-FR"/>
        </w:rPr>
        <w:t>autorité parentale).</w:t>
      </w:r>
    </w:p>
    <w:p w:rsidR="00DA18AE" w:rsidRPr="00DA18AE" w:rsidRDefault="00DA18AE" w:rsidP="00DA18AE">
      <w:pPr>
        <w:pStyle w:val="SingleTxtG"/>
        <w:rPr>
          <w:lang w:val="fr-FR"/>
        </w:rPr>
      </w:pPr>
      <w:r w:rsidRPr="00DA18AE">
        <w:rPr>
          <w:lang w:val="fr-FR"/>
        </w:rPr>
        <w:t>391.</w:t>
      </w:r>
      <w:r w:rsidRPr="00DA18AE">
        <w:rPr>
          <w:lang w:val="fr-FR"/>
        </w:rPr>
        <w:tab/>
        <w:t xml:space="preserve">En vertu de </w:t>
      </w:r>
      <w:smartTag w:uri="urn:schemas-microsoft-com:office:smarttags" w:element="PersonName">
        <w:smartTagPr>
          <w:attr w:name="ProductID" w:val="la Loi"/>
        </w:smartTagPr>
        <w:r w:rsidRPr="00DA18AE">
          <w:rPr>
            <w:lang w:val="fr-FR"/>
          </w:rPr>
          <w:t>la Loi</w:t>
        </w:r>
      </w:smartTag>
      <w:r w:rsidRPr="00DA18AE">
        <w:rPr>
          <w:lang w:val="fr-FR"/>
        </w:rPr>
        <w:t xml:space="preserve"> sur l</w:t>
      </w:r>
      <w:r w:rsidR="00277023">
        <w:rPr>
          <w:lang w:val="fr-FR"/>
        </w:rPr>
        <w:t>’</w:t>
      </w:r>
      <w:r w:rsidRPr="00DA18AE">
        <w:rPr>
          <w:lang w:val="fr-FR"/>
        </w:rPr>
        <w:t>Organisation des services aux élèves, l</w:t>
      </w:r>
      <w:r w:rsidR="00277023">
        <w:rPr>
          <w:lang w:val="fr-FR"/>
        </w:rPr>
        <w:t>’</w:t>
      </w:r>
      <w:r w:rsidRPr="00DA18AE">
        <w:rPr>
          <w:lang w:val="fr-FR"/>
        </w:rPr>
        <w:t>Organisation (Fondation japonaise pour l</w:t>
      </w:r>
      <w:r w:rsidR="00277023">
        <w:rPr>
          <w:lang w:val="fr-FR"/>
        </w:rPr>
        <w:t>’</w:t>
      </w:r>
      <w:r w:rsidRPr="00DA18AE">
        <w:rPr>
          <w:lang w:val="fr-FR"/>
        </w:rPr>
        <w:t>attribution de bourses jusqu</w:t>
      </w:r>
      <w:r w:rsidR="00277023">
        <w:rPr>
          <w:lang w:val="fr-FR"/>
        </w:rPr>
        <w:t>’</w:t>
      </w:r>
      <w:r w:rsidRPr="00DA18AE">
        <w:rPr>
          <w:lang w:val="fr-FR"/>
        </w:rPr>
        <w:t>en mars 2004) accorde des prêts pour couvrir les frais de scolarité aux élèves remplissant les conditions requises et ayant des difficultés à fréquenter l</w:t>
      </w:r>
      <w:r w:rsidR="00277023">
        <w:rPr>
          <w:lang w:val="fr-FR"/>
        </w:rPr>
        <w:t>’</w:t>
      </w:r>
      <w:r w:rsidRPr="00DA18AE">
        <w:rPr>
          <w:lang w:val="fr-FR"/>
        </w:rPr>
        <w:t>école pour des raisons financières (pour le deuxième cycle des établissements secondaires, le contrôle des bourses a été progressivement transféré aux gouvernements des préfectures à partir des nouvelles inscriptions de 2005). De plus, les collectivités locales, les entreprises publiques et d</w:t>
      </w:r>
      <w:r w:rsidR="00277023">
        <w:rPr>
          <w:lang w:val="fr-FR"/>
        </w:rPr>
        <w:t>’</w:t>
      </w:r>
      <w:r w:rsidRPr="00DA18AE">
        <w:rPr>
          <w:lang w:val="fr-FR"/>
        </w:rPr>
        <w:t>autres encore accordent également des bourses. Les universités dispensent</w:t>
      </w:r>
      <w:r w:rsidR="00EA1115">
        <w:rPr>
          <w:lang w:val="fr-FR"/>
        </w:rPr>
        <w:t xml:space="preserve"> </w:t>
      </w:r>
      <w:r w:rsidRPr="00DA18AE">
        <w:rPr>
          <w:lang w:val="fr-FR"/>
        </w:rPr>
        <w:t>les étudiants des droits d</w:t>
      </w:r>
      <w:r w:rsidR="00277023">
        <w:rPr>
          <w:lang w:val="fr-FR"/>
        </w:rPr>
        <w:t>’</w:t>
      </w:r>
      <w:r w:rsidRPr="00DA18AE">
        <w:rPr>
          <w:lang w:val="fr-FR"/>
        </w:rPr>
        <w:t>inscription ou leur consentent des réductions selon leur situation financière.</w:t>
      </w:r>
    </w:p>
    <w:p w:rsidR="00DA18AE" w:rsidRPr="00DA18AE" w:rsidRDefault="00DA18AE" w:rsidP="00DA18AE">
      <w:pPr>
        <w:pStyle w:val="SingleTxtG"/>
        <w:rPr>
          <w:lang w:val="fr-FR"/>
        </w:rPr>
      </w:pPr>
      <w:r w:rsidRPr="00DA18AE">
        <w:rPr>
          <w:lang w:val="fr-FR"/>
        </w:rPr>
        <w:t>(Garantir un nombre suffisant d</w:t>
      </w:r>
      <w:r w:rsidR="00277023">
        <w:rPr>
          <w:lang w:val="fr-FR"/>
        </w:rPr>
        <w:t>’</w:t>
      </w:r>
      <w:r w:rsidRPr="00DA18AE">
        <w:rPr>
          <w:lang w:val="fr-FR"/>
        </w:rPr>
        <w:t>enseignants)</w:t>
      </w:r>
    </w:p>
    <w:p w:rsidR="00DA18AE" w:rsidRPr="00DA18AE" w:rsidRDefault="00DA18AE" w:rsidP="00DA18AE">
      <w:pPr>
        <w:pStyle w:val="SingleTxtG"/>
        <w:rPr>
          <w:lang w:val="fr-FR"/>
        </w:rPr>
      </w:pPr>
      <w:r w:rsidRPr="00DA18AE">
        <w:rPr>
          <w:lang w:val="fr-FR"/>
        </w:rPr>
        <w:t>392.</w:t>
      </w:r>
      <w:r w:rsidRPr="00DA18AE">
        <w:rPr>
          <w:lang w:val="fr-FR"/>
        </w:rPr>
        <w:tab/>
        <w:t>Un nombre minimum d</w:t>
      </w:r>
      <w:r w:rsidR="00277023">
        <w:rPr>
          <w:lang w:val="fr-FR"/>
        </w:rPr>
        <w:t>’</w:t>
      </w:r>
      <w:r w:rsidRPr="00DA18AE">
        <w:rPr>
          <w:lang w:val="fr-FR"/>
        </w:rPr>
        <w:t>enseignants a été établi en vertu des plans d</w:t>
      </w:r>
      <w:r w:rsidR="00277023">
        <w:rPr>
          <w:lang w:val="fr-FR"/>
        </w:rPr>
        <w:t>’</w:t>
      </w:r>
      <w:r w:rsidRPr="00DA18AE">
        <w:rPr>
          <w:lang w:val="fr-FR"/>
        </w:rPr>
        <w:t>amélioration. Depuis 2001, le septième Plan de renforcement du personnel enseignant et non enseignant des établissements d</w:t>
      </w:r>
      <w:r w:rsidR="00277023">
        <w:rPr>
          <w:lang w:val="fr-FR"/>
        </w:rPr>
        <w:t>’</w:t>
      </w:r>
      <w:r w:rsidRPr="00DA18AE">
        <w:rPr>
          <w:lang w:val="fr-FR"/>
        </w:rPr>
        <w:t>enseignement public obligatoire et le sixième Plan de renforcement du personnel enseignant et non enseignant du deuxième cycle des établissements d</w:t>
      </w:r>
      <w:r w:rsidR="00277023">
        <w:rPr>
          <w:lang w:val="fr-FR"/>
        </w:rPr>
        <w:t>’</w:t>
      </w:r>
      <w:r w:rsidRPr="00DA18AE">
        <w:rPr>
          <w:lang w:val="fr-FR"/>
        </w:rPr>
        <w:t>enseignement secondaire publics sont appliqués pour réaliser des objectifs tels que créer des classes à effectif réduit d</w:t>
      </w:r>
      <w:r w:rsidR="00277023">
        <w:rPr>
          <w:lang w:val="fr-FR"/>
        </w:rPr>
        <w:t>’</w:t>
      </w:r>
      <w:r w:rsidRPr="00DA18AE">
        <w:rPr>
          <w:lang w:val="fr-FR"/>
        </w:rPr>
        <w:t>environ 20 élèves, avec des méthodes adaptées à chaque discipline enseignée, et développer un enseignement diversifié au niveau du deuxième cycle de l</w:t>
      </w:r>
      <w:r w:rsidR="00277023">
        <w:rPr>
          <w:lang w:val="fr-FR"/>
        </w:rPr>
        <w:t>’</w:t>
      </w:r>
      <w:r w:rsidRPr="00DA18AE">
        <w:rPr>
          <w:lang w:val="fr-FR"/>
        </w:rPr>
        <w:t>enseignement secondaire. L</w:t>
      </w:r>
      <w:r w:rsidR="00277023">
        <w:rPr>
          <w:lang w:val="fr-FR"/>
        </w:rPr>
        <w:t>’</w:t>
      </w:r>
      <w:r w:rsidRPr="00DA18AE">
        <w:rPr>
          <w:lang w:val="fr-FR"/>
        </w:rPr>
        <w:t>application de ces plans s</w:t>
      </w:r>
      <w:r w:rsidR="00277023">
        <w:rPr>
          <w:lang w:val="fr-FR"/>
        </w:rPr>
        <w:t>’</w:t>
      </w:r>
      <w:r w:rsidRPr="00DA18AE">
        <w:rPr>
          <w:lang w:val="fr-FR"/>
        </w:rPr>
        <w:t>est achevée en mars 2006. Ils ont permis une amélioration significative quant au nombre d</w:t>
      </w:r>
      <w:r w:rsidR="00277023">
        <w:rPr>
          <w:lang w:val="fr-FR"/>
        </w:rPr>
        <w:t>’</w:t>
      </w:r>
      <w:r w:rsidRPr="00DA18AE">
        <w:rPr>
          <w:lang w:val="fr-FR"/>
        </w:rPr>
        <w:t>enseignants au cours de la période d</w:t>
      </w:r>
      <w:r w:rsidR="00277023">
        <w:rPr>
          <w:lang w:val="fr-FR"/>
        </w:rPr>
        <w:t>’</w:t>
      </w:r>
      <w:r w:rsidRPr="00DA18AE">
        <w:rPr>
          <w:lang w:val="fr-FR"/>
        </w:rPr>
        <w:t>avril 2001 à mars 2006, avec 26.900 enseignants supplémentaires dans les établissements d</w:t>
      </w:r>
      <w:r w:rsidR="00277023">
        <w:rPr>
          <w:lang w:val="fr-FR"/>
        </w:rPr>
        <w:t>’</w:t>
      </w:r>
      <w:r w:rsidRPr="00DA18AE">
        <w:rPr>
          <w:lang w:val="fr-FR"/>
        </w:rPr>
        <w:t>enseignement obligatoire et 7.008 dans les établissements d</w:t>
      </w:r>
      <w:r w:rsidR="00277023">
        <w:rPr>
          <w:lang w:val="fr-FR"/>
        </w:rPr>
        <w:t>’</w:t>
      </w:r>
      <w:r w:rsidRPr="00DA18AE">
        <w:rPr>
          <w:lang w:val="fr-FR"/>
        </w:rPr>
        <w:t>enseignement secondaire publics.</w:t>
      </w:r>
    </w:p>
    <w:p w:rsidR="00DA18AE" w:rsidRPr="00DA18AE" w:rsidRDefault="00DA18AE" w:rsidP="00DA18AE">
      <w:pPr>
        <w:pStyle w:val="SingleTxtG"/>
        <w:rPr>
          <w:lang w:val="fr-FR"/>
        </w:rPr>
      </w:pPr>
      <w:r w:rsidRPr="00DA18AE">
        <w:rPr>
          <w:lang w:val="fr-FR"/>
        </w:rPr>
        <w:t xml:space="preserve">(Mesures en faveur de la distribution de fournitures scolaires appropriées accessibles à tous les enfants) </w:t>
      </w:r>
    </w:p>
    <w:p w:rsidR="00DA18AE" w:rsidRPr="00DA18AE" w:rsidRDefault="00DA18AE" w:rsidP="00DA18AE">
      <w:pPr>
        <w:pStyle w:val="SingleTxtG"/>
        <w:rPr>
          <w:lang w:val="fr-FR"/>
        </w:rPr>
      </w:pPr>
      <w:r w:rsidRPr="00DA18AE">
        <w:rPr>
          <w:lang w:val="fr-FR"/>
        </w:rPr>
        <w:t>393.</w:t>
      </w:r>
      <w:r w:rsidRPr="00DA18AE">
        <w:rPr>
          <w:lang w:val="fr-FR"/>
        </w:rPr>
        <w:tab/>
        <w:t xml:space="preserve">Voir paragraphe 217 du rapport initial du Japon et paragraphe 344 du deuxième rapport du Japon. </w:t>
      </w:r>
    </w:p>
    <w:p w:rsidR="00DA18AE" w:rsidRPr="00DA18AE" w:rsidRDefault="00DA18AE" w:rsidP="00DA18AE">
      <w:pPr>
        <w:pStyle w:val="SingleTxtG"/>
        <w:rPr>
          <w:lang w:val="fr-FR"/>
        </w:rPr>
      </w:pPr>
      <w:r w:rsidRPr="00DA18AE">
        <w:rPr>
          <w:lang w:val="fr-FR"/>
        </w:rPr>
        <w:t>(Développer les possibilités d</w:t>
      </w:r>
      <w:r w:rsidR="00277023">
        <w:rPr>
          <w:lang w:val="fr-FR"/>
        </w:rPr>
        <w:t>’</w:t>
      </w:r>
      <w:r w:rsidRPr="00DA18AE">
        <w:rPr>
          <w:lang w:val="fr-FR"/>
        </w:rPr>
        <w:t>études universitaires)</w:t>
      </w:r>
    </w:p>
    <w:p w:rsidR="00DA18AE" w:rsidRPr="00DA18AE" w:rsidRDefault="00DA18AE" w:rsidP="00DA18AE">
      <w:pPr>
        <w:pStyle w:val="SingleTxtG"/>
        <w:rPr>
          <w:lang w:val="fr-FR"/>
        </w:rPr>
      </w:pPr>
      <w:r w:rsidRPr="00DA18AE">
        <w:rPr>
          <w:lang w:val="fr-FR"/>
        </w:rPr>
        <w:t>394.</w:t>
      </w:r>
      <w:r w:rsidRPr="00DA18AE">
        <w:rPr>
          <w:lang w:val="fr-FR"/>
        </w:rPr>
        <w:tab/>
        <w:t xml:space="preserve">Voir paragraphe 344 du deuxième rapport du Japon. </w:t>
      </w:r>
    </w:p>
    <w:p w:rsidR="00DA18AE" w:rsidRPr="00DA18AE" w:rsidRDefault="00DA18AE" w:rsidP="00DA18AE">
      <w:pPr>
        <w:pStyle w:val="SingleTxtG"/>
        <w:rPr>
          <w:lang w:val="fr-FR"/>
        </w:rPr>
      </w:pPr>
      <w:r w:rsidRPr="00DA18AE">
        <w:rPr>
          <w:lang w:val="fr-FR"/>
        </w:rPr>
        <w:t>(</w:t>
      </w:r>
      <w:r w:rsidRPr="00DA18AE">
        <w:rPr>
          <w:bCs/>
          <w:iCs/>
          <w:lang w:val="fr-FR"/>
        </w:rPr>
        <w:t>Enseignement pour les élèves et étudiants étrangers</w:t>
      </w:r>
      <w:r w:rsidRPr="00DA18AE">
        <w:rPr>
          <w:lang w:val="fr-FR"/>
        </w:rPr>
        <w:t>)</w:t>
      </w:r>
    </w:p>
    <w:p w:rsidR="00DA18AE" w:rsidRPr="00DA18AE" w:rsidRDefault="00DA18AE" w:rsidP="00DA18AE">
      <w:pPr>
        <w:pStyle w:val="SingleTxtG"/>
        <w:rPr>
          <w:lang w:val="fr-FR"/>
        </w:rPr>
      </w:pPr>
      <w:r w:rsidRPr="00DA18AE">
        <w:rPr>
          <w:lang w:val="fr-FR"/>
        </w:rPr>
        <w:t>395.</w:t>
      </w:r>
      <w:r w:rsidRPr="00DA18AE">
        <w:rPr>
          <w:lang w:val="fr-FR"/>
        </w:rPr>
        <w:tab/>
        <w:t xml:space="preserve">Voir paragraphe 336 du deuxième rapport du Japon. </w:t>
      </w:r>
    </w:p>
    <w:p w:rsidR="00DA18AE" w:rsidRPr="00DA18AE" w:rsidRDefault="00DA18AE" w:rsidP="00DA18AE">
      <w:pPr>
        <w:pStyle w:val="SingleTxtG"/>
        <w:rPr>
          <w:i/>
          <w:iCs/>
          <w:lang w:val="fr-FR"/>
        </w:rPr>
      </w:pPr>
      <w:r w:rsidRPr="00DA18AE">
        <w:rPr>
          <w:lang w:val="fr-FR"/>
        </w:rPr>
        <w:t>(</w:t>
      </w:r>
      <w:r w:rsidRPr="00DA18AE">
        <w:rPr>
          <w:iCs/>
          <w:lang w:val="fr-FR"/>
        </w:rPr>
        <w:t>Mesures adoptées pour créer des établissements scolaires de qualité accessibles à tous les enfants</w:t>
      </w:r>
      <w:r w:rsidRPr="00DA18AE">
        <w:rPr>
          <w:i/>
          <w:iCs/>
          <w:lang w:val="fr-FR"/>
        </w:rPr>
        <w:t>)</w:t>
      </w:r>
    </w:p>
    <w:p w:rsidR="00DA18AE" w:rsidRPr="00DA18AE" w:rsidRDefault="00DA18AE" w:rsidP="00DA18AE">
      <w:pPr>
        <w:pStyle w:val="SingleTxtG"/>
        <w:rPr>
          <w:u w:val="single"/>
          <w:lang w:val="fr-FR"/>
        </w:rPr>
      </w:pPr>
      <w:r w:rsidRPr="00DA18AE">
        <w:rPr>
          <w:lang w:val="fr-FR"/>
        </w:rPr>
        <w:t>396.</w:t>
      </w:r>
      <w:r w:rsidRPr="00DA18AE">
        <w:rPr>
          <w:lang w:val="fr-FR"/>
        </w:rPr>
        <w:tab/>
        <w:t xml:space="preserve">Voir paragraphes 337-338 du deuxième rapport du Japon. </w:t>
      </w:r>
    </w:p>
    <w:p w:rsidR="00DA18AE" w:rsidRPr="00DA18AE" w:rsidRDefault="00DA18AE" w:rsidP="00DA18AE">
      <w:pPr>
        <w:pStyle w:val="SingleTxtG"/>
        <w:rPr>
          <w:lang w:val="fr-FR"/>
        </w:rPr>
      </w:pPr>
      <w:r w:rsidRPr="00DA18AE">
        <w:rPr>
          <w:lang w:val="fr-FR"/>
        </w:rPr>
        <w:t>(Jardins d</w:t>
      </w:r>
      <w:r w:rsidR="00277023">
        <w:rPr>
          <w:lang w:val="fr-FR"/>
        </w:rPr>
        <w:t>’</w:t>
      </w:r>
      <w:r w:rsidRPr="00DA18AE">
        <w:rPr>
          <w:lang w:val="fr-FR"/>
        </w:rPr>
        <w:t>enfants et enseignement obligatoire)</w:t>
      </w:r>
    </w:p>
    <w:p w:rsidR="00DA18AE" w:rsidRPr="00DA18AE" w:rsidRDefault="00DA18AE" w:rsidP="00DA18AE">
      <w:pPr>
        <w:pStyle w:val="SingleTxtG"/>
        <w:rPr>
          <w:lang w:val="fr-FR"/>
        </w:rPr>
      </w:pPr>
      <w:r w:rsidRPr="00DA18AE">
        <w:rPr>
          <w:lang w:val="fr-FR"/>
        </w:rPr>
        <w:t>397.</w:t>
      </w:r>
      <w:r w:rsidRPr="00DA18AE">
        <w:rPr>
          <w:lang w:val="fr-FR"/>
        </w:rPr>
        <w:tab/>
        <w:t xml:space="preserve">Voir paragraphe 339 du deuxième rapport du Japon. </w:t>
      </w:r>
    </w:p>
    <w:p w:rsidR="00DA18AE" w:rsidRPr="00DA18AE" w:rsidRDefault="00DA18AE" w:rsidP="00DA18AE">
      <w:pPr>
        <w:pStyle w:val="SingleTxtG"/>
        <w:rPr>
          <w:lang w:val="fr-FR"/>
        </w:rPr>
      </w:pPr>
      <w:r w:rsidRPr="00DA18AE">
        <w:rPr>
          <w:lang w:val="fr-FR"/>
        </w:rPr>
        <w:t>(Enseignement secondaire)</w:t>
      </w:r>
    </w:p>
    <w:p w:rsidR="00DA18AE" w:rsidRPr="00DA18AE" w:rsidRDefault="00DA18AE" w:rsidP="00DA18AE">
      <w:pPr>
        <w:pStyle w:val="SingleTxtG"/>
        <w:rPr>
          <w:lang w:val="fr-FR"/>
        </w:rPr>
      </w:pPr>
      <w:r w:rsidRPr="00DA18AE">
        <w:rPr>
          <w:lang w:val="fr-FR"/>
        </w:rPr>
        <w:t>398.</w:t>
      </w:r>
      <w:r w:rsidRPr="00DA18AE">
        <w:rPr>
          <w:lang w:val="fr-FR"/>
        </w:rPr>
        <w:tab/>
        <w:t xml:space="preserve">Voir paragraphes 340-342 du deuxième rapport du Japon. </w:t>
      </w:r>
    </w:p>
    <w:p w:rsidR="00DA18AE" w:rsidRPr="00DA18AE" w:rsidRDefault="00DA18AE" w:rsidP="00DA18AE">
      <w:pPr>
        <w:pStyle w:val="SingleTxtG"/>
        <w:rPr>
          <w:lang w:val="fr-FR"/>
        </w:rPr>
      </w:pPr>
      <w:r w:rsidRPr="00DA18AE">
        <w:rPr>
          <w:lang w:val="fr-FR"/>
        </w:rPr>
        <w:t>399.</w:t>
      </w:r>
      <w:r w:rsidRPr="00DA18AE">
        <w:rPr>
          <w:lang w:val="fr-FR"/>
        </w:rPr>
        <w:tab/>
        <w:t>Au Japon, l</w:t>
      </w:r>
      <w:r w:rsidR="00277023">
        <w:rPr>
          <w:lang w:val="fr-FR"/>
        </w:rPr>
        <w:t>’</w:t>
      </w:r>
      <w:r w:rsidRPr="00DA18AE">
        <w:rPr>
          <w:lang w:val="fr-FR"/>
        </w:rPr>
        <w:t>enseignement dans les établissements secondaires de premier cycle et dans le premier cycle des établissements secondaires est gratuit. Pour ce qui est des élèves du deuxième cycle de l</w:t>
      </w:r>
      <w:r w:rsidR="00277023">
        <w:rPr>
          <w:lang w:val="fr-FR"/>
        </w:rPr>
        <w:t>’</w:t>
      </w:r>
      <w:r w:rsidRPr="00DA18AE">
        <w:rPr>
          <w:lang w:val="fr-FR"/>
        </w:rPr>
        <w:t>enseignement secondaire nécessitant une aide financière, des mesures incluant le versement de bourses ont été adoptées. En 2004, le taux d</w:t>
      </w:r>
      <w:r w:rsidR="00277023">
        <w:rPr>
          <w:lang w:val="fr-FR"/>
        </w:rPr>
        <w:t>’</w:t>
      </w:r>
      <w:r w:rsidRPr="00DA18AE">
        <w:rPr>
          <w:lang w:val="fr-FR"/>
        </w:rPr>
        <w:t>inscription dans l</w:t>
      </w:r>
      <w:r w:rsidR="00277023">
        <w:rPr>
          <w:lang w:val="fr-FR"/>
        </w:rPr>
        <w:t>’</w:t>
      </w:r>
      <w:r w:rsidRPr="00DA18AE">
        <w:rPr>
          <w:lang w:val="fr-FR"/>
        </w:rPr>
        <w:t>enseignement secondaire était de 98</w:t>
      </w:r>
      <w:r w:rsidR="00277023">
        <w:rPr>
          <w:lang w:val="fr-FR"/>
        </w:rPr>
        <w:t>%</w:t>
      </w:r>
      <w:r w:rsidRPr="00DA18AE">
        <w:rPr>
          <w:lang w:val="fr-FR"/>
        </w:rPr>
        <w:t>.</w:t>
      </w:r>
    </w:p>
    <w:p w:rsidR="00DA18AE" w:rsidRPr="00DA18AE" w:rsidRDefault="00DA18AE" w:rsidP="00DA18AE">
      <w:pPr>
        <w:pStyle w:val="SingleTxtG"/>
        <w:rPr>
          <w:lang w:val="fr-FR"/>
        </w:rPr>
      </w:pPr>
      <w:r w:rsidRPr="00DA18AE">
        <w:rPr>
          <w:lang w:val="fr-FR"/>
        </w:rPr>
        <w:t>400.</w:t>
      </w:r>
      <w:r w:rsidRPr="00DA18AE">
        <w:rPr>
          <w:lang w:val="fr-FR"/>
        </w:rPr>
        <w:tab/>
        <w:t>S</w:t>
      </w:r>
      <w:r w:rsidR="00277023">
        <w:rPr>
          <w:lang w:val="fr-FR"/>
        </w:rPr>
        <w:t>’</w:t>
      </w:r>
      <w:r w:rsidRPr="00DA18AE">
        <w:rPr>
          <w:lang w:val="fr-FR"/>
        </w:rPr>
        <w:t>agissant de la procédure d</w:t>
      </w:r>
      <w:r w:rsidR="00277023">
        <w:rPr>
          <w:lang w:val="fr-FR"/>
        </w:rPr>
        <w:t>’</w:t>
      </w:r>
      <w:r w:rsidRPr="00DA18AE">
        <w:rPr>
          <w:lang w:val="fr-FR"/>
        </w:rPr>
        <w:t>autorisation des manuels, des mesures strictes et adaptées ont toujours été prises lors des séances du Conseil de recherche et d</w:t>
      </w:r>
      <w:r w:rsidR="00277023">
        <w:rPr>
          <w:lang w:val="fr-FR"/>
        </w:rPr>
        <w:t>’</w:t>
      </w:r>
      <w:r w:rsidRPr="00DA18AE">
        <w:rPr>
          <w:lang w:val="fr-FR"/>
        </w:rPr>
        <w:t>autorisation des manuels scolaires, composé d</w:t>
      </w:r>
      <w:r w:rsidR="00277023">
        <w:rPr>
          <w:lang w:val="fr-FR"/>
        </w:rPr>
        <w:t>’</w:t>
      </w:r>
      <w:r w:rsidRPr="00DA18AE">
        <w:rPr>
          <w:lang w:val="fr-FR"/>
        </w:rPr>
        <w:t>experts universitaires. Le Conseil fonde ses décisions sur les normes d</w:t>
      </w:r>
      <w:r w:rsidR="00277023">
        <w:rPr>
          <w:lang w:val="fr-FR"/>
        </w:rPr>
        <w:t>’</w:t>
      </w:r>
      <w:r w:rsidRPr="00DA18AE">
        <w:rPr>
          <w:lang w:val="fr-FR"/>
        </w:rPr>
        <w:t>autorisation qui tiennent compte des points suivants</w:t>
      </w:r>
      <w:r w:rsidR="00277023">
        <w:rPr>
          <w:lang w:val="fr-FR"/>
        </w:rPr>
        <w:t>:</w:t>
      </w:r>
      <w:r w:rsidRPr="00DA18AE">
        <w:rPr>
          <w:lang w:val="fr-FR"/>
        </w:rPr>
        <w:t xml:space="preserve"> i) la procédure doit être conforme aux normes officielles relatives aux programmes scolaires (directives pédagogiques), ii) aucune erreur et aucun élément inadapté ne doit figurer dans les livres proposés et iii) le contenu des livres doit être juste et mesuré.</w:t>
      </w:r>
    </w:p>
    <w:p w:rsidR="00DA18AE" w:rsidRPr="00DA18AE" w:rsidRDefault="00DA18AE" w:rsidP="00DA18AE">
      <w:pPr>
        <w:pStyle w:val="SingleTxtG"/>
        <w:rPr>
          <w:lang w:val="fr-FR"/>
        </w:rPr>
      </w:pPr>
      <w:r w:rsidRPr="00DA18AE">
        <w:rPr>
          <w:lang w:val="fr-FR"/>
        </w:rPr>
        <w:t>401.</w:t>
      </w:r>
      <w:r w:rsidRPr="00DA18AE">
        <w:rPr>
          <w:lang w:val="fr-FR"/>
        </w:rPr>
        <w:tab/>
        <w:t>S</w:t>
      </w:r>
      <w:r w:rsidR="00277023">
        <w:rPr>
          <w:lang w:val="fr-FR"/>
        </w:rPr>
        <w:t>’</w:t>
      </w:r>
      <w:r w:rsidRPr="00DA18AE">
        <w:rPr>
          <w:lang w:val="fr-FR"/>
        </w:rPr>
        <w:t>agissant de garantir le nombre requis d</w:t>
      </w:r>
      <w:r w:rsidR="00277023">
        <w:rPr>
          <w:lang w:val="fr-FR"/>
        </w:rPr>
        <w:t>’</w:t>
      </w:r>
      <w:r w:rsidRPr="00DA18AE">
        <w:rPr>
          <w:lang w:val="fr-FR"/>
        </w:rPr>
        <w:t>établissements secondaires de deuxième cycle accueillant des classes du soir et organisés en conséquence, les collectivités locales responsables des créations d</w:t>
      </w:r>
      <w:r w:rsidR="00277023">
        <w:rPr>
          <w:lang w:val="fr-FR"/>
        </w:rPr>
        <w:t>’</w:t>
      </w:r>
      <w:r w:rsidRPr="00DA18AE">
        <w:rPr>
          <w:lang w:val="fr-FR"/>
        </w:rPr>
        <w:t>établissements doivent exercer un jugement sûr tout en prêtant la plus grande attention à la situation locale et en assurant que les élèves peuvent fréquenter l</w:t>
      </w:r>
      <w:r w:rsidR="00277023">
        <w:rPr>
          <w:lang w:val="fr-FR"/>
        </w:rPr>
        <w:t>’</w:t>
      </w:r>
      <w:r w:rsidRPr="00DA18AE">
        <w:rPr>
          <w:lang w:val="fr-FR"/>
        </w:rPr>
        <w:t>école. Concernant la restructuration des classes du soir des établissements secondaires de deuxième cycle de Tokyo, compte tenu de la diminution du nombre d</w:t>
      </w:r>
      <w:r w:rsidR="00277023">
        <w:rPr>
          <w:lang w:val="fr-FR"/>
        </w:rPr>
        <w:t>’</w:t>
      </w:r>
      <w:r w:rsidRPr="00DA18AE">
        <w:rPr>
          <w:lang w:val="fr-FR"/>
        </w:rPr>
        <w:t>élèves, l</w:t>
      </w:r>
      <w:r w:rsidR="00277023">
        <w:rPr>
          <w:lang w:val="fr-FR"/>
        </w:rPr>
        <w:t>’</w:t>
      </w:r>
      <w:r w:rsidRPr="00DA18AE">
        <w:rPr>
          <w:lang w:val="fr-FR"/>
        </w:rPr>
        <w:t>administration scolaire de Tokyo s</w:t>
      </w:r>
      <w:r w:rsidR="00277023">
        <w:rPr>
          <w:lang w:val="fr-FR"/>
        </w:rPr>
        <w:t>’</w:t>
      </w:r>
      <w:r w:rsidRPr="00DA18AE">
        <w:rPr>
          <w:lang w:val="fr-FR"/>
        </w:rPr>
        <w:t>efforce d</w:t>
      </w:r>
      <w:r w:rsidR="00277023">
        <w:rPr>
          <w:lang w:val="fr-FR"/>
        </w:rPr>
        <w:t>’</w:t>
      </w:r>
      <w:r w:rsidRPr="00DA18AE">
        <w:rPr>
          <w:lang w:val="fr-FR"/>
        </w:rPr>
        <w:t>intégrer les classes du soir existantes et de créer des écoles de jour et du soir indépendantes, dans lesquelles le système de classe sera divisé en classes du matin, de l</w:t>
      </w:r>
      <w:r w:rsidR="00277023">
        <w:rPr>
          <w:lang w:val="fr-FR"/>
        </w:rPr>
        <w:t>’</w:t>
      </w:r>
      <w:r w:rsidRPr="00DA18AE">
        <w:rPr>
          <w:lang w:val="fr-FR"/>
        </w:rPr>
        <w:t>après-midi et du soir pour répondre aux différents besoins des élèves. Ce Plan d</w:t>
      </w:r>
      <w:r w:rsidR="00277023">
        <w:rPr>
          <w:lang w:val="fr-FR"/>
        </w:rPr>
        <w:t>’</w:t>
      </w:r>
      <w:r w:rsidRPr="00DA18AE">
        <w:rPr>
          <w:lang w:val="fr-FR"/>
        </w:rPr>
        <w:t>amélioration vise à assurer la capacité d</w:t>
      </w:r>
      <w:r w:rsidR="00277023">
        <w:rPr>
          <w:lang w:val="fr-FR"/>
        </w:rPr>
        <w:t>’</w:t>
      </w:r>
      <w:r w:rsidRPr="00DA18AE">
        <w:rPr>
          <w:lang w:val="fr-FR"/>
        </w:rPr>
        <w:t>accueil des élèves qui suivent les cours du soir destinés à bientôt disparaître, et, en considérant les données locales et les commodités de transport, des actions sont menées pour ouvrir le nombre d</w:t>
      </w:r>
      <w:r w:rsidR="00277023">
        <w:rPr>
          <w:lang w:val="fr-FR"/>
        </w:rPr>
        <w:t>’</w:t>
      </w:r>
      <w:r w:rsidRPr="00DA18AE">
        <w:rPr>
          <w:lang w:val="fr-FR"/>
        </w:rPr>
        <w:t>établissements nécessaire. Dans ses observations finales en réponse au deuxième rapport périodique du Japon, le Comité des droits de l</w:t>
      </w:r>
      <w:r w:rsidR="00277023">
        <w:rPr>
          <w:lang w:val="fr-FR"/>
        </w:rPr>
        <w:t>’</w:t>
      </w:r>
      <w:r w:rsidRPr="00DA18AE">
        <w:rPr>
          <w:lang w:val="fr-FR"/>
        </w:rPr>
        <w:t>enfant a recommandé au Gouvernement japonais d</w:t>
      </w:r>
      <w:r w:rsidR="00277023">
        <w:rPr>
          <w:lang w:val="fr-FR"/>
        </w:rPr>
        <w:t>’</w:t>
      </w:r>
      <w:r w:rsidRPr="00DA18AE">
        <w:rPr>
          <w:lang w:val="fr-FR"/>
        </w:rPr>
        <w:t>encourager les autorités de Tokyo à reconsidérer la fermeture des écoles du soir et à développer d</w:t>
      </w:r>
      <w:r w:rsidR="00277023">
        <w:rPr>
          <w:lang w:val="fr-FR"/>
        </w:rPr>
        <w:t>’</w:t>
      </w:r>
      <w:r w:rsidRPr="00DA18AE">
        <w:rPr>
          <w:lang w:val="fr-FR"/>
        </w:rPr>
        <w:t>autres modes d</w:t>
      </w:r>
      <w:r w:rsidR="00277023">
        <w:rPr>
          <w:lang w:val="fr-FR"/>
        </w:rPr>
        <w:t>’</w:t>
      </w:r>
      <w:r w:rsidRPr="00DA18AE">
        <w:rPr>
          <w:lang w:val="fr-FR"/>
        </w:rPr>
        <w:t>enseignement. Le Gouvernement s</w:t>
      </w:r>
      <w:r w:rsidR="00277023">
        <w:rPr>
          <w:lang w:val="fr-FR"/>
        </w:rPr>
        <w:t>’</w:t>
      </w:r>
      <w:r w:rsidRPr="00DA18AE">
        <w:rPr>
          <w:lang w:val="fr-FR"/>
        </w:rPr>
        <w:t>est enquis auprès du Gouvernement métropolitain de Tokyo de la situation et a estimé les mesures appropriées, c</w:t>
      </w:r>
      <w:r w:rsidR="00277023">
        <w:rPr>
          <w:lang w:val="fr-FR"/>
        </w:rPr>
        <w:t>’</w:t>
      </w:r>
      <w:r w:rsidRPr="00DA18AE">
        <w:rPr>
          <w:lang w:val="fr-FR"/>
        </w:rPr>
        <w:t>est pourquoi il n</w:t>
      </w:r>
      <w:r w:rsidR="00277023">
        <w:rPr>
          <w:lang w:val="fr-FR"/>
        </w:rPr>
        <w:t>’</w:t>
      </w:r>
      <w:r w:rsidRPr="00DA18AE">
        <w:rPr>
          <w:lang w:val="fr-FR"/>
        </w:rPr>
        <w:t>a pas donné d</w:t>
      </w:r>
      <w:r w:rsidR="00277023">
        <w:rPr>
          <w:lang w:val="fr-FR"/>
        </w:rPr>
        <w:t>’</w:t>
      </w:r>
      <w:r w:rsidRPr="00DA18AE">
        <w:rPr>
          <w:lang w:val="fr-FR"/>
        </w:rPr>
        <w:t>instructions fondées sur les recommandations du Comité au Gouvernement métropolitain de Tokyo.</w:t>
      </w:r>
    </w:p>
    <w:p w:rsidR="00DA18AE" w:rsidRPr="00DA18AE" w:rsidRDefault="00DA18AE" w:rsidP="00DA18AE">
      <w:pPr>
        <w:pStyle w:val="SingleTxtG"/>
        <w:rPr>
          <w:lang w:val="fr-FR"/>
        </w:rPr>
      </w:pPr>
      <w:r w:rsidRPr="00DA18AE">
        <w:rPr>
          <w:lang w:val="fr-FR"/>
        </w:rPr>
        <w:t>402.</w:t>
      </w:r>
      <w:r w:rsidRPr="00DA18AE">
        <w:rPr>
          <w:lang w:val="fr-FR"/>
        </w:rPr>
        <w:tab/>
        <w:t>Concernant les classes du soir du deuxième cycle de l</w:t>
      </w:r>
      <w:r w:rsidR="00277023">
        <w:rPr>
          <w:lang w:val="fr-FR"/>
        </w:rPr>
        <w:t>’</w:t>
      </w:r>
      <w:r w:rsidRPr="00DA18AE">
        <w:rPr>
          <w:lang w:val="fr-FR"/>
        </w:rPr>
        <w:t>enseignement secondaire, les mesures requises ont été appliquées, notamment la révision des dispositifs mis en oeuvre, pour assurer un enseignement adapté à l</w:t>
      </w:r>
      <w:r w:rsidR="00277023">
        <w:rPr>
          <w:lang w:val="fr-FR"/>
        </w:rPr>
        <w:t>’</w:t>
      </w:r>
      <w:r w:rsidRPr="00DA18AE">
        <w:rPr>
          <w:lang w:val="fr-FR"/>
        </w:rPr>
        <w:t>évolution de la société et du contexte environnant les élèves. Le Ministère de l</w:t>
      </w:r>
      <w:r w:rsidR="00277023">
        <w:rPr>
          <w:lang w:val="fr-FR"/>
        </w:rPr>
        <w:t>’</w:t>
      </w:r>
      <w:r w:rsidRPr="00DA18AE">
        <w:rPr>
          <w:lang w:val="fr-FR"/>
        </w:rPr>
        <w:t>éducation, de la culture, des sports, des sciences et de la technologie souhaiterait poursuivre les efforts de promotion de l</w:t>
      </w:r>
      <w:r w:rsidR="00277023">
        <w:rPr>
          <w:lang w:val="fr-FR"/>
        </w:rPr>
        <w:t>’</w:t>
      </w:r>
      <w:r w:rsidRPr="00DA18AE">
        <w:rPr>
          <w:lang w:val="fr-FR"/>
        </w:rPr>
        <w:t xml:space="preserve">enseignement secondaire du soir. </w:t>
      </w:r>
    </w:p>
    <w:p w:rsidR="00DA18AE" w:rsidRPr="00DA18AE" w:rsidRDefault="00DA18AE" w:rsidP="00DA18AE">
      <w:pPr>
        <w:pStyle w:val="SingleTxtG"/>
        <w:rPr>
          <w:lang w:val="fr-FR"/>
        </w:rPr>
      </w:pPr>
      <w:r w:rsidRPr="00DA18AE">
        <w:rPr>
          <w:bCs/>
          <w:iCs/>
          <w:lang w:val="fr-FR"/>
        </w:rPr>
        <w:t>(Accès à l</w:t>
      </w:r>
      <w:r w:rsidR="00277023">
        <w:rPr>
          <w:bCs/>
          <w:iCs/>
          <w:lang w:val="fr-FR"/>
        </w:rPr>
        <w:t>’</w:t>
      </w:r>
      <w:r w:rsidRPr="00DA18AE">
        <w:rPr>
          <w:bCs/>
          <w:iCs/>
          <w:lang w:val="fr-FR"/>
        </w:rPr>
        <w:t>enseignement supérieur</w:t>
      </w:r>
      <w:r w:rsidRPr="00DA18AE">
        <w:rPr>
          <w:lang w:val="fr-FR"/>
        </w:rPr>
        <w:t>)</w:t>
      </w:r>
    </w:p>
    <w:p w:rsidR="00DA18AE" w:rsidRPr="00DA18AE" w:rsidRDefault="00DA18AE" w:rsidP="00DA18AE">
      <w:pPr>
        <w:pStyle w:val="SingleTxtG"/>
        <w:rPr>
          <w:lang w:val="fr-FR"/>
        </w:rPr>
      </w:pPr>
      <w:r w:rsidRPr="00DA18AE">
        <w:rPr>
          <w:lang w:val="fr-FR"/>
        </w:rPr>
        <w:t>403.</w:t>
      </w:r>
      <w:r w:rsidRPr="00DA18AE">
        <w:rPr>
          <w:lang w:val="fr-FR"/>
        </w:rPr>
        <w:tab/>
        <w:t>Les conditions requises pour solliciter l</w:t>
      </w:r>
      <w:r w:rsidR="00277023">
        <w:rPr>
          <w:lang w:val="fr-FR"/>
        </w:rPr>
        <w:t>’</w:t>
      </w:r>
      <w:r w:rsidRPr="00DA18AE">
        <w:rPr>
          <w:lang w:val="fr-FR"/>
        </w:rPr>
        <w:t xml:space="preserve">entrée dans les universités japonaises </w:t>
      </w:r>
      <w:r w:rsidR="002B5F2D">
        <w:rPr>
          <w:lang w:val="fr-FR"/>
        </w:rPr>
        <w:t>—</w:t>
      </w:r>
      <w:r w:rsidRPr="00DA18AE">
        <w:rPr>
          <w:lang w:val="fr-FR"/>
        </w:rPr>
        <w:t>sans considération de la nationalité, de la race et du sexe</w:t>
      </w:r>
      <w:r w:rsidR="002B5F2D">
        <w:rPr>
          <w:lang w:val="fr-FR"/>
        </w:rPr>
        <w:t>—</w:t>
      </w:r>
      <w:r w:rsidRPr="00DA18AE">
        <w:rPr>
          <w:lang w:val="fr-FR"/>
        </w:rPr>
        <w:t xml:space="preserve"> étaient auparavant remplies si l</w:t>
      </w:r>
      <w:r w:rsidR="00277023">
        <w:rPr>
          <w:lang w:val="fr-FR"/>
        </w:rPr>
        <w:t>’</w:t>
      </w:r>
      <w:r w:rsidRPr="00DA18AE">
        <w:rPr>
          <w:lang w:val="fr-FR"/>
        </w:rPr>
        <w:t>on obtenait le diplôme du deuxième cycle de l</w:t>
      </w:r>
      <w:r w:rsidR="00277023">
        <w:rPr>
          <w:lang w:val="fr-FR"/>
        </w:rPr>
        <w:t>’</w:t>
      </w:r>
      <w:r w:rsidRPr="00DA18AE">
        <w:rPr>
          <w:lang w:val="fr-FR"/>
        </w:rPr>
        <w:t>enseignement secondaire, ou en passant avec succès un examen appelé examen d</w:t>
      </w:r>
      <w:r w:rsidR="00277023">
        <w:rPr>
          <w:lang w:val="fr-FR"/>
        </w:rPr>
        <w:t>’</w:t>
      </w:r>
      <w:r w:rsidRPr="00DA18AE">
        <w:rPr>
          <w:lang w:val="fr-FR"/>
        </w:rPr>
        <w:t>équivalence du deuxième cycle de l</w:t>
      </w:r>
      <w:r w:rsidR="00277023">
        <w:rPr>
          <w:lang w:val="fr-FR"/>
        </w:rPr>
        <w:t>’</w:t>
      </w:r>
      <w:r w:rsidRPr="00DA18AE">
        <w:rPr>
          <w:lang w:val="fr-FR"/>
        </w:rPr>
        <w:t>enseignement secondaire. En 1999, les critères de l</w:t>
      </w:r>
      <w:r w:rsidR="00277023">
        <w:rPr>
          <w:lang w:val="fr-FR"/>
        </w:rPr>
        <w:t>’</w:t>
      </w:r>
      <w:r w:rsidRPr="00DA18AE">
        <w:rPr>
          <w:lang w:val="fr-FR"/>
        </w:rPr>
        <w:t>examen d</w:t>
      </w:r>
      <w:r w:rsidR="00277023">
        <w:rPr>
          <w:lang w:val="fr-FR"/>
        </w:rPr>
        <w:t>’</w:t>
      </w:r>
      <w:r w:rsidRPr="00DA18AE">
        <w:rPr>
          <w:lang w:val="fr-FR"/>
        </w:rPr>
        <w:t>entrée à l</w:t>
      </w:r>
      <w:r w:rsidR="00277023">
        <w:rPr>
          <w:lang w:val="fr-FR"/>
        </w:rPr>
        <w:t>’</w:t>
      </w:r>
      <w:r w:rsidRPr="00DA18AE">
        <w:rPr>
          <w:lang w:val="fr-FR"/>
        </w:rPr>
        <w:t>université ont été modifiés afin d</w:t>
      </w:r>
      <w:r w:rsidR="00277023">
        <w:rPr>
          <w:lang w:val="fr-FR"/>
        </w:rPr>
        <w:t>’</w:t>
      </w:r>
      <w:r w:rsidRPr="00DA18AE">
        <w:rPr>
          <w:lang w:val="fr-FR"/>
        </w:rPr>
        <w:t>ouvrir au niveau institutionnel les possibilités d</w:t>
      </w:r>
      <w:r w:rsidR="00277023">
        <w:rPr>
          <w:lang w:val="fr-FR"/>
        </w:rPr>
        <w:t>’</w:t>
      </w:r>
      <w:r w:rsidRPr="00DA18AE">
        <w:rPr>
          <w:lang w:val="fr-FR"/>
        </w:rPr>
        <w:t>entrer dans une université aux élèves étrangers scolarisés dans des établissements pour étrangers au Japon, après évaluation de leur niveau scolaire personnel par un jury. La même année, les conditions d</w:t>
      </w:r>
      <w:r w:rsidR="00277023">
        <w:rPr>
          <w:lang w:val="fr-FR"/>
        </w:rPr>
        <w:t>’</w:t>
      </w:r>
      <w:r w:rsidRPr="00DA18AE">
        <w:rPr>
          <w:lang w:val="fr-FR"/>
        </w:rPr>
        <w:t>entrée dans les instituts de hautes études ont également été assouplies afin d</w:t>
      </w:r>
      <w:r w:rsidR="00277023">
        <w:rPr>
          <w:lang w:val="fr-FR"/>
        </w:rPr>
        <w:t>’</w:t>
      </w:r>
      <w:r w:rsidRPr="00DA18AE">
        <w:rPr>
          <w:lang w:val="fr-FR"/>
        </w:rPr>
        <w:t>en ouvrir l</w:t>
      </w:r>
      <w:r w:rsidR="00277023">
        <w:rPr>
          <w:lang w:val="fr-FR"/>
        </w:rPr>
        <w:t>’</w:t>
      </w:r>
      <w:r w:rsidRPr="00DA18AE">
        <w:rPr>
          <w:lang w:val="fr-FR"/>
        </w:rPr>
        <w:t>accès aux étudiants destinés à la recherche, l</w:t>
      </w:r>
      <w:r w:rsidR="00277023">
        <w:rPr>
          <w:lang w:val="fr-FR"/>
        </w:rPr>
        <w:t>’</w:t>
      </w:r>
      <w:r w:rsidRPr="00DA18AE">
        <w:rPr>
          <w:lang w:val="fr-FR"/>
        </w:rPr>
        <w:t>accent étant mis sur les aptitudes individuelles. De plus, en 2003, le système éducatif japonais a été modifié pour que tous puissent demander à passer les examens d</w:t>
      </w:r>
      <w:r w:rsidR="00277023">
        <w:rPr>
          <w:lang w:val="fr-FR"/>
        </w:rPr>
        <w:t>’</w:t>
      </w:r>
      <w:r w:rsidRPr="00DA18AE">
        <w:rPr>
          <w:lang w:val="fr-FR"/>
        </w:rPr>
        <w:t>entrée à l</w:t>
      </w:r>
      <w:r w:rsidR="00277023">
        <w:rPr>
          <w:lang w:val="fr-FR"/>
        </w:rPr>
        <w:t>’</w:t>
      </w:r>
      <w:r w:rsidRPr="00DA18AE">
        <w:rPr>
          <w:lang w:val="fr-FR"/>
        </w:rPr>
        <w:t>université, y compris les diplômés des établissements d</w:t>
      </w:r>
      <w:r w:rsidR="00277023">
        <w:rPr>
          <w:lang w:val="fr-FR"/>
        </w:rPr>
        <w:t>’</w:t>
      </w:r>
      <w:r w:rsidRPr="00DA18AE">
        <w:rPr>
          <w:lang w:val="fr-FR"/>
        </w:rPr>
        <w:t>enseignement supérieur de deuxième cycle étrangers dont les capacités sont jugées équivalentes ou supérieures à celles des diplômés des établissements d</w:t>
      </w:r>
      <w:r w:rsidR="00277023">
        <w:rPr>
          <w:lang w:val="fr-FR"/>
        </w:rPr>
        <w:t>’</w:t>
      </w:r>
      <w:r w:rsidRPr="00DA18AE">
        <w:rPr>
          <w:lang w:val="fr-FR"/>
        </w:rPr>
        <w:t>enseignement secondaire de deuxième cycle japonais.</w:t>
      </w:r>
    </w:p>
    <w:p w:rsidR="00DA18AE" w:rsidRPr="00DA18AE" w:rsidRDefault="00DA18AE" w:rsidP="00DA18AE">
      <w:pPr>
        <w:pStyle w:val="SingleTxtG"/>
        <w:rPr>
          <w:lang w:val="fr-FR"/>
        </w:rPr>
      </w:pPr>
      <w:r w:rsidRPr="00DA18AE">
        <w:rPr>
          <w:lang w:val="fr-FR"/>
        </w:rPr>
        <w:t>404.</w:t>
      </w:r>
      <w:r w:rsidRPr="00DA18AE">
        <w:rPr>
          <w:lang w:val="fr-FR"/>
        </w:rPr>
        <w:tab/>
        <w:t>Le mode de sélection des étudiants est également une question importante qui mérite d</w:t>
      </w:r>
      <w:r w:rsidR="00277023">
        <w:rPr>
          <w:lang w:val="fr-FR"/>
        </w:rPr>
        <w:t>’</w:t>
      </w:r>
      <w:r w:rsidRPr="00DA18AE">
        <w:rPr>
          <w:lang w:val="fr-FR"/>
        </w:rPr>
        <w:t>être constamment réexaminée, et, de fait, toute une série d</w:t>
      </w:r>
      <w:r w:rsidR="00277023">
        <w:rPr>
          <w:lang w:val="fr-FR"/>
        </w:rPr>
        <w:t>’</w:t>
      </w:r>
      <w:r w:rsidRPr="00DA18AE">
        <w:rPr>
          <w:lang w:val="fr-FR"/>
        </w:rPr>
        <w:t>améliorations a déjà été apportée. Désormais, tenant toujours compte des avis émis sur les établissements d</w:t>
      </w:r>
      <w:r w:rsidR="00277023">
        <w:rPr>
          <w:lang w:val="fr-FR"/>
        </w:rPr>
        <w:t>’</w:t>
      </w:r>
      <w:r w:rsidRPr="00DA18AE">
        <w:rPr>
          <w:lang w:val="fr-FR"/>
        </w:rPr>
        <w:t>enseignement secondaire de deuxième cycle et les universités, le Ministère de l</w:t>
      </w:r>
      <w:r w:rsidR="00277023">
        <w:rPr>
          <w:lang w:val="fr-FR"/>
        </w:rPr>
        <w:t>’</w:t>
      </w:r>
      <w:r w:rsidRPr="00DA18AE">
        <w:rPr>
          <w:lang w:val="fr-FR"/>
        </w:rPr>
        <w:t>éducation, de la culture, des sports, des sciences et de la technologie entend poursuivre l</w:t>
      </w:r>
      <w:r w:rsidR="00277023">
        <w:rPr>
          <w:lang w:val="fr-FR"/>
        </w:rPr>
        <w:t>’</w:t>
      </w:r>
      <w:r w:rsidRPr="00DA18AE">
        <w:rPr>
          <w:lang w:val="fr-FR"/>
        </w:rPr>
        <w:t>amélioration de la sélection des étudiants pour assurer qu</w:t>
      </w:r>
      <w:r w:rsidR="00277023">
        <w:rPr>
          <w:lang w:val="fr-FR"/>
        </w:rPr>
        <w:t>’</w:t>
      </w:r>
      <w:r w:rsidRPr="00DA18AE">
        <w:rPr>
          <w:lang w:val="fr-FR"/>
        </w:rPr>
        <w:t>elle se fasse selon des méthodes équitables et validées et que les possibilités de mettre à profit l</w:t>
      </w:r>
      <w:r w:rsidR="00277023">
        <w:rPr>
          <w:lang w:val="fr-FR"/>
        </w:rPr>
        <w:t>’</w:t>
      </w:r>
      <w:r w:rsidRPr="00DA18AE">
        <w:rPr>
          <w:lang w:val="fr-FR"/>
        </w:rPr>
        <w:t>enseignement secondaire de deuxième cycle ne soient pas entravées par</w:t>
      </w:r>
      <w:r w:rsidR="00EA1115">
        <w:rPr>
          <w:lang w:val="fr-FR"/>
        </w:rPr>
        <w:t xml:space="preserve"> </w:t>
      </w:r>
      <w:r w:rsidRPr="00DA18AE">
        <w:rPr>
          <w:lang w:val="fr-FR"/>
        </w:rPr>
        <w:t>une compétitivité excessive au niveau des examens d</w:t>
      </w:r>
      <w:r w:rsidR="00277023">
        <w:rPr>
          <w:lang w:val="fr-FR"/>
        </w:rPr>
        <w:t>’</w:t>
      </w:r>
      <w:r w:rsidRPr="00DA18AE">
        <w:rPr>
          <w:lang w:val="fr-FR"/>
        </w:rPr>
        <w:t>entrée.</w:t>
      </w:r>
    </w:p>
    <w:p w:rsidR="00DA18AE" w:rsidRPr="00DA18AE" w:rsidRDefault="00DA18AE" w:rsidP="00DA18AE">
      <w:pPr>
        <w:pStyle w:val="SingleTxtG"/>
        <w:rPr>
          <w:lang w:val="fr-FR"/>
        </w:rPr>
      </w:pPr>
      <w:r w:rsidRPr="00DA18AE">
        <w:rPr>
          <w:lang w:val="fr-FR"/>
        </w:rPr>
        <w:t>405.</w:t>
      </w:r>
      <w:r w:rsidRPr="00DA18AE">
        <w:rPr>
          <w:lang w:val="fr-FR"/>
        </w:rPr>
        <w:tab/>
        <w:t>En outre, l</w:t>
      </w:r>
      <w:r w:rsidR="00277023">
        <w:rPr>
          <w:lang w:val="fr-FR"/>
        </w:rPr>
        <w:t>’</w:t>
      </w:r>
      <w:r w:rsidRPr="00DA18AE">
        <w:rPr>
          <w:lang w:val="fr-FR"/>
        </w:rPr>
        <w:t>Université des ondes a été créée en 1983 dans l</w:t>
      </w:r>
      <w:r w:rsidR="00277023">
        <w:rPr>
          <w:lang w:val="fr-FR"/>
        </w:rPr>
        <w:t>’</w:t>
      </w:r>
      <w:r w:rsidRPr="00DA18AE">
        <w:rPr>
          <w:lang w:val="fr-FR"/>
        </w:rPr>
        <w:t>objectif de favoriser l</w:t>
      </w:r>
      <w:r w:rsidR="00277023">
        <w:rPr>
          <w:lang w:val="fr-FR"/>
        </w:rPr>
        <w:t>’</w:t>
      </w:r>
      <w:r w:rsidRPr="00DA18AE">
        <w:rPr>
          <w:lang w:val="fr-FR"/>
        </w:rPr>
        <w:t>accès aux études supérieures grâce à un nouveau type d</w:t>
      </w:r>
      <w:r w:rsidR="00277023">
        <w:rPr>
          <w:lang w:val="fr-FR"/>
        </w:rPr>
        <w:t>’</w:t>
      </w:r>
      <w:r w:rsidRPr="00DA18AE">
        <w:rPr>
          <w:lang w:val="fr-FR"/>
        </w:rPr>
        <w:t>enseignement universitaire utilisant l</w:t>
      </w:r>
      <w:r w:rsidR="00277023">
        <w:rPr>
          <w:lang w:val="fr-FR"/>
        </w:rPr>
        <w:t>’</w:t>
      </w:r>
      <w:r w:rsidRPr="00DA18AE">
        <w:rPr>
          <w:lang w:val="fr-FR"/>
        </w:rPr>
        <w:t>audiovisuel etc. L</w:t>
      </w:r>
      <w:r w:rsidR="00277023">
        <w:rPr>
          <w:lang w:val="fr-FR"/>
        </w:rPr>
        <w:t>’</w:t>
      </w:r>
      <w:r w:rsidRPr="00DA18AE">
        <w:rPr>
          <w:lang w:val="fr-FR"/>
        </w:rPr>
        <w:t>université dispense l</w:t>
      </w:r>
      <w:r w:rsidR="00277023">
        <w:rPr>
          <w:lang w:val="fr-FR"/>
        </w:rPr>
        <w:t>’</w:t>
      </w:r>
      <w:r w:rsidRPr="00DA18AE">
        <w:rPr>
          <w:lang w:val="fr-FR"/>
        </w:rPr>
        <w:t>enseignement grâce à un certain nombre de médias, comme la radio et la télévision.</w:t>
      </w:r>
      <w:r w:rsidR="00EA1115">
        <w:rPr>
          <w:lang w:val="fr-FR"/>
        </w:rPr>
        <w:t xml:space="preserve"> </w:t>
      </w:r>
      <w:r w:rsidRPr="00DA18AE">
        <w:rPr>
          <w:lang w:val="fr-FR"/>
        </w:rPr>
        <w:t>De plus, en réponse au développement de la technologie de l</w:t>
      </w:r>
      <w:r w:rsidR="00277023">
        <w:rPr>
          <w:lang w:val="fr-FR"/>
        </w:rPr>
        <w:t>’</w:t>
      </w:r>
      <w:r w:rsidRPr="00DA18AE">
        <w:rPr>
          <w:lang w:val="fr-FR"/>
        </w:rPr>
        <w:t>information, les cours postés sur Internet ont été officiellement reconnus en 2001. Cette mesure a permis aux</w:t>
      </w:r>
      <w:r w:rsidR="00EA1115">
        <w:rPr>
          <w:lang w:val="fr-FR"/>
        </w:rPr>
        <w:t xml:space="preserve"> </w:t>
      </w:r>
      <w:r w:rsidRPr="00DA18AE">
        <w:rPr>
          <w:lang w:val="fr-FR"/>
        </w:rPr>
        <w:t>étudiants utilisant l</w:t>
      </w:r>
      <w:r w:rsidR="00277023">
        <w:rPr>
          <w:lang w:val="fr-FR"/>
        </w:rPr>
        <w:t>’</w:t>
      </w:r>
      <w:r w:rsidRPr="00DA18AE">
        <w:rPr>
          <w:lang w:val="fr-FR"/>
        </w:rPr>
        <w:t>enseignement à distance de suivre les cours sur Internet et d</w:t>
      </w:r>
      <w:r w:rsidR="00277023">
        <w:rPr>
          <w:lang w:val="fr-FR"/>
        </w:rPr>
        <w:t>’</w:t>
      </w:r>
      <w:r w:rsidRPr="00DA18AE">
        <w:rPr>
          <w:lang w:val="fr-FR"/>
        </w:rPr>
        <w:t>obtenir ainsi les 124 crédits requis pour l</w:t>
      </w:r>
      <w:r w:rsidR="00277023">
        <w:rPr>
          <w:lang w:val="fr-FR"/>
        </w:rPr>
        <w:t>’</w:t>
      </w:r>
      <w:r w:rsidRPr="00DA18AE">
        <w:rPr>
          <w:lang w:val="fr-FR"/>
        </w:rPr>
        <w:t>obtention du diplôme. Elle permet également aux étudiants des universités ordinaires (impliquant un déplacement) d</w:t>
      </w:r>
      <w:r w:rsidR="00277023">
        <w:rPr>
          <w:lang w:val="fr-FR"/>
        </w:rPr>
        <w:t>’</w:t>
      </w:r>
      <w:r w:rsidRPr="00DA18AE">
        <w:rPr>
          <w:lang w:val="fr-FR"/>
        </w:rPr>
        <w:t>obtenir jusqu</w:t>
      </w:r>
      <w:r w:rsidR="00277023">
        <w:rPr>
          <w:lang w:val="fr-FR"/>
        </w:rPr>
        <w:t>’</w:t>
      </w:r>
      <w:r w:rsidRPr="00DA18AE">
        <w:rPr>
          <w:lang w:val="fr-FR"/>
        </w:rPr>
        <w:t>à 60 crédits grâce aux cours sur Internet, ce qui rend l</w:t>
      </w:r>
      <w:r w:rsidR="00277023">
        <w:rPr>
          <w:lang w:val="fr-FR"/>
        </w:rPr>
        <w:t>’</w:t>
      </w:r>
      <w:r w:rsidRPr="00DA18AE">
        <w:rPr>
          <w:lang w:val="fr-FR"/>
        </w:rPr>
        <w:t>enseignement supérieur plus accessible.</w:t>
      </w:r>
    </w:p>
    <w:p w:rsidR="00DA18AE" w:rsidRPr="00DA18AE" w:rsidRDefault="00DA18AE" w:rsidP="00DA18AE">
      <w:pPr>
        <w:pStyle w:val="SingleTxtG"/>
        <w:rPr>
          <w:iCs/>
          <w:lang w:val="fr-FR"/>
        </w:rPr>
      </w:pPr>
      <w:r w:rsidRPr="00DA18AE">
        <w:rPr>
          <w:lang w:val="fr-FR"/>
        </w:rPr>
        <w:t>(</w:t>
      </w:r>
      <w:r w:rsidRPr="00DA18AE">
        <w:rPr>
          <w:iCs/>
          <w:lang w:val="fr-FR"/>
        </w:rPr>
        <w:t>Utilisation des informations sur l</w:t>
      </w:r>
      <w:r w:rsidR="00277023">
        <w:rPr>
          <w:iCs/>
          <w:lang w:val="fr-FR"/>
        </w:rPr>
        <w:t>’</w:t>
      </w:r>
      <w:r w:rsidRPr="00DA18AE">
        <w:rPr>
          <w:iCs/>
          <w:lang w:val="fr-FR"/>
        </w:rPr>
        <w:t>enseignement et les métiers)</w:t>
      </w:r>
    </w:p>
    <w:p w:rsidR="00DA18AE" w:rsidRPr="00DA18AE" w:rsidRDefault="00DA18AE" w:rsidP="00DA18AE">
      <w:pPr>
        <w:pStyle w:val="SingleTxtG"/>
        <w:rPr>
          <w:lang w:val="fr-FR"/>
        </w:rPr>
      </w:pPr>
      <w:r w:rsidRPr="00DA18AE">
        <w:rPr>
          <w:lang w:val="fr-FR"/>
        </w:rPr>
        <w:t>406.</w:t>
      </w:r>
      <w:r w:rsidRPr="00DA18AE">
        <w:rPr>
          <w:lang w:val="fr-FR"/>
        </w:rPr>
        <w:tab/>
        <w:t>Voir paragraphe 347 du deuxième rapport du Japon.</w:t>
      </w:r>
    </w:p>
    <w:p w:rsidR="00DA18AE" w:rsidRPr="00DA18AE" w:rsidRDefault="00DA18AE" w:rsidP="00DA18AE">
      <w:pPr>
        <w:pStyle w:val="SingleTxtG"/>
        <w:rPr>
          <w:lang w:val="fr-FR"/>
        </w:rPr>
      </w:pPr>
      <w:r w:rsidRPr="00DA18AE">
        <w:rPr>
          <w:lang w:val="fr-FR"/>
        </w:rPr>
        <w:t>407.</w:t>
      </w:r>
      <w:r w:rsidRPr="00DA18AE">
        <w:rPr>
          <w:lang w:val="fr-FR"/>
        </w:rPr>
        <w:tab/>
        <w:t>Pour que chaque élève puisse réfléchir à sa carrière et à son futur métier, le</w:t>
      </w:r>
      <w:r w:rsidR="00EA1115">
        <w:rPr>
          <w:lang w:val="fr-FR"/>
        </w:rPr>
        <w:t xml:space="preserve"> </w:t>
      </w:r>
      <w:r w:rsidRPr="00DA18AE">
        <w:rPr>
          <w:lang w:val="fr-FR"/>
        </w:rPr>
        <w:t>rapport publié en janvier 2004 par le Conseil consultatif pour des travaux d</w:t>
      </w:r>
      <w:r w:rsidR="00277023">
        <w:rPr>
          <w:lang w:val="fr-FR"/>
        </w:rPr>
        <w:t>’</w:t>
      </w:r>
      <w:r w:rsidRPr="00DA18AE">
        <w:rPr>
          <w:lang w:val="fr-FR"/>
        </w:rPr>
        <w:t>étude et de recherche complets sur la promotion de l</w:t>
      </w:r>
      <w:r w:rsidR="00277023">
        <w:rPr>
          <w:lang w:val="fr-FR"/>
        </w:rPr>
        <w:t>’</w:t>
      </w:r>
      <w:r w:rsidRPr="00DA18AE">
        <w:rPr>
          <w:lang w:val="fr-FR"/>
        </w:rPr>
        <w:t>orientation professionnelle encourage l</w:t>
      </w:r>
      <w:r w:rsidR="00277023">
        <w:rPr>
          <w:lang w:val="fr-FR"/>
        </w:rPr>
        <w:t>’</w:t>
      </w:r>
      <w:r w:rsidRPr="00DA18AE">
        <w:rPr>
          <w:lang w:val="fr-FR"/>
        </w:rPr>
        <w:t>orientation professionnelle dès l</w:t>
      </w:r>
      <w:r w:rsidR="00277023">
        <w:rPr>
          <w:lang w:val="fr-FR"/>
        </w:rPr>
        <w:t>’</w:t>
      </w:r>
      <w:r w:rsidRPr="00DA18AE">
        <w:rPr>
          <w:lang w:val="fr-FR"/>
        </w:rPr>
        <w:t>école élémentaire, selon le degré de développement des enfants. Ce rapport recommande que l</w:t>
      </w:r>
      <w:r w:rsidR="00277023">
        <w:rPr>
          <w:lang w:val="fr-FR"/>
        </w:rPr>
        <w:t>’</w:t>
      </w:r>
      <w:r w:rsidRPr="00DA18AE">
        <w:rPr>
          <w:lang w:val="fr-FR"/>
        </w:rPr>
        <w:t>orientation professionnelle soit présente dans toutes les activités scolaires du type activités expérimentales, y compris l</w:t>
      </w:r>
      <w:r w:rsidR="00277023">
        <w:rPr>
          <w:lang w:val="fr-FR"/>
        </w:rPr>
        <w:t>’</w:t>
      </w:r>
      <w:r w:rsidRPr="00DA18AE">
        <w:rPr>
          <w:lang w:val="fr-FR"/>
        </w:rPr>
        <w:t>expérience professionnelle. Des mesures ont été adoptées à cette fin, comme des programmes de formation, la préparation de documents de référence, des expériences professionnelles et le développement des contenus et méthodes d</w:t>
      </w:r>
      <w:r w:rsidR="00277023">
        <w:rPr>
          <w:lang w:val="fr-FR"/>
        </w:rPr>
        <w:t>’</w:t>
      </w:r>
      <w:r w:rsidRPr="00DA18AE">
        <w:rPr>
          <w:lang w:val="fr-FR"/>
        </w:rPr>
        <w:t>orientation professionnelle cohérents tout au long de l</w:t>
      </w:r>
      <w:r w:rsidR="00277023">
        <w:rPr>
          <w:lang w:val="fr-FR"/>
        </w:rPr>
        <w:t>’</w:t>
      </w:r>
      <w:r w:rsidRPr="00DA18AE">
        <w:rPr>
          <w:lang w:val="fr-FR"/>
        </w:rPr>
        <w:t>enseignement élémentaire et secondaire.</w:t>
      </w:r>
    </w:p>
    <w:p w:rsidR="00DA18AE" w:rsidRPr="00DA18AE" w:rsidRDefault="00DA18AE" w:rsidP="00DA18AE">
      <w:pPr>
        <w:pStyle w:val="SingleTxtG"/>
        <w:rPr>
          <w:lang w:val="fr-FR"/>
        </w:rPr>
      </w:pPr>
      <w:r w:rsidRPr="00DA18AE">
        <w:rPr>
          <w:lang w:val="fr-FR"/>
        </w:rPr>
        <w:t>(Absentéisme et abandon scolaires)</w:t>
      </w:r>
    </w:p>
    <w:p w:rsidR="00DA18AE" w:rsidRPr="00DA18AE" w:rsidRDefault="002D23E5" w:rsidP="002D23E5">
      <w:pPr>
        <w:pStyle w:val="H4G"/>
        <w:rPr>
          <w:iCs/>
          <w:lang w:val="fr-FR"/>
        </w:rPr>
      </w:pPr>
      <w:r>
        <w:rPr>
          <w:lang w:val="fr-FR"/>
        </w:rPr>
        <w:tab/>
        <w:t>1)</w:t>
      </w:r>
      <w:r>
        <w:rPr>
          <w:lang w:val="fr-FR"/>
        </w:rPr>
        <w:tab/>
      </w:r>
      <w:r w:rsidR="00DA18AE" w:rsidRPr="00DA18AE">
        <w:rPr>
          <w:lang w:val="fr-FR"/>
        </w:rPr>
        <w:t>Absentéisme scolaire</w:t>
      </w:r>
    </w:p>
    <w:p w:rsidR="00DA18AE" w:rsidRPr="00DA18AE" w:rsidRDefault="00DA18AE" w:rsidP="00DA18AE">
      <w:pPr>
        <w:pStyle w:val="SingleTxtG"/>
        <w:rPr>
          <w:lang w:val="fr-FR"/>
        </w:rPr>
      </w:pPr>
      <w:r w:rsidRPr="00DA18AE">
        <w:rPr>
          <w:lang w:val="fr-FR"/>
        </w:rPr>
        <w:t>408.</w:t>
      </w:r>
      <w:r w:rsidRPr="00DA18AE">
        <w:rPr>
          <w:lang w:val="fr-FR"/>
        </w:rPr>
        <w:tab/>
        <w:t>Dans l</w:t>
      </w:r>
      <w:r w:rsidR="00277023">
        <w:rPr>
          <w:lang w:val="fr-FR"/>
        </w:rPr>
        <w:t>’</w:t>
      </w:r>
      <w:r w:rsidRPr="00DA18AE">
        <w:rPr>
          <w:lang w:val="fr-FR"/>
        </w:rPr>
        <w:t>enseignement obligatoire, le nombre d</w:t>
      </w:r>
      <w:r w:rsidR="00277023">
        <w:rPr>
          <w:lang w:val="fr-FR"/>
        </w:rPr>
        <w:t>’</w:t>
      </w:r>
      <w:r w:rsidRPr="00DA18AE">
        <w:rPr>
          <w:lang w:val="fr-FR"/>
        </w:rPr>
        <w:t>élèves qui ne fréquentent pas ou ne peuvent pas fréquenter l</w:t>
      </w:r>
      <w:r w:rsidR="00277023">
        <w:rPr>
          <w:lang w:val="fr-FR"/>
        </w:rPr>
        <w:t>’</w:t>
      </w:r>
      <w:r w:rsidRPr="00DA18AE">
        <w:rPr>
          <w:lang w:val="fr-FR"/>
        </w:rPr>
        <w:t>école, en grande partie en raison de facteurs psychologiques, émotionnels, physiques ou sociaux, à l</w:t>
      </w:r>
      <w:r w:rsidR="00277023">
        <w:rPr>
          <w:lang w:val="fr-FR"/>
        </w:rPr>
        <w:t>’</w:t>
      </w:r>
      <w:r w:rsidRPr="00DA18AE">
        <w:rPr>
          <w:lang w:val="fr-FR"/>
        </w:rPr>
        <w:t>exclusion des cas de maladie ou des motifs financiers, demeure extrêmement élevé</w:t>
      </w:r>
      <w:r w:rsidR="00277023">
        <w:rPr>
          <w:lang w:val="fr-FR"/>
        </w:rPr>
        <w:t>;</w:t>
      </w:r>
      <w:r w:rsidRPr="00DA18AE">
        <w:rPr>
          <w:lang w:val="fr-FR"/>
        </w:rPr>
        <w:t xml:space="preserve"> il s</w:t>
      </w:r>
      <w:r w:rsidR="00277023">
        <w:rPr>
          <w:lang w:val="fr-FR"/>
        </w:rPr>
        <w:t>’</w:t>
      </w:r>
      <w:r w:rsidRPr="00DA18AE">
        <w:rPr>
          <w:lang w:val="fr-FR"/>
        </w:rPr>
        <w:t>agit là d</w:t>
      </w:r>
      <w:r w:rsidR="00277023">
        <w:rPr>
          <w:lang w:val="fr-FR"/>
        </w:rPr>
        <w:t>’</w:t>
      </w:r>
      <w:r w:rsidRPr="00DA18AE">
        <w:rPr>
          <w:lang w:val="fr-FR"/>
        </w:rPr>
        <w:t>une question majeure qui appelle une réponse. Pour cela, le Ministère de l</w:t>
      </w:r>
      <w:r w:rsidR="00277023">
        <w:rPr>
          <w:lang w:val="fr-FR"/>
        </w:rPr>
        <w:t>’</w:t>
      </w:r>
      <w:r w:rsidRPr="00DA18AE">
        <w:rPr>
          <w:lang w:val="fr-FR"/>
        </w:rPr>
        <w:t>éducation, de la culture, des sports, des sciences et de la technologie a adopté des mesures, comme</w:t>
      </w:r>
      <w:r w:rsidR="00277023">
        <w:rPr>
          <w:lang w:val="fr-FR"/>
        </w:rPr>
        <w:t>:</w:t>
      </w:r>
      <w:r w:rsidRPr="00DA18AE">
        <w:rPr>
          <w:lang w:val="fr-FR"/>
        </w:rPr>
        <w:t xml:space="preserve"> a) créer des écoles sûres et vivantes qui n</w:t>
      </w:r>
      <w:r w:rsidR="00277023">
        <w:rPr>
          <w:lang w:val="fr-FR"/>
        </w:rPr>
        <w:t>’</w:t>
      </w:r>
      <w:r w:rsidRPr="00DA18AE">
        <w:rPr>
          <w:lang w:val="fr-FR"/>
        </w:rPr>
        <w:t>incitent pas à l</w:t>
      </w:r>
      <w:r w:rsidR="00277023">
        <w:rPr>
          <w:lang w:val="fr-FR"/>
        </w:rPr>
        <w:t>’</w:t>
      </w:r>
      <w:r w:rsidRPr="00DA18AE">
        <w:rPr>
          <w:lang w:val="fr-FR"/>
        </w:rPr>
        <w:t>absentéisme scolaire, b) améliorer le système d</w:t>
      </w:r>
      <w:r w:rsidR="00277023">
        <w:rPr>
          <w:lang w:val="fr-FR"/>
        </w:rPr>
        <w:t>’</w:t>
      </w:r>
      <w:r w:rsidRPr="00DA18AE">
        <w:rPr>
          <w:lang w:val="fr-FR"/>
        </w:rPr>
        <w:t>orientation scolaire grâce à l</w:t>
      </w:r>
      <w:r w:rsidR="00277023">
        <w:rPr>
          <w:lang w:val="fr-FR"/>
        </w:rPr>
        <w:t>’</w:t>
      </w:r>
      <w:r w:rsidRPr="00DA18AE">
        <w:rPr>
          <w:lang w:val="fr-FR"/>
        </w:rPr>
        <w:t>augmentation du nombre de conseillers, c) améliorer les centres de soutien pédagogique (classes d</w:t>
      </w:r>
      <w:r w:rsidR="00277023">
        <w:rPr>
          <w:lang w:val="fr-FR"/>
        </w:rPr>
        <w:t>’</w:t>
      </w:r>
      <w:r w:rsidRPr="00DA18AE">
        <w:rPr>
          <w:lang w:val="fr-FR"/>
        </w:rPr>
        <w:t>aide à la réadaptation), qui jouent un rôle essentiel dans le cadre de la lutte contre l</w:t>
      </w:r>
      <w:r w:rsidR="00277023">
        <w:rPr>
          <w:lang w:val="fr-FR"/>
        </w:rPr>
        <w:t>’</w:t>
      </w:r>
      <w:r w:rsidRPr="00DA18AE">
        <w:rPr>
          <w:lang w:val="fr-FR"/>
        </w:rPr>
        <w:t>absentéisme au sein des communautés.</w:t>
      </w:r>
    </w:p>
    <w:p w:rsidR="00DA18AE" w:rsidRPr="00DA18AE" w:rsidRDefault="002D23E5" w:rsidP="002D23E5">
      <w:pPr>
        <w:pStyle w:val="H4G"/>
        <w:rPr>
          <w:lang w:val="fr-FR"/>
        </w:rPr>
      </w:pPr>
      <w:r>
        <w:rPr>
          <w:lang w:val="fr-FR"/>
        </w:rPr>
        <w:tab/>
        <w:t>2)</w:t>
      </w:r>
      <w:r>
        <w:rPr>
          <w:lang w:val="fr-FR"/>
        </w:rPr>
        <w:tab/>
      </w:r>
      <w:r w:rsidR="00DA18AE" w:rsidRPr="00DA18AE">
        <w:rPr>
          <w:lang w:val="fr-FR"/>
        </w:rPr>
        <w:t>Abandon scolaire dans l</w:t>
      </w:r>
      <w:r w:rsidR="00277023">
        <w:rPr>
          <w:lang w:val="fr-FR"/>
        </w:rPr>
        <w:t>’</w:t>
      </w:r>
      <w:r w:rsidR="00DA18AE" w:rsidRPr="00DA18AE">
        <w:rPr>
          <w:lang w:val="fr-FR"/>
        </w:rPr>
        <w:t>enseignement secondaire de deuxième cycle</w:t>
      </w:r>
    </w:p>
    <w:p w:rsidR="00DA18AE" w:rsidRPr="00DA18AE" w:rsidRDefault="00DA18AE" w:rsidP="00DA18AE">
      <w:pPr>
        <w:pStyle w:val="SingleTxtG"/>
        <w:rPr>
          <w:lang w:val="fr-FR"/>
        </w:rPr>
      </w:pPr>
      <w:r w:rsidRPr="00DA18AE">
        <w:rPr>
          <w:lang w:val="fr-FR"/>
        </w:rPr>
        <w:t>409.</w:t>
      </w:r>
      <w:r w:rsidRPr="00DA18AE">
        <w:rPr>
          <w:lang w:val="fr-FR"/>
        </w:rPr>
        <w:tab/>
        <w:t>Pour résoudre le problème de l</w:t>
      </w:r>
      <w:r w:rsidR="00277023">
        <w:rPr>
          <w:lang w:val="fr-FR"/>
        </w:rPr>
        <w:t>’</w:t>
      </w:r>
      <w:r w:rsidRPr="00DA18AE">
        <w:rPr>
          <w:lang w:val="fr-FR"/>
        </w:rPr>
        <w:t>abandon scolaire dans l</w:t>
      </w:r>
      <w:r w:rsidR="00277023">
        <w:rPr>
          <w:lang w:val="fr-FR"/>
        </w:rPr>
        <w:t>’</w:t>
      </w:r>
      <w:r w:rsidRPr="00DA18AE">
        <w:rPr>
          <w:lang w:val="fr-FR"/>
        </w:rPr>
        <w:t>enseignement secondaire de deuxième cycle, le Ministère a pris les mesures suivantes</w:t>
      </w:r>
      <w:r w:rsidR="00277023">
        <w:rPr>
          <w:lang w:val="fr-FR"/>
        </w:rPr>
        <w:t>:</w:t>
      </w:r>
      <w:r w:rsidRPr="00DA18AE">
        <w:rPr>
          <w:lang w:val="fr-FR"/>
        </w:rPr>
        <w:t xml:space="preserve"> a) amélioration des consultations / de l</w:t>
      </w:r>
      <w:r w:rsidR="00277023">
        <w:rPr>
          <w:lang w:val="fr-FR"/>
        </w:rPr>
        <w:t>’</w:t>
      </w:r>
      <w:r w:rsidRPr="00DA18AE">
        <w:rPr>
          <w:lang w:val="fr-FR"/>
        </w:rPr>
        <w:t>orientation pour se préparer à l</w:t>
      </w:r>
      <w:r w:rsidR="00277023">
        <w:rPr>
          <w:lang w:val="fr-FR"/>
        </w:rPr>
        <w:t>’</w:t>
      </w:r>
      <w:r w:rsidRPr="00DA18AE">
        <w:rPr>
          <w:lang w:val="fr-FR"/>
        </w:rPr>
        <w:t>avenir dans les établissements d</w:t>
      </w:r>
      <w:r w:rsidR="00277023">
        <w:rPr>
          <w:lang w:val="fr-FR"/>
        </w:rPr>
        <w:t>’</w:t>
      </w:r>
      <w:r w:rsidRPr="00DA18AE">
        <w:rPr>
          <w:lang w:val="fr-FR"/>
        </w:rPr>
        <w:t>enseignement secondaire de premier cycle et dans le système d</w:t>
      </w:r>
      <w:r w:rsidR="00277023">
        <w:rPr>
          <w:lang w:val="fr-FR"/>
        </w:rPr>
        <w:t>’</w:t>
      </w:r>
      <w:r w:rsidRPr="00DA18AE">
        <w:rPr>
          <w:lang w:val="fr-FR"/>
        </w:rPr>
        <w:t>admission du deuxième cycle</w:t>
      </w:r>
      <w:r w:rsidR="00277023">
        <w:rPr>
          <w:lang w:val="fr-FR"/>
        </w:rPr>
        <w:t>;</w:t>
      </w:r>
      <w:r w:rsidRPr="00DA18AE">
        <w:rPr>
          <w:lang w:val="fr-FR"/>
        </w:rPr>
        <w:t xml:space="preserve"> b) création d</w:t>
      </w:r>
      <w:r w:rsidR="00277023">
        <w:rPr>
          <w:lang w:val="fr-FR"/>
        </w:rPr>
        <w:t>’</w:t>
      </w:r>
      <w:r w:rsidRPr="00DA18AE">
        <w:rPr>
          <w:lang w:val="fr-FR"/>
        </w:rPr>
        <w:t>établissements donnant aux élèves le choix entre plusieurs options, comme les établissements d</w:t>
      </w:r>
      <w:r w:rsidR="00277023">
        <w:rPr>
          <w:lang w:val="fr-FR"/>
        </w:rPr>
        <w:t>’</w:t>
      </w:r>
      <w:r w:rsidRPr="00DA18AE">
        <w:rPr>
          <w:lang w:val="fr-FR"/>
        </w:rPr>
        <w:t>enseignement secondaire dotés d</w:t>
      </w:r>
      <w:r w:rsidR="00277023">
        <w:rPr>
          <w:lang w:val="fr-FR"/>
        </w:rPr>
        <w:t>’</w:t>
      </w:r>
      <w:r w:rsidRPr="00DA18AE">
        <w:rPr>
          <w:lang w:val="fr-FR"/>
        </w:rPr>
        <w:t>un système fondé sur les crédits, création d</w:t>
      </w:r>
      <w:r w:rsidR="00277023">
        <w:rPr>
          <w:lang w:val="fr-FR"/>
        </w:rPr>
        <w:t>’</w:t>
      </w:r>
      <w:r w:rsidRPr="00DA18AE">
        <w:rPr>
          <w:lang w:val="fr-FR"/>
        </w:rPr>
        <w:t>établissements réunissant les deux cycles de l</w:t>
      </w:r>
      <w:r w:rsidR="00277023">
        <w:rPr>
          <w:lang w:val="fr-FR"/>
        </w:rPr>
        <w:t>’</w:t>
      </w:r>
      <w:r w:rsidRPr="00DA18AE">
        <w:rPr>
          <w:lang w:val="fr-FR"/>
        </w:rPr>
        <w:t>enseignement secondaire, des cours intégrés etc. et c) promotion de programmes plus variés et plus modulables et d</w:t>
      </w:r>
      <w:r w:rsidR="00277023">
        <w:rPr>
          <w:lang w:val="fr-FR"/>
        </w:rPr>
        <w:t>’</w:t>
      </w:r>
      <w:r w:rsidRPr="00DA18AE">
        <w:rPr>
          <w:lang w:val="fr-FR"/>
        </w:rPr>
        <w:t>une orientation personnalisée dans les établissements secondaires.</w:t>
      </w:r>
    </w:p>
    <w:p w:rsidR="00DA18AE" w:rsidRPr="00DA18AE" w:rsidRDefault="002D23E5" w:rsidP="002D23E5">
      <w:pPr>
        <w:pStyle w:val="H4G"/>
        <w:rPr>
          <w:lang w:val="fr-FR"/>
        </w:rPr>
      </w:pPr>
      <w:r>
        <w:rPr>
          <w:lang w:val="fr-FR"/>
        </w:rPr>
        <w:tab/>
        <w:t>3)</w:t>
      </w:r>
      <w:r>
        <w:rPr>
          <w:lang w:val="fr-FR"/>
        </w:rPr>
        <w:tab/>
      </w:r>
      <w:r w:rsidR="00DA18AE" w:rsidRPr="00DA18AE">
        <w:rPr>
          <w:lang w:val="fr-FR"/>
        </w:rPr>
        <w:t>Harcèlement et brutalités entre élèves</w:t>
      </w:r>
    </w:p>
    <w:p w:rsidR="00DA18AE" w:rsidRPr="00DA18AE" w:rsidRDefault="00DA18AE" w:rsidP="00DA18AE">
      <w:pPr>
        <w:pStyle w:val="SingleTxtG"/>
        <w:rPr>
          <w:lang w:val="fr-FR"/>
        </w:rPr>
      </w:pPr>
      <w:r w:rsidRPr="00DA18AE">
        <w:rPr>
          <w:lang w:val="fr-FR"/>
        </w:rPr>
        <w:t>410.</w:t>
      </w:r>
      <w:r w:rsidRPr="00DA18AE">
        <w:rPr>
          <w:lang w:val="fr-FR"/>
        </w:rPr>
        <w:tab/>
        <w:t xml:space="preserve">Les écoles traitent le problème du harcèlement et des brutalités en incitant les élèves à reconnaître fermement que </w:t>
      </w:r>
      <w:r w:rsidR="008E49D4">
        <w:rPr>
          <w:lang w:val="fr-FR"/>
        </w:rPr>
        <w:t>“</w:t>
      </w:r>
      <w:r w:rsidRPr="00DA18AE">
        <w:rPr>
          <w:lang w:val="fr-FR"/>
        </w:rPr>
        <w:t>nous, en tant qu</w:t>
      </w:r>
      <w:r w:rsidR="00277023">
        <w:rPr>
          <w:lang w:val="fr-FR"/>
        </w:rPr>
        <w:t>’</w:t>
      </w:r>
      <w:r w:rsidRPr="00DA18AE">
        <w:rPr>
          <w:lang w:val="fr-FR"/>
        </w:rPr>
        <w:t>êtres humains, ne devons pas accepter le harcèlement et les brutalités</w:t>
      </w:r>
      <w:r w:rsidR="008E49D4">
        <w:rPr>
          <w:lang w:val="fr-FR"/>
        </w:rPr>
        <w:t>”</w:t>
      </w:r>
      <w:r w:rsidRPr="00DA18AE">
        <w:rPr>
          <w:lang w:val="fr-FR"/>
        </w:rPr>
        <w:t xml:space="preserve"> et en encourageant la coopération entre les familles et la communauté locale, à partir du principe que ces actes peuvent se produire dans n</w:t>
      </w:r>
      <w:r w:rsidR="00277023">
        <w:rPr>
          <w:lang w:val="fr-FR"/>
        </w:rPr>
        <w:t>’</w:t>
      </w:r>
      <w:r w:rsidRPr="00DA18AE">
        <w:rPr>
          <w:lang w:val="fr-FR"/>
        </w:rPr>
        <w:t>importe quelle école ou classe et à l</w:t>
      </w:r>
      <w:r w:rsidR="00277023">
        <w:rPr>
          <w:lang w:val="fr-FR"/>
        </w:rPr>
        <w:t>’</w:t>
      </w:r>
      <w:r w:rsidRPr="00DA18AE">
        <w:rPr>
          <w:lang w:val="fr-FR"/>
        </w:rPr>
        <w:t>égard de n</w:t>
      </w:r>
      <w:r w:rsidR="00277023">
        <w:rPr>
          <w:lang w:val="fr-FR"/>
        </w:rPr>
        <w:t>’</w:t>
      </w:r>
      <w:r w:rsidRPr="00DA18AE">
        <w:rPr>
          <w:lang w:val="fr-FR"/>
        </w:rPr>
        <w:t>importe quel enfant. En juillet 1996, le Comité d</w:t>
      </w:r>
      <w:r w:rsidR="00277023">
        <w:rPr>
          <w:lang w:val="fr-FR"/>
        </w:rPr>
        <w:t>’</w:t>
      </w:r>
      <w:r w:rsidRPr="00DA18AE">
        <w:rPr>
          <w:lang w:val="fr-FR"/>
        </w:rPr>
        <w:t>experts mis en place par le Ministère de l</w:t>
      </w:r>
      <w:r w:rsidR="00277023">
        <w:rPr>
          <w:lang w:val="fr-FR"/>
        </w:rPr>
        <w:t>’</w:t>
      </w:r>
      <w:r w:rsidRPr="00DA18AE">
        <w:rPr>
          <w:lang w:val="fr-FR"/>
        </w:rPr>
        <w:t>éducation, de la culture, des sports, des sciences et de la technologie a publié un rapport sur les mesures globales à prendre pour lutter contre le harcèlement et les brutalités, et il a informé les conseils d</w:t>
      </w:r>
      <w:r w:rsidR="00277023">
        <w:rPr>
          <w:lang w:val="fr-FR"/>
        </w:rPr>
        <w:t>’</w:t>
      </w:r>
      <w:r w:rsidRPr="00DA18AE">
        <w:rPr>
          <w:lang w:val="fr-FR"/>
        </w:rPr>
        <w:t>éducation de l</w:t>
      </w:r>
      <w:r w:rsidR="00277023">
        <w:rPr>
          <w:lang w:val="fr-FR"/>
        </w:rPr>
        <w:t>’</w:t>
      </w:r>
      <w:r w:rsidRPr="00DA18AE">
        <w:rPr>
          <w:lang w:val="fr-FR"/>
        </w:rPr>
        <w:t>objectif et du contenu du rapport. Le Ministère a également travaillé sur plusieurs mesures visant à prévenir le harcèlement et les brutalités</w:t>
      </w:r>
      <w:r w:rsidR="00277023">
        <w:rPr>
          <w:lang w:val="fr-FR"/>
        </w:rPr>
        <w:t>:</w:t>
      </w:r>
      <w:r w:rsidRPr="00DA18AE">
        <w:rPr>
          <w:lang w:val="fr-FR"/>
        </w:rPr>
        <w:t xml:space="preserve"> création d</w:t>
      </w:r>
      <w:r w:rsidR="00277023">
        <w:rPr>
          <w:lang w:val="fr-FR"/>
        </w:rPr>
        <w:t>’</w:t>
      </w:r>
      <w:r w:rsidRPr="00DA18AE">
        <w:rPr>
          <w:lang w:val="fr-FR"/>
        </w:rPr>
        <w:t>écoles vivantes dispensant des cours faciles à comprendre, amélioration des cours d</w:t>
      </w:r>
      <w:r w:rsidR="00277023">
        <w:rPr>
          <w:lang w:val="fr-FR"/>
        </w:rPr>
        <w:t>’</w:t>
      </w:r>
      <w:r w:rsidRPr="00DA18AE">
        <w:rPr>
          <w:lang w:val="fr-FR"/>
        </w:rPr>
        <w:t xml:space="preserve">éducation morale </w:t>
      </w:r>
      <w:r w:rsidRPr="00DA18AE">
        <w:rPr>
          <w:i/>
          <w:lang w:val="fr-FR"/>
        </w:rPr>
        <w:t>(kokoro no kyouiku</w:t>
      </w:r>
      <w:r w:rsidRPr="00DA18AE">
        <w:rPr>
          <w:lang w:val="fr-FR"/>
        </w:rPr>
        <w:t>) et des programmes de formation</w:t>
      </w:r>
      <w:r w:rsidR="00277023">
        <w:rPr>
          <w:lang w:val="fr-FR"/>
        </w:rPr>
        <w:t>;</w:t>
      </w:r>
      <w:r w:rsidRPr="00DA18AE">
        <w:rPr>
          <w:lang w:val="fr-FR"/>
        </w:rPr>
        <w:t xml:space="preserve"> amélioration des systèmes d</w:t>
      </w:r>
      <w:r w:rsidR="00277023">
        <w:rPr>
          <w:lang w:val="fr-FR"/>
        </w:rPr>
        <w:t>’</w:t>
      </w:r>
      <w:r w:rsidRPr="00DA18AE">
        <w:rPr>
          <w:lang w:val="fr-FR"/>
        </w:rPr>
        <w:t>orientation scolaire grâce à la nomination de conseillers pour les parents et les enfants.</w:t>
      </w:r>
    </w:p>
    <w:p w:rsidR="00DA18AE" w:rsidRPr="00DA18AE" w:rsidRDefault="00DA18AE" w:rsidP="00DA18AE">
      <w:pPr>
        <w:pStyle w:val="SingleTxtG"/>
        <w:rPr>
          <w:lang w:val="fr-FR"/>
        </w:rPr>
      </w:pPr>
      <w:r w:rsidRPr="00DA18AE">
        <w:rPr>
          <w:lang w:val="fr-FR"/>
        </w:rPr>
        <w:t>411.</w:t>
      </w:r>
      <w:r w:rsidRPr="00DA18AE">
        <w:rPr>
          <w:lang w:val="fr-FR"/>
        </w:rPr>
        <w:tab/>
        <w:t>En outre, s</w:t>
      </w:r>
      <w:r w:rsidR="00277023">
        <w:rPr>
          <w:lang w:val="fr-FR"/>
        </w:rPr>
        <w:t>’</w:t>
      </w:r>
      <w:r w:rsidRPr="00DA18AE">
        <w:rPr>
          <w:lang w:val="fr-FR"/>
        </w:rPr>
        <w:t>agissant de la violence en milieu scolaire, y compris du harcèlement et des brutalités, les écoles travaillent avec les familles et les organisations compétentes et demandent aux conseils d</w:t>
      </w:r>
      <w:r w:rsidR="00277023">
        <w:rPr>
          <w:lang w:val="fr-FR"/>
        </w:rPr>
        <w:t>’</w:t>
      </w:r>
      <w:r w:rsidRPr="00DA18AE">
        <w:rPr>
          <w:lang w:val="fr-FR"/>
        </w:rPr>
        <w:t xml:space="preserve">éducation de prendre en charge les comportements à problèmes, tandis que les établissements et les organisations compétentes unissent leurs efforts pour promouvoir des mesures de lutte contre les comportements à problèmes des élèves. </w:t>
      </w:r>
    </w:p>
    <w:p w:rsidR="00DA18AE" w:rsidRPr="00DA18AE" w:rsidRDefault="00DA18AE" w:rsidP="00DA18AE">
      <w:pPr>
        <w:pStyle w:val="SingleTxtG"/>
        <w:rPr>
          <w:lang w:val="fr-FR"/>
        </w:rPr>
      </w:pPr>
      <w:r w:rsidRPr="00DA18AE">
        <w:rPr>
          <w:lang w:val="fr-FR"/>
        </w:rPr>
        <w:t>412.</w:t>
      </w:r>
      <w:r w:rsidRPr="00DA18AE">
        <w:rPr>
          <w:lang w:val="fr-FR"/>
        </w:rPr>
        <w:tab/>
        <w:t xml:space="preserve">Voir également paragraphes 329-330 du deuxième rapport du Japon. </w:t>
      </w:r>
    </w:p>
    <w:p w:rsidR="00DA18AE" w:rsidRPr="00DA18AE" w:rsidRDefault="002D23E5" w:rsidP="002D23E5">
      <w:pPr>
        <w:pStyle w:val="H23G"/>
        <w:rPr>
          <w:lang w:val="fr-FR"/>
        </w:rPr>
      </w:pPr>
      <w:r>
        <w:rPr>
          <w:lang w:val="fr-FR"/>
        </w:rPr>
        <w:tab/>
        <w:t>b)</w:t>
      </w:r>
      <w:r>
        <w:rPr>
          <w:lang w:val="fr-FR"/>
        </w:rPr>
        <w:tab/>
      </w:r>
      <w:r w:rsidR="00DA18AE" w:rsidRPr="00DA18AE">
        <w:rPr>
          <w:lang w:val="fr-FR"/>
        </w:rPr>
        <w:t>Discipline scolaire et dignité humaine des enfants</w:t>
      </w:r>
    </w:p>
    <w:p w:rsidR="00DA18AE" w:rsidRPr="00DA18AE" w:rsidRDefault="00DA18AE" w:rsidP="00DA18AE">
      <w:pPr>
        <w:pStyle w:val="SingleTxtG"/>
        <w:rPr>
          <w:lang w:val="fr-FR"/>
        </w:rPr>
      </w:pPr>
      <w:r w:rsidRPr="00DA18AE">
        <w:rPr>
          <w:lang w:val="fr-FR"/>
        </w:rPr>
        <w:t>(</w:t>
      </w:r>
      <w:r w:rsidRPr="00DA18AE">
        <w:rPr>
          <w:bCs/>
          <w:iCs/>
          <w:lang w:val="fr-FR"/>
        </w:rPr>
        <w:t>Règlements scolaires</w:t>
      </w:r>
      <w:r w:rsidRPr="00DA18AE">
        <w:rPr>
          <w:lang w:val="fr-FR"/>
        </w:rPr>
        <w:t>)</w:t>
      </w:r>
    </w:p>
    <w:p w:rsidR="00DA18AE" w:rsidRPr="00DA18AE" w:rsidRDefault="00DA18AE" w:rsidP="00DA18AE">
      <w:pPr>
        <w:pStyle w:val="SingleTxtG"/>
        <w:rPr>
          <w:lang w:val="fr-FR"/>
        </w:rPr>
      </w:pPr>
      <w:r w:rsidRPr="00DA18AE">
        <w:rPr>
          <w:lang w:val="fr-FR"/>
        </w:rPr>
        <w:t>413.</w:t>
      </w:r>
      <w:r w:rsidRPr="00DA18AE">
        <w:rPr>
          <w:lang w:val="fr-FR"/>
        </w:rPr>
        <w:tab/>
        <w:t xml:space="preserve">Voir paragraphe 355 du deuxième rapport du Japon. </w:t>
      </w:r>
    </w:p>
    <w:p w:rsidR="00DA18AE" w:rsidRPr="00DA18AE" w:rsidRDefault="00DA18AE" w:rsidP="00DA18AE">
      <w:pPr>
        <w:pStyle w:val="SingleTxtG"/>
        <w:rPr>
          <w:iCs/>
          <w:lang w:val="fr-FR"/>
        </w:rPr>
      </w:pPr>
      <w:r w:rsidRPr="00DA18AE">
        <w:rPr>
          <w:lang w:val="fr-FR"/>
        </w:rPr>
        <w:t>(Mesures disciplinaires</w:t>
      </w:r>
      <w:r w:rsidRPr="00DA18AE">
        <w:rPr>
          <w:iCs/>
          <w:lang w:val="fr-FR"/>
        </w:rPr>
        <w:t>)</w:t>
      </w:r>
    </w:p>
    <w:p w:rsidR="00DA18AE" w:rsidRPr="00DA18AE" w:rsidRDefault="00DA18AE" w:rsidP="00DA18AE">
      <w:pPr>
        <w:pStyle w:val="SingleTxtG"/>
        <w:rPr>
          <w:lang w:val="fr-FR"/>
        </w:rPr>
      </w:pPr>
      <w:r w:rsidRPr="00DA18AE">
        <w:rPr>
          <w:lang w:val="fr-FR"/>
        </w:rPr>
        <w:t>414.</w:t>
      </w:r>
      <w:r w:rsidRPr="00DA18AE">
        <w:rPr>
          <w:lang w:val="fr-FR"/>
        </w:rPr>
        <w:tab/>
        <w:t>Voir paragraphe 356 du deuxième rapport du Japon (paragraphe 193 du présent rapport “Mesures disciplinaires appliquées à l</w:t>
      </w:r>
      <w:r w:rsidR="00277023">
        <w:rPr>
          <w:lang w:val="fr-FR"/>
        </w:rPr>
        <w:t>’</w:t>
      </w:r>
      <w:r w:rsidRPr="00DA18AE">
        <w:rPr>
          <w:lang w:val="fr-FR"/>
        </w:rPr>
        <w:t>école et renvoi temporaire”).</w:t>
      </w:r>
    </w:p>
    <w:p w:rsidR="00DA18AE" w:rsidRPr="00DA18AE" w:rsidRDefault="00DA18AE" w:rsidP="00DA18AE">
      <w:pPr>
        <w:pStyle w:val="SingleTxtG"/>
        <w:rPr>
          <w:lang w:val="fr-FR"/>
        </w:rPr>
      </w:pPr>
      <w:r w:rsidRPr="00DA18AE">
        <w:rPr>
          <w:lang w:val="fr-FR"/>
        </w:rPr>
        <w:t>415.</w:t>
      </w:r>
      <w:r w:rsidRPr="00DA18AE">
        <w:rPr>
          <w:lang w:val="fr-FR"/>
        </w:rPr>
        <w:tab/>
        <w:t>Lorsque les organes de défense des droits de l</w:t>
      </w:r>
      <w:r w:rsidR="00277023">
        <w:rPr>
          <w:lang w:val="fr-FR"/>
        </w:rPr>
        <w:t>’</w:t>
      </w:r>
      <w:r w:rsidRPr="00DA18AE">
        <w:rPr>
          <w:lang w:val="fr-FR"/>
        </w:rPr>
        <w:t>homme du Ministère de la justice entendent parler de châtiments corporels, ils mènent une enquête, par exemple interrogent les personnes concernées et, dans la perspective de la protection des droits de l</w:t>
      </w:r>
      <w:r w:rsidR="00277023">
        <w:rPr>
          <w:lang w:val="fr-FR"/>
        </w:rPr>
        <w:t>’</w:t>
      </w:r>
      <w:r w:rsidRPr="00DA18AE">
        <w:rPr>
          <w:lang w:val="fr-FR"/>
        </w:rPr>
        <w:t>enfant, selon les résultats de l</w:t>
      </w:r>
      <w:r w:rsidR="00277023">
        <w:rPr>
          <w:lang w:val="fr-FR"/>
        </w:rPr>
        <w:t>’</w:t>
      </w:r>
      <w:r w:rsidRPr="00DA18AE">
        <w:rPr>
          <w:lang w:val="fr-FR"/>
        </w:rPr>
        <w:t>enquête, ils prennent des mesures comme promouvoir les droits de l</w:t>
      </w:r>
      <w:r w:rsidR="00277023">
        <w:rPr>
          <w:lang w:val="fr-FR"/>
        </w:rPr>
        <w:t>’</w:t>
      </w:r>
      <w:r w:rsidRPr="00DA18AE">
        <w:rPr>
          <w:lang w:val="fr-FR"/>
        </w:rPr>
        <w:t>homme et demander aux enseignants, aux directeurs et autres parties prenantes d</w:t>
      </w:r>
      <w:r w:rsidR="00277023">
        <w:rPr>
          <w:lang w:val="fr-FR"/>
        </w:rPr>
        <w:t>’</w:t>
      </w:r>
      <w:r w:rsidRPr="00DA18AE">
        <w:rPr>
          <w:lang w:val="fr-FR"/>
        </w:rPr>
        <w:t>adopter les dispositions requises pour empêcher que cela ne se reproduise. Ils mènent également des actions dans ce sens avec les écoles et les communautés.</w:t>
      </w:r>
    </w:p>
    <w:p w:rsidR="00DA18AE" w:rsidRPr="00DA18AE" w:rsidRDefault="00DA18AE" w:rsidP="00DA18AE">
      <w:pPr>
        <w:pStyle w:val="SingleTxtG"/>
        <w:rPr>
          <w:lang w:val="fr-FR"/>
        </w:rPr>
      </w:pPr>
      <w:r w:rsidRPr="00DA18AE">
        <w:rPr>
          <w:lang w:val="fr-FR"/>
        </w:rPr>
        <w:t>416.</w:t>
      </w:r>
      <w:r w:rsidRPr="00DA18AE">
        <w:rPr>
          <w:lang w:val="fr-FR"/>
        </w:rPr>
        <w:tab/>
        <w:t>S</w:t>
      </w:r>
      <w:r w:rsidR="00277023">
        <w:rPr>
          <w:lang w:val="fr-FR"/>
        </w:rPr>
        <w:t>’</w:t>
      </w:r>
      <w:r w:rsidRPr="00DA18AE">
        <w:rPr>
          <w:lang w:val="fr-FR"/>
        </w:rPr>
        <w:t>agissant de l</w:t>
      </w:r>
      <w:r w:rsidR="00277023">
        <w:rPr>
          <w:lang w:val="fr-FR"/>
        </w:rPr>
        <w:t>’</w:t>
      </w:r>
      <w:r w:rsidRPr="00DA18AE">
        <w:rPr>
          <w:lang w:val="fr-FR"/>
        </w:rPr>
        <w:t>interdiction des châtiments corporels, voir paragraphes 260-261 (châtiments corporels à l</w:t>
      </w:r>
      <w:r w:rsidR="00277023">
        <w:rPr>
          <w:lang w:val="fr-FR"/>
        </w:rPr>
        <w:t>’</w:t>
      </w:r>
      <w:r w:rsidRPr="00DA18AE">
        <w:rPr>
          <w:lang w:val="fr-FR"/>
        </w:rPr>
        <w:t xml:space="preserve">école). </w:t>
      </w:r>
    </w:p>
    <w:p w:rsidR="00DA18AE" w:rsidRPr="00DA18AE" w:rsidRDefault="002D23E5" w:rsidP="002D23E5">
      <w:pPr>
        <w:pStyle w:val="H23G"/>
        <w:rPr>
          <w:bCs/>
          <w:lang w:val="fr-FR"/>
        </w:rPr>
      </w:pPr>
      <w:r>
        <w:rPr>
          <w:lang w:val="fr-FR"/>
        </w:rPr>
        <w:tab/>
        <w:t>c)</w:t>
      </w:r>
      <w:r>
        <w:rPr>
          <w:lang w:val="fr-FR"/>
        </w:rPr>
        <w:tab/>
      </w:r>
      <w:r w:rsidR="00DA18AE" w:rsidRPr="00DA18AE">
        <w:rPr>
          <w:lang w:val="fr-FR"/>
        </w:rPr>
        <w:t>Coopération internationale en matière d</w:t>
      </w:r>
      <w:r w:rsidR="00277023">
        <w:rPr>
          <w:lang w:val="fr-FR"/>
        </w:rPr>
        <w:t>’</w:t>
      </w:r>
      <w:r w:rsidR="00DA18AE" w:rsidRPr="00DA18AE">
        <w:rPr>
          <w:lang w:val="fr-FR"/>
        </w:rPr>
        <w:t>enseignement</w:t>
      </w:r>
      <w:r w:rsidR="00277023">
        <w:rPr>
          <w:lang w:val="fr-FR"/>
        </w:rPr>
        <w:t>;</w:t>
      </w:r>
      <w:r w:rsidR="00DA18AE" w:rsidRPr="00DA18AE">
        <w:rPr>
          <w:lang w:val="fr-FR"/>
        </w:rPr>
        <w:t xml:space="preserve"> activités et programmes de mise en oeuvre de la coopération internationale</w:t>
      </w:r>
    </w:p>
    <w:p w:rsidR="00DA18AE" w:rsidRPr="00DA18AE" w:rsidRDefault="00DA18AE" w:rsidP="00DA18AE">
      <w:pPr>
        <w:pStyle w:val="SingleTxtG"/>
        <w:rPr>
          <w:lang w:val="fr-FR"/>
        </w:rPr>
      </w:pPr>
      <w:r w:rsidRPr="00DA18AE">
        <w:rPr>
          <w:lang w:val="fr-FR"/>
        </w:rPr>
        <w:t>417.</w:t>
      </w:r>
      <w:r w:rsidRPr="00DA18AE">
        <w:rPr>
          <w:lang w:val="fr-FR"/>
        </w:rPr>
        <w:tab/>
        <w:t xml:space="preserve">Voir paragraphes 61-66. </w:t>
      </w:r>
    </w:p>
    <w:p w:rsidR="00DA18AE" w:rsidRPr="00DA18AE" w:rsidRDefault="002D23E5" w:rsidP="002D23E5">
      <w:pPr>
        <w:pStyle w:val="H1G"/>
        <w:rPr>
          <w:lang w:val="fr-FR"/>
        </w:rPr>
      </w:pPr>
      <w:r>
        <w:rPr>
          <w:lang w:val="fr-FR"/>
        </w:rPr>
        <w:tab/>
        <w:t>B.</w:t>
      </w:r>
      <w:r>
        <w:rPr>
          <w:lang w:val="fr-FR"/>
        </w:rPr>
        <w:tab/>
      </w:r>
      <w:r w:rsidR="00DA18AE" w:rsidRPr="00DA18AE">
        <w:rPr>
          <w:lang w:val="fr-FR"/>
        </w:rPr>
        <w:t>Objectifs de l</w:t>
      </w:r>
      <w:r w:rsidR="00277023">
        <w:rPr>
          <w:lang w:val="fr-FR"/>
        </w:rPr>
        <w:t>’</w:t>
      </w:r>
      <w:r w:rsidR="00DA18AE" w:rsidRPr="00DA18AE">
        <w:rPr>
          <w:lang w:val="fr-FR"/>
        </w:rPr>
        <w:t>éducation (article 29)</w:t>
      </w:r>
    </w:p>
    <w:p w:rsidR="00DA18AE" w:rsidRPr="00DA18AE" w:rsidRDefault="00DA18AE" w:rsidP="00DA18AE">
      <w:pPr>
        <w:pStyle w:val="SingleTxtG"/>
        <w:rPr>
          <w:lang w:val="fr-FR"/>
        </w:rPr>
      </w:pPr>
      <w:r w:rsidRPr="00DA18AE">
        <w:rPr>
          <w:lang w:val="fr-FR"/>
        </w:rPr>
        <w:t>(Assurer la conformité des objectifs de l</w:t>
      </w:r>
      <w:r w:rsidR="00277023">
        <w:rPr>
          <w:lang w:val="fr-FR"/>
        </w:rPr>
        <w:t>’</w:t>
      </w:r>
      <w:r w:rsidRPr="00DA18AE">
        <w:rPr>
          <w:lang w:val="fr-FR"/>
        </w:rPr>
        <w:t>éducation à l</w:t>
      </w:r>
      <w:r w:rsidR="00277023">
        <w:rPr>
          <w:lang w:val="fr-FR"/>
        </w:rPr>
        <w:t>’</w:t>
      </w:r>
      <w:r w:rsidRPr="00DA18AE">
        <w:rPr>
          <w:lang w:val="fr-FR"/>
        </w:rPr>
        <w:t xml:space="preserve">article 29 de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w:t>
      </w:r>
    </w:p>
    <w:p w:rsidR="00DA18AE" w:rsidRPr="00DA18AE" w:rsidRDefault="00DA18AE" w:rsidP="00DA18AE">
      <w:pPr>
        <w:pStyle w:val="SingleTxtG"/>
        <w:rPr>
          <w:lang w:val="fr-FR"/>
        </w:rPr>
      </w:pPr>
      <w:r w:rsidRPr="00DA18AE">
        <w:rPr>
          <w:lang w:val="fr-FR"/>
        </w:rPr>
        <w:t>418.</w:t>
      </w:r>
      <w:r w:rsidRPr="00DA18AE">
        <w:rPr>
          <w:lang w:val="fr-FR"/>
        </w:rPr>
        <w:tab/>
        <w:t xml:space="preserve">Voir paragraphes 366-372 du deuxième rapport du Japon. </w:t>
      </w:r>
    </w:p>
    <w:p w:rsidR="00DA18AE" w:rsidRPr="00DA18AE" w:rsidRDefault="00DA18AE" w:rsidP="00DA18AE">
      <w:pPr>
        <w:pStyle w:val="SingleTxtG"/>
        <w:rPr>
          <w:lang w:val="fr-FR"/>
        </w:rPr>
      </w:pPr>
      <w:r w:rsidRPr="00DA18AE">
        <w:rPr>
          <w:lang w:val="fr-FR"/>
        </w:rPr>
        <w:t>419.</w:t>
      </w:r>
      <w:r w:rsidRPr="00DA18AE">
        <w:rPr>
          <w:lang w:val="fr-FR"/>
        </w:rPr>
        <w:tab/>
        <w:t>Les directives pédagogiques, partiellement remaniées en 2003, recommandent la promotion d</w:t>
      </w:r>
      <w:r w:rsidR="00277023">
        <w:rPr>
          <w:lang w:val="fr-FR"/>
        </w:rPr>
        <w:t>’</w:t>
      </w:r>
      <w:r w:rsidRPr="00DA18AE">
        <w:rPr>
          <w:lang w:val="fr-FR"/>
        </w:rPr>
        <w:t>une éducation sensible aux droits de l</w:t>
      </w:r>
      <w:r w:rsidR="00277023">
        <w:rPr>
          <w:lang w:val="fr-FR"/>
        </w:rPr>
        <w:t>’</w:t>
      </w:r>
      <w:r w:rsidRPr="00DA18AE">
        <w:rPr>
          <w:lang w:val="fr-FR"/>
        </w:rPr>
        <w:t>homme dans toutes les activités scolaires. Le Ministère de l</w:t>
      </w:r>
      <w:r w:rsidR="00277023">
        <w:rPr>
          <w:lang w:val="fr-FR"/>
        </w:rPr>
        <w:t>’</w:t>
      </w:r>
      <w:r w:rsidRPr="00DA18AE">
        <w:rPr>
          <w:lang w:val="fr-FR"/>
        </w:rPr>
        <w:t>éducation, de la culture, des sports, des sciences et de la technologie a mis en œuvre plusieurs projets tels que la désignation d</w:t>
      </w:r>
      <w:r w:rsidR="00277023">
        <w:rPr>
          <w:lang w:val="fr-FR"/>
        </w:rPr>
        <w:t>’</w:t>
      </w:r>
      <w:r w:rsidRPr="00DA18AE">
        <w:rPr>
          <w:lang w:val="fr-FR"/>
        </w:rPr>
        <w:t>écoles pilotes en matière d</w:t>
      </w:r>
      <w:r w:rsidR="00277023">
        <w:rPr>
          <w:lang w:val="fr-FR"/>
        </w:rPr>
        <w:t>’</w:t>
      </w:r>
      <w:r w:rsidRPr="00DA18AE">
        <w:rPr>
          <w:lang w:val="fr-FR"/>
        </w:rPr>
        <w:t>éducation aux droits de l</w:t>
      </w:r>
      <w:r w:rsidR="00277023">
        <w:rPr>
          <w:lang w:val="fr-FR"/>
        </w:rPr>
        <w:t>’</w:t>
      </w:r>
      <w:r w:rsidRPr="00DA18AE">
        <w:rPr>
          <w:lang w:val="fr-FR"/>
        </w:rPr>
        <w:t>homme, soucieux d</w:t>
      </w:r>
      <w:r w:rsidR="00277023">
        <w:rPr>
          <w:lang w:val="fr-FR"/>
        </w:rPr>
        <w:t>’</w:t>
      </w:r>
      <w:r w:rsidRPr="00DA18AE">
        <w:rPr>
          <w:lang w:val="fr-FR"/>
        </w:rPr>
        <w:t>améliorer et de renforcer les méthodes pédagogiques d</w:t>
      </w:r>
      <w:r w:rsidR="00277023">
        <w:rPr>
          <w:lang w:val="fr-FR"/>
        </w:rPr>
        <w:t>’</w:t>
      </w:r>
      <w:r w:rsidRPr="00DA18AE">
        <w:rPr>
          <w:lang w:val="fr-FR"/>
        </w:rPr>
        <w:t>éducation aux droits de l</w:t>
      </w:r>
      <w:r w:rsidR="00277023">
        <w:rPr>
          <w:lang w:val="fr-FR"/>
        </w:rPr>
        <w:t>’</w:t>
      </w:r>
      <w:r w:rsidRPr="00DA18AE">
        <w:rPr>
          <w:lang w:val="fr-FR"/>
        </w:rPr>
        <w:t>homme. De plus, le Groupe d</w:t>
      </w:r>
      <w:r w:rsidR="00277023">
        <w:rPr>
          <w:lang w:val="fr-FR"/>
        </w:rPr>
        <w:t>’</w:t>
      </w:r>
      <w:r w:rsidRPr="00DA18AE">
        <w:rPr>
          <w:lang w:val="fr-FR"/>
        </w:rPr>
        <w:t>étude sur les méthodes pédagogiques applicables aux droits de l</w:t>
      </w:r>
      <w:r w:rsidR="00277023">
        <w:rPr>
          <w:lang w:val="fr-FR"/>
        </w:rPr>
        <w:t>’</w:t>
      </w:r>
      <w:r w:rsidRPr="00DA18AE">
        <w:rPr>
          <w:lang w:val="fr-FR"/>
        </w:rPr>
        <w:t>homme a publié son premier rapport sur des méthodes recommandables issues des directives pédagogiques, et en janvier 2006 son deuxième rapport sur les méthodes pédagogiques en matière de droits de l</w:t>
      </w:r>
      <w:r w:rsidR="00277023">
        <w:rPr>
          <w:lang w:val="fr-FR"/>
        </w:rPr>
        <w:t>’</w:t>
      </w:r>
      <w:r w:rsidRPr="00DA18AE">
        <w:rPr>
          <w:lang w:val="fr-FR"/>
        </w:rPr>
        <w:t>homme. Le centre national de perfectionnement des enseignants (organe administratif indépendant) organise également des formations qui enseignent aux professeurs principaux à promouvoir l</w:t>
      </w:r>
      <w:r w:rsidR="00277023">
        <w:rPr>
          <w:lang w:val="fr-FR"/>
        </w:rPr>
        <w:t>’</w:t>
      </w:r>
      <w:r w:rsidRPr="00DA18AE">
        <w:rPr>
          <w:lang w:val="fr-FR"/>
        </w:rPr>
        <w:t>éducation aux droits de l</w:t>
      </w:r>
      <w:r w:rsidR="00277023">
        <w:rPr>
          <w:lang w:val="fr-FR"/>
        </w:rPr>
        <w:t>’</w:t>
      </w:r>
      <w:r w:rsidRPr="00DA18AE">
        <w:rPr>
          <w:lang w:val="fr-FR"/>
        </w:rPr>
        <w:t>homme.</w:t>
      </w:r>
    </w:p>
    <w:p w:rsidR="00DA18AE" w:rsidRPr="00DA18AE" w:rsidRDefault="00DA18AE" w:rsidP="00DA18AE">
      <w:pPr>
        <w:pStyle w:val="SingleTxtG"/>
        <w:rPr>
          <w:lang w:val="fr-FR"/>
        </w:rPr>
      </w:pPr>
      <w:r w:rsidRPr="00DA18AE">
        <w:rPr>
          <w:lang w:val="fr-FR"/>
        </w:rPr>
        <w:t>(Formation des enseignants)</w:t>
      </w:r>
    </w:p>
    <w:p w:rsidR="00DA18AE" w:rsidRPr="00DA18AE" w:rsidRDefault="00DA18AE" w:rsidP="00DA18AE">
      <w:pPr>
        <w:pStyle w:val="SingleTxtG"/>
        <w:rPr>
          <w:lang w:val="fr-FR"/>
        </w:rPr>
      </w:pPr>
      <w:r w:rsidRPr="00DA18AE">
        <w:rPr>
          <w:lang w:val="fr-FR"/>
        </w:rPr>
        <w:t>420.</w:t>
      </w:r>
      <w:r w:rsidRPr="00DA18AE">
        <w:rPr>
          <w:lang w:val="fr-FR"/>
        </w:rPr>
        <w:tab/>
        <w:t>Il est</w:t>
      </w:r>
      <w:r w:rsidR="00EA1115">
        <w:rPr>
          <w:lang w:val="fr-FR"/>
        </w:rPr>
        <w:t xml:space="preserve"> </w:t>
      </w:r>
      <w:r w:rsidRPr="00DA18AE">
        <w:rPr>
          <w:lang w:val="fr-FR"/>
        </w:rPr>
        <w:t>demandé aux enseignants de se former pour exercer leurs fonctions, et ainsi les conseils d</w:t>
      </w:r>
      <w:r w:rsidR="00277023">
        <w:rPr>
          <w:lang w:val="fr-FR"/>
        </w:rPr>
        <w:t>’</w:t>
      </w:r>
      <w:r w:rsidRPr="00DA18AE">
        <w:rPr>
          <w:lang w:val="fr-FR"/>
        </w:rPr>
        <w:t>éducation des préfectures ont mis en place diverses formations visant à améliorer de manière systématique la qualification des enseignants, y compris une formation initiale pour les nouveaux et une formation continue pour les enseignants ayant 10 ans d</w:t>
      </w:r>
      <w:r w:rsidR="00277023">
        <w:rPr>
          <w:lang w:val="fr-FR"/>
        </w:rPr>
        <w:t>’</w:t>
      </w:r>
      <w:r w:rsidRPr="00DA18AE">
        <w:rPr>
          <w:lang w:val="fr-FR"/>
        </w:rPr>
        <w:t>expérience. Le Gouvernement a mis en œuvre les mesures suivantes au centre national de perfectionnement des enseignants pour que les normes éducatives soient respectées et relevées</w:t>
      </w:r>
      <w:r w:rsidR="00277023">
        <w:rPr>
          <w:lang w:val="fr-FR"/>
        </w:rPr>
        <w:t>:</w:t>
      </w:r>
      <w:r w:rsidRPr="00DA18AE">
        <w:rPr>
          <w:lang w:val="fr-FR"/>
        </w:rPr>
        <w:t xml:space="preserve"> i) formation à l</w:t>
      </w:r>
      <w:r w:rsidR="00277023">
        <w:rPr>
          <w:lang w:val="fr-FR"/>
        </w:rPr>
        <w:t>’</w:t>
      </w:r>
      <w:r w:rsidRPr="00DA18AE">
        <w:rPr>
          <w:lang w:val="fr-FR"/>
        </w:rPr>
        <w:t>administration scolaire pour tous les directeurs et leurs adjoints qui jouent un rôle clé dans leur communauté et ii) formation sur les questions urgentes avant que les enseignants ne suivent une formation supplémentaire sous l</w:t>
      </w:r>
      <w:r w:rsidR="00277023">
        <w:rPr>
          <w:lang w:val="fr-FR"/>
        </w:rPr>
        <w:t>’</w:t>
      </w:r>
      <w:r w:rsidRPr="00DA18AE">
        <w:rPr>
          <w:lang w:val="fr-FR"/>
        </w:rPr>
        <w:t>égide des collectivités locales. Ces programmes de formation traitent également des droits de l</w:t>
      </w:r>
      <w:r w:rsidR="00277023">
        <w:rPr>
          <w:lang w:val="fr-FR"/>
        </w:rPr>
        <w:t>’</w:t>
      </w:r>
      <w:r w:rsidRPr="00DA18AE">
        <w:rPr>
          <w:lang w:val="fr-FR"/>
        </w:rPr>
        <w:t>homme.</w:t>
      </w:r>
    </w:p>
    <w:p w:rsidR="00DA18AE" w:rsidRPr="00DA18AE" w:rsidRDefault="00DA18AE" w:rsidP="00DA18AE">
      <w:pPr>
        <w:pStyle w:val="SingleTxtG"/>
        <w:rPr>
          <w:lang w:val="fr-FR"/>
        </w:rPr>
      </w:pPr>
      <w:r w:rsidRPr="00DA18AE">
        <w:rPr>
          <w:lang w:val="fr-FR"/>
        </w:rPr>
        <w:t>(</w:t>
      </w:r>
      <w:r w:rsidRPr="00DA18AE">
        <w:rPr>
          <w:bCs/>
          <w:iCs/>
          <w:lang w:val="fr-FR"/>
        </w:rPr>
        <w:t>Prévention du stress et de l</w:t>
      </w:r>
      <w:r w:rsidR="00277023">
        <w:rPr>
          <w:bCs/>
          <w:iCs/>
          <w:lang w:val="fr-FR"/>
        </w:rPr>
        <w:t>’</w:t>
      </w:r>
      <w:r w:rsidRPr="00DA18AE">
        <w:rPr>
          <w:bCs/>
          <w:iCs/>
          <w:lang w:val="fr-FR"/>
        </w:rPr>
        <w:t>absentéisme scolaire</w:t>
      </w:r>
      <w:r w:rsidRPr="00DA18AE">
        <w:rPr>
          <w:lang w:val="fr-FR"/>
        </w:rPr>
        <w:t>)</w:t>
      </w:r>
    </w:p>
    <w:p w:rsidR="00DA18AE" w:rsidRPr="00DA18AE" w:rsidRDefault="00DA18AE" w:rsidP="00DA18AE">
      <w:pPr>
        <w:pStyle w:val="SingleTxtG"/>
        <w:rPr>
          <w:lang w:val="fr-FR"/>
        </w:rPr>
      </w:pPr>
      <w:r w:rsidRPr="00DA18AE">
        <w:rPr>
          <w:lang w:val="fr-FR"/>
        </w:rPr>
        <w:t>421.</w:t>
      </w:r>
      <w:r w:rsidRPr="00DA18AE">
        <w:rPr>
          <w:lang w:val="fr-FR"/>
        </w:rPr>
        <w:tab/>
        <w:t xml:space="preserve">Voir paragraphe 359 du deuxième rapport du Japon. </w:t>
      </w:r>
    </w:p>
    <w:p w:rsidR="00DA18AE" w:rsidRPr="00DA18AE" w:rsidRDefault="002D23E5" w:rsidP="002D23E5">
      <w:pPr>
        <w:pStyle w:val="H4G"/>
        <w:rPr>
          <w:lang w:val="fr-FR"/>
        </w:rPr>
      </w:pPr>
      <w:r>
        <w:rPr>
          <w:lang w:val="fr-FR"/>
        </w:rPr>
        <w:tab/>
        <w:t>1)</w:t>
      </w:r>
      <w:r>
        <w:rPr>
          <w:lang w:val="fr-FR"/>
        </w:rPr>
        <w:tab/>
      </w:r>
      <w:r w:rsidR="00DA18AE" w:rsidRPr="00DA18AE">
        <w:rPr>
          <w:lang w:val="fr-FR"/>
        </w:rPr>
        <w:t>Absentéisme</w:t>
      </w:r>
    </w:p>
    <w:p w:rsidR="00DA18AE" w:rsidRPr="00DA18AE" w:rsidRDefault="00DA18AE" w:rsidP="00DA18AE">
      <w:pPr>
        <w:pStyle w:val="SingleTxtG"/>
        <w:rPr>
          <w:lang w:val="fr-FR"/>
        </w:rPr>
      </w:pPr>
      <w:r w:rsidRPr="00DA18AE">
        <w:rPr>
          <w:lang w:val="fr-FR"/>
        </w:rPr>
        <w:t>422.</w:t>
      </w:r>
      <w:r w:rsidRPr="00DA18AE">
        <w:rPr>
          <w:lang w:val="fr-FR"/>
        </w:rPr>
        <w:tab/>
        <w:t>Voir paragraphe 408</w:t>
      </w:r>
      <w:r w:rsidRPr="00DA18AE">
        <w:rPr>
          <w:bCs/>
          <w:iCs/>
          <w:lang w:val="fr-FR"/>
        </w:rPr>
        <w:t xml:space="preserve">. </w:t>
      </w:r>
    </w:p>
    <w:p w:rsidR="00DA18AE" w:rsidRPr="00DA18AE" w:rsidRDefault="002D23E5" w:rsidP="002D23E5">
      <w:pPr>
        <w:pStyle w:val="H4G"/>
        <w:rPr>
          <w:iCs/>
          <w:lang w:val="fr-FR"/>
        </w:rPr>
      </w:pPr>
      <w:r>
        <w:rPr>
          <w:lang w:val="fr-FR"/>
        </w:rPr>
        <w:tab/>
        <w:t>2)</w:t>
      </w:r>
      <w:r>
        <w:rPr>
          <w:lang w:val="fr-FR"/>
        </w:rPr>
        <w:tab/>
      </w:r>
      <w:r w:rsidR="00DA18AE" w:rsidRPr="00DA18AE">
        <w:rPr>
          <w:lang w:val="fr-FR"/>
        </w:rPr>
        <w:t>Amélioration du système d</w:t>
      </w:r>
      <w:r w:rsidR="00277023">
        <w:rPr>
          <w:lang w:val="fr-FR"/>
        </w:rPr>
        <w:t>’</w:t>
      </w:r>
      <w:r w:rsidR="00DA18AE" w:rsidRPr="00DA18AE">
        <w:rPr>
          <w:lang w:val="fr-FR"/>
        </w:rPr>
        <w:t>admission dans les établissements scolaires</w:t>
      </w:r>
    </w:p>
    <w:p w:rsidR="00DA18AE" w:rsidRPr="00DA18AE" w:rsidRDefault="00DA18AE" w:rsidP="00DA18AE">
      <w:pPr>
        <w:pStyle w:val="SingleTxtG"/>
        <w:rPr>
          <w:lang w:val="fr-FR"/>
        </w:rPr>
      </w:pPr>
      <w:r w:rsidRPr="00DA18AE">
        <w:rPr>
          <w:lang w:val="fr-FR"/>
        </w:rPr>
        <w:t>423.</w:t>
      </w:r>
      <w:r w:rsidRPr="00DA18AE">
        <w:rPr>
          <w:lang w:val="fr-FR"/>
        </w:rPr>
        <w:tab/>
        <w:t>S</w:t>
      </w:r>
      <w:r w:rsidR="00277023">
        <w:rPr>
          <w:lang w:val="fr-FR"/>
        </w:rPr>
        <w:t>’</w:t>
      </w:r>
      <w:r w:rsidRPr="00DA18AE">
        <w:rPr>
          <w:lang w:val="fr-FR"/>
        </w:rPr>
        <w:t>agissant du système d</w:t>
      </w:r>
      <w:r w:rsidR="00277023">
        <w:rPr>
          <w:lang w:val="fr-FR"/>
        </w:rPr>
        <w:t>’</w:t>
      </w:r>
      <w:r w:rsidRPr="00DA18AE">
        <w:rPr>
          <w:lang w:val="fr-FR"/>
        </w:rPr>
        <w:t>admission dans les établissements d</w:t>
      </w:r>
      <w:r w:rsidR="00277023">
        <w:rPr>
          <w:lang w:val="fr-FR"/>
        </w:rPr>
        <w:t>’</w:t>
      </w:r>
      <w:r w:rsidRPr="00DA18AE">
        <w:rPr>
          <w:lang w:val="fr-FR"/>
        </w:rPr>
        <w:t>enseignement secondaire de deuxième cycle, les pouvoirs publics s</w:t>
      </w:r>
      <w:r w:rsidR="00277023">
        <w:rPr>
          <w:lang w:val="fr-FR"/>
        </w:rPr>
        <w:t>’</w:t>
      </w:r>
      <w:r w:rsidRPr="00DA18AE">
        <w:rPr>
          <w:lang w:val="fr-FR"/>
        </w:rPr>
        <w:t>emploient, en fonction de la situation et de la spécificité de chaque école, à améliorer le système actuel en autorisant l</w:t>
      </w:r>
      <w:r w:rsidR="00277023">
        <w:rPr>
          <w:lang w:val="fr-FR"/>
        </w:rPr>
        <w:t>’</w:t>
      </w:r>
      <w:r w:rsidRPr="00DA18AE">
        <w:rPr>
          <w:lang w:val="fr-FR"/>
        </w:rPr>
        <w:t>amission sur recommandation d</w:t>
      </w:r>
      <w:r w:rsidR="00277023">
        <w:rPr>
          <w:lang w:val="fr-FR"/>
        </w:rPr>
        <w:t>’</w:t>
      </w:r>
      <w:r w:rsidRPr="00DA18AE">
        <w:rPr>
          <w:lang w:val="fr-FR"/>
        </w:rPr>
        <w:t>un directeur d</w:t>
      </w:r>
      <w:r w:rsidR="00277023">
        <w:rPr>
          <w:lang w:val="fr-FR"/>
        </w:rPr>
        <w:t>’</w:t>
      </w:r>
      <w:r w:rsidRPr="00DA18AE">
        <w:rPr>
          <w:lang w:val="fr-FR"/>
        </w:rPr>
        <w:t>école, en augmentant les possibilités de passer un examen d</w:t>
      </w:r>
      <w:r w:rsidR="00277023">
        <w:rPr>
          <w:lang w:val="fr-FR"/>
        </w:rPr>
        <w:t>’</w:t>
      </w:r>
      <w:r w:rsidRPr="00DA18AE">
        <w:rPr>
          <w:lang w:val="fr-FR"/>
        </w:rPr>
        <w:t>entrée, en menant des entretiens et en faisant passer des épreuves constituées de courtes rédactions et des tests d</w:t>
      </w:r>
      <w:r w:rsidR="00277023">
        <w:rPr>
          <w:lang w:val="fr-FR"/>
        </w:rPr>
        <w:t>’</w:t>
      </w:r>
      <w:r w:rsidRPr="00DA18AE">
        <w:rPr>
          <w:lang w:val="fr-FR"/>
        </w:rPr>
        <w:t>aptitude, qui permettent aux école d</w:t>
      </w:r>
      <w:r w:rsidR="00277023">
        <w:rPr>
          <w:lang w:val="fr-FR"/>
        </w:rPr>
        <w:t>’</w:t>
      </w:r>
      <w:r w:rsidRPr="00DA18AE">
        <w:rPr>
          <w:lang w:val="fr-FR"/>
        </w:rPr>
        <w:t>évaluer les différentes capacités, aptitudes, motivations et résultats des élèves au cours du premier cycle de l</w:t>
      </w:r>
      <w:r w:rsidR="00277023">
        <w:rPr>
          <w:lang w:val="fr-FR"/>
        </w:rPr>
        <w:t>’</w:t>
      </w:r>
      <w:r w:rsidRPr="00DA18AE">
        <w:rPr>
          <w:lang w:val="fr-FR"/>
        </w:rPr>
        <w:t>enseignement secondaire. La compétition accrue aux examens d</w:t>
      </w:r>
      <w:r w:rsidR="00277023">
        <w:rPr>
          <w:lang w:val="fr-FR"/>
        </w:rPr>
        <w:t>’</w:t>
      </w:r>
      <w:r w:rsidRPr="00DA18AE">
        <w:rPr>
          <w:lang w:val="fr-FR"/>
        </w:rPr>
        <w:t>entrée dans les établissements d</w:t>
      </w:r>
      <w:r w:rsidR="00277023">
        <w:rPr>
          <w:lang w:val="fr-FR"/>
        </w:rPr>
        <w:t>’</w:t>
      </w:r>
      <w:r w:rsidRPr="00DA18AE">
        <w:rPr>
          <w:lang w:val="fr-FR"/>
        </w:rPr>
        <w:t>enseignement secondaire de deuxième cycle est devenu un problème social, car le nombre d</w:t>
      </w:r>
      <w:r w:rsidR="00277023">
        <w:rPr>
          <w:lang w:val="fr-FR"/>
        </w:rPr>
        <w:t>’</w:t>
      </w:r>
      <w:r w:rsidRPr="00DA18AE">
        <w:rPr>
          <w:lang w:val="fr-FR"/>
        </w:rPr>
        <w:t>élèves augmente dans l</w:t>
      </w:r>
      <w:r w:rsidR="00277023">
        <w:rPr>
          <w:lang w:val="fr-FR"/>
        </w:rPr>
        <w:t>’</w:t>
      </w:r>
      <w:r w:rsidRPr="00DA18AE">
        <w:rPr>
          <w:lang w:val="fr-FR"/>
        </w:rPr>
        <w:t>enseignement secondaire. La compétition à l</w:t>
      </w:r>
      <w:r w:rsidR="00277023">
        <w:rPr>
          <w:lang w:val="fr-FR"/>
        </w:rPr>
        <w:t>’</w:t>
      </w:r>
      <w:r w:rsidRPr="00DA18AE">
        <w:rPr>
          <w:lang w:val="fr-FR"/>
        </w:rPr>
        <w:t>admission à ce niveau tend cependant à s</w:t>
      </w:r>
      <w:r w:rsidR="00277023">
        <w:rPr>
          <w:lang w:val="fr-FR"/>
        </w:rPr>
        <w:t>’</w:t>
      </w:r>
      <w:r w:rsidRPr="00DA18AE">
        <w:rPr>
          <w:lang w:val="fr-FR"/>
        </w:rPr>
        <w:t>atténuer en raison de la diminution de la population de moins de 15 ans.</w:t>
      </w:r>
    </w:p>
    <w:p w:rsidR="00DA18AE" w:rsidRPr="00DA18AE" w:rsidRDefault="00DA18AE" w:rsidP="00DA18AE">
      <w:pPr>
        <w:pStyle w:val="SingleTxtG"/>
        <w:rPr>
          <w:lang w:val="fr-FR"/>
        </w:rPr>
      </w:pPr>
      <w:r w:rsidRPr="00DA18AE">
        <w:rPr>
          <w:lang w:val="fr-FR"/>
        </w:rPr>
        <w:t>(Révision des programmes scolaires pour réduire la compétitivité au sein du système scolaire)</w:t>
      </w:r>
    </w:p>
    <w:p w:rsidR="00DA18AE" w:rsidRPr="00DA18AE" w:rsidRDefault="00DA18AE" w:rsidP="00DA18AE">
      <w:pPr>
        <w:pStyle w:val="SingleTxtG"/>
        <w:rPr>
          <w:lang w:val="fr-FR"/>
        </w:rPr>
      </w:pPr>
      <w:r w:rsidRPr="00DA18AE">
        <w:rPr>
          <w:lang w:val="fr-FR"/>
        </w:rPr>
        <w:t>424.</w:t>
      </w:r>
      <w:r w:rsidRPr="00DA18AE">
        <w:rPr>
          <w:lang w:val="fr-FR"/>
        </w:rPr>
        <w:tab/>
        <w:t>Le Ministère de l</w:t>
      </w:r>
      <w:r w:rsidR="00277023">
        <w:rPr>
          <w:lang w:val="fr-FR"/>
        </w:rPr>
        <w:t>’</w:t>
      </w:r>
      <w:r w:rsidRPr="00DA18AE">
        <w:rPr>
          <w:lang w:val="fr-FR"/>
        </w:rPr>
        <w:t>éducation, de la culture, des sports, des sciences et de la technologie envisage la révision des directives pédagogiques, dans l</w:t>
      </w:r>
      <w:r w:rsidR="00277023">
        <w:rPr>
          <w:lang w:val="fr-FR"/>
        </w:rPr>
        <w:t>’</w:t>
      </w:r>
      <w:r w:rsidRPr="00DA18AE">
        <w:rPr>
          <w:lang w:val="fr-FR"/>
        </w:rPr>
        <w:t>objectif d</w:t>
      </w:r>
      <w:r w:rsidR="00277023">
        <w:rPr>
          <w:lang w:val="fr-FR"/>
        </w:rPr>
        <w:t>’</w:t>
      </w:r>
      <w:r w:rsidRPr="00DA18AE">
        <w:rPr>
          <w:lang w:val="fr-FR"/>
        </w:rPr>
        <w:t>ancrer les connaissances et compétences fondamentales chez les enfants et de développer la capacité à utiliser et explorer ce savoir, afin que l</w:t>
      </w:r>
      <w:r w:rsidR="00277023">
        <w:rPr>
          <w:lang w:val="fr-FR"/>
        </w:rPr>
        <w:t>’</w:t>
      </w:r>
      <w:r w:rsidRPr="00DA18AE">
        <w:rPr>
          <w:lang w:val="fr-FR"/>
        </w:rPr>
        <w:t>éducation scolaire procure à chaque enfant les bases d</w:t>
      </w:r>
      <w:r w:rsidR="00277023">
        <w:rPr>
          <w:lang w:val="fr-FR"/>
        </w:rPr>
        <w:t>’</w:t>
      </w:r>
      <w:r w:rsidRPr="00DA18AE">
        <w:rPr>
          <w:lang w:val="fr-FR"/>
        </w:rPr>
        <w:t>une vie indépendante au sein de la société ainsi que les qualités fondamentales requises pour devenir un élément constitutif de la nation et de la société. Cette perspective peut contribuer à enrichir ou développer le contenu des cours de langue japonaise, de sciences et de mathématiques. Il s</w:t>
      </w:r>
      <w:r w:rsidR="00277023">
        <w:rPr>
          <w:lang w:val="fr-FR"/>
        </w:rPr>
        <w:t>’</w:t>
      </w:r>
      <w:r w:rsidRPr="00DA18AE">
        <w:rPr>
          <w:lang w:val="fr-FR"/>
        </w:rPr>
        <w:t>agit là de cultiver les fondements indispensables au bon développement de la personnalité et des capacités des enfants au sein de la société, et il n</w:t>
      </w:r>
      <w:r w:rsidR="00277023">
        <w:rPr>
          <w:lang w:val="fr-FR"/>
        </w:rPr>
        <w:t>’</w:t>
      </w:r>
      <w:r w:rsidRPr="00DA18AE">
        <w:rPr>
          <w:lang w:val="fr-FR"/>
        </w:rPr>
        <w:t>y a donc pas lieu de prétendre que cette approche pourrait avoir une influence négative en exacerbant l</w:t>
      </w:r>
      <w:r w:rsidR="00277023">
        <w:rPr>
          <w:lang w:val="fr-FR"/>
        </w:rPr>
        <w:t>’</w:t>
      </w:r>
      <w:r w:rsidRPr="00DA18AE">
        <w:rPr>
          <w:lang w:val="fr-FR"/>
        </w:rPr>
        <w:t>aspect compétitif. Dans l</w:t>
      </w:r>
      <w:r w:rsidR="00277023">
        <w:rPr>
          <w:lang w:val="fr-FR"/>
        </w:rPr>
        <w:t>’</w:t>
      </w:r>
      <w:r w:rsidRPr="00DA18AE">
        <w:rPr>
          <w:lang w:val="fr-FR"/>
        </w:rPr>
        <w:t>optique de la révision des directives pédagogiques qui représentent les normes en matière de programmes scolaires, le Ministère a demandé l</w:t>
      </w:r>
      <w:r w:rsidR="00277023">
        <w:rPr>
          <w:lang w:val="fr-FR"/>
        </w:rPr>
        <w:t>’</w:t>
      </w:r>
      <w:r w:rsidRPr="00DA18AE">
        <w:rPr>
          <w:lang w:val="fr-FR"/>
        </w:rPr>
        <w:t>avis du public, par le biais de sondages auprès de différentes parties prenantes et de procédures permettant au public d</w:t>
      </w:r>
      <w:r w:rsidR="00277023">
        <w:rPr>
          <w:lang w:val="fr-FR"/>
        </w:rPr>
        <w:t>’</w:t>
      </w:r>
      <w:r w:rsidRPr="00DA18AE">
        <w:rPr>
          <w:lang w:val="fr-FR"/>
        </w:rPr>
        <w:t>exprimer ses observations.</w:t>
      </w:r>
    </w:p>
    <w:p w:rsidR="00DA18AE" w:rsidRPr="00DA18AE" w:rsidRDefault="00DA18AE" w:rsidP="00DA18AE">
      <w:pPr>
        <w:pStyle w:val="SingleTxtG"/>
        <w:rPr>
          <w:lang w:val="fr-FR"/>
        </w:rPr>
      </w:pPr>
      <w:r w:rsidRPr="00DA18AE">
        <w:rPr>
          <w:lang w:val="fr-FR"/>
        </w:rPr>
        <w:t>(Garantir le respect de la liberté des particuliers et des groupes de fonder et d</w:t>
      </w:r>
      <w:r w:rsidR="00277023">
        <w:rPr>
          <w:lang w:val="fr-FR"/>
        </w:rPr>
        <w:t>’</w:t>
      </w:r>
      <w:r w:rsidRPr="00DA18AE">
        <w:rPr>
          <w:lang w:val="fr-FR"/>
        </w:rPr>
        <w:t xml:space="preserve">administrer des établissements scolaires) </w:t>
      </w:r>
    </w:p>
    <w:p w:rsidR="00DA18AE" w:rsidRPr="00DA18AE" w:rsidRDefault="00DA18AE" w:rsidP="00DA18AE">
      <w:pPr>
        <w:pStyle w:val="SingleTxtG"/>
        <w:rPr>
          <w:lang w:val="fr-FR"/>
        </w:rPr>
      </w:pPr>
      <w:r w:rsidRPr="00DA18AE">
        <w:rPr>
          <w:lang w:val="fr-FR"/>
        </w:rPr>
        <w:t>425.</w:t>
      </w:r>
      <w:r w:rsidRPr="00DA18AE">
        <w:rPr>
          <w:lang w:val="fr-FR"/>
        </w:rPr>
        <w:tab/>
        <w:t>Au Japon, seuls l</w:t>
      </w:r>
      <w:r w:rsidR="00277023">
        <w:rPr>
          <w:lang w:val="fr-FR"/>
        </w:rPr>
        <w:t>’</w:t>
      </w:r>
      <w:r w:rsidRPr="00DA18AE">
        <w:rPr>
          <w:lang w:val="fr-FR"/>
        </w:rPr>
        <w:t>Etat, les collectivités locales et les personnes morales peuvent en principe fonder des établissements scolaires.</w:t>
      </w:r>
      <w:r w:rsidR="00EA1115">
        <w:rPr>
          <w:lang w:val="fr-FR"/>
        </w:rPr>
        <w:t xml:space="preserve"> </w:t>
      </w:r>
      <w:r w:rsidRPr="00DA18AE">
        <w:rPr>
          <w:lang w:val="fr-FR"/>
        </w:rPr>
        <w:t xml:space="preserve">Pour ce qui est des personnes morales, </w:t>
      </w:r>
      <w:smartTag w:uri="urn:schemas-microsoft-com:office:smarttags" w:element="PersonName">
        <w:smartTagPr>
          <w:attr w:name="ProductID" w:val="la Loi"/>
        </w:smartTagPr>
        <w:r w:rsidRPr="00DA18AE">
          <w:rPr>
            <w:lang w:val="fr-FR"/>
          </w:rPr>
          <w:t>la Loi</w:t>
        </w:r>
      </w:smartTag>
      <w:r w:rsidRPr="00DA18AE">
        <w:rPr>
          <w:lang w:val="fr-FR"/>
        </w:rPr>
        <w:t xml:space="preserve"> sur les établissements privés énonce les conditions requises pour garantir le caractère public et la continuité de l</w:t>
      </w:r>
      <w:r w:rsidR="00277023">
        <w:rPr>
          <w:lang w:val="fr-FR"/>
        </w:rPr>
        <w:t>’</w:t>
      </w:r>
      <w:r w:rsidRPr="00DA18AE">
        <w:rPr>
          <w:lang w:val="fr-FR"/>
        </w:rPr>
        <w:t xml:space="preserve">enseignement scolaire. Si une entité juridique à caractère éducatif est établie conformément à </w:t>
      </w:r>
      <w:smartTag w:uri="urn:schemas-microsoft-com:office:smarttags" w:element="PersonName">
        <w:smartTagPr>
          <w:attr w:name="ProductID" w:val="la Loi"/>
        </w:smartTagPr>
        <w:r w:rsidRPr="00DA18AE">
          <w:rPr>
            <w:lang w:val="fr-FR"/>
          </w:rPr>
          <w:t>la Loi</w:t>
        </w:r>
      </w:smartTag>
      <w:r w:rsidRPr="00DA18AE">
        <w:rPr>
          <w:lang w:val="fr-FR"/>
        </w:rPr>
        <w:t xml:space="preserve"> sur les établissements privés, elle peut créer des écoles en vertu de </w:t>
      </w:r>
      <w:smartTag w:uri="urn:schemas-microsoft-com:office:smarttags" w:element="PersonName">
        <w:smartTagPr>
          <w:attr w:name="ProductID" w:val="la Loi"/>
        </w:smartTagPr>
        <w:r w:rsidRPr="00DA18AE">
          <w:rPr>
            <w:lang w:val="fr-FR"/>
          </w:rPr>
          <w:t>la Loi</w:t>
        </w:r>
      </w:smartTag>
      <w:r w:rsidRPr="00DA18AE">
        <w:rPr>
          <w:lang w:val="fr-FR"/>
        </w:rPr>
        <w:t xml:space="preserve"> sur l</w:t>
      </w:r>
      <w:r w:rsidR="00277023">
        <w:rPr>
          <w:lang w:val="fr-FR"/>
        </w:rPr>
        <w:t>’</w:t>
      </w:r>
      <w:r w:rsidRPr="00DA18AE">
        <w:rPr>
          <w:lang w:val="fr-FR"/>
        </w:rPr>
        <w:t>enseignement scolaire etc. Ainsi, la liberté de fonder et d</w:t>
      </w:r>
      <w:r w:rsidR="00277023">
        <w:rPr>
          <w:lang w:val="fr-FR"/>
        </w:rPr>
        <w:t>’</w:t>
      </w:r>
      <w:r w:rsidRPr="00DA18AE">
        <w:rPr>
          <w:lang w:val="fr-FR"/>
        </w:rPr>
        <w:t>administrer des établissements scolaires est effectivement garantie.</w:t>
      </w:r>
    </w:p>
    <w:p w:rsidR="00DA18AE" w:rsidRPr="00DA18AE" w:rsidRDefault="00DA18AE" w:rsidP="00DA18AE">
      <w:pPr>
        <w:pStyle w:val="SingleTxtG"/>
        <w:rPr>
          <w:lang w:val="fr-FR"/>
        </w:rPr>
      </w:pPr>
      <w:r w:rsidRPr="00DA18AE">
        <w:rPr>
          <w:lang w:val="fr-FR"/>
        </w:rPr>
        <w:t>(</w:t>
      </w:r>
      <w:r w:rsidRPr="00DA18AE">
        <w:rPr>
          <w:bCs/>
          <w:iCs/>
          <w:lang w:val="fr-FR"/>
        </w:rPr>
        <w:t>Administration des établissements scolaires</w:t>
      </w:r>
      <w:r w:rsidRPr="00DA18AE">
        <w:rPr>
          <w:lang w:val="fr-FR"/>
        </w:rPr>
        <w:t>)</w:t>
      </w:r>
    </w:p>
    <w:p w:rsidR="00DA18AE" w:rsidRPr="00DA18AE" w:rsidRDefault="00DA18AE" w:rsidP="00DA18AE">
      <w:pPr>
        <w:pStyle w:val="SingleTxtG"/>
        <w:rPr>
          <w:lang w:val="fr-FR"/>
        </w:rPr>
      </w:pPr>
      <w:r w:rsidRPr="00DA18AE">
        <w:rPr>
          <w:lang w:val="fr-FR"/>
        </w:rPr>
        <w:t>426.</w:t>
      </w:r>
      <w:r w:rsidRPr="00DA18AE">
        <w:rPr>
          <w:lang w:val="fr-FR"/>
        </w:rPr>
        <w:tab/>
        <w:t>Il existe des normes minimales applicables à l</w:t>
      </w:r>
      <w:r w:rsidR="00277023">
        <w:rPr>
          <w:lang w:val="fr-FR"/>
        </w:rPr>
        <w:t>’</w:t>
      </w:r>
      <w:r w:rsidRPr="00DA18AE">
        <w:rPr>
          <w:lang w:val="fr-FR"/>
        </w:rPr>
        <w:t>établissement et au fonctionnement d</w:t>
      </w:r>
      <w:r w:rsidR="00277023">
        <w:rPr>
          <w:lang w:val="fr-FR"/>
        </w:rPr>
        <w:t>’</w:t>
      </w:r>
      <w:r w:rsidRPr="00DA18AE">
        <w:rPr>
          <w:lang w:val="fr-FR"/>
        </w:rPr>
        <w:t>une université ou d</w:t>
      </w:r>
      <w:r w:rsidR="00277023">
        <w:rPr>
          <w:lang w:val="fr-FR"/>
        </w:rPr>
        <w:t>’</w:t>
      </w:r>
      <w:r w:rsidRPr="00DA18AE">
        <w:rPr>
          <w:lang w:val="fr-FR"/>
        </w:rPr>
        <w:t>une école supérieure. Les universités et les écoles supérieures doivent améliorer la qualité de l</w:t>
      </w:r>
      <w:r w:rsidR="00277023">
        <w:rPr>
          <w:lang w:val="fr-FR"/>
        </w:rPr>
        <w:t>’</w:t>
      </w:r>
      <w:r w:rsidRPr="00DA18AE">
        <w:rPr>
          <w:lang w:val="fr-FR"/>
        </w:rPr>
        <w:t>enseignement et de la recherche à travers des autocontrôles et des autoévaluations, la publication de leurs résultats et la présentation d</w:t>
      </w:r>
      <w:r w:rsidR="00277023">
        <w:rPr>
          <w:lang w:val="fr-FR"/>
        </w:rPr>
        <w:t>’</w:t>
      </w:r>
      <w:r w:rsidRPr="00DA18AE">
        <w:rPr>
          <w:lang w:val="fr-FR"/>
        </w:rPr>
        <w:t>informations sur leurs activités. En 2004, le Gouvernement a en outre instauré un système qui oblige les universités à se soumettre régulièrement à l</w:t>
      </w:r>
      <w:r w:rsidR="00277023">
        <w:rPr>
          <w:lang w:val="fr-FR"/>
        </w:rPr>
        <w:t>’</w:t>
      </w:r>
      <w:r w:rsidRPr="00DA18AE">
        <w:rPr>
          <w:lang w:val="fr-FR"/>
        </w:rPr>
        <w:t>évaluation d</w:t>
      </w:r>
      <w:r w:rsidR="00277023">
        <w:rPr>
          <w:lang w:val="fr-FR"/>
        </w:rPr>
        <w:t>’</w:t>
      </w:r>
      <w:r w:rsidRPr="00DA18AE">
        <w:rPr>
          <w:lang w:val="fr-FR"/>
        </w:rPr>
        <w:t>un organisme externe d</w:t>
      </w:r>
      <w:r w:rsidR="00277023">
        <w:rPr>
          <w:lang w:val="fr-FR"/>
        </w:rPr>
        <w:t>’</w:t>
      </w:r>
      <w:r w:rsidRPr="00DA18AE">
        <w:rPr>
          <w:lang w:val="fr-FR"/>
        </w:rPr>
        <w:t>évaluation, agréé par le Ministère de l</w:t>
      </w:r>
      <w:r w:rsidR="00277023">
        <w:rPr>
          <w:lang w:val="fr-FR"/>
        </w:rPr>
        <w:t>’</w:t>
      </w:r>
      <w:r w:rsidRPr="00DA18AE">
        <w:rPr>
          <w:lang w:val="fr-FR"/>
        </w:rPr>
        <w:t>éducation, de la culture, des sports, des sciences et de la technologie, dans le cadre du développement global de l</w:t>
      </w:r>
      <w:r w:rsidR="00277023">
        <w:rPr>
          <w:lang w:val="fr-FR"/>
        </w:rPr>
        <w:t>’</w:t>
      </w:r>
      <w:r w:rsidRPr="00DA18AE">
        <w:rPr>
          <w:lang w:val="fr-FR"/>
        </w:rPr>
        <w:t>éducation, pour permettre aux université de s</w:t>
      </w:r>
      <w:r w:rsidR="00277023">
        <w:rPr>
          <w:lang w:val="fr-FR"/>
        </w:rPr>
        <w:t>’</w:t>
      </w:r>
      <w:r w:rsidRPr="00DA18AE">
        <w:rPr>
          <w:lang w:val="fr-FR"/>
        </w:rPr>
        <w:t xml:space="preserve">améliorer par elles-mêmes. </w:t>
      </w:r>
    </w:p>
    <w:p w:rsidR="00DA18AE" w:rsidRPr="00DA18AE" w:rsidRDefault="00DA18AE" w:rsidP="00DA18AE">
      <w:pPr>
        <w:pStyle w:val="SingleTxtG"/>
        <w:rPr>
          <w:bCs/>
          <w:iCs/>
          <w:lang w:val="fr-FR"/>
        </w:rPr>
      </w:pPr>
      <w:r w:rsidRPr="00DA18AE">
        <w:rPr>
          <w:lang w:val="fr-FR"/>
        </w:rPr>
        <w:t>(Garantir un nombre suffisant de personnel enseignant et non enseignant</w:t>
      </w:r>
      <w:r w:rsidRPr="00DA18AE">
        <w:rPr>
          <w:bCs/>
          <w:iCs/>
          <w:lang w:val="fr-FR"/>
        </w:rPr>
        <w:t>)</w:t>
      </w:r>
    </w:p>
    <w:p w:rsidR="00DA18AE" w:rsidRPr="00DA18AE" w:rsidRDefault="00DA18AE" w:rsidP="00DA18AE">
      <w:pPr>
        <w:pStyle w:val="SingleTxtG"/>
        <w:rPr>
          <w:lang w:val="fr-FR"/>
        </w:rPr>
      </w:pPr>
      <w:r w:rsidRPr="00DA18AE">
        <w:rPr>
          <w:lang w:val="fr-FR"/>
        </w:rPr>
        <w:t>427.</w:t>
      </w:r>
      <w:r w:rsidRPr="00DA18AE">
        <w:rPr>
          <w:lang w:val="fr-FR"/>
        </w:rPr>
        <w:tab/>
        <w:t xml:space="preserve">Voir paragraphe 375 du deuxième rapport du Japon. </w:t>
      </w:r>
    </w:p>
    <w:p w:rsidR="00DA18AE" w:rsidRPr="00DA18AE" w:rsidRDefault="002D23E5" w:rsidP="002D23E5">
      <w:pPr>
        <w:pStyle w:val="H1G"/>
        <w:rPr>
          <w:lang w:val="fr-FR"/>
        </w:rPr>
      </w:pPr>
      <w:r>
        <w:rPr>
          <w:lang w:val="fr-FR"/>
        </w:rPr>
        <w:tab/>
        <w:t>C.</w:t>
      </w:r>
      <w:r>
        <w:rPr>
          <w:lang w:val="fr-FR"/>
        </w:rPr>
        <w:tab/>
      </w:r>
      <w:r w:rsidR="00DA18AE" w:rsidRPr="00DA18AE">
        <w:rPr>
          <w:lang w:val="fr-FR"/>
        </w:rPr>
        <w:t>Loisirs, activités récréatives et culturelles (article 31)</w:t>
      </w:r>
    </w:p>
    <w:p w:rsidR="00DA18AE" w:rsidRPr="00DA18AE" w:rsidRDefault="00DA18AE" w:rsidP="00DA18AE">
      <w:pPr>
        <w:pStyle w:val="SingleTxtG"/>
        <w:rPr>
          <w:lang w:val="fr-FR"/>
        </w:rPr>
      </w:pPr>
      <w:r w:rsidRPr="00DA18AE">
        <w:rPr>
          <w:lang w:val="fr-FR"/>
        </w:rPr>
        <w:t>(Activités pratiques après la classe et le week-end)</w:t>
      </w:r>
    </w:p>
    <w:p w:rsidR="00DA18AE" w:rsidRPr="00DA18AE" w:rsidRDefault="00DA18AE" w:rsidP="00DA18AE">
      <w:pPr>
        <w:pStyle w:val="SingleTxtG"/>
        <w:rPr>
          <w:lang w:val="fr-FR"/>
        </w:rPr>
      </w:pPr>
      <w:r w:rsidRPr="00DA18AE">
        <w:rPr>
          <w:lang w:val="fr-FR"/>
        </w:rPr>
        <w:t>428.</w:t>
      </w:r>
      <w:r w:rsidRPr="00DA18AE">
        <w:rPr>
          <w:lang w:val="fr-FR"/>
        </w:rPr>
        <w:tab/>
        <w:t>Des lieux spécifiques tels que les cours d</w:t>
      </w:r>
      <w:r w:rsidR="00277023">
        <w:rPr>
          <w:lang w:val="fr-FR"/>
        </w:rPr>
        <w:t>’</w:t>
      </w:r>
      <w:r w:rsidRPr="00DA18AE">
        <w:rPr>
          <w:lang w:val="fr-FR"/>
        </w:rPr>
        <w:t>école et les classes sont réservés aux enfants, qui, avec la coopération d</w:t>
      </w:r>
      <w:r w:rsidR="00277023">
        <w:rPr>
          <w:lang w:val="fr-FR"/>
        </w:rPr>
        <w:t>’</w:t>
      </w:r>
      <w:r w:rsidRPr="00DA18AE">
        <w:rPr>
          <w:lang w:val="fr-FR"/>
        </w:rPr>
        <w:t>adultes du voisinage, peuvent participer à différents activités pratiques après la classe et le week-end ou échanger des activités avec des résidents locaux en toute sécurité. En 2005, ce type d</w:t>
      </w:r>
      <w:r w:rsidR="00277023">
        <w:rPr>
          <w:lang w:val="fr-FR"/>
        </w:rPr>
        <w:t>’</w:t>
      </w:r>
      <w:r w:rsidRPr="00DA18AE">
        <w:rPr>
          <w:lang w:val="fr-FR"/>
        </w:rPr>
        <w:t>activité a été organisé dans quelque 8.000 établissements sur l</w:t>
      </w:r>
      <w:r w:rsidR="00277023">
        <w:rPr>
          <w:lang w:val="fr-FR"/>
        </w:rPr>
        <w:t>’</w:t>
      </w:r>
      <w:r w:rsidRPr="00DA18AE">
        <w:rPr>
          <w:lang w:val="fr-FR"/>
        </w:rPr>
        <w:t>ensemble du territoire.</w:t>
      </w:r>
    </w:p>
    <w:p w:rsidR="00DA18AE" w:rsidRPr="00DA18AE" w:rsidRDefault="00DA18AE" w:rsidP="00DA18AE">
      <w:pPr>
        <w:pStyle w:val="SingleTxtG"/>
        <w:rPr>
          <w:lang w:val="fr-FR"/>
        </w:rPr>
      </w:pPr>
      <w:r w:rsidRPr="00DA18AE">
        <w:rPr>
          <w:lang w:val="fr-FR"/>
        </w:rPr>
        <w:t>429.</w:t>
      </w:r>
      <w:r w:rsidRPr="00DA18AE">
        <w:rPr>
          <w:lang w:val="fr-FR"/>
        </w:rPr>
        <w:tab/>
        <w:t xml:space="preserve">Pour ce qui est des activités culturelles organisées par la police, voir paragraphe 376 du deuxième rapport du Japon. </w:t>
      </w:r>
    </w:p>
    <w:p w:rsidR="00DA18AE" w:rsidRPr="00DA18AE" w:rsidRDefault="00DA18AE" w:rsidP="00DA18AE">
      <w:pPr>
        <w:pStyle w:val="SingleTxtG"/>
        <w:rPr>
          <w:lang w:val="fr-FR"/>
        </w:rPr>
      </w:pPr>
      <w:r w:rsidRPr="00DA18AE">
        <w:rPr>
          <w:lang w:val="fr-FR"/>
        </w:rPr>
        <w:t>(</w:t>
      </w:r>
      <w:r w:rsidRPr="00DA18AE">
        <w:rPr>
          <w:bCs/>
          <w:iCs/>
          <w:lang w:val="fr-FR"/>
        </w:rPr>
        <w:t>Activités artistiques</w:t>
      </w:r>
      <w:r w:rsidRPr="00DA18AE">
        <w:rPr>
          <w:lang w:val="fr-FR"/>
        </w:rPr>
        <w:t>)</w:t>
      </w:r>
    </w:p>
    <w:p w:rsidR="00DA18AE" w:rsidRPr="00DA18AE" w:rsidRDefault="00DA18AE" w:rsidP="00DA18AE">
      <w:pPr>
        <w:pStyle w:val="SingleTxtG"/>
        <w:rPr>
          <w:lang w:val="fr-FR"/>
        </w:rPr>
      </w:pPr>
      <w:r w:rsidRPr="00DA18AE">
        <w:rPr>
          <w:lang w:val="fr-FR"/>
        </w:rPr>
        <w:t>430.</w:t>
      </w:r>
      <w:r w:rsidRPr="00DA18AE">
        <w:rPr>
          <w:lang w:val="fr-FR"/>
        </w:rPr>
        <w:tab/>
        <w:t>Dans l</w:t>
      </w:r>
      <w:r w:rsidR="00277023">
        <w:rPr>
          <w:lang w:val="fr-FR"/>
        </w:rPr>
        <w:t>’</w:t>
      </w:r>
      <w:r w:rsidRPr="00DA18AE">
        <w:rPr>
          <w:lang w:val="fr-FR"/>
        </w:rPr>
        <w:t>objectif d</w:t>
      </w:r>
      <w:r w:rsidR="00277023">
        <w:rPr>
          <w:lang w:val="fr-FR"/>
        </w:rPr>
        <w:t>’</w:t>
      </w:r>
      <w:r w:rsidRPr="00DA18AE">
        <w:rPr>
          <w:lang w:val="fr-FR"/>
        </w:rPr>
        <w:t>offrir aux enfants davantage de possibilités d</w:t>
      </w:r>
      <w:r w:rsidR="00277023">
        <w:rPr>
          <w:lang w:val="fr-FR"/>
        </w:rPr>
        <w:t>’</w:t>
      </w:r>
      <w:r w:rsidRPr="00DA18AE">
        <w:rPr>
          <w:lang w:val="fr-FR"/>
        </w:rPr>
        <w:t>aimer et de pratiquer les arts plastiques et la culture traditionnelle, le Gouvernement fait venir des groupes artistiques et culturels de très bon niveau dans les écoles et les centres culturels de l</w:t>
      </w:r>
      <w:r w:rsidR="00277023">
        <w:rPr>
          <w:lang w:val="fr-FR"/>
        </w:rPr>
        <w:t>’</w:t>
      </w:r>
      <w:r w:rsidRPr="00DA18AE">
        <w:rPr>
          <w:lang w:val="fr-FR"/>
        </w:rPr>
        <w:t>ensemble du pays pour qu</w:t>
      </w:r>
      <w:r w:rsidR="00277023">
        <w:rPr>
          <w:lang w:val="fr-FR"/>
        </w:rPr>
        <w:t>’</w:t>
      </w:r>
      <w:r w:rsidRPr="00DA18AE">
        <w:rPr>
          <w:lang w:val="fr-FR"/>
        </w:rPr>
        <w:t>ils s</w:t>
      </w:r>
      <w:r w:rsidR="00277023">
        <w:rPr>
          <w:lang w:val="fr-FR"/>
        </w:rPr>
        <w:t>’</w:t>
      </w:r>
      <w:r w:rsidRPr="00DA18AE">
        <w:rPr>
          <w:lang w:val="fr-FR"/>
        </w:rPr>
        <w:t>y produisent et organisent des ateliers. Des films sont également projetés dans des cinémas à l</w:t>
      </w:r>
      <w:r w:rsidR="00277023">
        <w:rPr>
          <w:lang w:val="fr-FR"/>
        </w:rPr>
        <w:t>’</w:t>
      </w:r>
      <w:r w:rsidRPr="00DA18AE">
        <w:rPr>
          <w:lang w:val="fr-FR"/>
        </w:rPr>
        <w:t>intention d</w:t>
      </w:r>
      <w:r w:rsidR="00277023">
        <w:rPr>
          <w:lang w:val="fr-FR"/>
        </w:rPr>
        <w:t>’</w:t>
      </w:r>
      <w:r w:rsidRPr="00DA18AE">
        <w:rPr>
          <w:lang w:val="fr-FR"/>
        </w:rPr>
        <w:t>enfants qui auraient sinon peu de chances de s</w:t>
      </w:r>
      <w:r w:rsidR="00277023">
        <w:rPr>
          <w:lang w:val="fr-FR"/>
        </w:rPr>
        <w:t>’</w:t>
      </w:r>
      <w:r w:rsidRPr="00DA18AE">
        <w:rPr>
          <w:lang w:val="fr-FR"/>
        </w:rPr>
        <w:t>y rendre</w:t>
      </w:r>
      <w:r w:rsidR="00277023">
        <w:rPr>
          <w:lang w:val="fr-FR"/>
        </w:rPr>
        <w:t>;</w:t>
      </w:r>
      <w:r w:rsidRPr="00DA18AE">
        <w:rPr>
          <w:lang w:val="fr-FR"/>
        </w:rPr>
        <w:t xml:space="preserve"> des théâtres nationaux permettent aux enfants de goûter aux arts du spectacle comme le kabuki et l</w:t>
      </w:r>
      <w:r w:rsidR="00277023">
        <w:rPr>
          <w:lang w:val="fr-FR"/>
        </w:rPr>
        <w:t>’</w:t>
      </w:r>
      <w:r w:rsidRPr="00DA18AE">
        <w:rPr>
          <w:lang w:val="fr-FR"/>
        </w:rPr>
        <w:t>opéra, programmant des pièces simples assorties de commentaires en vue de susciter l</w:t>
      </w:r>
      <w:r w:rsidR="00277023">
        <w:rPr>
          <w:lang w:val="fr-FR"/>
        </w:rPr>
        <w:t>’</w:t>
      </w:r>
      <w:r w:rsidRPr="00DA18AE">
        <w:rPr>
          <w:lang w:val="fr-FR"/>
        </w:rPr>
        <w:t>intérêt des enfants, cela pour un prix modique. Les musées nationaux, y compris les musées des beaux-arts, organisent des expositions itinérantes d</w:t>
      </w:r>
      <w:r w:rsidR="00277023">
        <w:rPr>
          <w:lang w:val="fr-FR"/>
        </w:rPr>
        <w:t>’</w:t>
      </w:r>
      <w:r w:rsidRPr="00DA18AE">
        <w:rPr>
          <w:lang w:val="fr-FR"/>
        </w:rPr>
        <w:t>objets exceptionnels sortis de leurs collections pour que les enfants puissent apprécier des œuvres d</w:t>
      </w:r>
      <w:r w:rsidR="00277023">
        <w:rPr>
          <w:lang w:val="fr-FR"/>
        </w:rPr>
        <w:t>’</w:t>
      </w:r>
      <w:r w:rsidRPr="00DA18AE">
        <w:rPr>
          <w:lang w:val="fr-FR"/>
        </w:rPr>
        <w:t>art et des biens culturels. Le fonds japonais pour les arts appuie également diverses activités artistiques et culturelles pour les enfants et les jeunes, dirigées par des groupes artistiques et culturels.</w:t>
      </w:r>
    </w:p>
    <w:p w:rsidR="00DA18AE" w:rsidRPr="00DA18AE" w:rsidRDefault="00DA18AE" w:rsidP="00DA18AE">
      <w:pPr>
        <w:pStyle w:val="SingleTxtG"/>
        <w:rPr>
          <w:lang w:val="fr-FR"/>
        </w:rPr>
      </w:pPr>
      <w:r w:rsidRPr="00DA18AE">
        <w:rPr>
          <w:lang w:val="fr-FR"/>
        </w:rPr>
        <w:t>(</w:t>
      </w:r>
      <w:r w:rsidRPr="00DA18AE">
        <w:rPr>
          <w:bCs/>
          <w:iCs/>
          <w:lang w:val="fr-FR"/>
        </w:rPr>
        <w:t>Promotion des activités culturelles</w:t>
      </w:r>
      <w:r w:rsidRPr="00DA18AE">
        <w:rPr>
          <w:lang w:val="fr-FR"/>
        </w:rPr>
        <w:t>)</w:t>
      </w:r>
    </w:p>
    <w:p w:rsidR="00DA18AE" w:rsidRPr="00DA18AE" w:rsidRDefault="00DA18AE" w:rsidP="00DA18AE">
      <w:pPr>
        <w:pStyle w:val="SingleTxtG"/>
        <w:rPr>
          <w:lang w:val="fr-FR"/>
        </w:rPr>
      </w:pPr>
      <w:r w:rsidRPr="00DA18AE">
        <w:rPr>
          <w:lang w:val="fr-FR"/>
        </w:rPr>
        <w:t>431.</w:t>
      </w:r>
      <w:r w:rsidRPr="00DA18AE">
        <w:rPr>
          <w:lang w:val="fr-FR"/>
        </w:rPr>
        <w:tab/>
        <w:t xml:space="preserve">Voir paragraphe 378 du deuxième rapport du Japon. </w:t>
      </w:r>
    </w:p>
    <w:p w:rsidR="00DA18AE" w:rsidRPr="00DA18AE" w:rsidRDefault="00DA18AE" w:rsidP="00DA18AE">
      <w:pPr>
        <w:pStyle w:val="SingleTxtG"/>
        <w:rPr>
          <w:lang w:val="fr-FR"/>
        </w:rPr>
      </w:pPr>
      <w:r w:rsidRPr="00DA18AE">
        <w:rPr>
          <w:lang w:val="fr-FR"/>
        </w:rPr>
        <w:t>(</w:t>
      </w:r>
      <w:r w:rsidRPr="00DA18AE">
        <w:rPr>
          <w:bCs/>
          <w:iCs/>
          <w:lang w:val="fr-FR"/>
        </w:rPr>
        <w:t>Promotion du sport</w:t>
      </w:r>
      <w:r w:rsidRPr="00DA18AE">
        <w:rPr>
          <w:lang w:val="fr-FR"/>
        </w:rPr>
        <w:t>)</w:t>
      </w:r>
    </w:p>
    <w:p w:rsidR="00DA18AE" w:rsidRPr="00DA18AE" w:rsidRDefault="00DA18AE" w:rsidP="00DA18AE">
      <w:pPr>
        <w:pStyle w:val="SingleTxtG"/>
        <w:rPr>
          <w:lang w:val="fr-FR"/>
        </w:rPr>
      </w:pPr>
      <w:r w:rsidRPr="00DA18AE">
        <w:rPr>
          <w:lang w:val="fr-FR"/>
        </w:rPr>
        <w:t>432.</w:t>
      </w:r>
      <w:r w:rsidRPr="00DA18AE">
        <w:rPr>
          <w:lang w:val="fr-FR"/>
        </w:rPr>
        <w:tab/>
        <w:t xml:space="preserve">Voir paragraphe 379 du deuxième rapport du Japon. </w:t>
      </w:r>
    </w:p>
    <w:p w:rsidR="00DA18AE" w:rsidRPr="00DA18AE" w:rsidRDefault="00DA18AE" w:rsidP="00DA18AE">
      <w:pPr>
        <w:pStyle w:val="SingleTxtG"/>
        <w:rPr>
          <w:bCs/>
          <w:iCs/>
          <w:lang w:val="fr-FR"/>
        </w:rPr>
      </w:pPr>
      <w:r w:rsidRPr="00DA18AE">
        <w:rPr>
          <w:lang w:val="fr-FR"/>
        </w:rPr>
        <w:t>(Amélioration des installations culturelles et récréatives</w:t>
      </w:r>
      <w:r w:rsidRPr="00DA18AE">
        <w:rPr>
          <w:bCs/>
          <w:iCs/>
          <w:lang w:val="fr-FR"/>
        </w:rPr>
        <w:t>)</w:t>
      </w:r>
    </w:p>
    <w:p w:rsidR="00DA18AE" w:rsidRPr="00DA18AE" w:rsidRDefault="00DA18AE" w:rsidP="00DA18AE">
      <w:pPr>
        <w:pStyle w:val="SingleTxtG"/>
        <w:rPr>
          <w:lang w:val="fr-FR"/>
        </w:rPr>
      </w:pPr>
      <w:r w:rsidRPr="00DA18AE">
        <w:rPr>
          <w:lang w:val="fr-FR"/>
        </w:rPr>
        <w:t>433.</w:t>
      </w:r>
      <w:r w:rsidRPr="00DA18AE">
        <w:rPr>
          <w:lang w:val="fr-FR"/>
        </w:rPr>
        <w:tab/>
        <w:t>Dans le domaine de l</w:t>
      </w:r>
      <w:r w:rsidR="00277023">
        <w:rPr>
          <w:lang w:val="fr-FR"/>
        </w:rPr>
        <w:t>’</w:t>
      </w:r>
      <w:r w:rsidRPr="00DA18AE">
        <w:rPr>
          <w:lang w:val="fr-FR"/>
        </w:rPr>
        <w:t>éducation sociale, les pouvoirs publics encouragent une approche globale en organisant différentes manifestations pour que les enfants acquièrent une bonne expérience et pratiquent des activités, en subventionnant les installations socioéducatives, comme les salles publiques, et en mettant des lieux à disposition des activités d</w:t>
      </w:r>
      <w:r w:rsidR="00277023">
        <w:rPr>
          <w:lang w:val="fr-FR"/>
        </w:rPr>
        <w:t>’</w:t>
      </w:r>
      <w:r w:rsidRPr="00DA18AE">
        <w:rPr>
          <w:lang w:val="fr-FR"/>
        </w:rPr>
        <w:t xml:space="preserve">apprentissage en vertu des lois pertinentes, en particulier de </w:t>
      </w:r>
      <w:smartTag w:uri="urn:schemas-microsoft-com:office:smarttags" w:element="PersonName">
        <w:smartTagPr>
          <w:attr w:name="ProductID" w:val="la Loi"/>
        </w:smartTagPr>
        <w:r w:rsidRPr="00DA18AE">
          <w:rPr>
            <w:lang w:val="fr-FR"/>
          </w:rPr>
          <w:t>la Loi</w:t>
        </w:r>
      </w:smartTag>
      <w:r w:rsidRPr="00DA18AE">
        <w:rPr>
          <w:lang w:val="fr-FR"/>
        </w:rPr>
        <w:t xml:space="preserve"> sur l</w:t>
      </w:r>
      <w:r w:rsidR="00277023">
        <w:rPr>
          <w:lang w:val="fr-FR"/>
        </w:rPr>
        <w:t>’</w:t>
      </w:r>
      <w:r w:rsidRPr="00DA18AE">
        <w:rPr>
          <w:lang w:val="fr-FR"/>
        </w:rPr>
        <w:t xml:space="preserve">éducation sociale. </w:t>
      </w:r>
    </w:p>
    <w:p w:rsidR="00DA18AE" w:rsidRPr="00DA18AE" w:rsidRDefault="00DA18AE" w:rsidP="00DA18AE">
      <w:pPr>
        <w:pStyle w:val="SingleTxtG"/>
        <w:rPr>
          <w:lang w:val="fr-FR"/>
        </w:rPr>
      </w:pPr>
      <w:r w:rsidRPr="00DA18AE">
        <w:rPr>
          <w:lang w:val="fr-FR"/>
        </w:rPr>
        <w:t>434.</w:t>
      </w:r>
      <w:r w:rsidRPr="00DA18AE">
        <w:rPr>
          <w:lang w:val="fr-FR"/>
        </w:rPr>
        <w:tab/>
        <w:t>Les principaux équipements de loisirs sont les suivants</w:t>
      </w:r>
      <w:r w:rsidR="00277023">
        <w:rPr>
          <w:lang w:val="fr-FR"/>
        </w:rPr>
        <w:t>:</w:t>
      </w:r>
      <w:r w:rsidRPr="00DA18AE">
        <w:rPr>
          <w:lang w:val="fr-FR"/>
        </w:rPr>
        <w:t xml:space="preserve"> </w:t>
      </w:r>
    </w:p>
    <w:p w:rsidR="00DA18AE" w:rsidRPr="00DA18AE" w:rsidRDefault="00DA18AE" w:rsidP="00DA18AE">
      <w:pPr>
        <w:pStyle w:val="SingleTxtG"/>
        <w:rPr>
          <w:lang w:val="fr-FR"/>
        </w:rPr>
      </w:pPr>
      <w:r w:rsidRPr="00DA18AE">
        <w:rPr>
          <w:lang w:val="fr-FR"/>
        </w:rPr>
        <w:tab/>
      </w:r>
      <w:r w:rsidR="002D23E5">
        <w:rPr>
          <w:lang w:val="fr-FR"/>
        </w:rPr>
        <w:t>1)</w:t>
      </w:r>
      <w:r w:rsidR="002D23E5">
        <w:rPr>
          <w:lang w:val="fr-FR"/>
        </w:rPr>
        <w:tab/>
      </w:r>
      <w:r w:rsidRPr="00DA18AE">
        <w:rPr>
          <w:lang w:val="fr-FR"/>
        </w:rPr>
        <w:t>Institution nationale pour l</w:t>
      </w:r>
      <w:r w:rsidR="00277023">
        <w:rPr>
          <w:lang w:val="fr-FR"/>
        </w:rPr>
        <w:t>’</w:t>
      </w:r>
      <w:r w:rsidRPr="00DA18AE">
        <w:rPr>
          <w:lang w:val="fr-FR"/>
        </w:rPr>
        <w:t xml:space="preserve">éducation de la jeunesse (nom provisoire): le centre national pour la jeunesse du mémorial olympique, </w:t>
      </w:r>
      <w:smartTag w:uri="urn:schemas-microsoft-com:office:smarttags" w:element="PersonName">
        <w:smartTagPr>
          <w:attr w:name="ProductID" w:val="la Maison"/>
        </w:smartTagPr>
        <w:r w:rsidRPr="00DA18AE">
          <w:rPr>
            <w:lang w:val="fr-FR"/>
          </w:rPr>
          <w:t>la Maison</w:t>
        </w:r>
      </w:smartTag>
      <w:r w:rsidRPr="00DA18AE">
        <w:rPr>
          <w:lang w:val="fr-FR"/>
        </w:rPr>
        <w:t xml:space="preserve"> nationale de la jeunesse et le centre national pour les enfants (voir paragraphe 381 du deuxième rapport du Japon), qui ont promu l</w:t>
      </w:r>
      <w:r w:rsidR="00277023">
        <w:rPr>
          <w:lang w:val="fr-FR"/>
        </w:rPr>
        <w:t>’</w:t>
      </w:r>
      <w:r w:rsidRPr="00DA18AE">
        <w:rPr>
          <w:lang w:val="fr-FR"/>
        </w:rPr>
        <w:t>éducation de la jeunesse, ont été intégrés et seront transférés à l</w:t>
      </w:r>
      <w:r w:rsidR="00277023">
        <w:rPr>
          <w:lang w:val="fr-FR"/>
        </w:rPr>
        <w:t>’</w:t>
      </w:r>
      <w:r w:rsidRPr="00DA18AE">
        <w:rPr>
          <w:lang w:val="fr-FR"/>
        </w:rPr>
        <w:t>Institution nationale pour l</w:t>
      </w:r>
      <w:r w:rsidR="00277023">
        <w:rPr>
          <w:lang w:val="fr-FR"/>
        </w:rPr>
        <w:t>’</w:t>
      </w:r>
      <w:r w:rsidRPr="00DA18AE">
        <w:rPr>
          <w:lang w:val="fr-FR"/>
        </w:rPr>
        <w:t>éducation de la jeunesse (nom provisoire) en avril 2006. Cette organisation servira de centre national de la promotion de l</w:t>
      </w:r>
      <w:r w:rsidR="00277023">
        <w:rPr>
          <w:lang w:val="fr-FR"/>
        </w:rPr>
        <w:t>’</w:t>
      </w:r>
      <w:r w:rsidRPr="00DA18AE">
        <w:rPr>
          <w:lang w:val="fr-FR"/>
        </w:rPr>
        <w:t>éducation de la jeunesse, permettra aux jeunes de participer à des activités pratiques globales et cohérentes, leur fournira un soutien dans le cadre de leur formation scolaire et appuiera les projets de recherche relatifs à l</w:t>
      </w:r>
      <w:r w:rsidR="00277023">
        <w:rPr>
          <w:lang w:val="fr-FR"/>
        </w:rPr>
        <w:t>’</w:t>
      </w:r>
      <w:r w:rsidRPr="00DA18AE">
        <w:rPr>
          <w:lang w:val="fr-FR"/>
        </w:rPr>
        <w:t xml:space="preserve">éducation des jeunes et les activités pratiques et de lecture des enfants mises en place par des organisations de jeunes. </w:t>
      </w:r>
    </w:p>
    <w:p w:rsidR="00DA18AE" w:rsidRPr="00DA18AE" w:rsidRDefault="00DA18AE" w:rsidP="00DA18AE">
      <w:pPr>
        <w:pStyle w:val="SingleTxtG"/>
        <w:rPr>
          <w:lang w:val="fr-FR"/>
        </w:rPr>
      </w:pPr>
      <w:r w:rsidRPr="00DA18AE">
        <w:rPr>
          <w:lang w:val="fr-FR"/>
        </w:rPr>
        <w:tab/>
      </w:r>
      <w:r w:rsidR="002D23E5">
        <w:rPr>
          <w:lang w:val="fr-FR"/>
        </w:rPr>
        <w:t>2)</w:t>
      </w:r>
      <w:r w:rsidR="002D23E5">
        <w:rPr>
          <w:lang w:val="fr-FR"/>
        </w:rPr>
        <w:tab/>
      </w:r>
      <w:r w:rsidRPr="00DA18AE">
        <w:rPr>
          <w:lang w:val="fr-FR"/>
        </w:rPr>
        <w:t>Maisons du peuple</w:t>
      </w:r>
      <w:r w:rsidR="00277023">
        <w:rPr>
          <w:lang w:val="fr-FR"/>
        </w:rPr>
        <w:t>:</w:t>
      </w:r>
      <w:r w:rsidRPr="00DA18AE">
        <w:rPr>
          <w:lang w:val="fr-FR"/>
        </w:rPr>
        <w:t xml:space="preserve"> voir paragraphe 237 du rapport initial du Japon et paragraphe 381 du deuxième rapport du Japon. En octobre 2005, on comptait 17.143 de ces maisons. </w:t>
      </w:r>
    </w:p>
    <w:p w:rsidR="00DA18AE" w:rsidRPr="00DA18AE" w:rsidRDefault="00DA18AE" w:rsidP="00DA18AE">
      <w:pPr>
        <w:pStyle w:val="SingleTxtG"/>
        <w:rPr>
          <w:lang w:val="fr-FR"/>
        </w:rPr>
      </w:pPr>
      <w:r w:rsidRPr="00DA18AE">
        <w:rPr>
          <w:lang w:val="fr-FR"/>
        </w:rPr>
        <w:tab/>
      </w:r>
      <w:r w:rsidR="002D23E5">
        <w:rPr>
          <w:lang w:val="fr-FR"/>
        </w:rPr>
        <w:t>3)</w:t>
      </w:r>
      <w:r w:rsidR="002D23E5">
        <w:rPr>
          <w:lang w:val="fr-FR"/>
        </w:rPr>
        <w:tab/>
      </w:r>
      <w:r w:rsidRPr="00DA18AE">
        <w:rPr>
          <w:iCs/>
          <w:lang w:val="fr-FR"/>
        </w:rPr>
        <w:t>Musées</w:t>
      </w:r>
      <w:r w:rsidRPr="00DA18AE">
        <w:rPr>
          <w:lang w:val="fr-FR"/>
        </w:rPr>
        <w:t xml:space="preserve">: voir paragraphe 238 du rapport initial du Japon et paragraphe 381 du deuxième rapport du Japon. En octobre 2005, on comptait 1.196 musées. </w:t>
      </w:r>
    </w:p>
    <w:p w:rsidR="00DA18AE" w:rsidRPr="00DA18AE" w:rsidRDefault="00DA18AE" w:rsidP="00DA18AE">
      <w:pPr>
        <w:pStyle w:val="SingleTxtG"/>
        <w:rPr>
          <w:lang w:val="fr-FR"/>
        </w:rPr>
      </w:pPr>
      <w:r w:rsidRPr="00DA18AE">
        <w:rPr>
          <w:lang w:val="fr-FR"/>
        </w:rPr>
        <w:tab/>
      </w:r>
      <w:r w:rsidR="002D23E5">
        <w:rPr>
          <w:lang w:val="fr-FR"/>
        </w:rPr>
        <w:t>4)</w:t>
      </w:r>
      <w:r w:rsidR="002D23E5">
        <w:rPr>
          <w:lang w:val="fr-FR"/>
        </w:rPr>
        <w:tab/>
      </w:r>
      <w:r w:rsidRPr="00DA18AE">
        <w:rPr>
          <w:lang w:val="fr-FR"/>
        </w:rPr>
        <w:t xml:space="preserve">Bibliothèques: voir paragraphe 239 du rapport initial du Japon et paragraphe 381 du deuxième rapport du Japon. En octobre 2005, on comptait 2.979 bibliothèques. </w:t>
      </w:r>
    </w:p>
    <w:p w:rsidR="00DA18AE" w:rsidRPr="00DA18AE" w:rsidRDefault="00DA18AE" w:rsidP="00DA18AE">
      <w:pPr>
        <w:pStyle w:val="SingleTxtG"/>
        <w:rPr>
          <w:lang w:val="fr-FR"/>
        </w:rPr>
      </w:pPr>
      <w:r w:rsidRPr="00DA18AE">
        <w:rPr>
          <w:lang w:val="fr-FR"/>
        </w:rPr>
        <w:tab/>
      </w:r>
      <w:r w:rsidR="002D23E5">
        <w:rPr>
          <w:lang w:val="fr-FR"/>
        </w:rPr>
        <w:t>5)</w:t>
      </w:r>
      <w:r w:rsidR="002D23E5">
        <w:rPr>
          <w:lang w:val="fr-FR"/>
        </w:rPr>
        <w:tab/>
      </w:r>
      <w:r w:rsidRPr="00DA18AE">
        <w:rPr>
          <w:lang w:val="fr-FR"/>
        </w:rPr>
        <w:t>Installations sportives</w:t>
      </w:r>
      <w:r w:rsidR="00277023">
        <w:rPr>
          <w:lang w:val="fr-FR"/>
        </w:rPr>
        <w:t>:</w:t>
      </w:r>
      <w:r w:rsidRPr="00DA18AE">
        <w:rPr>
          <w:lang w:val="fr-FR"/>
        </w:rPr>
        <w:t xml:space="preserve"> voir paragraphe 240 du rapport initial du Japon. On compte quelque 240.000 installations sportives dans le pays, dont plus de 60% sont des installations d</w:t>
      </w:r>
      <w:r w:rsidR="00277023">
        <w:rPr>
          <w:lang w:val="fr-FR"/>
        </w:rPr>
        <w:t>’</w:t>
      </w:r>
      <w:r w:rsidRPr="00DA18AE">
        <w:rPr>
          <w:lang w:val="fr-FR"/>
        </w:rPr>
        <w:t>éducation physique scolaires. Pour le reste, les installations sportives publiques représentent environ 24% et les installations sportives privées, y compris celles qui appartiennent à des entreprises privées, représentent environ 11% de l</w:t>
      </w:r>
      <w:r w:rsidR="00277023">
        <w:rPr>
          <w:lang w:val="fr-FR"/>
        </w:rPr>
        <w:t>’</w:t>
      </w:r>
      <w:r w:rsidRPr="00DA18AE">
        <w:rPr>
          <w:lang w:val="fr-FR"/>
        </w:rPr>
        <w:t xml:space="preserve">ensemble. </w:t>
      </w:r>
    </w:p>
    <w:p w:rsidR="00DA18AE" w:rsidRPr="00DA18AE" w:rsidRDefault="00DA18AE" w:rsidP="00DA18AE">
      <w:pPr>
        <w:pStyle w:val="SingleTxtG"/>
        <w:rPr>
          <w:lang w:val="fr-FR"/>
        </w:rPr>
      </w:pPr>
      <w:r w:rsidRPr="00DA18AE">
        <w:rPr>
          <w:lang w:val="fr-FR"/>
        </w:rPr>
        <w:t>(Equipements de loisirs pour enfants)</w:t>
      </w:r>
    </w:p>
    <w:p w:rsidR="00DA18AE" w:rsidRPr="00DA18AE" w:rsidRDefault="00DA18AE" w:rsidP="00DA18AE">
      <w:pPr>
        <w:pStyle w:val="SingleTxtG"/>
        <w:rPr>
          <w:lang w:val="fr-FR"/>
        </w:rPr>
      </w:pPr>
      <w:r w:rsidRPr="00DA18AE">
        <w:rPr>
          <w:lang w:val="fr-FR"/>
        </w:rPr>
        <w:t>435.</w:t>
      </w:r>
      <w:r w:rsidRPr="00DA18AE">
        <w:rPr>
          <w:lang w:val="fr-FR"/>
        </w:rPr>
        <w:tab/>
        <w:t xml:space="preserve">Voir paragraphe 382 du deuxième rapport du Japon et paragraphes 241 et 242 du rapport initial du Japon. </w:t>
      </w:r>
    </w:p>
    <w:p w:rsidR="00DA18AE" w:rsidRPr="00DA18AE" w:rsidRDefault="002D23E5" w:rsidP="00DA18AE">
      <w:pPr>
        <w:pStyle w:val="SingleTxtG"/>
        <w:rPr>
          <w:iCs/>
          <w:lang w:val="fr-FR"/>
        </w:rPr>
      </w:pPr>
      <w:r>
        <w:rPr>
          <w:lang w:val="fr-FR"/>
        </w:rPr>
        <w:tab/>
        <w:t>1)</w:t>
      </w:r>
      <w:r>
        <w:rPr>
          <w:lang w:val="fr-FR"/>
        </w:rPr>
        <w:tab/>
      </w:r>
      <w:r w:rsidR="00DA18AE" w:rsidRPr="00DA18AE">
        <w:rPr>
          <w:lang w:val="fr-FR"/>
        </w:rPr>
        <w:t>Centres/salles pour enfants</w:t>
      </w:r>
    </w:p>
    <w:p w:rsidR="00DA18AE" w:rsidRPr="00DA18AE" w:rsidRDefault="002D23E5" w:rsidP="00DA18AE">
      <w:pPr>
        <w:pStyle w:val="SingleTxtG"/>
        <w:rPr>
          <w:lang w:val="fr-FR"/>
        </w:rPr>
      </w:pPr>
      <w:r>
        <w:rPr>
          <w:lang w:val="fr-FR"/>
        </w:rPr>
        <w:tab/>
      </w:r>
      <w:r w:rsidR="00DA18AE" w:rsidRPr="00DA18AE">
        <w:rPr>
          <w:lang w:val="fr-FR"/>
        </w:rPr>
        <w:t>Voir paragraphe 241 du rapport initial du Japon. En octobre 2004, on comptait 4.693 salles et centres.</w:t>
      </w:r>
    </w:p>
    <w:p w:rsidR="00DA18AE" w:rsidRPr="00DA18AE" w:rsidRDefault="002D23E5" w:rsidP="00DA18AE">
      <w:pPr>
        <w:pStyle w:val="SingleTxtG"/>
        <w:rPr>
          <w:iCs/>
          <w:lang w:val="fr-FR"/>
        </w:rPr>
      </w:pPr>
      <w:r>
        <w:rPr>
          <w:lang w:val="fr-FR"/>
        </w:rPr>
        <w:tab/>
        <w:t>2)</w:t>
      </w:r>
      <w:r>
        <w:rPr>
          <w:lang w:val="fr-FR"/>
        </w:rPr>
        <w:tab/>
      </w:r>
      <w:r w:rsidR="00DA18AE" w:rsidRPr="00DA18AE">
        <w:rPr>
          <w:lang w:val="fr-FR"/>
        </w:rPr>
        <w:t>Terrains de jeux pour enfants</w:t>
      </w:r>
    </w:p>
    <w:p w:rsidR="00DA18AE" w:rsidRPr="00DA18AE" w:rsidRDefault="002D23E5" w:rsidP="00DA18AE">
      <w:pPr>
        <w:pStyle w:val="SingleTxtG"/>
        <w:rPr>
          <w:lang w:val="fr-FR"/>
        </w:rPr>
      </w:pPr>
      <w:r>
        <w:rPr>
          <w:lang w:val="fr-FR"/>
        </w:rPr>
        <w:tab/>
      </w:r>
      <w:r w:rsidR="00DA18AE" w:rsidRPr="00DA18AE">
        <w:rPr>
          <w:lang w:val="fr-FR"/>
        </w:rPr>
        <w:t xml:space="preserve">Voir paragraphe 242 du rapport initial du Japon. En octobre 2004, on comptait 3.827 terrains de jeux. </w:t>
      </w:r>
    </w:p>
    <w:p w:rsidR="00DA18AE" w:rsidRPr="00DA18AE" w:rsidRDefault="002D23E5" w:rsidP="002D23E5">
      <w:pPr>
        <w:pStyle w:val="HChG"/>
        <w:rPr>
          <w:lang w:val="fr-FR"/>
        </w:rPr>
      </w:pPr>
      <w:r>
        <w:rPr>
          <w:lang w:val="fr-FR"/>
        </w:rPr>
        <w:tab/>
        <w:t>VIII.</w:t>
      </w:r>
      <w:r>
        <w:rPr>
          <w:lang w:val="fr-FR"/>
        </w:rPr>
        <w:tab/>
      </w:r>
      <w:r w:rsidRPr="00DA18AE">
        <w:rPr>
          <w:lang w:val="fr-FR"/>
        </w:rPr>
        <w:t>Mesures sp</w:t>
      </w:r>
      <w:r w:rsidR="008F55B7">
        <w:rPr>
          <w:lang w:val="fr-FR"/>
        </w:rPr>
        <w:t>é</w:t>
      </w:r>
      <w:r w:rsidRPr="00DA18AE">
        <w:rPr>
          <w:lang w:val="fr-FR"/>
        </w:rPr>
        <w:t xml:space="preserve">ciales de protection </w:t>
      </w:r>
      <w:r>
        <w:rPr>
          <w:lang w:val="fr-FR"/>
        </w:rPr>
        <w:br/>
      </w:r>
      <w:r w:rsidR="00DA18AE" w:rsidRPr="00DA18AE">
        <w:rPr>
          <w:lang w:val="fr-FR"/>
        </w:rPr>
        <w:t>(articles 22, 38, 39, 40, 37 b)-d), 32</w:t>
      </w:r>
      <w:r>
        <w:rPr>
          <w:lang w:val="fr-FR"/>
        </w:rPr>
        <w:t>-</w:t>
      </w:r>
      <w:r w:rsidR="00DA18AE" w:rsidRPr="00DA18AE">
        <w:rPr>
          <w:lang w:val="fr-FR"/>
        </w:rPr>
        <w:t>36)</w:t>
      </w:r>
    </w:p>
    <w:p w:rsidR="00DA18AE" w:rsidRPr="00DA18AE" w:rsidRDefault="002D23E5" w:rsidP="002D23E5">
      <w:pPr>
        <w:pStyle w:val="H1G"/>
        <w:rPr>
          <w:lang w:val="fr-FR"/>
        </w:rPr>
      </w:pPr>
      <w:r>
        <w:rPr>
          <w:lang w:val="fr-FR"/>
        </w:rPr>
        <w:tab/>
        <w:t>A.</w:t>
      </w:r>
      <w:r>
        <w:rPr>
          <w:lang w:val="fr-FR"/>
        </w:rPr>
        <w:tab/>
      </w:r>
      <w:r w:rsidR="00DA18AE" w:rsidRPr="00DA18AE">
        <w:rPr>
          <w:lang w:val="fr-FR"/>
        </w:rPr>
        <w:t>Enfants en situation d</w:t>
      </w:r>
      <w:r w:rsidR="00277023">
        <w:rPr>
          <w:lang w:val="fr-FR"/>
        </w:rPr>
        <w:t>’</w:t>
      </w:r>
      <w:r w:rsidR="00DA18AE" w:rsidRPr="00DA18AE">
        <w:rPr>
          <w:lang w:val="fr-FR"/>
        </w:rPr>
        <w:t>urgence</w:t>
      </w:r>
    </w:p>
    <w:p w:rsidR="00DA18AE" w:rsidRPr="00DA18AE" w:rsidRDefault="002D23E5" w:rsidP="002D23E5">
      <w:pPr>
        <w:pStyle w:val="H23G"/>
        <w:rPr>
          <w:lang w:val="fr-FR"/>
        </w:rPr>
      </w:pPr>
      <w:r>
        <w:rPr>
          <w:lang w:val="fr-FR"/>
        </w:rPr>
        <w:tab/>
        <w:t>a)</w:t>
      </w:r>
      <w:r>
        <w:rPr>
          <w:lang w:val="fr-FR"/>
        </w:rPr>
        <w:tab/>
      </w:r>
      <w:r w:rsidR="00DA18AE" w:rsidRPr="00DA18AE">
        <w:rPr>
          <w:lang w:val="fr-FR"/>
        </w:rPr>
        <w:t>Enfants réfugiés</w:t>
      </w:r>
    </w:p>
    <w:p w:rsidR="00DA18AE" w:rsidRPr="00DA18AE" w:rsidRDefault="00DA18AE" w:rsidP="00DA18AE">
      <w:pPr>
        <w:pStyle w:val="SingleTxtG"/>
        <w:rPr>
          <w:lang w:val="fr-FR"/>
        </w:rPr>
      </w:pPr>
      <w:r w:rsidRPr="00DA18AE">
        <w:rPr>
          <w:lang w:val="fr-FR"/>
        </w:rPr>
        <w:t>(Législation nationale et internationale et mesures spécifiques applicables aux enfants ayant le statut de réfugié)</w:t>
      </w:r>
    </w:p>
    <w:p w:rsidR="00DA18AE" w:rsidRPr="00DA18AE" w:rsidRDefault="00DA18AE" w:rsidP="00DA18AE">
      <w:pPr>
        <w:pStyle w:val="SingleTxtG"/>
        <w:rPr>
          <w:bCs/>
          <w:lang w:val="fr-FR"/>
        </w:rPr>
      </w:pPr>
      <w:r w:rsidRPr="00DA18AE">
        <w:rPr>
          <w:bCs/>
          <w:lang w:val="fr-FR"/>
        </w:rPr>
        <w:t>436.</w:t>
      </w:r>
      <w:r w:rsidRPr="00DA18AE">
        <w:rPr>
          <w:bCs/>
          <w:lang w:val="fr-FR"/>
        </w:rPr>
        <w:tab/>
        <w:t>Voir paragraphe 383 du deuxième rapport du Japon (paragraphe 249 du rapport initial du Japon).</w:t>
      </w:r>
    </w:p>
    <w:p w:rsidR="00DA18AE" w:rsidRPr="00DA18AE" w:rsidRDefault="00DA18AE" w:rsidP="00DA18AE">
      <w:pPr>
        <w:pStyle w:val="SingleTxtG"/>
        <w:rPr>
          <w:bCs/>
          <w:lang w:val="fr-FR"/>
        </w:rPr>
      </w:pPr>
      <w:r w:rsidRPr="00DA18AE">
        <w:rPr>
          <w:lang w:val="fr-FR"/>
        </w:rPr>
        <w:t>437.</w:t>
      </w:r>
      <w:r w:rsidRPr="00DA18AE">
        <w:rPr>
          <w:lang w:val="fr-FR"/>
        </w:rPr>
        <w:tab/>
        <w:t>Fin janvier 2005, 41 enfants avaient demandé la reconnaissance de leur statut de réfugié et 98 autres l</w:t>
      </w:r>
      <w:r w:rsidR="00277023">
        <w:rPr>
          <w:lang w:val="fr-FR"/>
        </w:rPr>
        <w:t>’</w:t>
      </w:r>
      <w:r w:rsidRPr="00DA18AE">
        <w:rPr>
          <w:lang w:val="fr-FR"/>
        </w:rPr>
        <w:t>avaient obtenue depuis la mise en place du système relatif au statut de réfugié en janvier 1982 (Note</w:t>
      </w:r>
      <w:r w:rsidR="00277023">
        <w:rPr>
          <w:lang w:val="fr-FR"/>
        </w:rPr>
        <w:t>:</w:t>
      </w:r>
      <w:r w:rsidRPr="00DA18AE">
        <w:rPr>
          <w:lang w:val="fr-FR"/>
        </w:rPr>
        <w:t xml:space="preserve"> ces statistiques incluent les décisions prises en appel). </w:t>
      </w:r>
    </w:p>
    <w:p w:rsidR="00DA18AE" w:rsidRPr="00DA18AE" w:rsidRDefault="00DA18AE" w:rsidP="00DA18AE">
      <w:pPr>
        <w:pStyle w:val="SingleTxtG"/>
        <w:rPr>
          <w:lang w:val="fr-FR"/>
        </w:rPr>
      </w:pPr>
      <w:r w:rsidRPr="00DA18AE">
        <w:rPr>
          <w:lang w:val="fr-FR"/>
        </w:rPr>
        <w:t>(Protection et assistance offertes aux enfants réfugiés)</w:t>
      </w:r>
    </w:p>
    <w:p w:rsidR="00DA18AE" w:rsidRPr="00DA18AE" w:rsidRDefault="00DA18AE" w:rsidP="00DA18AE">
      <w:pPr>
        <w:pStyle w:val="SingleTxtG"/>
        <w:rPr>
          <w:lang w:val="fr-FR"/>
        </w:rPr>
      </w:pPr>
      <w:r w:rsidRPr="00DA18AE">
        <w:rPr>
          <w:lang w:val="fr-FR"/>
        </w:rPr>
        <w:t>438.</w:t>
      </w:r>
      <w:r w:rsidRPr="00DA18AE">
        <w:rPr>
          <w:lang w:val="fr-FR"/>
        </w:rPr>
        <w:tab/>
        <w:t xml:space="preserve">Voir paragraphes 384-385 du deuxième rapport du Japon. </w:t>
      </w:r>
    </w:p>
    <w:p w:rsidR="00DA18AE" w:rsidRPr="00DA18AE" w:rsidRDefault="00DA18AE" w:rsidP="00DA18AE">
      <w:pPr>
        <w:pStyle w:val="SingleTxtG"/>
        <w:rPr>
          <w:lang w:val="fr-FR"/>
        </w:rPr>
      </w:pPr>
      <w:r w:rsidRPr="00DA18AE">
        <w:rPr>
          <w:lang w:val="fr-FR"/>
        </w:rPr>
        <w:t>(Instruments internationaux relatifs aux droits de l</w:t>
      </w:r>
      <w:r w:rsidR="00277023">
        <w:rPr>
          <w:lang w:val="fr-FR"/>
        </w:rPr>
        <w:t>’</w:t>
      </w:r>
      <w:r w:rsidRPr="00DA18AE">
        <w:rPr>
          <w:lang w:val="fr-FR"/>
        </w:rPr>
        <w:t>homme ratifiés par le</w:t>
      </w:r>
      <w:r w:rsidRPr="00DA18AE">
        <w:rPr>
          <w:bCs/>
          <w:iCs/>
          <w:lang w:val="fr-FR"/>
        </w:rPr>
        <w:t xml:space="preserve"> Japon</w:t>
      </w:r>
      <w:r w:rsidRPr="00DA18AE">
        <w:rPr>
          <w:lang w:val="fr-FR"/>
        </w:rPr>
        <w:t>)</w:t>
      </w:r>
    </w:p>
    <w:p w:rsidR="00DA18AE" w:rsidRPr="00DA18AE" w:rsidRDefault="00DA18AE" w:rsidP="00DA18AE">
      <w:pPr>
        <w:pStyle w:val="SingleTxtG"/>
        <w:rPr>
          <w:bCs/>
          <w:lang w:val="fr-FR"/>
        </w:rPr>
      </w:pPr>
      <w:r w:rsidRPr="00DA18AE">
        <w:rPr>
          <w:bCs/>
          <w:lang w:val="fr-FR"/>
        </w:rPr>
        <w:t>439.</w:t>
      </w:r>
      <w:r w:rsidRPr="00DA18AE">
        <w:rPr>
          <w:bCs/>
          <w:lang w:val="fr-FR"/>
        </w:rPr>
        <w:tab/>
        <w:t xml:space="preserve">Voir paragraphe 386 du deuxième rapport du Japon. </w:t>
      </w:r>
    </w:p>
    <w:p w:rsidR="00DA18AE" w:rsidRPr="00DA18AE" w:rsidRDefault="00DA18AE" w:rsidP="00DA18AE">
      <w:pPr>
        <w:pStyle w:val="SingleTxtG"/>
        <w:rPr>
          <w:lang w:val="fr-FR"/>
        </w:rPr>
      </w:pPr>
      <w:r w:rsidRPr="00DA18AE">
        <w:rPr>
          <w:lang w:val="fr-FR"/>
        </w:rPr>
        <w:t xml:space="preserve">(Lois et procédures internes appliquées pour déterminer le statut de réfugié et protéger les droits des enfants réfugiés) </w:t>
      </w:r>
    </w:p>
    <w:p w:rsidR="00DA18AE" w:rsidRPr="00DA18AE" w:rsidRDefault="00DA18AE" w:rsidP="00DA18AE">
      <w:pPr>
        <w:pStyle w:val="SingleTxtG"/>
        <w:rPr>
          <w:lang w:val="fr-FR"/>
        </w:rPr>
      </w:pPr>
      <w:r w:rsidRPr="00DA18AE">
        <w:rPr>
          <w:lang w:val="fr-FR"/>
        </w:rPr>
        <w:t>440.</w:t>
      </w:r>
      <w:r w:rsidRPr="00DA18AE">
        <w:rPr>
          <w:lang w:val="fr-FR"/>
        </w:rPr>
        <w:tab/>
        <w:t>Voir paragraphes 176 et 387 du deuxième rapport du Japon (paragraphe 249 du rapport initial du Japon).</w:t>
      </w:r>
    </w:p>
    <w:p w:rsidR="00DA18AE" w:rsidRPr="00DA18AE" w:rsidRDefault="00DA18AE" w:rsidP="00DA18AE">
      <w:pPr>
        <w:pStyle w:val="SingleTxtG"/>
        <w:rPr>
          <w:bCs/>
          <w:lang w:val="fr-FR"/>
        </w:rPr>
      </w:pPr>
      <w:r w:rsidRPr="00DA18AE">
        <w:rPr>
          <w:bCs/>
          <w:lang w:val="fr-FR"/>
        </w:rPr>
        <w:t>441.</w:t>
      </w:r>
      <w:r w:rsidRPr="00DA18AE">
        <w:rPr>
          <w:bCs/>
          <w:lang w:val="fr-FR"/>
        </w:rPr>
        <w:tab/>
        <w:t xml:space="preserve">Les représentants légaux effectifs autres que les parents ou les membres de la famille sont également pris en considération dans la procédure de détermination du statut de réfugié des enfants. </w:t>
      </w:r>
    </w:p>
    <w:p w:rsidR="00DA18AE" w:rsidRPr="00DA18AE" w:rsidRDefault="00DA18AE" w:rsidP="00DA18AE">
      <w:pPr>
        <w:pStyle w:val="SingleTxtG"/>
        <w:rPr>
          <w:lang w:val="fr-FR"/>
        </w:rPr>
      </w:pPr>
      <w:r w:rsidRPr="00DA18AE">
        <w:rPr>
          <w:lang w:val="fr-FR"/>
        </w:rPr>
        <w:t>(</w:t>
      </w:r>
      <w:r w:rsidRPr="00DA18AE">
        <w:rPr>
          <w:bCs/>
          <w:iCs/>
          <w:lang w:val="fr-FR"/>
        </w:rPr>
        <w:t>Protection et assistance humanitaire assurées à l</w:t>
      </w:r>
      <w:r w:rsidR="00277023">
        <w:rPr>
          <w:bCs/>
          <w:iCs/>
          <w:lang w:val="fr-FR"/>
        </w:rPr>
        <w:t>’</w:t>
      </w:r>
      <w:r w:rsidRPr="00DA18AE">
        <w:rPr>
          <w:bCs/>
          <w:iCs/>
          <w:lang w:val="fr-FR"/>
        </w:rPr>
        <w:t>enfant pour qu</w:t>
      </w:r>
      <w:r w:rsidR="00277023">
        <w:rPr>
          <w:bCs/>
          <w:iCs/>
          <w:lang w:val="fr-FR"/>
        </w:rPr>
        <w:t>’</w:t>
      </w:r>
      <w:r w:rsidRPr="00DA18AE">
        <w:rPr>
          <w:bCs/>
          <w:iCs/>
          <w:lang w:val="fr-FR"/>
        </w:rPr>
        <w:t xml:space="preserve">il exerce ses droits énoncés dans </w:t>
      </w:r>
      <w:smartTag w:uri="urn:schemas-microsoft-com:office:smarttags" w:element="PersonName">
        <w:smartTagPr>
          <w:attr w:name="ProductID" w:val="LA CONVENTION"/>
        </w:smartTagPr>
        <w:r w:rsidRPr="00DA18AE">
          <w:rPr>
            <w:bCs/>
            <w:iCs/>
            <w:lang w:val="fr-FR"/>
          </w:rPr>
          <w:t>la Convention</w:t>
        </w:r>
      </w:smartTag>
      <w:r w:rsidRPr="00DA18AE">
        <w:rPr>
          <w:bCs/>
          <w:iCs/>
          <w:lang w:val="fr-FR"/>
        </w:rPr>
        <w:t xml:space="preserve"> relative aux droits de l</w:t>
      </w:r>
      <w:r w:rsidR="00277023">
        <w:rPr>
          <w:bCs/>
          <w:iCs/>
          <w:lang w:val="fr-FR"/>
        </w:rPr>
        <w:t>’</w:t>
      </w:r>
      <w:r w:rsidRPr="00DA18AE">
        <w:rPr>
          <w:bCs/>
          <w:iCs/>
          <w:lang w:val="fr-FR"/>
        </w:rPr>
        <w:t>enfant</w:t>
      </w:r>
      <w:r w:rsidRPr="00DA18AE">
        <w:rPr>
          <w:lang w:val="fr-FR"/>
        </w:rPr>
        <w:t>)</w:t>
      </w:r>
    </w:p>
    <w:p w:rsidR="00DA18AE" w:rsidRPr="00DA18AE" w:rsidRDefault="00DA18AE" w:rsidP="00DA18AE">
      <w:pPr>
        <w:pStyle w:val="SingleTxtG"/>
        <w:rPr>
          <w:lang w:val="fr-FR"/>
        </w:rPr>
      </w:pPr>
      <w:r w:rsidRPr="00DA18AE">
        <w:rPr>
          <w:bCs/>
          <w:lang w:val="fr-FR"/>
        </w:rPr>
        <w:t>442.</w:t>
      </w:r>
      <w:r w:rsidRPr="00DA18AE">
        <w:rPr>
          <w:bCs/>
          <w:lang w:val="fr-FR"/>
        </w:rPr>
        <w:tab/>
        <w:t xml:space="preserve">Voir paragraphe 388 du deuxième rapport du Japon (paragraphes 250-251 du rapport initial du Japon). </w:t>
      </w:r>
    </w:p>
    <w:p w:rsidR="00DA18AE" w:rsidRPr="00DA18AE" w:rsidRDefault="00DA18AE" w:rsidP="00DA18AE">
      <w:pPr>
        <w:pStyle w:val="SingleTxtG"/>
        <w:rPr>
          <w:lang w:val="fr-FR"/>
        </w:rPr>
      </w:pPr>
      <w:r w:rsidRPr="00DA18AE">
        <w:rPr>
          <w:lang w:val="fr-FR"/>
        </w:rPr>
        <w:t>443.</w:t>
      </w:r>
      <w:r w:rsidRPr="00DA18AE">
        <w:rPr>
          <w:lang w:val="fr-FR"/>
        </w:rPr>
        <w:tab/>
        <w:t>Le Gouvernement verse des fonds aux candidats au statut de réfugié dont les conditions de vie dont difficiles, y compris aux enfants, par le biais du Bureau central d</w:t>
      </w:r>
      <w:r w:rsidR="00277023">
        <w:rPr>
          <w:lang w:val="fr-FR"/>
        </w:rPr>
        <w:t>’</w:t>
      </w:r>
      <w:r w:rsidRPr="00DA18AE">
        <w:rPr>
          <w:lang w:val="fr-FR"/>
        </w:rPr>
        <w:t xml:space="preserve">aide aux réfugiés de </w:t>
      </w:r>
      <w:smartTag w:uri="urn:schemas-microsoft-com:office:smarttags" w:element="PersonName">
        <w:smartTagPr>
          <w:attr w:name="ProductID" w:val="la Fondation"/>
        </w:smartTagPr>
        <w:r w:rsidRPr="00DA18AE">
          <w:rPr>
            <w:lang w:val="fr-FR"/>
          </w:rPr>
          <w:t>la Fondation</w:t>
        </w:r>
      </w:smartTag>
      <w:r w:rsidRPr="00DA18AE">
        <w:rPr>
          <w:lang w:val="fr-FR"/>
        </w:rPr>
        <w:t xml:space="preserve"> pour le bien-être et l</w:t>
      </w:r>
      <w:r w:rsidR="00277023">
        <w:rPr>
          <w:lang w:val="fr-FR"/>
        </w:rPr>
        <w:t>’</w:t>
      </w:r>
      <w:r w:rsidRPr="00DA18AE">
        <w:rPr>
          <w:lang w:val="fr-FR"/>
        </w:rPr>
        <w:t>éducation des peuples asiatiques. En outre, une nouvelle politique d</w:t>
      </w:r>
      <w:r w:rsidR="00277023">
        <w:rPr>
          <w:lang w:val="fr-FR"/>
        </w:rPr>
        <w:t>’</w:t>
      </w:r>
      <w:r w:rsidRPr="00DA18AE">
        <w:rPr>
          <w:lang w:val="fr-FR"/>
        </w:rPr>
        <w:t xml:space="preserve">aide à la réinstallation des réfugiés au sens de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a été adoptée en août 2002 sur décision du Conseil de liaison et de coordination du secrétariat du Cabinet pour les questions des réfugiés</w:t>
      </w:r>
      <w:r w:rsidR="00277023">
        <w:rPr>
          <w:lang w:val="fr-FR"/>
        </w:rPr>
        <w:t>;</w:t>
      </w:r>
      <w:r w:rsidRPr="00DA18AE">
        <w:rPr>
          <w:lang w:val="fr-FR"/>
        </w:rPr>
        <w:t xml:space="preserve"> elle a instauré un nouveau cadre de mesures d</w:t>
      </w:r>
      <w:r w:rsidR="00277023">
        <w:rPr>
          <w:lang w:val="fr-FR"/>
        </w:rPr>
        <w:t>’</w:t>
      </w:r>
      <w:r w:rsidRPr="00DA18AE">
        <w:rPr>
          <w:lang w:val="fr-FR"/>
        </w:rPr>
        <w:t xml:space="preserve">aide à la réinstallation des réfugiés au sens de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(y compris les enfants), comme l</w:t>
      </w:r>
      <w:r w:rsidR="00277023">
        <w:rPr>
          <w:lang w:val="fr-FR"/>
        </w:rPr>
        <w:t>’</w:t>
      </w:r>
      <w:r w:rsidRPr="00DA18AE">
        <w:rPr>
          <w:lang w:val="fr-FR"/>
        </w:rPr>
        <w:t>apprentissage de la langue japonaise, la formation professionnelle, le versement de fonds de soutien aux moyens d</w:t>
      </w:r>
      <w:r w:rsidR="00277023">
        <w:rPr>
          <w:lang w:val="fr-FR"/>
        </w:rPr>
        <w:t>’</w:t>
      </w:r>
      <w:r w:rsidRPr="00DA18AE">
        <w:rPr>
          <w:lang w:val="fr-FR"/>
        </w:rPr>
        <w:t>existence et d</w:t>
      </w:r>
      <w:r w:rsidR="00277023">
        <w:rPr>
          <w:lang w:val="fr-FR"/>
        </w:rPr>
        <w:t>’</w:t>
      </w:r>
      <w:r w:rsidRPr="00DA18AE">
        <w:rPr>
          <w:lang w:val="fr-FR"/>
        </w:rPr>
        <w:t>indemnités de réinstallation.</w:t>
      </w:r>
    </w:p>
    <w:p w:rsidR="00DA18AE" w:rsidRPr="00DA18AE" w:rsidRDefault="00DA18AE" w:rsidP="00DA18AE">
      <w:pPr>
        <w:pStyle w:val="SingleTxtG"/>
        <w:rPr>
          <w:lang w:val="fr-FR"/>
        </w:rPr>
      </w:pPr>
      <w:r w:rsidRPr="00DA18AE">
        <w:rPr>
          <w:lang w:val="fr-FR"/>
        </w:rPr>
        <w:t>(Mesures adoptées pour protéger et garantir les droits des enfants non accompagnés)</w:t>
      </w:r>
    </w:p>
    <w:p w:rsidR="00DA18AE" w:rsidRPr="00DA18AE" w:rsidRDefault="00DA18AE" w:rsidP="00DA18AE">
      <w:pPr>
        <w:pStyle w:val="SingleTxtG"/>
        <w:rPr>
          <w:bCs/>
          <w:lang w:val="fr-FR"/>
        </w:rPr>
      </w:pPr>
      <w:r w:rsidRPr="00DA18AE">
        <w:rPr>
          <w:bCs/>
          <w:lang w:val="fr-FR"/>
        </w:rPr>
        <w:t>444.</w:t>
      </w:r>
      <w:r w:rsidRPr="00DA18AE">
        <w:rPr>
          <w:bCs/>
          <w:lang w:val="fr-FR"/>
        </w:rPr>
        <w:tab/>
        <w:t>Voir paragraphes 440-441 (* voir “</w:t>
      </w:r>
      <w:r w:rsidRPr="00DA18AE">
        <w:rPr>
          <w:lang w:val="fr-FR"/>
        </w:rPr>
        <w:t>Lois et procédures internes appliquées pour déterminer le statut de réfugié et protéger les droits des enfants réfugiés</w:t>
      </w:r>
      <w:r w:rsidRPr="00DA18AE">
        <w:rPr>
          <w:bCs/>
          <w:iCs/>
          <w:lang w:val="fr-FR"/>
        </w:rPr>
        <w:t>”</w:t>
      </w:r>
      <w:r w:rsidRPr="00DA18AE">
        <w:rPr>
          <w:bCs/>
          <w:lang w:val="fr-FR"/>
        </w:rPr>
        <w:t xml:space="preserve"> ci-dessus). </w:t>
      </w:r>
    </w:p>
    <w:p w:rsidR="00DA18AE" w:rsidRPr="00DA18AE" w:rsidRDefault="00DA18AE" w:rsidP="00DA18AE">
      <w:pPr>
        <w:pStyle w:val="SingleTxtG"/>
        <w:rPr>
          <w:bCs/>
          <w:lang w:val="fr-FR"/>
        </w:rPr>
      </w:pPr>
      <w:r w:rsidRPr="00DA18AE">
        <w:rPr>
          <w:lang w:val="fr-FR"/>
        </w:rPr>
        <w:t>(Internement dans un centre de rétention</w:t>
      </w:r>
      <w:r w:rsidRPr="00DA18AE">
        <w:rPr>
          <w:bCs/>
          <w:lang w:val="fr-FR"/>
        </w:rPr>
        <w:t>)</w:t>
      </w:r>
    </w:p>
    <w:p w:rsidR="00DA18AE" w:rsidRPr="00DA18AE" w:rsidRDefault="00DA18AE" w:rsidP="00DA18AE">
      <w:pPr>
        <w:pStyle w:val="SingleTxtG"/>
        <w:rPr>
          <w:lang w:val="fr-FR"/>
        </w:rPr>
      </w:pPr>
      <w:r w:rsidRPr="00DA18AE">
        <w:rPr>
          <w:bCs/>
          <w:lang w:val="fr-FR"/>
        </w:rPr>
        <w:t>445.</w:t>
      </w:r>
      <w:r w:rsidRPr="00DA18AE">
        <w:rPr>
          <w:bCs/>
          <w:lang w:val="fr-FR"/>
        </w:rPr>
        <w:tab/>
        <w:t xml:space="preserve">Voir paragraphe 177 (* </w:t>
      </w:r>
      <w:r w:rsidR="00877226" w:rsidRPr="00DA18AE">
        <w:rPr>
          <w:bCs/>
          <w:lang w:val="fr-FR"/>
        </w:rPr>
        <w:t xml:space="preserve">voir </w:t>
      </w:r>
      <w:r w:rsidRPr="00DA18AE">
        <w:rPr>
          <w:bCs/>
          <w:lang w:val="fr-FR"/>
        </w:rPr>
        <w:t>“Internemen</w:t>
      </w:r>
      <w:r w:rsidR="00877226">
        <w:rPr>
          <w:bCs/>
          <w:lang w:val="fr-FR"/>
        </w:rPr>
        <w:t>t dans un centre de rétention”).</w:t>
      </w:r>
    </w:p>
    <w:p w:rsidR="00DA18AE" w:rsidRPr="00DA18AE" w:rsidRDefault="00DA18AE" w:rsidP="00DA18AE">
      <w:pPr>
        <w:pStyle w:val="SingleTxtG"/>
        <w:rPr>
          <w:lang w:val="fr-FR"/>
        </w:rPr>
      </w:pPr>
      <w:r w:rsidRPr="00DA18AE">
        <w:rPr>
          <w:lang w:val="fr-FR"/>
        </w:rPr>
        <w:t>(Diffusion d</w:t>
      </w:r>
      <w:r w:rsidR="00277023">
        <w:rPr>
          <w:lang w:val="fr-FR"/>
        </w:rPr>
        <w:t>’</w:t>
      </w:r>
      <w:r w:rsidRPr="00DA18AE">
        <w:rPr>
          <w:lang w:val="fr-FR"/>
        </w:rPr>
        <w:t>informations et formation aux droits des enfants réfugiés)</w:t>
      </w:r>
    </w:p>
    <w:p w:rsidR="00DA18AE" w:rsidRPr="00DA18AE" w:rsidRDefault="00DA18AE" w:rsidP="00DA18AE">
      <w:pPr>
        <w:pStyle w:val="SingleTxtG"/>
        <w:rPr>
          <w:bCs/>
          <w:lang w:val="fr-FR"/>
        </w:rPr>
      </w:pPr>
      <w:r w:rsidRPr="00DA18AE">
        <w:rPr>
          <w:lang w:val="fr-FR"/>
        </w:rPr>
        <w:t>446.</w:t>
      </w:r>
      <w:r w:rsidRPr="00DA18AE">
        <w:rPr>
          <w:lang w:val="fr-FR"/>
        </w:rPr>
        <w:tab/>
      </w:r>
      <w:smartTag w:uri="urn:schemas-microsoft-com:office:smarttags" w:element="PersonName">
        <w:smartTagPr>
          <w:attr w:name="ProductID" w:val="la Loi"/>
        </w:smartTagPr>
        <w:r w:rsidRPr="00DA18AE">
          <w:rPr>
            <w:lang w:val="fr-FR"/>
          </w:rPr>
          <w:t>La Loi</w:t>
        </w:r>
      </w:smartTag>
      <w:r w:rsidRPr="00DA18AE">
        <w:rPr>
          <w:lang w:val="fr-FR"/>
        </w:rPr>
        <w:t xml:space="preserve"> sur le contrôle de l</w:t>
      </w:r>
      <w:r w:rsidR="00277023">
        <w:rPr>
          <w:lang w:val="fr-FR"/>
        </w:rPr>
        <w:t>’</w:t>
      </w:r>
      <w:r w:rsidRPr="00DA18AE">
        <w:rPr>
          <w:lang w:val="fr-FR"/>
        </w:rPr>
        <w:t>immigration et la reconnaissance du statut de réfugié a été partiellement modifiée et publiée en juin 2004</w:t>
      </w:r>
      <w:r w:rsidR="00277023">
        <w:rPr>
          <w:lang w:val="fr-FR"/>
        </w:rPr>
        <w:t>;</w:t>
      </w:r>
      <w:r w:rsidRPr="00DA18AE">
        <w:rPr>
          <w:lang w:val="fr-FR"/>
        </w:rPr>
        <w:t xml:space="preserve"> ses dispositions stipulent l</w:t>
      </w:r>
      <w:r w:rsidR="00277023">
        <w:rPr>
          <w:lang w:val="fr-FR"/>
        </w:rPr>
        <w:t>’</w:t>
      </w:r>
      <w:r w:rsidRPr="00DA18AE">
        <w:rPr>
          <w:lang w:val="fr-FR"/>
        </w:rPr>
        <w:t>établissement d</w:t>
      </w:r>
      <w:r w:rsidR="00277023">
        <w:rPr>
          <w:lang w:val="fr-FR"/>
        </w:rPr>
        <w:t>’</w:t>
      </w:r>
      <w:r w:rsidRPr="00DA18AE">
        <w:rPr>
          <w:lang w:val="fr-FR"/>
        </w:rPr>
        <w:t>un nouveau système d</w:t>
      </w:r>
      <w:r w:rsidR="00277023">
        <w:rPr>
          <w:lang w:val="fr-FR"/>
        </w:rPr>
        <w:t>’</w:t>
      </w:r>
      <w:r w:rsidRPr="00DA18AE">
        <w:rPr>
          <w:lang w:val="fr-FR"/>
        </w:rPr>
        <w:t>octroi de titres de séjour provisoires aux demandeurs d</w:t>
      </w:r>
      <w:r w:rsidR="00277023">
        <w:rPr>
          <w:lang w:val="fr-FR"/>
        </w:rPr>
        <w:t>’</w:t>
      </w:r>
      <w:r w:rsidRPr="00DA18AE">
        <w:rPr>
          <w:lang w:val="fr-FR"/>
        </w:rPr>
        <w:t>asile et d</w:t>
      </w:r>
      <w:r w:rsidR="00277023">
        <w:rPr>
          <w:lang w:val="fr-FR"/>
        </w:rPr>
        <w:t>’</w:t>
      </w:r>
      <w:r w:rsidRPr="00DA18AE">
        <w:rPr>
          <w:lang w:val="fr-FR"/>
        </w:rPr>
        <w:t>un service de conseillers en matière de statut de réfugié. Ces dispositions ont été mises en œuvre en mai 2005. Outre des brochures en japonais sur le nouveau système, ces informations sont disponibles sur le site du Bureau de l</w:t>
      </w:r>
      <w:r w:rsidR="00277023">
        <w:rPr>
          <w:lang w:val="fr-FR"/>
        </w:rPr>
        <w:t>’</w:t>
      </w:r>
      <w:r w:rsidRPr="00DA18AE">
        <w:rPr>
          <w:lang w:val="fr-FR"/>
        </w:rPr>
        <w:t>immigration dans 13 autres langues, y compris l</w:t>
      </w:r>
      <w:r w:rsidR="00277023">
        <w:rPr>
          <w:lang w:val="fr-FR"/>
        </w:rPr>
        <w:t>’</w:t>
      </w:r>
      <w:r w:rsidRPr="00DA18AE">
        <w:rPr>
          <w:lang w:val="fr-FR"/>
        </w:rPr>
        <w:t>anglais, le turc, le birman, le chinois et le pachtoune. Elles figurent également sur le site du Bureau central d</w:t>
      </w:r>
      <w:r w:rsidR="00277023">
        <w:rPr>
          <w:lang w:val="fr-FR"/>
        </w:rPr>
        <w:t>’</w:t>
      </w:r>
      <w:r w:rsidRPr="00DA18AE">
        <w:rPr>
          <w:lang w:val="fr-FR"/>
        </w:rPr>
        <w:t xml:space="preserve">aide aux réfugiés de </w:t>
      </w:r>
      <w:smartTag w:uri="urn:schemas-microsoft-com:office:smarttags" w:element="PersonName">
        <w:smartTagPr>
          <w:attr w:name="ProductID" w:val="la Fondation"/>
        </w:smartTagPr>
        <w:r w:rsidRPr="00DA18AE">
          <w:rPr>
            <w:lang w:val="fr-FR"/>
          </w:rPr>
          <w:t>la Fondation</w:t>
        </w:r>
      </w:smartTag>
      <w:r w:rsidRPr="00DA18AE">
        <w:rPr>
          <w:lang w:val="fr-FR"/>
        </w:rPr>
        <w:t xml:space="preserve"> pour le bien-être et l</w:t>
      </w:r>
      <w:r w:rsidR="00277023">
        <w:rPr>
          <w:lang w:val="fr-FR"/>
        </w:rPr>
        <w:t>’</w:t>
      </w:r>
      <w:r w:rsidRPr="00DA18AE">
        <w:rPr>
          <w:lang w:val="fr-FR"/>
        </w:rPr>
        <w:t xml:space="preserve">éducation des peuples asiatiques. </w:t>
      </w:r>
    </w:p>
    <w:p w:rsidR="00DA18AE" w:rsidRPr="00DA18AE" w:rsidRDefault="00DA18AE" w:rsidP="00DA18AE">
      <w:pPr>
        <w:pStyle w:val="SingleTxtG"/>
        <w:rPr>
          <w:bCs/>
          <w:lang w:val="fr-FR"/>
        </w:rPr>
      </w:pPr>
      <w:r w:rsidRPr="00DA18AE">
        <w:rPr>
          <w:bCs/>
          <w:lang w:val="fr-FR"/>
        </w:rPr>
        <w:t>447.</w:t>
      </w:r>
      <w:r w:rsidRPr="00DA18AE">
        <w:rPr>
          <w:bCs/>
          <w:lang w:val="fr-FR"/>
        </w:rPr>
        <w:tab/>
        <w:t>Voir également paragraphe 98.</w:t>
      </w:r>
    </w:p>
    <w:p w:rsidR="00DA18AE" w:rsidRPr="00DA18AE" w:rsidRDefault="00DA18AE" w:rsidP="00DA18AE">
      <w:pPr>
        <w:pStyle w:val="SingleTxtG"/>
        <w:rPr>
          <w:lang w:val="fr-FR"/>
        </w:rPr>
      </w:pPr>
      <w:r w:rsidRPr="00DA18AE">
        <w:rPr>
          <w:lang w:val="fr-FR"/>
        </w:rPr>
        <w:t>(Recherche des parents et autres membres de la famille des enfants réfugiés)</w:t>
      </w:r>
    </w:p>
    <w:p w:rsidR="00DA18AE" w:rsidRPr="00DA18AE" w:rsidRDefault="00DA18AE" w:rsidP="00DA18AE">
      <w:pPr>
        <w:pStyle w:val="SingleTxtG"/>
        <w:rPr>
          <w:lang w:val="fr-FR"/>
        </w:rPr>
      </w:pPr>
      <w:r w:rsidRPr="00DA18AE">
        <w:rPr>
          <w:bCs/>
          <w:lang w:val="fr-FR"/>
        </w:rPr>
        <w:t>448.</w:t>
      </w:r>
      <w:r w:rsidRPr="00DA18AE">
        <w:rPr>
          <w:bCs/>
          <w:lang w:val="fr-FR"/>
        </w:rPr>
        <w:tab/>
        <w:t>Voir paragraphe 389 du deuxième rapport du Japon (paragraphe 2</w:t>
      </w:r>
      <w:r w:rsidR="00DB08DD">
        <w:rPr>
          <w:bCs/>
          <w:lang w:val="fr-FR"/>
        </w:rPr>
        <w:t>53 du rapport initial du Japon).</w:t>
      </w:r>
    </w:p>
    <w:p w:rsidR="00DA18AE" w:rsidRPr="00DA18AE" w:rsidRDefault="002D23E5" w:rsidP="002D23E5">
      <w:pPr>
        <w:pStyle w:val="H23G"/>
        <w:rPr>
          <w:lang w:val="fr-FR"/>
        </w:rPr>
      </w:pPr>
      <w:r>
        <w:rPr>
          <w:lang w:val="fr-FR"/>
        </w:rPr>
        <w:tab/>
        <w:t>b)</w:t>
      </w:r>
      <w:r>
        <w:rPr>
          <w:lang w:val="fr-FR"/>
        </w:rPr>
        <w:tab/>
      </w:r>
      <w:r w:rsidR="00DA18AE" w:rsidRPr="00DA18AE">
        <w:rPr>
          <w:lang w:val="fr-FR"/>
        </w:rPr>
        <w:t>Enfants impliqués dans des conflits armés</w:t>
      </w:r>
      <w:r w:rsidR="00277023">
        <w:rPr>
          <w:lang w:val="fr-FR"/>
        </w:rPr>
        <w:t>;</w:t>
      </w:r>
      <w:r w:rsidR="00DA18AE" w:rsidRPr="00DA18AE">
        <w:rPr>
          <w:lang w:val="fr-FR"/>
        </w:rPr>
        <w:t xml:space="preserve"> réadaptation physique et psychologique et réinsertion sociale</w:t>
      </w:r>
    </w:p>
    <w:p w:rsidR="00DA18AE" w:rsidRPr="00DA18AE" w:rsidRDefault="00DA18AE" w:rsidP="00DA18AE">
      <w:pPr>
        <w:pStyle w:val="SingleTxtG"/>
        <w:rPr>
          <w:lang w:val="fr-FR"/>
        </w:rPr>
      </w:pPr>
      <w:r w:rsidRPr="00DA18AE">
        <w:rPr>
          <w:lang w:val="fr-FR"/>
        </w:rPr>
        <w:t>(</w:t>
      </w:r>
      <w:r w:rsidRPr="00DA18AE">
        <w:rPr>
          <w:bCs/>
          <w:iCs/>
          <w:lang w:val="fr-FR"/>
        </w:rPr>
        <w:t>Instruments internationaux ratifiés par le Japon</w:t>
      </w:r>
      <w:r w:rsidRPr="00DA18AE">
        <w:rPr>
          <w:lang w:val="fr-FR"/>
        </w:rPr>
        <w:t>)</w:t>
      </w:r>
    </w:p>
    <w:p w:rsidR="00DA18AE" w:rsidRPr="00DA18AE" w:rsidRDefault="00DA18AE" w:rsidP="00DA18AE">
      <w:pPr>
        <w:pStyle w:val="SingleTxtG"/>
        <w:rPr>
          <w:lang w:val="fr-FR"/>
        </w:rPr>
      </w:pPr>
      <w:r w:rsidRPr="00DA18AE">
        <w:rPr>
          <w:lang w:val="fr-FR"/>
        </w:rPr>
        <w:t>449.</w:t>
      </w:r>
      <w:r w:rsidRPr="00DA18AE">
        <w:rPr>
          <w:lang w:val="fr-FR"/>
        </w:rPr>
        <w:tab/>
        <w:t>Pour ce qui est des enfants impliqués dans des conflits armés, des dispositions explicites figurent dans les deux Protocoles additionnels aux Conventions de Genève du 12 août 1949, relatifs à la protection des victimes des conflits armés (version du 8 juin 1977). Ces deux Protocoles additionnels sont le Protocole additionnel aux Conventions de Genève du 12 août 1949 relatif à la protection des victimes des conflits armés internationaux (Protocole I) et le Protocole additionnel aux Conventions de Genève du 12 août 1949 relatif à la protection des victimes des conflits armés non internationaux (Protocole II). Le Japon a déposé les instruments d</w:t>
      </w:r>
      <w:r w:rsidR="00277023">
        <w:rPr>
          <w:lang w:val="fr-FR"/>
        </w:rPr>
        <w:t>’</w:t>
      </w:r>
      <w:r w:rsidRPr="00DA18AE">
        <w:rPr>
          <w:lang w:val="fr-FR"/>
        </w:rPr>
        <w:t xml:space="preserve">adhésion en août 2004. Il a également ratifié le Protocole facultatif à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relative aux droits de l</w:t>
      </w:r>
      <w:r w:rsidR="00277023">
        <w:rPr>
          <w:lang w:val="fr-FR"/>
        </w:rPr>
        <w:t>’</w:t>
      </w:r>
      <w:r w:rsidRPr="00DA18AE">
        <w:rPr>
          <w:lang w:val="fr-FR"/>
        </w:rPr>
        <w:t>enfant concernant l</w:t>
      </w:r>
      <w:r w:rsidR="00277023">
        <w:rPr>
          <w:lang w:val="fr-FR"/>
        </w:rPr>
        <w:t>’</w:t>
      </w:r>
      <w:r w:rsidRPr="00DA18AE">
        <w:rPr>
          <w:lang w:val="fr-FR"/>
        </w:rPr>
        <w:t>implication d</w:t>
      </w:r>
      <w:r w:rsidR="00277023">
        <w:rPr>
          <w:lang w:val="fr-FR"/>
        </w:rPr>
        <w:t>’</w:t>
      </w:r>
      <w:r w:rsidRPr="00DA18AE">
        <w:rPr>
          <w:lang w:val="fr-FR"/>
        </w:rPr>
        <w:t>enfants dans les conflits armés en août 2004, et des actions sont actuellement menées pour le mettre en application.</w:t>
      </w:r>
    </w:p>
    <w:p w:rsidR="00DA18AE" w:rsidRPr="00DA18AE" w:rsidRDefault="00DA18AE" w:rsidP="00DA18AE">
      <w:pPr>
        <w:pStyle w:val="SingleTxtG"/>
        <w:rPr>
          <w:lang w:val="fr-FR"/>
        </w:rPr>
      </w:pPr>
      <w:r w:rsidRPr="00DA18AE">
        <w:rPr>
          <w:lang w:val="fr-FR"/>
        </w:rPr>
        <w:t xml:space="preserve">(Formulation de </w:t>
      </w:r>
      <w:smartTag w:uri="urn:schemas-microsoft-com:office:smarttags" w:element="PersonName">
        <w:smartTagPr>
          <w:attr w:name="ProductID" w:val="la Loi"/>
        </w:smartTagPr>
        <w:r w:rsidRPr="00DA18AE">
          <w:rPr>
            <w:lang w:val="fr-FR"/>
          </w:rPr>
          <w:t>la Loi</w:t>
        </w:r>
      </w:smartTag>
      <w:r w:rsidRPr="00DA18AE">
        <w:rPr>
          <w:lang w:val="fr-FR"/>
        </w:rPr>
        <w:t xml:space="preserve"> relative à la protection des populations)</w:t>
      </w:r>
    </w:p>
    <w:p w:rsidR="00DA18AE" w:rsidRPr="00DA18AE" w:rsidRDefault="00DA18AE" w:rsidP="00DA18AE">
      <w:pPr>
        <w:pStyle w:val="SingleTxtG"/>
        <w:rPr>
          <w:lang w:val="fr-FR"/>
        </w:rPr>
      </w:pPr>
      <w:r w:rsidRPr="00DA18AE">
        <w:rPr>
          <w:lang w:val="fr-FR"/>
        </w:rPr>
        <w:t>450.</w:t>
      </w:r>
      <w:r w:rsidRPr="00DA18AE">
        <w:rPr>
          <w:lang w:val="fr-FR"/>
        </w:rPr>
        <w:tab/>
        <w:t>S</w:t>
      </w:r>
      <w:r w:rsidR="00277023">
        <w:rPr>
          <w:lang w:val="fr-FR"/>
        </w:rPr>
        <w:t>’</w:t>
      </w:r>
      <w:r w:rsidRPr="00DA18AE">
        <w:rPr>
          <w:lang w:val="fr-FR"/>
        </w:rPr>
        <w:t>agissant d</w:t>
      </w:r>
      <w:r w:rsidR="00277023">
        <w:rPr>
          <w:lang w:val="fr-FR"/>
        </w:rPr>
        <w:t>’</w:t>
      </w:r>
      <w:r w:rsidRPr="00DA18AE">
        <w:rPr>
          <w:lang w:val="fr-FR"/>
        </w:rPr>
        <w:t xml:space="preserve">assurer que le droit humanitaire international relatif aux conflits armés est dûment appliqué, </w:t>
      </w:r>
      <w:smartTag w:uri="urn:schemas-microsoft-com:office:smarttags" w:element="PersonName">
        <w:smartTagPr>
          <w:attr w:name="ProductID" w:val="la Loi"/>
        </w:smartTagPr>
        <w:r w:rsidRPr="00DA18AE">
          <w:rPr>
            <w:lang w:val="fr-FR"/>
          </w:rPr>
          <w:t>la Loi</w:t>
        </w:r>
      </w:smartTag>
      <w:r w:rsidRPr="00DA18AE">
        <w:rPr>
          <w:lang w:val="fr-FR"/>
        </w:rPr>
        <w:t xml:space="preserve"> relative aux mesures de protection de la population civile dans le cas d</w:t>
      </w:r>
      <w:r w:rsidR="00277023">
        <w:rPr>
          <w:lang w:val="fr-FR"/>
        </w:rPr>
        <w:t>’</w:t>
      </w:r>
      <w:r w:rsidRPr="00DA18AE">
        <w:rPr>
          <w:lang w:val="fr-FR"/>
        </w:rPr>
        <w:t>agressions armées (Loi relative à la protection des populations) a été formulée en juin 2004. Dans l</w:t>
      </w:r>
      <w:r w:rsidR="00277023">
        <w:rPr>
          <w:lang w:val="fr-FR"/>
        </w:rPr>
        <w:t>’</w:t>
      </w:r>
      <w:r w:rsidRPr="00DA18AE">
        <w:rPr>
          <w:lang w:val="fr-FR"/>
        </w:rPr>
        <w:t>éventualité d</w:t>
      </w:r>
      <w:r w:rsidR="00277023">
        <w:rPr>
          <w:lang w:val="fr-FR"/>
        </w:rPr>
        <w:t>’</w:t>
      </w:r>
      <w:r w:rsidRPr="00DA18AE">
        <w:rPr>
          <w:lang w:val="fr-FR"/>
        </w:rPr>
        <w:t>une agression armée, compte tenu de l</w:t>
      </w:r>
      <w:r w:rsidR="00277023">
        <w:rPr>
          <w:lang w:val="fr-FR"/>
        </w:rPr>
        <w:t>’</w:t>
      </w:r>
      <w:r w:rsidRPr="00DA18AE">
        <w:rPr>
          <w:lang w:val="fr-FR"/>
        </w:rPr>
        <w:t>importance de</w:t>
      </w:r>
      <w:r w:rsidR="00EA1115">
        <w:rPr>
          <w:lang w:val="fr-FR"/>
        </w:rPr>
        <w:t xml:space="preserve"> </w:t>
      </w:r>
      <w:r w:rsidRPr="00DA18AE">
        <w:rPr>
          <w:lang w:val="fr-FR"/>
        </w:rPr>
        <w:t>protéger les vies et les biens des populations et d</w:t>
      </w:r>
      <w:r w:rsidR="00277023">
        <w:rPr>
          <w:lang w:val="fr-FR"/>
        </w:rPr>
        <w:t>’</w:t>
      </w:r>
      <w:r w:rsidRPr="00DA18AE">
        <w:rPr>
          <w:lang w:val="fr-FR"/>
        </w:rPr>
        <w:t>en réduire au minimum l</w:t>
      </w:r>
      <w:r w:rsidR="00277023">
        <w:rPr>
          <w:lang w:val="fr-FR"/>
        </w:rPr>
        <w:t>’</w:t>
      </w:r>
      <w:r w:rsidRPr="00DA18AE">
        <w:rPr>
          <w:lang w:val="fr-FR"/>
        </w:rPr>
        <w:t xml:space="preserve">impact sur les vies et la situation économique des populations, </w:t>
      </w:r>
      <w:smartTag w:uri="urn:schemas-microsoft-com:office:smarttags" w:element="PersonName">
        <w:smartTagPr>
          <w:attr w:name="ProductID" w:val="la Loi"/>
        </w:smartTagPr>
        <w:r w:rsidRPr="00DA18AE">
          <w:rPr>
            <w:lang w:val="fr-FR"/>
          </w:rPr>
          <w:t>la Loi</w:t>
        </w:r>
      </w:smartTag>
      <w:r w:rsidRPr="00DA18AE">
        <w:rPr>
          <w:lang w:val="fr-FR"/>
        </w:rPr>
        <w:t xml:space="preserve"> relative à la protection des populations contient des dispositions sur les obligations faites au Gouvernement et aux collectivités locales et des mesures relatives à l</w:t>
      </w:r>
      <w:r w:rsidR="00277023">
        <w:rPr>
          <w:lang w:val="fr-FR"/>
        </w:rPr>
        <w:t>’</w:t>
      </w:r>
      <w:r w:rsidRPr="00DA18AE">
        <w:rPr>
          <w:lang w:val="fr-FR"/>
        </w:rPr>
        <w:t>évacuation des habitants, au secours à apporter aux habitants évacués, à la prise en charge des victimes de l</w:t>
      </w:r>
      <w:r w:rsidR="00277023">
        <w:rPr>
          <w:lang w:val="fr-FR"/>
        </w:rPr>
        <w:t>’</w:t>
      </w:r>
      <w:r w:rsidRPr="00DA18AE">
        <w:rPr>
          <w:lang w:val="fr-FR"/>
        </w:rPr>
        <w:t>agression et d</w:t>
      </w:r>
      <w:r w:rsidR="00277023">
        <w:rPr>
          <w:lang w:val="fr-FR"/>
        </w:rPr>
        <w:t>’</w:t>
      </w:r>
      <w:r w:rsidRPr="00DA18AE">
        <w:rPr>
          <w:lang w:val="fr-FR"/>
        </w:rPr>
        <w:t>autres mesures de protection des populations. S</w:t>
      </w:r>
      <w:r w:rsidR="00277023">
        <w:rPr>
          <w:lang w:val="fr-FR"/>
        </w:rPr>
        <w:t>’</w:t>
      </w:r>
      <w:r w:rsidRPr="00DA18AE">
        <w:rPr>
          <w:lang w:val="fr-FR"/>
        </w:rPr>
        <w:t xml:space="preserve">agissant des enfants, les dispositions générales stipulent de tenir compte des groupes vulnérables, y compris des enfants. Souhaitant une mise en œuvre progressive et idoine de </w:t>
      </w:r>
      <w:smartTag w:uri="urn:schemas-microsoft-com:office:smarttags" w:element="PersonName">
        <w:smartTagPr>
          <w:attr w:name="ProductID" w:val="la Loi"/>
        </w:smartTagPr>
        <w:r w:rsidRPr="00DA18AE">
          <w:rPr>
            <w:lang w:val="fr-FR"/>
          </w:rPr>
          <w:t>la Loi</w:t>
        </w:r>
      </w:smartTag>
      <w:r w:rsidRPr="00DA18AE">
        <w:rPr>
          <w:lang w:val="fr-FR"/>
        </w:rPr>
        <w:t>, le Gouvernement a défini des principes directeurs relatifs à la protection des populations en mars 2005, conformément à l</w:t>
      </w:r>
      <w:r w:rsidR="00277023">
        <w:rPr>
          <w:lang w:val="fr-FR"/>
        </w:rPr>
        <w:t>’</w:t>
      </w:r>
      <w:r w:rsidRPr="00DA18AE">
        <w:rPr>
          <w:lang w:val="fr-FR"/>
        </w:rPr>
        <w:t xml:space="preserve">article 32 de </w:t>
      </w:r>
      <w:smartTag w:uri="urn:schemas-microsoft-com:office:smarttags" w:element="PersonName">
        <w:smartTagPr>
          <w:attr w:name="ProductID" w:val="la Loi."/>
        </w:smartTagPr>
        <w:r w:rsidRPr="00DA18AE">
          <w:rPr>
            <w:lang w:val="fr-FR"/>
          </w:rPr>
          <w:t>la Loi.</w:t>
        </w:r>
      </w:smartTag>
      <w:r w:rsidRPr="00DA18AE">
        <w:rPr>
          <w:lang w:val="fr-FR"/>
        </w:rPr>
        <w:t xml:space="preserve"> </w:t>
      </w:r>
    </w:p>
    <w:p w:rsidR="00DA18AE" w:rsidRPr="00DA18AE" w:rsidRDefault="00DA18AE" w:rsidP="00DA18AE">
      <w:pPr>
        <w:pStyle w:val="SingleTxtG"/>
        <w:rPr>
          <w:lang w:val="fr-FR"/>
        </w:rPr>
      </w:pPr>
      <w:r w:rsidRPr="00DA18AE">
        <w:rPr>
          <w:lang w:val="fr-FR"/>
        </w:rPr>
        <w:t>(Garantir que les enfants de moins de 15 ans ne participent pas à des hostilités, protection des droits de l</w:t>
      </w:r>
      <w:r w:rsidR="00277023">
        <w:rPr>
          <w:lang w:val="fr-FR"/>
        </w:rPr>
        <w:t>’</w:t>
      </w:r>
      <w:r w:rsidRPr="00DA18AE">
        <w:rPr>
          <w:lang w:val="fr-FR"/>
        </w:rPr>
        <w:t>enfant pendant des hostilités et mécanismes de contrôle de l</w:t>
      </w:r>
      <w:r w:rsidR="00277023">
        <w:rPr>
          <w:lang w:val="fr-FR"/>
        </w:rPr>
        <w:t>’</w:t>
      </w:r>
      <w:r w:rsidRPr="00DA18AE">
        <w:rPr>
          <w:lang w:val="fr-FR"/>
        </w:rPr>
        <w:t>état d</w:t>
      </w:r>
      <w:r w:rsidR="00277023">
        <w:rPr>
          <w:lang w:val="fr-FR"/>
        </w:rPr>
        <w:t>’</w:t>
      </w:r>
      <w:r w:rsidRPr="00DA18AE">
        <w:rPr>
          <w:lang w:val="fr-FR"/>
        </w:rPr>
        <w:t xml:space="preserve">avancement de la mise en application de </w:t>
      </w:r>
      <w:smartTag w:uri="urn:schemas-microsoft-com:office:smarttags" w:element="PersonName">
        <w:smartTagPr>
          <w:attr w:name="ProductID" w:val="LA CONVENTION"/>
        </w:smartTagPr>
        <w:r w:rsidRPr="00DA18AE">
          <w:rPr>
            <w:lang w:val="fr-FR"/>
          </w:rPr>
          <w:t>la Convention</w:t>
        </w:r>
      </w:smartTag>
      <w:r w:rsidRPr="00DA18AE">
        <w:rPr>
          <w:lang w:val="fr-FR"/>
        </w:rPr>
        <w:t>)</w:t>
      </w:r>
    </w:p>
    <w:p w:rsidR="00DA18AE" w:rsidRPr="00DA18AE" w:rsidRDefault="00DA18AE" w:rsidP="00DA18AE">
      <w:pPr>
        <w:pStyle w:val="SingleTxtG"/>
        <w:rPr>
          <w:lang w:val="fr-FR"/>
        </w:rPr>
      </w:pPr>
      <w:r w:rsidRPr="00DA18AE">
        <w:rPr>
          <w:lang w:val="fr-FR"/>
        </w:rPr>
        <w:t>451.</w:t>
      </w:r>
      <w:r w:rsidRPr="00DA18AE">
        <w:rPr>
          <w:lang w:val="fr-FR"/>
        </w:rPr>
        <w:tab/>
        <w:t xml:space="preserve">Voir paragraphe 391 du deuxième rapport du Japon. </w:t>
      </w:r>
    </w:p>
    <w:p w:rsidR="00DA18AE" w:rsidRPr="00DA18AE" w:rsidRDefault="00DA18AE" w:rsidP="00DA18AE">
      <w:pPr>
        <w:pStyle w:val="SingleTxtG"/>
        <w:rPr>
          <w:lang w:val="fr-FR"/>
        </w:rPr>
      </w:pPr>
      <w:r w:rsidRPr="00DA18AE">
        <w:rPr>
          <w:lang w:val="fr-FR"/>
        </w:rPr>
        <w:t>452.</w:t>
      </w:r>
      <w:r w:rsidRPr="00DA18AE">
        <w:rPr>
          <w:lang w:val="fr-FR"/>
        </w:rPr>
        <w:tab/>
        <w:t xml:space="preserve">Voir articles 2 et 4) du Protocole facultatif à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relative aux droits de l</w:t>
      </w:r>
      <w:r w:rsidR="00277023">
        <w:rPr>
          <w:lang w:val="fr-FR"/>
        </w:rPr>
        <w:t>’</w:t>
      </w:r>
      <w:r w:rsidRPr="00DA18AE">
        <w:rPr>
          <w:lang w:val="fr-FR"/>
        </w:rPr>
        <w:t>enfant concernant l</w:t>
      </w:r>
      <w:r w:rsidR="00277023">
        <w:rPr>
          <w:lang w:val="fr-FR"/>
        </w:rPr>
        <w:t>’</w:t>
      </w:r>
      <w:r w:rsidRPr="00DA18AE">
        <w:rPr>
          <w:lang w:val="fr-FR"/>
        </w:rPr>
        <w:t>implication d</w:t>
      </w:r>
      <w:r w:rsidR="00277023">
        <w:rPr>
          <w:lang w:val="fr-FR"/>
        </w:rPr>
        <w:t>’</w:t>
      </w:r>
      <w:r w:rsidRPr="00DA18AE">
        <w:rPr>
          <w:lang w:val="fr-FR"/>
        </w:rPr>
        <w:t xml:space="preserve">enfants dans les conflits armés. </w:t>
      </w:r>
    </w:p>
    <w:p w:rsidR="00DA18AE" w:rsidRPr="00DA18AE" w:rsidRDefault="00DA18AE" w:rsidP="00DA18AE">
      <w:pPr>
        <w:pStyle w:val="SingleTxtG"/>
        <w:rPr>
          <w:lang w:val="fr-FR"/>
        </w:rPr>
      </w:pPr>
      <w:r w:rsidRPr="00DA18AE">
        <w:rPr>
          <w:lang w:val="fr-FR"/>
        </w:rPr>
        <w:t>(Garantir que les enfants de moins de 15 ans ne peuvent pas s</w:t>
      </w:r>
      <w:r w:rsidR="00277023">
        <w:rPr>
          <w:lang w:val="fr-FR"/>
        </w:rPr>
        <w:t>’</w:t>
      </w:r>
      <w:r w:rsidRPr="00DA18AE">
        <w:rPr>
          <w:lang w:val="fr-FR"/>
        </w:rPr>
        <w:t xml:space="preserve">engager dans les forces armées) </w:t>
      </w:r>
    </w:p>
    <w:p w:rsidR="00DA18AE" w:rsidRPr="00DA18AE" w:rsidRDefault="00DA18AE" w:rsidP="00DA18AE">
      <w:pPr>
        <w:pStyle w:val="SingleTxtG"/>
        <w:rPr>
          <w:lang w:val="fr-FR"/>
        </w:rPr>
      </w:pPr>
      <w:r w:rsidRPr="00DA18AE">
        <w:rPr>
          <w:lang w:val="fr-FR"/>
        </w:rPr>
        <w:t>453.</w:t>
      </w:r>
      <w:r w:rsidRPr="00DA18AE">
        <w:rPr>
          <w:lang w:val="fr-FR"/>
        </w:rPr>
        <w:tab/>
        <w:t xml:space="preserve">Voir paragraphe 119. </w:t>
      </w:r>
    </w:p>
    <w:p w:rsidR="00DA18AE" w:rsidRPr="00DA18AE" w:rsidRDefault="00DA18AE" w:rsidP="00DA18AE">
      <w:pPr>
        <w:pStyle w:val="SingleTxtG"/>
        <w:rPr>
          <w:lang w:val="fr-FR"/>
        </w:rPr>
      </w:pPr>
      <w:r w:rsidRPr="00DA18AE">
        <w:rPr>
          <w:lang w:val="fr-FR"/>
        </w:rPr>
        <w:t>(Coopération internationale)</w:t>
      </w:r>
    </w:p>
    <w:p w:rsidR="00DA18AE" w:rsidRPr="00DA18AE" w:rsidRDefault="00DA18AE" w:rsidP="00DA18AE">
      <w:pPr>
        <w:pStyle w:val="SingleTxtG"/>
        <w:rPr>
          <w:lang w:val="fr-FR"/>
        </w:rPr>
      </w:pPr>
      <w:r w:rsidRPr="00DA18AE">
        <w:rPr>
          <w:lang w:val="fr-FR"/>
        </w:rPr>
        <w:t>454.</w:t>
      </w:r>
      <w:r w:rsidRPr="00DA18AE">
        <w:rPr>
          <w:lang w:val="fr-FR"/>
        </w:rPr>
        <w:tab/>
        <w:t>Le Japon n</w:t>
      </w:r>
      <w:r w:rsidR="00277023">
        <w:rPr>
          <w:lang w:val="fr-FR"/>
        </w:rPr>
        <w:t>’</w:t>
      </w:r>
      <w:r w:rsidRPr="00DA18AE">
        <w:rPr>
          <w:lang w:val="fr-FR"/>
        </w:rPr>
        <w:t>a pas seulement mis en œuvre des programmes de désarmement des enfants soldats, mais il a également pris conscience de l</w:t>
      </w:r>
      <w:r w:rsidR="00277023">
        <w:rPr>
          <w:lang w:val="fr-FR"/>
        </w:rPr>
        <w:t>’</w:t>
      </w:r>
      <w:r w:rsidRPr="00DA18AE">
        <w:rPr>
          <w:lang w:val="fr-FR"/>
        </w:rPr>
        <w:t>importance d</w:t>
      </w:r>
      <w:r w:rsidR="00277023">
        <w:rPr>
          <w:lang w:val="fr-FR"/>
        </w:rPr>
        <w:t>’</w:t>
      </w:r>
      <w:r w:rsidRPr="00DA18AE">
        <w:rPr>
          <w:lang w:val="fr-FR"/>
        </w:rPr>
        <w:t>offrir aux enfants désarmés des services de base comme l</w:t>
      </w:r>
      <w:r w:rsidR="00277023">
        <w:rPr>
          <w:lang w:val="fr-FR"/>
        </w:rPr>
        <w:t>’</w:t>
      </w:r>
      <w:r w:rsidRPr="00DA18AE">
        <w:rPr>
          <w:lang w:val="fr-FR"/>
        </w:rPr>
        <w:t>éducation, les soins médicaux et les soins de santé et une assistance dans toutes les zones de conflit.</w:t>
      </w:r>
      <w:r w:rsidR="00EA1115">
        <w:rPr>
          <w:lang w:val="fr-FR"/>
        </w:rPr>
        <w:t xml:space="preserve"> </w:t>
      </w:r>
      <w:r w:rsidRPr="00DA18AE">
        <w:rPr>
          <w:lang w:val="fr-FR"/>
        </w:rPr>
        <w:t>Le Japon a ainsi apporté une aide financière aux Nations Unies et à d</w:t>
      </w:r>
      <w:r w:rsidR="00277023">
        <w:rPr>
          <w:lang w:val="fr-FR"/>
        </w:rPr>
        <w:t>’</w:t>
      </w:r>
      <w:r w:rsidRPr="00DA18AE">
        <w:rPr>
          <w:lang w:val="fr-FR"/>
        </w:rPr>
        <w:t>autres organisations internationales dotées des connaissances requises dans ces domaines comme l</w:t>
      </w:r>
      <w:r w:rsidR="00277023">
        <w:rPr>
          <w:lang w:val="fr-FR"/>
        </w:rPr>
        <w:t>’</w:t>
      </w:r>
      <w:r w:rsidRPr="00DA18AE">
        <w:rPr>
          <w:lang w:val="fr-FR"/>
        </w:rPr>
        <w:t>UNICEF et le HCR (Haut</w:t>
      </w:r>
      <w:r w:rsidR="00011BD8">
        <w:rPr>
          <w:lang w:val="fr-FR"/>
        </w:rPr>
        <w:noBreakHyphen/>
      </w:r>
      <w:r w:rsidRPr="00DA18AE">
        <w:rPr>
          <w:lang w:val="fr-FR"/>
        </w:rPr>
        <w:t>Commissaire des Nations Unies pour les réfugiés), et prêté son concours financier à l</w:t>
      </w:r>
      <w:r w:rsidR="00277023">
        <w:rPr>
          <w:lang w:val="fr-FR"/>
        </w:rPr>
        <w:t>’</w:t>
      </w:r>
      <w:r w:rsidRPr="00DA18AE">
        <w:rPr>
          <w:lang w:val="fr-FR"/>
        </w:rPr>
        <w:t xml:space="preserve">APD bilatérale. Pour de plus amples détails, voir le chapitre XII, article 7, du rapport du Gouvernement japonais sur le Protocole facultatif à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relative aux droits de l</w:t>
      </w:r>
      <w:r w:rsidR="00277023">
        <w:rPr>
          <w:lang w:val="fr-FR"/>
        </w:rPr>
        <w:t>’</w:t>
      </w:r>
      <w:r w:rsidRPr="00DA18AE">
        <w:rPr>
          <w:lang w:val="fr-FR"/>
        </w:rPr>
        <w:t>enfant concernant l</w:t>
      </w:r>
      <w:r w:rsidR="00277023">
        <w:rPr>
          <w:lang w:val="fr-FR"/>
        </w:rPr>
        <w:t>’</w:t>
      </w:r>
      <w:r w:rsidRPr="00DA18AE">
        <w:rPr>
          <w:lang w:val="fr-FR"/>
        </w:rPr>
        <w:t>implication d</w:t>
      </w:r>
      <w:r w:rsidR="00277023">
        <w:rPr>
          <w:lang w:val="fr-FR"/>
        </w:rPr>
        <w:t>’</w:t>
      </w:r>
      <w:r w:rsidRPr="00DA18AE">
        <w:rPr>
          <w:lang w:val="fr-FR"/>
        </w:rPr>
        <w:t>enfants dans les conflits armés.</w:t>
      </w:r>
    </w:p>
    <w:p w:rsidR="00DA18AE" w:rsidRPr="00DA18AE" w:rsidRDefault="002D23E5" w:rsidP="002D23E5">
      <w:pPr>
        <w:pStyle w:val="H1G"/>
        <w:rPr>
          <w:lang w:val="fr-FR"/>
        </w:rPr>
      </w:pPr>
      <w:r>
        <w:rPr>
          <w:lang w:val="fr-FR"/>
        </w:rPr>
        <w:tab/>
        <w:t>B.</w:t>
      </w:r>
      <w:r>
        <w:rPr>
          <w:lang w:val="fr-FR"/>
        </w:rPr>
        <w:tab/>
      </w:r>
      <w:r w:rsidR="00DA18AE" w:rsidRPr="00DA18AE">
        <w:rPr>
          <w:lang w:val="fr-FR"/>
        </w:rPr>
        <w:t>Les enfants dans l</w:t>
      </w:r>
      <w:r w:rsidR="00277023">
        <w:rPr>
          <w:lang w:val="fr-FR"/>
        </w:rPr>
        <w:t>’</w:t>
      </w:r>
      <w:r w:rsidR="00DA18AE" w:rsidRPr="00DA18AE">
        <w:rPr>
          <w:lang w:val="fr-FR"/>
        </w:rPr>
        <w:t>administration de la justice pour mineurs</w:t>
      </w:r>
    </w:p>
    <w:p w:rsidR="00DA18AE" w:rsidRPr="00DA18AE" w:rsidRDefault="002D23E5" w:rsidP="002D23E5">
      <w:pPr>
        <w:pStyle w:val="H23G"/>
        <w:rPr>
          <w:lang w:val="fr-FR"/>
        </w:rPr>
      </w:pPr>
      <w:r>
        <w:rPr>
          <w:lang w:val="fr-FR"/>
        </w:rPr>
        <w:tab/>
        <w:t>a)</w:t>
      </w:r>
      <w:r>
        <w:rPr>
          <w:lang w:val="fr-FR"/>
        </w:rPr>
        <w:tab/>
      </w:r>
      <w:r w:rsidR="00DA18AE" w:rsidRPr="00DA18AE">
        <w:rPr>
          <w:lang w:val="fr-FR"/>
        </w:rPr>
        <w:t>Administration de la justice pour mineurs</w:t>
      </w:r>
    </w:p>
    <w:p w:rsidR="00DA18AE" w:rsidRPr="00DA18AE" w:rsidRDefault="002D23E5" w:rsidP="00DA18AE">
      <w:pPr>
        <w:pStyle w:val="SingleTxtG"/>
        <w:rPr>
          <w:lang w:val="fr-FR"/>
        </w:rPr>
      </w:pPr>
      <w:r>
        <w:rPr>
          <w:lang w:val="fr-FR"/>
        </w:rPr>
        <w:t>(a-1)</w:t>
      </w:r>
      <w:r>
        <w:rPr>
          <w:lang w:val="fr-FR"/>
        </w:rPr>
        <w:tab/>
      </w:r>
      <w:r w:rsidR="00DA18AE" w:rsidRPr="00DA18AE">
        <w:rPr>
          <w:bCs/>
          <w:iCs/>
          <w:lang w:val="fr-FR"/>
        </w:rPr>
        <w:t>Mesures visant à reconnaître et à assurer les droits de l</w:t>
      </w:r>
      <w:r w:rsidR="00277023">
        <w:rPr>
          <w:bCs/>
          <w:iCs/>
          <w:lang w:val="fr-FR"/>
        </w:rPr>
        <w:t>’</w:t>
      </w:r>
      <w:r w:rsidR="00DA18AE" w:rsidRPr="00DA18AE">
        <w:rPr>
          <w:bCs/>
          <w:iCs/>
          <w:lang w:val="fr-FR"/>
        </w:rPr>
        <w:t>enfant dans l</w:t>
      </w:r>
      <w:r w:rsidR="00277023">
        <w:rPr>
          <w:bCs/>
          <w:iCs/>
          <w:lang w:val="fr-FR"/>
        </w:rPr>
        <w:t>’</w:t>
      </w:r>
      <w:r w:rsidR="00DA18AE" w:rsidRPr="00DA18AE">
        <w:rPr>
          <w:bCs/>
          <w:iCs/>
          <w:lang w:val="fr-FR"/>
        </w:rPr>
        <w:t>administration de la justice pour mineurs</w:t>
      </w:r>
      <w:r w:rsidR="00DA18AE" w:rsidRPr="00DA18AE">
        <w:rPr>
          <w:lang w:val="fr-FR"/>
        </w:rPr>
        <w:t xml:space="preserve"> </w:t>
      </w:r>
    </w:p>
    <w:p w:rsidR="00DA18AE" w:rsidRPr="00DA18AE" w:rsidRDefault="00DA18AE" w:rsidP="00DA18AE">
      <w:pPr>
        <w:pStyle w:val="SingleTxtG"/>
        <w:rPr>
          <w:lang w:val="fr-FR"/>
        </w:rPr>
      </w:pPr>
      <w:r w:rsidRPr="00DA18AE">
        <w:rPr>
          <w:lang w:val="fr-FR"/>
        </w:rPr>
        <w:t>(Normes relatives au travail de la police auprès des mineurs)</w:t>
      </w:r>
    </w:p>
    <w:p w:rsidR="00DA18AE" w:rsidRPr="00DA18AE" w:rsidRDefault="00DA18AE" w:rsidP="00DA18AE">
      <w:pPr>
        <w:pStyle w:val="SingleTxtG"/>
        <w:rPr>
          <w:lang w:val="fr-FR"/>
        </w:rPr>
      </w:pPr>
      <w:r w:rsidRPr="00DA18AE">
        <w:rPr>
          <w:lang w:val="fr-FR"/>
        </w:rPr>
        <w:t>455.</w:t>
      </w:r>
      <w:r w:rsidRPr="00DA18AE">
        <w:rPr>
          <w:lang w:val="fr-FR"/>
        </w:rPr>
        <w:tab/>
        <w:t xml:space="preserve">En ce qui concerne les services de police assurant le bon développement des mineurs par leurs actions de prévention de la délinquance juvénile et de protection (ci-après </w:t>
      </w:r>
      <w:r w:rsidR="008E49D4">
        <w:rPr>
          <w:lang w:val="fr-FR"/>
        </w:rPr>
        <w:t>“</w:t>
      </w:r>
      <w:r w:rsidRPr="00DA18AE">
        <w:rPr>
          <w:lang w:val="fr-FR"/>
        </w:rPr>
        <w:t>services de police relatifs aux mineurs</w:t>
      </w:r>
      <w:r w:rsidR="008E49D4">
        <w:rPr>
          <w:lang w:val="fr-FR"/>
        </w:rPr>
        <w:t>”</w:t>
      </w:r>
      <w:r w:rsidRPr="00DA18AE">
        <w:rPr>
          <w:lang w:val="fr-FR"/>
        </w:rPr>
        <w:t>), les règles d</w:t>
      </w:r>
      <w:r w:rsidR="00277023">
        <w:rPr>
          <w:lang w:val="fr-FR"/>
        </w:rPr>
        <w:t>’</w:t>
      </w:r>
      <w:r w:rsidRPr="00DA18AE">
        <w:rPr>
          <w:lang w:val="fr-FR"/>
        </w:rPr>
        <w:t xml:space="preserve">engagement qui constituent le Règlement de </w:t>
      </w:r>
      <w:smartTag w:uri="urn:schemas-microsoft-com:office:smarttags" w:element="PersonName">
        <w:smartTagPr>
          <w:attr w:name="ProductID" w:val="la Commission"/>
        </w:smartTagPr>
        <w:r w:rsidRPr="00DA18AE">
          <w:rPr>
            <w:lang w:val="fr-FR"/>
          </w:rPr>
          <w:t>la Commission</w:t>
        </w:r>
      </w:smartTag>
      <w:r w:rsidRPr="00DA18AE">
        <w:rPr>
          <w:lang w:val="fr-FR"/>
        </w:rPr>
        <w:t xml:space="preserve"> nationale de la sécurité publique ont été publiées et sont en entrées en application en janvier 2003. Dans ce document sont énoncées les cinq règles suivantes qui servent de principes applicables aux services de police relatifs aux mineurs</w:t>
      </w:r>
      <w:r w:rsidR="00277023">
        <w:rPr>
          <w:lang w:val="fr-FR"/>
        </w:rPr>
        <w:t>:</w:t>
      </w:r>
      <w:r w:rsidRPr="00DA18AE">
        <w:rPr>
          <w:lang w:val="fr-FR"/>
        </w:rPr>
        <w:t xml:space="preserve"> i) traiter les jeunes d</w:t>
      </w:r>
      <w:r w:rsidR="00277023">
        <w:rPr>
          <w:lang w:val="fr-FR"/>
        </w:rPr>
        <w:t>’</w:t>
      </w:r>
      <w:r w:rsidRPr="00DA18AE">
        <w:rPr>
          <w:lang w:val="fr-FR"/>
        </w:rPr>
        <w:t>une façon qui assure leur bon développement et contribue au renforcement du respect du jeune pour les normes sociales et à sa réadaptation, ii) traiter le jeune en s</w:t>
      </w:r>
      <w:r w:rsidR="00277023">
        <w:rPr>
          <w:lang w:val="fr-FR"/>
        </w:rPr>
        <w:t>’</w:t>
      </w:r>
      <w:r w:rsidRPr="00DA18AE">
        <w:rPr>
          <w:lang w:val="fr-FR"/>
        </w:rPr>
        <w:t>attachant à bien comprendre sa mentalité, sa physiologie et d</w:t>
      </w:r>
      <w:r w:rsidR="00277023">
        <w:rPr>
          <w:lang w:val="fr-FR"/>
        </w:rPr>
        <w:t>’</w:t>
      </w:r>
      <w:r w:rsidRPr="00DA18AE">
        <w:rPr>
          <w:lang w:val="fr-FR"/>
        </w:rPr>
        <w:t>autres caractéristiques, iii) se faire une idée précise du comportement et de l</w:t>
      </w:r>
      <w:r w:rsidR="00277023">
        <w:rPr>
          <w:lang w:val="fr-FR"/>
        </w:rPr>
        <w:t>’</w:t>
      </w:r>
      <w:r w:rsidRPr="00DA18AE">
        <w:rPr>
          <w:lang w:val="fr-FR"/>
        </w:rPr>
        <w:t>environnement du jeune, s</w:t>
      </w:r>
      <w:r w:rsidR="00277023">
        <w:rPr>
          <w:lang w:val="fr-FR"/>
        </w:rPr>
        <w:t>’</w:t>
      </w:r>
      <w:r w:rsidRPr="00DA18AE">
        <w:rPr>
          <w:lang w:val="fr-FR"/>
        </w:rPr>
        <w:t>employer à découvrir les causes de la délinquance et la situation des victimes du crime et prendre les dispositions les plus adaptées pour</w:t>
      </w:r>
      <w:r w:rsidR="00EA1115">
        <w:rPr>
          <w:lang w:val="fr-FR"/>
        </w:rPr>
        <w:t xml:space="preserve"> </w:t>
      </w:r>
      <w:r w:rsidRPr="00DA18AE">
        <w:rPr>
          <w:lang w:val="fr-FR"/>
        </w:rPr>
        <w:t>prévenir la délinquance et protéger les jeunes, iv) veiller à ce que l</w:t>
      </w:r>
      <w:r w:rsidR="00277023">
        <w:rPr>
          <w:lang w:val="fr-FR"/>
        </w:rPr>
        <w:t>’</w:t>
      </w:r>
      <w:r w:rsidRPr="00DA18AE">
        <w:rPr>
          <w:lang w:val="fr-FR"/>
        </w:rPr>
        <w:t>affaire demeure confidentielle et prendre des mesures préventives de manière à ce que le jeune ou d</w:t>
      </w:r>
      <w:r w:rsidR="00277023">
        <w:rPr>
          <w:lang w:val="fr-FR"/>
        </w:rPr>
        <w:t>’</w:t>
      </w:r>
      <w:r w:rsidRPr="00DA18AE">
        <w:rPr>
          <w:lang w:val="fr-FR"/>
        </w:rPr>
        <w:t>autres parties prenantes ne s</w:t>
      </w:r>
      <w:r w:rsidR="00277023">
        <w:rPr>
          <w:lang w:val="fr-FR"/>
        </w:rPr>
        <w:t>’</w:t>
      </w:r>
      <w:r w:rsidRPr="00DA18AE">
        <w:rPr>
          <w:lang w:val="fr-FR"/>
        </w:rPr>
        <w:t>inquiètent pas de voir l</w:t>
      </w:r>
      <w:r w:rsidR="00277023">
        <w:rPr>
          <w:lang w:val="fr-FR"/>
        </w:rPr>
        <w:t>’</w:t>
      </w:r>
      <w:r w:rsidRPr="00DA18AE">
        <w:rPr>
          <w:lang w:val="fr-FR"/>
        </w:rPr>
        <w:t>information divulguée et v) tenir compte de l</w:t>
      </w:r>
      <w:r w:rsidR="00277023">
        <w:rPr>
          <w:lang w:val="fr-FR"/>
        </w:rPr>
        <w:t>’</w:t>
      </w:r>
      <w:r w:rsidRPr="00DA18AE">
        <w:rPr>
          <w:lang w:val="fr-FR"/>
        </w:rPr>
        <w:t>évolution internationale en matière de prévention de la délinquance juvénile et de protection de la jeunesse. Les organismes chargés de l</w:t>
      </w:r>
      <w:r w:rsidR="00277023">
        <w:rPr>
          <w:lang w:val="fr-FR"/>
        </w:rPr>
        <w:t>’</w:t>
      </w:r>
      <w:r w:rsidRPr="00DA18AE">
        <w:rPr>
          <w:lang w:val="fr-FR"/>
        </w:rPr>
        <w:t>application de la loi appuient les services de police relatifs aux mineurs en application de ces règles.</w:t>
      </w:r>
    </w:p>
    <w:p w:rsidR="00DA18AE" w:rsidRPr="00DA18AE" w:rsidRDefault="00DA18AE" w:rsidP="00DA18AE">
      <w:pPr>
        <w:pStyle w:val="SingleTxtG"/>
        <w:rPr>
          <w:lang w:val="fr-FR"/>
        </w:rPr>
      </w:pPr>
      <w:r w:rsidRPr="00DA18AE">
        <w:rPr>
          <w:lang w:val="fr-FR"/>
        </w:rPr>
        <w:t>456.</w:t>
      </w:r>
      <w:r w:rsidRPr="00DA18AE">
        <w:rPr>
          <w:lang w:val="fr-FR"/>
        </w:rPr>
        <w:tab/>
        <w:t xml:space="preserve">Voir paragraphe 394 du deuxième rapport du Japon. </w:t>
      </w:r>
    </w:p>
    <w:p w:rsidR="00DA18AE" w:rsidRPr="00DA18AE" w:rsidRDefault="00DA18AE" w:rsidP="00DA18AE">
      <w:pPr>
        <w:pStyle w:val="SingleTxtG"/>
        <w:rPr>
          <w:lang w:val="fr-FR"/>
        </w:rPr>
      </w:pPr>
      <w:r w:rsidRPr="00DA18AE">
        <w:rPr>
          <w:lang w:val="fr-FR"/>
        </w:rPr>
        <w:t>457.</w:t>
      </w:r>
      <w:r w:rsidRPr="00DA18AE">
        <w:rPr>
          <w:lang w:val="fr-FR"/>
        </w:rPr>
        <w:tab/>
        <w:t>Lorsqu</w:t>
      </w:r>
      <w:r w:rsidR="00277023">
        <w:rPr>
          <w:lang w:val="fr-FR"/>
        </w:rPr>
        <w:t>’</w:t>
      </w:r>
      <w:r w:rsidRPr="00DA18AE">
        <w:rPr>
          <w:lang w:val="fr-FR"/>
        </w:rPr>
        <w:t>un organisme chargé de l</w:t>
      </w:r>
      <w:r w:rsidR="00277023">
        <w:rPr>
          <w:lang w:val="fr-FR"/>
        </w:rPr>
        <w:t>’</w:t>
      </w:r>
      <w:r w:rsidRPr="00DA18AE">
        <w:rPr>
          <w:lang w:val="fr-FR"/>
        </w:rPr>
        <w:t>application de la loi mène une enquête selon le Code régissant les enquêtes criminelles, il tient compte du bon développement et de la personnalité du jeune, ayant cependant à l</w:t>
      </w:r>
      <w:r w:rsidR="00277023">
        <w:rPr>
          <w:lang w:val="fr-FR"/>
        </w:rPr>
        <w:t>’</w:t>
      </w:r>
      <w:r w:rsidRPr="00DA18AE">
        <w:rPr>
          <w:lang w:val="fr-FR"/>
        </w:rPr>
        <w:t>esprit que l</w:t>
      </w:r>
      <w:r w:rsidR="00277023">
        <w:rPr>
          <w:lang w:val="fr-FR"/>
        </w:rPr>
        <w:t>’</w:t>
      </w:r>
      <w:r w:rsidRPr="00DA18AE">
        <w:rPr>
          <w:lang w:val="fr-FR"/>
        </w:rPr>
        <w:t>enquête fait partie de la procédure engagée devant le tribunal des affaires familiales. Des efforts sont déployés pour éviter d</w:t>
      </w:r>
      <w:r w:rsidR="00277023">
        <w:rPr>
          <w:lang w:val="fr-FR"/>
        </w:rPr>
        <w:t>’</w:t>
      </w:r>
      <w:r w:rsidRPr="00DA18AE">
        <w:rPr>
          <w:lang w:val="fr-FR"/>
        </w:rPr>
        <w:t>attirer l</w:t>
      </w:r>
      <w:r w:rsidR="00277023">
        <w:rPr>
          <w:lang w:val="fr-FR"/>
        </w:rPr>
        <w:t>’</w:t>
      </w:r>
      <w:r w:rsidRPr="00DA18AE">
        <w:rPr>
          <w:lang w:val="fr-FR"/>
        </w:rPr>
        <w:t>attention d</w:t>
      </w:r>
      <w:r w:rsidR="00277023">
        <w:rPr>
          <w:lang w:val="fr-FR"/>
        </w:rPr>
        <w:t>’</w:t>
      </w:r>
      <w:r w:rsidRPr="00DA18AE">
        <w:rPr>
          <w:lang w:val="fr-FR"/>
        </w:rPr>
        <w:t>autrui, avoir un langage et un comportement adaptés, montrer de la compassion et de la compréhension, et veiller à ce que les sentiments du jeune ne soient pas heurtés. Le personnel doit s</w:t>
      </w:r>
      <w:r w:rsidR="00277023">
        <w:rPr>
          <w:lang w:val="fr-FR"/>
        </w:rPr>
        <w:t>’</w:t>
      </w:r>
      <w:r w:rsidRPr="00DA18AE">
        <w:rPr>
          <w:lang w:val="fr-FR"/>
        </w:rPr>
        <w:t>adresser au jeune dans un langage simple, adapté à son âge, son sexe et sa personnalité, se montrer à l</w:t>
      </w:r>
      <w:r w:rsidR="00277023">
        <w:rPr>
          <w:lang w:val="fr-FR"/>
        </w:rPr>
        <w:t>’</w:t>
      </w:r>
      <w:r w:rsidRPr="00DA18AE">
        <w:rPr>
          <w:lang w:val="fr-FR"/>
        </w:rPr>
        <w:t xml:space="preserve">écoute, ne pas contraindre pas le jeune malgré une possible attitude mensongère et hostile, tenter de comprendre les raisons de son comportement, encourager le jeune à réfléchir sur lui-même et chercher à contribuer à sa réadaptation. </w:t>
      </w:r>
    </w:p>
    <w:p w:rsidR="00DA18AE" w:rsidRPr="00DA18AE" w:rsidRDefault="00DA18AE" w:rsidP="00DA18AE">
      <w:pPr>
        <w:pStyle w:val="SingleTxtG"/>
        <w:rPr>
          <w:lang w:val="fr-FR"/>
        </w:rPr>
      </w:pPr>
      <w:r w:rsidRPr="00DA18AE">
        <w:rPr>
          <w:lang w:val="fr-FR"/>
        </w:rPr>
        <w:t>(Prise en compte de l</w:t>
      </w:r>
      <w:r w:rsidR="00277023">
        <w:rPr>
          <w:lang w:val="fr-FR"/>
        </w:rPr>
        <w:t>’</w:t>
      </w:r>
      <w:r w:rsidRPr="00DA18AE">
        <w:rPr>
          <w:lang w:val="fr-FR"/>
        </w:rPr>
        <w:t>âge de l</w:t>
      </w:r>
      <w:r w:rsidR="00277023">
        <w:rPr>
          <w:lang w:val="fr-FR"/>
        </w:rPr>
        <w:t>’</w:t>
      </w:r>
      <w:r w:rsidRPr="00DA18AE">
        <w:rPr>
          <w:lang w:val="fr-FR"/>
        </w:rPr>
        <w:t>enfant)</w:t>
      </w:r>
    </w:p>
    <w:p w:rsidR="00DA18AE" w:rsidRPr="00DA18AE" w:rsidRDefault="00DA18AE" w:rsidP="00DA18AE">
      <w:pPr>
        <w:pStyle w:val="SingleTxtG"/>
        <w:rPr>
          <w:lang w:val="fr-FR"/>
        </w:rPr>
      </w:pPr>
      <w:r w:rsidRPr="00DA18AE">
        <w:rPr>
          <w:lang w:val="fr-FR"/>
        </w:rPr>
        <w:t>458.</w:t>
      </w:r>
      <w:r w:rsidRPr="00DA18AE">
        <w:rPr>
          <w:lang w:val="fr-FR"/>
        </w:rPr>
        <w:tab/>
        <w:t xml:space="preserve">Voir paragraphes 395-403 du deuxième rapport du Japon. </w:t>
      </w:r>
    </w:p>
    <w:p w:rsidR="00DA18AE" w:rsidRPr="00DA18AE" w:rsidRDefault="00DA18AE" w:rsidP="00DA18AE">
      <w:pPr>
        <w:pStyle w:val="SingleTxtG"/>
        <w:rPr>
          <w:lang w:val="fr-FR"/>
        </w:rPr>
      </w:pPr>
      <w:r w:rsidRPr="00DA18AE">
        <w:rPr>
          <w:lang w:val="fr-FR"/>
        </w:rPr>
        <w:t>459.</w:t>
      </w:r>
      <w:r w:rsidRPr="00DA18AE">
        <w:rPr>
          <w:lang w:val="fr-FR"/>
        </w:rPr>
        <w:tab/>
        <w:t xml:space="preserve">Un dispositif a été intégré en 2000 à </w:t>
      </w:r>
      <w:smartTag w:uri="urn:schemas-microsoft-com:office:smarttags" w:element="PersonName">
        <w:smartTagPr>
          <w:attr w:name="ProductID" w:val="la Loi"/>
        </w:smartTagPr>
        <w:r w:rsidRPr="00DA18AE">
          <w:rPr>
            <w:lang w:val="fr-FR"/>
          </w:rPr>
          <w:t>la Loi</w:t>
        </w:r>
      </w:smartTag>
      <w:r w:rsidRPr="00DA18AE">
        <w:rPr>
          <w:lang w:val="fr-FR"/>
        </w:rPr>
        <w:t xml:space="preserve"> révisée sur les mineurs</w:t>
      </w:r>
      <w:r w:rsidR="00277023">
        <w:rPr>
          <w:lang w:val="fr-FR"/>
        </w:rPr>
        <w:t>;</w:t>
      </w:r>
      <w:r w:rsidRPr="00DA18AE">
        <w:rPr>
          <w:lang w:val="fr-FR"/>
        </w:rPr>
        <w:t xml:space="preserve"> il s</w:t>
      </w:r>
      <w:r w:rsidR="00277023">
        <w:rPr>
          <w:lang w:val="fr-FR"/>
        </w:rPr>
        <w:t>’</w:t>
      </w:r>
      <w:r w:rsidRPr="00DA18AE">
        <w:rPr>
          <w:lang w:val="fr-FR"/>
        </w:rPr>
        <w:t>agit du principe du renvoi devant le Procureur, selon lequel un mineur âgé de 16 ans ou plus au moment du crime encoure des poursuites pénales dans le cas très rare du décès de la victime à la suite de l</w:t>
      </w:r>
      <w:r w:rsidR="00277023">
        <w:rPr>
          <w:lang w:val="fr-FR"/>
        </w:rPr>
        <w:t>’</w:t>
      </w:r>
      <w:r w:rsidRPr="00DA18AE">
        <w:rPr>
          <w:lang w:val="fr-FR"/>
        </w:rPr>
        <w:t>acte criminel délibéré du jeune. Cet acte est totalement antisocial et immoral si l</w:t>
      </w:r>
      <w:r w:rsidR="00277023">
        <w:rPr>
          <w:lang w:val="fr-FR"/>
        </w:rPr>
        <w:t>’</w:t>
      </w:r>
      <w:r w:rsidRPr="00DA18AE">
        <w:rPr>
          <w:lang w:val="fr-FR"/>
        </w:rPr>
        <w:t>on considère qu</w:t>
      </w:r>
      <w:r w:rsidR="00277023">
        <w:rPr>
          <w:lang w:val="fr-FR"/>
        </w:rPr>
        <w:t>’</w:t>
      </w:r>
      <w:r w:rsidRPr="00DA18AE">
        <w:rPr>
          <w:lang w:val="fr-FR"/>
        </w:rPr>
        <w:t>une vie irremplaçable a été prise. C</w:t>
      </w:r>
      <w:r w:rsidR="00277023">
        <w:rPr>
          <w:lang w:val="fr-FR"/>
        </w:rPr>
        <w:t>’</w:t>
      </w:r>
      <w:r w:rsidRPr="00DA18AE">
        <w:rPr>
          <w:lang w:val="fr-FR"/>
        </w:rPr>
        <w:t xml:space="preserve">est pourquoi </w:t>
      </w:r>
      <w:smartTag w:uri="urn:schemas-microsoft-com:office:smarttags" w:element="PersonName">
        <w:smartTagPr>
          <w:attr w:name="ProductID" w:val="la Loi"/>
        </w:smartTagPr>
        <w:r w:rsidRPr="00DA18AE">
          <w:rPr>
            <w:lang w:val="fr-FR"/>
          </w:rPr>
          <w:t>la Loi</w:t>
        </w:r>
      </w:smartTag>
      <w:r w:rsidRPr="00DA18AE">
        <w:rPr>
          <w:lang w:val="fr-FR"/>
        </w:rPr>
        <w:t xml:space="preserve"> est jugée nécessaire pour développer chez le mineur le sens des normes et encourager son bon développement, ainsi qu</w:t>
      </w:r>
      <w:r w:rsidR="00277023">
        <w:rPr>
          <w:lang w:val="fr-FR"/>
        </w:rPr>
        <w:t>’</w:t>
      </w:r>
      <w:r w:rsidRPr="00DA18AE">
        <w:rPr>
          <w:lang w:val="fr-FR"/>
        </w:rPr>
        <w:t xml:space="preserve">il apparaît dans le texte des délibérations tenues à </w:t>
      </w:r>
      <w:smartTag w:uri="urn:schemas-microsoft-com:office:smarttags" w:element="PersonName">
        <w:smartTagPr>
          <w:attr w:name="ProductID" w:val=" ESC/P-R摵云耀*਼輰ҳ藨਼섰ଉ摰云谀( la Di￨te.摫云踀3la MDMA.摦云言4&#10;la MDMA. S摡云⸀谀6 la Police"/>
        </w:smartTagPr>
        <w:r w:rsidRPr="00DA18AE">
          <w:rPr>
            <w:lang w:val="fr-FR"/>
          </w:rPr>
          <w:t>la Diète</w:t>
        </w:r>
      </w:smartTag>
      <w:r w:rsidRPr="00DA18AE">
        <w:rPr>
          <w:lang w:val="fr-FR"/>
        </w:rPr>
        <w:t xml:space="preserve"> par les partisans de </w:t>
      </w:r>
      <w:smartTag w:uri="urn:schemas-microsoft-com:office:smarttags" w:element="PersonName">
        <w:smartTagPr>
          <w:attr w:name="ProductID" w:val="la Loi"/>
        </w:smartTagPr>
        <w:r w:rsidRPr="00DA18AE">
          <w:rPr>
            <w:lang w:val="fr-FR"/>
          </w:rPr>
          <w:t>la Loi</w:t>
        </w:r>
      </w:smartTag>
      <w:r w:rsidRPr="00DA18AE">
        <w:rPr>
          <w:lang w:val="fr-FR"/>
        </w:rPr>
        <w:t xml:space="preserve"> révisée (membres de </w:t>
      </w:r>
      <w:smartTag w:uri="urn:schemas-microsoft-com:office:smarttags" w:element="PersonName">
        <w:smartTagPr>
          <w:attr w:name="ProductID" w:val=" ESC/P-R摵云耀*਼輰ҳ藨਼섰ଉ摰云谀( la Di￨te.摫云踀3la MDMA.摦云言4&#10;la MDMA. S摡云⸀谀6 la Police"/>
        </w:smartTagPr>
        <w:r w:rsidRPr="00DA18AE">
          <w:rPr>
            <w:lang w:val="fr-FR"/>
          </w:rPr>
          <w:t>la Diète</w:t>
        </w:r>
      </w:smartTag>
      <w:r w:rsidRPr="00DA18AE">
        <w:rPr>
          <w:lang w:val="fr-FR"/>
        </w:rPr>
        <w:t>), qui précise sans ambiguïté le principe selon lequel les mineurs encourent aussi des poursuites pénales s</w:t>
      </w:r>
      <w:r w:rsidR="00277023">
        <w:rPr>
          <w:lang w:val="fr-FR"/>
        </w:rPr>
        <w:t>’</w:t>
      </w:r>
      <w:r w:rsidRPr="00DA18AE">
        <w:rPr>
          <w:lang w:val="fr-FR"/>
        </w:rPr>
        <w:t>ils se rendent coupables d</w:t>
      </w:r>
      <w:r w:rsidR="00277023">
        <w:rPr>
          <w:lang w:val="fr-FR"/>
        </w:rPr>
        <w:t>’</w:t>
      </w:r>
      <w:r w:rsidRPr="00DA18AE">
        <w:rPr>
          <w:lang w:val="fr-FR"/>
        </w:rPr>
        <w:t>un acte aussi grave. A la suite de l</w:t>
      </w:r>
      <w:r w:rsidR="00277023">
        <w:rPr>
          <w:lang w:val="fr-FR"/>
        </w:rPr>
        <w:t>’</w:t>
      </w:r>
      <w:r w:rsidRPr="00DA18AE">
        <w:rPr>
          <w:lang w:val="fr-FR"/>
        </w:rPr>
        <w:t>enquête, le tribunal des affaires familiales peut considérer différents facteurs et opter pour des mesures de protection. Ainsi, ce système de renvoi des mineurs devant le Procureur ne s</w:t>
      </w:r>
      <w:r w:rsidR="00277023">
        <w:rPr>
          <w:lang w:val="fr-FR"/>
        </w:rPr>
        <w:t>’</w:t>
      </w:r>
      <w:r w:rsidRPr="00DA18AE">
        <w:rPr>
          <w:lang w:val="fr-FR"/>
        </w:rPr>
        <w:t>oppose pas à l</w:t>
      </w:r>
      <w:r w:rsidR="00277023">
        <w:rPr>
          <w:lang w:val="fr-FR"/>
        </w:rPr>
        <w:t>’</w:t>
      </w:r>
      <w:r w:rsidRPr="00DA18AE">
        <w:rPr>
          <w:lang w:val="fr-FR"/>
        </w:rPr>
        <w:t>objet des normes en matière de justice pour mineurs.</w:t>
      </w:r>
    </w:p>
    <w:p w:rsidR="00DA18AE" w:rsidRPr="00DA18AE" w:rsidRDefault="00DA18AE" w:rsidP="00DA18AE">
      <w:pPr>
        <w:pStyle w:val="SingleTxtG"/>
        <w:rPr>
          <w:lang w:val="fr-FR"/>
        </w:rPr>
      </w:pPr>
      <w:r w:rsidRPr="00DA18AE">
        <w:rPr>
          <w:lang w:val="fr-FR"/>
        </w:rPr>
        <w:t>460.</w:t>
      </w:r>
      <w:r w:rsidRPr="00DA18AE">
        <w:rPr>
          <w:lang w:val="fr-FR"/>
        </w:rPr>
        <w:tab/>
        <w:t>Le 25 mai 2007, un projet d</w:t>
      </w:r>
      <w:r w:rsidR="00277023">
        <w:rPr>
          <w:lang w:val="fr-FR"/>
        </w:rPr>
        <w:t>’</w:t>
      </w:r>
      <w:r w:rsidRPr="00DA18AE">
        <w:rPr>
          <w:lang w:val="fr-FR"/>
        </w:rPr>
        <w:t xml:space="preserve">amendement de </w:t>
      </w:r>
      <w:smartTag w:uri="urn:schemas-microsoft-com:office:smarttags" w:element="PersonName">
        <w:smartTagPr>
          <w:attr w:name="ProductID" w:val="la Loi"/>
        </w:smartTagPr>
        <w:r w:rsidRPr="00DA18AE">
          <w:rPr>
            <w:lang w:val="fr-FR"/>
          </w:rPr>
          <w:t>la Loi</w:t>
        </w:r>
      </w:smartTag>
      <w:r w:rsidRPr="00DA18AE">
        <w:rPr>
          <w:lang w:val="fr-FR"/>
        </w:rPr>
        <w:t xml:space="preserve"> relative aux mineurs a été voté par </w:t>
      </w:r>
      <w:smartTag w:uri="urn:schemas-microsoft-com:office:smarttags" w:element="PersonName">
        <w:smartTagPr>
          <w:attr w:name="ProductID" w:val="la Di￨te"/>
        </w:smartTagPr>
        <w:r w:rsidRPr="00DA18AE">
          <w:rPr>
            <w:lang w:val="fr-FR"/>
          </w:rPr>
          <w:t>la Diète</w:t>
        </w:r>
      </w:smartTag>
      <w:r w:rsidRPr="00DA18AE">
        <w:rPr>
          <w:lang w:val="fr-FR"/>
        </w:rPr>
        <w:t xml:space="preserve"> et a pris effet le 1</w:t>
      </w:r>
      <w:r w:rsidRPr="00DA18AE">
        <w:rPr>
          <w:vertAlign w:val="superscript"/>
          <w:lang w:val="fr-FR"/>
        </w:rPr>
        <w:t>er</w:t>
      </w:r>
      <w:r w:rsidRPr="00DA18AE">
        <w:rPr>
          <w:lang w:val="fr-FR"/>
        </w:rPr>
        <w:t xml:space="preserve"> novembre de la même année. Aux termes des lois précédentes, un assistant était commis d</w:t>
      </w:r>
      <w:r w:rsidR="00277023">
        <w:rPr>
          <w:lang w:val="fr-FR"/>
        </w:rPr>
        <w:t>’</w:t>
      </w:r>
      <w:r w:rsidRPr="00DA18AE">
        <w:rPr>
          <w:lang w:val="fr-FR"/>
        </w:rPr>
        <w:t xml:space="preserve">office uniquement en cas de saisine du Procureur. Aux termes de </w:t>
      </w:r>
      <w:smartTag w:uri="urn:schemas-microsoft-com:office:smarttags" w:element="PersonName">
        <w:smartTagPr>
          <w:attr w:name="ProductID" w:val="la Loi"/>
        </w:smartTagPr>
        <w:r w:rsidRPr="00DA18AE">
          <w:rPr>
            <w:lang w:val="fr-FR"/>
          </w:rPr>
          <w:t>la Loi</w:t>
        </w:r>
      </w:smartTag>
      <w:r w:rsidRPr="00DA18AE">
        <w:rPr>
          <w:lang w:val="fr-FR"/>
        </w:rPr>
        <w:t xml:space="preserve"> modifiée, dans les cas de crimes graves permettant de saisir le Procureur, le tribunal des affaires familiales peut commettre d</w:t>
      </w:r>
      <w:r w:rsidR="00277023">
        <w:rPr>
          <w:lang w:val="fr-FR"/>
        </w:rPr>
        <w:t>’</w:t>
      </w:r>
      <w:r w:rsidRPr="00DA18AE">
        <w:rPr>
          <w:lang w:val="fr-FR"/>
        </w:rPr>
        <w:t>office un assistant qui sera l</w:t>
      </w:r>
      <w:r w:rsidR="00277023">
        <w:rPr>
          <w:lang w:val="fr-FR"/>
        </w:rPr>
        <w:t>’</w:t>
      </w:r>
      <w:r w:rsidRPr="00DA18AE">
        <w:rPr>
          <w:lang w:val="fr-FR"/>
        </w:rPr>
        <w:t>avocat du mineur si ce dernier n</w:t>
      </w:r>
      <w:r w:rsidR="00277023">
        <w:rPr>
          <w:lang w:val="fr-FR"/>
        </w:rPr>
        <w:t>’</w:t>
      </w:r>
      <w:r w:rsidRPr="00DA18AE">
        <w:rPr>
          <w:lang w:val="fr-FR"/>
        </w:rPr>
        <w:t>en a pas encore un, même si le Procureur n</w:t>
      </w:r>
      <w:r w:rsidR="00277023">
        <w:rPr>
          <w:lang w:val="fr-FR"/>
        </w:rPr>
        <w:t>’</w:t>
      </w:r>
      <w:r w:rsidRPr="00DA18AE">
        <w:rPr>
          <w:lang w:val="fr-FR"/>
        </w:rPr>
        <w:t>est pas saisi et qu</w:t>
      </w:r>
      <w:r w:rsidR="00277023">
        <w:rPr>
          <w:lang w:val="fr-FR"/>
        </w:rPr>
        <w:t>’</w:t>
      </w:r>
      <w:r w:rsidRPr="00DA18AE">
        <w:rPr>
          <w:lang w:val="fr-FR"/>
        </w:rPr>
        <w:t>une mesure de placement sous protection dans un foyer de classification a été décidée. (Concernant l</w:t>
      </w:r>
      <w:r w:rsidR="00277023">
        <w:rPr>
          <w:lang w:val="fr-FR"/>
        </w:rPr>
        <w:t>’</w:t>
      </w:r>
      <w:r w:rsidRPr="00DA18AE">
        <w:rPr>
          <w:lang w:val="fr-FR"/>
        </w:rPr>
        <w:t>enquête, le Code de procédure pénale a été modifié le 21 mai 2004, instaurant un système de commission d</w:t>
      </w:r>
      <w:r w:rsidR="00277023">
        <w:rPr>
          <w:lang w:val="fr-FR"/>
        </w:rPr>
        <w:t>’</w:t>
      </w:r>
      <w:r w:rsidRPr="00DA18AE">
        <w:rPr>
          <w:lang w:val="fr-FR"/>
        </w:rPr>
        <w:t>avocat lorsque le suspect en détention provisoire est sous le coup de chefs d</w:t>
      </w:r>
      <w:r w:rsidR="00277023">
        <w:rPr>
          <w:lang w:val="fr-FR"/>
        </w:rPr>
        <w:t>’</w:t>
      </w:r>
      <w:r w:rsidRPr="00DA18AE">
        <w:rPr>
          <w:lang w:val="fr-FR"/>
        </w:rPr>
        <w:t>inculpation graves, avant l</w:t>
      </w:r>
      <w:r w:rsidR="00277023">
        <w:rPr>
          <w:lang w:val="fr-FR"/>
        </w:rPr>
        <w:t>’</w:t>
      </w:r>
      <w:r w:rsidRPr="00DA18AE">
        <w:rPr>
          <w:lang w:val="fr-FR"/>
        </w:rPr>
        <w:t>ouverture des poursuites, ce système s</w:t>
      </w:r>
      <w:r w:rsidR="00277023">
        <w:rPr>
          <w:lang w:val="fr-FR"/>
        </w:rPr>
        <w:t>’</w:t>
      </w:r>
      <w:r w:rsidRPr="00DA18AE">
        <w:rPr>
          <w:lang w:val="fr-FR"/>
        </w:rPr>
        <w:t>appliquant également aux mineurs).</w:t>
      </w:r>
    </w:p>
    <w:p w:rsidR="00DA18AE" w:rsidRPr="00DA18AE" w:rsidRDefault="00DA18AE" w:rsidP="00DA18AE">
      <w:pPr>
        <w:pStyle w:val="SingleTxtG"/>
        <w:rPr>
          <w:lang w:val="fr-FR"/>
        </w:rPr>
      </w:pPr>
      <w:r w:rsidRPr="00DA18AE">
        <w:rPr>
          <w:lang w:val="fr-FR"/>
        </w:rPr>
        <w:t>(Promouvoir la réinsertion du mineur et lui permettre d</w:t>
      </w:r>
      <w:r w:rsidR="00277023">
        <w:rPr>
          <w:lang w:val="fr-FR"/>
        </w:rPr>
        <w:t>’</w:t>
      </w:r>
      <w:r w:rsidRPr="00DA18AE">
        <w:rPr>
          <w:lang w:val="fr-FR"/>
        </w:rPr>
        <w:t xml:space="preserve">occuper un rôle constructif dans la société) </w:t>
      </w:r>
    </w:p>
    <w:p w:rsidR="00DA18AE" w:rsidRPr="00DA18AE" w:rsidRDefault="002D23E5" w:rsidP="002D23E5">
      <w:pPr>
        <w:pStyle w:val="H4G"/>
        <w:rPr>
          <w:lang w:val="fr-FR"/>
        </w:rPr>
      </w:pPr>
      <w:r>
        <w:rPr>
          <w:lang w:val="fr-FR"/>
        </w:rPr>
        <w:tab/>
        <w:t>1)</w:t>
      </w:r>
      <w:r>
        <w:rPr>
          <w:lang w:val="fr-FR"/>
        </w:rPr>
        <w:tab/>
      </w:r>
      <w:r w:rsidR="00DA18AE" w:rsidRPr="00DA18AE">
        <w:rPr>
          <w:lang w:val="fr-FR"/>
        </w:rPr>
        <w:t>Établissements pénitentiaires</w:t>
      </w:r>
    </w:p>
    <w:p w:rsidR="00DA18AE" w:rsidRPr="00DA18AE" w:rsidRDefault="00DA18AE" w:rsidP="00DA18AE">
      <w:pPr>
        <w:pStyle w:val="SingleTxtG"/>
        <w:rPr>
          <w:lang w:val="fr-FR"/>
        </w:rPr>
      </w:pPr>
      <w:r w:rsidRPr="00DA18AE">
        <w:rPr>
          <w:lang w:val="fr-FR"/>
        </w:rPr>
        <w:t>461.</w:t>
      </w:r>
      <w:r w:rsidRPr="00DA18AE">
        <w:rPr>
          <w:lang w:val="fr-FR"/>
        </w:rPr>
        <w:tab/>
        <w:t>Ainsi qu</w:t>
      </w:r>
      <w:r w:rsidR="00277023">
        <w:rPr>
          <w:lang w:val="fr-FR"/>
        </w:rPr>
        <w:t>’</w:t>
      </w:r>
      <w:r w:rsidRPr="00DA18AE">
        <w:rPr>
          <w:lang w:val="fr-FR"/>
        </w:rPr>
        <w:t>on peut le lire au paragraphe 404 du deuxième rapport du Japon, les établissements pénitentiaires s</w:t>
      </w:r>
      <w:r w:rsidR="00277023">
        <w:rPr>
          <w:lang w:val="fr-FR"/>
        </w:rPr>
        <w:t>’</w:t>
      </w:r>
      <w:r w:rsidRPr="00DA18AE">
        <w:rPr>
          <w:lang w:val="fr-FR"/>
        </w:rPr>
        <w:t>attachent pleinement, compte tenu de leur participation à la saine éducation des mineurs, à promouvoir la sensibilité des mineurs à la dignité et à la valeur de l</w:t>
      </w:r>
      <w:r w:rsidR="00277023">
        <w:rPr>
          <w:lang w:val="fr-FR"/>
        </w:rPr>
        <w:t>’</w:t>
      </w:r>
      <w:r w:rsidRPr="00DA18AE">
        <w:rPr>
          <w:lang w:val="fr-FR"/>
        </w:rPr>
        <w:t>être humain, et à renforcer leur respect des droits de l</w:t>
      </w:r>
      <w:r w:rsidR="00277023">
        <w:rPr>
          <w:lang w:val="fr-FR"/>
        </w:rPr>
        <w:t>’</w:t>
      </w:r>
      <w:r w:rsidRPr="00DA18AE">
        <w:rPr>
          <w:lang w:val="fr-FR"/>
        </w:rPr>
        <w:t>homme et des libertés fondamentales d</w:t>
      </w:r>
      <w:r w:rsidR="00277023">
        <w:rPr>
          <w:lang w:val="fr-FR"/>
        </w:rPr>
        <w:t>’</w:t>
      </w:r>
      <w:r w:rsidRPr="00DA18AE">
        <w:rPr>
          <w:lang w:val="fr-FR"/>
        </w:rPr>
        <w:t>autrui</w:t>
      </w:r>
      <w:r w:rsidR="00277023">
        <w:rPr>
          <w:lang w:val="fr-FR"/>
        </w:rPr>
        <w:t>;</w:t>
      </w:r>
      <w:r w:rsidRPr="00DA18AE">
        <w:rPr>
          <w:lang w:val="fr-FR"/>
        </w:rPr>
        <w:t xml:space="preserve"> ils traitent les mineurs avec équité et comme il convient, en fonction de leur âge, et d</w:t>
      </w:r>
      <w:r w:rsidR="00277023">
        <w:rPr>
          <w:lang w:val="fr-FR"/>
        </w:rPr>
        <w:t>’</w:t>
      </w:r>
      <w:r w:rsidRPr="00DA18AE">
        <w:rPr>
          <w:lang w:val="fr-FR"/>
        </w:rPr>
        <w:t>une façon qui les encourage à se réinsérer dans la société et à y occuper un rôle constructif.</w:t>
      </w:r>
    </w:p>
    <w:p w:rsidR="00DA18AE" w:rsidRPr="00DA18AE" w:rsidRDefault="00DA18AE" w:rsidP="00DA18AE">
      <w:pPr>
        <w:pStyle w:val="SingleTxtG"/>
        <w:rPr>
          <w:lang w:val="fr-FR"/>
        </w:rPr>
      </w:pPr>
      <w:r w:rsidRPr="00DA18AE">
        <w:rPr>
          <w:lang w:val="fr-FR"/>
        </w:rPr>
        <w:t>462.</w:t>
      </w:r>
      <w:r w:rsidRPr="00DA18AE">
        <w:rPr>
          <w:lang w:val="fr-FR"/>
        </w:rPr>
        <w:tab/>
        <w:t>Pour aider un mineur à se réinsérer dans la société et à y occuper un rôle constructif, la formation professionnelle a été améliorée et étendue dans les prisons pour mineurs afin d</w:t>
      </w:r>
      <w:r w:rsidR="00277023">
        <w:rPr>
          <w:lang w:val="fr-FR"/>
        </w:rPr>
        <w:t>’</w:t>
      </w:r>
      <w:r w:rsidRPr="00DA18AE">
        <w:rPr>
          <w:lang w:val="fr-FR"/>
        </w:rPr>
        <w:t>intégrer de nouvelles filières telles que la conduite de chariots élévateurs. La formation et l</w:t>
      </w:r>
      <w:r w:rsidR="00277023">
        <w:rPr>
          <w:lang w:val="fr-FR"/>
        </w:rPr>
        <w:t>’</w:t>
      </w:r>
      <w:r w:rsidRPr="00DA18AE">
        <w:rPr>
          <w:lang w:val="fr-FR"/>
        </w:rPr>
        <w:t>orientation professionnelles tiennent une place importante dans les centres de formation pour mineurs. En 2004, 2.092 des 5.626 mineurs libérés avaient acquis des qualifications et des brevets dans différents domaines enseignés dans les établissements. La même année, 350 mineurs ont achevé leur scolarité et obtenu le certificat d</w:t>
      </w:r>
      <w:r w:rsidR="00277023">
        <w:rPr>
          <w:lang w:val="fr-FR"/>
        </w:rPr>
        <w:t>’</w:t>
      </w:r>
      <w:r w:rsidRPr="00DA18AE">
        <w:rPr>
          <w:lang w:val="fr-FR"/>
        </w:rPr>
        <w:t>enseignement secondaire de premier cycle.</w:t>
      </w:r>
    </w:p>
    <w:p w:rsidR="00DA18AE" w:rsidRPr="00DA18AE" w:rsidRDefault="00DA18AE" w:rsidP="00DA18AE">
      <w:pPr>
        <w:pStyle w:val="SingleTxtG"/>
        <w:rPr>
          <w:lang w:val="fr-FR"/>
        </w:rPr>
      </w:pPr>
      <w:r w:rsidRPr="00DA18AE">
        <w:rPr>
          <w:lang w:val="fr-FR"/>
        </w:rPr>
        <w:t>463.</w:t>
      </w:r>
      <w:r w:rsidRPr="00DA18AE">
        <w:rPr>
          <w:lang w:val="fr-FR"/>
        </w:rPr>
        <w:tab/>
        <w:t xml:space="preserve">La révision de </w:t>
      </w:r>
      <w:smartTag w:uri="urn:schemas-microsoft-com:office:smarttags" w:element="PersonName">
        <w:smartTagPr>
          <w:attr w:name="ProductID" w:val="la Loi"/>
        </w:smartTagPr>
        <w:r w:rsidRPr="00DA18AE">
          <w:rPr>
            <w:lang w:val="fr-FR"/>
          </w:rPr>
          <w:t>la Loi</w:t>
        </w:r>
      </w:smartTag>
      <w:r w:rsidRPr="00DA18AE">
        <w:rPr>
          <w:lang w:val="fr-FR"/>
        </w:rPr>
        <w:t xml:space="preserve"> relative aux mineurs a abaissé l</w:t>
      </w:r>
      <w:r w:rsidR="00277023">
        <w:rPr>
          <w:lang w:val="fr-FR"/>
        </w:rPr>
        <w:t>’</w:t>
      </w:r>
      <w:r w:rsidRPr="00DA18AE">
        <w:rPr>
          <w:lang w:val="fr-FR"/>
        </w:rPr>
        <w:t>âge auquel une personne est passible de sanctions pénales à 14 ans et, dès lors, les mineurs âgés de 14 ans et plus peuvent être punis pour des délits commis ou se voir appliquer des mesures de protection. Les mineurs de moins de 16 ans qui sont condamnés à une peine d</w:t>
      </w:r>
      <w:r w:rsidR="00277023">
        <w:rPr>
          <w:lang w:val="fr-FR"/>
        </w:rPr>
        <w:t>’</w:t>
      </w:r>
      <w:r w:rsidRPr="00DA18AE">
        <w:rPr>
          <w:lang w:val="fr-FR"/>
        </w:rPr>
        <w:t>emprisonnement avec ou sans travaux forcés, peuvent être placés en éducation surveillée dans un centre de formation pour mineurs jusqu</w:t>
      </w:r>
      <w:r w:rsidR="00277023">
        <w:rPr>
          <w:lang w:val="fr-FR"/>
        </w:rPr>
        <w:t>’</w:t>
      </w:r>
      <w:r w:rsidRPr="00DA18AE">
        <w:rPr>
          <w:lang w:val="fr-FR"/>
        </w:rPr>
        <w:t>à leurs 16 ans (paragraphe 3 de l</w:t>
      </w:r>
      <w:r w:rsidR="00277023">
        <w:rPr>
          <w:lang w:val="fr-FR"/>
        </w:rPr>
        <w:t>’</w:t>
      </w:r>
      <w:r w:rsidRPr="00DA18AE">
        <w:rPr>
          <w:lang w:val="fr-FR"/>
        </w:rPr>
        <w:t xml:space="preserve">article 56 de </w:t>
      </w:r>
      <w:smartTag w:uri="urn:schemas-microsoft-com:office:smarttags" w:element="PersonName">
        <w:smartTagPr>
          <w:attr w:name="ProductID" w:val="la Loi"/>
        </w:smartTagPr>
        <w:r w:rsidRPr="00DA18AE">
          <w:rPr>
            <w:lang w:val="fr-FR"/>
          </w:rPr>
          <w:t>la Loi</w:t>
        </w:r>
      </w:smartTag>
      <w:r w:rsidRPr="00DA18AE">
        <w:rPr>
          <w:lang w:val="fr-FR"/>
        </w:rPr>
        <w:t xml:space="preserve"> relative aux mineurs). Un mineur placé dans un tel centre pour y purger sa peine doit suivre l</w:t>
      </w:r>
      <w:r w:rsidR="00277023">
        <w:rPr>
          <w:lang w:val="fr-FR"/>
        </w:rPr>
        <w:t>’</w:t>
      </w:r>
      <w:r w:rsidRPr="00DA18AE">
        <w:rPr>
          <w:lang w:val="fr-FR"/>
        </w:rPr>
        <w:t>enseignement obligatoire, s</w:t>
      </w:r>
      <w:r w:rsidR="00277023">
        <w:rPr>
          <w:lang w:val="fr-FR"/>
        </w:rPr>
        <w:t>’</w:t>
      </w:r>
      <w:r w:rsidRPr="00DA18AE">
        <w:rPr>
          <w:lang w:val="fr-FR"/>
        </w:rPr>
        <w:t>il ne l</w:t>
      </w:r>
      <w:r w:rsidR="00277023">
        <w:rPr>
          <w:lang w:val="fr-FR"/>
        </w:rPr>
        <w:t>’</w:t>
      </w:r>
      <w:r w:rsidRPr="00DA18AE">
        <w:rPr>
          <w:lang w:val="fr-FR"/>
        </w:rPr>
        <w:t>a pas achevé, et suivre un traitement médical sous la surveillance d</w:t>
      </w:r>
      <w:r w:rsidR="00277023">
        <w:rPr>
          <w:lang w:val="fr-FR"/>
        </w:rPr>
        <w:t>’</w:t>
      </w:r>
      <w:r w:rsidRPr="00DA18AE">
        <w:rPr>
          <w:lang w:val="fr-FR"/>
        </w:rPr>
        <w:t>un médecin si besoin est, dans l</w:t>
      </w:r>
      <w:r w:rsidR="00277023">
        <w:rPr>
          <w:lang w:val="fr-FR"/>
        </w:rPr>
        <w:t>’</w:t>
      </w:r>
      <w:r w:rsidRPr="00DA18AE">
        <w:rPr>
          <w:lang w:val="fr-FR"/>
        </w:rPr>
        <w:t xml:space="preserve">optique des objectifs de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relative aux droits de l</w:t>
      </w:r>
      <w:r w:rsidR="00277023">
        <w:rPr>
          <w:lang w:val="fr-FR"/>
        </w:rPr>
        <w:t>’</w:t>
      </w:r>
      <w:r w:rsidRPr="00DA18AE">
        <w:rPr>
          <w:lang w:val="fr-FR"/>
        </w:rPr>
        <w:t>enfant. De plus, lui donner des conseils en matière de vie quotidienne est nécessaire, en s</w:t>
      </w:r>
      <w:r w:rsidR="00277023">
        <w:rPr>
          <w:lang w:val="fr-FR"/>
        </w:rPr>
        <w:t>’</w:t>
      </w:r>
      <w:r w:rsidRPr="00DA18AE">
        <w:rPr>
          <w:lang w:val="fr-FR"/>
        </w:rPr>
        <w:t>attachant à aider le mineur à reconnaître la gravité des actes qu</w:t>
      </w:r>
      <w:r w:rsidR="00277023">
        <w:rPr>
          <w:lang w:val="fr-FR"/>
        </w:rPr>
        <w:t>’</w:t>
      </w:r>
      <w:r w:rsidRPr="00DA18AE">
        <w:rPr>
          <w:lang w:val="fr-FR"/>
        </w:rPr>
        <w:t>il a commis, à faire naître en lui un sentiment de culpabilité et à encourager les qualités humaines du mineur en l</w:t>
      </w:r>
      <w:r w:rsidR="00277023">
        <w:rPr>
          <w:lang w:val="fr-FR"/>
        </w:rPr>
        <w:t>’</w:t>
      </w:r>
      <w:r w:rsidRPr="00DA18AE">
        <w:rPr>
          <w:lang w:val="fr-FR"/>
        </w:rPr>
        <w:t>amenant à reconnaître la valeur de la vie humaine et à développer un esprit bienveillant et sérieux.</w:t>
      </w:r>
    </w:p>
    <w:p w:rsidR="00DA18AE" w:rsidRPr="00DA18AE" w:rsidRDefault="00DA18AE" w:rsidP="00DA18AE">
      <w:pPr>
        <w:pStyle w:val="SingleTxtG"/>
        <w:rPr>
          <w:lang w:val="fr-FR"/>
        </w:rPr>
      </w:pPr>
      <w:r w:rsidRPr="00DA18AE">
        <w:rPr>
          <w:lang w:val="fr-FR"/>
        </w:rPr>
        <w:t>464.</w:t>
      </w:r>
      <w:r w:rsidRPr="00DA18AE">
        <w:rPr>
          <w:lang w:val="fr-FR"/>
        </w:rPr>
        <w:tab/>
        <w:t>Les mineurs placés dans des prisons pour mineurs sont très malléables en raison de leur degré de développement mental et physique. Ils sont souvent aptes à se corriger si l</w:t>
      </w:r>
      <w:r w:rsidR="00277023">
        <w:rPr>
          <w:lang w:val="fr-FR"/>
        </w:rPr>
        <w:t>’</w:t>
      </w:r>
      <w:r w:rsidRPr="00DA18AE">
        <w:rPr>
          <w:lang w:val="fr-FR"/>
        </w:rPr>
        <w:t>approche est adaptée. Ainsi, de nouvelles mesures ont été adoptées afin de fixer plusieurs objectifs et traiter les mineurs d</w:t>
      </w:r>
      <w:r w:rsidR="00277023">
        <w:rPr>
          <w:lang w:val="fr-FR"/>
        </w:rPr>
        <w:t>’</w:t>
      </w:r>
      <w:r w:rsidRPr="00DA18AE">
        <w:rPr>
          <w:lang w:val="fr-FR"/>
        </w:rPr>
        <w:t>une manière bien étudiée, en particulier encourager le respect du mineur envers la dignité et la valeur de l</w:t>
      </w:r>
      <w:r w:rsidR="00277023">
        <w:rPr>
          <w:lang w:val="fr-FR"/>
        </w:rPr>
        <w:t>’</w:t>
      </w:r>
      <w:r w:rsidRPr="00DA18AE">
        <w:rPr>
          <w:lang w:val="fr-FR"/>
        </w:rPr>
        <w:t>être humain et les droits de l</w:t>
      </w:r>
      <w:r w:rsidR="00277023">
        <w:rPr>
          <w:lang w:val="fr-FR"/>
        </w:rPr>
        <w:t>’</w:t>
      </w:r>
      <w:r w:rsidRPr="00DA18AE">
        <w:rPr>
          <w:lang w:val="fr-FR"/>
        </w:rPr>
        <w:t>homme et les libertés fondamentales d</w:t>
      </w:r>
      <w:r w:rsidR="00277023">
        <w:rPr>
          <w:lang w:val="fr-FR"/>
        </w:rPr>
        <w:t>’</w:t>
      </w:r>
      <w:r w:rsidRPr="00DA18AE">
        <w:rPr>
          <w:lang w:val="fr-FR"/>
        </w:rPr>
        <w:t>autrui, par l</w:t>
      </w:r>
      <w:r w:rsidR="00277023">
        <w:rPr>
          <w:lang w:val="fr-FR"/>
        </w:rPr>
        <w:t>’</w:t>
      </w:r>
      <w:r w:rsidRPr="00DA18AE">
        <w:rPr>
          <w:lang w:val="fr-FR"/>
        </w:rPr>
        <w:t>analyse et la clarification des problèmes sous</w:t>
      </w:r>
      <w:r w:rsidR="002B5F2D">
        <w:rPr>
          <w:lang w:val="fr-FR"/>
        </w:rPr>
        <w:noBreakHyphen/>
      </w:r>
      <w:r w:rsidRPr="00DA18AE">
        <w:rPr>
          <w:lang w:val="fr-FR"/>
        </w:rPr>
        <w:t>jacents qui ont conduit à la perpétration du crime, et l</w:t>
      </w:r>
      <w:r w:rsidR="00277023">
        <w:rPr>
          <w:lang w:val="fr-FR"/>
        </w:rPr>
        <w:t>’</w:t>
      </w:r>
      <w:r w:rsidRPr="00DA18AE">
        <w:rPr>
          <w:lang w:val="fr-FR"/>
        </w:rPr>
        <w:t>élaboration d</w:t>
      </w:r>
      <w:r w:rsidR="00277023">
        <w:rPr>
          <w:lang w:val="fr-FR"/>
        </w:rPr>
        <w:t>’</w:t>
      </w:r>
      <w:r w:rsidRPr="00DA18AE">
        <w:rPr>
          <w:lang w:val="fr-FR"/>
        </w:rPr>
        <w:t>un programme de traitement personnalisé et adapté à la personnalité du mineur. Un tel programme comprend un accompagnement individuel, avec un entretien personnel, la rédaction d</w:t>
      </w:r>
      <w:r w:rsidR="00277023">
        <w:rPr>
          <w:lang w:val="fr-FR"/>
        </w:rPr>
        <w:t>’</w:t>
      </w:r>
      <w:r w:rsidRPr="00DA18AE">
        <w:rPr>
          <w:lang w:val="fr-FR"/>
        </w:rPr>
        <w:t>un journal personnel etc.</w:t>
      </w:r>
      <w:r w:rsidR="00277023">
        <w:rPr>
          <w:lang w:val="fr-FR"/>
        </w:rPr>
        <w:t>;</w:t>
      </w:r>
      <w:r w:rsidRPr="00DA18AE">
        <w:rPr>
          <w:lang w:val="fr-FR"/>
        </w:rPr>
        <w:t xml:space="preserve"> un accompagnement selon le type de traitement et d</w:t>
      </w:r>
      <w:r w:rsidR="00277023">
        <w:rPr>
          <w:lang w:val="fr-FR"/>
        </w:rPr>
        <w:t>’</w:t>
      </w:r>
      <w:r w:rsidRPr="00DA18AE">
        <w:rPr>
          <w:lang w:val="fr-FR"/>
        </w:rPr>
        <w:t>autres formes d</w:t>
      </w:r>
      <w:r w:rsidR="00277023">
        <w:rPr>
          <w:lang w:val="fr-FR"/>
        </w:rPr>
        <w:t>’</w:t>
      </w:r>
      <w:r w:rsidRPr="00DA18AE">
        <w:rPr>
          <w:lang w:val="fr-FR"/>
        </w:rPr>
        <w:t>accompagnement utilisant différentes techniques</w:t>
      </w:r>
      <w:r w:rsidR="00277023">
        <w:rPr>
          <w:lang w:val="fr-FR"/>
        </w:rPr>
        <w:t>;</w:t>
      </w:r>
      <w:r w:rsidRPr="00DA18AE">
        <w:rPr>
          <w:lang w:val="fr-FR"/>
        </w:rPr>
        <w:t xml:space="preserve"> et un accompagnement destiné à faire comprendre aux mineurs la souffrance mentale des victimes et faire naître en eux un sentiment de culpabilité. Ainsi, des actions sont menées pour diversifier les sujets et méthodes d</w:t>
      </w:r>
      <w:r w:rsidR="00277023">
        <w:rPr>
          <w:lang w:val="fr-FR"/>
        </w:rPr>
        <w:t>’</w:t>
      </w:r>
      <w:r w:rsidRPr="00DA18AE">
        <w:rPr>
          <w:lang w:val="fr-FR"/>
        </w:rPr>
        <w:t>accompagnement, tenir compte de l</w:t>
      </w:r>
      <w:r w:rsidR="00277023">
        <w:rPr>
          <w:lang w:val="fr-FR"/>
        </w:rPr>
        <w:t>’</w:t>
      </w:r>
      <w:r w:rsidRPr="00DA18AE">
        <w:rPr>
          <w:lang w:val="fr-FR"/>
        </w:rPr>
        <w:t>âge du mineur et en particulier renforcer les activités éducatives et encourager le mineur à suivre une formation professionnelle pour qu</w:t>
      </w:r>
      <w:r w:rsidR="00277023">
        <w:rPr>
          <w:lang w:val="fr-FR"/>
        </w:rPr>
        <w:t>’</w:t>
      </w:r>
      <w:r w:rsidRPr="00DA18AE">
        <w:rPr>
          <w:lang w:val="fr-FR"/>
        </w:rPr>
        <w:t>il soit en mesure d</w:t>
      </w:r>
      <w:r w:rsidR="00277023">
        <w:rPr>
          <w:lang w:val="fr-FR"/>
        </w:rPr>
        <w:t>’</w:t>
      </w:r>
      <w:r w:rsidRPr="00DA18AE">
        <w:rPr>
          <w:lang w:val="fr-FR"/>
        </w:rPr>
        <w:t>occuper un rôle constructif dans la société à sa remise en liberté.</w:t>
      </w:r>
    </w:p>
    <w:p w:rsidR="00DA18AE" w:rsidRPr="00DA18AE" w:rsidRDefault="00DA18AE" w:rsidP="00DA18AE">
      <w:pPr>
        <w:pStyle w:val="SingleTxtG"/>
        <w:rPr>
          <w:i/>
          <w:lang w:val="fr-FR"/>
        </w:rPr>
      </w:pPr>
      <w:r w:rsidRPr="00DA18AE">
        <w:rPr>
          <w:lang w:val="fr-FR"/>
        </w:rPr>
        <w:t>465.</w:t>
      </w:r>
      <w:r w:rsidRPr="00DA18AE">
        <w:rPr>
          <w:lang w:val="fr-FR"/>
        </w:rPr>
        <w:tab/>
        <w:t>De plus, dans les foyers de classification et les établissements pénitentiaires, on s</w:t>
      </w:r>
      <w:r w:rsidR="00277023">
        <w:rPr>
          <w:lang w:val="fr-FR"/>
        </w:rPr>
        <w:t>’</w:t>
      </w:r>
      <w:r w:rsidRPr="00DA18AE">
        <w:rPr>
          <w:lang w:val="fr-FR"/>
        </w:rPr>
        <w:t>attache à permettre aux mineurs ayant l</w:t>
      </w:r>
      <w:r w:rsidR="00277023">
        <w:rPr>
          <w:lang w:val="fr-FR"/>
        </w:rPr>
        <w:t>’</w:t>
      </w:r>
      <w:r w:rsidRPr="00DA18AE">
        <w:rPr>
          <w:lang w:val="fr-FR"/>
        </w:rPr>
        <w:t>âge de la scolarité obligatoire de suivre des cours, leur laissant du temps pour l</w:t>
      </w:r>
      <w:r w:rsidR="00277023">
        <w:rPr>
          <w:lang w:val="fr-FR"/>
        </w:rPr>
        <w:t>’</w:t>
      </w:r>
      <w:r w:rsidRPr="00DA18AE">
        <w:rPr>
          <w:lang w:val="fr-FR"/>
        </w:rPr>
        <w:t>apprentissage autonome, dans la mesure où cela ne nuit ni à l</w:t>
      </w:r>
      <w:r w:rsidR="00277023">
        <w:rPr>
          <w:lang w:val="fr-FR"/>
        </w:rPr>
        <w:t>’</w:t>
      </w:r>
      <w:r w:rsidRPr="00DA18AE">
        <w:rPr>
          <w:lang w:val="fr-FR"/>
        </w:rPr>
        <w:t>exécution de la classification ni à l</w:t>
      </w:r>
      <w:r w:rsidR="00277023">
        <w:rPr>
          <w:lang w:val="fr-FR"/>
        </w:rPr>
        <w:t>’</w:t>
      </w:r>
      <w:r w:rsidRPr="00DA18AE">
        <w:rPr>
          <w:lang w:val="fr-FR"/>
        </w:rPr>
        <w:t>objet de la détention, à préparer des manuels scolaires et d</w:t>
      </w:r>
      <w:r w:rsidR="00277023">
        <w:rPr>
          <w:lang w:val="fr-FR"/>
        </w:rPr>
        <w:t>’</w:t>
      </w:r>
      <w:r w:rsidRPr="00DA18AE">
        <w:rPr>
          <w:lang w:val="fr-FR"/>
        </w:rPr>
        <w:t>autres outils pédagogiques et à prendre en considération les entretiens avec les enseignants de l</w:t>
      </w:r>
      <w:r w:rsidR="00277023">
        <w:rPr>
          <w:lang w:val="fr-FR"/>
        </w:rPr>
        <w:t>’</w:t>
      </w:r>
      <w:r w:rsidRPr="00DA18AE">
        <w:rPr>
          <w:lang w:val="fr-FR"/>
        </w:rPr>
        <w:t xml:space="preserve">école que le mineur fréquente. </w:t>
      </w:r>
    </w:p>
    <w:p w:rsidR="00DA18AE" w:rsidRPr="00DA18AE" w:rsidRDefault="002D23E5" w:rsidP="002D23E5">
      <w:pPr>
        <w:pStyle w:val="H4G"/>
        <w:rPr>
          <w:lang w:val="fr-FR"/>
        </w:rPr>
      </w:pPr>
      <w:r>
        <w:rPr>
          <w:lang w:val="fr-FR"/>
        </w:rPr>
        <w:tab/>
        <w:t>2)</w:t>
      </w:r>
      <w:r>
        <w:rPr>
          <w:lang w:val="fr-FR"/>
        </w:rPr>
        <w:tab/>
      </w:r>
      <w:r w:rsidR="00DA18AE" w:rsidRPr="00DA18AE">
        <w:rPr>
          <w:lang w:val="fr-FR"/>
        </w:rPr>
        <w:t>Probation</w:t>
      </w:r>
    </w:p>
    <w:p w:rsidR="00DA18AE" w:rsidRPr="00DA18AE" w:rsidRDefault="00DA18AE" w:rsidP="00DA18AE">
      <w:pPr>
        <w:pStyle w:val="SingleTxtG"/>
        <w:rPr>
          <w:lang w:val="fr-FR"/>
        </w:rPr>
      </w:pPr>
      <w:r w:rsidRPr="00DA18AE">
        <w:rPr>
          <w:lang w:val="fr-FR"/>
        </w:rPr>
        <w:t>466.</w:t>
      </w:r>
      <w:r w:rsidRPr="00DA18AE">
        <w:rPr>
          <w:lang w:val="fr-FR"/>
        </w:rPr>
        <w:tab/>
        <w:t xml:space="preserve">Voir paragraphe 263 du rapport initial du Japon. </w:t>
      </w:r>
    </w:p>
    <w:p w:rsidR="00DA18AE" w:rsidRPr="00DA18AE" w:rsidRDefault="00DA18AE" w:rsidP="00DA18AE">
      <w:pPr>
        <w:pStyle w:val="SingleTxtG"/>
        <w:rPr>
          <w:lang w:val="fr-FR"/>
        </w:rPr>
      </w:pPr>
      <w:r w:rsidRPr="00DA18AE">
        <w:rPr>
          <w:lang w:val="fr-FR"/>
        </w:rPr>
        <w:t>467.</w:t>
      </w:r>
      <w:r w:rsidRPr="00DA18AE">
        <w:rPr>
          <w:lang w:val="fr-FR"/>
        </w:rPr>
        <w:tab/>
        <w:t>S</w:t>
      </w:r>
      <w:r w:rsidR="00277023">
        <w:rPr>
          <w:lang w:val="fr-FR"/>
        </w:rPr>
        <w:t>’</w:t>
      </w:r>
      <w:r w:rsidRPr="00DA18AE">
        <w:rPr>
          <w:lang w:val="fr-FR"/>
        </w:rPr>
        <w:t>agissant des jeunes en probation, ils bénéficient d</w:t>
      </w:r>
      <w:r w:rsidR="00277023">
        <w:rPr>
          <w:lang w:val="fr-FR"/>
        </w:rPr>
        <w:t>’</w:t>
      </w:r>
      <w:r w:rsidRPr="00DA18AE">
        <w:rPr>
          <w:lang w:val="fr-FR"/>
        </w:rPr>
        <w:t>un traitement efficace, à savoir que les agents de probation les encouragent à devenir des membres utiles de la société, en traitant de manière appropriée l</w:t>
      </w:r>
      <w:r w:rsidR="00277023">
        <w:rPr>
          <w:lang w:val="fr-FR"/>
        </w:rPr>
        <w:t>’</w:t>
      </w:r>
      <w:r w:rsidRPr="00DA18AE">
        <w:rPr>
          <w:lang w:val="fr-FR"/>
        </w:rPr>
        <w:t>évolution du niveau de délinquance ou chacun de leurs problèmes personnels. Cette prise en charge inclut le système de traitement par catégories, centré sur le problème précis dont souffre le mineur, comme la toxicomanie, et des activités sociales telles que le service volontaire dans les institutions de protection sociale ou le nettoyage des parcs afin de favoriser l</w:t>
      </w:r>
      <w:r w:rsidR="00277023">
        <w:rPr>
          <w:lang w:val="fr-FR"/>
        </w:rPr>
        <w:t>’</w:t>
      </w:r>
      <w:r w:rsidRPr="00DA18AE">
        <w:rPr>
          <w:lang w:val="fr-FR"/>
        </w:rPr>
        <w:t xml:space="preserve">adaptation sociale du mineur. </w:t>
      </w:r>
    </w:p>
    <w:p w:rsidR="00DA18AE" w:rsidRPr="002D23E5" w:rsidRDefault="002D23E5" w:rsidP="00DA18AE">
      <w:pPr>
        <w:pStyle w:val="SingleTxtG"/>
        <w:rPr>
          <w:lang w:val="fr-FR"/>
        </w:rPr>
      </w:pPr>
      <w:r>
        <w:rPr>
          <w:lang w:val="fr-FR"/>
        </w:rPr>
        <w:t>(a-2)</w:t>
      </w:r>
      <w:r>
        <w:rPr>
          <w:lang w:val="fr-FR"/>
        </w:rPr>
        <w:tab/>
      </w:r>
      <w:r w:rsidR="00DA18AE" w:rsidRPr="00DA18AE">
        <w:rPr>
          <w:bCs/>
          <w:iCs/>
          <w:lang w:val="fr-FR"/>
        </w:rPr>
        <w:t>Instruments internationaux relatifs à la justice pour mineurs et autres mesures adoptées pour garantir l</w:t>
      </w:r>
      <w:r w:rsidR="00277023">
        <w:rPr>
          <w:bCs/>
          <w:iCs/>
          <w:lang w:val="fr-FR"/>
        </w:rPr>
        <w:t>’</w:t>
      </w:r>
      <w:r w:rsidR="00DA18AE" w:rsidRPr="00DA18AE">
        <w:rPr>
          <w:bCs/>
          <w:iCs/>
          <w:lang w:val="fr-FR"/>
        </w:rPr>
        <w:t>application</w:t>
      </w:r>
      <w:r w:rsidR="00EA1115">
        <w:rPr>
          <w:bCs/>
          <w:iCs/>
          <w:lang w:val="fr-FR"/>
        </w:rPr>
        <w:t xml:space="preserve"> </w:t>
      </w:r>
      <w:r w:rsidR="00DA18AE" w:rsidRPr="00DA18AE">
        <w:rPr>
          <w:bCs/>
          <w:iCs/>
          <w:lang w:val="fr-FR"/>
        </w:rPr>
        <w:t>du paragraphe 3 de l</w:t>
      </w:r>
      <w:r w:rsidR="00277023">
        <w:rPr>
          <w:bCs/>
          <w:iCs/>
          <w:lang w:val="fr-FR"/>
        </w:rPr>
        <w:t>’</w:t>
      </w:r>
      <w:r w:rsidR="00DA18AE" w:rsidRPr="00DA18AE">
        <w:rPr>
          <w:bCs/>
          <w:iCs/>
          <w:lang w:val="fr-FR"/>
        </w:rPr>
        <w:t xml:space="preserve">article 40 de </w:t>
      </w:r>
      <w:smartTag w:uri="urn:schemas-microsoft-com:office:smarttags" w:element="PersonName">
        <w:smartTagPr>
          <w:attr w:name="ProductID" w:val="LA CONVENTION"/>
        </w:smartTagPr>
        <w:r w:rsidR="00DA18AE" w:rsidRPr="00DA18AE">
          <w:rPr>
            <w:bCs/>
            <w:iCs/>
            <w:lang w:val="fr-FR"/>
          </w:rPr>
          <w:t>la Convention</w:t>
        </w:r>
      </w:smartTag>
    </w:p>
    <w:p w:rsidR="00DA18AE" w:rsidRPr="00DA18AE" w:rsidRDefault="00DA18AE" w:rsidP="00DA18AE">
      <w:pPr>
        <w:pStyle w:val="SingleTxtG"/>
        <w:rPr>
          <w:iCs/>
          <w:lang w:val="fr-FR"/>
        </w:rPr>
      </w:pPr>
      <w:r w:rsidRPr="00DA18AE">
        <w:rPr>
          <w:lang w:val="fr-FR"/>
        </w:rPr>
        <w:t>(Dispositions des instruments internationaux pertinents</w:t>
      </w:r>
      <w:r w:rsidRPr="00DA18AE">
        <w:rPr>
          <w:iCs/>
          <w:lang w:val="fr-FR"/>
        </w:rPr>
        <w:t>)</w:t>
      </w:r>
    </w:p>
    <w:p w:rsidR="00DA18AE" w:rsidRPr="00DA18AE" w:rsidRDefault="00DA18AE" w:rsidP="00DA18AE">
      <w:pPr>
        <w:pStyle w:val="SingleTxtG"/>
        <w:rPr>
          <w:lang w:val="fr-FR"/>
        </w:rPr>
      </w:pPr>
      <w:r w:rsidRPr="00DA18AE">
        <w:rPr>
          <w:lang w:val="fr-FR"/>
        </w:rPr>
        <w:t>468.</w:t>
      </w:r>
      <w:r w:rsidRPr="00DA18AE">
        <w:rPr>
          <w:lang w:val="fr-FR"/>
        </w:rPr>
        <w:tab/>
        <w:t>Voir paragraphe 409 du deuxième rapport du Japon.</w:t>
      </w:r>
    </w:p>
    <w:p w:rsidR="00DA18AE" w:rsidRPr="00DA18AE" w:rsidRDefault="00DA18AE" w:rsidP="00DA18AE">
      <w:pPr>
        <w:pStyle w:val="SingleTxtG"/>
        <w:rPr>
          <w:lang w:val="fr-FR"/>
        </w:rPr>
      </w:pPr>
      <w:r w:rsidRPr="00DA18AE">
        <w:rPr>
          <w:lang w:val="fr-FR"/>
        </w:rPr>
        <w:t>(Promotion des mesures conformes à l</w:t>
      </w:r>
      <w:r w:rsidR="00277023">
        <w:rPr>
          <w:lang w:val="fr-FR"/>
        </w:rPr>
        <w:t>’</w:t>
      </w:r>
      <w:r w:rsidRPr="00DA18AE">
        <w:rPr>
          <w:lang w:val="fr-FR"/>
        </w:rPr>
        <w:t xml:space="preserve">objet des normes de la justice pour mineurs) </w:t>
      </w:r>
    </w:p>
    <w:p w:rsidR="00DA18AE" w:rsidRPr="00DA18AE" w:rsidRDefault="00DA18AE" w:rsidP="00DA18AE">
      <w:pPr>
        <w:pStyle w:val="SingleTxtG"/>
        <w:rPr>
          <w:lang w:val="fr-FR"/>
        </w:rPr>
      </w:pPr>
      <w:r w:rsidRPr="00DA18AE">
        <w:rPr>
          <w:lang w:val="fr-FR"/>
        </w:rPr>
        <w:t>469.</w:t>
      </w:r>
      <w:r w:rsidRPr="00DA18AE">
        <w:rPr>
          <w:lang w:val="fr-FR"/>
        </w:rPr>
        <w:tab/>
        <w:t>En réponse au huitième Congrès des Nations Unies pour la prévention du crime et le traitement des délinquants, le système japonais de justice pour mineurs s</w:t>
      </w:r>
      <w:r w:rsidR="00277023">
        <w:rPr>
          <w:lang w:val="fr-FR"/>
        </w:rPr>
        <w:t>’</w:t>
      </w:r>
      <w:r w:rsidRPr="00DA18AE">
        <w:rPr>
          <w:lang w:val="fr-FR"/>
        </w:rPr>
        <w:t>est conformé à l</w:t>
      </w:r>
      <w:r w:rsidR="00277023">
        <w:rPr>
          <w:lang w:val="fr-FR"/>
        </w:rPr>
        <w:t>’</w:t>
      </w:r>
      <w:r w:rsidRPr="00DA18AE">
        <w:rPr>
          <w:lang w:val="fr-FR"/>
        </w:rPr>
        <w:t>objet de l</w:t>
      </w:r>
      <w:r w:rsidR="00277023">
        <w:rPr>
          <w:lang w:val="fr-FR"/>
        </w:rPr>
        <w:t>’</w:t>
      </w:r>
      <w:r w:rsidRPr="00DA18AE">
        <w:rPr>
          <w:lang w:val="fr-FR"/>
        </w:rPr>
        <w:t>ensemble de règles minima des Nations Unies concernant l</w:t>
      </w:r>
      <w:r w:rsidR="00277023">
        <w:rPr>
          <w:lang w:val="fr-FR"/>
        </w:rPr>
        <w:t>’</w:t>
      </w:r>
      <w:r w:rsidRPr="00DA18AE">
        <w:rPr>
          <w:lang w:val="fr-FR"/>
        </w:rPr>
        <w:t>administration de la justice pour mineurs (“Règles de Beijing”), aux Principes directeurs des Nations Unies pour la prévention de la délinquance juvénile (Principes directeurs de Riyadh), et aux Règles des Nations Unies pour la protection des mineurs privés de liberté</w:t>
      </w:r>
      <w:r w:rsidR="00277023">
        <w:rPr>
          <w:lang w:val="fr-FR"/>
        </w:rPr>
        <w:t>;</w:t>
      </w:r>
      <w:r w:rsidRPr="00DA18AE">
        <w:rPr>
          <w:lang w:val="fr-FR"/>
        </w:rPr>
        <w:t xml:space="preserve"> les mesures qui vont dans le sens des normes continueront à être encouragées à travers des actions raisonnables, tout en tenant compte de la situation sociale, politique et culturelle actuelle du Japon. </w:t>
      </w:r>
    </w:p>
    <w:p w:rsidR="00DA18AE" w:rsidRPr="00DA18AE" w:rsidRDefault="00DA18AE" w:rsidP="00DA18AE">
      <w:pPr>
        <w:pStyle w:val="SingleTxtG"/>
        <w:rPr>
          <w:lang w:val="fr-FR"/>
        </w:rPr>
      </w:pPr>
      <w:r w:rsidRPr="00DA18AE">
        <w:rPr>
          <w:lang w:val="fr-FR"/>
        </w:rPr>
        <w:t xml:space="preserve">(Mesures garantissant que les mineurs ayant un comportement à problèmes ne sont pas traités comme des criminels) </w:t>
      </w:r>
    </w:p>
    <w:p w:rsidR="00DA18AE" w:rsidRPr="00DA18AE" w:rsidRDefault="00DA18AE" w:rsidP="00DA18AE">
      <w:pPr>
        <w:pStyle w:val="SingleTxtG"/>
        <w:rPr>
          <w:lang w:val="fr-FR"/>
        </w:rPr>
      </w:pPr>
      <w:r w:rsidRPr="00DA18AE">
        <w:rPr>
          <w:lang w:val="fr-FR"/>
        </w:rPr>
        <w:t>470.</w:t>
      </w:r>
      <w:r w:rsidRPr="00DA18AE">
        <w:rPr>
          <w:lang w:val="fr-FR"/>
        </w:rPr>
        <w:tab/>
        <w:t>Conformément aux règles d</w:t>
      </w:r>
      <w:r w:rsidR="00277023">
        <w:rPr>
          <w:lang w:val="fr-FR"/>
        </w:rPr>
        <w:t>’</w:t>
      </w:r>
      <w:r w:rsidRPr="00DA18AE">
        <w:rPr>
          <w:lang w:val="fr-FR"/>
        </w:rPr>
        <w:t>engagement de la police pour mineurs, les policiers offrent des conseils et des informations appropriées aux mineurs lorsqu</w:t>
      </w:r>
      <w:r w:rsidR="00277023">
        <w:rPr>
          <w:lang w:val="fr-FR"/>
        </w:rPr>
        <w:t>’</w:t>
      </w:r>
      <w:r w:rsidRPr="00DA18AE">
        <w:rPr>
          <w:lang w:val="fr-FR"/>
        </w:rPr>
        <w:t>ils ont affaire à des comportements délinquants (sorties nocturnes, consommation de cigarettes) et pour prévenir la délinquance, ils mènent des activités de patrouille essentiellement dans les lieux où les jeunes tendent à se réunir, comme les rues et les parcs du centre ville. De plus, avec le consentement des représentants légaux, un enfant dont le comportement délinquant a été constaté par une patrouille bénéficie d</w:t>
      </w:r>
      <w:r w:rsidR="00277023">
        <w:rPr>
          <w:lang w:val="fr-FR"/>
        </w:rPr>
        <w:t>’</w:t>
      </w:r>
      <w:r w:rsidRPr="00DA18AE">
        <w:rPr>
          <w:lang w:val="fr-FR"/>
        </w:rPr>
        <w:t>un soutien suivi destiné à sa réadaptation. L</w:t>
      </w:r>
      <w:r w:rsidR="00277023">
        <w:rPr>
          <w:lang w:val="fr-FR"/>
        </w:rPr>
        <w:t>’</w:t>
      </w:r>
      <w:r w:rsidRPr="00DA18AE">
        <w:rPr>
          <w:lang w:val="fr-FR"/>
        </w:rPr>
        <w:t>objet de ces dispositions est d</w:t>
      </w:r>
      <w:r w:rsidR="00277023">
        <w:rPr>
          <w:lang w:val="fr-FR"/>
        </w:rPr>
        <w:t>’</w:t>
      </w:r>
      <w:r w:rsidRPr="00DA18AE">
        <w:rPr>
          <w:lang w:val="fr-FR"/>
        </w:rPr>
        <w:t>encourager le bon développement des jeunes par la prévention de la délinquance juvénile et des mesures de protection à leur égard, et il ne s</w:t>
      </w:r>
      <w:r w:rsidR="00277023">
        <w:rPr>
          <w:lang w:val="fr-FR"/>
        </w:rPr>
        <w:t>’</w:t>
      </w:r>
      <w:r w:rsidRPr="00DA18AE">
        <w:rPr>
          <w:lang w:val="fr-FR"/>
        </w:rPr>
        <w:t>agit en aucun cas de permettre à la police d</w:t>
      </w:r>
      <w:r w:rsidR="00277023">
        <w:rPr>
          <w:lang w:val="fr-FR"/>
        </w:rPr>
        <w:t>’</w:t>
      </w:r>
      <w:r w:rsidRPr="00DA18AE">
        <w:rPr>
          <w:lang w:val="fr-FR"/>
        </w:rPr>
        <w:t>assimiler les mineurs ayant un comportement à problèmes à des criminels.</w:t>
      </w:r>
    </w:p>
    <w:p w:rsidR="00DA18AE" w:rsidRPr="00DA18AE" w:rsidRDefault="00DA18AE" w:rsidP="00DA18AE">
      <w:pPr>
        <w:pStyle w:val="SingleTxtG"/>
        <w:rPr>
          <w:lang w:val="fr-FR"/>
        </w:rPr>
      </w:pPr>
      <w:r w:rsidRPr="00DA18AE">
        <w:rPr>
          <w:lang w:val="fr-FR"/>
        </w:rPr>
        <w:t>(Notification des chefs d</w:t>
      </w:r>
      <w:r w:rsidR="00277023">
        <w:rPr>
          <w:lang w:val="fr-FR"/>
        </w:rPr>
        <w:t>’</w:t>
      </w:r>
      <w:r w:rsidRPr="00DA18AE">
        <w:rPr>
          <w:lang w:val="fr-FR"/>
        </w:rPr>
        <w:t>inculpation)</w:t>
      </w:r>
    </w:p>
    <w:p w:rsidR="00DA18AE" w:rsidRPr="00DA18AE" w:rsidRDefault="00DA18AE" w:rsidP="00DA18AE">
      <w:pPr>
        <w:pStyle w:val="SingleTxtG"/>
        <w:rPr>
          <w:lang w:val="fr-FR"/>
        </w:rPr>
      </w:pPr>
      <w:r w:rsidRPr="00DA18AE">
        <w:rPr>
          <w:lang w:val="fr-FR"/>
        </w:rPr>
        <w:t>471.</w:t>
      </w:r>
      <w:r w:rsidRPr="00DA18AE">
        <w:rPr>
          <w:lang w:val="fr-FR"/>
        </w:rPr>
        <w:tab/>
        <w:t xml:space="preserve">Voir paragraphes 412-413 du deuxième rapport du Japon. </w:t>
      </w:r>
    </w:p>
    <w:p w:rsidR="00DA18AE" w:rsidRPr="00DA18AE" w:rsidRDefault="00DA18AE" w:rsidP="006F124D">
      <w:pPr>
        <w:pStyle w:val="SingleTxtG"/>
        <w:keepNext/>
        <w:rPr>
          <w:lang w:val="fr-FR"/>
        </w:rPr>
      </w:pPr>
      <w:r w:rsidRPr="00DA18AE">
        <w:rPr>
          <w:lang w:val="fr-FR"/>
        </w:rPr>
        <w:t>(Avocats de la défense et autres personnes offrant une assistance appropriée)</w:t>
      </w:r>
    </w:p>
    <w:p w:rsidR="00DA18AE" w:rsidRPr="00DA18AE" w:rsidRDefault="00DA18AE" w:rsidP="006F124D">
      <w:pPr>
        <w:pStyle w:val="SingleTxtG"/>
        <w:keepLines/>
        <w:rPr>
          <w:lang w:val="fr-FR"/>
        </w:rPr>
      </w:pPr>
      <w:r w:rsidRPr="00DA18AE">
        <w:rPr>
          <w:lang w:val="fr-FR"/>
        </w:rPr>
        <w:t>472.</w:t>
      </w:r>
      <w:r w:rsidRPr="00DA18AE">
        <w:rPr>
          <w:lang w:val="fr-FR"/>
        </w:rPr>
        <w:tab/>
        <w:t>Dans les procès tenus devant les tribunaux des affaires familiales, les mineurs et leurs représentants légaux sont en droit de désigner un avocat (premier paragraphe de l</w:t>
      </w:r>
      <w:r w:rsidR="00277023">
        <w:rPr>
          <w:lang w:val="fr-FR"/>
        </w:rPr>
        <w:t>’</w:t>
      </w:r>
      <w:r w:rsidRPr="00DA18AE">
        <w:rPr>
          <w:lang w:val="fr-FR"/>
        </w:rPr>
        <w:t xml:space="preserve">article 10 de </w:t>
      </w:r>
      <w:smartTag w:uri="urn:schemas-microsoft-com:office:smarttags" w:element="PersonName">
        <w:smartTagPr>
          <w:attr w:name="ProductID" w:val="la Loi"/>
        </w:smartTagPr>
        <w:r w:rsidRPr="00DA18AE">
          <w:rPr>
            <w:lang w:val="fr-FR"/>
          </w:rPr>
          <w:t>la Loi</w:t>
        </w:r>
      </w:smartTag>
      <w:r w:rsidRPr="00DA18AE">
        <w:rPr>
          <w:lang w:val="fr-FR"/>
        </w:rPr>
        <w:t xml:space="preserve"> relative aux mineurs). Dans les procédures de décision relatives à des mesures de placement en détention ou en foyer d</w:t>
      </w:r>
      <w:r w:rsidR="00277023">
        <w:rPr>
          <w:lang w:val="fr-FR"/>
        </w:rPr>
        <w:t>’</w:t>
      </w:r>
      <w:r w:rsidRPr="00DA18AE">
        <w:rPr>
          <w:lang w:val="fr-FR"/>
        </w:rPr>
        <w:t>accueil, le juge en donne l</w:t>
      </w:r>
      <w:r w:rsidR="00277023">
        <w:rPr>
          <w:lang w:val="fr-FR"/>
        </w:rPr>
        <w:t>’</w:t>
      </w:r>
      <w:r w:rsidRPr="00DA18AE">
        <w:rPr>
          <w:lang w:val="fr-FR"/>
        </w:rPr>
        <w:t>explication au jeune (article 19-3 des règles de procédure relatives aux mineurs), et le greffier chargé de l</w:t>
      </w:r>
      <w:r w:rsidR="00277023">
        <w:rPr>
          <w:lang w:val="fr-FR"/>
        </w:rPr>
        <w:t>’</w:t>
      </w:r>
      <w:r w:rsidRPr="00DA18AE">
        <w:rPr>
          <w:lang w:val="fr-FR"/>
        </w:rPr>
        <w:t>affaire délivre ou envoie un document expliquant les procédures et les droits établis au mineur et à ses représentants légaux avant le procès</w:t>
      </w:r>
      <w:r w:rsidR="00277023">
        <w:rPr>
          <w:lang w:val="fr-FR"/>
        </w:rPr>
        <w:t>;</w:t>
      </w:r>
      <w:r w:rsidRPr="00DA18AE">
        <w:rPr>
          <w:lang w:val="fr-FR"/>
        </w:rPr>
        <w:t xml:space="preserve"> ce document contient également des informations sur le droit de désigner un avocat. </w:t>
      </w:r>
    </w:p>
    <w:p w:rsidR="00DA18AE" w:rsidRPr="00DA18AE" w:rsidRDefault="00DA18AE" w:rsidP="00DA18AE">
      <w:pPr>
        <w:pStyle w:val="SingleTxtG"/>
        <w:rPr>
          <w:lang w:val="fr-FR"/>
        </w:rPr>
      </w:pPr>
      <w:r w:rsidRPr="00DA18AE">
        <w:rPr>
          <w:lang w:val="fr-FR"/>
        </w:rPr>
        <w:t>(Interdiction de contraindre un mineur à témoigner contre lui-même)</w:t>
      </w:r>
    </w:p>
    <w:p w:rsidR="00DA18AE" w:rsidRPr="00DA18AE" w:rsidRDefault="00DA18AE" w:rsidP="00DA18AE">
      <w:pPr>
        <w:pStyle w:val="SingleTxtG"/>
        <w:rPr>
          <w:lang w:val="fr-FR"/>
        </w:rPr>
      </w:pPr>
      <w:r w:rsidRPr="00DA18AE">
        <w:rPr>
          <w:lang w:val="fr-FR"/>
        </w:rPr>
        <w:t>473.</w:t>
      </w:r>
      <w:r w:rsidRPr="00DA18AE">
        <w:rPr>
          <w:lang w:val="fr-FR"/>
        </w:rPr>
        <w:tab/>
        <w:t xml:space="preserve">Voir paragraphes 270-271 du rapport initial du Japon, et paragraphe 414 du deuxième rapport du Japon. </w:t>
      </w:r>
    </w:p>
    <w:p w:rsidR="00DA18AE" w:rsidRPr="00DA18AE" w:rsidRDefault="00DA18AE" w:rsidP="00DA18AE">
      <w:pPr>
        <w:pStyle w:val="SingleTxtG"/>
        <w:rPr>
          <w:lang w:val="fr-FR"/>
        </w:rPr>
      </w:pPr>
      <w:r w:rsidRPr="00DA18AE">
        <w:rPr>
          <w:lang w:val="fr-FR"/>
        </w:rPr>
        <w:t>(Droit de procéder à un contre-interrogatoire des témoins)</w:t>
      </w:r>
    </w:p>
    <w:p w:rsidR="00DA18AE" w:rsidRPr="00DA18AE" w:rsidRDefault="00DA18AE" w:rsidP="00DA18AE">
      <w:pPr>
        <w:pStyle w:val="SingleTxtG"/>
        <w:rPr>
          <w:lang w:val="fr-FR"/>
        </w:rPr>
      </w:pPr>
      <w:r w:rsidRPr="00DA18AE">
        <w:rPr>
          <w:lang w:val="fr-FR"/>
        </w:rPr>
        <w:t>474.</w:t>
      </w:r>
      <w:r w:rsidRPr="00DA18AE">
        <w:rPr>
          <w:lang w:val="fr-FR"/>
        </w:rPr>
        <w:tab/>
        <w:t xml:space="preserve">Voir paragraphes 415-417 du deuxième rapport du Japon. </w:t>
      </w:r>
    </w:p>
    <w:p w:rsidR="00DA18AE" w:rsidRPr="00DA18AE" w:rsidRDefault="00DA18AE" w:rsidP="00DA18AE">
      <w:pPr>
        <w:pStyle w:val="SingleTxtG"/>
        <w:rPr>
          <w:iCs/>
          <w:lang w:val="fr-FR"/>
        </w:rPr>
      </w:pPr>
      <w:r w:rsidRPr="00DA18AE">
        <w:rPr>
          <w:lang w:val="fr-FR"/>
        </w:rPr>
        <w:t xml:space="preserve">(Procédures de recours prévues par </w:t>
      </w:r>
      <w:smartTag w:uri="urn:schemas-microsoft-com:office:smarttags" w:element="PersonName">
        <w:smartTagPr>
          <w:attr w:name="ProductID" w:val="la Loi"/>
        </w:smartTagPr>
        <w:r w:rsidRPr="00DA18AE">
          <w:rPr>
            <w:lang w:val="fr-FR"/>
          </w:rPr>
          <w:t>la Loi</w:t>
        </w:r>
      </w:smartTag>
      <w:r w:rsidRPr="00DA18AE">
        <w:rPr>
          <w:lang w:val="fr-FR"/>
        </w:rPr>
        <w:t xml:space="preserve"> relative aux mineurs</w:t>
      </w:r>
      <w:r w:rsidRPr="00DA18AE">
        <w:rPr>
          <w:iCs/>
          <w:lang w:val="fr-FR"/>
        </w:rPr>
        <w:t>)</w:t>
      </w:r>
    </w:p>
    <w:p w:rsidR="00DA18AE" w:rsidRPr="00DA18AE" w:rsidRDefault="00DA18AE" w:rsidP="00DA18AE">
      <w:pPr>
        <w:pStyle w:val="SingleTxtG"/>
        <w:rPr>
          <w:lang w:val="fr-FR"/>
        </w:rPr>
      </w:pPr>
      <w:r w:rsidRPr="00DA18AE">
        <w:rPr>
          <w:lang w:val="fr-FR"/>
        </w:rPr>
        <w:t>475.</w:t>
      </w:r>
      <w:r w:rsidRPr="00DA18AE">
        <w:rPr>
          <w:lang w:val="fr-FR"/>
        </w:rPr>
        <w:tab/>
        <w:t xml:space="preserve">Voir paragraphes 275-276 du rapport initial du Japon, et paragraphes 410-411 du deuxième rapport du Japon. </w:t>
      </w:r>
    </w:p>
    <w:p w:rsidR="00DA18AE" w:rsidRPr="00DA18AE" w:rsidRDefault="00DA18AE" w:rsidP="00DA18AE">
      <w:pPr>
        <w:pStyle w:val="SingleTxtG"/>
        <w:rPr>
          <w:lang w:val="fr-FR"/>
        </w:rPr>
      </w:pPr>
      <w:r w:rsidRPr="00DA18AE">
        <w:rPr>
          <w:lang w:val="fr-FR"/>
        </w:rPr>
        <w:t>(Services d</w:t>
      </w:r>
      <w:r w:rsidR="00277023">
        <w:rPr>
          <w:lang w:val="fr-FR"/>
        </w:rPr>
        <w:t>’</w:t>
      </w:r>
      <w:r w:rsidRPr="00DA18AE">
        <w:rPr>
          <w:lang w:val="fr-FR"/>
        </w:rPr>
        <w:t>interprétariat)</w:t>
      </w:r>
    </w:p>
    <w:p w:rsidR="00DA18AE" w:rsidRPr="00DA18AE" w:rsidRDefault="00DA18AE" w:rsidP="00DA18AE">
      <w:pPr>
        <w:pStyle w:val="SingleTxtG"/>
        <w:rPr>
          <w:lang w:val="fr-FR"/>
        </w:rPr>
      </w:pPr>
      <w:r w:rsidRPr="00DA18AE">
        <w:rPr>
          <w:lang w:val="fr-FR"/>
        </w:rPr>
        <w:t>476.</w:t>
      </w:r>
      <w:r w:rsidRPr="00DA18AE">
        <w:rPr>
          <w:lang w:val="fr-FR"/>
        </w:rPr>
        <w:tab/>
        <w:t>Conformément au Code de procédure pénale et au Code relatif aux enquêtes criminelles, les services chargés de l</w:t>
      </w:r>
      <w:r w:rsidR="00277023">
        <w:rPr>
          <w:lang w:val="fr-FR"/>
        </w:rPr>
        <w:t>’</w:t>
      </w:r>
      <w:r w:rsidRPr="00DA18AE">
        <w:rPr>
          <w:lang w:val="fr-FR"/>
        </w:rPr>
        <w:t>application de la loi permettent aux étrangers qui ne parlent pas la langue japonaise d</w:t>
      </w:r>
      <w:r w:rsidR="00277023">
        <w:rPr>
          <w:lang w:val="fr-FR"/>
        </w:rPr>
        <w:t>’</w:t>
      </w:r>
      <w:r w:rsidRPr="00DA18AE">
        <w:rPr>
          <w:lang w:val="fr-FR"/>
        </w:rPr>
        <w:t>être assisté d</w:t>
      </w:r>
      <w:r w:rsidR="00277023">
        <w:rPr>
          <w:lang w:val="fr-FR"/>
        </w:rPr>
        <w:t>’</w:t>
      </w:r>
      <w:r w:rsidRPr="00DA18AE">
        <w:rPr>
          <w:lang w:val="fr-FR"/>
        </w:rPr>
        <w:t>un interprète dans le cas où un policier ne parlant pas la langue de l</w:t>
      </w:r>
      <w:r w:rsidR="00277023">
        <w:rPr>
          <w:lang w:val="fr-FR"/>
        </w:rPr>
        <w:t>’</w:t>
      </w:r>
      <w:r w:rsidRPr="00DA18AE">
        <w:rPr>
          <w:lang w:val="fr-FR"/>
        </w:rPr>
        <w:t>étranger est chargé de l</w:t>
      </w:r>
      <w:r w:rsidR="00277023">
        <w:rPr>
          <w:lang w:val="fr-FR"/>
        </w:rPr>
        <w:t>’</w:t>
      </w:r>
      <w:r w:rsidRPr="00DA18AE">
        <w:rPr>
          <w:lang w:val="fr-FR"/>
        </w:rPr>
        <w:t>enquête ou prend les mesures requises pour l</w:t>
      </w:r>
      <w:r w:rsidR="00277023">
        <w:rPr>
          <w:lang w:val="fr-FR"/>
        </w:rPr>
        <w:t>’</w:t>
      </w:r>
      <w:r w:rsidRPr="00DA18AE">
        <w:rPr>
          <w:lang w:val="fr-FR"/>
        </w:rPr>
        <w:t xml:space="preserve">enquête. </w:t>
      </w:r>
    </w:p>
    <w:p w:rsidR="00DA18AE" w:rsidRPr="00DA18AE" w:rsidRDefault="00DA18AE" w:rsidP="00DA18AE">
      <w:pPr>
        <w:pStyle w:val="SingleTxtG"/>
        <w:rPr>
          <w:lang w:val="fr-FR"/>
        </w:rPr>
      </w:pPr>
      <w:r w:rsidRPr="00DA18AE">
        <w:rPr>
          <w:lang w:val="fr-FR"/>
        </w:rPr>
        <w:t>(Respect de la vie privée)</w:t>
      </w:r>
    </w:p>
    <w:p w:rsidR="00DA18AE" w:rsidRPr="00DA18AE" w:rsidRDefault="00DA18AE" w:rsidP="00DA18AE">
      <w:pPr>
        <w:pStyle w:val="SingleTxtG"/>
        <w:rPr>
          <w:lang w:val="fr-FR"/>
        </w:rPr>
      </w:pPr>
      <w:r w:rsidRPr="00DA18AE">
        <w:rPr>
          <w:lang w:val="fr-FR"/>
        </w:rPr>
        <w:t>477.</w:t>
      </w:r>
      <w:r w:rsidRPr="00DA18AE">
        <w:rPr>
          <w:lang w:val="fr-FR"/>
        </w:rPr>
        <w:tab/>
        <w:t xml:space="preserve">Voir paragraphes 186-188 du deuxième rapport du Japon. </w:t>
      </w:r>
    </w:p>
    <w:p w:rsidR="00DA18AE" w:rsidRPr="00DA18AE" w:rsidRDefault="00DA18AE" w:rsidP="00DA18AE">
      <w:pPr>
        <w:pStyle w:val="SingleTxtG"/>
        <w:rPr>
          <w:lang w:val="fr-FR"/>
        </w:rPr>
      </w:pPr>
      <w:r w:rsidRPr="00DA18AE">
        <w:rPr>
          <w:lang w:val="fr-FR"/>
        </w:rPr>
        <w:t>478.</w:t>
      </w:r>
      <w:r w:rsidRPr="00DA18AE">
        <w:rPr>
          <w:lang w:val="fr-FR"/>
        </w:rPr>
        <w:tab/>
        <w:t>Aux termes du Code relatif aux enquêtes criminelles, la personnalité du mineur doit être prise en considération lors d</w:t>
      </w:r>
      <w:r w:rsidR="00277023">
        <w:rPr>
          <w:lang w:val="fr-FR"/>
        </w:rPr>
        <w:t>’</w:t>
      </w:r>
      <w:r w:rsidRPr="00DA18AE">
        <w:rPr>
          <w:lang w:val="fr-FR"/>
        </w:rPr>
        <w:t>une enquête menée par un service chargé de l</w:t>
      </w:r>
      <w:r w:rsidR="00277023">
        <w:rPr>
          <w:lang w:val="fr-FR"/>
        </w:rPr>
        <w:t>’</w:t>
      </w:r>
      <w:r w:rsidRPr="00DA18AE">
        <w:rPr>
          <w:lang w:val="fr-FR"/>
        </w:rPr>
        <w:t>application de la loi, et il convient d</w:t>
      </w:r>
      <w:r w:rsidR="00277023">
        <w:rPr>
          <w:lang w:val="fr-FR"/>
        </w:rPr>
        <w:t>’</w:t>
      </w:r>
      <w:r w:rsidRPr="00DA18AE">
        <w:rPr>
          <w:lang w:val="fr-FR"/>
        </w:rPr>
        <w:t>éviter d</w:t>
      </w:r>
      <w:r w:rsidR="00277023">
        <w:rPr>
          <w:lang w:val="fr-FR"/>
        </w:rPr>
        <w:t>’</w:t>
      </w:r>
      <w:r w:rsidRPr="00DA18AE">
        <w:rPr>
          <w:lang w:val="fr-FR"/>
        </w:rPr>
        <w:t>attirer l</w:t>
      </w:r>
      <w:r w:rsidR="00277023">
        <w:rPr>
          <w:lang w:val="fr-FR"/>
        </w:rPr>
        <w:t>’</w:t>
      </w:r>
      <w:r w:rsidRPr="00DA18AE">
        <w:rPr>
          <w:lang w:val="fr-FR"/>
        </w:rPr>
        <w:t>attention d</w:t>
      </w:r>
      <w:r w:rsidR="00277023">
        <w:rPr>
          <w:lang w:val="fr-FR"/>
        </w:rPr>
        <w:t>’</w:t>
      </w:r>
      <w:r w:rsidRPr="00DA18AE">
        <w:rPr>
          <w:lang w:val="fr-FR"/>
        </w:rPr>
        <w:t>autrui, d</w:t>
      </w:r>
      <w:r w:rsidR="00277023">
        <w:rPr>
          <w:lang w:val="fr-FR"/>
        </w:rPr>
        <w:t>’</w:t>
      </w:r>
      <w:r w:rsidRPr="00DA18AE">
        <w:rPr>
          <w:lang w:val="fr-FR"/>
        </w:rPr>
        <w:t>avoir un langage et un comportement réservés, de montrer de la compassion et de la compréhension, et de veiller à ne pas blesser les sentiments du mineur. De plus, en l</w:t>
      </w:r>
      <w:r w:rsidR="00277023">
        <w:rPr>
          <w:lang w:val="fr-FR"/>
        </w:rPr>
        <w:t>’</w:t>
      </w:r>
      <w:r w:rsidRPr="00DA18AE">
        <w:rPr>
          <w:lang w:val="fr-FR"/>
        </w:rPr>
        <w:t>espèce, des données comme le nom, l</w:t>
      </w:r>
      <w:r w:rsidR="00277023">
        <w:rPr>
          <w:lang w:val="fr-FR"/>
        </w:rPr>
        <w:t>’</w:t>
      </w:r>
      <w:r w:rsidRPr="00DA18AE">
        <w:rPr>
          <w:lang w:val="fr-FR"/>
        </w:rPr>
        <w:t>adresse, l</w:t>
      </w:r>
      <w:r w:rsidR="00277023">
        <w:rPr>
          <w:lang w:val="fr-FR"/>
        </w:rPr>
        <w:t>’</w:t>
      </w:r>
      <w:r w:rsidRPr="00DA18AE">
        <w:rPr>
          <w:lang w:val="fr-FR"/>
        </w:rPr>
        <w:t>établissement scolaire ou l</w:t>
      </w:r>
      <w:r w:rsidR="00277023">
        <w:rPr>
          <w:lang w:val="fr-FR"/>
        </w:rPr>
        <w:t>’</w:t>
      </w:r>
      <w:r w:rsidRPr="00DA18AE">
        <w:rPr>
          <w:lang w:val="fr-FR"/>
        </w:rPr>
        <w:t>entreprise du mineur, qui permettraient au public de déterminer son identité, ne seront divulguées ni dans les journaux ni dans d</w:t>
      </w:r>
      <w:r w:rsidR="00277023">
        <w:rPr>
          <w:lang w:val="fr-FR"/>
        </w:rPr>
        <w:t>’</w:t>
      </w:r>
      <w:r w:rsidRPr="00DA18AE">
        <w:rPr>
          <w:lang w:val="fr-FR"/>
        </w:rPr>
        <w:t xml:space="preserve">autres médias, et de même la photo du mineur ne sera pas publiée. Même dans le cas où le mineur est la victime et dans les communiqués de presse, la vie privée du mineur doit être pleinement respectée. </w:t>
      </w:r>
    </w:p>
    <w:p w:rsidR="00DA18AE" w:rsidRPr="00DA18AE" w:rsidRDefault="00DA18AE" w:rsidP="00DA18AE">
      <w:pPr>
        <w:pStyle w:val="SingleTxtG"/>
        <w:rPr>
          <w:bCs/>
          <w:iCs/>
          <w:lang w:val="fr-FR"/>
        </w:rPr>
      </w:pPr>
      <w:r w:rsidRPr="00DA18AE">
        <w:rPr>
          <w:lang w:val="fr-FR"/>
        </w:rPr>
        <w:t>(a-3) Lois applicables spécialement aux enfants soupçonnés, accusés ou convaincus d</w:t>
      </w:r>
      <w:r w:rsidR="00277023">
        <w:rPr>
          <w:lang w:val="fr-FR"/>
        </w:rPr>
        <w:t>’</w:t>
      </w:r>
      <w:r w:rsidRPr="00DA18AE">
        <w:rPr>
          <w:lang w:val="fr-FR"/>
        </w:rPr>
        <w:t>avoir enfreint le droit pénal</w:t>
      </w:r>
    </w:p>
    <w:p w:rsidR="00DA18AE" w:rsidRPr="00DA18AE" w:rsidRDefault="00DA18AE" w:rsidP="00DA18AE">
      <w:pPr>
        <w:pStyle w:val="SingleTxtG"/>
        <w:rPr>
          <w:lang w:val="fr-FR"/>
        </w:rPr>
      </w:pPr>
      <w:r w:rsidRPr="00DA18AE">
        <w:rPr>
          <w:lang w:val="fr-FR"/>
        </w:rPr>
        <w:t>479.</w:t>
      </w:r>
      <w:r w:rsidRPr="00DA18AE">
        <w:rPr>
          <w:lang w:val="fr-FR"/>
        </w:rPr>
        <w:tab/>
        <w:t xml:space="preserve">Voir paragraphes 394-403 et 418 du deuxième rapport du Japon. </w:t>
      </w:r>
    </w:p>
    <w:p w:rsidR="00DA18AE" w:rsidRPr="00DA18AE" w:rsidRDefault="00DA18AE" w:rsidP="00DA18AE">
      <w:pPr>
        <w:pStyle w:val="SingleTxtG"/>
        <w:rPr>
          <w:lang w:val="fr-FR"/>
        </w:rPr>
      </w:pPr>
      <w:r w:rsidRPr="00DA18AE">
        <w:rPr>
          <w:lang w:val="fr-FR"/>
        </w:rPr>
        <w:t>480.</w:t>
      </w:r>
      <w:r w:rsidRPr="00DA18AE">
        <w:rPr>
          <w:lang w:val="fr-FR"/>
        </w:rPr>
        <w:tab/>
        <w:t>Bien que l</w:t>
      </w:r>
      <w:r w:rsidR="00277023">
        <w:rPr>
          <w:lang w:val="fr-FR"/>
        </w:rPr>
        <w:t>’</w:t>
      </w:r>
      <w:r w:rsidRPr="00DA18AE">
        <w:rPr>
          <w:lang w:val="fr-FR"/>
        </w:rPr>
        <w:t xml:space="preserve">âge minimum auquel un mineur puisse encourir une sanction pénale ait été abaissé de 16 à 14 ans aux termes de </w:t>
      </w:r>
      <w:smartTag w:uri="urn:schemas-microsoft-com:office:smarttags" w:element="PersonName">
        <w:smartTagPr>
          <w:attr w:name="ProductID" w:val="la Loi"/>
        </w:smartTagPr>
        <w:r w:rsidRPr="00DA18AE">
          <w:rPr>
            <w:lang w:val="fr-FR"/>
          </w:rPr>
          <w:t>la Loi</w:t>
        </w:r>
      </w:smartTag>
      <w:r w:rsidRPr="00DA18AE">
        <w:rPr>
          <w:lang w:val="fr-FR"/>
        </w:rPr>
        <w:t xml:space="preserve"> relative aux mineurs modifiée en 2000 (premier paragraphe de l</w:t>
      </w:r>
      <w:r w:rsidR="00277023">
        <w:rPr>
          <w:lang w:val="fr-FR"/>
        </w:rPr>
        <w:t>’</w:t>
      </w:r>
      <w:r w:rsidRPr="00DA18AE">
        <w:rPr>
          <w:lang w:val="fr-FR"/>
        </w:rPr>
        <w:t>article 20), le but n</w:t>
      </w:r>
      <w:r w:rsidR="00277023">
        <w:rPr>
          <w:lang w:val="fr-FR"/>
        </w:rPr>
        <w:t>’</w:t>
      </w:r>
      <w:r w:rsidRPr="00DA18AE">
        <w:rPr>
          <w:lang w:val="fr-FR"/>
        </w:rPr>
        <w:t>est pas d</w:t>
      </w:r>
      <w:r w:rsidR="00277023">
        <w:rPr>
          <w:lang w:val="fr-FR"/>
        </w:rPr>
        <w:t>’</w:t>
      </w:r>
      <w:r w:rsidRPr="00DA18AE">
        <w:rPr>
          <w:lang w:val="fr-FR"/>
        </w:rPr>
        <w:t>abaisser l</w:t>
      </w:r>
      <w:r w:rsidR="00277023">
        <w:rPr>
          <w:lang w:val="fr-FR"/>
        </w:rPr>
        <w:t>’</w:t>
      </w:r>
      <w:r w:rsidRPr="00DA18AE">
        <w:rPr>
          <w:lang w:val="fr-FR"/>
        </w:rPr>
        <w:t>âge minimum de la responsabilité pénale</w:t>
      </w:r>
      <w:r w:rsidR="00277023">
        <w:rPr>
          <w:lang w:val="fr-FR"/>
        </w:rPr>
        <w:t>;</w:t>
      </w:r>
      <w:r w:rsidRPr="00DA18AE">
        <w:rPr>
          <w:lang w:val="fr-FR"/>
        </w:rPr>
        <w:t xml:space="preserve"> l</w:t>
      </w:r>
      <w:r w:rsidR="00277023">
        <w:rPr>
          <w:lang w:val="fr-FR"/>
        </w:rPr>
        <w:t>’</w:t>
      </w:r>
      <w:r w:rsidRPr="00DA18AE">
        <w:rPr>
          <w:lang w:val="fr-FR"/>
        </w:rPr>
        <w:t>âge minimum auquel un mineur peut encourir une peine a été</w:t>
      </w:r>
      <w:r w:rsidR="00EA1115">
        <w:rPr>
          <w:lang w:val="fr-FR"/>
        </w:rPr>
        <w:t xml:space="preserve"> </w:t>
      </w:r>
      <w:r w:rsidRPr="00DA18AE">
        <w:rPr>
          <w:lang w:val="fr-FR"/>
        </w:rPr>
        <w:t>adapté pour être conforme à l</w:t>
      </w:r>
      <w:r w:rsidR="00277023">
        <w:rPr>
          <w:lang w:val="fr-FR"/>
        </w:rPr>
        <w:t>’</w:t>
      </w:r>
      <w:r w:rsidRPr="00DA18AE">
        <w:rPr>
          <w:lang w:val="fr-FR"/>
        </w:rPr>
        <w:t>âge minimum de la responsabilité pénale stipulé par le Code pénal. De fait, avant l</w:t>
      </w:r>
      <w:r w:rsidR="00277023">
        <w:rPr>
          <w:lang w:val="fr-FR"/>
        </w:rPr>
        <w:t>’</w:t>
      </w:r>
      <w:r w:rsidRPr="00DA18AE">
        <w:rPr>
          <w:lang w:val="fr-FR"/>
        </w:rPr>
        <w:t>amendement, bien que leur responsabilité pénale pouvait être engagée aux termes du Code pénal, les mineurs de moins de 16 ans n</w:t>
      </w:r>
      <w:r w:rsidR="00277023">
        <w:rPr>
          <w:lang w:val="fr-FR"/>
        </w:rPr>
        <w:t>’</w:t>
      </w:r>
      <w:r w:rsidRPr="00DA18AE">
        <w:rPr>
          <w:lang w:val="fr-FR"/>
        </w:rPr>
        <w:t>étaient pas traduits en justice même si ces actes étaient des crimes atroces. Cependant, compte tenu du fait extrêmement préoccupant qu</w:t>
      </w:r>
      <w:r w:rsidR="00277023">
        <w:rPr>
          <w:lang w:val="fr-FR"/>
        </w:rPr>
        <w:t>’</w:t>
      </w:r>
      <w:r w:rsidRPr="00DA18AE">
        <w:rPr>
          <w:lang w:val="fr-FR"/>
        </w:rPr>
        <w:t>on ne constate aucune baisse significative du nombre de crimes atroces commis par les mineurs de 14 et 15 ans, il a été considéré que pour</w:t>
      </w:r>
      <w:r w:rsidR="00EA1115">
        <w:rPr>
          <w:lang w:val="fr-FR"/>
        </w:rPr>
        <w:t xml:space="preserve"> </w:t>
      </w:r>
      <w:r w:rsidRPr="00DA18AE">
        <w:rPr>
          <w:lang w:val="fr-FR"/>
        </w:rPr>
        <w:t>le bon développement des jeunes, il était nécessaire de préciser clairement que s</w:t>
      </w:r>
      <w:r w:rsidR="00277023">
        <w:rPr>
          <w:lang w:val="fr-FR"/>
        </w:rPr>
        <w:t>’</w:t>
      </w:r>
      <w:r w:rsidRPr="00DA18AE">
        <w:rPr>
          <w:lang w:val="fr-FR"/>
        </w:rPr>
        <w:t>ils se rendent coupables d</w:t>
      </w:r>
      <w:r w:rsidR="00277023">
        <w:rPr>
          <w:lang w:val="fr-FR"/>
        </w:rPr>
        <w:t>’</w:t>
      </w:r>
      <w:r w:rsidRPr="00DA18AE">
        <w:rPr>
          <w:lang w:val="fr-FR"/>
        </w:rPr>
        <w:t>un acte criminel, ils sont passibles d</w:t>
      </w:r>
      <w:r w:rsidR="00277023">
        <w:rPr>
          <w:lang w:val="fr-FR"/>
        </w:rPr>
        <w:t>’</w:t>
      </w:r>
      <w:r w:rsidRPr="00DA18AE">
        <w:rPr>
          <w:lang w:val="fr-FR"/>
        </w:rPr>
        <w:t>une peine, même s</w:t>
      </w:r>
      <w:r w:rsidR="00277023">
        <w:rPr>
          <w:lang w:val="fr-FR"/>
        </w:rPr>
        <w:t>’</w:t>
      </w:r>
      <w:r w:rsidRPr="00DA18AE">
        <w:rPr>
          <w:lang w:val="fr-FR"/>
        </w:rPr>
        <w:t>ils n</w:t>
      </w:r>
      <w:r w:rsidR="00277023">
        <w:rPr>
          <w:lang w:val="fr-FR"/>
        </w:rPr>
        <w:t>’</w:t>
      </w:r>
      <w:r w:rsidRPr="00DA18AE">
        <w:rPr>
          <w:lang w:val="fr-FR"/>
        </w:rPr>
        <w:t>ont que 14 ou 15 ans, afin de renforcer leur respect des normes sociales et de leur faire prendre conscience des responsabilités induites par la vie en société. C</w:t>
      </w:r>
      <w:r w:rsidR="00277023">
        <w:rPr>
          <w:lang w:val="fr-FR"/>
        </w:rPr>
        <w:t>’</w:t>
      </w:r>
      <w:r w:rsidRPr="00DA18AE">
        <w:rPr>
          <w:lang w:val="fr-FR"/>
        </w:rPr>
        <w:t>est la raison pour laquelle l</w:t>
      </w:r>
      <w:r w:rsidR="00277023">
        <w:rPr>
          <w:lang w:val="fr-FR"/>
        </w:rPr>
        <w:t>’</w:t>
      </w:r>
      <w:r w:rsidRPr="00DA18AE">
        <w:rPr>
          <w:lang w:val="fr-FR"/>
        </w:rPr>
        <w:t>âge minimum auquel un mineur est passible d</w:t>
      </w:r>
      <w:r w:rsidR="00277023">
        <w:rPr>
          <w:lang w:val="fr-FR"/>
        </w:rPr>
        <w:t>’</w:t>
      </w:r>
      <w:r w:rsidRPr="00DA18AE">
        <w:rPr>
          <w:lang w:val="fr-FR"/>
        </w:rPr>
        <w:t>une sanction pénale a été adapté pour correspondre à celui de la responsabilité pénale stipulé par le Code pénal et abaissé à 14 ans. Cet amendement n</w:t>
      </w:r>
      <w:r w:rsidR="00277023">
        <w:rPr>
          <w:lang w:val="fr-FR"/>
        </w:rPr>
        <w:t>’</w:t>
      </w:r>
      <w:r w:rsidRPr="00DA18AE">
        <w:rPr>
          <w:lang w:val="fr-FR"/>
        </w:rPr>
        <w:t>est pas en contradiction avec l</w:t>
      </w:r>
      <w:r w:rsidR="00277023">
        <w:rPr>
          <w:lang w:val="fr-FR"/>
        </w:rPr>
        <w:t>’</w:t>
      </w:r>
      <w:r w:rsidRPr="00DA18AE">
        <w:rPr>
          <w:lang w:val="fr-FR"/>
        </w:rPr>
        <w:t>objet des normes de la justice pour mineurs.</w:t>
      </w:r>
    </w:p>
    <w:p w:rsidR="00DA18AE" w:rsidRPr="00DA18AE" w:rsidRDefault="008059DB" w:rsidP="00DA18AE">
      <w:pPr>
        <w:pStyle w:val="SingleTxtG"/>
        <w:rPr>
          <w:lang w:val="fr-FR"/>
        </w:rPr>
      </w:pPr>
      <w:r>
        <w:rPr>
          <w:lang w:val="fr-FR"/>
        </w:rPr>
        <w:t>(a-4) Soins et orientation</w:t>
      </w:r>
    </w:p>
    <w:p w:rsidR="00DA18AE" w:rsidRPr="00DA18AE" w:rsidRDefault="00DA18AE" w:rsidP="00DA18AE">
      <w:pPr>
        <w:pStyle w:val="SingleTxtG"/>
        <w:rPr>
          <w:lang w:val="fr-FR"/>
        </w:rPr>
      </w:pPr>
      <w:r w:rsidRPr="00DA18AE">
        <w:rPr>
          <w:lang w:val="fr-FR"/>
        </w:rPr>
        <w:t>(Equipe de soutien aux mineurs)</w:t>
      </w:r>
    </w:p>
    <w:p w:rsidR="00DA18AE" w:rsidRPr="00DA18AE" w:rsidRDefault="00DA18AE" w:rsidP="00DA18AE">
      <w:pPr>
        <w:pStyle w:val="SingleTxtG"/>
        <w:rPr>
          <w:lang w:val="fr-FR"/>
        </w:rPr>
      </w:pPr>
      <w:r w:rsidRPr="00DA18AE">
        <w:rPr>
          <w:lang w:val="fr-FR"/>
        </w:rPr>
        <w:t>481.</w:t>
      </w:r>
      <w:r w:rsidRPr="00DA18AE">
        <w:rPr>
          <w:lang w:val="fr-FR"/>
        </w:rPr>
        <w:tab/>
        <w:t xml:space="preserve">Sachant que </w:t>
      </w:r>
      <w:smartTag w:uri="urn:schemas-microsoft-com:office:smarttags" w:element="PersonName">
        <w:smartTagPr>
          <w:attr w:name="ProductID" w:val="la Politique"/>
        </w:smartTagPr>
        <w:r w:rsidRPr="00DA18AE">
          <w:rPr>
            <w:lang w:val="fr-FR"/>
          </w:rPr>
          <w:t>la Politique</w:t>
        </w:r>
      </w:smartTag>
      <w:r w:rsidRPr="00DA18AE">
        <w:rPr>
          <w:lang w:val="fr-FR"/>
        </w:rPr>
        <w:t xml:space="preserve"> nationale en faveur de la jeunesse et le Plan d</w:t>
      </w:r>
      <w:r w:rsidR="00277023">
        <w:rPr>
          <w:lang w:val="fr-FR"/>
        </w:rPr>
        <w:t>’</w:t>
      </w:r>
      <w:r w:rsidRPr="00DA18AE">
        <w:rPr>
          <w:lang w:val="fr-FR"/>
        </w:rPr>
        <w:t>action pour l</w:t>
      </w:r>
      <w:r w:rsidR="00277023">
        <w:rPr>
          <w:lang w:val="fr-FR"/>
        </w:rPr>
        <w:t>’</w:t>
      </w:r>
      <w:r w:rsidRPr="00DA18AE">
        <w:rPr>
          <w:lang w:val="fr-FR"/>
        </w:rPr>
        <w:t>édification d</w:t>
      </w:r>
      <w:r w:rsidR="00277023">
        <w:rPr>
          <w:lang w:val="fr-FR"/>
        </w:rPr>
        <w:t>’</w:t>
      </w:r>
      <w:r w:rsidRPr="00DA18AE">
        <w:rPr>
          <w:lang w:val="fr-FR"/>
        </w:rPr>
        <w:t>une société sans crime formulés en 2003 comprennent des initiatives telles que la promotion des activités de l</w:t>
      </w:r>
      <w:r w:rsidR="00277023">
        <w:rPr>
          <w:lang w:val="fr-FR"/>
        </w:rPr>
        <w:t>’</w:t>
      </w:r>
      <w:r w:rsidRPr="00DA18AE">
        <w:rPr>
          <w:lang w:val="fr-FR"/>
        </w:rPr>
        <w:t>équipe de soutien aux mineurs en collaboration avec des organisations compétentes afin de soutenir les mineurs qui rencontrent des problèmes tels que la délinquance et la promotion d</w:t>
      </w:r>
      <w:r w:rsidR="00277023">
        <w:rPr>
          <w:lang w:val="fr-FR"/>
        </w:rPr>
        <w:t>’</w:t>
      </w:r>
      <w:r w:rsidRPr="00DA18AE">
        <w:rPr>
          <w:lang w:val="fr-FR"/>
        </w:rPr>
        <w:t>activités de l</w:t>
      </w:r>
      <w:r w:rsidR="00277023">
        <w:rPr>
          <w:lang w:val="fr-FR"/>
        </w:rPr>
        <w:t>’</w:t>
      </w:r>
      <w:r w:rsidRPr="00DA18AE">
        <w:rPr>
          <w:lang w:val="fr-FR"/>
        </w:rPr>
        <w:t>équipe de soutien, le Gouvernement a établi en septembre 2004 un rapport sur l</w:t>
      </w:r>
      <w:r w:rsidR="00277023">
        <w:rPr>
          <w:lang w:val="fr-FR"/>
        </w:rPr>
        <w:t>’</w:t>
      </w:r>
      <w:r w:rsidRPr="00DA18AE">
        <w:rPr>
          <w:lang w:val="fr-FR"/>
        </w:rPr>
        <w:t>instauration d</w:t>
      </w:r>
      <w:r w:rsidR="00277023">
        <w:rPr>
          <w:lang w:val="fr-FR"/>
        </w:rPr>
        <w:t>’</w:t>
      </w:r>
      <w:r w:rsidRPr="00DA18AE">
        <w:rPr>
          <w:lang w:val="fr-FR"/>
        </w:rPr>
        <w:t>un système d</w:t>
      </w:r>
      <w:r w:rsidR="00277023">
        <w:rPr>
          <w:lang w:val="fr-FR"/>
        </w:rPr>
        <w:t>’</w:t>
      </w:r>
      <w:r w:rsidRPr="00DA18AE">
        <w:rPr>
          <w:lang w:val="fr-FR"/>
        </w:rPr>
        <w:t>aide à la jeunesse en collaboration avec des organisations compétentes, lors de la réunion des directeurs de division portant sur des mesures de lutte contre la délinquance juvénile, pour promouvoir des mesures adaptées, centrées sur les problèmes individuels des jeunes, grâce à une étroite coopération entre les organisations compétentes et une répartition rationnelle des rôles. Parallèlement, les services chargés de l</w:t>
      </w:r>
      <w:r w:rsidR="00277023">
        <w:rPr>
          <w:lang w:val="fr-FR"/>
        </w:rPr>
        <w:t>’</w:t>
      </w:r>
      <w:r w:rsidRPr="00DA18AE">
        <w:rPr>
          <w:lang w:val="fr-FR"/>
        </w:rPr>
        <w:t>application de la loi coopèrent avec ces mêmes organisations, et sur la base de ces objectifs, s</w:t>
      </w:r>
      <w:r w:rsidR="00277023">
        <w:rPr>
          <w:lang w:val="fr-FR"/>
        </w:rPr>
        <w:t>’</w:t>
      </w:r>
      <w:r w:rsidRPr="00DA18AE">
        <w:rPr>
          <w:lang w:val="fr-FR"/>
        </w:rPr>
        <w:t>emploient, essentiellement dans les centres d</w:t>
      </w:r>
      <w:r w:rsidR="00277023">
        <w:rPr>
          <w:lang w:val="fr-FR"/>
        </w:rPr>
        <w:t>’</w:t>
      </w:r>
      <w:r w:rsidRPr="00DA18AE">
        <w:rPr>
          <w:lang w:val="fr-FR"/>
        </w:rPr>
        <w:t>aide aux mineurs établis dans les services de police des préfectures, à offrir des informations et des conseils aux jeunes confrontés à des problèmes tels qu</w:t>
      </w:r>
      <w:r w:rsidR="00277023">
        <w:rPr>
          <w:lang w:val="fr-FR"/>
        </w:rPr>
        <w:t>’</w:t>
      </w:r>
      <w:r w:rsidRPr="00DA18AE">
        <w:rPr>
          <w:lang w:val="fr-FR"/>
        </w:rPr>
        <w:t>être délinquant ou victime d</w:t>
      </w:r>
      <w:r w:rsidR="00277023">
        <w:rPr>
          <w:lang w:val="fr-FR"/>
        </w:rPr>
        <w:t>’</w:t>
      </w:r>
      <w:r w:rsidRPr="00DA18AE">
        <w:rPr>
          <w:lang w:val="fr-FR"/>
        </w:rPr>
        <w:t>un crime, et à mener des activités propices à leur réadaptation.</w:t>
      </w:r>
    </w:p>
    <w:p w:rsidR="00DA18AE" w:rsidRPr="00DA18AE" w:rsidRDefault="00DA18AE" w:rsidP="00DA18AE">
      <w:pPr>
        <w:pStyle w:val="SingleTxtG"/>
        <w:rPr>
          <w:lang w:val="fr-FR"/>
        </w:rPr>
      </w:pPr>
      <w:r w:rsidRPr="00DA18AE">
        <w:rPr>
          <w:lang w:val="fr-FR"/>
        </w:rPr>
        <w:t>(Probation)</w:t>
      </w:r>
    </w:p>
    <w:p w:rsidR="00DA18AE" w:rsidRPr="00DA18AE" w:rsidRDefault="00DA18AE" w:rsidP="00DA18AE">
      <w:pPr>
        <w:pStyle w:val="SingleTxtG"/>
        <w:rPr>
          <w:lang w:val="fr-FR"/>
        </w:rPr>
      </w:pPr>
      <w:r w:rsidRPr="00DA18AE">
        <w:rPr>
          <w:lang w:val="fr-FR"/>
        </w:rPr>
        <w:t>482.</w:t>
      </w:r>
      <w:r w:rsidRPr="00DA18AE">
        <w:rPr>
          <w:lang w:val="fr-FR"/>
        </w:rPr>
        <w:tab/>
        <w:t xml:space="preserve">Voir paragraphe 419 du deuxième rapport du Japon (paragraphe 261 du rapport initial du Japon). </w:t>
      </w:r>
    </w:p>
    <w:p w:rsidR="00DA18AE" w:rsidRPr="00DA18AE" w:rsidRDefault="00DA18AE" w:rsidP="00DA18AE">
      <w:pPr>
        <w:pStyle w:val="SingleTxtG"/>
        <w:rPr>
          <w:bCs/>
          <w:iCs/>
          <w:lang w:val="fr-FR"/>
        </w:rPr>
      </w:pPr>
      <w:r w:rsidRPr="00DA18AE">
        <w:rPr>
          <w:lang w:val="fr-FR"/>
        </w:rPr>
        <w:t>(a-5) Activités de formation mises en place pour tous les professionnels concernant les instruments internationaux pertinents, y compris les Règles de</w:t>
      </w:r>
      <w:r w:rsidRPr="00DA18AE">
        <w:rPr>
          <w:bCs/>
          <w:iCs/>
          <w:lang w:val="fr-FR"/>
        </w:rPr>
        <w:t xml:space="preserve"> Beijing</w:t>
      </w:r>
    </w:p>
    <w:p w:rsidR="00DA18AE" w:rsidRPr="00DA18AE" w:rsidRDefault="00DA18AE" w:rsidP="00DA18AE">
      <w:pPr>
        <w:pStyle w:val="SingleTxtG"/>
        <w:rPr>
          <w:lang w:val="fr-FR"/>
        </w:rPr>
      </w:pPr>
      <w:r w:rsidRPr="00DA18AE">
        <w:rPr>
          <w:lang w:val="fr-FR"/>
        </w:rPr>
        <w:t>483.</w:t>
      </w:r>
      <w:r w:rsidRPr="00DA18AE">
        <w:rPr>
          <w:lang w:val="fr-FR"/>
        </w:rPr>
        <w:tab/>
        <w:t>Voir paragraphe 420 du deuxième rapport du Japon.</w:t>
      </w:r>
    </w:p>
    <w:p w:rsidR="00DA18AE" w:rsidRPr="00DA18AE" w:rsidRDefault="00DA18AE" w:rsidP="00DA18AE">
      <w:pPr>
        <w:pStyle w:val="SingleTxtG"/>
        <w:rPr>
          <w:lang w:val="fr-FR"/>
        </w:rPr>
      </w:pPr>
      <w:r w:rsidRPr="00DA18AE">
        <w:rPr>
          <w:lang w:val="fr-FR"/>
        </w:rPr>
        <w:t>(a-6) Progrès réalisés et problèmes rencontrés concer</w:t>
      </w:r>
      <w:r w:rsidR="008059DB">
        <w:rPr>
          <w:lang w:val="fr-FR"/>
        </w:rPr>
        <w:t>nant l</w:t>
      </w:r>
      <w:r w:rsidR="00277023">
        <w:rPr>
          <w:lang w:val="fr-FR"/>
        </w:rPr>
        <w:t>’</w:t>
      </w:r>
      <w:r w:rsidR="008059DB">
        <w:rPr>
          <w:lang w:val="fr-FR"/>
        </w:rPr>
        <w:t>Article 40; statistiques</w:t>
      </w:r>
    </w:p>
    <w:p w:rsidR="00DA18AE" w:rsidRPr="00DA18AE" w:rsidRDefault="00DA18AE" w:rsidP="00DA18AE">
      <w:pPr>
        <w:pStyle w:val="SingleTxtG"/>
        <w:rPr>
          <w:lang w:val="fr-FR"/>
        </w:rPr>
      </w:pPr>
      <w:r w:rsidRPr="00DA18AE">
        <w:rPr>
          <w:lang w:val="fr-FR"/>
        </w:rPr>
        <w:t>484.</w:t>
      </w:r>
      <w:r w:rsidRPr="00DA18AE">
        <w:rPr>
          <w:lang w:val="fr-FR"/>
        </w:rPr>
        <w:tab/>
        <w:t xml:space="preserve">Voir paragraphe 468. </w:t>
      </w:r>
    </w:p>
    <w:p w:rsidR="00D3561A" w:rsidRDefault="00DA18AE" w:rsidP="00DA18AE">
      <w:pPr>
        <w:pStyle w:val="SingleTxtG"/>
        <w:rPr>
          <w:lang w:val="fr-FR"/>
        </w:rPr>
      </w:pPr>
      <w:r w:rsidRPr="00DA18AE">
        <w:rPr>
          <w:lang w:val="fr-FR"/>
        </w:rPr>
        <w:t>485.</w:t>
      </w:r>
      <w:r w:rsidRPr="00DA18AE">
        <w:rPr>
          <w:lang w:val="fr-FR"/>
        </w:rPr>
        <w:tab/>
        <w:t>Les données concernant le paragraphe 2 b) iv) de l</w:t>
      </w:r>
      <w:r w:rsidR="00277023">
        <w:rPr>
          <w:lang w:val="fr-FR"/>
        </w:rPr>
        <w:t>’</w:t>
      </w:r>
      <w:r w:rsidRPr="00DA18AE">
        <w:rPr>
          <w:lang w:val="fr-FR"/>
        </w:rPr>
        <w:t xml:space="preserve">article 40 de </w:t>
      </w:r>
      <w:smartTag w:uri="urn:schemas-microsoft-com:office:smarttags" w:element="PersonName">
        <w:smartTagPr>
          <w:attr w:name="ProductID" w:val="LA CONVENTION"/>
        </w:smartTagPr>
        <w:r w:rsidRPr="00DA18AE">
          <w:rPr>
            <w:lang w:val="fr-FR"/>
          </w:rPr>
          <w:t>la Convention</w:t>
        </w:r>
      </w:smartTag>
      <w:r w:rsidRPr="00DA18AE">
        <w:rPr>
          <w:lang w:val="fr-FR"/>
        </w:rPr>
        <w:t xml:space="preserve"> sont les suivantes.</w:t>
      </w:r>
    </w:p>
    <w:p w:rsidR="00D3561A" w:rsidRPr="00277023" w:rsidRDefault="006F124D" w:rsidP="006F124D">
      <w:pPr>
        <w:pStyle w:val="Heading1"/>
        <w:rPr>
          <w:lang w:val="fr-FR"/>
        </w:rPr>
      </w:pPr>
      <w:r>
        <w:rPr>
          <w:lang w:val="fr-FR"/>
        </w:rPr>
        <w:br w:type="page"/>
      </w:r>
      <w:r w:rsidR="00365506" w:rsidRPr="00F206B8">
        <w:rPr>
          <w:lang w:val="fr-FR"/>
        </w:rPr>
        <w:t>Tableau</w:t>
      </w:r>
      <w:r w:rsidR="00365506" w:rsidRPr="00277023">
        <w:rPr>
          <w:lang w:val="fr-FR"/>
        </w:rPr>
        <w:t xml:space="preserve"> </w:t>
      </w:r>
      <w:r w:rsidR="00D3561A" w:rsidRPr="00277023">
        <w:rPr>
          <w:lang w:val="fr-FR"/>
        </w:rPr>
        <w:t>23</w:t>
      </w:r>
    </w:p>
    <w:p w:rsidR="00D3561A" w:rsidRPr="00277023" w:rsidRDefault="00FD082E" w:rsidP="00C874F0">
      <w:pPr>
        <w:pStyle w:val="SingleTxtG"/>
        <w:spacing w:after="0"/>
        <w:jc w:val="left"/>
        <w:rPr>
          <w:b/>
          <w:lang w:val="fr-FR"/>
        </w:rPr>
      </w:pPr>
      <w:r w:rsidRPr="00FD082E">
        <w:rPr>
          <w:b/>
          <w:lang w:val="fr-FR"/>
        </w:rPr>
        <w:t>Interprètes/traducteurs engagés à l</w:t>
      </w:r>
      <w:r w:rsidR="00277023">
        <w:rPr>
          <w:b/>
          <w:lang w:val="fr-FR"/>
        </w:rPr>
        <w:t>’</w:t>
      </w:r>
      <w:r w:rsidRPr="00FD082E">
        <w:rPr>
          <w:b/>
          <w:lang w:val="fr-FR"/>
        </w:rPr>
        <w:t>occasion d</w:t>
      </w:r>
      <w:r w:rsidR="00277023">
        <w:rPr>
          <w:b/>
          <w:lang w:val="fr-FR"/>
        </w:rPr>
        <w:t>’</w:t>
      </w:r>
      <w:r w:rsidRPr="00FD082E">
        <w:rPr>
          <w:b/>
          <w:lang w:val="fr-FR"/>
        </w:rPr>
        <w:t>incidents d</w:t>
      </w:r>
      <w:r w:rsidR="00277023">
        <w:rPr>
          <w:b/>
          <w:lang w:val="fr-FR"/>
        </w:rPr>
        <w:t>’</w:t>
      </w:r>
      <w:r w:rsidRPr="00FD082E">
        <w:rPr>
          <w:b/>
          <w:lang w:val="fr-FR"/>
        </w:rPr>
        <w:t>ordre général commis par des jeunes de nationalité étrangère</w:t>
      </w:r>
    </w:p>
    <w:p w:rsidR="00D3561A" w:rsidRPr="00277023" w:rsidRDefault="00D3561A" w:rsidP="00C874F0">
      <w:pPr>
        <w:pStyle w:val="SingleTxtG"/>
        <w:jc w:val="left"/>
        <w:rPr>
          <w:sz w:val="16"/>
          <w:szCs w:val="16"/>
          <w:lang w:val="fr-FR"/>
        </w:rPr>
      </w:pPr>
      <w:r w:rsidRPr="00277023">
        <w:rPr>
          <w:sz w:val="16"/>
          <w:szCs w:val="16"/>
          <w:lang w:val="fr-FR"/>
        </w:rPr>
        <w:t>(</w:t>
      </w:r>
      <w:r w:rsidR="00FD082E" w:rsidRPr="00FD082E">
        <w:rPr>
          <w:bCs/>
          <w:sz w:val="16"/>
          <w:szCs w:val="16"/>
          <w:lang w:val="fr-FR"/>
        </w:rPr>
        <w:t>avec sous-totaux selon la nationalité</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3"/>
        <w:gridCol w:w="533"/>
        <w:gridCol w:w="474"/>
        <w:gridCol w:w="546"/>
        <w:gridCol w:w="546"/>
        <w:gridCol w:w="742"/>
        <w:gridCol w:w="1498"/>
        <w:gridCol w:w="757"/>
        <w:gridCol w:w="771"/>
        <w:gridCol w:w="589"/>
        <w:gridCol w:w="884"/>
        <w:gridCol w:w="588"/>
        <w:gridCol w:w="589"/>
        <w:gridCol w:w="589"/>
      </w:tblGrid>
      <w:tr w:rsidR="00D3561A" w:rsidRPr="008E5027" w:rsidTr="006F124D">
        <w:trPr>
          <w:tblHeader/>
        </w:trPr>
        <w:tc>
          <w:tcPr>
            <w:tcW w:w="533" w:type="dxa"/>
            <w:tcBorders>
              <w:top w:val="single" w:sz="4" w:space="0" w:color="auto"/>
              <w:bottom w:val="single" w:sz="12" w:space="0" w:color="auto"/>
            </w:tcBorders>
            <w:shd w:val="clear" w:color="auto" w:fill="auto"/>
            <w:vAlign w:val="bottom"/>
          </w:tcPr>
          <w:p w:rsidR="00D3561A" w:rsidRPr="00277023" w:rsidRDefault="00D3561A" w:rsidP="00D3561A">
            <w:pPr>
              <w:spacing w:before="80" w:after="80" w:line="200" w:lineRule="exact"/>
              <w:rPr>
                <w:i/>
                <w:sz w:val="16"/>
                <w:lang w:val="fr-FR"/>
              </w:rPr>
            </w:pPr>
          </w:p>
        </w:tc>
        <w:tc>
          <w:tcPr>
            <w:tcW w:w="533" w:type="dxa"/>
            <w:tcBorders>
              <w:top w:val="single" w:sz="4" w:space="0" w:color="auto"/>
              <w:bottom w:val="single" w:sz="12" w:space="0" w:color="auto"/>
            </w:tcBorders>
            <w:shd w:val="clear" w:color="auto" w:fill="auto"/>
            <w:vAlign w:val="bottom"/>
          </w:tcPr>
          <w:p w:rsidR="00D3561A" w:rsidRPr="00277023" w:rsidRDefault="00D3561A" w:rsidP="00AB0303">
            <w:pPr>
              <w:spacing w:before="80" w:after="80" w:line="200" w:lineRule="exact"/>
              <w:rPr>
                <w:i/>
                <w:sz w:val="16"/>
                <w:lang w:val="fr-FR"/>
              </w:rPr>
            </w:pPr>
          </w:p>
        </w:tc>
        <w:tc>
          <w:tcPr>
            <w:tcW w:w="474" w:type="dxa"/>
            <w:tcBorders>
              <w:top w:val="single" w:sz="4" w:space="0" w:color="auto"/>
              <w:bottom w:val="single" w:sz="12" w:space="0" w:color="auto"/>
            </w:tcBorders>
            <w:shd w:val="clear" w:color="auto" w:fill="auto"/>
            <w:vAlign w:val="bottom"/>
          </w:tcPr>
          <w:p w:rsidR="00D3561A" w:rsidRPr="00277023" w:rsidRDefault="00D3561A" w:rsidP="00AB0303">
            <w:pPr>
              <w:spacing w:before="80" w:after="80" w:line="200" w:lineRule="exact"/>
              <w:rPr>
                <w:i/>
                <w:sz w:val="16"/>
                <w:lang w:val="fr-FR"/>
              </w:rPr>
            </w:pPr>
          </w:p>
        </w:tc>
        <w:tc>
          <w:tcPr>
            <w:tcW w:w="546"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b/>
                <w:i/>
                <w:sz w:val="16"/>
              </w:rPr>
            </w:pPr>
            <w:r w:rsidRPr="008E5027">
              <w:rPr>
                <w:b/>
                <w:i/>
                <w:sz w:val="16"/>
              </w:rPr>
              <w:t>Total</w:t>
            </w:r>
          </w:p>
        </w:tc>
        <w:tc>
          <w:tcPr>
            <w:tcW w:w="546"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smartTag w:uri="urn:schemas-microsoft-com:office:smarttags" w:element="place">
              <w:smartTag w:uri="urn:schemas-microsoft-com:office:smarttags" w:element="country-region">
                <w:r w:rsidRPr="008E5027">
                  <w:rPr>
                    <w:i/>
                    <w:sz w:val="16"/>
                  </w:rPr>
                  <w:t>U</w:t>
                </w:r>
                <w:r w:rsidR="006F124D">
                  <w:rPr>
                    <w:i/>
                    <w:sz w:val="16"/>
                  </w:rPr>
                  <w:t>.</w:t>
                </w:r>
                <w:r w:rsidRPr="008E5027">
                  <w:rPr>
                    <w:i/>
                    <w:sz w:val="16"/>
                  </w:rPr>
                  <w:t>S</w:t>
                </w:r>
                <w:r w:rsidR="006F124D">
                  <w:rPr>
                    <w:i/>
                    <w:sz w:val="16"/>
                  </w:rPr>
                  <w:t>.</w:t>
                </w:r>
                <w:r w:rsidRPr="008E5027">
                  <w:rPr>
                    <w:i/>
                    <w:sz w:val="16"/>
                  </w:rPr>
                  <w:t>A</w:t>
                </w:r>
                <w:r w:rsidR="006F124D">
                  <w:rPr>
                    <w:i/>
                    <w:sz w:val="16"/>
                  </w:rPr>
                  <w:t>.</w:t>
                </w:r>
              </w:smartTag>
            </w:smartTag>
          </w:p>
        </w:tc>
        <w:tc>
          <w:tcPr>
            <w:tcW w:w="742" w:type="dxa"/>
            <w:tcBorders>
              <w:top w:val="single" w:sz="4" w:space="0" w:color="auto"/>
              <w:bottom w:val="single" w:sz="12" w:space="0" w:color="auto"/>
            </w:tcBorders>
            <w:shd w:val="clear" w:color="auto" w:fill="auto"/>
            <w:vAlign w:val="bottom"/>
          </w:tcPr>
          <w:p w:rsidR="00D3561A" w:rsidRPr="008E5027" w:rsidRDefault="00D3561A" w:rsidP="00D3561A">
            <w:pPr>
              <w:spacing w:before="80" w:after="80" w:line="200" w:lineRule="exact"/>
              <w:jc w:val="right"/>
              <w:rPr>
                <w:i/>
                <w:sz w:val="16"/>
              </w:rPr>
            </w:pPr>
            <w:smartTag w:uri="urn:schemas-microsoft-com:office:smarttags" w:element="place">
              <w:smartTag w:uri="urn:schemas-microsoft-com:office:smarttags" w:element="country-region">
                <w:r w:rsidRPr="008E5027">
                  <w:rPr>
                    <w:i/>
                    <w:sz w:val="16"/>
                  </w:rPr>
                  <w:t>Viet</w:t>
                </w:r>
                <w:r w:rsidR="004A19C9" w:rsidRPr="008E5027">
                  <w:rPr>
                    <w:i/>
                    <w:sz w:val="16"/>
                  </w:rPr>
                  <w:t xml:space="preserve"> N</w:t>
                </w:r>
                <w:r w:rsidRPr="008E5027">
                  <w:rPr>
                    <w:i/>
                    <w:sz w:val="16"/>
                  </w:rPr>
                  <w:t>am</w:t>
                </w:r>
              </w:smartTag>
            </w:smartTag>
          </w:p>
        </w:tc>
        <w:tc>
          <w:tcPr>
            <w:tcW w:w="1498" w:type="dxa"/>
            <w:tcBorders>
              <w:top w:val="single" w:sz="4" w:space="0" w:color="auto"/>
              <w:bottom w:val="single" w:sz="12" w:space="0" w:color="auto"/>
            </w:tcBorders>
            <w:shd w:val="clear" w:color="auto" w:fill="auto"/>
            <w:vAlign w:val="bottom"/>
          </w:tcPr>
          <w:p w:rsidR="00D3561A" w:rsidRPr="00C85630" w:rsidRDefault="00C85630" w:rsidP="00D3561A">
            <w:pPr>
              <w:spacing w:before="80" w:after="80" w:line="200" w:lineRule="exact"/>
              <w:jc w:val="right"/>
              <w:rPr>
                <w:i/>
                <w:sz w:val="16"/>
                <w:lang w:val="es-ES"/>
              </w:rPr>
            </w:pPr>
            <w:r w:rsidRPr="00C85630">
              <w:rPr>
                <w:i/>
                <w:sz w:val="16"/>
                <w:lang w:val="es-ES"/>
              </w:rPr>
              <w:t xml:space="preserve">République de </w:t>
            </w:r>
            <w:r w:rsidR="006F124D">
              <w:rPr>
                <w:i/>
                <w:sz w:val="16"/>
                <w:lang w:val="es-ES"/>
              </w:rPr>
              <w:br/>
            </w:r>
            <w:r w:rsidRPr="00C85630">
              <w:rPr>
                <w:i/>
                <w:sz w:val="16"/>
                <w:lang w:val="es-ES"/>
              </w:rPr>
              <w:t>Corée/Corée du nord</w:t>
            </w:r>
          </w:p>
        </w:tc>
        <w:tc>
          <w:tcPr>
            <w:tcW w:w="757" w:type="dxa"/>
            <w:tcBorders>
              <w:top w:val="single" w:sz="4" w:space="0" w:color="auto"/>
              <w:bottom w:val="single" w:sz="12" w:space="0" w:color="auto"/>
            </w:tcBorders>
            <w:shd w:val="clear" w:color="auto" w:fill="auto"/>
            <w:vAlign w:val="bottom"/>
          </w:tcPr>
          <w:p w:rsidR="00D3561A" w:rsidRPr="00C85630" w:rsidRDefault="00C85630" w:rsidP="00D3561A">
            <w:pPr>
              <w:spacing w:before="80" w:after="80" w:line="200" w:lineRule="exact"/>
              <w:jc w:val="right"/>
              <w:rPr>
                <w:i/>
                <w:sz w:val="16"/>
              </w:rPr>
            </w:pPr>
            <w:r w:rsidRPr="00C85630">
              <w:rPr>
                <w:i/>
                <w:sz w:val="16"/>
              </w:rPr>
              <w:t>Colombie</w:t>
            </w:r>
          </w:p>
        </w:tc>
        <w:tc>
          <w:tcPr>
            <w:tcW w:w="771" w:type="dxa"/>
            <w:tcBorders>
              <w:top w:val="single" w:sz="4" w:space="0" w:color="auto"/>
              <w:bottom w:val="single" w:sz="12" w:space="0" w:color="auto"/>
            </w:tcBorders>
            <w:shd w:val="clear" w:color="auto" w:fill="auto"/>
            <w:vAlign w:val="bottom"/>
          </w:tcPr>
          <w:p w:rsidR="00D3561A" w:rsidRPr="00C85630" w:rsidRDefault="00C85630" w:rsidP="00D3561A">
            <w:pPr>
              <w:spacing w:before="80" w:after="80" w:line="200" w:lineRule="exact"/>
              <w:jc w:val="right"/>
              <w:rPr>
                <w:i/>
                <w:sz w:val="16"/>
              </w:rPr>
            </w:pPr>
            <w:r w:rsidRPr="00C85630">
              <w:rPr>
                <w:i/>
                <w:sz w:val="16"/>
              </w:rPr>
              <w:t>Thaïlande</w:t>
            </w:r>
          </w:p>
        </w:tc>
        <w:tc>
          <w:tcPr>
            <w:tcW w:w="589" w:type="dxa"/>
            <w:tcBorders>
              <w:top w:val="single" w:sz="4" w:space="0" w:color="auto"/>
              <w:bottom w:val="single" w:sz="12" w:space="0" w:color="auto"/>
            </w:tcBorders>
            <w:shd w:val="clear" w:color="auto" w:fill="auto"/>
            <w:vAlign w:val="bottom"/>
          </w:tcPr>
          <w:p w:rsidR="00D3561A" w:rsidRPr="00C85630" w:rsidRDefault="00C85630" w:rsidP="00D3561A">
            <w:pPr>
              <w:spacing w:before="80" w:after="80" w:line="200" w:lineRule="exact"/>
              <w:jc w:val="right"/>
              <w:rPr>
                <w:i/>
                <w:sz w:val="16"/>
              </w:rPr>
            </w:pPr>
            <w:r w:rsidRPr="00C85630">
              <w:rPr>
                <w:i/>
                <w:sz w:val="16"/>
              </w:rPr>
              <w:t>Chine</w:t>
            </w:r>
          </w:p>
        </w:tc>
        <w:tc>
          <w:tcPr>
            <w:tcW w:w="884" w:type="dxa"/>
            <w:tcBorders>
              <w:top w:val="single" w:sz="4" w:space="0" w:color="auto"/>
              <w:bottom w:val="single" w:sz="12" w:space="0" w:color="auto"/>
            </w:tcBorders>
            <w:shd w:val="clear" w:color="auto" w:fill="auto"/>
            <w:vAlign w:val="bottom"/>
          </w:tcPr>
          <w:p w:rsidR="00D3561A" w:rsidRPr="00C85630" w:rsidRDefault="00C85630" w:rsidP="00D3561A">
            <w:pPr>
              <w:spacing w:before="80" w:after="80" w:line="200" w:lineRule="exact"/>
              <w:jc w:val="right"/>
              <w:rPr>
                <w:i/>
                <w:sz w:val="16"/>
              </w:rPr>
            </w:pPr>
            <w:smartTag w:uri="urn:schemas-microsoft-com:office:smarttags" w:element="place">
              <w:smartTag w:uri="urn:schemas-microsoft-com:office:smarttags" w:element="country-region">
                <w:r w:rsidRPr="00C85630">
                  <w:rPr>
                    <w:i/>
                    <w:sz w:val="16"/>
                  </w:rPr>
                  <w:t>Philippines</w:t>
                </w:r>
              </w:smartTag>
            </w:smartTag>
          </w:p>
        </w:tc>
        <w:tc>
          <w:tcPr>
            <w:tcW w:w="588" w:type="dxa"/>
            <w:tcBorders>
              <w:top w:val="single" w:sz="4" w:space="0" w:color="auto"/>
              <w:bottom w:val="single" w:sz="12" w:space="0" w:color="auto"/>
            </w:tcBorders>
            <w:shd w:val="clear" w:color="auto" w:fill="auto"/>
            <w:vAlign w:val="bottom"/>
          </w:tcPr>
          <w:p w:rsidR="00D3561A" w:rsidRPr="00C85630" w:rsidRDefault="00C85630" w:rsidP="00D3561A">
            <w:pPr>
              <w:spacing w:before="80" w:after="80" w:line="200" w:lineRule="exact"/>
              <w:jc w:val="right"/>
              <w:rPr>
                <w:i/>
                <w:sz w:val="16"/>
              </w:rPr>
            </w:pPr>
            <w:r w:rsidRPr="00C85630">
              <w:rPr>
                <w:i/>
                <w:sz w:val="16"/>
              </w:rPr>
              <w:t>Brésil</w:t>
            </w:r>
          </w:p>
        </w:tc>
        <w:tc>
          <w:tcPr>
            <w:tcW w:w="589" w:type="dxa"/>
            <w:tcBorders>
              <w:top w:val="single" w:sz="4" w:space="0" w:color="auto"/>
              <w:bottom w:val="single" w:sz="12" w:space="0" w:color="auto"/>
            </w:tcBorders>
            <w:shd w:val="clear" w:color="auto" w:fill="auto"/>
            <w:vAlign w:val="bottom"/>
          </w:tcPr>
          <w:p w:rsidR="00D3561A" w:rsidRPr="00C85630" w:rsidRDefault="00C85630" w:rsidP="00D3561A">
            <w:pPr>
              <w:spacing w:before="80" w:after="80" w:line="200" w:lineRule="exact"/>
              <w:jc w:val="right"/>
              <w:rPr>
                <w:i/>
                <w:sz w:val="16"/>
              </w:rPr>
            </w:pPr>
            <w:r w:rsidRPr="00C85630">
              <w:rPr>
                <w:i/>
                <w:sz w:val="16"/>
              </w:rPr>
              <w:t>Pérou</w:t>
            </w:r>
          </w:p>
        </w:tc>
        <w:tc>
          <w:tcPr>
            <w:tcW w:w="589" w:type="dxa"/>
            <w:tcBorders>
              <w:top w:val="single" w:sz="4" w:space="0" w:color="auto"/>
              <w:bottom w:val="single" w:sz="12" w:space="0" w:color="auto"/>
            </w:tcBorders>
            <w:shd w:val="clear" w:color="auto" w:fill="auto"/>
            <w:vAlign w:val="bottom"/>
          </w:tcPr>
          <w:p w:rsidR="00D3561A" w:rsidRPr="00C85630" w:rsidRDefault="00C85630" w:rsidP="00D3561A">
            <w:pPr>
              <w:spacing w:before="80" w:after="80" w:line="200" w:lineRule="exact"/>
              <w:jc w:val="right"/>
              <w:rPr>
                <w:i/>
                <w:sz w:val="16"/>
              </w:rPr>
            </w:pPr>
            <w:r w:rsidRPr="00C85630">
              <w:rPr>
                <w:i/>
                <w:sz w:val="16"/>
              </w:rPr>
              <w:t>Autres</w:t>
            </w:r>
          </w:p>
        </w:tc>
      </w:tr>
      <w:tr w:rsidR="00D3561A" w:rsidRPr="008E5027" w:rsidTr="006F124D">
        <w:tc>
          <w:tcPr>
            <w:tcW w:w="533"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r w:rsidRPr="008E5027">
              <w:rPr>
                <w:b/>
                <w:sz w:val="18"/>
              </w:rPr>
              <w:t>2000</w:t>
            </w:r>
          </w:p>
        </w:tc>
        <w:tc>
          <w:tcPr>
            <w:tcW w:w="533"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r w:rsidRPr="008E5027">
              <w:rPr>
                <w:b/>
                <w:sz w:val="18"/>
              </w:rPr>
              <w:t>Total</w:t>
            </w:r>
          </w:p>
        </w:tc>
        <w:tc>
          <w:tcPr>
            <w:tcW w:w="474"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p>
        </w:tc>
        <w:tc>
          <w:tcPr>
            <w:tcW w:w="546"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1 218</w:t>
            </w:r>
          </w:p>
        </w:tc>
        <w:tc>
          <w:tcPr>
            <w:tcW w:w="546"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16</w:t>
            </w:r>
          </w:p>
        </w:tc>
        <w:tc>
          <w:tcPr>
            <w:tcW w:w="742"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28</w:t>
            </w:r>
          </w:p>
        </w:tc>
        <w:tc>
          <w:tcPr>
            <w:tcW w:w="1498"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618</w:t>
            </w:r>
          </w:p>
        </w:tc>
        <w:tc>
          <w:tcPr>
            <w:tcW w:w="757"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10</w:t>
            </w:r>
          </w:p>
        </w:tc>
        <w:tc>
          <w:tcPr>
            <w:tcW w:w="771"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11</w:t>
            </w:r>
          </w:p>
        </w:tc>
        <w:tc>
          <w:tcPr>
            <w:tcW w:w="589"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172</w:t>
            </w:r>
          </w:p>
        </w:tc>
        <w:tc>
          <w:tcPr>
            <w:tcW w:w="884"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47</w:t>
            </w:r>
          </w:p>
        </w:tc>
        <w:tc>
          <w:tcPr>
            <w:tcW w:w="588"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220</w:t>
            </w:r>
          </w:p>
        </w:tc>
        <w:tc>
          <w:tcPr>
            <w:tcW w:w="589"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36</w:t>
            </w:r>
          </w:p>
        </w:tc>
        <w:tc>
          <w:tcPr>
            <w:tcW w:w="589" w:type="dxa"/>
            <w:tcBorders>
              <w:top w:val="single" w:sz="12"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60</w:t>
            </w:r>
          </w:p>
        </w:tc>
      </w:tr>
      <w:tr w:rsidR="00D3561A" w:rsidRPr="008E5027" w:rsidTr="006F124D">
        <w:tc>
          <w:tcPr>
            <w:tcW w:w="533"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top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top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Non</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933</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10</w:t>
            </w:r>
          </w:p>
        </w:tc>
        <w:tc>
          <w:tcPr>
            <w:tcW w:w="742"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22</w:t>
            </w:r>
          </w:p>
        </w:tc>
        <w:tc>
          <w:tcPr>
            <w:tcW w:w="149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612</w:t>
            </w:r>
          </w:p>
        </w:tc>
        <w:tc>
          <w:tcPr>
            <w:tcW w:w="757"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w:t>
            </w:r>
          </w:p>
        </w:tc>
        <w:tc>
          <w:tcPr>
            <w:tcW w:w="771"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110</w:t>
            </w:r>
          </w:p>
        </w:tc>
        <w:tc>
          <w:tcPr>
            <w:tcW w:w="884"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41</w:t>
            </w:r>
          </w:p>
        </w:tc>
        <w:tc>
          <w:tcPr>
            <w:tcW w:w="58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76</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14</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38</w:t>
            </w:r>
          </w:p>
        </w:tc>
      </w:tr>
      <w:tr w:rsidR="00D3561A" w:rsidRPr="008E5027" w:rsidTr="006F124D">
        <w:tc>
          <w:tcPr>
            <w:tcW w:w="533"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bottom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bottom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Oui</w:t>
            </w:r>
          </w:p>
        </w:tc>
        <w:tc>
          <w:tcPr>
            <w:tcW w:w="546"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285</w:t>
            </w:r>
          </w:p>
        </w:tc>
        <w:tc>
          <w:tcPr>
            <w:tcW w:w="546"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742"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1498"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757"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771"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62</w:t>
            </w:r>
          </w:p>
        </w:tc>
        <w:tc>
          <w:tcPr>
            <w:tcW w:w="884"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588"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144</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22</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22</w:t>
            </w:r>
          </w:p>
        </w:tc>
      </w:tr>
      <w:tr w:rsidR="00D3561A" w:rsidRPr="008E5027" w:rsidTr="006F124D">
        <w:tc>
          <w:tcPr>
            <w:tcW w:w="533"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r w:rsidRPr="008E5027">
              <w:rPr>
                <w:b/>
                <w:sz w:val="18"/>
              </w:rPr>
              <w:t>2001</w:t>
            </w:r>
          </w:p>
        </w:tc>
        <w:tc>
          <w:tcPr>
            <w:tcW w:w="533"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r w:rsidRPr="008E5027">
              <w:rPr>
                <w:b/>
                <w:sz w:val="18"/>
              </w:rPr>
              <w:t>Total</w:t>
            </w:r>
          </w:p>
        </w:tc>
        <w:tc>
          <w:tcPr>
            <w:tcW w:w="474"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p>
        </w:tc>
        <w:tc>
          <w:tcPr>
            <w:tcW w:w="546"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1 436</w:t>
            </w:r>
          </w:p>
        </w:tc>
        <w:tc>
          <w:tcPr>
            <w:tcW w:w="546"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28</w:t>
            </w:r>
          </w:p>
        </w:tc>
        <w:tc>
          <w:tcPr>
            <w:tcW w:w="742"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39</w:t>
            </w:r>
          </w:p>
        </w:tc>
        <w:tc>
          <w:tcPr>
            <w:tcW w:w="1498"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594</w:t>
            </w:r>
          </w:p>
        </w:tc>
        <w:tc>
          <w:tcPr>
            <w:tcW w:w="757"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10</w:t>
            </w:r>
          </w:p>
        </w:tc>
        <w:tc>
          <w:tcPr>
            <w:tcW w:w="771"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14</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261</w:t>
            </w:r>
          </w:p>
        </w:tc>
        <w:tc>
          <w:tcPr>
            <w:tcW w:w="884"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60</w:t>
            </w:r>
          </w:p>
        </w:tc>
        <w:tc>
          <w:tcPr>
            <w:tcW w:w="588"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309</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46</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75</w:t>
            </w:r>
          </w:p>
        </w:tc>
      </w:tr>
      <w:tr w:rsidR="00D3561A" w:rsidRPr="008E5027" w:rsidTr="006F124D">
        <w:tc>
          <w:tcPr>
            <w:tcW w:w="533"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top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top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Non</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986</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16</w:t>
            </w:r>
          </w:p>
        </w:tc>
        <w:tc>
          <w:tcPr>
            <w:tcW w:w="742"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25</w:t>
            </w:r>
          </w:p>
        </w:tc>
        <w:tc>
          <w:tcPr>
            <w:tcW w:w="149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583</w:t>
            </w:r>
          </w:p>
        </w:tc>
        <w:tc>
          <w:tcPr>
            <w:tcW w:w="757"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w:t>
            </w:r>
          </w:p>
        </w:tc>
        <w:tc>
          <w:tcPr>
            <w:tcW w:w="771"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143</w:t>
            </w:r>
          </w:p>
        </w:tc>
        <w:tc>
          <w:tcPr>
            <w:tcW w:w="884"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46</w:t>
            </w:r>
          </w:p>
        </w:tc>
        <w:tc>
          <w:tcPr>
            <w:tcW w:w="58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105</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22</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39</w:t>
            </w:r>
          </w:p>
        </w:tc>
      </w:tr>
      <w:tr w:rsidR="00D3561A" w:rsidRPr="008E5027" w:rsidTr="006F124D">
        <w:tc>
          <w:tcPr>
            <w:tcW w:w="533"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bottom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bottom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Oui</w:t>
            </w:r>
          </w:p>
        </w:tc>
        <w:tc>
          <w:tcPr>
            <w:tcW w:w="546"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450</w:t>
            </w:r>
          </w:p>
        </w:tc>
        <w:tc>
          <w:tcPr>
            <w:tcW w:w="546"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12</w:t>
            </w:r>
          </w:p>
        </w:tc>
        <w:tc>
          <w:tcPr>
            <w:tcW w:w="742"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14</w:t>
            </w:r>
          </w:p>
        </w:tc>
        <w:tc>
          <w:tcPr>
            <w:tcW w:w="1498"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11</w:t>
            </w:r>
          </w:p>
        </w:tc>
        <w:tc>
          <w:tcPr>
            <w:tcW w:w="757"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w:t>
            </w:r>
          </w:p>
        </w:tc>
        <w:tc>
          <w:tcPr>
            <w:tcW w:w="771"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12</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118</w:t>
            </w:r>
          </w:p>
        </w:tc>
        <w:tc>
          <w:tcPr>
            <w:tcW w:w="884"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14</w:t>
            </w:r>
          </w:p>
        </w:tc>
        <w:tc>
          <w:tcPr>
            <w:tcW w:w="588"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204</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24</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36</w:t>
            </w:r>
          </w:p>
        </w:tc>
      </w:tr>
      <w:tr w:rsidR="006F124D" w:rsidRPr="008E5027" w:rsidTr="006F124D">
        <w:tc>
          <w:tcPr>
            <w:tcW w:w="533"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r w:rsidRPr="008E5027">
              <w:rPr>
                <w:b/>
                <w:sz w:val="18"/>
              </w:rPr>
              <w:t>2002</w:t>
            </w:r>
          </w:p>
        </w:tc>
        <w:tc>
          <w:tcPr>
            <w:tcW w:w="533"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r w:rsidRPr="008E5027">
              <w:rPr>
                <w:b/>
                <w:sz w:val="18"/>
              </w:rPr>
              <w:t>Total</w:t>
            </w:r>
          </w:p>
        </w:tc>
        <w:tc>
          <w:tcPr>
            <w:tcW w:w="474"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p>
        </w:tc>
        <w:tc>
          <w:tcPr>
            <w:tcW w:w="546"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1 562</w:t>
            </w:r>
          </w:p>
        </w:tc>
        <w:tc>
          <w:tcPr>
            <w:tcW w:w="546"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24</w:t>
            </w:r>
          </w:p>
        </w:tc>
        <w:tc>
          <w:tcPr>
            <w:tcW w:w="742"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32</w:t>
            </w:r>
          </w:p>
        </w:tc>
        <w:tc>
          <w:tcPr>
            <w:tcW w:w="1498"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621</w:t>
            </w:r>
          </w:p>
        </w:tc>
        <w:tc>
          <w:tcPr>
            <w:tcW w:w="757"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19</w:t>
            </w:r>
          </w:p>
        </w:tc>
        <w:tc>
          <w:tcPr>
            <w:tcW w:w="771"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19</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275</w:t>
            </w:r>
          </w:p>
        </w:tc>
        <w:tc>
          <w:tcPr>
            <w:tcW w:w="884"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62</w:t>
            </w:r>
          </w:p>
        </w:tc>
        <w:tc>
          <w:tcPr>
            <w:tcW w:w="588"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324</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71</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115</w:t>
            </w:r>
          </w:p>
        </w:tc>
      </w:tr>
      <w:tr w:rsidR="00D3561A" w:rsidRPr="008E5027" w:rsidTr="006F124D">
        <w:tc>
          <w:tcPr>
            <w:tcW w:w="533"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top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top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Non</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1 084</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11</w:t>
            </w:r>
          </w:p>
        </w:tc>
        <w:tc>
          <w:tcPr>
            <w:tcW w:w="742"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19</w:t>
            </w:r>
          </w:p>
        </w:tc>
        <w:tc>
          <w:tcPr>
            <w:tcW w:w="149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620</w:t>
            </w:r>
          </w:p>
        </w:tc>
        <w:tc>
          <w:tcPr>
            <w:tcW w:w="757"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7</w:t>
            </w:r>
          </w:p>
        </w:tc>
        <w:tc>
          <w:tcPr>
            <w:tcW w:w="771"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13</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142</w:t>
            </w:r>
          </w:p>
        </w:tc>
        <w:tc>
          <w:tcPr>
            <w:tcW w:w="884"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51</w:t>
            </w:r>
          </w:p>
        </w:tc>
        <w:tc>
          <w:tcPr>
            <w:tcW w:w="58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131</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36</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54</w:t>
            </w:r>
          </w:p>
        </w:tc>
      </w:tr>
      <w:tr w:rsidR="00D3561A" w:rsidRPr="008E5027" w:rsidTr="006F124D">
        <w:tc>
          <w:tcPr>
            <w:tcW w:w="533"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bottom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bottom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Oui</w:t>
            </w:r>
          </w:p>
        </w:tc>
        <w:tc>
          <w:tcPr>
            <w:tcW w:w="546"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478</w:t>
            </w:r>
          </w:p>
        </w:tc>
        <w:tc>
          <w:tcPr>
            <w:tcW w:w="546"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13</w:t>
            </w:r>
          </w:p>
        </w:tc>
        <w:tc>
          <w:tcPr>
            <w:tcW w:w="742"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13</w:t>
            </w:r>
          </w:p>
        </w:tc>
        <w:tc>
          <w:tcPr>
            <w:tcW w:w="1498"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w:t>
            </w:r>
          </w:p>
        </w:tc>
        <w:tc>
          <w:tcPr>
            <w:tcW w:w="757"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12</w:t>
            </w:r>
          </w:p>
        </w:tc>
        <w:tc>
          <w:tcPr>
            <w:tcW w:w="771"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133</w:t>
            </w:r>
          </w:p>
        </w:tc>
        <w:tc>
          <w:tcPr>
            <w:tcW w:w="884"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11</w:t>
            </w:r>
          </w:p>
        </w:tc>
        <w:tc>
          <w:tcPr>
            <w:tcW w:w="588"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193</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35</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61</w:t>
            </w:r>
          </w:p>
        </w:tc>
      </w:tr>
      <w:tr w:rsidR="00D3561A" w:rsidRPr="008E5027" w:rsidTr="006F124D">
        <w:tc>
          <w:tcPr>
            <w:tcW w:w="533"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r w:rsidRPr="008E5027">
              <w:rPr>
                <w:b/>
                <w:sz w:val="18"/>
              </w:rPr>
              <w:t>2003</w:t>
            </w:r>
          </w:p>
        </w:tc>
        <w:tc>
          <w:tcPr>
            <w:tcW w:w="533"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r w:rsidRPr="008E5027">
              <w:rPr>
                <w:b/>
                <w:sz w:val="18"/>
              </w:rPr>
              <w:t>Total</w:t>
            </w:r>
          </w:p>
        </w:tc>
        <w:tc>
          <w:tcPr>
            <w:tcW w:w="474"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rPr>
                <w:b/>
                <w:sz w:val="18"/>
              </w:rPr>
            </w:pPr>
          </w:p>
        </w:tc>
        <w:tc>
          <w:tcPr>
            <w:tcW w:w="546"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1 460</w:t>
            </w:r>
          </w:p>
        </w:tc>
        <w:tc>
          <w:tcPr>
            <w:tcW w:w="546"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16</w:t>
            </w:r>
          </w:p>
        </w:tc>
        <w:tc>
          <w:tcPr>
            <w:tcW w:w="742"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56</w:t>
            </w:r>
          </w:p>
        </w:tc>
        <w:tc>
          <w:tcPr>
            <w:tcW w:w="1498"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507</w:t>
            </w:r>
          </w:p>
        </w:tc>
        <w:tc>
          <w:tcPr>
            <w:tcW w:w="757"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16</w:t>
            </w:r>
          </w:p>
        </w:tc>
        <w:tc>
          <w:tcPr>
            <w:tcW w:w="771"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24</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272</w:t>
            </w:r>
          </w:p>
        </w:tc>
        <w:tc>
          <w:tcPr>
            <w:tcW w:w="884"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92</w:t>
            </w:r>
          </w:p>
        </w:tc>
        <w:tc>
          <w:tcPr>
            <w:tcW w:w="588"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316</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71</w:t>
            </w:r>
          </w:p>
        </w:tc>
        <w:tc>
          <w:tcPr>
            <w:tcW w:w="589" w:type="dxa"/>
            <w:tcBorders>
              <w:top w:val="single" w:sz="4" w:space="0" w:color="auto"/>
              <w:bottom w:val="single" w:sz="4" w:space="0" w:color="auto"/>
            </w:tcBorders>
            <w:shd w:val="clear" w:color="auto" w:fill="auto"/>
            <w:vAlign w:val="bottom"/>
          </w:tcPr>
          <w:p w:rsidR="00D3561A" w:rsidRPr="008E5027" w:rsidRDefault="00D3561A" w:rsidP="00C85630">
            <w:pPr>
              <w:suppressAutoHyphens w:val="0"/>
              <w:spacing w:before="80" w:after="80" w:line="220" w:lineRule="exact"/>
              <w:jc w:val="right"/>
              <w:rPr>
                <w:b/>
                <w:sz w:val="18"/>
              </w:rPr>
            </w:pPr>
            <w:r w:rsidRPr="008E5027">
              <w:rPr>
                <w:b/>
                <w:sz w:val="18"/>
              </w:rPr>
              <w:t>90</w:t>
            </w:r>
          </w:p>
        </w:tc>
      </w:tr>
      <w:tr w:rsidR="00D3561A" w:rsidRPr="008E5027" w:rsidTr="006F124D">
        <w:tc>
          <w:tcPr>
            <w:tcW w:w="533"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top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top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Non</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997</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9</w:t>
            </w:r>
          </w:p>
        </w:tc>
        <w:tc>
          <w:tcPr>
            <w:tcW w:w="742"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36</w:t>
            </w:r>
          </w:p>
        </w:tc>
        <w:tc>
          <w:tcPr>
            <w:tcW w:w="149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501</w:t>
            </w:r>
          </w:p>
        </w:tc>
        <w:tc>
          <w:tcPr>
            <w:tcW w:w="757"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w:t>
            </w:r>
          </w:p>
        </w:tc>
        <w:tc>
          <w:tcPr>
            <w:tcW w:w="771"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19</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156</w:t>
            </w:r>
          </w:p>
        </w:tc>
        <w:tc>
          <w:tcPr>
            <w:tcW w:w="884"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69</w:t>
            </w:r>
          </w:p>
        </w:tc>
        <w:tc>
          <w:tcPr>
            <w:tcW w:w="58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136</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25</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45</w:t>
            </w:r>
          </w:p>
        </w:tc>
      </w:tr>
      <w:tr w:rsidR="00D3561A" w:rsidRPr="008E5027" w:rsidTr="006F124D">
        <w:tc>
          <w:tcPr>
            <w:tcW w:w="533"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bottom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bottom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Oui</w:t>
            </w:r>
          </w:p>
        </w:tc>
        <w:tc>
          <w:tcPr>
            <w:tcW w:w="546"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463</w:t>
            </w:r>
          </w:p>
        </w:tc>
        <w:tc>
          <w:tcPr>
            <w:tcW w:w="546"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7</w:t>
            </w:r>
          </w:p>
        </w:tc>
        <w:tc>
          <w:tcPr>
            <w:tcW w:w="742"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20</w:t>
            </w:r>
          </w:p>
        </w:tc>
        <w:tc>
          <w:tcPr>
            <w:tcW w:w="1498"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757"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15</w:t>
            </w:r>
          </w:p>
        </w:tc>
        <w:tc>
          <w:tcPr>
            <w:tcW w:w="771"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116</w:t>
            </w:r>
          </w:p>
        </w:tc>
        <w:tc>
          <w:tcPr>
            <w:tcW w:w="884"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23</w:t>
            </w:r>
          </w:p>
        </w:tc>
        <w:tc>
          <w:tcPr>
            <w:tcW w:w="588"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180</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46</w:t>
            </w:r>
          </w:p>
        </w:tc>
        <w:tc>
          <w:tcPr>
            <w:tcW w:w="589" w:type="dxa"/>
            <w:tcBorders>
              <w:bottom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45</w:t>
            </w:r>
          </w:p>
        </w:tc>
      </w:tr>
      <w:tr w:rsidR="00D3561A" w:rsidRPr="008E5027" w:rsidTr="006F124D">
        <w:tc>
          <w:tcPr>
            <w:tcW w:w="533"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rPr>
                <w:b/>
                <w:sz w:val="18"/>
              </w:rPr>
            </w:pPr>
            <w:r w:rsidRPr="008E5027">
              <w:rPr>
                <w:b/>
                <w:sz w:val="18"/>
              </w:rPr>
              <w:t>2004</w:t>
            </w:r>
          </w:p>
        </w:tc>
        <w:tc>
          <w:tcPr>
            <w:tcW w:w="533"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rPr>
                <w:b/>
                <w:sz w:val="18"/>
              </w:rPr>
            </w:pPr>
            <w:r w:rsidRPr="008E5027">
              <w:rPr>
                <w:b/>
                <w:sz w:val="18"/>
              </w:rPr>
              <w:t>Total</w:t>
            </w:r>
          </w:p>
        </w:tc>
        <w:tc>
          <w:tcPr>
            <w:tcW w:w="474"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rPr>
                <w:b/>
                <w:sz w:val="18"/>
              </w:rPr>
            </w:pPr>
          </w:p>
        </w:tc>
        <w:tc>
          <w:tcPr>
            <w:tcW w:w="546"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1 437</w:t>
            </w:r>
          </w:p>
        </w:tc>
        <w:tc>
          <w:tcPr>
            <w:tcW w:w="546"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1</w:t>
            </w:r>
            <w:r w:rsidR="00682322" w:rsidRPr="008E5027">
              <w:rPr>
                <w:b/>
                <w:sz w:val="18"/>
              </w:rPr>
              <w:t>9</w:t>
            </w:r>
          </w:p>
        </w:tc>
        <w:tc>
          <w:tcPr>
            <w:tcW w:w="742"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45</w:t>
            </w:r>
          </w:p>
        </w:tc>
        <w:tc>
          <w:tcPr>
            <w:tcW w:w="1498"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450</w:t>
            </w:r>
          </w:p>
        </w:tc>
        <w:tc>
          <w:tcPr>
            <w:tcW w:w="757"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16</w:t>
            </w:r>
          </w:p>
        </w:tc>
        <w:tc>
          <w:tcPr>
            <w:tcW w:w="771"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14</w:t>
            </w:r>
          </w:p>
        </w:tc>
        <w:tc>
          <w:tcPr>
            <w:tcW w:w="589"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295</w:t>
            </w:r>
          </w:p>
        </w:tc>
        <w:tc>
          <w:tcPr>
            <w:tcW w:w="884"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104</w:t>
            </w:r>
          </w:p>
        </w:tc>
        <w:tc>
          <w:tcPr>
            <w:tcW w:w="588"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300</w:t>
            </w:r>
          </w:p>
        </w:tc>
        <w:tc>
          <w:tcPr>
            <w:tcW w:w="589"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71</w:t>
            </w:r>
          </w:p>
        </w:tc>
        <w:tc>
          <w:tcPr>
            <w:tcW w:w="589" w:type="dxa"/>
            <w:tcBorders>
              <w:top w:val="single" w:sz="4" w:space="0" w:color="auto"/>
              <w:bottom w:val="single" w:sz="4" w:space="0" w:color="auto"/>
            </w:tcBorders>
            <w:shd w:val="clear" w:color="auto" w:fill="auto"/>
            <w:vAlign w:val="bottom"/>
          </w:tcPr>
          <w:p w:rsidR="00D3561A" w:rsidRPr="008E5027" w:rsidRDefault="00D3561A" w:rsidP="006F124D">
            <w:pPr>
              <w:suppressAutoHyphens w:val="0"/>
              <w:spacing w:before="80" w:after="80" w:line="220" w:lineRule="exact"/>
              <w:jc w:val="right"/>
              <w:rPr>
                <w:b/>
                <w:sz w:val="18"/>
              </w:rPr>
            </w:pPr>
            <w:r w:rsidRPr="008E5027">
              <w:rPr>
                <w:b/>
                <w:sz w:val="18"/>
              </w:rPr>
              <w:t>123</w:t>
            </w:r>
          </w:p>
        </w:tc>
      </w:tr>
      <w:tr w:rsidR="00D3561A" w:rsidRPr="008E5027" w:rsidTr="006F124D">
        <w:tc>
          <w:tcPr>
            <w:tcW w:w="533"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top w:val="single" w:sz="4"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top w:val="single" w:sz="4"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Non</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987</w:t>
            </w:r>
          </w:p>
        </w:tc>
        <w:tc>
          <w:tcPr>
            <w:tcW w:w="546"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8</w:t>
            </w:r>
          </w:p>
        </w:tc>
        <w:tc>
          <w:tcPr>
            <w:tcW w:w="742"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21</w:t>
            </w:r>
          </w:p>
        </w:tc>
        <w:tc>
          <w:tcPr>
            <w:tcW w:w="149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445</w:t>
            </w:r>
          </w:p>
        </w:tc>
        <w:tc>
          <w:tcPr>
            <w:tcW w:w="757"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w:t>
            </w:r>
          </w:p>
        </w:tc>
        <w:tc>
          <w:tcPr>
            <w:tcW w:w="771"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9</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187</w:t>
            </w:r>
          </w:p>
        </w:tc>
        <w:tc>
          <w:tcPr>
            <w:tcW w:w="884"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78</w:t>
            </w:r>
          </w:p>
        </w:tc>
        <w:tc>
          <w:tcPr>
            <w:tcW w:w="588"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135</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34</w:t>
            </w:r>
          </w:p>
        </w:tc>
        <w:tc>
          <w:tcPr>
            <w:tcW w:w="589" w:type="dxa"/>
            <w:tcBorders>
              <w:top w:val="single" w:sz="4"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64</w:t>
            </w:r>
          </w:p>
        </w:tc>
      </w:tr>
      <w:tr w:rsidR="00D3561A" w:rsidRPr="008E5027" w:rsidTr="006F124D">
        <w:tc>
          <w:tcPr>
            <w:tcW w:w="533"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rPr>
                <w:sz w:val="18"/>
              </w:rPr>
            </w:pPr>
          </w:p>
        </w:tc>
        <w:tc>
          <w:tcPr>
            <w:tcW w:w="533" w:type="dxa"/>
            <w:tcBorders>
              <w:bottom w:val="single" w:sz="12" w:space="0" w:color="auto"/>
            </w:tcBorders>
            <w:shd w:val="clear" w:color="auto" w:fill="auto"/>
            <w:vAlign w:val="bottom"/>
          </w:tcPr>
          <w:p w:rsidR="00D3561A" w:rsidRPr="008E5027" w:rsidRDefault="00D3561A" w:rsidP="00AB0303">
            <w:pPr>
              <w:suppressAutoHyphens w:val="0"/>
              <w:spacing w:before="40" w:after="40" w:line="220" w:lineRule="exact"/>
              <w:rPr>
                <w:sz w:val="18"/>
              </w:rPr>
            </w:pPr>
          </w:p>
        </w:tc>
        <w:tc>
          <w:tcPr>
            <w:tcW w:w="474" w:type="dxa"/>
            <w:tcBorders>
              <w:bottom w:val="single" w:sz="12" w:space="0" w:color="auto"/>
            </w:tcBorders>
            <w:shd w:val="clear" w:color="auto" w:fill="auto"/>
            <w:vAlign w:val="bottom"/>
          </w:tcPr>
          <w:p w:rsidR="00D3561A" w:rsidRPr="008E5027" w:rsidRDefault="006F124D" w:rsidP="00AB0303">
            <w:pPr>
              <w:suppressAutoHyphens w:val="0"/>
              <w:spacing w:before="40" w:after="40" w:line="220" w:lineRule="exact"/>
              <w:rPr>
                <w:sz w:val="18"/>
              </w:rPr>
            </w:pPr>
            <w:r>
              <w:rPr>
                <w:sz w:val="18"/>
              </w:rPr>
              <w:t>Oui</w:t>
            </w:r>
          </w:p>
        </w:tc>
        <w:tc>
          <w:tcPr>
            <w:tcW w:w="546"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450</w:t>
            </w:r>
          </w:p>
        </w:tc>
        <w:tc>
          <w:tcPr>
            <w:tcW w:w="546"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11</w:t>
            </w:r>
          </w:p>
        </w:tc>
        <w:tc>
          <w:tcPr>
            <w:tcW w:w="742"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24</w:t>
            </w:r>
          </w:p>
        </w:tc>
        <w:tc>
          <w:tcPr>
            <w:tcW w:w="1498"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w:t>
            </w:r>
          </w:p>
        </w:tc>
        <w:tc>
          <w:tcPr>
            <w:tcW w:w="757"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10</w:t>
            </w:r>
          </w:p>
        </w:tc>
        <w:tc>
          <w:tcPr>
            <w:tcW w:w="771"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w:t>
            </w:r>
          </w:p>
        </w:tc>
        <w:tc>
          <w:tcPr>
            <w:tcW w:w="589"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108</w:t>
            </w:r>
          </w:p>
        </w:tc>
        <w:tc>
          <w:tcPr>
            <w:tcW w:w="884"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26</w:t>
            </w:r>
          </w:p>
        </w:tc>
        <w:tc>
          <w:tcPr>
            <w:tcW w:w="588"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165</w:t>
            </w:r>
          </w:p>
        </w:tc>
        <w:tc>
          <w:tcPr>
            <w:tcW w:w="589"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37</w:t>
            </w:r>
          </w:p>
        </w:tc>
        <w:tc>
          <w:tcPr>
            <w:tcW w:w="589" w:type="dxa"/>
            <w:tcBorders>
              <w:bottom w:val="single" w:sz="12" w:space="0" w:color="auto"/>
            </w:tcBorders>
            <w:shd w:val="clear" w:color="auto" w:fill="auto"/>
            <w:vAlign w:val="bottom"/>
          </w:tcPr>
          <w:p w:rsidR="00D3561A" w:rsidRPr="008E5027" w:rsidRDefault="00D3561A" w:rsidP="00D3561A">
            <w:pPr>
              <w:suppressAutoHyphens w:val="0"/>
              <w:spacing w:before="40" w:after="40" w:line="220" w:lineRule="exact"/>
              <w:jc w:val="right"/>
              <w:rPr>
                <w:sz w:val="18"/>
              </w:rPr>
            </w:pPr>
            <w:r w:rsidRPr="008E5027">
              <w:rPr>
                <w:sz w:val="18"/>
              </w:rPr>
              <w:t>59</w:t>
            </w:r>
          </w:p>
        </w:tc>
      </w:tr>
    </w:tbl>
    <w:p w:rsidR="00D3561A" w:rsidRPr="008E5027" w:rsidRDefault="00D3561A" w:rsidP="00D113DE">
      <w:pPr>
        <w:spacing w:before="120"/>
        <w:ind w:firstLine="170"/>
        <w:rPr>
          <w:sz w:val="18"/>
          <w:szCs w:val="18"/>
        </w:rPr>
      </w:pPr>
      <w:r w:rsidRPr="008E5027">
        <w:rPr>
          <w:i/>
          <w:sz w:val="18"/>
          <w:szCs w:val="18"/>
        </w:rPr>
        <w:t>Source</w:t>
      </w:r>
      <w:r w:rsidRPr="00FD082E">
        <w:rPr>
          <w:i/>
          <w:sz w:val="18"/>
          <w:szCs w:val="18"/>
        </w:rPr>
        <w:t>:</w:t>
      </w:r>
      <w:r w:rsidRPr="008E5027">
        <w:rPr>
          <w:i/>
          <w:sz w:val="18"/>
          <w:szCs w:val="18"/>
        </w:rPr>
        <w:t xml:space="preserve"> </w:t>
      </w:r>
      <w:r w:rsidR="00FD082E" w:rsidRPr="00FD082E">
        <w:rPr>
          <w:sz w:val="18"/>
          <w:szCs w:val="18"/>
        </w:rPr>
        <w:t>Cour suprême</w:t>
      </w:r>
      <w:r w:rsidRPr="008E5027">
        <w:rPr>
          <w:sz w:val="18"/>
          <w:szCs w:val="18"/>
        </w:rPr>
        <w:t>.</w:t>
      </w:r>
    </w:p>
    <w:p w:rsidR="00D3561A" w:rsidRPr="008E5027" w:rsidRDefault="00FD082E" w:rsidP="009A6C9D">
      <w:pPr>
        <w:ind w:firstLine="170"/>
        <w:rPr>
          <w:sz w:val="18"/>
          <w:szCs w:val="18"/>
        </w:rPr>
      </w:pPr>
      <w:r w:rsidRPr="00D74CA4">
        <w:rPr>
          <w:sz w:val="18"/>
          <w:szCs w:val="18"/>
          <w:lang w:val="es-ES"/>
        </w:rPr>
        <w:t>Les chiffres ci-dessus n</w:t>
      </w:r>
      <w:r w:rsidR="00277023">
        <w:rPr>
          <w:sz w:val="18"/>
          <w:szCs w:val="18"/>
          <w:lang w:val="es-ES"/>
        </w:rPr>
        <w:t>’</w:t>
      </w:r>
      <w:r w:rsidRPr="00D74CA4">
        <w:rPr>
          <w:sz w:val="18"/>
          <w:szCs w:val="18"/>
          <w:lang w:val="es-ES"/>
        </w:rPr>
        <w:t xml:space="preserve">indiquent que les nationalités. </w:t>
      </w:r>
      <w:r w:rsidRPr="00FD082E">
        <w:rPr>
          <w:sz w:val="18"/>
          <w:szCs w:val="18"/>
        </w:rPr>
        <w:t>Partant, même ceux qui parlent couramment la langue japonaise parce qu</w:t>
      </w:r>
      <w:r w:rsidR="00277023">
        <w:rPr>
          <w:sz w:val="18"/>
          <w:szCs w:val="18"/>
        </w:rPr>
        <w:t>’</w:t>
      </w:r>
      <w:r w:rsidRPr="00FD082E">
        <w:rPr>
          <w:sz w:val="18"/>
          <w:szCs w:val="18"/>
        </w:rPr>
        <w:t>ils sont nés au Japon et/ou ont grandi au Japon pendant une période prolongée sont également compris dans ces statistiques s</w:t>
      </w:r>
      <w:r w:rsidR="00277023">
        <w:rPr>
          <w:sz w:val="18"/>
          <w:szCs w:val="18"/>
        </w:rPr>
        <w:t>’</w:t>
      </w:r>
      <w:r w:rsidRPr="00FD082E">
        <w:rPr>
          <w:sz w:val="18"/>
          <w:szCs w:val="18"/>
        </w:rPr>
        <w:t>ils sont de nationalité étrangère</w:t>
      </w:r>
      <w:r w:rsidR="00D3561A" w:rsidRPr="008E5027">
        <w:rPr>
          <w:sz w:val="18"/>
          <w:szCs w:val="18"/>
        </w:rPr>
        <w:t>.</w:t>
      </w:r>
    </w:p>
    <w:p w:rsidR="00FD082E" w:rsidRPr="00FD082E" w:rsidRDefault="00FD082E" w:rsidP="00FD082E">
      <w:pPr>
        <w:pStyle w:val="H23G"/>
      </w:pPr>
      <w:r>
        <w:tab/>
        <w:t>b)</w:t>
      </w:r>
      <w:r>
        <w:tab/>
      </w:r>
      <w:r w:rsidRPr="00FD082E">
        <w:t>Enfants privés de liberté et soumis à toutes formes de détention ou d</w:t>
      </w:r>
      <w:r w:rsidR="00277023">
        <w:t>’</w:t>
      </w:r>
      <w:r w:rsidRPr="00FD082E">
        <w:t xml:space="preserve">emprisonnement, y compris le placement dans </w:t>
      </w:r>
      <w:r w:rsidR="005F24AC">
        <w:t xml:space="preserve">un établissement surveillé (article </w:t>
      </w:r>
      <w:r w:rsidRPr="00FD082E">
        <w:t>37 b) c) et d))</w:t>
      </w:r>
    </w:p>
    <w:p w:rsidR="00FD082E" w:rsidRPr="00FD082E" w:rsidRDefault="00FD082E" w:rsidP="00FD082E">
      <w:pPr>
        <w:pStyle w:val="SingleTxtG"/>
      </w:pPr>
      <w:r w:rsidRPr="00FD082E">
        <w:t>(b-1) Détention, emprisonnement, ou détention provisoire</w:t>
      </w:r>
    </w:p>
    <w:p w:rsidR="00FD082E" w:rsidRPr="00FD082E" w:rsidRDefault="00FD082E" w:rsidP="00FD082E">
      <w:pPr>
        <w:pStyle w:val="SingleTxtG"/>
      </w:pPr>
      <w:r w:rsidRPr="00FD082E">
        <w:t>(Arrestations)</w:t>
      </w:r>
    </w:p>
    <w:p w:rsidR="00FD082E" w:rsidRPr="00D74CA4" w:rsidRDefault="00FD082E" w:rsidP="00FD082E">
      <w:pPr>
        <w:pStyle w:val="SingleTxtG"/>
        <w:rPr>
          <w:lang w:val="es-ES"/>
        </w:rPr>
      </w:pPr>
      <w:r>
        <w:t>486.</w:t>
      </w:r>
      <w:r>
        <w:tab/>
      </w:r>
      <w:r w:rsidRPr="00FD082E">
        <w:t>Aux termes du Code relatif aux enquêtes criminelles, les arrestations, détentions et autres mesures coercitives imposées par les services chargés de d</w:t>
      </w:r>
      <w:r w:rsidR="00277023">
        <w:t>’</w:t>
      </w:r>
      <w:r w:rsidRPr="00FD082E">
        <w:t>application des lois doivent autant que possible être évitées quand il s</w:t>
      </w:r>
      <w:r w:rsidR="00277023">
        <w:t>’</w:t>
      </w:r>
      <w:r w:rsidRPr="00FD082E">
        <w:t xml:space="preserve">agit de suspects mineurs. </w:t>
      </w:r>
      <w:r w:rsidRPr="00D74CA4">
        <w:rPr>
          <w:lang w:val="es-ES"/>
        </w:rPr>
        <w:t>Si des mesures de coercition sont jugées nécessaires, il convient de considérer l</w:t>
      </w:r>
      <w:r w:rsidR="00277023">
        <w:rPr>
          <w:lang w:val="es-ES"/>
        </w:rPr>
        <w:t>’</w:t>
      </w:r>
      <w:r w:rsidRPr="00D74CA4">
        <w:rPr>
          <w:lang w:val="es-ES"/>
        </w:rPr>
        <w:t>incidence psychologique qu</w:t>
      </w:r>
      <w:r w:rsidR="00277023">
        <w:rPr>
          <w:lang w:val="es-ES"/>
        </w:rPr>
        <w:t>’</w:t>
      </w:r>
      <w:r w:rsidRPr="00D74CA4">
        <w:rPr>
          <w:lang w:val="es-ES"/>
        </w:rPr>
        <w:t>un tel acte peut avoir sur le mineur, compte tenu de son âge, de sa personnalité, de son casier judiciaire, du type de crime et de la durée de détention. De même, on considèrera le moment, le lieu et la méthode d</w:t>
      </w:r>
      <w:r w:rsidR="00277023">
        <w:rPr>
          <w:lang w:val="es-ES"/>
        </w:rPr>
        <w:t>’</w:t>
      </w:r>
      <w:r w:rsidRPr="00D74CA4">
        <w:rPr>
          <w:lang w:val="es-ES"/>
        </w:rPr>
        <w:t>application de la mesure afin de ne pas heurter les sentiments du mineur.</w:t>
      </w:r>
    </w:p>
    <w:p w:rsidR="00FD082E" w:rsidRPr="00FD082E" w:rsidRDefault="00FD082E" w:rsidP="00FD082E">
      <w:pPr>
        <w:pStyle w:val="SingleTxtG"/>
      </w:pPr>
      <w:r w:rsidRPr="00FD082E">
        <w:t>(Placement en détention provisoire pendant l</w:t>
      </w:r>
      <w:r w:rsidR="00277023">
        <w:t>’</w:t>
      </w:r>
      <w:r w:rsidRPr="00FD082E">
        <w:t>enquête)</w:t>
      </w:r>
    </w:p>
    <w:p w:rsidR="00FD082E" w:rsidRPr="00FD082E" w:rsidRDefault="00FD082E" w:rsidP="00FD082E">
      <w:pPr>
        <w:pStyle w:val="SingleTxtG"/>
      </w:pPr>
      <w:r w:rsidRPr="00FD082E">
        <w:t>487.</w:t>
      </w:r>
      <w:r w:rsidRPr="00FD082E">
        <w:tab/>
        <w:t xml:space="preserve">Voir paragraphe 274 et 275 du rapport initial du Japon, et paragraphes 422-424 du deuxième rapport du Japon. </w:t>
      </w:r>
    </w:p>
    <w:p w:rsidR="00FD082E" w:rsidRPr="00FD082E" w:rsidRDefault="00FD082E" w:rsidP="00B12C09">
      <w:pPr>
        <w:pStyle w:val="SingleTxtG"/>
      </w:pPr>
      <w:r w:rsidRPr="00FD082E">
        <w:t>488.</w:t>
      </w:r>
      <w:r w:rsidRPr="00FD082E">
        <w:tab/>
        <w:t>Au cours d</w:t>
      </w:r>
      <w:r w:rsidR="00277023">
        <w:t>’</w:t>
      </w:r>
      <w:r w:rsidRPr="00FD082E">
        <w:t>une enquête, un mineur ne peut pas être détenu sans motif impérieux</w:t>
      </w:r>
      <w:r w:rsidR="00277023">
        <w:t>;</w:t>
      </w:r>
      <w:r w:rsidRPr="00FD082E">
        <w:t xml:space="preserve"> le placement sous protection dans l</w:t>
      </w:r>
      <w:r w:rsidR="00277023">
        <w:t>’</w:t>
      </w:r>
      <w:r w:rsidRPr="00FD082E">
        <w:t xml:space="preserve">attente de la procédure peut être une alternative à la détention (article 43 de </w:t>
      </w:r>
      <w:smartTag w:uri="urn:schemas-microsoft-com:office:smarttags" w:element="PersonName">
        <w:smartTagPr>
          <w:attr w:name="ProductID" w:val="la Loi"/>
        </w:smartTagPr>
        <w:r w:rsidRPr="00FD082E">
          <w:t>la Loi</w:t>
        </w:r>
      </w:smartTag>
      <w:r w:rsidRPr="00FD082E">
        <w:t xml:space="preserve"> relative aux mineurs). En conséquence, le nombre de mineurs inculpés placés en détention est extrêmement faible par rapport à celui des adultes, les mesures alternatives étant effectivement appliquées. </w:t>
      </w:r>
    </w:p>
    <w:p w:rsidR="00FD082E" w:rsidRPr="00D74CA4" w:rsidRDefault="00FD082E" w:rsidP="00B12C09">
      <w:pPr>
        <w:pStyle w:val="SingleTxtG"/>
        <w:spacing w:line="240" w:lineRule="auto"/>
        <w:rPr>
          <w:lang w:val="es-ES"/>
        </w:rPr>
      </w:pPr>
      <w:r w:rsidRPr="00FD082E">
        <w:rPr>
          <w:lang w:val="es-ES"/>
        </w:rPr>
        <w:t>489.</w:t>
      </w:r>
      <w:r w:rsidRPr="00FD082E">
        <w:rPr>
          <w:lang w:val="es-ES"/>
        </w:rPr>
        <w:tab/>
        <w:t>Il faut signaler que les mesures de placement en détention ou en foyer d</w:t>
      </w:r>
      <w:r w:rsidR="00277023">
        <w:rPr>
          <w:lang w:val="es-ES"/>
        </w:rPr>
        <w:t>’</w:t>
      </w:r>
      <w:r w:rsidRPr="00FD082E">
        <w:rPr>
          <w:lang w:val="es-ES"/>
        </w:rPr>
        <w:t>accueil ne sont prises par un tribunal des affaires familiales que si la bonne conduite de l</w:t>
      </w:r>
      <w:r w:rsidR="00277023">
        <w:rPr>
          <w:lang w:val="es-ES"/>
        </w:rPr>
        <w:t>’</w:t>
      </w:r>
      <w:r w:rsidRPr="00FD082E">
        <w:rPr>
          <w:lang w:val="es-ES"/>
        </w:rPr>
        <w:t>instruction l</w:t>
      </w:r>
      <w:r w:rsidR="00277023">
        <w:rPr>
          <w:lang w:val="es-ES"/>
        </w:rPr>
        <w:t>’</w:t>
      </w:r>
      <w:r w:rsidRPr="00FD082E">
        <w:rPr>
          <w:lang w:val="es-ES"/>
        </w:rPr>
        <w:t xml:space="preserve">exige. </w:t>
      </w:r>
      <w:r w:rsidRPr="00D74CA4">
        <w:rPr>
          <w:lang w:val="es-ES"/>
        </w:rPr>
        <w:t>Bien que la durée maximale du placement en détention ou en foyer d</w:t>
      </w:r>
      <w:r w:rsidR="00277023">
        <w:rPr>
          <w:lang w:val="es-ES"/>
        </w:rPr>
        <w:t>’</w:t>
      </w:r>
      <w:r w:rsidRPr="00D74CA4">
        <w:rPr>
          <w:lang w:val="es-ES"/>
        </w:rPr>
        <w:t>accueil soit passée de quatre à huit semaines aux termes de l</w:t>
      </w:r>
      <w:r w:rsidR="00277023">
        <w:rPr>
          <w:lang w:val="es-ES"/>
        </w:rPr>
        <w:t>’</w:t>
      </w:r>
      <w:r w:rsidRPr="00D74CA4">
        <w:rPr>
          <w:lang w:val="es-ES"/>
        </w:rPr>
        <w:t xml:space="preserve">amendement partiel de </w:t>
      </w:r>
      <w:smartTag w:uri="urn:schemas-microsoft-com:office:smarttags" w:element="PersonName">
        <w:smartTagPr>
          <w:attr w:name="ProductID" w:val="la Loi"/>
        </w:smartTagPr>
        <w:r w:rsidRPr="00D74CA4">
          <w:rPr>
            <w:lang w:val="es-ES"/>
          </w:rPr>
          <w:t>la Loi</w:t>
        </w:r>
      </w:smartTag>
      <w:r w:rsidRPr="00D74CA4">
        <w:rPr>
          <w:lang w:val="es-ES"/>
        </w:rPr>
        <w:t xml:space="preserve"> relative aux mineurs en 2000, ce dispositif n</w:t>
      </w:r>
      <w:r w:rsidR="00277023">
        <w:rPr>
          <w:lang w:val="es-ES"/>
        </w:rPr>
        <w:t>’</w:t>
      </w:r>
      <w:r w:rsidRPr="00D74CA4">
        <w:rPr>
          <w:lang w:val="es-ES"/>
        </w:rPr>
        <w:t>est utilisé que dans les cas où un grand nombre d</w:t>
      </w:r>
      <w:r w:rsidR="00277023">
        <w:rPr>
          <w:lang w:val="es-ES"/>
        </w:rPr>
        <w:t>’</w:t>
      </w:r>
      <w:r w:rsidRPr="00D74CA4">
        <w:rPr>
          <w:lang w:val="es-ES"/>
        </w:rPr>
        <w:t>éléments de preuve doit être examiné pour établir les faits, et ces cas sont très rares. En outre, un système de recours contre les décisions de placement en détention ou en foyer d</w:t>
      </w:r>
      <w:r w:rsidR="00277023">
        <w:rPr>
          <w:lang w:val="es-ES"/>
        </w:rPr>
        <w:t>’</w:t>
      </w:r>
      <w:r w:rsidRPr="00D74CA4">
        <w:rPr>
          <w:lang w:val="es-ES"/>
        </w:rPr>
        <w:t>accueil a été mis en place pour garantir les droits de l</w:t>
      </w:r>
      <w:r w:rsidR="00277023">
        <w:rPr>
          <w:lang w:val="es-ES"/>
        </w:rPr>
        <w:t>’</w:t>
      </w:r>
      <w:r w:rsidRPr="00D74CA4">
        <w:rPr>
          <w:lang w:val="es-ES"/>
        </w:rPr>
        <w:t>enfant.</w:t>
      </w:r>
    </w:p>
    <w:p w:rsidR="00FD082E" w:rsidRPr="00FD082E" w:rsidRDefault="00FD082E" w:rsidP="00B12C09">
      <w:pPr>
        <w:pStyle w:val="SingleTxtG"/>
        <w:spacing w:line="240" w:lineRule="auto"/>
      </w:pPr>
      <w:r w:rsidRPr="00FD082E">
        <w:t>(Détention)</w:t>
      </w:r>
    </w:p>
    <w:p w:rsidR="00FD082E" w:rsidRPr="00FD082E" w:rsidRDefault="00FD082E" w:rsidP="00B12C09">
      <w:pPr>
        <w:pStyle w:val="SingleTxtG"/>
        <w:spacing w:line="240" w:lineRule="auto"/>
      </w:pPr>
      <w:r w:rsidRPr="00FD082E">
        <w:t>490.</w:t>
      </w:r>
      <w:r w:rsidRPr="00FD082E">
        <w:tab/>
        <w:t xml:space="preserve">Voir paragraphes 274 et 277 du rapport initial du Japon, et paragraphes 425-426 du deuxième rapport du Japon. </w:t>
      </w:r>
    </w:p>
    <w:p w:rsidR="00FD082E" w:rsidRPr="00FD082E" w:rsidRDefault="00FD082E" w:rsidP="00B12C09">
      <w:pPr>
        <w:pStyle w:val="SingleTxtG"/>
        <w:spacing w:line="240" w:lineRule="auto"/>
      </w:pPr>
      <w:r w:rsidRPr="00FD082E">
        <w:t>491.</w:t>
      </w:r>
      <w:r w:rsidRPr="00FD082E">
        <w:tab/>
        <w:t>La durée moyenne de détention des mineurs initialement placés dans des centres de formation et bénéficiant d</w:t>
      </w:r>
      <w:r w:rsidR="00277023">
        <w:t>’</w:t>
      </w:r>
      <w:r w:rsidRPr="00FD082E">
        <w:t>une libération conditionnelle était en 2004 de 149 jours pour les mineurs astreints à un traitement de courte durée destiné à ceux</w:t>
      </w:r>
      <w:r w:rsidR="00EA1115">
        <w:t xml:space="preserve"> </w:t>
      </w:r>
      <w:r w:rsidRPr="00FD082E">
        <w:t>dont les problèmes sous</w:t>
      </w:r>
      <w:r w:rsidR="002B5F2D">
        <w:noBreakHyphen/>
      </w:r>
      <w:r w:rsidRPr="00FD082E">
        <w:t>jacents sont relativement simples ou bénins, 83 jours pour les mineurs astreints à un traitement de courte durée destiné à ceux dont les problèmes sous-jacents sont plus simples que ceux du groupe précédent et peuvent être traités en milieu ouvert, et de 384 jours pour les mineurs astreints à un traitement de longue durée destiné à ceux chez qui le résultat de l</w:t>
      </w:r>
      <w:r w:rsidR="00277023">
        <w:t>’</w:t>
      </w:r>
      <w:r w:rsidRPr="00FD082E">
        <w:t>éducation surveillée inscrite dans un programme de traitement de courte durée n</w:t>
      </w:r>
      <w:r w:rsidR="00277023">
        <w:t>’</w:t>
      </w:r>
      <w:r w:rsidRPr="00FD082E">
        <w:t>est pas suffisamment tangible.</w:t>
      </w:r>
    </w:p>
    <w:p w:rsidR="00FD082E" w:rsidRPr="00FD082E" w:rsidRDefault="00FD082E" w:rsidP="00B12C09">
      <w:pPr>
        <w:pStyle w:val="SingleTxtG"/>
        <w:spacing w:line="240" w:lineRule="auto"/>
        <w:rPr>
          <w:lang w:val="es-ES"/>
        </w:rPr>
      </w:pPr>
      <w:r w:rsidRPr="00FD082E">
        <w:rPr>
          <w:lang w:val="es-ES"/>
        </w:rPr>
        <w:t>(Rétention)</w:t>
      </w:r>
    </w:p>
    <w:p w:rsidR="00FD082E" w:rsidRPr="00D74CA4" w:rsidRDefault="00FD082E" w:rsidP="00B12C09">
      <w:pPr>
        <w:pStyle w:val="SingleTxtG"/>
        <w:spacing w:line="240" w:lineRule="auto"/>
        <w:rPr>
          <w:lang w:val="es-ES"/>
        </w:rPr>
      </w:pPr>
      <w:r w:rsidRPr="00FD082E">
        <w:rPr>
          <w:lang w:val="es-ES"/>
        </w:rPr>
        <w:t>492.</w:t>
      </w:r>
      <w:r w:rsidRPr="00FD082E">
        <w:rPr>
          <w:lang w:val="es-ES"/>
        </w:rPr>
        <w:tab/>
        <w:t>Les personnes internées dans un centre de rétention sont des migrants répondant aux critères d</w:t>
      </w:r>
      <w:r w:rsidR="00277023">
        <w:rPr>
          <w:lang w:val="es-ES"/>
        </w:rPr>
        <w:t>’</w:t>
      </w:r>
      <w:r w:rsidRPr="00FD082E">
        <w:rPr>
          <w:lang w:val="es-ES"/>
        </w:rPr>
        <w:t xml:space="preserve">expulsion stipulés dans </w:t>
      </w:r>
      <w:smartTag w:uri="urn:schemas-microsoft-com:office:smarttags" w:element="PersonName">
        <w:smartTagPr>
          <w:attr w:name="ProductID" w:val="la Loi"/>
        </w:smartTagPr>
        <w:r w:rsidRPr="00FD082E">
          <w:rPr>
            <w:lang w:val="es-ES"/>
          </w:rPr>
          <w:t>la Loi</w:t>
        </w:r>
      </w:smartTag>
      <w:r w:rsidRPr="00FD082E">
        <w:rPr>
          <w:lang w:val="es-ES"/>
        </w:rPr>
        <w:t xml:space="preserve"> sur le contrôle de l</w:t>
      </w:r>
      <w:r w:rsidR="00277023">
        <w:rPr>
          <w:lang w:val="es-ES"/>
        </w:rPr>
        <w:t>’</w:t>
      </w:r>
      <w:r w:rsidRPr="00FD082E">
        <w:rPr>
          <w:lang w:val="es-ES"/>
        </w:rPr>
        <w:t>immigration et la reconnaissance du statut de réfugié, et à l</w:t>
      </w:r>
      <w:r w:rsidR="00277023">
        <w:rPr>
          <w:lang w:val="es-ES"/>
        </w:rPr>
        <w:t>’</w:t>
      </w:r>
      <w:r w:rsidRPr="00FD082E">
        <w:rPr>
          <w:lang w:val="es-ES"/>
        </w:rPr>
        <w:t>encontre desquelles a été pris un arrêté de placement en rétention ou d</w:t>
      </w:r>
      <w:r w:rsidR="00277023">
        <w:rPr>
          <w:lang w:val="es-ES"/>
        </w:rPr>
        <w:t>’</w:t>
      </w:r>
      <w:r w:rsidRPr="00FD082E">
        <w:rPr>
          <w:lang w:val="es-ES"/>
        </w:rPr>
        <w:t xml:space="preserve">expulsion en application de </w:t>
      </w:r>
      <w:smartTag w:uri="urn:schemas-microsoft-com:office:smarttags" w:element="PersonName">
        <w:smartTagPr>
          <w:attr w:name="ProductID" w:val="la Loi. Un"/>
        </w:smartTagPr>
        <w:r w:rsidRPr="00FD082E">
          <w:rPr>
            <w:lang w:val="es-ES"/>
          </w:rPr>
          <w:t xml:space="preserve">la Loi. </w:t>
        </w:r>
        <w:r w:rsidRPr="00D74CA4">
          <w:rPr>
            <w:lang w:val="es-ES"/>
          </w:rPr>
          <w:t>Un</w:t>
        </w:r>
      </w:smartTag>
      <w:r w:rsidRPr="00D74CA4">
        <w:rPr>
          <w:lang w:val="es-ES"/>
        </w:rPr>
        <w:t xml:space="preserve"> système préventif a cependant été instauré, qui permet à ces migrants de porter plainte contre la procédure d</w:t>
      </w:r>
      <w:r w:rsidR="00277023">
        <w:rPr>
          <w:lang w:val="es-ES"/>
        </w:rPr>
        <w:t>’</w:t>
      </w:r>
      <w:r w:rsidRPr="00D74CA4">
        <w:rPr>
          <w:lang w:val="es-ES"/>
        </w:rPr>
        <w:t>expulsion après leur placement. Lors de l</w:t>
      </w:r>
      <w:r w:rsidR="00277023">
        <w:rPr>
          <w:lang w:val="es-ES"/>
        </w:rPr>
        <w:t>’</w:t>
      </w:r>
      <w:r w:rsidRPr="00D74CA4">
        <w:rPr>
          <w:lang w:val="es-ES"/>
        </w:rPr>
        <w:t>exécution de l</w:t>
      </w:r>
      <w:r w:rsidR="00277023">
        <w:rPr>
          <w:lang w:val="es-ES"/>
        </w:rPr>
        <w:t>’</w:t>
      </w:r>
      <w:r w:rsidRPr="00D74CA4">
        <w:rPr>
          <w:lang w:val="es-ES"/>
        </w:rPr>
        <w:t>arrêté de placement en rétention ou d</w:t>
      </w:r>
      <w:r w:rsidR="00277023">
        <w:rPr>
          <w:lang w:val="es-ES"/>
        </w:rPr>
        <w:t>’</w:t>
      </w:r>
      <w:r w:rsidRPr="00D74CA4">
        <w:rPr>
          <w:lang w:val="es-ES"/>
        </w:rPr>
        <w:t>expulsion, on cherchera à éviter l</w:t>
      </w:r>
      <w:r w:rsidR="00277023">
        <w:rPr>
          <w:lang w:val="es-ES"/>
        </w:rPr>
        <w:t>’</w:t>
      </w:r>
      <w:r w:rsidRPr="00D74CA4">
        <w:rPr>
          <w:lang w:val="es-ES"/>
        </w:rPr>
        <w:t>internement dans un centre de rétention en accordant la mise en liberté provisoire, et à réduire la durée de la rétention au minimum, en fonction de l</w:t>
      </w:r>
      <w:r w:rsidR="00277023">
        <w:rPr>
          <w:lang w:val="es-ES"/>
        </w:rPr>
        <w:t>’</w:t>
      </w:r>
      <w:r w:rsidRPr="00D74CA4">
        <w:rPr>
          <w:lang w:val="es-ES"/>
        </w:rPr>
        <w:t>âge et de l</w:t>
      </w:r>
      <w:r w:rsidR="00277023">
        <w:rPr>
          <w:lang w:val="es-ES"/>
        </w:rPr>
        <w:t>’</w:t>
      </w:r>
      <w:r w:rsidRPr="00D74CA4">
        <w:rPr>
          <w:lang w:val="es-ES"/>
        </w:rPr>
        <w:t>état de santé du migrant.</w:t>
      </w:r>
    </w:p>
    <w:p w:rsidR="00FD082E" w:rsidRPr="00D74CA4" w:rsidRDefault="00FD082E" w:rsidP="00B12C09">
      <w:pPr>
        <w:pStyle w:val="SingleTxtG"/>
        <w:spacing w:line="240" w:lineRule="auto"/>
        <w:rPr>
          <w:lang w:val="es-ES"/>
        </w:rPr>
      </w:pPr>
      <w:r w:rsidRPr="00D74CA4">
        <w:rPr>
          <w:lang w:val="es-ES"/>
        </w:rPr>
        <w:t>(b-2) Traitement alternatif à la privation de liberté des mineurs (statistiques)</w:t>
      </w:r>
    </w:p>
    <w:p w:rsidR="00FD082E" w:rsidRPr="00D74CA4" w:rsidRDefault="00FD082E" w:rsidP="00B12C09">
      <w:pPr>
        <w:pStyle w:val="SingleTxtG"/>
        <w:spacing w:line="240" w:lineRule="auto"/>
        <w:rPr>
          <w:lang w:val="es-ES"/>
        </w:rPr>
      </w:pPr>
      <w:r w:rsidRPr="00D74CA4">
        <w:rPr>
          <w:lang w:val="es-ES"/>
        </w:rPr>
        <w:t>(Nombre de mineurs condamnés à des mesures de protection générales et sous-totaux correspondant à l</w:t>
      </w:r>
      <w:r w:rsidR="00277023">
        <w:rPr>
          <w:lang w:val="es-ES"/>
        </w:rPr>
        <w:t>’</w:t>
      </w:r>
      <w:r w:rsidRPr="00D74CA4">
        <w:rPr>
          <w:lang w:val="es-ES"/>
        </w:rPr>
        <w:t>adoption ou la non-adoption de mesures de</w:t>
      </w:r>
      <w:r w:rsidR="00EA1115">
        <w:rPr>
          <w:lang w:val="es-ES"/>
        </w:rPr>
        <w:t xml:space="preserve"> </w:t>
      </w:r>
      <w:r w:rsidRPr="00D74CA4">
        <w:rPr>
          <w:lang w:val="es-ES"/>
        </w:rPr>
        <w:t>placement en détention ou en foyer d</w:t>
      </w:r>
      <w:r w:rsidR="00277023">
        <w:rPr>
          <w:lang w:val="es-ES"/>
        </w:rPr>
        <w:t>’</w:t>
      </w:r>
      <w:r w:rsidRPr="00D74CA4">
        <w:rPr>
          <w:lang w:val="es-ES"/>
        </w:rPr>
        <w:t>hébergement)</w:t>
      </w:r>
    </w:p>
    <w:p w:rsidR="00D3561A" w:rsidRPr="008E5027" w:rsidRDefault="00365506" w:rsidP="00D3561A">
      <w:pPr>
        <w:pStyle w:val="Heading1"/>
      </w:pPr>
      <w:r w:rsidRPr="00F206B8">
        <w:rPr>
          <w:lang w:val="fr-FR"/>
        </w:rPr>
        <w:t>Tableau</w:t>
      </w:r>
      <w:r w:rsidRPr="00F206B8">
        <w:rPr>
          <w:lang w:val="es-ES"/>
        </w:rPr>
        <w:t xml:space="preserve"> </w:t>
      </w:r>
      <w:r w:rsidR="00D3561A" w:rsidRPr="008E5027">
        <w:t>24</w:t>
      </w:r>
    </w:p>
    <w:p w:rsidR="00D3561A" w:rsidRPr="008E5027" w:rsidRDefault="00FD082E" w:rsidP="00250492">
      <w:pPr>
        <w:pStyle w:val="SingleTxtG"/>
        <w:tabs>
          <w:tab w:val="left" w:pos="5175"/>
        </w:tabs>
        <w:jc w:val="left"/>
        <w:rPr>
          <w:b/>
        </w:rPr>
      </w:pPr>
      <w:r w:rsidRPr="00FD082E">
        <w:rPr>
          <w:b/>
          <w:lang w:val="fr-FR"/>
        </w:rPr>
        <w:t>Mesures de placement en détention ou en foyer d</w:t>
      </w:r>
      <w:r w:rsidR="00277023">
        <w:rPr>
          <w:b/>
          <w:lang w:val="fr-FR"/>
        </w:rPr>
        <w:t>’</w:t>
      </w:r>
      <w:r w:rsidRPr="00FD082E">
        <w:rPr>
          <w:b/>
          <w:lang w:val="fr-FR"/>
        </w:rPr>
        <w:t>accueil</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66"/>
        <w:gridCol w:w="1616"/>
        <w:gridCol w:w="2194"/>
        <w:gridCol w:w="2195"/>
      </w:tblGrid>
      <w:tr w:rsidR="00D3561A" w:rsidRPr="008E5027" w:rsidTr="00B12C09">
        <w:tc>
          <w:tcPr>
            <w:tcW w:w="1366" w:type="dxa"/>
            <w:tcBorders>
              <w:top w:val="single" w:sz="4" w:space="0" w:color="auto"/>
            </w:tcBorders>
            <w:vAlign w:val="bottom"/>
          </w:tcPr>
          <w:p w:rsidR="00D3561A" w:rsidRPr="008E5027" w:rsidRDefault="00D3561A" w:rsidP="00B12C09">
            <w:pPr>
              <w:spacing w:before="80" w:after="80" w:line="200" w:lineRule="exact"/>
              <w:rPr>
                <w:i/>
                <w:sz w:val="16"/>
              </w:rPr>
            </w:pPr>
          </w:p>
        </w:tc>
        <w:tc>
          <w:tcPr>
            <w:tcW w:w="1616" w:type="dxa"/>
            <w:tcBorders>
              <w:top w:val="single" w:sz="4" w:space="0" w:color="auto"/>
            </w:tcBorders>
            <w:shd w:val="clear" w:color="auto" w:fill="auto"/>
            <w:vAlign w:val="bottom"/>
          </w:tcPr>
          <w:p w:rsidR="00D3561A" w:rsidRPr="008E5027" w:rsidRDefault="00D3561A" w:rsidP="00B12C09">
            <w:pPr>
              <w:spacing w:before="80" w:after="80" w:line="200" w:lineRule="exact"/>
              <w:ind w:right="794"/>
              <w:rPr>
                <w:b/>
                <w:i/>
                <w:sz w:val="16"/>
              </w:rPr>
            </w:pPr>
          </w:p>
        </w:tc>
        <w:tc>
          <w:tcPr>
            <w:tcW w:w="4389" w:type="dxa"/>
            <w:gridSpan w:val="2"/>
            <w:tcBorders>
              <w:top w:val="single" w:sz="4" w:space="0" w:color="auto"/>
              <w:bottom w:val="single" w:sz="4" w:space="0" w:color="auto"/>
            </w:tcBorders>
            <w:shd w:val="clear" w:color="auto" w:fill="auto"/>
            <w:vAlign w:val="bottom"/>
          </w:tcPr>
          <w:p w:rsidR="00D3561A" w:rsidRPr="00B12C09" w:rsidRDefault="00B12C09" w:rsidP="00B12C09">
            <w:pPr>
              <w:spacing w:before="80" w:after="80" w:line="200" w:lineRule="exact"/>
              <w:jc w:val="center"/>
              <w:rPr>
                <w:i/>
                <w:sz w:val="16"/>
              </w:rPr>
            </w:pPr>
            <w:r w:rsidRPr="00B12C09">
              <w:rPr>
                <w:i/>
                <w:sz w:val="16"/>
              </w:rPr>
              <w:t>Placement en détention ou en foyer d</w:t>
            </w:r>
            <w:r w:rsidR="00277023">
              <w:rPr>
                <w:i/>
                <w:sz w:val="16"/>
              </w:rPr>
              <w:t>’</w:t>
            </w:r>
            <w:r w:rsidRPr="00B12C09">
              <w:rPr>
                <w:i/>
                <w:sz w:val="16"/>
              </w:rPr>
              <w:t>accueil</w:t>
            </w:r>
          </w:p>
        </w:tc>
      </w:tr>
      <w:tr w:rsidR="00D3561A" w:rsidRPr="008E5027" w:rsidTr="00B12C09">
        <w:tc>
          <w:tcPr>
            <w:tcW w:w="1366" w:type="dxa"/>
            <w:tcBorders>
              <w:bottom w:val="single" w:sz="12" w:space="0" w:color="auto"/>
            </w:tcBorders>
            <w:vAlign w:val="bottom"/>
          </w:tcPr>
          <w:p w:rsidR="00D3561A" w:rsidRPr="008E5027" w:rsidRDefault="00B12C09" w:rsidP="00B12C09">
            <w:pPr>
              <w:spacing w:before="80" w:after="80" w:line="200" w:lineRule="exact"/>
              <w:rPr>
                <w:i/>
                <w:sz w:val="16"/>
              </w:rPr>
            </w:pPr>
            <w:r>
              <w:rPr>
                <w:i/>
                <w:sz w:val="16"/>
              </w:rPr>
              <w:t>Année</w:t>
            </w:r>
          </w:p>
        </w:tc>
        <w:tc>
          <w:tcPr>
            <w:tcW w:w="1616" w:type="dxa"/>
            <w:tcBorders>
              <w:bottom w:val="single" w:sz="12" w:space="0" w:color="auto"/>
            </w:tcBorders>
            <w:shd w:val="clear" w:color="auto" w:fill="auto"/>
            <w:vAlign w:val="bottom"/>
          </w:tcPr>
          <w:p w:rsidR="00D3561A" w:rsidRPr="008E5027" w:rsidRDefault="00D3561A" w:rsidP="00B12C09">
            <w:pPr>
              <w:spacing w:before="80" w:after="80" w:line="200" w:lineRule="exact"/>
              <w:ind w:right="794"/>
              <w:rPr>
                <w:b/>
                <w:i/>
                <w:sz w:val="16"/>
              </w:rPr>
            </w:pPr>
            <w:r w:rsidRPr="008E5027">
              <w:rPr>
                <w:b/>
                <w:i/>
                <w:sz w:val="16"/>
              </w:rPr>
              <w:t>Total</w:t>
            </w:r>
          </w:p>
        </w:tc>
        <w:tc>
          <w:tcPr>
            <w:tcW w:w="2194" w:type="dxa"/>
            <w:tcBorders>
              <w:top w:val="single" w:sz="4" w:space="0" w:color="auto"/>
              <w:bottom w:val="single" w:sz="12" w:space="0" w:color="auto"/>
            </w:tcBorders>
            <w:shd w:val="clear" w:color="auto" w:fill="auto"/>
            <w:vAlign w:val="bottom"/>
          </w:tcPr>
          <w:p w:rsidR="00D3561A" w:rsidRPr="008E5027" w:rsidRDefault="00B12C09" w:rsidP="00B12C09">
            <w:pPr>
              <w:spacing w:before="80" w:after="80" w:line="200" w:lineRule="exact"/>
              <w:jc w:val="right"/>
              <w:rPr>
                <w:i/>
                <w:sz w:val="16"/>
              </w:rPr>
            </w:pPr>
            <w:r>
              <w:rPr>
                <w:i/>
                <w:sz w:val="16"/>
              </w:rPr>
              <w:t>Oui</w:t>
            </w:r>
          </w:p>
        </w:tc>
        <w:tc>
          <w:tcPr>
            <w:tcW w:w="2195" w:type="dxa"/>
            <w:tcBorders>
              <w:top w:val="single" w:sz="4" w:space="0" w:color="auto"/>
              <w:bottom w:val="single" w:sz="12" w:space="0" w:color="auto"/>
            </w:tcBorders>
            <w:shd w:val="clear" w:color="auto" w:fill="auto"/>
            <w:vAlign w:val="bottom"/>
          </w:tcPr>
          <w:p w:rsidR="00D3561A" w:rsidRPr="008E5027" w:rsidRDefault="00B12C09" w:rsidP="00B12C09">
            <w:pPr>
              <w:spacing w:before="80" w:after="80" w:line="200" w:lineRule="exact"/>
              <w:jc w:val="right"/>
              <w:rPr>
                <w:i/>
                <w:sz w:val="16"/>
              </w:rPr>
            </w:pPr>
            <w:r>
              <w:rPr>
                <w:i/>
                <w:sz w:val="16"/>
              </w:rPr>
              <w:t>Non</w:t>
            </w:r>
          </w:p>
        </w:tc>
      </w:tr>
      <w:tr w:rsidR="00D3561A" w:rsidRPr="008E5027" w:rsidTr="00B12C09">
        <w:tc>
          <w:tcPr>
            <w:tcW w:w="1366" w:type="dxa"/>
            <w:tcBorders>
              <w:top w:val="single" w:sz="12" w:space="0" w:color="auto"/>
            </w:tcBorders>
            <w:vAlign w:val="bottom"/>
          </w:tcPr>
          <w:p w:rsidR="00D3561A" w:rsidRPr="008E5027" w:rsidRDefault="00D3561A" w:rsidP="00B12C09">
            <w:pPr>
              <w:suppressAutoHyphens w:val="0"/>
              <w:spacing w:before="40" w:after="40" w:line="220" w:lineRule="exact"/>
              <w:rPr>
                <w:sz w:val="18"/>
              </w:rPr>
            </w:pPr>
            <w:r w:rsidRPr="008E5027">
              <w:rPr>
                <w:sz w:val="18"/>
              </w:rPr>
              <w:t>2000</w:t>
            </w:r>
          </w:p>
        </w:tc>
        <w:tc>
          <w:tcPr>
            <w:tcW w:w="1616" w:type="dxa"/>
            <w:tcBorders>
              <w:top w:val="single" w:sz="12" w:space="0" w:color="auto"/>
            </w:tcBorders>
            <w:shd w:val="clear" w:color="auto" w:fill="auto"/>
            <w:vAlign w:val="bottom"/>
          </w:tcPr>
          <w:p w:rsidR="00D3561A" w:rsidRPr="008E5027" w:rsidRDefault="00D3561A" w:rsidP="00B12C09">
            <w:pPr>
              <w:suppressAutoHyphens w:val="0"/>
              <w:spacing w:before="40" w:after="40" w:line="220" w:lineRule="exact"/>
              <w:ind w:right="794"/>
              <w:rPr>
                <w:b/>
                <w:sz w:val="18"/>
              </w:rPr>
            </w:pPr>
            <w:r w:rsidRPr="008E5027">
              <w:rPr>
                <w:b/>
                <w:sz w:val="18"/>
              </w:rPr>
              <w:t>76 686</w:t>
            </w:r>
          </w:p>
        </w:tc>
        <w:tc>
          <w:tcPr>
            <w:tcW w:w="2194" w:type="dxa"/>
            <w:tcBorders>
              <w:top w:val="single" w:sz="12" w:space="0" w:color="auto"/>
            </w:tcBorders>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18 072</w:t>
            </w:r>
          </w:p>
        </w:tc>
        <w:tc>
          <w:tcPr>
            <w:tcW w:w="2195" w:type="dxa"/>
            <w:tcBorders>
              <w:top w:val="single" w:sz="12" w:space="0" w:color="auto"/>
            </w:tcBorders>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58 614</w:t>
            </w:r>
          </w:p>
        </w:tc>
      </w:tr>
      <w:tr w:rsidR="00D3561A" w:rsidRPr="008E5027" w:rsidTr="00B12C09">
        <w:tc>
          <w:tcPr>
            <w:tcW w:w="1366" w:type="dxa"/>
            <w:vAlign w:val="bottom"/>
          </w:tcPr>
          <w:p w:rsidR="00D3561A" w:rsidRPr="008E5027" w:rsidRDefault="00D3561A" w:rsidP="00B12C09">
            <w:pPr>
              <w:suppressAutoHyphens w:val="0"/>
              <w:spacing w:before="40" w:after="40" w:line="220" w:lineRule="exact"/>
              <w:rPr>
                <w:sz w:val="18"/>
              </w:rPr>
            </w:pPr>
            <w:r w:rsidRPr="008E5027">
              <w:rPr>
                <w:sz w:val="18"/>
              </w:rPr>
              <w:t>2001</w:t>
            </w:r>
          </w:p>
        </w:tc>
        <w:tc>
          <w:tcPr>
            <w:tcW w:w="1616" w:type="dxa"/>
            <w:shd w:val="clear" w:color="auto" w:fill="auto"/>
            <w:vAlign w:val="bottom"/>
          </w:tcPr>
          <w:p w:rsidR="00D3561A" w:rsidRPr="008E5027" w:rsidRDefault="00D3561A" w:rsidP="00B12C09">
            <w:pPr>
              <w:suppressAutoHyphens w:val="0"/>
              <w:spacing w:before="40" w:after="40" w:line="220" w:lineRule="exact"/>
              <w:ind w:right="794"/>
              <w:rPr>
                <w:b/>
                <w:sz w:val="18"/>
              </w:rPr>
            </w:pPr>
            <w:r w:rsidRPr="008E5027">
              <w:rPr>
                <w:b/>
                <w:sz w:val="18"/>
              </w:rPr>
              <w:t>79 928</w:t>
            </w:r>
          </w:p>
        </w:tc>
        <w:tc>
          <w:tcPr>
            <w:tcW w:w="2194" w:type="dxa"/>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17 803</w:t>
            </w:r>
          </w:p>
        </w:tc>
        <w:tc>
          <w:tcPr>
            <w:tcW w:w="2195" w:type="dxa"/>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62 125</w:t>
            </w:r>
          </w:p>
        </w:tc>
      </w:tr>
      <w:tr w:rsidR="00D3561A" w:rsidRPr="008E5027" w:rsidTr="00B12C09">
        <w:tc>
          <w:tcPr>
            <w:tcW w:w="1366" w:type="dxa"/>
            <w:vAlign w:val="bottom"/>
          </w:tcPr>
          <w:p w:rsidR="00D3561A" w:rsidRPr="008E5027" w:rsidRDefault="00D3561A" w:rsidP="00B12C09">
            <w:pPr>
              <w:suppressAutoHyphens w:val="0"/>
              <w:spacing w:before="40" w:after="40" w:line="220" w:lineRule="exact"/>
              <w:rPr>
                <w:sz w:val="18"/>
              </w:rPr>
            </w:pPr>
            <w:r w:rsidRPr="008E5027">
              <w:rPr>
                <w:sz w:val="18"/>
              </w:rPr>
              <w:t>2002</w:t>
            </w:r>
          </w:p>
        </w:tc>
        <w:tc>
          <w:tcPr>
            <w:tcW w:w="1616" w:type="dxa"/>
            <w:shd w:val="clear" w:color="auto" w:fill="auto"/>
            <w:vAlign w:val="bottom"/>
          </w:tcPr>
          <w:p w:rsidR="00D3561A" w:rsidRPr="008E5027" w:rsidRDefault="00D3561A" w:rsidP="00B12C09">
            <w:pPr>
              <w:suppressAutoHyphens w:val="0"/>
              <w:spacing w:before="40" w:after="40" w:line="220" w:lineRule="exact"/>
              <w:ind w:right="794"/>
              <w:rPr>
                <w:b/>
                <w:sz w:val="18"/>
              </w:rPr>
            </w:pPr>
            <w:r w:rsidRPr="008E5027">
              <w:rPr>
                <w:b/>
                <w:sz w:val="18"/>
              </w:rPr>
              <w:t>83 609</w:t>
            </w:r>
          </w:p>
        </w:tc>
        <w:tc>
          <w:tcPr>
            <w:tcW w:w="2194" w:type="dxa"/>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17 720</w:t>
            </w:r>
          </w:p>
        </w:tc>
        <w:tc>
          <w:tcPr>
            <w:tcW w:w="2195" w:type="dxa"/>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65 889</w:t>
            </w:r>
          </w:p>
        </w:tc>
      </w:tr>
      <w:tr w:rsidR="00D3561A" w:rsidRPr="008E5027" w:rsidTr="00B12C09">
        <w:tc>
          <w:tcPr>
            <w:tcW w:w="1366" w:type="dxa"/>
            <w:vAlign w:val="bottom"/>
          </w:tcPr>
          <w:p w:rsidR="00D3561A" w:rsidRPr="008E5027" w:rsidRDefault="00D3561A" w:rsidP="00B12C09">
            <w:pPr>
              <w:suppressAutoHyphens w:val="0"/>
              <w:spacing w:before="40" w:after="40" w:line="220" w:lineRule="exact"/>
              <w:rPr>
                <w:sz w:val="18"/>
              </w:rPr>
            </w:pPr>
            <w:r w:rsidRPr="008E5027">
              <w:rPr>
                <w:sz w:val="18"/>
              </w:rPr>
              <w:t>2003</w:t>
            </w:r>
          </w:p>
        </w:tc>
        <w:tc>
          <w:tcPr>
            <w:tcW w:w="1616" w:type="dxa"/>
            <w:shd w:val="clear" w:color="auto" w:fill="auto"/>
            <w:vAlign w:val="bottom"/>
          </w:tcPr>
          <w:p w:rsidR="00D3561A" w:rsidRPr="008E5027" w:rsidRDefault="00D3561A" w:rsidP="00B12C09">
            <w:pPr>
              <w:suppressAutoHyphens w:val="0"/>
              <w:spacing w:before="40" w:after="40" w:line="220" w:lineRule="exact"/>
              <w:ind w:right="794"/>
              <w:rPr>
                <w:b/>
                <w:sz w:val="18"/>
              </w:rPr>
            </w:pPr>
            <w:r w:rsidRPr="008E5027">
              <w:rPr>
                <w:b/>
                <w:sz w:val="18"/>
              </w:rPr>
              <w:t>81 511</w:t>
            </w:r>
          </w:p>
        </w:tc>
        <w:tc>
          <w:tcPr>
            <w:tcW w:w="2194" w:type="dxa"/>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17 818</w:t>
            </w:r>
          </w:p>
        </w:tc>
        <w:tc>
          <w:tcPr>
            <w:tcW w:w="2195" w:type="dxa"/>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63 693</w:t>
            </w:r>
          </w:p>
        </w:tc>
      </w:tr>
      <w:tr w:rsidR="00D3561A" w:rsidRPr="008E5027" w:rsidTr="00B12C09">
        <w:tc>
          <w:tcPr>
            <w:tcW w:w="1366" w:type="dxa"/>
            <w:tcBorders>
              <w:bottom w:val="single" w:sz="12" w:space="0" w:color="auto"/>
            </w:tcBorders>
            <w:vAlign w:val="bottom"/>
          </w:tcPr>
          <w:p w:rsidR="00D3561A" w:rsidRPr="008E5027" w:rsidRDefault="00D3561A" w:rsidP="00B12C09">
            <w:pPr>
              <w:suppressAutoHyphens w:val="0"/>
              <w:spacing w:before="40" w:after="40" w:line="220" w:lineRule="exact"/>
              <w:rPr>
                <w:sz w:val="18"/>
              </w:rPr>
            </w:pPr>
            <w:r w:rsidRPr="008E5027">
              <w:rPr>
                <w:sz w:val="18"/>
              </w:rPr>
              <w:t>2004</w:t>
            </w:r>
          </w:p>
        </w:tc>
        <w:tc>
          <w:tcPr>
            <w:tcW w:w="1616" w:type="dxa"/>
            <w:tcBorders>
              <w:bottom w:val="single" w:sz="12" w:space="0" w:color="auto"/>
            </w:tcBorders>
            <w:shd w:val="clear" w:color="auto" w:fill="auto"/>
            <w:vAlign w:val="bottom"/>
          </w:tcPr>
          <w:p w:rsidR="00D3561A" w:rsidRPr="008E5027" w:rsidRDefault="00D3561A" w:rsidP="00B12C09">
            <w:pPr>
              <w:suppressAutoHyphens w:val="0"/>
              <w:spacing w:before="40" w:after="40" w:line="220" w:lineRule="exact"/>
              <w:ind w:right="794"/>
              <w:rPr>
                <w:b/>
                <w:sz w:val="18"/>
              </w:rPr>
            </w:pPr>
            <w:r w:rsidRPr="008E5027">
              <w:rPr>
                <w:b/>
                <w:sz w:val="18"/>
              </w:rPr>
              <w:t>78 916</w:t>
            </w:r>
          </w:p>
        </w:tc>
        <w:tc>
          <w:tcPr>
            <w:tcW w:w="2194" w:type="dxa"/>
            <w:tcBorders>
              <w:bottom w:val="single" w:sz="12" w:space="0" w:color="auto"/>
            </w:tcBorders>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16 732</w:t>
            </w:r>
          </w:p>
        </w:tc>
        <w:tc>
          <w:tcPr>
            <w:tcW w:w="2195" w:type="dxa"/>
            <w:tcBorders>
              <w:bottom w:val="single" w:sz="12" w:space="0" w:color="auto"/>
            </w:tcBorders>
            <w:shd w:val="clear" w:color="auto" w:fill="auto"/>
            <w:vAlign w:val="bottom"/>
          </w:tcPr>
          <w:p w:rsidR="00D3561A" w:rsidRPr="008E5027" w:rsidRDefault="00D3561A" w:rsidP="00B12C09">
            <w:pPr>
              <w:suppressAutoHyphens w:val="0"/>
              <w:spacing w:before="40" w:after="40" w:line="220" w:lineRule="exact"/>
              <w:jc w:val="right"/>
              <w:rPr>
                <w:sz w:val="18"/>
              </w:rPr>
            </w:pPr>
            <w:r w:rsidRPr="008E5027">
              <w:rPr>
                <w:sz w:val="18"/>
              </w:rPr>
              <w:t>62 184</w:t>
            </w:r>
          </w:p>
        </w:tc>
      </w:tr>
    </w:tbl>
    <w:p w:rsidR="00FB5BE5" w:rsidRPr="008E5027" w:rsidRDefault="00D3561A" w:rsidP="00B12C09">
      <w:pPr>
        <w:spacing w:before="120"/>
        <w:ind w:left="1134" w:right="1134" w:firstLine="170"/>
        <w:rPr>
          <w:sz w:val="18"/>
          <w:szCs w:val="18"/>
        </w:rPr>
      </w:pPr>
      <w:r w:rsidRPr="008E5027">
        <w:rPr>
          <w:i/>
          <w:iCs/>
          <w:sz w:val="18"/>
          <w:szCs w:val="18"/>
        </w:rPr>
        <w:t>Source</w:t>
      </w:r>
      <w:r w:rsidRPr="00FD082E">
        <w:rPr>
          <w:i/>
          <w:iCs/>
          <w:sz w:val="18"/>
          <w:szCs w:val="18"/>
        </w:rPr>
        <w:t>:</w:t>
      </w:r>
      <w:r w:rsidR="007A2D83" w:rsidRPr="008E5027">
        <w:rPr>
          <w:sz w:val="18"/>
          <w:szCs w:val="18"/>
        </w:rPr>
        <w:t xml:space="preserve"> </w:t>
      </w:r>
      <w:r w:rsidR="00FD082E" w:rsidRPr="00FD082E">
        <w:rPr>
          <w:sz w:val="18"/>
          <w:szCs w:val="18"/>
          <w:lang w:val="fr-FR"/>
        </w:rPr>
        <w:t>Rapport annuel du Bureau des statistiques de la justice</w:t>
      </w:r>
      <w:r w:rsidRPr="008E5027">
        <w:rPr>
          <w:sz w:val="18"/>
          <w:szCs w:val="18"/>
        </w:rPr>
        <w:t>.</w:t>
      </w:r>
    </w:p>
    <w:p w:rsidR="00D85E81" w:rsidRPr="008E5027" w:rsidRDefault="00D85E81" w:rsidP="00566528">
      <w:pPr>
        <w:pStyle w:val="SingleTxtG"/>
        <w:rPr>
          <w:sz w:val="18"/>
        </w:rPr>
        <w:sectPr w:rsidR="00D85E81" w:rsidRPr="008E5027" w:rsidSect="000A78E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583060" w:rsidRPr="00FD082E" w:rsidRDefault="00365506" w:rsidP="00FD1E51">
      <w:pPr>
        <w:pStyle w:val="Heading1"/>
        <w:rPr>
          <w:lang w:val="es-ES"/>
        </w:rPr>
      </w:pPr>
      <w:r w:rsidRPr="00F206B8">
        <w:rPr>
          <w:lang w:val="fr-FR"/>
        </w:rPr>
        <w:t>Tableau</w:t>
      </w:r>
      <w:r w:rsidRPr="00F206B8">
        <w:rPr>
          <w:lang w:val="es-ES"/>
        </w:rPr>
        <w:t xml:space="preserve"> </w:t>
      </w:r>
      <w:r w:rsidR="00583060" w:rsidRPr="00FD082E">
        <w:rPr>
          <w:lang w:val="es-ES"/>
        </w:rPr>
        <w:t>25</w:t>
      </w:r>
    </w:p>
    <w:p w:rsidR="00583060" w:rsidRPr="00FD082E" w:rsidRDefault="00FD082E" w:rsidP="00FD082E">
      <w:pPr>
        <w:pStyle w:val="SingleTxtG"/>
        <w:rPr>
          <w:b/>
          <w:lang w:val="es-ES"/>
        </w:rPr>
      </w:pPr>
      <w:r w:rsidRPr="00FD082E">
        <w:rPr>
          <w:b/>
          <w:lang w:val="fr-FR"/>
        </w:rPr>
        <w:t>Nombre de mineurs impliqués dans des affaires, selon le type de décision</w:t>
      </w:r>
    </w:p>
    <w:tbl>
      <w:tblPr>
        <w:tblStyle w:val="TableGrid"/>
        <w:tblW w:w="123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6"/>
        <w:gridCol w:w="2337"/>
        <w:gridCol w:w="750"/>
        <w:gridCol w:w="750"/>
        <w:gridCol w:w="750"/>
        <w:gridCol w:w="750"/>
        <w:gridCol w:w="750"/>
        <w:gridCol w:w="750"/>
        <w:gridCol w:w="1200"/>
        <w:gridCol w:w="755"/>
        <w:gridCol w:w="756"/>
        <w:gridCol w:w="755"/>
        <w:gridCol w:w="756"/>
        <w:gridCol w:w="756"/>
      </w:tblGrid>
      <w:tr w:rsidR="000D7678" w:rsidRPr="008E5027" w:rsidTr="00250492">
        <w:trPr>
          <w:cantSplit/>
          <w:trHeight w:val="2268"/>
        </w:trPr>
        <w:tc>
          <w:tcPr>
            <w:tcW w:w="546" w:type="dxa"/>
            <w:tcBorders>
              <w:top w:val="single" w:sz="4" w:space="0" w:color="auto"/>
              <w:bottom w:val="single" w:sz="12" w:space="0" w:color="auto"/>
            </w:tcBorders>
            <w:shd w:val="clear" w:color="auto" w:fill="auto"/>
            <w:vAlign w:val="bottom"/>
          </w:tcPr>
          <w:p w:rsidR="000D7678" w:rsidRPr="00FD082E" w:rsidRDefault="000D7678" w:rsidP="005D4774">
            <w:pPr>
              <w:spacing w:before="80" w:after="80" w:line="200" w:lineRule="exact"/>
              <w:rPr>
                <w:i/>
                <w:sz w:val="16"/>
                <w:lang w:val="es-ES"/>
              </w:rPr>
            </w:pPr>
          </w:p>
        </w:tc>
        <w:tc>
          <w:tcPr>
            <w:tcW w:w="2337" w:type="dxa"/>
            <w:tcBorders>
              <w:top w:val="single" w:sz="4" w:space="0" w:color="auto"/>
              <w:bottom w:val="single" w:sz="12" w:space="0" w:color="auto"/>
            </w:tcBorders>
            <w:vAlign w:val="bottom"/>
          </w:tcPr>
          <w:p w:rsidR="000D7678" w:rsidRPr="00FD082E" w:rsidRDefault="000D7678" w:rsidP="00B12C09">
            <w:pPr>
              <w:spacing w:before="80" w:after="80" w:line="200" w:lineRule="exact"/>
              <w:rPr>
                <w:i/>
                <w:sz w:val="16"/>
                <w:lang w:val="es-ES"/>
              </w:rPr>
            </w:pPr>
          </w:p>
        </w:tc>
        <w:tc>
          <w:tcPr>
            <w:tcW w:w="750" w:type="dxa"/>
            <w:tcBorders>
              <w:top w:val="single" w:sz="4" w:space="0" w:color="auto"/>
              <w:bottom w:val="single" w:sz="12" w:space="0" w:color="auto"/>
            </w:tcBorders>
            <w:shd w:val="clear" w:color="auto" w:fill="auto"/>
            <w:textDirection w:val="btLr"/>
            <w:vAlign w:val="bottom"/>
          </w:tcPr>
          <w:p w:rsidR="000D7678" w:rsidRPr="004E0CE7" w:rsidRDefault="000D7678" w:rsidP="005D4774">
            <w:pPr>
              <w:spacing w:before="80" w:after="80" w:line="200" w:lineRule="exact"/>
              <w:ind w:left="113" w:right="113"/>
              <w:rPr>
                <w:i/>
                <w:sz w:val="16"/>
              </w:rPr>
            </w:pPr>
            <w:r w:rsidRPr="004E0CE7">
              <w:rPr>
                <w:i/>
                <w:sz w:val="16"/>
              </w:rPr>
              <w:t>Total</w:t>
            </w:r>
          </w:p>
        </w:tc>
        <w:tc>
          <w:tcPr>
            <w:tcW w:w="750" w:type="dxa"/>
            <w:tcBorders>
              <w:top w:val="single" w:sz="4" w:space="0" w:color="auto"/>
              <w:bottom w:val="single" w:sz="12" w:space="0" w:color="auto"/>
            </w:tcBorders>
            <w:shd w:val="clear" w:color="auto" w:fill="auto"/>
            <w:textDirection w:val="btLr"/>
            <w:vAlign w:val="bottom"/>
          </w:tcPr>
          <w:p w:rsidR="000D7678" w:rsidRPr="00D11E8C" w:rsidRDefault="00D11E8C" w:rsidP="004B6816">
            <w:pPr>
              <w:tabs>
                <w:tab w:val="left" w:pos="284"/>
              </w:tabs>
              <w:spacing w:before="80" w:after="80" w:line="200" w:lineRule="exact"/>
              <w:ind w:left="113" w:right="113"/>
              <w:rPr>
                <w:i/>
                <w:sz w:val="16"/>
              </w:rPr>
            </w:pPr>
            <w:r w:rsidRPr="00D11E8C">
              <w:rPr>
                <w:i/>
                <w:sz w:val="16"/>
              </w:rPr>
              <w:t>Renvoi devant le procureur</w:t>
            </w:r>
          </w:p>
        </w:tc>
        <w:tc>
          <w:tcPr>
            <w:tcW w:w="750" w:type="dxa"/>
            <w:tcBorders>
              <w:top w:val="single" w:sz="4" w:space="0" w:color="auto"/>
              <w:bottom w:val="single" w:sz="12" w:space="0" w:color="auto"/>
            </w:tcBorders>
            <w:shd w:val="clear" w:color="auto" w:fill="auto"/>
            <w:textDirection w:val="btLr"/>
            <w:vAlign w:val="bottom"/>
          </w:tcPr>
          <w:p w:rsidR="000D7678" w:rsidRPr="00D11E8C" w:rsidRDefault="00D11E8C" w:rsidP="004B6816">
            <w:pPr>
              <w:tabs>
                <w:tab w:val="left" w:pos="851"/>
              </w:tabs>
              <w:spacing w:before="80" w:after="80" w:line="200" w:lineRule="exact"/>
              <w:ind w:left="113" w:right="113"/>
              <w:rPr>
                <w:i/>
                <w:sz w:val="16"/>
              </w:rPr>
            </w:pPr>
            <w:r w:rsidRPr="00D11E8C">
              <w:rPr>
                <w:i/>
                <w:sz w:val="16"/>
              </w:rPr>
              <w:t>Sanction pénale</w:t>
            </w:r>
          </w:p>
        </w:tc>
        <w:tc>
          <w:tcPr>
            <w:tcW w:w="750" w:type="dxa"/>
            <w:tcBorders>
              <w:top w:val="single" w:sz="4" w:space="0" w:color="auto"/>
              <w:bottom w:val="single" w:sz="12" w:space="0" w:color="auto"/>
            </w:tcBorders>
            <w:shd w:val="clear" w:color="auto" w:fill="auto"/>
            <w:textDirection w:val="btLr"/>
            <w:vAlign w:val="bottom"/>
          </w:tcPr>
          <w:p w:rsidR="000D7678" w:rsidRPr="00D11E8C" w:rsidRDefault="00D11E8C" w:rsidP="00250492">
            <w:pPr>
              <w:tabs>
                <w:tab w:val="left" w:pos="851"/>
              </w:tabs>
              <w:spacing w:before="80" w:after="80" w:line="200" w:lineRule="exact"/>
              <w:ind w:left="113" w:right="113"/>
              <w:rPr>
                <w:i/>
                <w:sz w:val="16"/>
              </w:rPr>
            </w:pPr>
            <w:r w:rsidRPr="00D11E8C">
              <w:rPr>
                <w:i/>
                <w:sz w:val="16"/>
              </w:rPr>
              <w:t>Age limite dépassé</w:t>
            </w:r>
          </w:p>
        </w:tc>
        <w:tc>
          <w:tcPr>
            <w:tcW w:w="750" w:type="dxa"/>
            <w:tcBorders>
              <w:top w:val="single" w:sz="4" w:space="0" w:color="auto"/>
              <w:bottom w:val="single" w:sz="12" w:space="0" w:color="auto"/>
            </w:tcBorders>
            <w:shd w:val="clear" w:color="auto" w:fill="auto"/>
            <w:textDirection w:val="btLr"/>
            <w:vAlign w:val="bottom"/>
          </w:tcPr>
          <w:p w:rsidR="000D7678" w:rsidRPr="00D11E8C" w:rsidRDefault="00D11E8C" w:rsidP="00E21C8B">
            <w:pPr>
              <w:tabs>
                <w:tab w:val="left" w:pos="284"/>
              </w:tabs>
              <w:spacing w:before="80" w:after="80" w:line="200" w:lineRule="exact"/>
              <w:ind w:left="113" w:right="113"/>
              <w:rPr>
                <w:i/>
                <w:sz w:val="16"/>
              </w:rPr>
            </w:pPr>
            <w:r w:rsidRPr="00D11E8C">
              <w:rPr>
                <w:i/>
                <w:sz w:val="16"/>
              </w:rPr>
              <w:t>Mesures de protection</w:t>
            </w:r>
          </w:p>
        </w:tc>
        <w:tc>
          <w:tcPr>
            <w:tcW w:w="750" w:type="dxa"/>
            <w:tcBorders>
              <w:top w:val="single" w:sz="4" w:space="0" w:color="auto"/>
              <w:bottom w:val="single" w:sz="12" w:space="0" w:color="auto"/>
            </w:tcBorders>
            <w:shd w:val="clear" w:color="auto" w:fill="auto"/>
            <w:textDirection w:val="btLr"/>
            <w:vAlign w:val="bottom"/>
          </w:tcPr>
          <w:p w:rsidR="000D7678" w:rsidRPr="00D11E8C" w:rsidRDefault="00D11E8C" w:rsidP="00E21C8B">
            <w:pPr>
              <w:tabs>
                <w:tab w:val="left" w:pos="851"/>
              </w:tabs>
              <w:spacing w:before="80" w:after="80" w:line="200" w:lineRule="exact"/>
              <w:ind w:left="113" w:right="113"/>
              <w:rPr>
                <w:i/>
                <w:sz w:val="16"/>
              </w:rPr>
            </w:pPr>
            <w:r w:rsidRPr="00D11E8C">
              <w:rPr>
                <w:i/>
                <w:sz w:val="16"/>
              </w:rPr>
              <w:t>Probation</w:t>
            </w:r>
          </w:p>
        </w:tc>
        <w:tc>
          <w:tcPr>
            <w:tcW w:w="1200" w:type="dxa"/>
            <w:tcBorders>
              <w:top w:val="single" w:sz="4" w:space="0" w:color="auto"/>
              <w:bottom w:val="single" w:sz="12" w:space="0" w:color="auto"/>
            </w:tcBorders>
            <w:shd w:val="clear" w:color="auto" w:fill="auto"/>
            <w:textDirection w:val="btLr"/>
            <w:vAlign w:val="bottom"/>
          </w:tcPr>
          <w:p w:rsidR="000D7678" w:rsidRPr="00D11E8C" w:rsidRDefault="00D11E8C" w:rsidP="00E21C8B">
            <w:pPr>
              <w:tabs>
                <w:tab w:val="left" w:pos="851"/>
              </w:tabs>
              <w:spacing w:before="80" w:after="80" w:line="200" w:lineRule="exact"/>
              <w:ind w:left="113" w:right="113"/>
              <w:rPr>
                <w:i/>
                <w:sz w:val="16"/>
              </w:rPr>
            </w:pPr>
            <w:r w:rsidRPr="00D11E8C">
              <w:rPr>
                <w:i/>
                <w:sz w:val="16"/>
              </w:rPr>
              <w:t>Placement en établissement d</w:t>
            </w:r>
            <w:r w:rsidR="00277023">
              <w:rPr>
                <w:i/>
                <w:sz w:val="16"/>
              </w:rPr>
              <w:t>’</w:t>
            </w:r>
            <w:r w:rsidRPr="00D11E8C">
              <w:rPr>
                <w:i/>
                <w:sz w:val="16"/>
              </w:rPr>
              <w:t>appui au développement des capacités d</w:t>
            </w:r>
            <w:r w:rsidR="00277023">
              <w:rPr>
                <w:i/>
                <w:sz w:val="16"/>
              </w:rPr>
              <w:t>’</w:t>
            </w:r>
            <w:r w:rsidRPr="00D11E8C">
              <w:rPr>
                <w:i/>
                <w:sz w:val="16"/>
              </w:rPr>
              <w:t>autonomie ou en institution pour enfants</w:t>
            </w:r>
          </w:p>
        </w:tc>
        <w:tc>
          <w:tcPr>
            <w:tcW w:w="755" w:type="dxa"/>
            <w:tcBorders>
              <w:top w:val="single" w:sz="4" w:space="0" w:color="auto"/>
              <w:bottom w:val="single" w:sz="12" w:space="0" w:color="auto"/>
            </w:tcBorders>
            <w:shd w:val="clear" w:color="auto" w:fill="auto"/>
            <w:textDirection w:val="btLr"/>
            <w:vAlign w:val="bottom"/>
          </w:tcPr>
          <w:p w:rsidR="000D7678" w:rsidRPr="00D11E8C" w:rsidRDefault="00D11E8C" w:rsidP="00E21C8B">
            <w:pPr>
              <w:tabs>
                <w:tab w:val="left" w:pos="851"/>
              </w:tabs>
              <w:spacing w:before="80" w:after="80" w:line="200" w:lineRule="exact"/>
              <w:ind w:left="113" w:right="113"/>
              <w:rPr>
                <w:i/>
                <w:sz w:val="16"/>
              </w:rPr>
            </w:pPr>
            <w:r w:rsidRPr="00D11E8C">
              <w:rPr>
                <w:i/>
                <w:sz w:val="16"/>
              </w:rPr>
              <w:t>Placement en centre d</w:t>
            </w:r>
            <w:r w:rsidR="00277023">
              <w:rPr>
                <w:i/>
                <w:sz w:val="16"/>
              </w:rPr>
              <w:t>’</w:t>
            </w:r>
            <w:r w:rsidRPr="00D11E8C">
              <w:rPr>
                <w:i/>
                <w:sz w:val="16"/>
              </w:rPr>
              <w:t>éducation surveillée</w:t>
            </w:r>
          </w:p>
        </w:tc>
        <w:tc>
          <w:tcPr>
            <w:tcW w:w="756" w:type="dxa"/>
            <w:tcBorders>
              <w:top w:val="single" w:sz="4" w:space="0" w:color="auto"/>
              <w:bottom w:val="single" w:sz="12" w:space="0" w:color="auto"/>
            </w:tcBorders>
            <w:shd w:val="clear" w:color="auto" w:fill="auto"/>
            <w:textDirection w:val="btLr"/>
            <w:vAlign w:val="bottom"/>
          </w:tcPr>
          <w:p w:rsidR="000D7678" w:rsidRPr="00D11E8C" w:rsidRDefault="00D11E8C" w:rsidP="00E21C8B">
            <w:pPr>
              <w:tabs>
                <w:tab w:val="left" w:pos="284"/>
              </w:tabs>
              <w:spacing w:before="80" w:after="80" w:line="200" w:lineRule="exact"/>
              <w:ind w:left="113" w:right="113"/>
              <w:rPr>
                <w:i/>
                <w:sz w:val="16"/>
              </w:rPr>
            </w:pPr>
            <w:r w:rsidRPr="00D11E8C">
              <w:rPr>
                <w:i/>
                <w:sz w:val="16"/>
              </w:rPr>
              <w:t>Placement dans un centre de guidance infantile</w:t>
            </w:r>
          </w:p>
        </w:tc>
        <w:tc>
          <w:tcPr>
            <w:tcW w:w="755" w:type="dxa"/>
            <w:tcBorders>
              <w:top w:val="single" w:sz="4" w:space="0" w:color="auto"/>
              <w:bottom w:val="single" w:sz="12" w:space="0" w:color="auto"/>
            </w:tcBorders>
            <w:shd w:val="clear" w:color="auto" w:fill="auto"/>
            <w:textDirection w:val="btLr"/>
            <w:vAlign w:val="bottom"/>
          </w:tcPr>
          <w:p w:rsidR="000D7678" w:rsidRPr="004E0CE7" w:rsidRDefault="004E0CE7" w:rsidP="00E21C8B">
            <w:pPr>
              <w:tabs>
                <w:tab w:val="left" w:pos="284"/>
              </w:tabs>
              <w:spacing w:before="80" w:after="80" w:line="200" w:lineRule="exact"/>
              <w:ind w:left="113" w:right="113"/>
              <w:rPr>
                <w:i/>
                <w:sz w:val="16"/>
              </w:rPr>
            </w:pPr>
            <w:r w:rsidRPr="004E0CE7">
              <w:rPr>
                <w:i/>
                <w:sz w:val="16"/>
              </w:rPr>
              <w:t>Sursis</w:t>
            </w:r>
          </w:p>
        </w:tc>
        <w:tc>
          <w:tcPr>
            <w:tcW w:w="756" w:type="dxa"/>
            <w:tcBorders>
              <w:top w:val="single" w:sz="4" w:space="0" w:color="auto"/>
              <w:bottom w:val="single" w:sz="12" w:space="0" w:color="auto"/>
            </w:tcBorders>
            <w:shd w:val="clear" w:color="auto" w:fill="auto"/>
            <w:textDirection w:val="btLr"/>
            <w:vAlign w:val="bottom"/>
          </w:tcPr>
          <w:p w:rsidR="000D7678" w:rsidRPr="004E0CE7" w:rsidRDefault="004E0CE7" w:rsidP="00E21C8B">
            <w:pPr>
              <w:tabs>
                <w:tab w:val="left" w:pos="284"/>
              </w:tabs>
              <w:spacing w:before="80" w:after="80" w:line="200" w:lineRule="exact"/>
              <w:ind w:left="113" w:right="113"/>
              <w:rPr>
                <w:i/>
                <w:sz w:val="16"/>
              </w:rPr>
            </w:pPr>
            <w:r w:rsidRPr="004E0CE7">
              <w:rPr>
                <w:i/>
                <w:sz w:val="16"/>
              </w:rPr>
              <w:t>En attente</w:t>
            </w:r>
          </w:p>
        </w:tc>
        <w:tc>
          <w:tcPr>
            <w:tcW w:w="756" w:type="dxa"/>
            <w:tcBorders>
              <w:top w:val="single" w:sz="4" w:space="0" w:color="auto"/>
              <w:bottom w:val="single" w:sz="12" w:space="0" w:color="auto"/>
            </w:tcBorders>
            <w:shd w:val="clear" w:color="auto" w:fill="auto"/>
            <w:textDirection w:val="btLr"/>
            <w:vAlign w:val="bottom"/>
          </w:tcPr>
          <w:p w:rsidR="000D7678" w:rsidRPr="004E0CE7" w:rsidRDefault="004E0CE7" w:rsidP="00E21C8B">
            <w:pPr>
              <w:tabs>
                <w:tab w:val="left" w:pos="284"/>
              </w:tabs>
              <w:spacing w:before="80" w:after="80" w:line="200" w:lineRule="exact"/>
              <w:ind w:left="113" w:right="113"/>
              <w:rPr>
                <w:i/>
                <w:sz w:val="16"/>
              </w:rPr>
            </w:pPr>
            <w:r w:rsidRPr="004E0CE7">
              <w:rPr>
                <w:i/>
                <w:sz w:val="16"/>
              </w:rPr>
              <w:t>Affaires transférées, renvoyées ou jointes</w:t>
            </w:r>
          </w:p>
        </w:tc>
      </w:tr>
      <w:tr w:rsidR="000D7678" w:rsidRPr="008E5027" w:rsidTr="00B12C09">
        <w:tc>
          <w:tcPr>
            <w:tcW w:w="546"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rPr>
                <w:b/>
                <w:sz w:val="18"/>
              </w:rPr>
            </w:pPr>
            <w:r w:rsidRPr="008E5027">
              <w:rPr>
                <w:b/>
                <w:sz w:val="18"/>
              </w:rPr>
              <w:t>2000</w:t>
            </w:r>
          </w:p>
        </w:tc>
        <w:tc>
          <w:tcPr>
            <w:tcW w:w="2337" w:type="dxa"/>
            <w:tcBorders>
              <w:top w:val="single" w:sz="12" w:space="0" w:color="auto"/>
              <w:bottom w:val="single" w:sz="4" w:space="0" w:color="auto"/>
            </w:tcBorders>
            <w:vAlign w:val="bottom"/>
          </w:tcPr>
          <w:p w:rsidR="000D7678" w:rsidRPr="00D11E8C" w:rsidRDefault="00D11E8C" w:rsidP="00B12C09">
            <w:pPr>
              <w:suppressAutoHyphens w:val="0"/>
              <w:spacing w:before="80" w:after="80" w:line="220" w:lineRule="exact"/>
              <w:rPr>
                <w:b/>
                <w:sz w:val="18"/>
              </w:rPr>
            </w:pPr>
            <w:r w:rsidRPr="00D11E8C">
              <w:rPr>
                <w:b/>
                <w:sz w:val="18"/>
              </w:rPr>
              <w:t>Nombre total de mineurs</w:t>
            </w:r>
          </w:p>
        </w:tc>
        <w:tc>
          <w:tcPr>
            <w:tcW w:w="750"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284 998</w:t>
            </w:r>
          </w:p>
        </w:tc>
        <w:tc>
          <w:tcPr>
            <w:tcW w:w="750"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14 072</w:t>
            </w:r>
          </w:p>
        </w:tc>
        <w:tc>
          <w:tcPr>
            <w:tcW w:w="750"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9 665</w:t>
            </w:r>
          </w:p>
        </w:tc>
        <w:tc>
          <w:tcPr>
            <w:tcW w:w="750"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4 407</w:t>
            </w:r>
          </w:p>
        </w:tc>
        <w:tc>
          <w:tcPr>
            <w:tcW w:w="750"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58 176</w:t>
            </w:r>
          </w:p>
        </w:tc>
        <w:tc>
          <w:tcPr>
            <w:tcW w:w="750"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51 635</w:t>
            </w:r>
          </w:p>
        </w:tc>
        <w:tc>
          <w:tcPr>
            <w:tcW w:w="1200"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380</w:t>
            </w:r>
          </w:p>
        </w:tc>
        <w:tc>
          <w:tcPr>
            <w:tcW w:w="755"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6 161</w:t>
            </w:r>
          </w:p>
        </w:tc>
        <w:tc>
          <w:tcPr>
            <w:tcW w:w="756"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193</w:t>
            </w:r>
          </w:p>
        </w:tc>
        <w:tc>
          <w:tcPr>
            <w:tcW w:w="755"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61 908</w:t>
            </w:r>
          </w:p>
        </w:tc>
        <w:tc>
          <w:tcPr>
            <w:tcW w:w="756"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116 513</w:t>
            </w:r>
          </w:p>
        </w:tc>
        <w:tc>
          <w:tcPr>
            <w:tcW w:w="756" w:type="dxa"/>
            <w:tcBorders>
              <w:top w:val="single" w:sz="12"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34 136</w:t>
            </w:r>
          </w:p>
        </w:tc>
      </w:tr>
      <w:tr w:rsidR="000D7678" w:rsidRPr="008E5027" w:rsidTr="00B12C09">
        <w:tc>
          <w:tcPr>
            <w:tcW w:w="54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top w:val="single" w:sz="4" w:space="0" w:color="auto"/>
            </w:tcBorders>
            <w:vAlign w:val="bottom"/>
          </w:tcPr>
          <w:p w:rsidR="000D7678" w:rsidRPr="00D11E8C"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Mesure de protection générale</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197 223</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3 240</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1 034</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2 206</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32 650</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26 653</w:t>
            </w:r>
          </w:p>
        </w:tc>
        <w:tc>
          <w:tcPr>
            <w:tcW w:w="120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377</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5 620</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191</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36 913</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100 770</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23 459</w:t>
            </w:r>
          </w:p>
        </w:tc>
      </w:tr>
      <w:tr w:rsidR="000D7678" w:rsidRPr="008E5027" w:rsidTr="00B12C09">
        <w:tc>
          <w:tcPr>
            <w:tcW w:w="54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bottom w:val="single" w:sz="4" w:space="0" w:color="auto"/>
            </w:tcBorders>
            <w:vAlign w:val="bottom"/>
          </w:tcPr>
          <w:p w:rsidR="000D7678" w:rsidRPr="008E5027"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Pr="008E5027">
              <w:rPr>
                <w:sz w:val="18"/>
              </w:rPr>
              <w:t xml:space="preserve"> </w:t>
            </w:r>
            <w:r w:rsidR="00D11E8C" w:rsidRPr="00D11E8C">
              <w:rPr>
                <w:sz w:val="18"/>
              </w:rPr>
              <w:t>Circulation</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87 775</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10 832</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8 631</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2 201</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25 526</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24 982</w:t>
            </w:r>
          </w:p>
        </w:tc>
        <w:tc>
          <w:tcPr>
            <w:tcW w:w="120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w:t>
            </w:r>
          </w:p>
        </w:tc>
        <w:tc>
          <w:tcPr>
            <w:tcW w:w="755"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541</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w:t>
            </w:r>
          </w:p>
        </w:tc>
        <w:tc>
          <w:tcPr>
            <w:tcW w:w="755"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24 995</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15 743</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10 677</w:t>
            </w:r>
          </w:p>
        </w:tc>
      </w:tr>
      <w:tr w:rsidR="000D7678" w:rsidRPr="008E5027" w:rsidTr="00B12C09">
        <w:tc>
          <w:tcPr>
            <w:tcW w:w="546"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rPr>
                <w:b/>
                <w:sz w:val="18"/>
              </w:rPr>
            </w:pPr>
            <w:r w:rsidRPr="008E5027">
              <w:rPr>
                <w:b/>
                <w:sz w:val="18"/>
              </w:rPr>
              <w:t>2001</w:t>
            </w:r>
          </w:p>
        </w:tc>
        <w:tc>
          <w:tcPr>
            <w:tcW w:w="2337" w:type="dxa"/>
            <w:tcBorders>
              <w:top w:val="single" w:sz="4" w:space="0" w:color="auto"/>
              <w:bottom w:val="single" w:sz="4" w:space="0" w:color="auto"/>
            </w:tcBorders>
            <w:vAlign w:val="bottom"/>
          </w:tcPr>
          <w:p w:rsidR="000D7678" w:rsidRPr="008E5027" w:rsidRDefault="00D11E8C" w:rsidP="00B12C09">
            <w:pPr>
              <w:suppressAutoHyphens w:val="0"/>
              <w:spacing w:before="80" w:after="80" w:line="220" w:lineRule="exact"/>
              <w:rPr>
                <w:b/>
                <w:sz w:val="18"/>
              </w:rPr>
            </w:pPr>
            <w:r w:rsidRPr="00D11E8C">
              <w:rPr>
                <w:b/>
                <w:sz w:val="18"/>
              </w:rPr>
              <w:t>Nombre total de mineurs</w:t>
            </w:r>
          </w:p>
        </w:tc>
        <w:tc>
          <w:tcPr>
            <w:tcW w:w="750"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285 094</w:t>
            </w:r>
          </w:p>
        </w:tc>
        <w:tc>
          <w:tcPr>
            <w:tcW w:w="750"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13 859</w:t>
            </w:r>
          </w:p>
        </w:tc>
        <w:tc>
          <w:tcPr>
            <w:tcW w:w="750"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9 668</w:t>
            </w:r>
          </w:p>
        </w:tc>
        <w:tc>
          <w:tcPr>
            <w:tcW w:w="750"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4 191</w:t>
            </w:r>
          </w:p>
        </w:tc>
        <w:tc>
          <w:tcPr>
            <w:tcW w:w="750"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55 906</w:t>
            </w:r>
          </w:p>
        </w:tc>
        <w:tc>
          <w:tcPr>
            <w:tcW w:w="750"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49 481</w:t>
            </w:r>
          </w:p>
        </w:tc>
        <w:tc>
          <w:tcPr>
            <w:tcW w:w="1200"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372</w:t>
            </w:r>
          </w:p>
        </w:tc>
        <w:tc>
          <w:tcPr>
            <w:tcW w:w="755"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6 053</w:t>
            </w:r>
          </w:p>
        </w:tc>
        <w:tc>
          <w:tcPr>
            <w:tcW w:w="756"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144</w:t>
            </w:r>
          </w:p>
        </w:tc>
        <w:tc>
          <w:tcPr>
            <w:tcW w:w="755"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59 307</w:t>
            </w:r>
          </w:p>
        </w:tc>
        <w:tc>
          <w:tcPr>
            <w:tcW w:w="756"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121 603</w:t>
            </w:r>
          </w:p>
        </w:tc>
        <w:tc>
          <w:tcPr>
            <w:tcW w:w="756" w:type="dxa"/>
            <w:tcBorders>
              <w:top w:val="single" w:sz="4" w:space="0" w:color="auto"/>
              <w:bottom w:val="single" w:sz="4" w:space="0" w:color="auto"/>
            </w:tcBorders>
            <w:shd w:val="clear" w:color="auto" w:fill="auto"/>
            <w:vAlign w:val="bottom"/>
          </w:tcPr>
          <w:p w:rsidR="000D7678" w:rsidRPr="008E5027" w:rsidRDefault="000D7678" w:rsidP="00B12C09">
            <w:pPr>
              <w:suppressAutoHyphens w:val="0"/>
              <w:spacing w:before="80" w:after="80" w:line="220" w:lineRule="exact"/>
              <w:jc w:val="right"/>
              <w:rPr>
                <w:b/>
                <w:sz w:val="18"/>
              </w:rPr>
            </w:pPr>
            <w:r w:rsidRPr="008E5027">
              <w:rPr>
                <w:b/>
                <w:sz w:val="18"/>
              </w:rPr>
              <w:t>34 275</w:t>
            </w:r>
          </w:p>
        </w:tc>
      </w:tr>
      <w:tr w:rsidR="000D7678" w:rsidRPr="008E5027" w:rsidTr="00B12C09">
        <w:tc>
          <w:tcPr>
            <w:tcW w:w="54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top w:val="single" w:sz="4" w:space="0" w:color="auto"/>
            </w:tcBorders>
            <w:vAlign w:val="bottom"/>
          </w:tcPr>
          <w:p w:rsidR="000D7678" w:rsidRPr="00D11E8C"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Mesure de protection générale</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204 367</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3 491</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1 265</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2 226</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32 400</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26 509</w:t>
            </w:r>
          </w:p>
        </w:tc>
        <w:tc>
          <w:tcPr>
            <w:tcW w:w="120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370</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5 521</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143</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36 952</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107 373</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24 008</w:t>
            </w:r>
          </w:p>
        </w:tc>
      </w:tr>
      <w:tr w:rsidR="000D7678" w:rsidRPr="008E5027" w:rsidTr="00B12C09">
        <w:tc>
          <w:tcPr>
            <w:tcW w:w="54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bottom w:val="single" w:sz="4" w:space="0" w:color="auto"/>
            </w:tcBorders>
            <w:vAlign w:val="bottom"/>
          </w:tcPr>
          <w:p w:rsidR="000D7678" w:rsidRPr="008E5027"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Circulation</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80 727</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10 368</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8 403</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1 965</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23 506</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22 972</w:t>
            </w:r>
          </w:p>
        </w:tc>
        <w:tc>
          <w:tcPr>
            <w:tcW w:w="120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w:t>
            </w:r>
          </w:p>
        </w:tc>
        <w:tc>
          <w:tcPr>
            <w:tcW w:w="755"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532</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w:t>
            </w:r>
          </w:p>
        </w:tc>
        <w:tc>
          <w:tcPr>
            <w:tcW w:w="755"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22 355</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14 230</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10 267</w:t>
            </w:r>
          </w:p>
        </w:tc>
      </w:tr>
      <w:tr w:rsidR="000D7678" w:rsidRPr="008E5027" w:rsidTr="00B12C09">
        <w:tc>
          <w:tcPr>
            <w:tcW w:w="54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rPr>
                <w:b/>
                <w:sz w:val="18"/>
              </w:rPr>
            </w:pPr>
            <w:r w:rsidRPr="008E5027">
              <w:rPr>
                <w:b/>
                <w:sz w:val="18"/>
              </w:rPr>
              <w:t>2002</w:t>
            </w:r>
          </w:p>
        </w:tc>
        <w:tc>
          <w:tcPr>
            <w:tcW w:w="2337" w:type="dxa"/>
            <w:tcBorders>
              <w:top w:val="single" w:sz="4" w:space="0" w:color="auto"/>
              <w:bottom w:val="single" w:sz="4" w:space="0" w:color="auto"/>
            </w:tcBorders>
            <w:vAlign w:val="bottom"/>
          </w:tcPr>
          <w:p w:rsidR="000D7678" w:rsidRPr="008E5027" w:rsidRDefault="00D11E8C" w:rsidP="00D11E8C">
            <w:pPr>
              <w:suppressAutoHyphens w:val="0"/>
              <w:spacing w:before="80" w:after="80" w:line="220" w:lineRule="exact"/>
              <w:rPr>
                <w:b/>
                <w:sz w:val="18"/>
              </w:rPr>
            </w:pPr>
            <w:r w:rsidRPr="00D11E8C">
              <w:rPr>
                <w:b/>
                <w:sz w:val="18"/>
              </w:rPr>
              <w:t>Nombre total de mineurs</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286 504</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12 796</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8 815</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3 981</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54 883</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43 568</w:t>
            </w:r>
          </w:p>
        </w:tc>
        <w:tc>
          <w:tcPr>
            <w:tcW w:w="120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336</w:t>
            </w:r>
          </w:p>
        </w:tc>
        <w:tc>
          <w:tcPr>
            <w:tcW w:w="755"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5 979</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183</w:t>
            </w:r>
          </w:p>
        </w:tc>
        <w:tc>
          <w:tcPr>
            <w:tcW w:w="755"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55 635</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128 378</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34 629</w:t>
            </w:r>
          </w:p>
        </w:tc>
      </w:tr>
      <w:tr w:rsidR="000D7678" w:rsidRPr="008E5027" w:rsidTr="00B12C09">
        <w:tc>
          <w:tcPr>
            <w:tcW w:w="54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top w:val="single" w:sz="4" w:space="0" w:color="auto"/>
            </w:tcBorders>
            <w:vAlign w:val="bottom"/>
          </w:tcPr>
          <w:p w:rsidR="000D7678" w:rsidRPr="00D11E8C"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Mesure de protection générale</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210 854</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3 327</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1 122</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2 205</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32 065</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26 315</w:t>
            </w:r>
          </w:p>
        </w:tc>
        <w:tc>
          <w:tcPr>
            <w:tcW w:w="120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333</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5 417</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183</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35 731</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114 757</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24 791</w:t>
            </w:r>
          </w:p>
        </w:tc>
      </w:tr>
      <w:tr w:rsidR="000D7678" w:rsidRPr="008E5027" w:rsidTr="00B12C09">
        <w:tc>
          <w:tcPr>
            <w:tcW w:w="54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bottom w:val="single" w:sz="4" w:space="0" w:color="auto"/>
            </w:tcBorders>
            <w:vAlign w:val="bottom"/>
          </w:tcPr>
          <w:p w:rsidR="000D7678" w:rsidRPr="008E5027"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Circulation</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75 650</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9 469</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7 693</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1 776</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22 818</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22 253</w:t>
            </w:r>
          </w:p>
        </w:tc>
        <w:tc>
          <w:tcPr>
            <w:tcW w:w="120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w:t>
            </w:r>
          </w:p>
        </w:tc>
        <w:tc>
          <w:tcPr>
            <w:tcW w:w="755"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562</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0</w:t>
            </w:r>
          </w:p>
        </w:tc>
        <w:tc>
          <w:tcPr>
            <w:tcW w:w="755"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19 904</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13 621</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9 838</w:t>
            </w:r>
          </w:p>
        </w:tc>
      </w:tr>
      <w:tr w:rsidR="000D7678" w:rsidRPr="008E5027" w:rsidTr="00B12C09">
        <w:tc>
          <w:tcPr>
            <w:tcW w:w="54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rPr>
                <w:b/>
                <w:sz w:val="18"/>
              </w:rPr>
            </w:pPr>
            <w:r w:rsidRPr="008E5027">
              <w:rPr>
                <w:b/>
                <w:sz w:val="18"/>
              </w:rPr>
              <w:t>2003</w:t>
            </w:r>
          </w:p>
        </w:tc>
        <w:tc>
          <w:tcPr>
            <w:tcW w:w="2337" w:type="dxa"/>
            <w:tcBorders>
              <w:top w:val="single" w:sz="4" w:space="0" w:color="auto"/>
              <w:bottom w:val="single" w:sz="4" w:space="0" w:color="auto"/>
            </w:tcBorders>
            <w:vAlign w:val="bottom"/>
          </w:tcPr>
          <w:p w:rsidR="000D7678" w:rsidRPr="008E5027" w:rsidRDefault="00D11E8C" w:rsidP="00D11E8C">
            <w:pPr>
              <w:suppressAutoHyphens w:val="0"/>
              <w:spacing w:before="80" w:after="80" w:line="220" w:lineRule="exact"/>
              <w:rPr>
                <w:b/>
                <w:sz w:val="18"/>
              </w:rPr>
            </w:pPr>
            <w:r w:rsidRPr="00D11E8C">
              <w:rPr>
                <w:b/>
                <w:sz w:val="18"/>
              </w:rPr>
              <w:t>Nombre total de mineurs</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274 299</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12 295</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8 419</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3 876</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50 587</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44 390</w:t>
            </w:r>
          </w:p>
        </w:tc>
        <w:tc>
          <w:tcPr>
            <w:tcW w:w="120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355</w:t>
            </w:r>
          </w:p>
        </w:tc>
        <w:tc>
          <w:tcPr>
            <w:tcW w:w="755"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5842</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178</w:t>
            </w:r>
          </w:p>
        </w:tc>
        <w:tc>
          <w:tcPr>
            <w:tcW w:w="755"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48 434</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129 469</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33 336</w:t>
            </w:r>
          </w:p>
        </w:tc>
      </w:tr>
      <w:tr w:rsidR="000D7678" w:rsidRPr="008E5027" w:rsidTr="00B12C09">
        <w:tc>
          <w:tcPr>
            <w:tcW w:w="54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top w:val="single" w:sz="4" w:space="0" w:color="auto"/>
            </w:tcBorders>
            <w:vAlign w:val="bottom"/>
          </w:tcPr>
          <w:p w:rsidR="000D7678" w:rsidRPr="00D11E8C"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Mesure de protection générale</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210 121</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3 339</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1 214</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2 125</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30 339</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24 684</w:t>
            </w:r>
          </w:p>
        </w:tc>
        <w:tc>
          <w:tcPr>
            <w:tcW w:w="120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350</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5 305</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176</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33 057</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118 083</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25 127</w:t>
            </w:r>
          </w:p>
        </w:tc>
      </w:tr>
      <w:tr w:rsidR="000D7678" w:rsidRPr="008E5027" w:rsidTr="00B12C09">
        <w:tc>
          <w:tcPr>
            <w:tcW w:w="54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bottom w:val="single" w:sz="4" w:space="0" w:color="auto"/>
            </w:tcBorders>
            <w:vAlign w:val="bottom"/>
          </w:tcPr>
          <w:p w:rsidR="000D7678" w:rsidRPr="008E5027"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Circulation</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64 178</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8 956</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7 205</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1 751</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20 248</w:t>
            </w:r>
          </w:p>
        </w:tc>
        <w:tc>
          <w:tcPr>
            <w:tcW w:w="75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19 706</w:t>
            </w:r>
          </w:p>
        </w:tc>
        <w:tc>
          <w:tcPr>
            <w:tcW w:w="1200"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w:t>
            </w:r>
          </w:p>
        </w:tc>
        <w:tc>
          <w:tcPr>
            <w:tcW w:w="755"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537</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w:t>
            </w:r>
          </w:p>
        </w:tc>
        <w:tc>
          <w:tcPr>
            <w:tcW w:w="755"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15 377</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11 386</w:t>
            </w:r>
          </w:p>
        </w:tc>
        <w:tc>
          <w:tcPr>
            <w:tcW w:w="756" w:type="dxa"/>
            <w:tcBorders>
              <w:bottom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8 209</w:t>
            </w:r>
          </w:p>
        </w:tc>
      </w:tr>
      <w:tr w:rsidR="000D7678" w:rsidRPr="008E5027" w:rsidTr="00B12C09">
        <w:tc>
          <w:tcPr>
            <w:tcW w:w="54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rPr>
                <w:b/>
                <w:sz w:val="18"/>
              </w:rPr>
            </w:pPr>
            <w:r w:rsidRPr="008E5027">
              <w:rPr>
                <w:b/>
                <w:sz w:val="18"/>
              </w:rPr>
              <w:t>2004</w:t>
            </w:r>
          </w:p>
        </w:tc>
        <w:tc>
          <w:tcPr>
            <w:tcW w:w="2337" w:type="dxa"/>
            <w:tcBorders>
              <w:top w:val="single" w:sz="4" w:space="0" w:color="auto"/>
              <w:bottom w:val="single" w:sz="4" w:space="0" w:color="auto"/>
            </w:tcBorders>
            <w:vAlign w:val="bottom"/>
          </w:tcPr>
          <w:p w:rsidR="000D7678" w:rsidRPr="008E5027" w:rsidRDefault="00D11E8C" w:rsidP="00D11E8C">
            <w:pPr>
              <w:suppressAutoHyphens w:val="0"/>
              <w:spacing w:before="80" w:after="80" w:line="220" w:lineRule="exact"/>
              <w:rPr>
                <w:b/>
                <w:sz w:val="18"/>
              </w:rPr>
            </w:pPr>
            <w:r w:rsidRPr="00D11E8C">
              <w:rPr>
                <w:b/>
                <w:sz w:val="18"/>
              </w:rPr>
              <w:t>Nombre total de mineurs</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264 700</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11 800</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8 019</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3 781</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46 443</w:t>
            </w:r>
          </w:p>
        </w:tc>
        <w:tc>
          <w:tcPr>
            <w:tcW w:w="75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40 789</w:t>
            </w:r>
          </w:p>
        </w:tc>
        <w:tc>
          <w:tcPr>
            <w:tcW w:w="1200"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344</w:t>
            </w:r>
          </w:p>
        </w:tc>
        <w:tc>
          <w:tcPr>
            <w:tcW w:w="755"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5 310</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241</w:t>
            </w:r>
          </w:p>
        </w:tc>
        <w:tc>
          <w:tcPr>
            <w:tcW w:w="755"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44 188</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130 264</w:t>
            </w:r>
          </w:p>
        </w:tc>
        <w:tc>
          <w:tcPr>
            <w:tcW w:w="756" w:type="dxa"/>
            <w:tcBorders>
              <w:top w:val="single" w:sz="4" w:space="0" w:color="auto"/>
              <w:bottom w:val="single" w:sz="4" w:space="0" w:color="auto"/>
            </w:tcBorders>
            <w:shd w:val="clear" w:color="auto" w:fill="auto"/>
            <w:vAlign w:val="bottom"/>
          </w:tcPr>
          <w:p w:rsidR="000D7678" w:rsidRPr="008E5027" w:rsidRDefault="000D7678" w:rsidP="00D11E8C">
            <w:pPr>
              <w:suppressAutoHyphens w:val="0"/>
              <w:spacing w:before="80" w:after="80" w:line="220" w:lineRule="exact"/>
              <w:jc w:val="right"/>
              <w:rPr>
                <w:b/>
                <w:sz w:val="18"/>
              </w:rPr>
            </w:pPr>
            <w:r w:rsidRPr="008E5027">
              <w:rPr>
                <w:b/>
                <w:sz w:val="18"/>
              </w:rPr>
              <w:t>31 764</w:t>
            </w:r>
          </w:p>
        </w:tc>
      </w:tr>
      <w:tr w:rsidR="000D7678" w:rsidRPr="008E5027" w:rsidTr="00B12C09">
        <w:tc>
          <w:tcPr>
            <w:tcW w:w="54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top w:val="single" w:sz="4" w:space="0" w:color="auto"/>
            </w:tcBorders>
            <w:vAlign w:val="bottom"/>
          </w:tcPr>
          <w:p w:rsidR="000D7678" w:rsidRPr="00D11E8C"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Mesure de protection générale</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207 032</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 xml:space="preserve">3 184 </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1 097</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2 087</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28 585</w:t>
            </w:r>
          </w:p>
        </w:tc>
        <w:tc>
          <w:tcPr>
            <w:tcW w:w="75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23 370</w:t>
            </w:r>
          </w:p>
        </w:tc>
        <w:tc>
          <w:tcPr>
            <w:tcW w:w="1200"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343</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4 872</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241</w:t>
            </w:r>
          </w:p>
        </w:tc>
        <w:tc>
          <w:tcPr>
            <w:tcW w:w="755"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31 385</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119 386</w:t>
            </w:r>
          </w:p>
        </w:tc>
        <w:tc>
          <w:tcPr>
            <w:tcW w:w="756" w:type="dxa"/>
            <w:tcBorders>
              <w:top w:val="single" w:sz="4"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24 251</w:t>
            </w:r>
          </w:p>
        </w:tc>
      </w:tr>
      <w:tr w:rsidR="000D7678" w:rsidRPr="008E5027" w:rsidTr="00B12C09">
        <w:tc>
          <w:tcPr>
            <w:tcW w:w="546"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rPr>
                <w:sz w:val="18"/>
              </w:rPr>
            </w:pPr>
          </w:p>
        </w:tc>
        <w:tc>
          <w:tcPr>
            <w:tcW w:w="2337" w:type="dxa"/>
            <w:tcBorders>
              <w:bottom w:val="single" w:sz="12" w:space="0" w:color="auto"/>
            </w:tcBorders>
            <w:vAlign w:val="bottom"/>
          </w:tcPr>
          <w:p w:rsidR="000D7678" w:rsidRPr="00D11E8C" w:rsidRDefault="000D7678" w:rsidP="00B12C09">
            <w:pPr>
              <w:suppressAutoHyphens w:val="0"/>
              <w:spacing w:before="40" w:after="40" w:line="220" w:lineRule="exact"/>
              <w:rPr>
                <w:sz w:val="18"/>
              </w:rPr>
            </w:pPr>
            <w:r w:rsidRPr="008E5027">
              <w:rPr>
                <w:sz w:val="18"/>
              </w:rPr>
              <w:t xml:space="preserve">  </w:t>
            </w:r>
            <w:r w:rsidR="00EA1115">
              <w:rPr>
                <w:sz w:val="18"/>
              </w:rPr>
              <w:t xml:space="preserve"> </w:t>
            </w:r>
            <w:r w:rsidR="00D11E8C" w:rsidRPr="00D11E8C">
              <w:rPr>
                <w:sz w:val="18"/>
              </w:rPr>
              <w:t>Circulation</w:t>
            </w:r>
          </w:p>
        </w:tc>
        <w:tc>
          <w:tcPr>
            <w:tcW w:w="750"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57 668</w:t>
            </w:r>
          </w:p>
        </w:tc>
        <w:tc>
          <w:tcPr>
            <w:tcW w:w="750"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8 616</w:t>
            </w:r>
          </w:p>
        </w:tc>
        <w:tc>
          <w:tcPr>
            <w:tcW w:w="750"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6 922</w:t>
            </w:r>
          </w:p>
        </w:tc>
        <w:tc>
          <w:tcPr>
            <w:tcW w:w="750"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1 694</w:t>
            </w:r>
          </w:p>
        </w:tc>
        <w:tc>
          <w:tcPr>
            <w:tcW w:w="750"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17 858</w:t>
            </w:r>
          </w:p>
        </w:tc>
        <w:tc>
          <w:tcPr>
            <w:tcW w:w="750"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17 419</w:t>
            </w:r>
          </w:p>
        </w:tc>
        <w:tc>
          <w:tcPr>
            <w:tcW w:w="1200"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w:t>
            </w:r>
          </w:p>
        </w:tc>
        <w:tc>
          <w:tcPr>
            <w:tcW w:w="755"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438</w:t>
            </w:r>
          </w:p>
        </w:tc>
        <w:tc>
          <w:tcPr>
            <w:tcW w:w="756"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0</w:t>
            </w:r>
          </w:p>
        </w:tc>
        <w:tc>
          <w:tcPr>
            <w:tcW w:w="755"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12 803</w:t>
            </w:r>
          </w:p>
        </w:tc>
        <w:tc>
          <w:tcPr>
            <w:tcW w:w="756"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10 878</w:t>
            </w:r>
          </w:p>
        </w:tc>
        <w:tc>
          <w:tcPr>
            <w:tcW w:w="756" w:type="dxa"/>
            <w:tcBorders>
              <w:bottom w:val="single" w:sz="12" w:space="0" w:color="auto"/>
            </w:tcBorders>
            <w:shd w:val="clear" w:color="auto" w:fill="auto"/>
            <w:vAlign w:val="bottom"/>
          </w:tcPr>
          <w:p w:rsidR="000D7678" w:rsidRPr="008E5027" w:rsidRDefault="000D7678" w:rsidP="005D4774">
            <w:pPr>
              <w:suppressAutoHyphens w:val="0"/>
              <w:spacing w:before="40" w:after="40" w:line="220" w:lineRule="exact"/>
              <w:jc w:val="right"/>
              <w:rPr>
                <w:sz w:val="18"/>
              </w:rPr>
            </w:pPr>
            <w:r w:rsidRPr="008E5027">
              <w:rPr>
                <w:sz w:val="18"/>
              </w:rPr>
              <w:t>7 513</w:t>
            </w:r>
          </w:p>
        </w:tc>
      </w:tr>
    </w:tbl>
    <w:p w:rsidR="00461E0C" w:rsidRPr="008E5027" w:rsidRDefault="00461E0C" w:rsidP="00CE2B13">
      <w:pPr>
        <w:spacing w:before="120"/>
        <w:ind w:left="284" w:right="284" w:firstLine="170"/>
        <w:rPr>
          <w:sz w:val="18"/>
          <w:szCs w:val="18"/>
        </w:rPr>
      </w:pPr>
      <w:r w:rsidRPr="008E5027">
        <w:rPr>
          <w:i/>
          <w:sz w:val="18"/>
          <w:szCs w:val="18"/>
        </w:rPr>
        <w:t>Source</w:t>
      </w:r>
      <w:r w:rsidRPr="00FD082E">
        <w:rPr>
          <w:i/>
          <w:sz w:val="18"/>
          <w:szCs w:val="18"/>
        </w:rPr>
        <w:t>:</w:t>
      </w:r>
      <w:r w:rsidRPr="008E5027">
        <w:rPr>
          <w:sz w:val="18"/>
          <w:szCs w:val="18"/>
        </w:rPr>
        <w:t xml:space="preserve"> </w:t>
      </w:r>
      <w:r w:rsidR="00250492" w:rsidRPr="00250492">
        <w:rPr>
          <w:sz w:val="18"/>
          <w:szCs w:val="18"/>
        </w:rPr>
        <w:t>Rapport annuel du Bureau des statistiques de la justice</w:t>
      </w:r>
      <w:r w:rsidR="000417AF" w:rsidRPr="008E5027">
        <w:rPr>
          <w:sz w:val="18"/>
          <w:szCs w:val="18"/>
        </w:rPr>
        <w:t>.</w:t>
      </w:r>
    </w:p>
    <w:p w:rsidR="005265C7" w:rsidRPr="008E5027" w:rsidRDefault="005265C7" w:rsidP="00FD082E">
      <w:pPr>
        <w:ind w:left="284" w:right="284" w:firstLine="170"/>
      </w:pPr>
      <w:r w:rsidRPr="008E5027">
        <w:rPr>
          <w:sz w:val="18"/>
          <w:szCs w:val="18"/>
        </w:rPr>
        <w:t>(</w:t>
      </w:r>
      <w:r w:rsidRPr="008E5027">
        <w:rPr>
          <w:i/>
          <w:sz w:val="18"/>
          <w:szCs w:val="18"/>
        </w:rPr>
        <w:t>Note</w:t>
      </w:r>
      <w:r w:rsidRPr="00FD082E">
        <w:rPr>
          <w:i/>
          <w:sz w:val="18"/>
          <w:szCs w:val="18"/>
        </w:rPr>
        <w:t>:</w:t>
      </w:r>
      <w:r w:rsidRPr="008E5027">
        <w:rPr>
          <w:sz w:val="18"/>
          <w:szCs w:val="18"/>
        </w:rPr>
        <w:t xml:space="preserve"> </w:t>
      </w:r>
      <w:r w:rsidR="00FD082E" w:rsidRPr="00FD082E">
        <w:rPr>
          <w:sz w:val="18"/>
          <w:szCs w:val="22"/>
        </w:rPr>
        <w:t>Au terme d</w:t>
      </w:r>
      <w:r w:rsidR="00277023">
        <w:rPr>
          <w:sz w:val="18"/>
          <w:szCs w:val="22"/>
        </w:rPr>
        <w:t>’</w:t>
      </w:r>
      <w:r w:rsidR="00FD082E" w:rsidRPr="00FD082E">
        <w:rPr>
          <w:sz w:val="18"/>
          <w:szCs w:val="22"/>
        </w:rPr>
        <w:t>un procès, le tribunal des affaires familiales rend sa décision en prenant l</w:t>
      </w:r>
      <w:r w:rsidR="00277023">
        <w:rPr>
          <w:sz w:val="18"/>
          <w:szCs w:val="22"/>
        </w:rPr>
        <w:t>’</w:t>
      </w:r>
      <w:r w:rsidR="00FD082E" w:rsidRPr="00FD082E">
        <w:rPr>
          <w:sz w:val="18"/>
          <w:szCs w:val="22"/>
        </w:rPr>
        <w:t>une des mesures suivantes</w:t>
      </w:r>
      <w:r w:rsidR="00277023">
        <w:rPr>
          <w:sz w:val="18"/>
          <w:szCs w:val="22"/>
        </w:rPr>
        <w:t>:</w:t>
      </w:r>
      <w:r w:rsidR="00FD082E" w:rsidRPr="00FD082E">
        <w:rPr>
          <w:sz w:val="18"/>
          <w:szCs w:val="22"/>
        </w:rPr>
        <w:t xml:space="preserve"> sursis, transfert devant le gouverneur d</w:t>
      </w:r>
      <w:r w:rsidR="00277023">
        <w:rPr>
          <w:sz w:val="18"/>
          <w:szCs w:val="22"/>
        </w:rPr>
        <w:t>’</w:t>
      </w:r>
      <w:r w:rsidR="00FD082E" w:rsidRPr="00FD082E">
        <w:rPr>
          <w:sz w:val="18"/>
          <w:szCs w:val="22"/>
        </w:rPr>
        <w:t>une préfecture ou le directeur d</w:t>
      </w:r>
      <w:r w:rsidR="00277023">
        <w:rPr>
          <w:sz w:val="18"/>
          <w:szCs w:val="22"/>
        </w:rPr>
        <w:t>’</w:t>
      </w:r>
      <w:r w:rsidR="00FD082E" w:rsidRPr="00FD082E">
        <w:rPr>
          <w:sz w:val="18"/>
          <w:szCs w:val="22"/>
        </w:rPr>
        <w:t>un centre de guidance infantile, renvoi devant le Procureur ou mesures de protection. Outre le placement dans un centre d</w:t>
      </w:r>
      <w:r w:rsidR="00277023">
        <w:rPr>
          <w:sz w:val="18"/>
          <w:szCs w:val="22"/>
        </w:rPr>
        <w:t>’</w:t>
      </w:r>
      <w:r w:rsidR="00FD082E" w:rsidRPr="00FD082E">
        <w:rPr>
          <w:sz w:val="18"/>
          <w:szCs w:val="22"/>
        </w:rPr>
        <w:t>éducation surveillée qui prive le mineur de liberté, la probation et le placement dans un établissement d</w:t>
      </w:r>
      <w:r w:rsidR="00277023">
        <w:rPr>
          <w:sz w:val="18"/>
          <w:szCs w:val="22"/>
        </w:rPr>
        <w:t>’</w:t>
      </w:r>
      <w:r w:rsidR="00FD082E" w:rsidRPr="00FD082E">
        <w:rPr>
          <w:sz w:val="18"/>
          <w:szCs w:val="22"/>
        </w:rPr>
        <w:t>appui au développement des capacités d</w:t>
      </w:r>
      <w:r w:rsidR="00277023">
        <w:rPr>
          <w:sz w:val="18"/>
          <w:szCs w:val="22"/>
        </w:rPr>
        <w:t>’</w:t>
      </w:r>
      <w:r w:rsidR="00FD082E" w:rsidRPr="00FD082E">
        <w:rPr>
          <w:sz w:val="18"/>
          <w:szCs w:val="22"/>
        </w:rPr>
        <w:t>autonomie ou dans une institution pour enfants sont également considérés comme des mesures de protection</w:t>
      </w:r>
      <w:r w:rsidRPr="008E5027">
        <w:rPr>
          <w:sz w:val="18"/>
          <w:szCs w:val="18"/>
        </w:rPr>
        <w:t>.)</w:t>
      </w:r>
    </w:p>
    <w:p w:rsidR="00093F0A" w:rsidRPr="008E5027" w:rsidRDefault="00093F0A" w:rsidP="00D85E81">
      <w:pPr>
        <w:sectPr w:rsidR="00093F0A" w:rsidRPr="008E5027" w:rsidSect="00583060">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FD082E" w:rsidRPr="00FD082E" w:rsidRDefault="00FD082E" w:rsidP="00FD082E">
      <w:pPr>
        <w:pStyle w:val="SingleTxtG"/>
        <w:rPr>
          <w:lang w:val="fr-FR"/>
        </w:rPr>
      </w:pPr>
      <w:r w:rsidRPr="00FD082E">
        <w:rPr>
          <w:lang w:val="fr-FR"/>
        </w:rPr>
        <w:t>(b-3) Mesures visant à ne pas priver les enfants de liberté dans le cadre de l</w:t>
      </w:r>
      <w:r w:rsidR="00277023">
        <w:rPr>
          <w:lang w:val="fr-FR"/>
        </w:rPr>
        <w:t>’</w:t>
      </w:r>
      <w:r w:rsidRPr="00FD082E">
        <w:rPr>
          <w:lang w:val="fr-FR"/>
        </w:rPr>
        <w:t>arrestation, du placement en rétention ou de l</w:t>
      </w:r>
      <w:r w:rsidR="00277023">
        <w:rPr>
          <w:lang w:val="fr-FR"/>
        </w:rPr>
        <w:t>’</w:t>
      </w:r>
      <w:r w:rsidRPr="00FD082E">
        <w:rPr>
          <w:lang w:val="fr-FR"/>
        </w:rPr>
        <w:t>emprisonnement de demandeurs d</w:t>
      </w:r>
      <w:r w:rsidR="00277023">
        <w:rPr>
          <w:lang w:val="fr-FR"/>
        </w:rPr>
        <w:t>’</w:t>
      </w:r>
      <w:r w:rsidRPr="00FD082E">
        <w:rPr>
          <w:lang w:val="fr-FR"/>
        </w:rPr>
        <w:t xml:space="preserve">asile </w:t>
      </w:r>
    </w:p>
    <w:p w:rsidR="00FD082E" w:rsidRPr="00FD082E" w:rsidRDefault="00FD082E" w:rsidP="00FD082E">
      <w:pPr>
        <w:pStyle w:val="SingleTxtG"/>
        <w:rPr>
          <w:lang w:val="fr-FR"/>
        </w:rPr>
      </w:pPr>
      <w:r w:rsidRPr="00FD082E">
        <w:rPr>
          <w:lang w:val="fr-FR"/>
        </w:rPr>
        <w:t>(Procédures d</w:t>
      </w:r>
      <w:r w:rsidR="00277023">
        <w:rPr>
          <w:lang w:val="fr-FR"/>
        </w:rPr>
        <w:t>’</w:t>
      </w:r>
      <w:r w:rsidRPr="00FD082E">
        <w:rPr>
          <w:lang w:val="fr-FR"/>
        </w:rPr>
        <w:t>expulsion)</w:t>
      </w:r>
    </w:p>
    <w:p w:rsidR="00FD082E" w:rsidRPr="00FD082E" w:rsidRDefault="00FD082E" w:rsidP="00FD082E">
      <w:pPr>
        <w:pStyle w:val="SingleTxtG"/>
        <w:rPr>
          <w:lang w:val="fr-FR"/>
        </w:rPr>
      </w:pPr>
      <w:r w:rsidRPr="00FD082E">
        <w:rPr>
          <w:lang w:val="fr-FR"/>
        </w:rPr>
        <w:t>493.</w:t>
      </w:r>
      <w:r w:rsidRPr="00FD082E">
        <w:rPr>
          <w:lang w:val="fr-FR"/>
        </w:rPr>
        <w:tab/>
        <w:t xml:space="preserve">Voir paragraphe 484 (b-1 ci-dessus). </w:t>
      </w:r>
    </w:p>
    <w:p w:rsidR="00FD082E" w:rsidRPr="00FD082E" w:rsidRDefault="00FD082E" w:rsidP="00FD082E">
      <w:pPr>
        <w:pStyle w:val="SingleTxtG"/>
        <w:rPr>
          <w:lang w:val="fr-FR"/>
        </w:rPr>
      </w:pPr>
      <w:r w:rsidRPr="00FD082E">
        <w:rPr>
          <w:bCs/>
          <w:lang w:val="fr-FR"/>
        </w:rPr>
        <w:t>494.</w:t>
      </w:r>
      <w:r w:rsidRPr="00FD082E">
        <w:rPr>
          <w:bCs/>
          <w:lang w:val="fr-FR"/>
        </w:rPr>
        <w:tab/>
        <w:t>La procédure d</w:t>
      </w:r>
      <w:r w:rsidR="00277023">
        <w:rPr>
          <w:bCs/>
          <w:lang w:val="fr-FR"/>
        </w:rPr>
        <w:t>’</w:t>
      </w:r>
      <w:r w:rsidRPr="00FD082E">
        <w:rPr>
          <w:bCs/>
          <w:lang w:val="fr-FR"/>
        </w:rPr>
        <w:t>expulsion d</w:t>
      </w:r>
      <w:r w:rsidR="00277023">
        <w:rPr>
          <w:bCs/>
          <w:lang w:val="fr-FR"/>
        </w:rPr>
        <w:t>’</w:t>
      </w:r>
      <w:r w:rsidRPr="00FD082E">
        <w:rPr>
          <w:bCs/>
          <w:lang w:val="fr-FR"/>
        </w:rPr>
        <w:t>un migrant est lancée pendant son placement en détention provisoire et il en va de même pour les mineurs. Cependant, lorsqu</w:t>
      </w:r>
      <w:r w:rsidR="00277023">
        <w:rPr>
          <w:bCs/>
          <w:lang w:val="fr-FR"/>
        </w:rPr>
        <w:t>’</w:t>
      </w:r>
      <w:r w:rsidRPr="00FD082E">
        <w:rPr>
          <w:bCs/>
          <w:lang w:val="fr-FR"/>
        </w:rPr>
        <w:t>un mineur est sous le coup d</w:t>
      </w:r>
      <w:r w:rsidR="00277023">
        <w:rPr>
          <w:bCs/>
          <w:lang w:val="fr-FR"/>
        </w:rPr>
        <w:t>’</w:t>
      </w:r>
      <w:r w:rsidRPr="00FD082E">
        <w:rPr>
          <w:bCs/>
          <w:lang w:val="fr-FR"/>
        </w:rPr>
        <w:t>un arrêté d</w:t>
      </w:r>
      <w:r w:rsidR="00277023">
        <w:rPr>
          <w:bCs/>
          <w:lang w:val="fr-FR"/>
        </w:rPr>
        <w:t>’</w:t>
      </w:r>
      <w:r w:rsidRPr="00FD082E">
        <w:rPr>
          <w:bCs/>
          <w:lang w:val="fr-FR"/>
        </w:rPr>
        <w:t>expulsion, il est placé en détention provisoire pour une durée aussi brève que possible, ou mis en liberté provisoire si les circonstances le permettent, conformément à l</w:t>
      </w:r>
      <w:r w:rsidR="00277023">
        <w:rPr>
          <w:bCs/>
          <w:lang w:val="fr-FR"/>
        </w:rPr>
        <w:t>’</w:t>
      </w:r>
      <w:r w:rsidRPr="00FD082E">
        <w:rPr>
          <w:bCs/>
          <w:lang w:val="fr-FR"/>
        </w:rPr>
        <w:t xml:space="preserve">objet de </w:t>
      </w:r>
      <w:smartTag w:uri="urn:schemas-microsoft-com:office:smarttags" w:element="PersonName">
        <w:smartTagPr>
          <w:attr w:name="ProductID" w:val="LA CONVENTION"/>
        </w:smartTagPr>
        <w:r w:rsidRPr="00FD082E">
          <w:rPr>
            <w:bCs/>
            <w:lang w:val="fr-FR"/>
          </w:rPr>
          <w:t>la Convention</w:t>
        </w:r>
      </w:smartTag>
      <w:r w:rsidRPr="00FD082E">
        <w:rPr>
          <w:bCs/>
          <w:lang w:val="fr-FR"/>
        </w:rPr>
        <w:t>, pendant la recherche d</w:t>
      </w:r>
      <w:r w:rsidR="00277023">
        <w:rPr>
          <w:bCs/>
          <w:lang w:val="fr-FR"/>
        </w:rPr>
        <w:t>’</w:t>
      </w:r>
      <w:r w:rsidRPr="00FD082E">
        <w:rPr>
          <w:bCs/>
          <w:lang w:val="fr-FR"/>
        </w:rPr>
        <w:t>un compromis entre les considérations humanitaires et l</w:t>
      </w:r>
      <w:r w:rsidR="00277023">
        <w:rPr>
          <w:bCs/>
          <w:lang w:val="fr-FR"/>
        </w:rPr>
        <w:t>’</w:t>
      </w:r>
      <w:r w:rsidRPr="00FD082E">
        <w:rPr>
          <w:bCs/>
          <w:lang w:val="fr-FR"/>
        </w:rPr>
        <w:t>exécution de l</w:t>
      </w:r>
      <w:r w:rsidR="00277023">
        <w:rPr>
          <w:bCs/>
          <w:lang w:val="fr-FR"/>
        </w:rPr>
        <w:t>’</w:t>
      </w:r>
      <w:r w:rsidRPr="00FD082E">
        <w:rPr>
          <w:bCs/>
          <w:lang w:val="fr-FR"/>
        </w:rPr>
        <w:t xml:space="preserve">expulsion. </w:t>
      </w:r>
    </w:p>
    <w:p w:rsidR="00FD082E" w:rsidRPr="00FD082E" w:rsidRDefault="00FD082E" w:rsidP="00FD082E">
      <w:pPr>
        <w:pStyle w:val="SingleTxtG"/>
        <w:rPr>
          <w:bCs/>
          <w:lang w:val="fr-FR"/>
        </w:rPr>
      </w:pPr>
      <w:r w:rsidRPr="00FD082E">
        <w:rPr>
          <w:bCs/>
          <w:lang w:val="fr-FR"/>
        </w:rPr>
        <w:t>495.</w:t>
      </w:r>
      <w:r w:rsidRPr="00FD082E">
        <w:rPr>
          <w:bCs/>
          <w:lang w:val="fr-FR"/>
        </w:rPr>
        <w:tab/>
      </w:r>
      <w:smartTag w:uri="urn:schemas-microsoft-com:office:smarttags" w:element="PersonName">
        <w:smartTagPr>
          <w:attr w:name="ProductID" w:val="la Loi"/>
        </w:smartTagPr>
        <w:r w:rsidRPr="00FD082E">
          <w:rPr>
            <w:bCs/>
            <w:lang w:val="fr-FR"/>
          </w:rPr>
          <w:t>La Loi</w:t>
        </w:r>
      </w:smartTag>
      <w:r w:rsidRPr="00FD082E">
        <w:rPr>
          <w:bCs/>
          <w:lang w:val="fr-FR"/>
        </w:rPr>
        <w:t xml:space="preserve"> sur le contrôle de l</w:t>
      </w:r>
      <w:r w:rsidR="00277023">
        <w:rPr>
          <w:bCs/>
          <w:lang w:val="fr-FR"/>
        </w:rPr>
        <w:t>’</w:t>
      </w:r>
      <w:r w:rsidRPr="00FD082E">
        <w:rPr>
          <w:bCs/>
          <w:lang w:val="fr-FR"/>
        </w:rPr>
        <w:t xml:space="preserve">immigration et la reconnaissance du statut de réfugié a été partiellement modifiée afin de régulariser la situation juridique des ressortissants étrangers clandestins demandant le statut de réfugié et a pris effet en mai 2005. Ceux qui satisfont à certains critères stipulés par </w:t>
      </w:r>
      <w:smartTag w:uri="urn:schemas-microsoft-com:office:smarttags" w:element="PersonName">
        <w:smartTagPr>
          <w:attr w:name="ProductID" w:val="la Loi"/>
        </w:smartTagPr>
        <w:r w:rsidRPr="00FD082E">
          <w:rPr>
            <w:bCs/>
            <w:lang w:val="fr-FR"/>
          </w:rPr>
          <w:t>la Loi</w:t>
        </w:r>
      </w:smartTag>
      <w:r w:rsidRPr="00FD082E">
        <w:rPr>
          <w:bCs/>
          <w:lang w:val="fr-FR"/>
        </w:rPr>
        <w:t xml:space="preserve"> amendée</w:t>
      </w:r>
      <w:r w:rsidR="00EA1115">
        <w:rPr>
          <w:bCs/>
          <w:lang w:val="fr-FR"/>
        </w:rPr>
        <w:t xml:space="preserve"> </w:t>
      </w:r>
      <w:r w:rsidRPr="00FD082E">
        <w:rPr>
          <w:bCs/>
          <w:lang w:val="fr-FR"/>
        </w:rPr>
        <w:t>reçoivent un titre de séjour provisoire, la procédure d</w:t>
      </w:r>
      <w:r w:rsidR="00277023">
        <w:rPr>
          <w:bCs/>
          <w:lang w:val="fr-FR"/>
        </w:rPr>
        <w:t>’</w:t>
      </w:r>
      <w:r w:rsidRPr="00FD082E">
        <w:rPr>
          <w:bCs/>
          <w:lang w:val="fr-FR"/>
        </w:rPr>
        <w:t>expulsion est suspendue et celle de la reconnaissance du statut de réfugiée est engagée sans le placement en détention provisoire du demandeur. De plus, les candidats au statut de réfugié qui sont en situation irrégulière bénéficient sans exception du statut de résident s</w:t>
      </w:r>
      <w:r w:rsidR="00277023">
        <w:rPr>
          <w:bCs/>
          <w:lang w:val="fr-FR"/>
        </w:rPr>
        <w:t>’</w:t>
      </w:r>
      <w:r w:rsidRPr="00FD082E">
        <w:rPr>
          <w:bCs/>
          <w:lang w:val="fr-FR"/>
        </w:rPr>
        <w:t>ils répondent à certaines conditions. Pour ce qui est des clandestins qui ne satisfont pas aux conditions requises, après examen dans le cadre de la procédure de reconnaissance du statut de réfugié de la question de savoir s</w:t>
      </w:r>
      <w:r w:rsidR="00277023">
        <w:rPr>
          <w:bCs/>
          <w:lang w:val="fr-FR"/>
        </w:rPr>
        <w:t>’</w:t>
      </w:r>
      <w:r w:rsidRPr="00FD082E">
        <w:rPr>
          <w:bCs/>
          <w:lang w:val="fr-FR"/>
        </w:rPr>
        <w:t>ils ont ou non des motifs particuliers d</w:t>
      </w:r>
      <w:r w:rsidR="00277023">
        <w:rPr>
          <w:bCs/>
          <w:lang w:val="fr-FR"/>
        </w:rPr>
        <w:t>’</w:t>
      </w:r>
      <w:r w:rsidRPr="00FD082E">
        <w:rPr>
          <w:bCs/>
          <w:lang w:val="fr-FR"/>
        </w:rPr>
        <w:t>obtenir le statut de résident,</w:t>
      </w:r>
      <w:r w:rsidR="00EA1115">
        <w:rPr>
          <w:bCs/>
          <w:lang w:val="fr-FR"/>
        </w:rPr>
        <w:t xml:space="preserve"> </w:t>
      </w:r>
      <w:r w:rsidRPr="00FD082E">
        <w:rPr>
          <w:bCs/>
          <w:lang w:val="fr-FR"/>
        </w:rPr>
        <w:t>ils pourront bénéficier d</w:t>
      </w:r>
      <w:r w:rsidR="00277023">
        <w:rPr>
          <w:bCs/>
          <w:lang w:val="fr-FR"/>
        </w:rPr>
        <w:t>’</w:t>
      </w:r>
      <w:r w:rsidRPr="00FD082E">
        <w:rPr>
          <w:bCs/>
          <w:lang w:val="fr-FR"/>
        </w:rPr>
        <w:t>un titre de séjour spécial en présence de tels motifs.</w:t>
      </w:r>
    </w:p>
    <w:p w:rsidR="00FD082E" w:rsidRPr="00FD082E" w:rsidRDefault="00A57029" w:rsidP="00FD082E">
      <w:pPr>
        <w:pStyle w:val="SingleTxtG"/>
        <w:rPr>
          <w:lang w:val="fr-FR"/>
        </w:rPr>
      </w:pPr>
      <w:r w:rsidRPr="00FD082E">
        <w:rPr>
          <w:lang w:val="fr-FR"/>
        </w:rPr>
        <w:t xml:space="preserve"> </w:t>
      </w:r>
      <w:r w:rsidR="00FD082E" w:rsidRPr="00FD082E">
        <w:rPr>
          <w:lang w:val="fr-FR"/>
        </w:rPr>
        <w:t>(b-4) S</w:t>
      </w:r>
      <w:r w:rsidR="00FD082E" w:rsidRPr="00FD082E">
        <w:rPr>
          <w:bCs/>
          <w:iCs/>
          <w:lang w:val="fr-FR"/>
        </w:rPr>
        <w:t>tatistiques concernant le nombre d</w:t>
      </w:r>
      <w:r w:rsidR="00277023">
        <w:rPr>
          <w:bCs/>
          <w:iCs/>
          <w:lang w:val="fr-FR"/>
        </w:rPr>
        <w:t>’</w:t>
      </w:r>
      <w:r w:rsidR="00FD082E" w:rsidRPr="00FD082E">
        <w:rPr>
          <w:bCs/>
          <w:iCs/>
          <w:lang w:val="fr-FR"/>
        </w:rPr>
        <w:t xml:space="preserve">enfants privés de liberté illégalement, arbitrairement ou en application de </w:t>
      </w:r>
      <w:smartTag w:uri="urn:schemas-microsoft-com:office:smarttags" w:element="PersonName">
        <w:smartTagPr>
          <w:attr w:name="ProductID" w:val="la Loi"/>
        </w:smartTagPr>
        <w:r w:rsidR="00FD082E" w:rsidRPr="00FD082E">
          <w:rPr>
            <w:bCs/>
            <w:iCs/>
            <w:lang w:val="fr-FR"/>
          </w:rPr>
          <w:t>la Loi</w:t>
        </w:r>
      </w:smartTag>
      <w:r w:rsidR="00FD082E" w:rsidRPr="00FD082E">
        <w:rPr>
          <w:lang w:val="fr-FR"/>
        </w:rPr>
        <w:t xml:space="preserve"> </w:t>
      </w:r>
    </w:p>
    <w:p w:rsidR="00FD082E" w:rsidRPr="00FD082E" w:rsidRDefault="00FD082E" w:rsidP="00FD082E">
      <w:pPr>
        <w:pStyle w:val="SingleTxtG"/>
        <w:rPr>
          <w:lang w:val="fr-FR"/>
        </w:rPr>
      </w:pPr>
      <w:r w:rsidRPr="00FD082E">
        <w:rPr>
          <w:lang w:val="fr-FR"/>
        </w:rPr>
        <w:t>496.</w:t>
      </w:r>
      <w:r w:rsidRPr="00FD082E">
        <w:rPr>
          <w:lang w:val="fr-FR"/>
        </w:rPr>
        <w:tab/>
        <w:t>Aucune affaire concernant des enfants privés de liberté illégalement ou arbitrairement n</w:t>
      </w:r>
      <w:r w:rsidR="00277023">
        <w:rPr>
          <w:lang w:val="fr-FR"/>
        </w:rPr>
        <w:t>’</w:t>
      </w:r>
      <w:r w:rsidRPr="00FD082E">
        <w:rPr>
          <w:lang w:val="fr-FR"/>
        </w:rPr>
        <w:t xml:space="preserve">a été enregistrée au Japon. Les données relatives aux enfants privés de liberté après une procédure judiciaire sont les suivantes: </w:t>
      </w:r>
    </w:p>
    <w:p w:rsidR="00093F0A" w:rsidRPr="008E5027" w:rsidRDefault="00365506" w:rsidP="00093F0A">
      <w:pPr>
        <w:pStyle w:val="Heading1"/>
      </w:pPr>
      <w:r w:rsidRPr="00F206B8">
        <w:rPr>
          <w:lang w:val="fr-FR"/>
        </w:rPr>
        <w:t>Tableau</w:t>
      </w:r>
      <w:r w:rsidRPr="00A57029">
        <w:t xml:space="preserve"> </w:t>
      </w:r>
      <w:r w:rsidR="00093F0A" w:rsidRPr="008E5027">
        <w:t>26</w:t>
      </w:r>
    </w:p>
    <w:p w:rsidR="00093F0A" w:rsidRPr="008E5027" w:rsidRDefault="00A57029" w:rsidP="00C874F0">
      <w:pPr>
        <w:pStyle w:val="SingleTxtG"/>
        <w:jc w:val="left"/>
        <w:rPr>
          <w:b/>
        </w:rPr>
      </w:pPr>
      <w:r w:rsidRPr="00A57029">
        <w:rPr>
          <w:b/>
          <w:bCs/>
          <w:lang w:val="fr-FR"/>
        </w:rPr>
        <w:t>Population journalière moyenne dans les foyers de classification pour mineurs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1843"/>
        <w:gridCol w:w="1842"/>
        <w:gridCol w:w="1843"/>
      </w:tblGrid>
      <w:tr w:rsidR="00093F0A" w:rsidRPr="008E5027" w:rsidTr="001754E4">
        <w:tc>
          <w:tcPr>
            <w:tcW w:w="1842" w:type="dxa"/>
            <w:tcBorders>
              <w:top w:val="single" w:sz="4" w:space="0" w:color="auto"/>
              <w:bottom w:val="single" w:sz="12" w:space="0" w:color="auto"/>
            </w:tcBorders>
            <w:shd w:val="clear" w:color="auto" w:fill="auto"/>
            <w:vAlign w:val="bottom"/>
          </w:tcPr>
          <w:p w:rsidR="00093F0A" w:rsidRPr="008E5027" w:rsidRDefault="001754E4" w:rsidP="00B76F89">
            <w:pPr>
              <w:spacing w:before="80" w:after="80" w:line="200" w:lineRule="exact"/>
              <w:rPr>
                <w:i/>
                <w:sz w:val="16"/>
              </w:rPr>
            </w:pPr>
            <w:r w:rsidRPr="001754E4">
              <w:rPr>
                <w:i/>
                <w:sz w:val="16"/>
                <w:lang w:val="fr-FR"/>
              </w:rPr>
              <w:t>Année</w:t>
            </w:r>
          </w:p>
        </w:tc>
        <w:tc>
          <w:tcPr>
            <w:tcW w:w="1843" w:type="dxa"/>
            <w:tcBorders>
              <w:top w:val="single" w:sz="4" w:space="0" w:color="auto"/>
              <w:bottom w:val="single" w:sz="12" w:space="0" w:color="auto"/>
            </w:tcBorders>
            <w:shd w:val="clear" w:color="auto" w:fill="auto"/>
            <w:vAlign w:val="bottom"/>
          </w:tcPr>
          <w:p w:rsidR="00093F0A" w:rsidRPr="008E5027" w:rsidRDefault="001754E4" w:rsidP="001754E4">
            <w:pPr>
              <w:spacing w:before="80" w:after="80" w:line="200" w:lineRule="exact"/>
              <w:jc w:val="right"/>
              <w:rPr>
                <w:i/>
                <w:sz w:val="16"/>
              </w:rPr>
            </w:pPr>
            <w:r>
              <w:rPr>
                <w:i/>
                <w:sz w:val="16"/>
              </w:rPr>
              <w:t>M</w:t>
            </w:r>
          </w:p>
        </w:tc>
        <w:tc>
          <w:tcPr>
            <w:tcW w:w="1842" w:type="dxa"/>
            <w:tcBorders>
              <w:top w:val="single" w:sz="4" w:space="0" w:color="auto"/>
              <w:bottom w:val="single" w:sz="12" w:space="0" w:color="auto"/>
            </w:tcBorders>
            <w:shd w:val="clear" w:color="auto" w:fill="auto"/>
            <w:vAlign w:val="bottom"/>
          </w:tcPr>
          <w:p w:rsidR="00093F0A" w:rsidRPr="008E5027" w:rsidRDefault="001754E4" w:rsidP="001754E4">
            <w:pPr>
              <w:spacing w:before="80" w:after="80" w:line="200" w:lineRule="exact"/>
              <w:jc w:val="right"/>
              <w:rPr>
                <w:i/>
                <w:sz w:val="16"/>
              </w:rPr>
            </w:pPr>
            <w:r>
              <w:rPr>
                <w:i/>
                <w:sz w:val="16"/>
              </w:rPr>
              <w:t>F</w:t>
            </w:r>
          </w:p>
        </w:tc>
        <w:tc>
          <w:tcPr>
            <w:tcW w:w="1843" w:type="dxa"/>
            <w:tcBorders>
              <w:top w:val="single" w:sz="4" w:space="0" w:color="auto"/>
              <w:bottom w:val="single" w:sz="12" w:space="0" w:color="auto"/>
            </w:tcBorders>
            <w:shd w:val="clear" w:color="auto" w:fill="auto"/>
            <w:vAlign w:val="bottom"/>
          </w:tcPr>
          <w:p w:rsidR="00093F0A" w:rsidRPr="008E5027" w:rsidRDefault="00093F0A" w:rsidP="001754E4">
            <w:pPr>
              <w:spacing w:before="80" w:after="80" w:line="200" w:lineRule="exact"/>
              <w:jc w:val="right"/>
              <w:rPr>
                <w:b/>
                <w:i/>
                <w:sz w:val="16"/>
              </w:rPr>
            </w:pPr>
            <w:r w:rsidRPr="008E5027">
              <w:rPr>
                <w:b/>
                <w:i/>
                <w:sz w:val="16"/>
              </w:rPr>
              <w:t>Total</w:t>
            </w:r>
          </w:p>
        </w:tc>
      </w:tr>
      <w:tr w:rsidR="00093F0A" w:rsidRPr="008E5027" w:rsidTr="001754E4">
        <w:tc>
          <w:tcPr>
            <w:tcW w:w="1842" w:type="dxa"/>
            <w:tcBorders>
              <w:top w:val="single" w:sz="12" w:space="0" w:color="auto"/>
            </w:tcBorders>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2000</w:t>
            </w:r>
          </w:p>
        </w:tc>
        <w:tc>
          <w:tcPr>
            <w:tcW w:w="1843" w:type="dxa"/>
            <w:tcBorders>
              <w:top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1 309</w:t>
            </w:r>
          </w:p>
        </w:tc>
        <w:tc>
          <w:tcPr>
            <w:tcW w:w="1842" w:type="dxa"/>
            <w:tcBorders>
              <w:top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164</w:t>
            </w:r>
          </w:p>
        </w:tc>
        <w:tc>
          <w:tcPr>
            <w:tcW w:w="1843" w:type="dxa"/>
            <w:tcBorders>
              <w:top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b/>
                <w:sz w:val="18"/>
              </w:rPr>
            </w:pPr>
            <w:r w:rsidRPr="008E5027">
              <w:rPr>
                <w:b/>
                <w:sz w:val="18"/>
              </w:rPr>
              <w:t>1 473</w:t>
            </w:r>
          </w:p>
        </w:tc>
      </w:tr>
      <w:tr w:rsidR="00093F0A" w:rsidRPr="008E5027" w:rsidTr="001754E4">
        <w:tc>
          <w:tcPr>
            <w:tcW w:w="1842"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2001</w:t>
            </w:r>
          </w:p>
        </w:tc>
        <w:tc>
          <w:tcPr>
            <w:tcW w:w="1843"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1 316</w:t>
            </w:r>
          </w:p>
        </w:tc>
        <w:tc>
          <w:tcPr>
            <w:tcW w:w="1842"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171</w:t>
            </w:r>
          </w:p>
        </w:tc>
        <w:tc>
          <w:tcPr>
            <w:tcW w:w="1843" w:type="dxa"/>
            <w:shd w:val="clear" w:color="auto" w:fill="auto"/>
            <w:vAlign w:val="bottom"/>
          </w:tcPr>
          <w:p w:rsidR="00093F0A" w:rsidRPr="008E5027" w:rsidRDefault="00093F0A" w:rsidP="001754E4">
            <w:pPr>
              <w:suppressAutoHyphens w:val="0"/>
              <w:spacing w:before="40" w:after="40" w:line="220" w:lineRule="exact"/>
              <w:jc w:val="right"/>
              <w:rPr>
                <w:b/>
                <w:sz w:val="18"/>
              </w:rPr>
            </w:pPr>
            <w:r w:rsidRPr="008E5027">
              <w:rPr>
                <w:b/>
                <w:sz w:val="18"/>
              </w:rPr>
              <w:t>1 487</w:t>
            </w:r>
          </w:p>
        </w:tc>
      </w:tr>
      <w:tr w:rsidR="00093F0A" w:rsidRPr="008E5027" w:rsidTr="001754E4">
        <w:tc>
          <w:tcPr>
            <w:tcW w:w="1842"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2002</w:t>
            </w:r>
          </w:p>
        </w:tc>
        <w:tc>
          <w:tcPr>
            <w:tcW w:w="1843"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1 311</w:t>
            </w:r>
          </w:p>
        </w:tc>
        <w:tc>
          <w:tcPr>
            <w:tcW w:w="1842"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168</w:t>
            </w:r>
          </w:p>
        </w:tc>
        <w:tc>
          <w:tcPr>
            <w:tcW w:w="1843" w:type="dxa"/>
            <w:shd w:val="clear" w:color="auto" w:fill="auto"/>
            <w:vAlign w:val="bottom"/>
          </w:tcPr>
          <w:p w:rsidR="00093F0A" w:rsidRPr="008E5027" w:rsidRDefault="00093F0A" w:rsidP="001754E4">
            <w:pPr>
              <w:suppressAutoHyphens w:val="0"/>
              <w:spacing w:before="40" w:after="40" w:line="220" w:lineRule="exact"/>
              <w:jc w:val="right"/>
              <w:rPr>
                <w:b/>
                <w:sz w:val="18"/>
              </w:rPr>
            </w:pPr>
            <w:r w:rsidRPr="008E5027">
              <w:rPr>
                <w:b/>
                <w:sz w:val="18"/>
              </w:rPr>
              <w:t>1 480</w:t>
            </w:r>
          </w:p>
        </w:tc>
      </w:tr>
      <w:tr w:rsidR="00093F0A" w:rsidRPr="008E5027" w:rsidTr="001754E4">
        <w:tc>
          <w:tcPr>
            <w:tcW w:w="1842"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2003</w:t>
            </w:r>
          </w:p>
        </w:tc>
        <w:tc>
          <w:tcPr>
            <w:tcW w:w="1843"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1 316</w:t>
            </w:r>
          </w:p>
        </w:tc>
        <w:tc>
          <w:tcPr>
            <w:tcW w:w="1842"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169</w:t>
            </w:r>
          </w:p>
        </w:tc>
        <w:tc>
          <w:tcPr>
            <w:tcW w:w="1843" w:type="dxa"/>
            <w:shd w:val="clear" w:color="auto" w:fill="auto"/>
            <w:vAlign w:val="bottom"/>
          </w:tcPr>
          <w:p w:rsidR="00093F0A" w:rsidRPr="008E5027" w:rsidRDefault="00093F0A" w:rsidP="001754E4">
            <w:pPr>
              <w:suppressAutoHyphens w:val="0"/>
              <w:spacing w:before="40" w:after="40" w:line="220" w:lineRule="exact"/>
              <w:jc w:val="right"/>
              <w:rPr>
                <w:b/>
                <w:sz w:val="18"/>
              </w:rPr>
            </w:pPr>
            <w:r w:rsidRPr="008E5027">
              <w:rPr>
                <w:b/>
                <w:sz w:val="18"/>
              </w:rPr>
              <w:t>1 485</w:t>
            </w:r>
          </w:p>
        </w:tc>
      </w:tr>
      <w:tr w:rsidR="00093F0A" w:rsidRPr="008E5027" w:rsidTr="001754E4">
        <w:tc>
          <w:tcPr>
            <w:tcW w:w="1842" w:type="dxa"/>
            <w:tcBorders>
              <w:bottom w:val="single" w:sz="12" w:space="0" w:color="auto"/>
            </w:tcBorders>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2004</w:t>
            </w:r>
          </w:p>
        </w:tc>
        <w:tc>
          <w:tcPr>
            <w:tcW w:w="1843" w:type="dxa"/>
            <w:tcBorders>
              <w:bottom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1 193</w:t>
            </w:r>
          </w:p>
        </w:tc>
        <w:tc>
          <w:tcPr>
            <w:tcW w:w="1842" w:type="dxa"/>
            <w:tcBorders>
              <w:bottom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165</w:t>
            </w:r>
          </w:p>
        </w:tc>
        <w:tc>
          <w:tcPr>
            <w:tcW w:w="1843" w:type="dxa"/>
            <w:tcBorders>
              <w:bottom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b/>
                <w:sz w:val="18"/>
              </w:rPr>
            </w:pPr>
            <w:r w:rsidRPr="008E5027">
              <w:rPr>
                <w:b/>
                <w:sz w:val="18"/>
              </w:rPr>
              <w:t>1 357</w:t>
            </w:r>
          </w:p>
        </w:tc>
      </w:tr>
    </w:tbl>
    <w:p w:rsidR="00093F0A" w:rsidRPr="008E5027" w:rsidRDefault="00365506" w:rsidP="00093F0A">
      <w:pPr>
        <w:pStyle w:val="Heading1"/>
        <w:spacing w:before="240"/>
      </w:pPr>
      <w:r w:rsidRPr="00F206B8">
        <w:rPr>
          <w:lang w:val="fr-FR"/>
        </w:rPr>
        <w:t>Tableau</w:t>
      </w:r>
      <w:r w:rsidRPr="00A57029">
        <w:t xml:space="preserve"> </w:t>
      </w:r>
      <w:r w:rsidR="00093F0A" w:rsidRPr="008E5027">
        <w:t>27</w:t>
      </w:r>
    </w:p>
    <w:p w:rsidR="00093F0A" w:rsidRPr="008E5027" w:rsidRDefault="00A57029" w:rsidP="00C874F0">
      <w:pPr>
        <w:pStyle w:val="SingleTxtG"/>
        <w:jc w:val="left"/>
        <w:rPr>
          <w:b/>
        </w:rPr>
      </w:pPr>
      <w:r w:rsidRPr="00A57029">
        <w:rPr>
          <w:b/>
          <w:lang w:val="fr-FR"/>
        </w:rPr>
        <w:t>Population journalière moyenne dans les centres de formation pour mineurs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1843"/>
        <w:gridCol w:w="1842"/>
        <w:gridCol w:w="1843"/>
      </w:tblGrid>
      <w:tr w:rsidR="00093F0A" w:rsidRPr="008E5027">
        <w:tc>
          <w:tcPr>
            <w:tcW w:w="1842" w:type="dxa"/>
            <w:tcBorders>
              <w:top w:val="single" w:sz="4" w:space="0" w:color="auto"/>
              <w:bottom w:val="single" w:sz="12" w:space="0" w:color="auto"/>
            </w:tcBorders>
            <w:shd w:val="clear" w:color="auto" w:fill="auto"/>
            <w:vAlign w:val="bottom"/>
          </w:tcPr>
          <w:p w:rsidR="00093F0A" w:rsidRPr="008E5027" w:rsidRDefault="001754E4" w:rsidP="00B76F89">
            <w:pPr>
              <w:spacing w:before="80" w:after="80" w:line="200" w:lineRule="exact"/>
              <w:rPr>
                <w:i/>
                <w:sz w:val="16"/>
              </w:rPr>
            </w:pPr>
            <w:r w:rsidRPr="001754E4">
              <w:rPr>
                <w:i/>
                <w:sz w:val="16"/>
                <w:lang w:val="fr-FR"/>
              </w:rPr>
              <w:t>Année</w:t>
            </w:r>
          </w:p>
        </w:tc>
        <w:tc>
          <w:tcPr>
            <w:tcW w:w="1843" w:type="dxa"/>
            <w:tcBorders>
              <w:top w:val="single" w:sz="4" w:space="0" w:color="auto"/>
              <w:bottom w:val="single" w:sz="12" w:space="0" w:color="auto"/>
            </w:tcBorders>
            <w:shd w:val="clear" w:color="auto" w:fill="auto"/>
            <w:vAlign w:val="bottom"/>
          </w:tcPr>
          <w:p w:rsidR="00093F0A" w:rsidRPr="008E5027" w:rsidRDefault="001754E4" w:rsidP="005D4774">
            <w:pPr>
              <w:spacing w:before="80" w:after="80" w:line="200" w:lineRule="exact"/>
              <w:jc w:val="right"/>
              <w:rPr>
                <w:i/>
                <w:sz w:val="16"/>
              </w:rPr>
            </w:pPr>
            <w:r>
              <w:rPr>
                <w:i/>
                <w:sz w:val="16"/>
              </w:rPr>
              <w:t>M</w:t>
            </w:r>
          </w:p>
        </w:tc>
        <w:tc>
          <w:tcPr>
            <w:tcW w:w="1842" w:type="dxa"/>
            <w:tcBorders>
              <w:top w:val="single" w:sz="4" w:space="0" w:color="auto"/>
              <w:bottom w:val="single" w:sz="12" w:space="0" w:color="auto"/>
            </w:tcBorders>
            <w:shd w:val="clear" w:color="auto" w:fill="auto"/>
            <w:vAlign w:val="bottom"/>
          </w:tcPr>
          <w:p w:rsidR="00093F0A" w:rsidRPr="008E5027" w:rsidRDefault="001754E4" w:rsidP="005D4774">
            <w:pPr>
              <w:spacing w:before="80" w:after="80" w:line="200" w:lineRule="exact"/>
              <w:jc w:val="right"/>
              <w:rPr>
                <w:i/>
                <w:sz w:val="16"/>
              </w:rPr>
            </w:pPr>
            <w:r>
              <w:rPr>
                <w:i/>
                <w:sz w:val="16"/>
              </w:rPr>
              <w:t>F</w:t>
            </w:r>
          </w:p>
        </w:tc>
        <w:tc>
          <w:tcPr>
            <w:tcW w:w="1843"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b/>
                <w:i/>
                <w:sz w:val="16"/>
              </w:rPr>
            </w:pPr>
            <w:r w:rsidRPr="008E5027">
              <w:rPr>
                <w:b/>
                <w:i/>
                <w:sz w:val="16"/>
              </w:rPr>
              <w:t>Total</w:t>
            </w:r>
          </w:p>
        </w:tc>
      </w:tr>
      <w:tr w:rsidR="00093F0A" w:rsidRPr="008E5027">
        <w:tc>
          <w:tcPr>
            <w:tcW w:w="1842" w:type="dxa"/>
            <w:tcBorders>
              <w:top w:val="single" w:sz="12" w:space="0" w:color="auto"/>
            </w:tcBorders>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2000</w:t>
            </w:r>
          </w:p>
        </w:tc>
        <w:tc>
          <w:tcPr>
            <w:tcW w:w="1843"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4 052</w:t>
            </w:r>
          </w:p>
        </w:tc>
        <w:tc>
          <w:tcPr>
            <w:tcW w:w="1842"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476</w:t>
            </w:r>
          </w:p>
        </w:tc>
        <w:tc>
          <w:tcPr>
            <w:tcW w:w="1843"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b/>
                <w:sz w:val="18"/>
              </w:rPr>
            </w:pPr>
            <w:r w:rsidRPr="008E5027">
              <w:rPr>
                <w:b/>
                <w:sz w:val="18"/>
              </w:rPr>
              <w:t>4 528</w:t>
            </w:r>
          </w:p>
        </w:tc>
      </w:tr>
      <w:tr w:rsidR="00093F0A" w:rsidRPr="008E5027">
        <w:tc>
          <w:tcPr>
            <w:tcW w:w="1842"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2001</w:t>
            </w:r>
          </w:p>
        </w:tc>
        <w:tc>
          <w:tcPr>
            <w:tcW w:w="1843"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4 280</w:t>
            </w:r>
          </w:p>
        </w:tc>
        <w:tc>
          <w:tcPr>
            <w:tcW w:w="1842"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526</w:t>
            </w:r>
          </w:p>
        </w:tc>
        <w:tc>
          <w:tcPr>
            <w:tcW w:w="1843" w:type="dxa"/>
            <w:shd w:val="clear" w:color="auto" w:fill="auto"/>
            <w:vAlign w:val="bottom"/>
          </w:tcPr>
          <w:p w:rsidR="00093F0A" w:rsidRPr="008E5027" w:rsidRDefault="00093F0A" w:rsidP="005D4774">
            <w:pPr>
              <w:suppressAutoHyphens w:val="0"/>
              <w:spacing w:before="40" w:after="40" w:line="220" w:lineRule="exact"/>
              <w:jc w:val="right"/>
              <w:rPr>
                <w:b/>
                <w:sz w:val="18"/>
              </w:rPr>
            </w:pPr>
            <w:r w:rsidRPr="008E5027">
              <w:rPr>
                <w:b/>
                <w:sz w:val="18"/>
              </w:rPr>
              <w:t>4 807</w:t>
            </w:r>
          </w:p>
        </w:tc>
      </w:tr>
      <w:tr w:rsidR="00093F0A" w:rsidRPr="008E5027">
        <w:tc>
          <w:tcPr>
            <w:tcW w:w="1842"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2002</w:t>
            </w:r>
          </w:p>
        </w:tc>
        <w:tc>
          <w:tcPr>
            <w:tcW w:w="1843"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4 291</w:t>
            </w:r>
          </w:p>
        </w:tc>
        <w:tc>
          <w:tcPr>
            <w:tcW w:w="1842"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502</w:t>
            </w:r>
          </w:p>
        </w:tc>
        <w:tc>
          <w:tcPr>
            <w:tcW w:w="1843" w:type="dxa"/>
            <w:shd w:val="clear" w:color="auto" w:fill="auto"/>
            <w:vAlign w:val="bottom"/>
          </w:tcPr>
          <w:p w:rsidR="00093F0A" w:rsidRPr="008E5027" w:rsidRDefault="00093F0A" w:rsidP="005D4774">
            <w:pPr>
              <w:suppressAutoHyphens w:val="0"/>
              <w:spacing w:before="40" w:after="40" w:line="220" w:lineRule="exact"/>
              <w:jc w:val="right"/>
              <w:rPr>
                <w:b/>
                <w:sz w:val="18"/>
              </w:rPr>
            </w:pPr>
            <w:r w:rsidRPr="008E5027">
              <w:rPr>
                <w:b/>
                <w:sz w:val="18"/>
              </w:rPr>
              <w:t>4 794</w:t>
            </w:r>
          </w:p>
        </w:tc>
      </w:tr>
      <w:tr w:rsidR="00093F0A" w:rsidRPr="008E5027">
        <w:tc>
          <w:tcPr>
            <w:tcW w:w="1842"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2003</w:t>
            </w:r>
          </w:p>
        </w:tc>
        <w:tc>
          <w:tcPr>
            <w:tcW w:w="1843"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4 267</w:t>
            </w:r>
          </w:p>
        </w:tc>
        <w:tc>
          <w:tcPr>
            <w:tcW w:w="1842"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459</w:t>
            </w:r>
          </w:p>
        </w:tc>
        <w:tc>
          <w:tcPr>
            <w:tcW w:w="1843" w:type="dxa"/>
            <w:shd w:val="clear" w:color="auto" w:fill="auto"/>
            <w:vAlign w:val="bottom"/>
          </w:tcPr>
          <w:p w:rsidR="00093F0A" w:rsidRPr="008E5027" w:rsidRDefault="00093F0A" w:rsidP="005D4774">
            <w:pPr>
              <w:suppressAutoHyphens w:val="0"/>
              <w:spacing w:before="40" w:after="40" w:line="220" w:lineRule="exact"/>
              <w:jc w:val="right"/>
              <w:rPr>
                <w:b/>
                <w:sz w:val="18"/>
              </w:rPr>
            </w:pPr>
            <w:r w:rsidRPr="008E5027">
              <w:rPr>
                <w:b/>
                <w:sz w:val="18"/>
              </w:rPr>
              <w:t>4 726</w:t>
            </w:r>
          </w:p>
        </w:tc>
      </w:tr>
      <w:tr w:rsidR="00093F0A" w:rsidRPr="008E5027">
        <w:tc>
          <w:tcPr>
            <w:tcW w:w="1842" w:type="dxa"/>
            <w:tcBorders>
              <w:bottom w:val="single" w:sz="12" w:space="0" w:color="auto"/>
            </w:tcBorders>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2004</w:t>
            </w:r>
          </w:p>
        </w:tc>
        <w:tc>
          <w:tcPr>
            <w:tcW w:w="1843"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4 124</w:t>
            </w:r>
          </w:p>
        </w:tc>
        <w:tc>
          <w:tcPr>
            <w:tcW w:w="1842"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462</w:t>
            </w:r>
          </w:p>
        </w:tc>
        <w:tc>
          <w:tcPr>
            <w:tcW w:w="1843"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b/>
                <w:sz w:val="18"/>
              </w:rPr>
            </w:pPr>
            <w:r w:rsidRPr="008E5027">
              <w:rPr>
                <w:b/>
                <w:sz w:val="18"/>
              </w:rPr>
              <w:t>4 586</w:t>
            </w:r>
          </w:p>
        </w:tc>
      </w:tr>
    </w:tbl>
    <w:p w:rsidR="00093F0A" w:rsidRPr="008E5027" w:rsidRDefault="00365506" w:rsidP="00532741">
      <w:pPr>
        <w:pStyle w:val="Heading1"/>
        <w:keepNext/>
        <w:spacing w:before="240"/>
      </w:pPr>
      <w:r w:rsidRPr="00F206B8">
        <w:rPr>
          <w:lang w:val="fr-FR"/>
        </w:rPr>
        <w:t>Tableau</w:t>
      </w:r>
      <w:r w:rsidRPr="00A57029">
        <w:t xml:space="preserve"> </w:t>
      </w:r>
      <w:r w:rsidR="00093F0A" w:rsidRPr="008E5027">
        <w:t>28</w:t>
      </w:r>
    </w:p>
    <w:p w:rsidR="00093F0A" w:rsidRPr="008E5027" w:rsidRDefault="00A57029" w:rsidP="00C874F0">
      <w:pPr>
        <w:pStyle w:val="SingleTxtG"/>
        <w:keepNext/>
        <w:jc w:val="left"/>
        <w:rPr>
          <w:b/>
        </w:rPr>
      </w:pPr>
      <w:r w:rsidRPr="00A57029">
        <w:rPr>
          <w:b/>
          <w:bCs/>
          <w:lang w:val="fr-FR"/>
        </w:rPr>
        <w:t>Population journalière moyenne de détenus mineurs</w:t>
      </w:r>
      <w:r w:rsidR="00093F0A" w:rsidRPr="008E5027">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7"/>
        <w:gridCol w:w="2457"/>
      </w:tblGrid>
      <w:tr w:rsidR="00093F0A" w:rsidRPr="008E5027">
        <w:tc>
          <w:tcPr>
            <w:tcW w:w="2457" w:type="dxa"/>
            <w:tcBorders>
              <w:top w:val="single" w:sz="4" w:space="0" w:color="auto"/>
              <w:bottom w:val="single" w:sz="12" w:space="0" w:color="auto"/>
            </w:tcBorders>
            <w:shd w:val="clear" w:color="auto" w:fill="auto"/>
            <w:vAlign w:val="bottom"/>
          </w:tcPr>
          <w:p w:rsidR="00093F0A" w:rsidRPr="008E5027" w:rsidRDefault="001754E4" w:rsidP="00B76F89">
            <w:pPr>
              <w:spacing w:before="80" w:after="80" w:line="200" w:lineRule="exact"/>
              <w:rPr>
                <w:i/>
                <w:sz w:val="16"/>
              </w:rPr>
            </w:pPr>
            <w:r w:rsidRPr="001754E4">
              <w:rPr>
                <w:i/>
                <w:sz w:val="16"/>
                <w:lang w:val="fr-FR"/>
              </w:rPr>
              <w:t>Année</w:t>
            </w:r>
          </w:p>
        </w:tc>
        <w:tc>
          <w:tcPr>
            <w:tcW w:w="2457" w:type="dxa"/>
            <w:tcBorders>
              <w:top w:val="single" w:sz="4" w:space="0" w:color="auto"/>
              <w:bottom w:val="single" w:sz="12" w:space="0" w:color="auto"/>
            </w:tcBorders>
            <w:shd w:val="clear" w:color="auto" w:fill="auto"/>
            <w:vAlign w:val="bottom"/>
          </w:tcPr>
          <w:p w:rsidR="00093F0A" w:rsidRPr="008E5027" w:rsidRDefault="001754E4" w:rsidP="005D4774">
            <w:pPr>
              <w:spacing w:before="80" w:after="80" w:line="200" w:lineRule="exact"/>
              <w:jc w:val="right"/>
              <w:rPr>
                <w:i/>
                <w:sz w:val="16"/>
              </w:rPr>
            </w:pPr>
            <w:r>
              <w:rPr>
                <w:i/>
                <w:sz w:val="16"/>
              </w:rPr>
              <w:t>M</w:t>
            </w:r>
          </w:p>
        </w:tc>
        <w:tc>
          <w:tcPr>
            <w:tcW w:w="2457" w:type="dxa"/>
            <w:tcBorders>
              <w:top w:val="single" w:sz="4" w:space="0" w:color="auto"/>
              <w:bottom w:val="single" w:sz="12" w:space="0" w:color="auto"/>
            </w:tcBorders>
            <w:shd w:val="clear" w:color="auto" w:fill="auto"/>
            <w:vAlign w:val="bottom"/>
          </w:tcPr>
          <w:p w:rsidR="00093F0A" w:rsidRPr="008E5027" w:rsidRDefault="001754E4" w:rsidP="005D4774">
            <w:pPr>
              <w:spacing w:before="80" w:after="80" w:line="200" w:lineRule="exact"/>
              <w:jc w:val="right"/>
              <w:rPr>
                <w:i/>
                <w:sz w:val="16"/>
              </w:rPr>
            </w:pPr>
            <w:r>
              <w:rPr>
                <w:i/>
                <w:sz w:val="16"/>
              </w:rPr>
              <w:t>F</w:t>
            </w:r>
          </w:p>
        </w:tc>
      </w:tr>
      <w:tr w:rsidR="00093F0A" w:rsidRPr="008E5027">
        <w:tc>
          <w:tcPr>
            <w:tcW w:w="2457" w:type="dxa"/>
            <w:tcBorders>
              <w:top w:val="single" w:sz="12" w:space="0" w:color="auto"/>
            </w:tcBorders>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2000</w:t>
            </w:r>
          </w:p>
        </w:tc>
        <w:tc>
          <w:tcPr>
            <w:tcW w:w="2457"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25</w:t>
            </w:r>
          </w:p>
        </w:tc>
        <w:tc>
          <w:tcPr>
            <w:tcW w:w="2457"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1</w:t>
            </w:r>
          </w:p>
        </w:tc>
      </w:tr>
      <w:tr w:rsidR="00093F0A" w:rsidRPr="008E5027">
        <w:tc>
          <w:tcPr>
            <w:tcW w:w="2457"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2001</w:t>
            </w:r>
          </w:p>
        </w:tc>
        <w:tc>
          <w:tcPr>
            <w:tcW w:w="2457"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27</w:t>
            </w:r>
          </w:p>
        </w:tc>
        <w:tc>
          <w:tcPr>
            <w:tcW w:w="2457"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2</w:t>
            </w:r>
          </w:p>
        </w:tc>
      </w:tr>
      <w:tr w:rsidR="00093F0A" w:rsidRPr="008E5027">
        <w:tc>
          <w:tcPr>
            <w:tcW w:w="2457"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2002</w:t>
            </w:r>
          </w:p>
        </w:tc>
        <w:tc>
          <w:tcPr>
            <w:tcW w:w="2457"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41</w:t>
            </w:r>
          </w:p>
        </w:tc>
        <w:tc>
          <w:tcPr>
            <w:tcW w:w="2457"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1</w:t>
            </w:r>
          </w:p>
        </w:tc>
      </w:tr>
      <w:tr w:rsidR="00093F0A" w:rsidRPr="008E5027">
        <w:tc>
          <w:tcPr>
            <w:tcW w:w="2457" w:type="dxa"/>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2003</w:t>
            </w:r>
          </w:p>
        </w:tc>
        <w:tc>
          <w:tcPr>
            <w:tcW w:w="2457"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57</w:t>
            </w:r>
          </w:p>
        </w:tc>
        <w:tc>
          <w:tcPr>
            <w:tcW w:w="2457" w:type="dxa"/>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0</w:t>
            </w:r>
          </w:p>
        </w:tc>
      </w:tr>
      <w:tr w:rsidR="00093F0A" w:rsidRPr="008E5027">
        <w:tc>
          <w:tcPr>
            <w:tcW w:w="2457" w:type="dxa"/>
            <w:tcBorders>
              <w:bottom w:val="single" w:sz="12" w:space="0" w:color="auto"/>
            </w:tcBorders>
            <w:shd w:val="clear" w:color="auto" w:fill="auto"/>
            <w:vAlign w:val="bottom"/>
          </w:tcPr>
          <w:p w:rsidR="00093F0A" w:rsidRPr="008E5027" w:rsidRDefault="00093F0A" w:rsidP="00B76F89">
            <w:pPr>
              <w:suppressAutoHyphens w:val="0"/>
              <w:spacing w:before="40" w:after="40" w:line="220" w:lineRule="exact"/>
              <w:rPr>
                <w:sz w:val="18"/>
              </w:rPr>
            </w:pPr>
            <w:r w:rsidRPr="008E5027">
              <w:rPr>
                <w:sz w:val="18"/>
              </w:rPr>
              <w:t>2004</w:t>
            </w:r>
          </w:p>
        </w:tc>
        <w:tc>
          <w:tcPr>
            <w:tcW w:w="2457"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61</w:t>
            </w:r>
          </w:p>
        </w:tc>
        <w:tc>
          <w:tcPr>
            <w:tcW w:w="2457"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0</w:t>
            </w:r>
          </w:p>
        </w:tc>
      </w:tr>
    </w:tbl>
    <w:p w:rsidR="00093F0A" w:rsidRPr="00A57029" w:rsidRDefault="00093F0A" w:rsidP="00886F24">
      <w:pPr>
        <w:spacing w:before="120" w:after="240"/>
        <w:ind w:left="1134" w:right="1134" w:firstLine="170"/>
        <w:rPr>
          <w:sz w:val="18"/>
          <w:szCs w:val="18"/>
          <w:lang w:val="fr-FR"/>
        </w:rPr>
      </w:pPr>
      <w:r w:rsidRPr="00A57029">
        <w:rPr>
          <w:sz w:val="18"/>
          <w:szCs w:val="18"/>
          <w:lang w:val="es-ES"/>
        </w:rPr>
        <w:t xml:space="preserve">*  </w:t>
      </w:r>
      <w:r w:rsidR="00A57029" w:rsidRPr="00A57029">
        <w:rPr>
          <w:sz w:val="18"/>
          <w:szCs w:val="18"/>
          <w:lang w:val="fr-FR"/>
        </w:rPr>
        <w:t>Un détenu mineur est un mineur placé dans un établissement pénitentiaire en vertu des paragraphes 1 et 2 de l</w:t>
      </w:r>
      <w:r w:rsidR="00277023">
        <w:rPr>
          <w:sz w:val="18"/>
          <w:szCs w:val="18"/>
          <w:lang w:val="fr-FR"/>
        </w:rPr>
        <w:t>’</w:t>
      </w:r>
      <w:r w:rsidR="00A57029" w:rsidRPr="00A57029">
        <w:rPr>
          <w:sz w:val="18"/>
          <w:szCs w:val="18"/>
          <w:lang w:val="fr-FR"/>
        </w:rPr>
        <w:t xml:space="preserve">article 56 de </w:t>
      </w:r>
      <w:smartTag w:uri="urn:schemas-microsoft-com:office:smarttags" w:element="PersonName">
        <w:smartTagPr>
          <w:attr w:name="ProductID" w:val="la Loi"/>
        </w:smartTagPr>
        <w:r w:rsidR="00A57029" w:rsidRPr="00A57029">
          <w:rPr>
            <w:sz w:val="18"/>
            <w:szCs w:val="18"/>
            <w:lang w:val="fr-FR"/>
          </w:rPr>
          <w:t>la Loi</w:t>
        </w:r>
      </w:smartTag>
      <w:r w:rsidR="00A57029" w:rsidRPr="00A57029">
        <w:rPr>
          <w:sz w:val="18"/>
          <w:szCs w:val="18"/>
          <w:lang w:val="fr-FR"/>
        </w:rPr>
        <w:t xml:space="preserve"> relative aux mineurs, ou placé dans un centre de formation pour mineurs en vertu du paragraphe 3 de l</w:t>
      </w:r>
      <w:r w:rsidR="00277023">
        <w:rPr>
          <w:sz w:val="18"/>
          <w:szCs w:val="18"/>
          <w:lang w:val="fr-FR"/>
        </w:rPr>
        <w:t>’</w:t>
      </w:r>
      <w:r w:rsidR="00A57029" w:rsidRPr="00A57029">
        <w:rPr>
          <w:sz w:val="18"/>
          <w:szCs w:val="18"/>
          <w:lang w:val="fr-FR"/>
        </w:rPr>
        <w:t>article 56 de la même Loi. Les données d</w:t>
      </w:r>
      <w:r w:rsidR="00277023">
        <w:rPr>
          <w:sz w:val="18"/>
          <w:szCs w:val="18"/>
          <w:lang w:val="fr-FR"/>
        </w:rPr>
        <w:t>’</w:t>
      </w:r>
      <w:r w:rsidR="00A57029" w:rsidRPr="00A57029">
        <w:rPr>
          <w:sz w:val="18"/>
          <w:szCs w:val="18"/>
          <w:lang w:val="fr-FR"/>
        </w:rPr>
        <w:t>avant 2004 ne comprennent pas les données relatives aux placements dans un centre de formation pour mineurs en application du paragraphe 3 de l</w:t>
      </w:r>
      <w:r w:rsidR="00277023">
        <w:rPr>
          <w:sz w:val="18"/>
          <w:szCs w:val="18"/>
          <w:lang w:val="fr-FR"/>
        </w:rPr>
        <w:t>’</w:t>
      </w:r>
      <w:r w:rsidR="00A57029" w:rsidRPr="00A57029">
        <w:rPr>
          <w:sz w:val="18"/>
          <w:szCs w:val="18"/>
          <w:lang w:val="fr-FR"/>
        </w:rPr>
        <w:t>article 56 de ladite Loi</w:t>
      </w:r>
      <w:r w:rsidRPr="00A57029">
        <w:rPr>
          <w:sz w:val="18"/>
          <w:szCs w:val="18"/>
          <w:lang w:val="fr-FR"/>
        </w:rPr>
        <w:t xml:space="preserve">. </w:t>
      </w:r>
    </w:p>
    <w:p w:rsidR="00A57029" w:rsidRPr="00A57029" w:rsidRDefault="00A57029" w:rsidP="00A57029">
      <w:pPr>
        <w:pStyle w:val="SingleTxtG"/>
        <w:rPr>
          <w:bCs/>
          <w:iCs/>
          <w:lang w:val="fr-FR"/>
        </w:rPr>
      </w:pPr>
      <w:r w:rsidRPr="00A57029">
        <w:rPr>
          <w:lang w:val="fr-FR"/>
        </w:rPr>
        <w:t>(b-5) Assurer que les enfants privés de liberté sont tra</w:t>
      </w:r>
      <w:r>
        <w:rPr>
          <w:lang w:val="fr-FR"/>
        </w:rPr>
        <w:t>ités conformément aux normes ci</w:t>
      </w:r>
      <w:r>
        <w:rPr>
          <w:lang w:val="fr-FR"/>
        </w:rPr>
        <w:noBreakHyphen/>
      </w:r>
      <w:r w:rsidRPr="00A57029">
        <w:rPr>
          <w:lang w:val="fr-FR"/>
        </w:rPr>
        <w:t>dessous</w:t>
      </w:r>
    </w:p>
    <w:p w:rsidR="00A57029" w:rsidRPr="00A57029" w:rsidRDefault="00A57029" w:rsidP="00A57029">
      <w:pPr>
        <w:pStyle w:val="SingleTxtG"/>
        <w:rPr>
          <w:lang w:val="fr-FR"/>
        </w:rPr>
      </w:pPr>
      <w:r w:rsidRPr="00A57029">
        <w:rPr>
          <w:lang w:val="fr-FR"/>
        </w:rPr>
        <w:t>(Traitement en établissement pénitentiaire</w:t>
      </w:r>
      <w:r>
        <w:rPr>
          <w:lang w:val="fr-FR"/>
        </w:rPr>
        <w:t>)</w:t>
      </w:r>
    </w:p>
    <w:p w:rsidR="00A57029" w:rsidRPr="00A57029" w:rsidRDefault="00A57029" w:rsidP="00A57029">
      <w:pPr>
        <w:pStyle w:val="SingleTxtG"/>
        <w:rPr>
          <w:lang w:val="fr-FR"/>
        </w:rPr>
      </w:pPr>
      <w:r w:rsidRPr="00A57029">
        <w:rPr>
          <w:lang w:val="fr-FR"/>
        </w:rPr>
        <w:t>497.</w:t>
      </w:r>
      <w:r w:rsidRPr="00A57029">
        <w:rPr>
          <w:lang w:val="fr-FR"/>
        </w:rPr>
        <w:tab/>
        <w:t xml:space="preserve">Voir paragraphe 285 du rapport initial du Japon. </w:t>
      </w:r>
    </w:p>
    <w:p w:rsidR="00A57029" w:rsidRPr="00A57029" w:rsidRDefault="00A57029" w:rsidP="00A57029">
      <w:pPr>
        <w:pStyle w:val="SingleTxtG"/>
        <w:rPr>
          <w:lang w:val="fr-FR"/>
        </w:rPr>
      </w:pPr>
      <w:r>
        <w:rPr>
          <w:lang w:val="fr-FR"/>
        </w:rPr>
        <w:t>(</w:t>
      </w:r>
      <w:r w:rsidRPr="00A57029">
        <w:rPr>
          <w:lang w:val="fr-FR"/>
        </w:rPr>
        <w:t>b-6</w:t>
      </w:r>
      <w:r>
        <w:rPr>
          <w:lang w:val="fr-FR"/>
        </w:rPr>
        <w:t>)</w:t>
      </w:r>
      <w:r w:rsidRPr="00A57029">
        <w:rPr>
          <w:lang w:val="fr-FR"/>
        </w:rPr>
        <w:t xml:space="preserve"> Mesures adoptée</w:t>
      </w:r>
      <w:r>
        <w:rPr>
          <w:lang w:val="fr-FR"/>
        </w:rPr>
        <w:t>s dans l</w:t>
      </w:r>
      <w:r w:rsidR="00277023">
        <w:rPr>
          <w:lang w:val="fr-FR"/>
        </w:rPr>
        <w:t>’</w:t>
      </w:r>
      <w:r>
        <w:rPr>
          <w:lang w:val="fr-FR"/>
        </w:rPr>
        <w:t>objectif ci-après:</w:t>
      </w:r>
    </w:p>
    <w:p w:rsidR="00A57029" w:rsidRPr="00A57029" w:rsidRDefault="00A57029" w:rsidP="00A57029">
      <w:pPr>
        <w:pStyle w:val="H4G"/>
        <w:rPr>
          <w:lang w:val="fr-FR"/>
        </w:rPr>
      </w:pPr>
      <w:r>
        <w:rPr>
          <w:lang w:val="fr-FR"/>
        </w:rPr>
        <w:tab/>
        <w:t>1)</w:t>
      </w:r>
      <w:r>
        <w:rPr>
          <w:lang w:val="fr-FR"/>
        </w:rPr>
        <w:tab/>
      </w:r>
      <w:r w:rsidRPr="00A57029">
        <w:rPr>
          <w:lang w:val="fr-FR"/>
        </w:rPr>
        <w:t>Séparation de l</w:t>
      </w:r>
      <w:r w:rsidR="00277023">
        <w:rPr>
          <w:lang w:val="fr-FR"/>
        </w:rPr>
        <w:t>’</w:t>
      </w:r>
      <w:r w:rsidRPr="00A57029">
        <w:rPr>
          <w:lang w:val="fr-FR"/>
        </w:rPr>
        <w:t>enfant des adultes à moins que son maintien avec les adultes n</w:t>
      </w:r>
      <w:r w:rsidR="00277023">
        <w:rPr>
          <w:lang w:val="fr-FR"/>
        </w:rPr>
        <w:t>’</w:t>
      </w:r>
      <w:r w:rsidRPr="00A57029">
        <w:rPr>
          <w:lang w:val="fr-FR"/>
        </w:rPr>
        <w:t>ait été reconnu dans l</w:t>
      </w:r>
      <w:r w:rsidR="00277023">
        <w:rPr>
          <w:lang w:val="fr-FR"/>
        </w:rPr>
        <w:t>’</w:t>
      </w:r>
      <w:r w:rsidRPr="00A57029">
        <w:rPr>
          <w:lang w:val="fr-FR"/>
        </w:rPr>
        <w:t>intérêt supérieur de l</w:t>
      </w:r>
      <w:r w:rsidR="00277023">
        <w:rPr>
          <w:lang w:val="fr-FR"/>
        </w:rPr>
        <w:t>’</w:t>
      </w:r>
      <w:r w:rsidRPr="00A57029">
        <w:rPr>
          <w:lang w:val="fr-FR"/>
        </w:rPr>
        <w:t>enfant</w:t>
      </w:r>
    </w:p>
    <w:p w:rsidR="00A57029" w:rsidRPr="00A57029" w:rsidRDefault="00A57029" w:rsidP="00A57029">
      <w:pPr>
        <w:pStyle w:val="SingleTxtG"/>
        <w:rPr>
          <w:lang w:val="fr-FR"/>
        </w:rPr>
      </w:pPr>
      <w:r w:rsidRPr="00A57029">
        <w:rPr>
          <w:lang w:val="fr-FR"/>
        </w:rPr>
        <w:t>(Centre de détention)</w:t>
      </w:r>
    </w:p>
    <w:p w:rsidR="00A57029" w:rsidRPr="00A57029" w:rsidRDefault="00A57029" w:rsidP="00A57029">
      <w:pPr>
        <w:pStyle w:val="SingleTxtG"/>
        <w:rPr>
          <w:lang w:val="fr-FR"/>
        </w:rPr>
      </w:pPr>
      <w:r w:rsidRPr="00A57029">
        <w:rPr>
          <w:lang w:val="fr-FR"/>
        </w:rPr>
        <w:t>498.</w:t>
      </w:r>
      <w:r w:rsidRPr="00A57029">
        <w:rPr>
          <w:lang w:val="fr-FR"/>
        </w:rPr>
        <w:tab/>
        <w:t xml:space="preserve">Voir paragraphe 429 du deuxième rapport du Japon. </w:t>
      </w:r>
    </w:p>
    <w:p w:rsidR="00A57029" w:rsidRPr="00A57029" w:rsidRDefault="00A57029" w:rsidP="00A57029">
      <w:pPr>
        <w:pStyle w:val="SingleTxtG"/>
        <w:rPr>
          <w:lang w:val="fr-FR"/>
        </w:rPr>
      </w:pPr>
      <w:r w:rsidRPr="00A57029">
        <w:rPr>
          <w:lang w:val="fr-FR"/>
        </w:rPr>
        <w:t>499.</w:t>
      </w:r>
      <w:r w:rsidRPr="00A57029">
        <w:rPr>
          <w:lang w:val="fr-FR"/>
        </w:rPr>
        <w:tab/>
        <w:t>La police prête également une grande attention à la détention d</w:t>
      </w:r>
      <w:r w:rsidR="00277023">
        <w:rPr>
          <w:lang w:val="fr-FR"/>
        </w:rPr>
        <w:t>’</w:t>
      </w:r>
      <w:r w:rsidRPr="00A57029">
        <w:rPr>
          <w:lang w:val="fr-FR"/>
        </w:rPr>
        <w:t xml:space="preserve">un mineur arrêté en vertu de </w:t>
      </w:r>
      <w:smartTag w:uri="urn:schemas-microsoft-com:office:smarttags" w:element="PersonName">
        <w:smartTagPr>
          <w:attr w:name="ProductID" w:val="la Loi"/>
        </w:smartTagPr>
        <w:r w:rsidRPr="00A57029">
          <w:rPr>
            <w:lang w:val="fr-FR"/>
          </w:rPr>
          <w:t>la Loi</w:t>
        </w:r>
      </w:smartTag>
      <w:r w:rsidRPr="00A57029">
        <w:rPr>
          <w:lang w:val="fr-FR"/>
        </w:rPr>
        <w:t xml:space="preserve"> relative aux mineurs et du Règlement relatif à la détention des suspects. Ainsi, les jeunes doivent être placés en détention provisoire à l</w:t>
      </w:r>
      <w:r w:rsidR="00277023">
        <w:rPr>
          <w:lang w:val="fr-FR"/>
        </w:rPr>
        <w:t>’</w:t>
      </w:r>
      <w:r w:rsidRPr="00A57029">
        <w:rPr>
          <w:lang w:val="fr-FR"/>
        </w:rPr>
        <w:t>écart des suspects adultes, et leurs cellules doivent être séparées de celles des adultes par des cloisons. On évite par ailleurs le contact entre les mineurs et les adultes en décalant l</w:t>
      </w:r>
      <w:r w:rsidR="00277023">
        <w:rPr>
          <w:lang w:val="fr-FR"/>
        </w:rPr>
        <w:t>’</w:t>
      </w:r>
      <w:r w:rsidRPr="00A57029">
        <w:rPr>
          <w:lang w:val="fr-FR"/>
        </w:rPr>
        <w:t>heure de la toilette, des exercices physiques et d</w:t>
      </w:r>
      <w:r w:rsidR="00277023">
        <w:rPr>
          <w:lang w:val="fr-FR"/>
        </w:rPr>
        <w:t>’</w:t>
      </w:r>
      <w:r w:rsidRPr="00A57029">
        <w:rPr>
          <w:lang w:val="fr-FR"/>
        </w:rPr>
        <w:t>entrée et sortie des cellules.</w:t>
      </w:r>
    </w:p>
    <w:p w:rsidR="00A57029" w:rsidRPr="00A57029" w:rsidRDefault="00A57029" w:rsidP="00A57029">
      <w:pPr>
        <w:pStyle w:val="SingleTxtG"/>
        <w:rPr>
          <w:lang w:val="fr-FR"/>
        </w:rPr>
      </w:pPr>
      <w:r w:rsidRPr="00A57029">
        <w:rPr>
          <w:lang w:val="fr-FR"/>
        </w:rPr>
        <w:t>(</w:t>
      </w:r>
      <w:r w:rsidR="008F55B7">
        <w:rPr>
          <w:lang w:val="fr-FR"/>
        </w:rPr>
        <w:t>É</w:t>
      </w:r>
      <w:r w:rsidRPr="00A57029">
        <w:rPr>
          <w:lang w:val="fr-FR"/>
        </w:rPr>
        <w:t>tablissement pénitentiaire)</w:t>
      </w:r>
    </w:p>
    <w:p w:rsidR="00A57029" w:rsidRPr="00A57029" w:rsidRDefault="00A57029" w:rsidP="00A57029">
      <w:pPr>
        <w:pStyle w:val="SingleTxtG"/>
        <w:rPr>
          <w:lang w:val="fr-FR"/>
        </w:rPr>
      </w:pPr>
      <w:r w:rsidRPr="00A57029">
        <w:rPr>
          <w:lang w:val="fr-FR"/>
        </w:rPr>
        <w:t>500.</w:t>
      </w:r>
      <w:r w:rsidRPr="00A57029">
        <w:rPr>
          <w:lang w:val="fr-FR"/>
        </w:rPr>
        <w:tab/>
        <w:t>Ainsi qu</w:t>
      </w:r>
      <w:r w:rsidR="00277023">
        <w:rPr>
          <w:lang w:val="fr-FR"/>
        </w:rPr>
        <w:t>’</w:t>
      </w:r>
      <w:r w:rsidRPr="00A57029">
        <w:rPr>
          <w:lang w:val="fr-FR"/>
        </w:rPr>
        <w:t xml:space="preserve">on peut le lire au paragraphe 191 du deuxième rapport du Japon, un mineur détenu dans un établissement pénitentiaire est placé dans une cellule individuelle, </w:t>
      </w:r>
      <w:smartTag w:uri="urn:schemas-microsoft-com:office:smarttags" w:element="PersonName">
        <w:smartTagPr>
          <w:attr w:name="ProductID" w:val="la Loi"/>
        </w:smartTagPr>
        <w:r w:rsidRPr="00A57029">
          <w:rPr>
            <w:lang w:val="fr-FR"/>
          </w:rPr>
          <w:t>la Loi</w:t>
        </w:r>
      </w:smartTag>
      <w:r w:rsidRPr="00A57029">
        <w:rPr>
          <w:lang w:val="fr-FR"/>
        </w:rPr>
        <w:t xml:space="preserve"> disposant qu</w:t>
      </w:r>
      <w:r w:rsidR="00277023">
        <w:rPr>
          <w:lang w:val="fr-FR"/>
        </w:rPr>
        <w:t>’</w:t>
      </w:r>
      <w:r w:rsidRPr="00A57029">
        <w:rPr>
          <w:lang w:val="fr-FR"/>
        </w:rPr>
        <w:t xml:space="preserve">il doit être séparé des détenus adultes. </w:t>
      </w:r>
    </w:p>
    <w:p w:rsidR="00A57029" w:rsidRPr="00A57029" w:rsidRDefault="00A57029" w:rsidP="00A57029">
      <w:pPr>
        <w:pStyle w:val="H4G"/>
        <w:rPr>
          <w:lang w:val="fr-FR"/>
        </w:rPr>
      </w:pPr>
      <w:r>
        <w:rPr>
          <w:lang w:val="fr-FR"/>
        </w:rPr>
        <w:tab/>
        <w:t>2)</w:t>
      </w:r>
      <w:r>
        <w:rPr>
          <w:lang w:val="fr-FR"/>
        </w:rPr>
        <w:tab/>
      </w:r>
      <w:r w:rsidRPr="00A57029">
        <w:rPr>
          <w:lang w:val="fr-FR"/>
        </w:rPr>
        <w:t>Droit de maintenir un contact avec les membres de la famille par des échanges et des visites tant que la non-séparation de l</w:t>
      </w:r>
      <w:r w:rsidR="00277023">
        <w:rPr>
          <w:lang w:val="fr-FR"/>
        </w:rPr>
        <w:t>’</w:t>
      </w:r>
      <w:r w:rsidRPr="00A57029">
        <w:rPr>
          <w:lang w:val="fr-FR"/>
        </w:rPr>
        <w:t xml:space="preserve">enfant des adultes est reconnue dans </w:t>
      </w:r>
      <w:r>
        <w:rPr>
          <w:lang w:val="fr-FR"/>
        </w:rPr>
        <w:t>l</w:t>
      </w:r>
      <w:r w:rsidR="00277023">
        <w:rPr>
          <w:lang w:val="fr-FR"/>
        </w:rPr>
        <w:t>’</w:t>
      </w:r>
      <w:r>
        <w:rPr>
          <w:lang w:val="fr-FR"/>
        </w:rPr>
        <w:t>intérêt supérieur de l</w:t>
      </w:r>
      <w:r w:rsidR="00277023">
        <w:rPr>
          <w:lang w:val="fr-FR"/>
        </w:rPr>
        <w:t>’</w:t>
      </w:r>
      <w:r>
        <w:rPr>
          <w:lang w:val="fr-FR"/>
        </w:rPr>
        <w:t>enfant</w:t>
      </w:r>
    </w:p>
    <w:p w:rsidR="00A57029" w:rsidRPr="00A57029" w:rsidRDefault="00A57029" w:rsidP="00A57029">
      <w:pPr>
        <w:pStyle w:val="SingleTxtG"/>
        <w:rPr>
          <w:lang w:val="fr-FR"/>
        </w:rPr>
      </w:pPr>
      <w:r w:rsidRPr="00A57029">
        <w:rPr>
          <w:lang w:val="fr-FR"/>
        </w:rPr>
        <w:t>(Centre de détention)</w:t>
      </w:r>
    </w:p>
    <w:p w:rsidR="00A57029" w:rsidRPr="00A57029" w:rsidRDefault="00A57029" w:rsidP="00A57029">
      <w:pPr>
        <w:pStyle w:val="SingleTxtG"/>
        <w:rPr>
          <w:lang w:val="fr-FR"/>
        </w:rPr>
      </w:pPr>
      <w:r w:rsidRPr="00A57029">
        <w:rPr>
          <w:lang w:val="fr-FR"/>
        </w:rPr>
        <w:t>501.</w:t>
      </w:r>
      <w:r w:rsidRPr="00A57029">
        <w:rPr>
          <w:lang w:val="fr-FR"/>
        </w:rPr>
        <w:tab/>
        <w:t>S</w:t>
      </w:r>
      <w:r w:rsidR="00277023">
        <w:rPr>
          <w:lang w:val="fr-FR"/>
        </w:rPr>
        <w:t>’</w:t>
      </w:r>
      <w:r w:rsidRPr="00A57029">
        <w:rPr>
          <w:lang w:val="fr-FR"/>
        </w:rPr>
        <w:t>agissant des mineurs placés en détention provisoire, si la famille en fait la demande, les visites sont en principe autorisées à moins qu</w:t>
      </w:r>
      <w:r w:rsidR="00277023">
        <w:rPr>
          <w:lang w:val="fr-FR"/>
        </w:rPr>
        <w:t>’</w:t>
      </w:r>
      <w:r w:rsidRPr="00A57029">
        <w:rPr>
          <w:lang w:val="fr-FR"/>
        </w:rPr>
        <w:t>elles ne nuisent à l</w:t>
      </w:r>
      <w:r w:rsidR="00277023">
        <w:rPr>
          <w:lang w:val="fr-FR"/>
        </w:rPr>
        <w:t>’</w:t>
      </w:r>
      <w:r w:rsidRPr="00A57029">
        <w:rPr>
          <w:lang w:val="fr-FR"/>
        </w:rPr>
        <w:t>enquête ou à la sécurité de l</w:t>
      </w:r>
      <w:r w:rsidR="00277023">
        <w:rPr>
          <w:lang w:val="fr-FR"/>
        </w:rPr>
        <w:t>’</w:t>
      </w:r>
      <w:r w:rsidRPr="00A57029">
        <w:rPr>
          <w:lang w:val="fr-FR"/>
        </w:rPr>
        <w:t>établissement. En outre, s</w:t>
      </w:r>
      <w:r w:rsidR="00277023">
        <w:rPr>
          <w:lang w:val="fr-FR"/>
        </w:rPr>
        <w:t>’</w:t>
      </w:r>
      <w:r w:rsidRPr="00A57029">
        <w:rPr>
          <w:lang w:val="fr-FR"/>
        </w:rPr>
        <w:t>agissant des mineurs en détention, les rencontres avec la famille sont permises, à moins que le tribunal ou le juge ne s</w:t>
      </w:r>
      <w:r w:rsidR="00277023">
        <w:rPr>
          <w:lang w:val="fr-FR"/>
        </w:rPr>
        <w:t>’</w:t>
      </w:r>
      <w:r w:rsidRPr="00A57029">
        <w:rPr>
          <w:lang w:val="fr-FR"/>
        </w:rPr>
        <w:t>y oppose ou que les visites soient demandées en dehors des horaires administratifs, lorsque le système de gestion de l</w:t>
      </w:r>
      <w:r w:rsidR="00277023">
        <w:rPr>
          <w:lang w:val="fr-FR"/>
        </w:rPr>
        <w:t>’</w:t>
      </w:r>
      <w:r w:rsidRPr="00A57029">
        <w:rPr>
          <w:lang w:val="fr-FR"/>
        </w:rPr>
        <w:t>établissement ne permet pas les visites, comme par exemple la nuit, même si le mineur ne s</w:t>
      </w:r>
      <w:r w:rsidR="00277023">
        <w:rPr>
          <w:lang w:val="fr-FR"/>
        </w:rPr>
        <w:t>’</w:t>
      </w:r>
      <w:r w:rsidRPr="00A57029">
        <w:rPr>
          <w:lang w:val="fr-FR"/>
        </w:rPr>
        <w:t xml:space="preserve">est pas vu refuser le contact avec sa famille. </w:t>
      </w:r>
    </w:p>
    <w:p w:rsidR="00A57029" w:rsidRPr="00A57029" w:rsidRDefault="00A57029" w:rsidP="00A57029">
      <w:pPr>
        <w:pStyle w:val="SingleTxtG"/>
        <w:rPr>
          <w:lang w:val="fr-FR"/>
        </w:rPr>
      </w:pPr>
      <w:r w:rsidRPr="00A57029">
        <w:rPr>
          <w:lang w:val="fr-FR"/>
        </w:rPr>
        <w:t>(Établissement pénitentiaire)</w:t>
      </w:r>
    </w:p>
    <w:p w:rsidR="00A57029" w:rsidRPr="00A57029" w:rsidRDefault="00A57029" w:rsidP="00A57029">
      <w:pPr>
        <w:pStyle w:val="SingleTxtG"/>
        <w:rPr>
          <w:lang w:val="fr-FR"/>
        </w:rPr>
      </w:pPr>
      <w:r w:rsidRPr="00A57029">
        <w:rPr>
          <w:lang w:val="fr-FR"/>
        </w:rPr>
        <w:t>502.</w:t>
      </w:r>
      <w:r w:rsidRPr="00A57029">
        <w:rPr>
          <w:lang w:val="fr-FR"/>
        </w:rPr>
        <w:tab/>
        <w:t xml:space="preserve">Le dispositif actuel concernant les visites et la correspondance entre un mineur détenu dans un établissement pénitentiaire et sa famille est exposé au paragraphe 229 du deuxième rapport du Japon. Cependant, aux termes de </w:t>
      </w:r>
      <w:smartTag w:uri="urn:schemas-microsoft-com:office:smarttags" w:element="PersonName">
        <w:smartTagPr>
          <w:attr w:name="ProductID" w:val="la Loi"/>
        </w:smartTagPr>
        <w:r w:rsidRPr="00A57029">
          <w:rPr>
            <w:lang w:val="fr-FR"/>
          </w:rPr>
          <w:t>la Loi</w:t>
        </w:r>
      </w:smartTag>
      <w:r w:rsidRPr="00A57029">
        <w:rPr>
          <w:lang w:val="fr-FR"/>
        </w:rPr>
        <w:t xml:space="preserve"> relative aux établissements pénitentiaires et autres lieux de détention et au traitement des détenus (n</w:t>
      </w:r>
      <w:r w:rsidR="00277023">
        <w:rPr>
          <w:lang w:val="fr-FR"/>
        </w:rPr>
        <w:t>’</w:t>
      </w:r>
      <w:r w:rsidRPr="00A57029">
        <w:rPr>
          <w:lang w:val="fr-FR"/>
        </w:rPr>
        <w:t>a pas encore pris effet) adoptée en mai 2005, s</w:t>
      </w:r>
      <w:r w:rsidR="00277023">
        <w:rPr>
          <w:lang w:val="fr-FR"/>
        </w:rPr>
        <w:t>’</w:t>
      </w:r>
      <w:r w:rsidRPr="00A57029">
        <w:rPr>
          <w:lang w:val="fr-FR"/>
        </w:rPr>
        <w:t>agissant des détenus placés en établissements pénitentiaires, et selon le principe que la communication avec des personnes extérieures à l</w:t>
      </w:r>
      <w:r w:rsidR="00277023">
        <w:rPr>
          <w:lang w:val="fr-FR"/>
        </w:rPr>
        <w:t>’</w:t>
      </w:r>
      <w:r w:rsidRPr="00A57029">
        <w:rPr>
          <w:lang w:val="fr-FR"/>
        </w:rPr>
        <w:t>établissement contribue à la réadaptation et à la bonne réinsertion sociale des détenus condamnés (article 88 de ladite Loi), le nombre de visites est passé d</w:t>
      </w:r>
      <w:r w:rsidR="00277023">
        <w:rPr>
          <w:lang w:val="fr-FR"/>
        </w:rPr>
        <w:t>’</w:t>
      </w:r>
      <w:r w:rsidRPr="00A57029">
        <w:rPr>
          <w:lang w:val="fr-FR"/>
        </w:rPr>
        <w:t>un minimum de une fois par mois à un minimum de deux fois par mois (paragraphe 2 de l</w:t>
      </w:r>
      <w:r w:rsidR="00277023">
        <w:rPr>
          <w:lang w:val="fr-FR"/>
        </w:rPr>
        <w:t>’</w:t>
      </w:r>
      <w:r w:rsidRPr="00A57029">
        <w:rPr>
          <w:lang w:val="fr-FR"/>
        </w:rPr>
        <w:t xml:space="preserve">article 92 de </w:t>
      </w:r>
      <w:smartTag w:uri="urn:schemas-microsoft-com:office:smarttags" w:element="PersonName">
        <w:smartTagPr>
          <w:attr w:name="ProductID" w:val="la Loi"/>
        </w:smartTagPr>
        <w:r w:rsidRPr="00A57029">
          <w:rPr>
            <w:lang w:val="fr-FR"/>
          </w:rPr>
          <w:t>la Loi</w:t>
        </w:r>
      </w:smartTag>
      <w:r w:rsidRPr="00A57029">
        <w:rPr>
          <w:lang w:val="fr-FR"/>
        </w:rPr>
        <w:t>), et pour ce qui est de la correspondance, le nombre de lettres est passé d</w:t>
      </w:r>
      <w:r w:rsidR="00277023">
        <w:rPr>
          <w:lang w:val="fr-FR"/>
        </w:rPr>
        <w:t>’</w:t>
      </w:r>
      <w:r w:rsidRPr="00A57029">
        <w:rPr>
          <w:lang w:val="fr-FR"/>
        </w:rPr>
        <w:t>un minimum de une par mois à un minimum de quatre par mois, afin d</w:t>
      </w:r>
      <w:r w:rsidR="00277023">
        <w:rPr>
          <w:lang w:val="fr-FR"/>
        </w:rPr>
        <w:t>’</w:t>
      </w:r>
      <w:r w:rsidRPr="00A57029">
        <w:rPr>
          <w:lang w:val="fr-FR"/>
        </w:rPr>
        <w:t xml:space="preserve">augmenter les possibilités de communication avec la famille. </w:t>
      </w:r>
    </w:p>
    <w:p w:rsidR="00A57029" w:rsidRPr="00A57029" w:rsidRDefault="00A57029" w:rsidP="00A57029">
      <w:pPr>
        <w:pStyle w:val="H4G"/>
        <w:rPr>
          <w:lang w:val="fr-FR"/>
        </w:rPr>
      </w:pPr>
      <w:r>
        <w:rPr>
          <w:lang w:val="fr-FR"/>
        </w:rPr>
        <w:tab/>
        <w:t>3)</w:t>
      </w:r>
      <w:r>
        <w:rPr>
          <w:lang w:val="fr-FR"/>
        </w:rPr>
        <w:tab/>
      </w:r>
      <w:r w:rsidRPr="00A57029">
        <w:rPr>
          <w:lang w:val="fr-FR"/>
        </w:rPr>
        <w:t>Surveillance et inspection des établissements pénitentiaires</w:t>
      </w:r>
    </w:p>
    <w:p w:rsidR="00A57029" w:rsidRPr="00A57029" w:rsidRDefault="00A57029" w:rsidP="00A57029">
      <w:pPr>
        <w:pStyle w:val="SingleTxtG"/>
        <w:rPr>
          <w:lang w:val="fr-FR"/>
        </w:rPr>
      </w:pPr>
      <w:r w:rsidRPr="00A57029">
        <w:rPr>
          <w:lang w:val="fr-FR"/>
        </w:rPr>
        <w:t>503.</w:t>
      </w:r>
      <w:r w:rsidRPr="00A57029">
        <w:rPr>
          <w:lang w:val="fr-FR"/>
        </w:rPr>
        <w:tab/>
        <w:t xml:space="preserve">Voir paragraphe 265. </w:t>
      </w:r>
    </w:p>
    <w:p w:rsidR="00A57029" w:rsidRPr="00A57029" w:rsidRDefault="00A57029" w:rsidP="00A57029">
      <w:pPr>
        <w:pStyle w:val="H4G"/>
        <w:rPr>
          <w:lang w:val="fr-FR"/>
        </w:rPr>
      </w:pPr>
      <w:r>
        <w:rPr>
          <w:lang w:val="fr-FR"/>
        </w:rPr>
        <w:tab/>
        <w:t>4)</w:t>
      </w:r>
      <w:r>
        <w:rPr>
          <w:lang w:val="fr-FR"/>
        </w:rPr>
        <w:tab/>
      </w:r>
      <w:r w:rsidRPr="00A57029">
        <w:rPr>
          <w:lang w:val="fr-FR"/>
        </w:rPr>
        <w:t>Procédure de plainte</w:t>
      </w:r>
    </w:p>
    <w:p w:rsidR="00A57029" w:rsidRPr="00A57029" w:rsidRDefault="00A57029" w:rsidP="00A57029">
      <w:pPr>
        <w:pStyle w:val="SingleTxtG"/>
        <w:rPr>
          <w:lang w:val="fr-FR"/>
        </w:rPr>
      </w:pPr>
      <w:r w:rsidRPr="00A57029">
        <w:rPr>
          <w:lang w:val="fr-FR"/>
        </w:rPr>
        <w:t>504.</w:t>
      </w:r>
      <w:r w:rsidRPr="00A57029">
        <w:rPr>
          <w:lang w:val="fr-FR"/>
        </w:rPr>
        <w:tab/>
        <w:t xml:space="preserve">Voir paragraphe 266. </w:t>
      </w:r>
    </w:p>
    <w:p w:rsidR="00A57029" w:rsidRPr="00A57029" w:rsidRDefault="00A57029" w:rsidP="00A57029">
      <w:pPr>
        <w:pStyle w:val="H4G"/>
        <w:rPr>
          <w:lang w:val="fr-FR"/>
        </w:rPr>
      </w:pPr>
      <w:r>
        <w:rPr>
          <w:lang w:val="fr-FR"/>
        </w:rPr>
        <w:tab/>
        <w:t>5)</w:t>
      </w:r>
      <w:r>
        <w:rPr>
          <w:lang w:val="fr-FR"/>
        </w:rPr>
        <w:tab/>
      </w:r>
      <w:r w:rsidRPr="00A57029">
        <w:rPr>
          <w:lang w:val="fr-FR"/>
        </w:rPr>
        <w:t>Examen périodique de la situation de l</w:t>
      </w:r>
      <w:r w:rsidR="00277023">
        <w:rPr>
          <w:lang w:val="fr-FR"/>
        </w:rPr>
        <w:t>’</w:t>
      </w:r>
      <w:r w:rsidRPr="00A57029">
        <w:rPr>
          <w:lang w:val="fr-FR"/>
        </w:rPr>
        <w:t>enfant</w:t>
      </w:r>
    </w:p>
    <w:p w:rsidR="00A57029" w:rsidRPr="00A57029" w:rsidRDefault="00A57029" w:rsidP="00A57029">
      <w:pPr>
        <w:pStyle w:val="SingleTxtG"/>
        <w:rPr>
          <w:lang w:val="fr-FR"/>
        </w:rPr>
      </w:pPr>
      <w:r w:rsidRPr="00A57029">
        <w:rPr>
          <w:lang w:val="fr-FR"/>
        </w:rPr>
        <w:t>505.</w:t>
      </w:r>
      <w:r w:rsidRPr="00A57029">
        <w:rPr>
          <w:lang w:val="fr-FR"/>
        </w:rPr>
        <w:tab/>
        <w:t xml:space="preserve">Voir paragraphe 257 du deuxième rapport du Japon. </w:t>
      </w:r>
    </w:p>
    <w:p w:rsidR="00A57029" w:rsidRPr="00A57029" w:rsidRDefault="00A57029" w:rsidP="00A57029">
      <w:pPr>
        <w:pStyle w:val="H4G"/>
        <w:rPr>
          <w:lang w:val="fr-FR"/>
        </w:rPr>
      </w:pPr>
      <w:r>
        <w:rPr>
          <w:lang w:val="fr-FR"/>
        </w:rPr>
        <w:tab/>
        <w:t>6)</w:t>
      </w:r>
      <w:r>
        <w:rPr>
          <w:lang w:val="fr-FR"/>
        </w:rPr>
        <w:tab/>
      </w:r>
      <w:r w:rsidRPr="00A57029">
        <w:rPr>
          <w:lang w:val="fr-FR"/>
        </w:rPr>
        <w:t>Education et soins de santé</w:t>
      </w:r>
    </w:p>
    <w:p w:rsidR="00A57029" w:rsidRPr="00A57029" w:rsidRDefault="00A57029" w:rsidP="00A57029">
      <w:pPr>
        <w:pStyle w:val="SingleTxtG"/>
        <w:rPr>
          <w:lang w:val="fr-FR"/>
        </w:rPr>
      </w:pPr>
      <w:r w:rsidRPr="00A57029">
        <w:rPr>
          <w:lang w:val="fr-FR"/>
        </w:rPr>
        <w:t>506.</w:t>
      </w:r>
      <w:r w:rsidRPr="00A57029">
        <w:rPr>
          <w:lang w:val="fr-FR"/>
        </w:rPr>
        <w:tab/>
        <w:t xml:space="preserve">Voir paragraphes 436-439 du deuxième rapport du Japon. </w:t>
      </w:r>
    </w:p>
    <w:p w:rsidR="00A57029" w:rsidRPr="00A57029" w:rsidRDefault="00A57029" w:rsidP="00A57029">
      <w:pPr>
        <w:pStyle w:val="SingleTxtG"/>
        <w:rPr>
          <w:lang w:val="fr-FR"/>
        </w:rPr>
      </w:pPr>
      <w:r>
        <w:rPr>
          <w:lang w:val="fr-FR"/>
        </w:rPr>
        <w:tab/>
      </w:r>
      <w:r w:rsidRPr="00A57029">
        <w:rPr>
          <w:lang w:val="fr-FR"/>
        </w:rPr>
        <w:t xml:space="preserve">Cependant, dans le cadre des efforts engagés pour permettre aux mineurs placés dans des foyers de classification de suivre des études, des ordinateurs ont été installés et sont utilisés dans tous ces établissements. </w:t>
      </w:r>
    </w:p>
    <w:p w:rsidR="00A57029" w:rsidRPr="00A57029" w:rsidRDefault="00A57029" w:rsidP="00A57029">
      <w:pPr>
        <w:pStyle w:val="H4G"/>
        <w:rPr>
          <w:lang w:val="fr-FR"/>
        </w:rPr>
      </w:pPr>
      <w:r>
        <w:rPr>
          <w:lang w:val="fr-FR"/>
        </w:rPr>
        <w:tab/>
        <w:t>7)</w:t>
      </w:r>
      <w:r>
        <w:rPr>
          <w:lang w:val="fr-FR"/>
        </w:rPr>
        <w:tab/>
      </w:r>
      <w:r w:rsidRPr="00A57029">
        <w:rPr>
          <w:lang w:val="fr-FR"/>
        </w:rPr>
        <w:t>Principes généraux</w:t>
      </w:r>
      <w:r w:rsidR="00EA1115">
        <w:rPr>
          <w:lang w:val="fr-FR"/>
        </w:rPr>
        <w:t xml:space="preserve"> </w:t>
      </w:r>
      <w:r w:rsidRPr="00A57029">
        <w:rPr>
          <w:lang w:val="fr-FR"/>
        </w:rPr>
        <w:t xml:space="preserve">de </w:t>
      </w:r>
      <w:smartTag w:uri="urn:schemas-microsoft-com:office:smarttags" w:element="PersonName">
        <w:smartTagPr>
          <w:attr w:name="ProductID" w:val="LA CONVENTION"/>
        </w:smartTagPr>
        <w:r w:rsidRPr="00A57029">
          <w:rPr>
            <w:lang w:val="fr-FR"/>
          </w:rPr>
          <w:t>la Convention</w:t>
        </w:r>
      </w:smartTag>
    </w:p>
    <w:p w:rsidR="00A57029" w:rsidRPr="00A57029" w:rsidRDefault="00A57029" w:rsidP="00A57029">
      <w:pPr>
        <w:pStyle w:val="SingleTxtG"/>
        <w:rPr>
          <w:lang w:val="fr-FR"/>
        </w:rPr>
      </w:pPr>
      <w:r w:rsidRPr="00A57029">
        <w:rPr>
          <w:lang w:val="fr-FR"/>
        </w:rPr>
        <w:t>507.</w:t>
      </w:r>
      <w:r w:rsidRPr="00A57029">
        <w:rPr>
          <w:lang w:val="fr-FR"/>
        </w:rPr>
        <w:tab/>
        <w:t>Ainsi que le stipulent les articles 108 et 131 du deuxième rapport du Japon relatifs à l</w:t>
      </w:r>
      <w:r w:rsidR="00277023">
        <w:rPr>
          <w:lang w:val="fr-FR"/>
        </w:rPr>
        <w:t>’</w:t>
      </w:r>
      <w:r w:rsidRPr="00A57029">
        <w:rPr>
          <w:lang w:val="fr-FR"/>
        </w:rPr>
        <w:t>article 2 (interdiction de la discrimination), toute forme de discrimination à l</w:t>
      </w:r>
      <w:r w:rsidR="00277023">
        <w:rPr>
          <w:lang w:val="fr-FR"/>
        </w:rPr>
        <w:t>’</w:t>
      </w:r>
      <w:r w:rsidRPr="00A57029">
        <w:rPr>
          <w:lang w:val="fr-FR"/>
        </w:rPr>
        <w:t>égard d</w:t>
      </w:r>
      <w:r w:rsidR="00277023">
        <w:rPr>
          <w:lang w:val="fr-FR"/>
        </w:rPr>
        <w:t>’</w:t>
      </w:r>
      <w:r w:rsidRPr="00A57029">
        <w:rPr>
          <w:lang w:val="fr-FR"/>
        </w:rPr>
        <w:t>un enfant exercée par un fonctionnaire d</w:t>
      </w:r>
      <w:r w:rsidR="00277023">
        <w:rPr>
          <w:lang w:val="fr-FR"/>
        </w:rPr>
        <w:t>’</w:t>
      </w:r>
      <w:r w:rsidRPr="00A57029">
        <w:rPr>
          <w:lang w:val="fr-FR"/>
        </w:rPr>
        <w:t>Etat est interdite, et que ce soit dans un foyer de classification, un centre de formation ou un établissement pénitentiaire, le principe du traitement équitable du mineur est fondamental et on veille à n</w:t>
      </w:r>
      <w:r w:rsidR="00277023">
        <w:rPr>
          <w:lang w:val="fr-FR"/>
        </w:rPr>
        <w:t>’</w:t>
      </w:r>
      <w:r w:rsidRPr="00A57029">
        <w:rPr>
          <w:lang w:val="fr-FR"/>
        </w:rPr>
        <w:t>infliger aucun traitement discriminatoire. S</w:t>
      </w:r>
      <w:r w:rsidR="00277023">
        <w:rPr>
          <w:lang w:val="fr-FR"/>
        </w:rPr>
        <w:t>’</w:t>
      </w:r>
      <w:r w:rsidRPr="00A57029">
        <w:rPr>
          <w:lang w:val="fr-FR"/>
        </w:rPr>
        <w:t>agissant de l</w:t>
      </w:r>
      <w:r w:rsidR="00277023">
        <w:rPr>
          <w:lang w:val="fr-FR"/>
        </w:rPr>
        <w:t>’</w:t>
      </w:r>
      <w:r w:rsidRPr="00A57029">
        <w:rPr>
          <w:lang w:val="fr-FR"/>
        </w:rPr>
        <w:t>article 3 (l</w:t>
      </w:r>
      <w:r w:rsidR="00277023">
        <w:rPr>
          <w:lang w:val="fr-FR"/>
        </w:rPr>
        <w:t>’</w:t>
      </w:r>
      <w:r w:rsidRPr="00A57029">
        <w:rPr>
          <w:lang w:val="fr-FR"/>
        </w:rPr>
        <w:t>intérêt supérieur de l</w:t>
      </w:r>
      <w:r w:rsidR="00277023">
        <w:rPr>
          <w:lang w:val="fr-FR"/>
        </w:rPr>
        <w:t>’</w:t>
      </w:r>
      <w:r w:rsidRPr="00A57029">
        <w:rPr>
          <w:lang w:val="fr-FR"/>
        </w:rPr>
        <w:t>enfant), les foyers de classification s</w:t>
      </w:r>
      <w:r w:rsidR="00277023">
        <w:rPr>
          <w:lang w:val="fr-FR"/>
        </w:rPr>
        <w:t>’</w:t>
      </w:r>
      <w:r w:rsidRPr="00A57029">
        <w:rPr>
          <w:lang w:val="fr-FR"/>
        </w:rPr>
        <w:t>attachent à placer les mineurs dans un environnement animé qui leur permet d</w:t>
      </w:r>
      <w:r w:rsidR="00277023">
        <w:rPr>
          <w:lang w:val="fr-FR"/>
        </w:rPr>
        <w:t>’</w:t>
      </w:r>
      <w:r w:rsidRPr="00A57029">
        <w:rPr>
          <w:lang w:val="fr-FR"/>
        </w:rPr>
        <w:t>être jugés dans des conditions paisibles (article 3 du règlement relatif au traitement des mineurs dans les foyers de classification). De même, les centres de formation tiennent compte du degré de développement physique et mental des mineurs et, dans un environnement animé, les traitent de manière à assurer leur développement harmonieux physique et mental (article 1 du règlement relatif au traitement des mineurs dans les foyers de classification). Dans les établissements pénitentiaires pour mineurs, un enseignement et une formation professionnelle sont dispensés en fonction du degré de développement physique et mental des mineurs et des mesures sont prises pour assurer leur bon développement. A la lumière de l</w:t>
      </w:r>
      <w:r w:rsidR="00277023">
        <w:rPr>
          <w:lang w:val="fr-FR"/>
        </w:rPr>
        <w:t>’</w:t>
      </w:r>
      <w:r w:rsidRPr="00A57029">
        <w:rPr>
          <w:lang w:val="fr-FR"/>
        </w:rPr>
        <w:t>objet du traitement appliqué à chacun des mineurs placés dans un établissement, on peut considérer que l</w:t>
      </w:r>
      <w:r w:rsidR="00277023">
        <w:rPr>
          <w:lang w:val="fr-FR"/>
        </w:rPr>
        <w:t>’</w:t>
      </w:r>
      <w:r w:rsidRPr="00A57029">
        <w:rPr>
          <w:lang w:val="fr-FR"/>
        </w:rPr>
        <w:t>intérêt supérieur du mineur est pris en considération dans le cadre de sa prise en charge.</w:t>
      </w:r>
    </w:p>
    <w:p w:rsidR="00A57029" w:rsidRPr="00A57029" w:rsidRDefault="00A57029" w:rsidP="00A57029">
      <w:pPr>
        <w:pStyle w:val="SingleTxtG"/>
        <w:rPr>
          <w:lang w:val="fr-FR"/>
        </w:rPr>
      </w:pPr>
      <w:r w:rsidRPr="00A57029">
        <w:rPr>
          <w:lang w:val="fr-FR"/>
        </w:rPr>
        <w:t>(b-7) Assurer que tout enfant privé de liberté puisse exercer les droits suivants</w:t>
      </w:r>
    </w:p>
    <w:p w:rsidR="00A57029" w:rsidRPr="00A57029" w:rsidRDefault="00A57029" w:rsidP="00A57029">
      <w:pPr>
        <w:pStyle w:val="H4G"/>
        <w:rPr>
          <w:lang w:val="fr-FR"/>
        </w:rPr>
      </w:pPr>
      <w:r>
        <w:rPr>
          <w:lang w:val="fr-FR"/>
        </w:rPr>
        <w:tab/>
        <w:t>1)</w:t>
      </w:r>
      <w:r>
        <w:rPr>
          <w:lang w:val="fr-FR"/>
        </w:rPr>
        <w:tab/>
      </w:r>
      <w:r w:rsidRPr="00A57029">
        <w:rPr>
          <w:lang w:val="fr-FR"/>
        </w:rPr>
        <w:t>Contact rapide avec l</w:t>
      </w:r>
      <w:r w:rsidR="00277023">
        <w:rPr>
          <w:lang w:val="fr-FR"/>
        </w:rPr>
        <w:t>’</w:t>
      </w:r>
      <w:r w:rsidRPr="00A57029">
        <w:rPr>
          <w:lang w:val="fr-FR"/>
        </w:rPr>
        <w:t>avocat ou toute autre personne pouvant lui apporter l</w:t>
      </w:r>
      <w:r w:rsidR="00277023">
        <w:rPr>
          <w:lang w:val="fr-FR"/>
        </w:rPr>
        <w:t>’</w:t>
      </w:r>
      <w:r w:rsidRPr="00A57029">
        <w:rPr>
          <w:lang w:val="fr-FR"/>
        </w:rPr>
        <w:t>assistance requise</w:t>
      </w:r>
    </w:p>
    <w:p w:rsidR="00A57029" w:rsidRPr="00A57029" w:rsidRDefault="00A57029" w:rsidP="00A57029">
      <w:pPr>
        <w:pStyle w:val="SingleTxtG"/>
        <w:rPr>
          <w:lang w:val="fr-FR"/>
        </w:rPr>
      </w:pPr>
      <w:r w:rsidRPr="00A57029">
        <w:rPr>
          <w:lang w:val="fr-FR"/>
        </w:rPr>
        <w:t>(Mineurs arrêtés)</w:t>
      </w:r>
    </w:p>
    <w:p w:rsidR="00A57029" w:rsidRPr="00A57029" w:rsidRDefault="00A57029" w:rsidP="00A57029">
      <w:pPr>
        <w:pStyle w:val="SingleTxtG"/>
        <w:rPr>
          <w:lang w:val="fr-FR"/>
        </w:rPr>
      </w:pPr>
      <w:r w:rsidRPr="00A57029">
        <w:rPr>
          <w:lang w:val="fr-FR"/>
        </w:rPr>
        <w:t>508.</w:t>
      </w:r>
      <w:r w:rsidRPr="00A57029">
        <w:rPr>
          <w:lang w:val="fr-FR"/>
        </w:rPr>
        <w:tab/>
        <w:t>Les suspects arrêtés en vertu du Code de procédure pénale peuvent, en l</w:t>
      </w:r>
      <w:r w:rsidR="00277023">
        <w:rPr>
          <w:lang w:val="fr-FR"/>
        </w:rPr>
        <w:t>’</w:t>
      </w:r>
      <w:r w:rsidRPr="00A57029">
        <w:rPr>
          <w:lang w:val="fr-FR"/>
        </w:rPr>
        <w:t xml:space="preserve">absence de témoins, contacter un avocat ou une autre personne pouvant tenir ce rôle, ou remettre et recevoir des documents ou des objets. Les suspects arrêtés sont autorisés à contacter directement leur avocat. </w:t>
      </w:r>
    </w:p>
    <w:p w:rsidR="00A57029" w:rsidRPr="00A57029" w:rsidRDefault="00A57029" w:rsidP="00A57029">
      <w:pPr>
        <w:pStyle w:val="SingleTxtG"/>
        <w:rPr>
          <w:lang w:val="fr-FR"/>
        </w:rPr>
      </w:pPr>
      <w:r w:rsidRPr="00A57029">
        <w:rPr>
          <w:lang w:val="fr-FR"/>
        </w:rPr>
        <w:t>(Établissements pénitentiaires)</w:t>
      </w:r>
    </w:p>
    <w:p w:rsidR="00A57029" w:rsidRPr="00A57029" w:rsidRDefault="00A57029" w:rsidP="00A57029">
      <w:pPr>
        <w:pStyle w:val="SingleTxtG"/>
        <w:rPr>
          <w:lang w:val="fr-FR"/>
        </w:rPr>
      </w:pPr>
      <w:r w:rsidRPr="00A57029">
        <w:rPr>
          <w:lang w:val="fr-FR"/>
        </w:rPr>
        <w:t>509.</w:t>
      </w:r>
      <w:r w:rsidRPr="00A57029">
        <w:rPr>
          <w:lang w:val="fr-FR"/>
        </w:rPr>
        <w:tab/>
        <w:t xml:space="preserve">Voir paragraphe 429 du deuxième rapport du Japon. </w:t>
      </w:r>
    </w:p>
    <w:p w:rsidR="00A57029" w:rsidRPr="00A57029" w:rsidRDefault="00A57029" w:rsidP="00A57029">
      <w:pPr>
        <w:pStyle w:val="H4G"/>
        <w:rPr>
          <w:bCs/>
          <w:iCs/>
          <w:lang w:val="fr-FR"/>
        </w:rPr>
      </w:pPr>
      <w:r>
        <w:rPr>
          <w:lang w:val="fr-FR"/>
        </w:rPr>
        <w:tab/>
        <w:t>2)</w:t>
      </w:r>
      <w:r>
        <w:rPr>
          <w:lang w:val="fr-FR"/>
        </w:rPr>
        <w:tab/>
      </w:r>
      <w:r w:rsidRPr="00A57029">
        <w:rPr>
          <w:lang w:val="fr-FR"/>
        </w:rPr>
        <w:t>Légalité de la privation de liberté</w:t>
      </w:r>
    </w:p>
    <w:p w:rsidR="00A57029" w:rsidRPr="00A57029" w:rsidRDefault="00A57029" w:rsidP="00A57029">
      <w:pPr>
        <w:pStyle w:val="SingleTxtG"/>
        <w:rPr>
          <w:lang w:val="fr-FR"/>
        </w:rPr>
      </w:pPr>
      <w:r w:rsidRPr="00A57029">
        <w:rPr>
          <w:lang w:val="fr-FR"/>
        </w:rPr>
        <w:t>510.</w:t>
      </w:r>
      <w:r w:rsidRPr="00A57029">
        <w:rPr>
          <w:lang w:val="fr-FR"/>
        </w:rPr>
        <w:tab/>
        <w:t xml:space="preserve">Toute personne privée de liberté de manière illicite peut demander réparation devant un tribunal conformément à </w:t>
      </w:r>
      <w:smartTag w:uri="urn:schemas-microsoft-com:office:smarttags" w:element="PersonName">
        <w:smartTagPr>
          <w:attr w:name="ProductID" w:val="la Loi"/>
        </w:smartTagPr>
        <w:r w:rsidRPr="00A57029">
          <w:rPr>
            <w:lang w:val="fr-FR"/>
          </w:rPr>
          <w:t>la Loi</w:t>
        </w:r>
      </w:smartTag>
      <w:r w:rsidRPr="00A57029">
        <w:rPr>
          <w:lang w:val="fr-FR"/>
        </w:rPr>
        <w:t xml:space="preserve"> relative au recours en habeas corpus</w:t>
      </w:r>
      <w:r w:rsidR="00277023">
        <w:rPr>
          <w:lang w:val="fr-FR"/>
        </w:rPr>
        <w:t>;</w:t>
      </w:r>
      <w:r w:rsidRPr="00A57029">
        <w:rPr>
          <w:lang w:val="fr-FR"/>
        </w:rPr>
        <w:t xml:space="preserve"> cette procédure s</w:t>
      </w:r>
      <w:r w:rsidR="00277023">
        <w:rPr>
          <w:lang w:val="fr-FR"/>
        </w:rPr>
        <w:t>’</w:t>
      </w:r>
      <w:r w:rsidRPr="00A57029">
        <w:rPr>
          <w:lang w:val="fr-FR"/>
        </w:rPr>
        <w:t>applique également aux mineurs placés dans un établissement pénitentiaire.</w:t>
      </w:r>
    </w:p>
    <w:p w:rsidR="00093F0A" w:rsidRPr="00A57029" w:rsidRDefault="00A57029" w:rsidP="00A57029">
      <w:pPr>
        <w:pStyle w:val="SingleTxtG"/>
        <w:rPr>
          <w:lang w:val="fr-FR"/>
        </w:rPr>
      </w:pPr>
      <w:r w:rsidRPr="00A57029">
        <w:rPr>
          <w:lang w:val="fr-FR"/>
        </w:rPr>
        <w:t>(b-8) Renseignements sur la situation générale, et pourcentage d</w:t>
      </w:r>
      <w:r w:rsidR="00277023">
        <w:rPr>
          <w:lang w:val="fr-FR"/>
        </w:rPr>
        <w:t>’</w:t>
      </w:r>
      <w:r w:rsidRPr="00A57029">
        <w:rPr>
          <w:lang w:val="fr-FR"/>
        </w:rPr>
        <w:t>affaires dans lesquelles une assistance juridique ou autre a été assurée et la légalité de la privation de liberté a été confirmée</w:t>
      </w:r>
      <w:r w:rsidR="00277023">
        <w:rPr>
          <w:lang w:val="fr-FR"/>
        </w:rPr>
        <w:t>;</w:t>
      </w:r>
      <w:r w:rsidRPr="00A57029">
        <w:rPr>
          <w:lang w:val="fr-FR"/>
        </w:rPr>
        <w:t xml:space="preserve"> pourcentage d</w:t>
      </w:r>
      <w:r w:rsidR="00277023">
        <w:rPr>
          <w:lang w:val="fr-FR"/>
        </w:rPr>
        <w:t>’</w:t>
      </w:r>
      <w:r w:rsidRPr="00A57029">
        <w:rPr>
          <w:lang w:val="fr-FR"/>
        </w:rPr>
        <w:t>enfants concernés</w:t>
      </w:r>
    </w:p>
    <w:p w:rsidR="00093F0A" w:rsidRPr="00A57029" w:rsidRDefault="00365506" w:rsidP="00093F0A">
      <w:pPr>
        <w:pStyle w:val="Heading1"/>
        <w:rPr>
          <w:lang w:val="es-ES"/>
        </w:rPr>
      </w:pPr>
      <w:r w:rsidRPr="00F206B8">
        <w:rPr>
          <w:lang w:val="fr-FR"/>
        </w:rPr>
        <w:t>Tableau</w:t>
      </w:r>
      <w:r w:rsidRPr="00F206B8">
        <w:rPr>
          <w:lang w:val="es-ES"/>
        </w:rPr>
        <w:t xml:space="preserve"> </w:t>
      </w:r>
      <w:r w:rsidR="00093F0A" w:rsidRPr="00A57029">
        <w:rPr>
          <w:lang w:val="es-ES"/>
        </w:rPr>
        <w:t>29</w:t>
      </w:r>
    </w:p>
    <w:p w:rsidR="00093F0A" w:rsidRPr="00A57029" w:rsidRDefault="00A57029" w:rsidP="00C874F0">
      <w:pPr>
        <w:pStyle w:val="SingleTxtG"/>
        <w:tabs>
          <w:tab w:val="right" w:pos="8504"/>
        </w:tabs>
        <w:jc w:val="left"/>
        <w:rPr>
          <w:b/>
          <w:lang w:val="es-ES"/>
        </w:rPr>
      </w:pPr>
      <w:r w:rsidRPr="00A57029">
        <w:rPr>
          <w:b/>
          <w:lang w:val="fr-FR"/>
        </w:rPr>
        <w:t>Nombre de personnes ayant interjeté un appel interlocutoire à l</w:t>
      </w:r>
      <w:r w:rsidR="00277023">
        <w:rPr>
          <w:b/>
          <w:lang w:val="fr-FR"/>
        </w:rPr>
        <w:t>’</w:t>
      </w:r>
      <w:r w:rsidRPr="00A57029">
        <w:rPr>
          <w:b/>
          <w:lang w:val="fr-FR"/>
        </w:rPr>
        <w:t>encontre de mesures de protection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
        <w:gridCol w:w="1437"/>
        <w:gridCol w:w="1129"/>
        <w:gridCol w:w="1119"/>
        <w:gridCol w:w="1358"/>
        <w:gridCol w:w="1347"/>
      </w:tblGrid>
      <w:tr w:rsidR="0008364E" w:rsidRPr="00675064">
        <w:tc>
          <w:tcPr>
            <w:tcW w:w="981" w:type="dxa"/>
            <w:vMerge w:val="restart"/>
            <w:tcBorders>
              <w:top w:val="single" w:sz="4" w:space="0" w:color="auto"/>
            </w:tcBorders>
            <w:shd w:val="clear" w:color="auto" w:fill="auto"/>
            <w:vAlign w:val="bottom"/>
          </w:tcPr>
          <w:p w:rsidR="0008364E" w:rsidRPr="00675064" w:rsidRDefault="00675064" w:rsidP="00134E25">
            <w:pPr>
              <w:spacing w:before="80" w:after="80" w:line="200" w:lineRule="exact"/>
              <w:rPr>
                <w:i/>
                <w:sz w:val="16"/>
              </w:rPr>
            </w:pPr>
            <w:r w:rsidRPr="00675064">
              <w:rPr>
                <w:i/>
                <w:sz w:val="16"/>
              </w:rPr>
              <w:t>Année</w:t>
            </w:r>
          </w:p>
        </w:tc>
        <w:tc>
          <w:tcPr>
            <w:tcW w:w="3685" w:type="dxa"/>
            <w:gridSpan w:val="3"/>
            <w:tcBorders>
              <w:top w:val="single" w:sz="4" w:space="0" w:color="auto"/>
              <w:bottom w:val="single" w:sz="4" w:space="0" w:color="auto"/>
            </w:tcBorders>
            <w:shd w:val="clear" w:color="auto" w:fill="auto"/>
            <w:vAlign w:val="bottom"/>
          </w:tcPr>
          <w:p w:rsidR="0008364E" w:rsidRPr="00675064" w:rsidRDefault="00675064" w:rsidP="005D4774">
            <w:pPr>
              <w:spacing w:before="80" w:after="80" w:line="200" w:lineRule="exact"/>
              <w:jc w:val="center"/>
              <w:rPr>
                <w:i/>
                <w:sz w:val="16"/>
              </w:rPr>
            </w:pPr>
            <w:r w:rsidRPr="00675064">
              <w:rPr>
                <w:i/>
                <w:sz w:val="16"/>
              </w:rPr>
              <w:t>Appel interlocutoire</w:t>
            </w:r>
          </w:p>
        </w:tc>
        <w:tc>
          <w:tcPr>
            <w:tcW w:w="2705" w:type="dxa"/>
            <w:gridSpan w:val="2"/>
            <w:vMerge w:val="restart"/>
            <w:tcBorders>
              <w:top w:val="single" w:sz="4" w:space="0" w:color="auto"/>
            </w:tcBorders>
            <w:shd w:val="clear" w:color="auto" w:fill="auto"/>
            <w:vAlign w:val="bottom"/>
          </w:tcPr>
          <w:p w:rsidR="0008364E" w:rsidRPr="00675064" w:rsidRDefault="00675064" w:rsidP="005D4774">
            <w:pPr>
              <w:spacing w:before="80" w:after="80" w:line="200" w:lineRule="exact"/>
              <w:jc w:val="right"/>
              <w:rPr>
                <w:i/>
                <w:sz w:val="16"/>
                <w:lang w:val="es-ES"/>
              </w:rPr>
            </w:pPr>
            <w:r w:rsidRPr="00675064">
              <w:rPr>
                <w:i/>
                <w:sz w:val="16"/>
                <w:lang w:val="es-ES"/>
              </w:rPr>
              <w:t>Nombre total de mesures de protection (Nombre total de placements en centre d</w:t>
            </w:r>
            <w:r w:rsidR="00277023">
              <w:rPr>
                <w:i/>
                <w:sz w:val="16"/>
                <w:lang w:val="es-ES"/>
              </w:rPr>
              <w:t>’</w:t>
            </w:r>
            <w:r w:rsidRPr="00675064">
              <w:rPr>
                <w:i/>
                <w:sz w:val="16"/>
                <w:lang w:val="es-ES"/>
              </w:rPr>
              <w:t>éducation surveillée)</w:t>
            </w:r>
          </w:p>
        </w:tc>
      </w:tr>
      <w:tr w:rsidR="0008364E" w:rsidRPr="008E5027">
        <w:tc>
          <w:tcPr>
            <w:tcW w:w="981" w:type="dxa"/>
            <w:vMerge/>
            <w:tcBorders>
              <w:bottom w:val="single" w:sz="12" w:space="0" w:color="auto"/>
            </w:tcBorders>
            <w:shd w:val="clear" w:color="auto" w:fill="auto"/>
            <w:vAlign w:val="bottom"/>
          </w:tcPr>
          <w:p w:rsidR="0008364E" w:rsidRPr="00675064" w:rsidRDefault="0008364E" w:rsidP="00134E25">
            <w:pPr>
              <w:spacing w:before="80" w:after="80" w:line="200" w:lineRule="exact"/>
              <w:rPr>
                <w:i/>
                <w:sz w:val="16"/>
                <w:lang w:val="es-ES"/>
              </w:rPr>
            </w:pPr>
          </w:p>
        </w:tc>
        <w:tc>
          <w:tcPr>
            <w:tcW w:w="1437" w:type="dxa"/>
            <w:tcBorders>
              <w:top w:val="single" w:sz="4" w:space="0" w:color="auto"/>
              <w:bottom w:val="single" w:sz="12" w:space="0" w:color="auto"/>
            </w:tcBorders>
            <w:shd w:val="clear" w:color="auto" w:fill="auto"/>
            <w:vAlign w:val="bottom"/>
          </w:tcPr>
          <w:p w:rsidR="0008364E" w:rsidRPr="00675064" w:rsidRDefault="00675064" w:rsidP="005D4774">
            <w:pPr>
              <w:spacing w:before="80" w:after="80" w:line="200" w:lineRule="exact"/>
              <w:jc w:val="right"/>
              <w:rPr>
                <w:i/>
                <w:sz w:val="16"/>
              </w:rPr>
            </w:pPr>
            <w:r w:rsidRPr="00675064">
              <w:rPr>
                <w:i/>
                <w:sz w:val="16"/>
              </w:rPr>
              <w:t>Nombre d</w:t>
            </w:r>
            <w:r w:rsidR="00277023">
              <w:rPr>
                <w:i/>
                <w:sz w:val="16"/>
              </w:rPr>
              <w:t>’</w:t>
            </w:r>
            <w:r w:rsidRPr="00675064">
              <w:rPr>
                <w:i/>
                <w:sz w:val="16"/>
              </w:rPr>
              <w:t>individus</w:t>
            </w:r>
          </w:p>
        </w:tc>
        <w:tc>
          <w:tcPr>
            <w:tcW w:w="2248" w:type="dxa"/>
            <w:gridSpan w:val="2"/>
            <w:tcBorders>
              <w:top w:val="single" w:sz="4" w:space="0" w:color="auto"/>
              <w:bottom w:val="single" w:sz="12" w:space="0" w:color="auto"/>
            </w:tcBorders>
            <w:shd w:val="clear" w:color="auto" w:fill="auto"/>
            <w:vAlign w:val="bottom"/>
          </w:tcPr>
          <w:p w:rsidR="0008364E" w:rsidRPr="008E5027" w:rsidRDefault="00675064" w:rsidP="003C4627">
            <w:pPr>
              <w:spacing w:before="80" w:after="80" w:line="200" w:lineRule="exact"/>
              <w:ind w:right="397"/>
              <w:jc w:val="right"/>
              <w:rPr>
                <w:i/>
                <w:sz w:val="16"/>
              </w:rPr>
            </w:pPr>
            <w:r w:rsidRPr="00675064">
              <w:rPr>
                <w:i/>
                <w:sz w:val="16"/>
              </w:rPr>
              <w:t xml:space="preserve">Pourcentage </w:t>
            </w:r>
            <w:r w:rsidR="0008364E" w:rsidRPr="008E5027">
              <w:rPr>
                <w:i/>
                <w:sz w:val="16"/>
              </w:rPr>
              <w:t>(%)</w:t>
            </w:r>
          </w:p>
        </w:tc>
        <w:tc>
          <w:tcPr>
            <w:tcW w:w="2705" w:type="dxa"/>
            <w:gridSpan w:val="2"/>
            <w:vMerge/>
            <w:tcBorders>
              <w:bottom w:val="single" w:sz="12" w:space="0" w:color="auto"/>
            </w:tcBorders>
            <w:shd w:val="clear" w:color="auto" w:fill="auto"/>
            <w:vAlign w:val="bottom"/>
          </w:tcPr>
          <w:p w:rsidR="0008364E" w:rsidRPr="008E5027" w:rsidRDefault="0008364E" w:rsidP="005D4774">
            <w:pPr>
              <w:spacing w:before="80" w:after="80" w:line="200" w:lineRule="exact"/>
              <w:jc w:val="right"/>
              <w:rPr>
                <w:i/>
                <w:sz w:val="16"/>
              </w:rPr>
            </w:pPr>
          </w:p>
        </w:tc>
      </w:tr>
      <w:tr w:rsidR="0008364E" w:rsidRPr="008E5027">
        <w:tc>
          <w:tcPr>
            <w:tcW w:w="981" w:type="dxa"/>
            <w:tcBorders>
              <w:top w:val="single" w:sz="12" w:space="0" w:color="auto"/>
            </w:tcBorders>
            <w:shd w:val="clear" w:color="auto" w:fill="auto"/>
            <w:vAlign w:val="bottom"/>
          </w:tcPr>
          <w:p w:rsidR="0008364E" w:rsidRPr="008E5027" w:rsidRDefault="0008364E" w:rsidP="00134E25">
            <w:pPr>
              <w:suppressAutoHyphens w:val="0"/>
              <w:spacing w:before="40" w:after="40" w:line="220" w:lineRule="exact"/>
              <w:rPr>
                <w:sz w:val="18"/>
              </w:rPr>
            </w:pPr>
            <w:r w:rsidRPr="008E5027">
              <w:rPr>
                <w:sz w:val="18"/>
              </w:rPr>
              <w:t>2000</w:t>
            </w:r>
          </w:p>
        </w:tc>
        <w:tc>
          <w:tcPr>
            <w:tcW w:w="1437" w:type="dxa"/>
            <w:tcBorders>
              <w:top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792</w:t>
            </w:r>
          </w:p>
        </w:tc>
        <w:tc>
          <w:tcPr>
            <w:tcW w:w="1129" w:type="dxa"/>
            <w:tcBorders>
              <w:top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w:t>
            </w:r>
            <w:r w:rsidR="00675064">
              <w:rPr>
                <w:sz w:val="18"/>
              </w:rPr>
              <w:t>,</w:t>
            </w:r>
            <w:r w:rsidRPr="008E5027">
              <w:rPr>
                <w:sz w:val="18"/>
              </w:rPr>
              <w:t>4</w:t>
            </w:r>
          </w:p>
        </w:tc>
        <w:tc>
          <w:tcPr>
            <w:tcW w:w="1119" w:type="dxa"/>
            <w:tcBorders>
              <w:top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(12</w:t>
            </w:r>
            <w:r w:rsidR="00675064">
              <w:rPr>
                <w:sz w:val="18"/>
              </w:rPr>
              <w:t>,</w:t>
            </w:r>
            <w:r w:rsidRPr="008E5027">
              <w:rPr>
                <w:sz w:val="18"/>
              </w:rPr>
              <w:t>9)</w:t>
            </w:r>
          </w:p>
        </w:tc>
        <w:tc>
          <w:tcPr>
            <w:tcW w:w="1358" w:type="dxa"/>
            <w:tcBorders>
              <w:top w:val="single" w:sz="12" w:space="0" w:color="auto"/>
            </w:tcBorders>
            <w:shd w:val="clear" w:color="auto" w:fill="auto"/>
            <w:vAlign w:val="bottom"/>
          </w:tcPr>
          <w:p w:rsidR="0008364E" w:rsidRPr="008E5027" w:rsidRDefault="0008364E" w:rsidP="005D4774">
            <w:pPr>
              <w:spacing w:before="40" w:after="40" w:line="220" w:lineRule="exact"/>
              <w:jc w:val="right"/>
              <w:rPr>
                <w:sz w:val="18"/>
              </w:rPr>
            </w:pPr>
            <w:r w:rsidRPr="008E5027">
              <w:rPr>
                <w:sz w:val="18"/>
              </w:rPr>
              <w:t>58 176</w:t>
            </w:r>
          </w:p>
        </w:tc>
        <w:tc>
          <w:tcPr>
            <w:tcW w:w="1347" w:type="dxa"/>
            <w:tcBorders>
              <w:top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(6 161)</w:t>
            </w:r>
          </w:p>
        </w:tc>
      </w:tr>
      <w:tr w:rsidR="0008364E" w:rsidRPr="008E5027">
        <w:tc>
          <w:tcPr>
            <w:tcW w:w="981" w:type="dxa"/>
            <w:shd w:val="clear" w:color="auto" w:fill="auto"/>
            <w:vAlign w:val="bottom"/>
          </w:tcPr>
          <w:p w:rsidR="0008364E" w:rsidRPr="008E5027" w:rsidRDefault="0008364E" w:rsidP="00134E25">
            <w:pPr>
              <w:suppressAutoHyphens w:val="0"/>
              <w:spacing w:before="40" w:after="40" w:line="220" w:lineRule="exact"/>
              <w:rPr>
                <w:sz w:val="18"/>
              </w:rPr>
            </w:pPr>
            <w:r w:rsidRPr="008E5027">
              <w:rPr>
                <w:sz w:val="18"/>
              </w:rPr>
              <w:t>2001</w:t>
            </w:r>
          </w:p>
        </w:tc>
        <w:tc>
          <w:tcPr>
            <w:tcW w:w="1437"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885</w:t>
            </w:r>
          </w:p>
        </w:tc>
        <w:tc>
          <w:tcPr>
            <w:tcW w:w="1129"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w:t>
            </w:r>
            <w:r w:rsidR="00675064">
              <w:rPr>
                <w:sz w:val="18"/>
              </w:rPr>
              <w:t>,</w:t>
            </w:r>
            <w:r w:rsidRPr="008E5027">
              <w:rPr>
                <w:sz w:val="18"/>
              </w:rPr>
              <w:t>6</w:t>
            </w:r>
          </w:p>
        </w:tc>
        <w:tc>
          <w:tcPr>
            <w:tcW w:w="1119"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(14</w:t>
            </w:r>
            <w:r w:rsidR="00675064">
              <w:rPr>
                <w:sz w:val="18"/>
              </w:rPr>
              <w:t>,</w:t>
            </w:r>
            <w:r w:rsidRPr="008E5027">
              <w:rPr>
                <w:sz w:val="18"/>
              </w:rPr>
              <w:t>6)</w:t>
            </w:r>
          </w:p>
        </w:tc>
        <w:tc>
          <w:tcPr>
            <w:tcW w:w="1358" w:type="dxa"/>
            <w:shd w:val="clear" w:color="auto" w:fill="auto"/>
            <w:vAlign w:val="bottom"/>
          </w:tcPr>
          <w:p w:rsidR="0008364E" w:rsidRPr="008E5027" w:rsidRDefault="0008364E" w:rsidP="005D4774">
            <w:pPr>
              <w:spacing w:before="40" w:after="40" w:line="220" w:lineRule="exact"/>
              <w:jc w:val="right"/>
              <w:rPr>
                <w:sz w:val="18"/>
              </w:rPr>
            </w:pPr>
            <w:r w:rsidRPr="008E5027">
              <w:rPr>
                <w:sz w:val="18"/>
              </w:rPr>
              <w:t>55 906</w:t>
            </w:r>
          </w:p>
        </w:tc>
        <w:tc>
          <w:tcPr>
            <w:tcW w:w="1347"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(6 053)</w:t>
            </w:r>
          </w:p>
        </w:tc>
      </w:tr>
      <w:tr w:rsidR="0008364E" w:rsidRPr="008E5027">
        <w:tc>
          <w:tcPr>
            <w:tcW w:w="981" w:type="dxa"/>
            <w:shd w:val="clear" w:color="auto" w:fill="auto"/>
            <w:vAlign w:val="bottom"/>
          </w:tcPr>
          <w:p w:rsidR="0008364E" w:rsidRPr="008E5027" w:rsidRDefault="0008364E" w:rsidP="00134E25">
            <w:pPr>
              <w:suppressAutoHyphens w:val="0"/>
              <w:spacing w:before="40" w:after="40" w:line="220" w:lineRule="exact"/>
              <w:rPr>
                <w:sz w:val="18"/>
              </w:rPr>
            </w:pPr>
            <w:r w:rsidRPr="008E5027">
              <w:rPr>
                <w:sz w:val="18"/>
              </w:rPr>
              <w:t>2002</w:t>
            </w:r>
          </w:p>
        </w:tc>
        <w:tc>
          <w:tcPr>
            <w:tcW w:w="1437"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828</w:t>
            </w:r>
          </w:p>
        </w:tc>
        <w:tc>
          <w:tcPr>
            <w:tcW w:w="1129"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w:t>
            </w:r>
            <w:r w:rsidR="00675064">
              <w:rPr>
                <w:sz w:val="18"/>
              </w:rPr>
              <w:t>,</w:t>
            </w:r>
            <w:r w:rsidRPr="008E5027">
              <w:rPr>
                <w:sz w:val="18"/>
              </w:rPr>
              <w:t>5</w:t>
            </w:r>
          </w:p>
        </w:tc>
        <w:tc>
          <w:tcPr>
            <w:tcW w:w="1119"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(13</w:t>
            </w:r>
            <w:r w:rsidR="00675064">
              <w:rPr>
                <w:sz w:val="18"/>
              </w:rPr>
              <w:t>,</w:t>
            </w:r>
            <w:r w:rsidRPr="008E5027">
              <w:rPr>
                <w:sz w:val="18"/>
              </w:rPr>
              <w:t>8)</w:t>
            </w:r>
          </w:p>
        </w:tc>
        <w:tc>
          <w:tcPr>
            <w:tcW w:w="1358" w:type="dxa"/>
            <w:shd w:val="clear" w:color="auto" w:fill="auto"/>
            <w:vAlign w:val="bottom"/>
          </w:tcPr>
          <w:p w:rsidR="0008364E" w:rsidRPr="008E5027" w:rsidRDefault="0008364E" w:rsidP="005D4774">
            <w:pPr>
              <w:spacing w:before="40" w:after="40" w:line="220" w:lineRule="exact"/>
              <w:jc w:val="right"/>
              <w:rPr>
                <w:sz w:val="18"/>
              </w:rPr>
            </w:pPr>
            <w:r w:rsidRPr="008E5027">
              <w:rPr>
                <w:sz w:val="18"/>
              </w:rPr>
              <w:t>54 883</w:t>
            </w:r>
          </w:p>
        </w:tc>
        <w:tc>
          <w:tcPr>
            <w:tcW w:w="1347"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(5 979)</w:t>
            </w:r>
          </w:p>
        </w:tc>
      </w:tr>
      <w:tr w:rsidR="0008364E" w:rsidRPr="008E5027">
        <w:tc>
          <w:tcPr>
            <w:tcW w:w="981" w:type="dxa"/>
            <w:shd w:val="clear" w:color="auto" w:fill="auto"/>
            <w:vAlign w:val="bottom"/>
          </w:tcPr>
          <w:p w:rsidR="0008364E" w:rsidRPr="008E5027" w:rsidRDefault="0008364E" w:rsidP="00134E25">
            <w:pPr>
              <w:suppressAutoHyphens w:val="0"/>
              <w:spacing w:before="40" w:after="40" w:line="220" w:lineRule="exact"/>
              <w:rPr>
                <w:sz w:val="18"/>
              </w:rPr>
            </w:pPr>
            <w:r w:rsidRPr="008E5027">
              <w:rPr>
                <w:sz w:val="18"/>
              </w:rPr>
              <w:t>2003</w:t>
            </w:r>
          </w:p>
        </w:tc>
        <w:tc>
          <w:tcPr>
            <w:tcW w:w="1437"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888</w:t>
            </w:r>
          </w:p>
        </w:tc>
        <w:tc>
          <w:tcPr>
            <w:tcW w:w="1129"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w:t>
            </w:r>
            <w:r w:rsidR="00675064">
              <w:rPr>
                <w:sz w:val="18"/>
              </w:rPr>
              <w:t>,</w:t>
            </w:r>
            <w:r w:rsidRPr="008E5027">
              <w:rPr>
                <w:sz w:val="18"/>
              </w:rPr>
              <w:t>8</w:t>
            </w:r>
          </w:p>
        </w:tc>
        <w:tc>
          <w:tcPr>
            <w:tcW w:w="1119"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(15</w:t>
            </w:r>
            <w:r w:rsidR="00675064">
              <w:rPr>
                <w:sz w:val="18"/>
              </w:rPr>
              <w:t>,</w:t>
            </w:r>
            <w:r w:rsidRPr="008E5027">
              <w:rPr>
                <w:sz w:val="18"/>
              </w:rPr>
              <w:t>2)</w:t>
            </w:r>
          </w:p>
        </w:tc>
        <w:tc>
          <w:tcPr>
            <w:tcW w:w="1358" w:type="dxa"/>
            <w:shd w:val="clear" w:color="auto" w:fill="auto"/>
            <w:vAlign w:val="bottom"/>
          </w:tcPr>
          <w:p w:rsidR="0008364E" w:rsidRPr="008E5027" w:rsidRDefault="0008364E" w:rsidP="00134E25">
            <w:pPr>
              <w:spacing w:before="40" w:after="40" w:line="220" w:lineRule="exact"/>
              <w:jc w:val="right"/>
              <w:rPr>
                <w:sz w:val="18"/>
              </w:rPr>
            </w:pPr>
            <w:r w:rsidRPr="008E5027">
              <w:rPr>
                <w:sz w:val="18"/>
              </w:rPr>
              <w:t>50 587</w:t>
            </w:r>
          </w:p>
        </w:tc>
        <w:tc>
          <w:tcPr>
            <w:tcW w:w="1347" w:type="dxa"/>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(5 842)</w:t>
            </w:r>
          </w:p>
        </w:tc>
      </w:tr>
      <w:tr w:rsidR="0008364E" w:rsidRPr="008E5027">
        <w:tc>
          <w:tcPr>
            <w:tcW w:w="981" w:type="dxa"/>
            <w:tcBorders>
              <w:bottom w:val="single" w:sz="12" w:space="0" w:color="auto"/>
            </w:tcBorders>
            <w:shd w:val="clear" w:color="auto" w:fill="auto"/>
            <w:vAlign w:val="bottom"/>
          </w:tcPr>
          <w:p w:rsidR="0008364E" w:rsidRPr="008E5027" w:rsidRDefault="0008364E" w:rsidP="00134E25">
            <w:pPr>
              <w:suppressAutoHyphens w:val="0"/>
              <w:spacing w:before="40" w:after="40" w:line="220" w:lineRule="exact"/>
              <w:rPr>
                <w:sz w:val="18"/>
              </w:rPr>
            </w:pPr>
            <w:r w:rsidRPr="008E5027">
              <w:rPr>
                <w:sz w:val="18"/>
              </w:rPr>
              <w:t>2004</w:t>
            </w:r>
          </w:p>
        </w:tc>
        <w:tc>
          <w:tcPr>
            <w:tcW w:w="1437" w:type="dxa"/>
            <w:tcBorders>
              <w:bottom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911</w:t>
            </w:r>
          </w:p>
        </w:tc>
        <w:tc>
          <w:tcPr>
            <w:tcW w:w="1129" w:type="dxa"/>
            <w:tcBorders>
              <w:bottom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2</w:t>
            </w:r>
            <w:r w:rsidR="00675064">
              <w:rPr>
                <w:sz w:val="18"/>
              </w:rPr>
              <w:t>,</w:t>
            </w:r>
            <w:r w:rsidRPr="008E5027">
              <w:rPr>
                <w:sz w:val="18"/>
              </w:rPr>
              <w:t>0</w:t>
            </w:r>
          </w:p>
        </w:tc>
        <w:tc>
          <w:tcPr>
            <w:tcW w:w="1119" w:type="dxa"/>
            <w:tcBorders>
              <w:bottom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(17</w:t>
            </w:r>
            <w:r w:rsidR="00675064">
              <w:rPr>
                <w:sz w:val="18"/>
              </w:rPr>
              <w:t>,</w:t>
            </w:r>
            <w:r w:rsidRPr="008E5027">
              <w:rPr>
                <w:sz w:val="18"/>
              </w:rPr>
              <w:t>2)</w:t>
            </w:r>
          </w:p>
        </w:tc>
        <w:tc>
          <w:tcPr>
            <w:tcW w:w="1358" w:type="dxa"/>
            <w:tcBorders>
              <w:bottom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46 443</w:t>
            </w:r>
          </w:p>
        </w:tc>
        <w:tc>
          <w:tcPr>
            <w:tcW w:w="1347" w:type="dxa"/>
            <w:tcBorders>
              <w:bottom w:val="single" w:sz="12" w:space="0" w:color="auto"/>
            </w:tcBorders>
            <w:shd w:val="clear" w:color="auto" w:fill="auto"/>
            <w:vAlign w:val="bottom"/>
          </w:tcPr>
          <w:p w:rsidR="0008364E" w:rsidRPr="008E5027" w:rsidRDefault="0008364E" w:rsidP="005D4774">
            <w:pPr>
              <w:suppressAutoHyphens w:val="0"/>
              <w:spacing w:before="40" w:after="40" w:line="220" w:lineRule="exact"/>
              <w:jc w:val="right"/>
              <w:rPr>
                <w:sz w:val="18"/>
              </w:rPr>
            </w:pPr>
            <w:r w:rsidRPr="008E5027">
              <w:rPr>
                <w:sz w:val="18"/>
              </w:rPr>
              <w:t>(5 310)</w:t>
            </w:r>
          </w:p>
        </w:tc>
      </w:tr>
    </w:tbl>
    <w:p w:rsidR="00093F0A" w:rsidRPr="008E5027" w:rsidRDefault="00093F0A" w:rsidP="0029609B">
      <w:pPr>
        <w:spacing w:before="120"/>
        <w:ind w:left="1134" w:right="1134" w:firstLine="170"/>
        <w:rPr>
          <w:sz w:val="18"/>
          <w:szCs w:val="18"/>
        </w:rPr>
      </w:pPr>
      <w:r w:rsidRPr="008E5027">
        <w:rPr>
          <w:i/>
          <w:sz w:val="18"/>
          <w:szCs w:val="18"/>
        </w:rPr>
        <w:t>Notes</w:t>
      </w:r>
      <w:r w:rsidRPr="008E5027">
        <w:rPr>
          <w:sz w:val="18"/>
          <w:szCs w:val="18"/>
        </w:rPr>
        <w:t>:</w:t>
      </w:r>
      <w:r w:rsidR="0029609B" w:rsidRPr="008E5027">
        <w:rPr>
          <w:sz w:val="18"/>
          <w:szCs w:val="18"/>
        </w:rPr>
        <w:t xml:space="preserve"> </w:t>
      </w:r>
      <w:r w:rsidRPr="008E5027">
        <w:rPr>
          <w:sz w:val="18"/>
          <w:szCs w:val="18"/>
        </w:rPr>
        <w:t>1.</w:t>
      </w:r>
      <w:r w:rsidR="00675064">
        <w:rPr>
          <w:sz w:val="18"/>
          <w:szCs w:val="18"/>
        </w:rPr>
        <w:tab/>
      </w:r>
      <w:r w:rsidRPr="008E5027">
        <w:rPr>
          <w:i/>
          <w:sz w:val="18"/>
          <w:szCs w:val="18"/>
        </w:rPr>
        <w:t>Source</w:t>
      </w:r>
      <w:r w:rsidR="007A2D83" w:rsidRPr="00D35307">
        <w:rPr>
          <w:i/>
          <w:sz w:val="18"/>
          <w:szCs w:val="18"/>
        </w:rPr>
        <w:t>:</w:t>
      </w:r>
      <w:r w:rsidR="007A2D83" w:rsidRPr="008E5027">
        <w:rPr>
          <w:sz w:val="18"/>
          <w:szCs w:val="18"/>
        </w:rPr>
        <w:t xml:space="preserve"> </w:t>
      </w:r>
      <w:r w:rsidR="00A57029" w:rsidRPr="00A57029">
        <w:rPr>
          <w:sz w:val="18"/>
          <w:szCs w:val="18"/>
        </w:rPr>
        <w:t>Rapport annuel du bureau des statistiques de la justice</w:t>
      </w:r>
      <w:r w:rsidRPr="008E5027">
        <w:rPr>
          <w:sz w:val="18"/>
          <w:szCs w:val="18"/>
        </w:rPr>
        <w:t>.</w:t>
      </w:r>
    </w:p>
    <w:p w:rsidR="00093F0A" w:rsidRPr="00D74CA4" w:rsidRDefault="00675064" w:rsidP="00193EAB">
      <w:pPr>
        <w:ind w:left="1134" w:right="1134" w:firstLine="170"/>
        <w:rPr>
          <w:sz w:val="18"/>
          <w:szCs w:val="18"/>
          <w:lang w:val="es-ES"/>
        </w:rPr>
      </w:pPr>
      <w:r>
        <w:rPr>
          <w:sz w:val="18"/>
          <w:szCs w:val="18"/>
          <w:lang w:val="es-ES"/>
        </w:rPr>
        <w:t>2.</w:t>
      </w:r>
      <w:r>
        <w:rPr>
          <w:sz w:val="18"/>
          <w:szCs w:val="18"/>
          <w:lang w:val="es-ES"/>
        </w:rPr>
        <w:tab/>
      </w:r>
      <w:r w:rsidR="00A57029" w:rsidRPr="00D74CA4">
        <w:rPr>
          <w:sz w:val="18"/>
          <w:szCs w:val="18"/>
          <w:lang w:val="es-ES"/>
        </w:rPr>
        <w:t>Le pourcentage entre parenthèses indique le nombre de personnes ayant interjeté un appel interlocutoire par rapport au nombre total de placements en centre d</w:t>
      </w:r>
      <w:r w:rsidR="00277023">
        <w:rPr>
          <w:sz w:val="18"/>
          <w:szCs w:val="18"/>
          <w:lang w:val="es-ES"/>
        </w:rPr>
        <w:t>’</w:t>
      </w:r>
      <w:r w:rsidR="00A57029" w:rsidRPr="00D74CA4">
        <w:rPr>
          <w:sz w:val="18"/>
          <w:szCs w:val="18"/>
          <w:lang w:val="es-ES"/>
        </w:rPr>
        <w:t>éducation surveillée</w:t>
      </w:r>
      <w:r w:rsidR="00093F0A" w:rsidRPr="00D74CA4">
        <w:rPr>
          <w:sz w:val="18"/>
          <w:szCs w:val="18"/>
          <w:lang w:val="es-ES"/>
        </w:rPr>
        <w:t>.</w:t>
      </w:r>
    </w:p>
    <w:p w:rsidR="00093F0A" w:rsidRPr="00D74CA4" w:rsidRDefault="00675064" w:rsidP="00193EAB">
      <w:pPr>
        <w:ind w:left="1134" w:right="1134" w:firstLine="170"/>
        <w:rPr>
          <w:sz w:val="18"/>
          <w:szCs w:val="18"/>
          <w:lang w:val="es-ES"/>
        </w:rPr>
      </w:pPr>
      <w:r>
        <w:rPr>
          <w:sz w:val="18"/>
          <w:szCs w:val="18"/>
          <w:lang w:val="es-ES"/>
        </w:rPr>
        <w:t>3.</w:t>
      </w:r>
      <w:r>
        <w:rPr>
          <w:sz w:val="18"/>
          <w:szCs w:val="18"/>
          <w:lang w:val="es-ES"/>
        </w:rPr>
        <w:tab/>
      </w:r>
      <w:r w:rsidR="00A57029" w:rsidRPr="00D74CA4">
        <w:rPr>
          <w:sz w:val="18"/>
          <w:szCs w:val="18"/>
          <w:lang w:val="es-ES"/>
        </w:rPr>
        <w:t>Les appels interlocutoires sont des recours formés contre des décisions relatives à des mesures de protection prises à l</w:t>
      </w:r>
      <w:r w:rsidR="00277023">
        <w:rPr>
          <w:sz w:val="18"/>
          <w:szCs w:val="18"/>
          <w:lang w:val="es-ES"/>
        </w:rPr>
        <w:t>’</w:t>
      </w:r>
      <w:r w:rsidR="00A57029" w:rsidRPr="00D74CA4">
        <w:rPr>
          <w:sz w:val="18"/>
          <w:szCs w:val="18"/>
          <w:lang w:val="es-ES"/>
        </w:rPr>
        <w:t>encontre de prévenus quasi mineurs</w:t>
      </w:r>
      <w:r w:rsidR="00093F0A" w:rsidRPr="00D74CA4">
        <w:rPr>
          <w:sz w:val="18"/>
          <w:szCs w:val="18"/>
          <w:lang w:val="es-ES"/>
        </w:rPr>
        <w:t>.</w:t>
      </w:r>
    </w:p>
    <w:p w:rsidR="00A57029" w:rsidRPr="00A57029" w:rsidRDefault="00A57029" w:rsidP="00A57029">
      <w:pPr>
        <w:pStyle w:val="H23G"/>
        <w:rPr>
          <w:lang w:val="es-ES"/>
        </w:rPr>
      </w:pPr>
      <w:r w:rsidRPr="00D74CA4">
        <w:rPr>
          <w:lang w:val="es-ES"/>
        </w:rPr>
        <w:tab/>
      </w:r>
      <w:r>
        <w:rPr>
          <w:lang w:val="es-ES"/>
        </w:rPr>
        <w:t>c)</w:t>
      </w:r>
      <w:r>
        <w:rPr>
          <w:lang w:val="es-ES"/>
        </w:rPr>
        <w:tab/>
      </w:r>
      <w:r w:rsidRPr="00A57029">
        <w:rPr>
          <w:lang w:val="es-ES"/>
        </w:rPr>
        <w:t>Peines prononcées à l</w:t>
      </w:r>
      <w:r w:rsidR="00277023">
        <w:rPr>
          <w:lang w:val="es-ES"/>
        </w:rPr>
        <w:t>’</w:t>
      </w:r>
      <w:r w:rsidRPr="00A57029">
        <w:rPr>
          <w:lang w:val="es-ES"/>
        </w:rPr>
        <w:t>encontre de mineurs et en particulier interdiction de la peine capitale et de l</w:t>
      </w:r>
      <w:r w:rsidR="00277023">
        <w:rPr>
          <w:lang w:val="es-ES"/>
        </w:rPr>
        <w:t>’</w:t>
      </w:r>
      <w:r w:rsidRPr="00A57029">
        <w:rPr>
          <w:lang w:val="es-ES"/>
        </w:rPr>
        <w:t>emprisonnement à vie (</w:t>
      </w:r>
      <w:r w:rsidR="001262F9" w:rsidRPr="00A57029">
        <w:rPr>
          <w:lang w:val="es-ES"/>
        </w:rPr>
        <w:t xml:space="preserve">article </w:t>
      </w:r>
      <w:smartTag w:uri="urn:schemas-microsoft-com:office:smarttags" w:element="metricconverter">
        <w:smartTagPr>
          <w:attr w:name="ProductID" w:val="37 a"/>
        </w:smartTagPr>
        <w:r w:rsidRPr="00A57029">
          <w:rPr>
            <w:lang w:val="es-ES"/>
          </w:rPr>
          <w:t>37 a</w:t>
        </w:r>
      </w:smartTag>
      <w:r w:rsidRPr="00A57029">
        <w:rPr>
          <w:lang w:val="es-ES"/>
        </w:rPr>
        <w:t>))</w:t>
      </w:r>
    </w:p>
    <w:p w:rsidR="00A57029" w:rsidRPr="00A57029" w:rsidRDefault="00A57029" w:rsidP="00A57029">
      <w:pPr>
        <w:pStyle w:val="SingleTxtG"/>
      </w:pPr>
      <w:r w:rsidRPr="00A57029">
        <w:t>511.</w:t>
      </w:r>
      <w:r w:rsidRPr="00A57029">
        <w:tab/>
        <w:t xml:space="preserve">Voir paragraphes 441-442 du deuxième rapport du Japon. </w:t>
      </w:r>
    </w:p>
    <w:p w:rsidR="00A57029" w:rsidRPr="00D74CA4" w:rsidRDefault="00A57029" w:rsidP="00A57029">
      <w:pPr>
        <w:pStyle w:val="SingleTxtG"/>
        <w:rPr>
          <w:lang w:val="es-ES"/>
        </w:rPr>
      </w:pPr>
      <w:r w:rsidRPr="00A57029">
        <w:t>512.</w:t>
      </w:r>
      <w:r w:rsidRPr="00A57029">
        <w:tab/>
      </w:r>
      <w:smartTag w:uri="urn:schemas-microsoft-com:office:smarttags" w:element="place">
        <w:smartTag w:uri="urn:schemas-microsoft-com:office:smarttags" w:element="City">
          <w:r w:rsidRPr="00A57029">
            <w:t>Au Japon</w:t>
          </w:r>
        </w:smartTag>
        <w:r w:rsidRPr="00A57029">
          <w:t xml:space="preserve">, </w:t>
        </w:r>
        <w:smartTag w:uri="urn:schemas-microsoft-com:office:smarttags" w:element="State">
          <w:r w:rsidRPr="00A57029">
            <w:t>il</w:t>
          </w:r>
        </w:smartTag>
      </w:smartTag>
      <w:r w:rsidRPr="00A57029">
        <w:t xml:space="preserve"> ne peut y avoir de condamnation à l</w:t>
      </w:r>
      <w:r w:rsidR="00277023">
        <w:t>’</w:t>
      </w:r>
      <w:r w:rsidRPr="00A57029">
        <w:t xml:space="preserve">emprisonnement à vie sans possibilité de libération conditionnelle, et de même un mineur ne peut encourir la peine capitale. Si une personne condamnée à la réclusion criminelle à perpétuité ou à une peine de prison sans travaux forcés exprime sa contrition, </w:t>
      </w:r>
      <w:smartTag w:uri="urn:schemas-microsoft-com:office:smarttags" w:element="PersonName">
        <w:smartTagPr>
          <w:attr w:name="ProductID" w:val="la Commission"/>
        </w:smartTagPr>
        <w:r w:rsidRPr="00A57029">
          <w:t>la Commission</w:t>
        </w:r>
      </w:smartTag>
      <w:r w:rsidRPr="00A57029">
        <w:t xml:space="preserve"> régionale des libérations conditionnelles peut, conformément à l</w:t>
      </w:r>
      <w:r w:rsidR="00277023">
        <w:t>’</w:t>
      </w:r>
      <w:r w:rsidRPr="00A57029">
        <w:t xml:space="preserve">article 28 du Code pénal, autoriser une libération conditionnelle après dix ans de détention, en application des dispositions de </w:t>
      </w:r>
      <w:smartTag w:uri="urn:schemas-microsoft-com:office:smarttags" w:element="PersonName">
        <w:smartTagPr>
          <w:attr w:name="ProductID" w:val="la Loi"/>
        </w:smartTagPr>
        <w:r w:rsidRPr="00A57029">
          <w:t>la Loi</w:t>
        </w:r>
      </w:smartTag>
      <w:r w:rsidRPr="00A57029">
        <w:t xml:space="preserve"> relative aux mesures de prévention et de réadaptation concernant les délinquants. Une disposition spéciale concerne les mineurs quant la période qui doit s</w:t>
      </w:r>
      <w:r w:rsidR="00277023">
        <w:t>’</w:t>
      </w:r>
      <w:r w:rsidRPr="00A57029">
        <w:t xml:space="preserve">écouler avant de pouvoir prétendre à une libération conditionnelle. </w:t>
      </w:r>
      <w:r w:rsidRPr="00D74CA4">
        <w:rPr>
          <w:lang w:val="es-ES"/>
        </w:rPr>
        <w:t>Ainsi, sachant que les jeunes sont malléables et peuvent s</w:t>
      </w:r>
      <w:r w:rsidR="00277023">
        <w:rPr>
          <w:lang w:val="es-ES"/>
        </w:rPr>
        <w:t>’</w:t>
      </w:r>
      <w:r w:rsidRPr="00D74CA4">
        <w:rPr>
          <w:lang w:val="es-ES"/>
        </w:rPr>
        <w:t>améliorer grâce à une approche adaptée, un détenu âgé de moins de 20 ans au moment du prononcé de la peine à la réclusion criminelle à perpétuité à vie pourra prétendre à une libération conditionnelle au bout de 7 ans au lieu des 10 ans prévus pour les adultes, conformément au premier paragraphe de l</w:t>
      </w:r>
      <w:r w:rsidR="00277023">
        <w:rPr>
          <w:lang w:val="es-ES"/>
        </w:rPr>
        <w:t>’</w:t>
      </w:r>
      <w:r w:rsidRPr="00D74CA4">
        <w:rPr>
          <w:lang w:val="es-ES"/>
        </w:rPr>
        <w:t xml:space="preserve">article 58 de </w:t>
      </w:r>
      <w:smartTag w:uri="urn:schemas-microsoft-com:office:smarttags" w:element="PersonName">
        <w:smartTagPr>
          <w:attr w:name="ProductID" w:val="la Loi"/>
        </w:smartTagPr>
        <w:r w:rsidRPr="00D74CA4">
          <w:rPr>
            <w:lang w:val="es-ES"/>
          </w:rPr>
          <w:t>la Loi</w:t>
        </w:r>
      </w:smartTag>
      <w:r w:rsidRPr="00D74CA4">
        <w:rPr>
          <w:lang w:val="es-ES"/>
        </w:rPr>
        <w:t xml:space="preserve"> relative aux mineurs, sauf si le détenu à été condamné à la réclusion criminelle à perpétuité en application du premier paragraphe de l</w:t>
      </w:r>
      <w:r w:rsidR="00277023">
        <w:rPr>
          <w:lang w:val="es-ES"/>
        </w:rPr>
        <w:t>’</w:t>
      </w:r>
      <w:r w:rsidRPr="00D74CA4">
        <w:rPr>
          <w:lang w:val="es-ES"/>
        </w:rPr>
        <w:t xml:space="preserve">article 51 de </w:t>
      </w:r>
      <w:smartTag w:uri="urn:schemas-microsoft-com:office:smarttags" w:element="PersonName">
        <w:smartTagPr>
          <w:attr w:name="ProductID" w:val="la Loi"/>
        </w:smartTagPr>
        <w:r w:rsidRPr="00D74CA4">
          <w:rPr>
            <w:lang w:val="es-ES"/>
          </w:rPr>
          <w:t>la Loi</w:t>
        </w:r>
      </w:smartTag>
      <w:r w:rsidRPr="00D74CA4">
        <w:rPr>
          <w:lang w:val="es-ES"/>
        </w:rPr>
        <w:t xml:space="preserve"> relative aux mineurs.</w:t>
      </w:r>
    </w:p>
    <w:p w:rsidR="00A57029" w:rsidRPr="00D74CA4" w:rsidRDefault="00A57029" w:rsidP="00A57029">
      <w:pPr>
        <w:pStyle w:val="H23G"/>
        <w:rPr>
          <w:lang w:val="es-ES"/>
        </w:rPr>
      </w:pPr>
      <w:r w:rsidRPr="00D74CA4">
        <w:rPr>
          <w:lang w:val="es-ES"/>
        </w:rPr>
        <w:tab/>
        <w:t>d)</w:t>
      </w:r>
      <w:r w:rsidRPr="00D74CA4">
        <w:rPr>
          <w:lang w:val="es-ES"/>
        </w:rPr>
        <w:tab/>
        <w:t>Réadaptation physique et psychologique et réinsertion sociale d</w:t>
      </w:r>
      <w:r w:rsidR="00277023">
        <w:rPr>
          <w:lang w:val="es-ES"/>
        </w:rPr>
        <w:t>’</w:t>
      </w:r>
      <w:r w:rsidRPr="00D74CA4">
        <w:rPr>
          <w:lang w:val="es-ES"/>
        </w:rPr>
        <w:t>un enfant (</w:t>
      </w:r>
      <w:r w:rsidR="001262F9" w:rsidRPr="00D74CA4">
        <w:rPr>
          <w:lang w:val="es-ES"/>
        </w:rPr>
        <w:t xml:space="preserve">article </w:t>
      </w:r>
      <w:r w:rsidRPr="00D74CA4">
        <w:rPr>
          <w:lang w:val="es-ES"/>
        </w:rPr>
        <w:t>39)</w:t>
      </w:r>
    </w:p>
    <w:p w:rsidR="00A57029" w:rsidRPr="00D74CA4" w:rsidRDefault="00A57029" w:rsidP="00A57029">
      <w:pPr>
        <w:pStyle w:val="SingleTxtG"/>
        <w:rPr>
          <w:lang w:val="es-ES"/>
        </w:rPr>
      </w:pPr>
      <w:r w:rsidRPr="00D74CA4">
        <w:rPr>
          <w:lang w:val="es-ES"/>
        </w:rPr>
        <w:t>(Protection des victimes mineures)</w:t>
      </w:r>
    </w:p>
    <w:p w:rsidR="00A57029" w:rsidRPr="00D74CA4" w:rsidRDefault="00A57029" w:rsidP="00A57029">
      <w:pPr>
        <w:pStyle w:val="SingleTxtG"/>
        <w:rPr>
          <w:lang w:val="es-ES"/>
        </w:rPr>
      </w:pPr>
      <w:r w:rsidRPr="00D74CA4">
        <w:rPr>
          <w:lang w:val="es-ES"/>
        </w:rPr>
        <w:t>513.</w:t>
      </w:r>
      <w:r w:rsidRPr="00D74CA4">
        <w:rPr>
          <w:lang w:val="es-ES"/>
        </w:rPr>
        <w:tab/>
        <w:t xml:space="preserve">Voir paragraphes 443-445 du deuxième rapport du Japon. </w:t>
      </w:r>
    </w:p>
    <w:p w:rsidR="00A57029" w:rsidRPr="00A57029" w:rsidRDefault="00A57029" w:rsidP="00A57029">
      <w:pPr>
        <w:pStyle w:val="SingleTxtG"/>
        <w:rPr>
          <w:lang w:val="es-ES"/>
        </w:rPr>
      </w:pPr>
      <w:r w:rsidRPr="00A57029">
        <w:rPr>
          <w:lang w:val="es-ES"/>
        </w:rPr>
        <w:t xml:space="preserve">(Soins dispensés en vertu de </w:t>
      </w:r>
      <w:smartTag w:uri="urn:schemas-microsoft-com:office:smarttags" w:element="PersonName">
        <w:smartTagPr>
          <w:attr w:name="ProductID" w:val="la Loi"/>
        </w:smartTagPr>
        <w:r w:rsidRPr="00A57029">
          <w:rPr>
            <w:lang w:val="es-ES"/>
          </w:rPr>
          <w:t>la Loi</w:t>
        </w:r>
      </w:smartTag>
      <w:r w:rsidRPr="00A57029">
        <w:rPr>
          <w:lang w:val="es-ES"/>
        </w:rPr>
        <w:t xml:space="preserve"> sur la protection de l</w:t>
      </w:r>
      <w:r w:rsidR="00277023">
        <w:rPr>
          <w:lang w:val="es-ES"/>
        </w:rPr>
        <w:t>’</w:t>
      </w:r>
      <w:r w:rsidRPr="00A57029">
        <w:rPr>
          <w:lang w:val="es-ES"/>
        </w:rPr>
        <w:t>enfance)</w:t>
      </w:r>
    </w:p>
    <w:p w:rsidR="00A57029" w:rsidRPr="00D74CA4" w:rsidRDefault="00A57029" w:rsidP="00A57029">
      <w:pPr>
        <w:pStyle w:val="SingleTxtG"/>
        <w:rPr>
          <w:lang w:val="es-ES"/>
        </w:rPr>
      </w:pPr>
      <w:r w:rsidRPr="00A57029">
        <w:rPr>
          <w:lang w:val="es-ES"/>
        </w:rPr>
        <w:t>514.</w:t>
      </w:r>
      <w:r w:rsidRPr="00A57029">
        <w:rPr>
          <w:lang w:val="es-ES"/>
        </w:rPr>
        <w:tab/>
        <w:t>Les établissements d</w:t>
      </w:r>
      <w:r w:rsidR="00277023">
        <w:rPr>
          <w:lang w:val="es-ES"/>
        </w:rPr>
        <w:t>’</w:t>
      </w:r>
      <w:r w:rsidRPr="00A57029">
        <w:rPr>
          <w:lang w:val="es-ES"/>
        </w:rPr>
        <w:t>aide à l</w:t>
      </w:r>
      <w:r w:rsidR="00277023">
        <w:rPr>
          <w:lang w:val="es-ES"/>
        </w:rPr>
        <w:t>’</w:t>
      </w:r>
      <w:r w:rsidRPr="00A57029">
        <w:rPr>
          <w:lang w:val="es-ES"/>
        </w:rPr>
        <w:t>autonomie (services visant à aider les jeunes à devenir autonomes) encouragent l</w:t>
      </w:r>
      <w:r w:rsidR="00277023">
        <w:rPr>
          <w:lang w:val="es-ES"/>
        </w:rPr>
        <w:t>’</w:t>
      </w:r>
      <w:r w:rsidRPr="00A57029">
        <w:rPr>
          <w:lang w:val="es-ES"/>
        </w:rPr>
        <w:t>indépendance sociale en offrant des conseils sur la vie en collectivité et d</w:t>
      </w:r>
      <w:r w:rsidR="00277023">
        <w:rPr>
          <w:lang w:val="es-ES"/>
        </w:rPr>
        <w:t>’</w:t>
      </w:r>
      <w:r w:rsidRPr="00A57029">
        <w:rPr>
          <w:lang w:val="es-ES"/>
        </w:rPr>
        <w:t>autres relatifs aux modes de vie aux mineurs sortis des foyers nationaux pour la formation et l</w:t>
      </w:r>
      <w:r w:rsidR="00277023">
        <w:rPr>
          <w:lang w:val="es-ES"/>
        </w:rPr>
        <w:t>’</w:t>
      </w:r>
      <w:r w:rsidRPr="00A57029">
        <w:rPr>
          <w:lang w:val="es-ES"/>
        </w:rPr>
        <w:t xml:space="preserve">éducation des mineurs. </w:t>
      </w:r>
      <w:r w:rsidRPr="00D74CA4">
        <w:rPr>
          <w:lang w:val="es-ES"/>
        </w:rPr>
        <w:t>S</w:t>
      </w:r>
      <w:r w:rsidR="00277023">
        <w:rPr>
          <w:lang w:val="es-ES"/>
        </w:rPr>
        <w:t>’</w:t>
      </w:r>
      <w:r w:rsidRPr="00D74CA4">
        <w:rPr>
          <w:lang w:val="es-ES"/>
        </w:rPr>
        <w:t>agissant de l</w:t>
      </w:r>
      <w:r w:rsidR="00277023">
        <w:rPr>
          <w:lang w:val="es-ES"/>
        </w:rPr>
        <w:t>’</w:t>
      </w:r>
      <w:r w:rsidRPr="00D74CA4">
        <w:rPr>
          <w:lang w:val="es-ES"/>
        </w:rPr>
        <w:t>amélioration et de l</w:t>
      </w:r>
      <w:r w:rsidR="00277023">
        <w:rPr>
          <w:lang w:val="es-ES"/>
        </w:rPr>
        <w:t>’</w:t>
      </w:r>
      <w:r w:rsidRPr="00D74CA4">
        <w:rPr>
          <w:lang w:val="es-ES"/>
        </w:rPr>
        <w:t>augmentation de ces établissements d</w:t>
      </w:r>
      <w:r w:rsidR="00277023">
        <w:rPr>
          <w:lang w:val="es-ES"/>
        </w:rPr>
        <w:t>’</w:t>
      </w:r>
      <w:r w:rsidRPr="00D74CA4">
        <w:rPr>
          <w:lang w:val="es-ES"/>
        </w:rPr>
        <w:t>aide à l</w:t>
      </w:r>
      <w:r w:rsidR="00277023">
        <w:rPr>
          <w:lang w:val="es-ES"/>
        </w:rPr>
        <w:t>’</w:t>
      </w:r>
      <w:r w:rsidRPr="00D74CA4">
        <w:rPr>
          <w:lang w:val="es-ES"/>
        </w:rPr>
        <w:t>autonomie, les objectifs ont été fixés dans le Plan d</w:t>
      </w:r>
      <w:r w:rsidR="00277023">
        <w:rPr>
          <w:lang w:val="es-ES"/>
        </w:rPr>
        <w:t>’</w:t>
      </w:r>
      <w:r w:rsidRPr="00D74CA4">
        <w:rPr>
          <w:lang w:val="es-ES"/>
        </w:rPr>
        <w:t>aide à l</w:t>
      </w:r>
      <w:r w:rsidR="00277023">
        <w:rPr>
          <w:lang w:val="es-ES"/>
        </w:rPr>
        <w:t>’</w:t>
      </w:r>
      <w:r w:rsidRPr="00D74CA4">
        <w:rPr>
          <w:lang w:val="es-ES"/>
        </w:rPr>
        <w:t>enfance et des actions sont menées pour les réaliser.</w:t>
      </w:r>
    </w:p>
    <w:p w:rsidR="00A57029" w:rsidRPr="00D74CA4" w:rsidRDefault="00A57029" w:rsidP="00A57029">
      <w:pPr>
        <w:pStyle w:val="H1G"/>
        <w:rPr>
          <w:lang w:val="es-ES"/>
        </w:rPr>
      </w:pPr>
      <w:r w:rsidRPr="00D74CA4">
        <w:rPr>
          <w:lang w:val="es-ES"/>
        </w:rPr>
        <w:tab/>
        <w:t>C.</w:t>
      </w:r>
      <w:r w:rsidRPr="00D74CA4">
        <w:rPr>
          <w:lang w:val="es-ES"/>
        </w:rPr>
        <w:tab/>
        <w:t>Enfants en situation d</w:t>
      </w:r>
      <w:r w:rsidR="00277023">
        <w:rPr>
          <w:lang w:val="es-ES"/>
        </w:rPr>
        <w:t>’</w:t>
      </w:r>
      <w:r w:rsidRPr="00D74CA4">
        <w:rPr>
          <w:lang w:val="es-ES"/>
        </w:rPr>
        <w:t>exploitation – réadaptation physique et psychologique et réinsertion sociale</w:t>
      </w:r>
    </w:p>
    <w:p w:rsidR="00A57029" w:rsidRPr="00D74CA4" w:rsidRDefault="00A57029" w:rsidP="00A57029">
      <w:pPr>
        <w:pStyle w:val="H23G"/>
        <w:rPr>
          <w:lang w:val="es-ES"/>
        </w:rPr>
      </w:pPr>
      <w:r w:rsidRPr="00D74CA4">
        <w:rPr>
          <w:lang w:val="es-ES"/>
        </w:rPr>
        <w:tab/>
        <w:t>a)</w:t>
      </w:r>
      <w:r w:rsidRPr="00D74CA4">
        <w:rPr>
          <w:lang w:val="es-ES"/>
        </w:rPr>
        <w:tab/>
        <w:t>Exploitation économique et travail des enfants (article 32)</w:t>
      </w:r>
    </w:p>
    <w:p w:rsidR="00A57029" w:rsidRPr="00D74CA4" w:rsidRDefault="00A57029" w:rsidP="00A57029">
      <w:pPr>
        <w:pStyle w:val="SingleTxtG"/>
        <w:rPr>
          <w:lang w:val="es-ES"/>
        </w:rPr>
      </w:pPr>
      <w:r w:rsidRPr="00D74CA4">
        <w:rPr>
          <w:lang w:val="es-ES"/>
        </w:rPr>
        <w:t>(a-1) Exploitation économique des enfants</w:t>
      </w:r>
    </w:p>
    <w:p w:rsidR="00A57029" w:rsidRPr="00D74CA4" w:rsidRDefault="00A57029" w:rsidP="00A57029">
      <w:pPr>
        <w:pStyle w:val="SingleTxtG"/>
        <w:rPr>
          <w:lang w:val="es-ES"/>
        </w:rPr>
      </w:pPr>
      <w:r w:rsidRPr="00D74CA4">
        <w:rPr>
          <w:lang w:val="es-ES"/>
        </w:rPr>
        <w:t>(Interdiction de l</w:t>
      </w:r>
      <w:r w:rsidR="00277023">
        <w:rPr>
          <w:lang w:val="es-ES"/>
        </w:rPr>
        <w:t>’</w:t>
      </w:r>
      <w:r w:rsidRPr="00D74CA4">
        <w:rPr>
          <w:lang w:val="es-ES"/>
        </w:rPr>
        <w:t>exploitation économique et de l</w:t>
      </w:r>
      <w:r w:rsidR="00277023">
        <w:rPr>
          <w:lang w:val="es-ES"/>
        </w:rPr>
        <w:t>’</w:t>
      </w:r>
      <w:r w:rsidRPr="00D74CA4">
        <w:rPr>
          <w:lang w:val="es-ES"/>
        </w:rPr>
        <w:t>exercice d</w:t>
      </w:r>
      <w:r w:rsidR="00277023">
        <w:rPr>
          <w:lang w:val="es-ES"/>
        </w:rPr>
        <w:t>’</w:t>
      </w:r>
      <w:r w:rsidRPr="00D74CA4">
        <w:rPr>
          <w:lang w:val="es-ES"/>
        </w:rPr>
        <w:t>un travail susceptible de nuire au développement d</w:t>
      </w:r>
      <w:r w:rsidR="00277023">
        <w:rPr>
          <w:lang w:val="es-ES"/>
        </w:rPr>
        <w:t>’</w:t>
      </w:r>
      <w:r w:rsidRPr="00D74CA4">
        <w:rPr>
          <w:lang w:val="es-ES"/>
        </w:rPr>
        <w:t>un enfant)</w:t>
      </w:r>
    </w:p>
    <w:p w:rsidR="00A57029" w:rsidRPr="00A57029" w:rsidRDefault="00A57029" w:rsidP="00A57029">
      <w:pPr>
        <w:pStyle w:val="SingleTxtG"/>
      </w:pPr>
      <w:r w:rsidRPr="00A57029">
        <w:t>515.</w:t>
      </w:r>
      <w:r w:rsidRPr="00A57029">
        <w:tab/>
        <w:t xml:space="preserve">Voir paragraphes 447-449 du deuxième rapport du Japon. </w:t>
      </w:r>
    </w:p>
    <w:p w:rsidR="00A57029" w:rsidRPr="00A57029" w:rsidRDefault="00A57029" w:rsidP="00A57029">
      <w:pPr>
        <w:pStyle w:val="SingleTxtG"/>
      </w:pPr>
      <w:r w:rsidRPr="00A57029">
        <w:t>(Activités interdites dans l</w:t>
      </w:r>
      <w:r w:rsidR="00277023">
        <w:t>’</w:t>
      </w:r>
      <w:r w:rsidRPr="00A57029">
        <w:t xml:space="preserve">industrie du spectacle) </w:t>
      </w:r>
    </w:p>
    <w:p w:rsidR="00A57029" w:rsidRPr="00A57029" w:rsidRDefault="00A57029" w:rsidP="00A57029">
      <w:pPr>
        <w:pStyle w:val="SingleTxtG"/>
      </w:pPr>
      <w:r w:rsidRPr="00A57029">
        <w:t>516.</w:t>
      </w:r>
      <w:r w:rsidRPr="00A57029">
        <w:tab/>
        <w:t xml:space="preserve">Voir paragraphes 450-451 du deuxième rapport du Japon. </w:t>
      </w:r>
    </w:p>
    <w:p w:rsidR="00A57029" w:rsidRPr="00D74CA4" w:rsidRDefault="00A57029" w:rsidP="00A57029">
      <w:pPr>
        <w:pStyle w:val="SingleTxtG"/>
        <w:rPr>
          <w:lang w:val="es-ES"/>
        </w:rPr>
      </w:pPr>
      <w:r w:rsidRPr="00277023">
        <w:t>517.</w:t>
      </w:r>
      <w:r w:rsidRPr="00277023">
        <w:tab/>
      </w:r>
      <w:smartTag w:uri="urn:schemas-microsoft-com:office:smarttags" w:element="PersonName">
        <w:smartTagPr>
          <w:attr w:name="ProductID" w:val="la Loi"/>
        </w:smartTagPr>
        <w:r w:rsidRPr="00277023">
          <w:t>La Loi</w:t>
        </w:r>
      </w:smartTag>
      <w:r w:rsidRPr="00277023">
        <w:t xml:space="preserve"> sur le contrôle et l</w:t>
      </w:r>
      <w:r w:rsidR="00277023" w:rsidRPr="00277023">
        <w:t>’</w:t>
      </w:r>
      <w:r w:rsidRPr="00277023">
        <w:t>amélioration de l</w:t>
      </w:r>
      <w:r w:rsidR="00277023" w:rsidRPr="00277023">
        <w:t>’</w:t>
      </w:r>
      <w:r w:rsidRPr="00277023">
        <w:t>industrie du spectacle et des loisirs interdit aux organisateurs de spectacles et de loisirs</w:t>
      </w:r>
      <w:r w:rsidR="00EA1115" w:rsidRPr="00277023">
        <w:t xml:space="preserve"> </w:t>
      </w:r>
      <w:r w:rsidRPr="00277023">
        <w:t>d</w:t>
      </w:r>
      <w:r w:rsidR="00277023" w:rsidRPr="00277023">
        <w:t>’</w:t>
      </w:r>
      <w:r w:rsidRPr="00277023">
        <w:t>engager des personnes âgées de moins de 18 ans pour des emplois impliquant de divertir des clients et de danser avec eux, ou d</w:t>
      </w:r>
      <w:r w:rsidR="00277023" w:rsidRPr="00277023">
        <w:t>’</w:t>
      </w:r>
      <w:r w:rsidRPr="00277023">
        <w:t xml:space="preserve">être à leur service de 22 heures au lendemain matin. </w:t>
      </w:r>
      <w:smartTag w:uri="urn:schemas-microsoft-com:office:smarttags" w:element="PersonName">
        <w:smartTagPr>
          <w:attr w:name="ProductID" w:val="la Loi"/>
        </w:smartTagPr>
        <w:r w:rsidRPr="00A57029">
          <w:t>La Loi</w:t>
        </w:r>
      </w:smartTag>
      <w:r w:rsidRPr="00A57029">
        <w:t xml:space="preserve"> interdit également les activités pouvant nuire au bon développement des mineurs en interdisant aux organisateurs d</w:t>
      </w:r>
      <w:r w:rsidR="00277023">
        <w:t>’</w:t>
      </w:r>
      <w:r w:rsidRPr="00A57029">
        <w:t>activités spéciales liées au sexe d</w:t>
      </w:r>
      <w:r w:rsidR="00277023">
        <w:t>’</w:t>
      </w:r>
      <w:r w:rsidRPr="00A57029">
        <w:t>engager des mineurs de moins de 18 ans pour des emplois demandant d</w:t>
      </w:r>
      <w:r w:rsidR="00277023">
        <w:t>’</w:t>
      </w:r>
      <w:r w:rsidRPr="00A57029">
        <w:t>être au service des clients sur le lieu de l</w:t>
      </w:r>
      <w:r w:rsidR="00277023">
        <w:t>’</w:t>
      </w:r>
      <w:r w:rsidRPr="00A57029">
        <w:t xml:space="preserve">activité. </w:t>
      </w:r>
      <w:r w:rsidRPr="00D74CA4">
        <w:rPr>
          <w:lang w:val="es-ES"/>
        </w:rPr>
        <w:t xml:space="preserve">En octobre 2005, </w:t>
      </w:r>
      <w:smartTag w:uri="urn:schemas-microsoft-com:office:smarttags" w:element="PersonName">
        <w:smartTagPr>
          <w:attr w:name="ProductID" w:val="la Loi"/>
        </w:smartTagPr>
        <w:r w:rsidRPr="00D74CA4">
          <w:rPr>
            <w:lang w:val="es-ES"/>
          </w:rPr>
          <w:t>la Loi</w:t>
        </w:r>
      </w:smartTag>
      <w:r w:rsidRPr="00D74CA4">
        <w:rPr>
          <w:lang w:val="es-ES"/>
        </w:rPr>
        <w:t xml:space="preserve"> a été partiellement modifiée et les peines encourues pour ces actes illégaux ont été alourdies. </w:t>
      </w:r>
    </w:p>
    <w:p w:rsidR="00A57029" w:rsidRPr="001262F9" w:rsidRDefault="00A57029" w:rsidP="00A57029">
      <w:pPr>
        <w:pStyle w:val="SingleTxtG"/>
        <w:rPr>
          <w:lang w:val="es-ES"/>
        </w:rPr>
      </w:pPr>
      <w:r w:rsidRPr="001262F9">
        <w:rPr>
          <w:lang w:val="es-ES"/>
        </w:rPr>
        <w:t xml:space="preserve">(Travaux dangereux considérés comme des infractions à </w:t>
      </w:r>
      <w:smartTag w:uri="urn:schemas-microsoft-com:office:smarttags" w:element="PersonName">
        <w:smartTagPr>
          <w:attr w:name="ProductID" w:val="la Loi"/>
        </w:smartTagPr>
        <w:r w:rsidRPr="001262F9">
          <w:rPr>
            <w:lang w:val="es-ES"/>
          </w:rPr>
          <w:t>la Loi</w:t>
        </w:r>
      </w:smartTag>
      <w:r w:rsidRPr="001262F9">
        <w:rPr>
          <w:lang w:val="es-ES"/>
        </w:rPr>
        <w:t xml:space="preserve"> sur la protection de l</w:t>
      </w:r>
      <w:r w:rsidR="00277023">
        <w:rPr>
          <w:lang w:val="es-ES"/>
        </w:rPr>
        <w:t>’</w:t>
      </w:r>
      <w:r w:rsidRPr="001262F9">
        <w:rPr>
          <w:lang w:val="es-ES"/>
        </w:rPr>
        <w:t>enfance)</w:t>
      </w:r>
    </w:p>
    <w:p w:rsidR="00A57029" w:rsidRPr="00A57029" w:rsidRDefault="00A57029" w:rsidP="00A57029">
      <w:pPr>
        <w:pStyle w:val="SingleTxtG"/>
      </w:pPr>
      <w:r w:rsidRPr="00A57029">
        <w:t>518.</w:t>
      </w:r>
      <w:r w:rsidRPr="00A57029">
        <w:tab/>
        <w:t xml:space="preserve">Voir paragraphes 452-453 du deuxième rapport du Japon. </w:t>
      </w:r>
    </w:p>
    <w:p w:rsidR="00093F0A" w:rsidRPr="00A57029" w:rsidRDefault="00A57029" w:rsidP="00A57029">
      <w:pPr>
        <w:pStyle w:val="SingleTxtG"/>
        <w:rPr>
          <w:lang w:val="es-ES"/>
        </w:rPr>
      </w:pPr>
      <w:r w:rsidRPr="001262F9">
        <w:rPr>
          <w:lang w:val="es-ES"/>
        </w:rPr>
        <w:t>519.</w:t>
      </w:r>
      <w:r w:rsidRPr="001262F9">
        <w:rPr>
          <w:lang w:val="es-ES"/>
        </w:rPr>
        <w:tab/>
        <w:t>Il existe 30 lois et ordonnances qui contiennent des dispositions relatives aux mauvais traitements, à l</w:t>
      </w:r>
      <w:r w:rsidR="00277023">
        <w:rPr>
          <w:lang w:val="es-ES"/>
        </w:rPr>
        <w:t>’</w:t>
      </w:r>
      <w:r w:rsidRPr="001262F9">
        <w:rPr>
          <w:lang w:val="es-ES"/>
        </w:rPr>
        <w:t>exploitation et à d</w:t>
      </w:r>
      <w:r w:rsidR="00277023">
        <w:rPr>
          <w:lang w:val="es-ES"/>
        </w:rPr>
        <w:t>’</w:t>
      </w:r>
      <w:r w:rsidRPr="001262F9">
        <w:rPr>
          <w:lang w:val="es-ES"/>
        </w:rPr>
        <w:t xml:space="preserve">autres infractions nuisibles au bien-être des mineurs ou ayant sur eux une influence négative, comme </w:t>
      </w:r>
      <w:smartTag w:uri="urn:schemas-microsoft-com:office:smarttags" w:element="PersonName">
        <w:smartTagPr>
          <w:attr w:name="ProductID" w:val="la Loi"/>
        </w:smartTagPr>
        <w:r w:rsidRPr="001262F9">
          <w:rPr>
            <w:lang w:val="es-ES"/>
          </w:rPr>
          <w:t>la Loi</w:t>
        </w:r>
      </w:smartTag>
      <w:r w:rsidRPr="001262F9">
        <w:rPr>
          <w:lang w:val="es-ES"/>
        </w:rPr>
        <w:t xml:space="preserve"> interdisant la prostitution enfantine et la pornographie mettant en scène des enfants, </w:t>
      </w:r>
      <w:smartTag w:uri="urn:schemas-microsoft-com:office:smarttags" w:element="PersonName">
        <w:smartTagPr>
          <w:attr w:name="ProductID" w:val="la Loi"/>
        </w:smartTagPr>
        <w:r w:rsidRPr="001262F9">
          <w:rPr>
            <w:lang w:val="es-ES"/>
          </w:rPr>
          <w:t>la Loi</w:t>
        </w:r>
      </w:smartTag>
      <w:r w:rsidRPr="001262F9">
        <w:rPr>
          <w:lang w:val="es-ES"/>
        </w:rPr>
        <w:t xml:space="preserve"> sur la protection de l</w:t>
      </w:r>
      <w:r w:rsidR="00277023">
        <w:rPr>
          <w:lang w:val="es-ES"/>
        </w:rPr>
        <w:t>’</w:t>
      </w:r>
      <w:r w:rsidRPr="001262F9">
        <w:rPr>
          <w:lang w:val="es-ES"/>
        </w:rPr>
        <w:t xml:space="preserve">enfance, le Code du travail, </w:t>
      </w:r>
      <w:smartTag w:uri="urn:schemas-microsoft-com:office:smarttags" w:element="PersonName">
        <w:smartTagPr>
          <w:attr w:name="ProductID" w:val="la Loi"/>
        </w:smartTagPr>
        <w:r w:rsidRPr="001262F9">
          <w:rPr>
            <w:lang w:val="es-ES"/>
          </w:rPr>
          <w:t>la Loi</w:t>
        </w:r>
      </w:smartTag>
      <w:r w:rsidRPr="001262F9">
        <w:rPr>
          <w:lang w:val="es-ES"/>
        </w:rPr>
        <w:t xml:space="preserve"> sur la sécurité de l</w:t>
      </w:r>
      <w:r w:rsidR="00277023">
        <w:rPr>
          <w:lang w:val="es-ES"/>
        </w:rPr>
        <w:t>’</w:t>
      </w:r>
      <w:r w:rsidRPr="001262F9">
        <w:rPr>
          <w:lang w:val="es-ES"/>
        </w:rPr>
        <w:t xml:space="preserve">emploi, </w:t>
      </w:r>
      <w:smartTag w:uri="urn:schemas-microsoft-com:office:smarttags" w:element="PersonName">
        <w:smartTagPr>
          <w:attr w:name="ProductID" w:val="la Loi"/>
        </w:smartTagPr>
        <w:r w:rsidRPr="001262F9">
          <w:rPr>
            <w:lang w:val="es-ES"/>
          </w:rPr>
          <w:t>la Loi</w:t>
        </w:r>
      </w:smartTag>
      <w:r w:rsidRPr="001262F9">
        <w:rPr>
          <w:lang w:val="es-ES"/>
        </w:rPr>
        <w:t xml:space="preserve"> sur la prévention de la prostitution, </w:t>
      </w:r>
      <w:smartTag w:uri="urn:schemas-microsoft-com:office:smarttags" w:element="PersonName">
        <w:smartTagPr>
          <w:attr w:name="ProductID" w:val="la Loi"/>
        </w:smartTagPr>
        <w:r w:rsidRPr="001262F9">
          <w:rPr>
            <w:lang w:val="es-ES"/>
          </w:rPr>
          <w:t>la Loi</w:t>
        </w:r>
      </w:smartTag>
      <w:r w:rsidRPr="001262F9">
        <w:rPr>
          <w:lang w:val="es-ES"/>
        </w:rPr>
        <w:t xml:space="preserve"> sur le contrôle et l</w:t>
      </w:r>
      <w:r w:rsidR="00277023">
        <w:rPr>
          <w:lang w:val="es-ES"/>
        </w:rPr>
        <w:t>’</w:t>
      </w:r>
      <w:r w:rsidRPr="001262F9">
        <w:rPr>
          <w:lang w:val="es-ES"/>
        </w:rPr>
        <w:t>amélioration de l</w:t>
      </w:r>
      <w:r w:rsidR="00277023">
        <w:rPr>
          <w:lang w:val="es-ES"/>
        </w:rPr>
        <w:t>’</w:t>
      </w:r>
      <w:r w:rsidRPr="001262F9">
        <w:rPr>
          <w:lang w:val="es-ES"/>
        </w:rPr>
        <w:t xml:space="preserve">industrie du spectacle et des loisirs et </w:t>
      </w:r>
      <w:smartTag w:uri="urn:schemas-microsoft-com:office:smarttags" w:element="PersonName">
        <w:smartTagPr>
          <w:attr w:name="ProductID" w:val="la Loi"/>
        </w:smartTagPr>
        <w:r w:rsidRPr="001262F9">
          <w:rPr>
            <w:lang w:val="es-ES"/>
          </w:rPr>
          <w:t>la Loi</w:t>
        </w:r>
      </w:smartTag>
      <w:r w:rsidRPr="001262F9">
        <w:rPr>
          <w:lang w:val="es-ES"/>
        </w:rPr>
        <w:t xml:space="preserve"> sur le contrôle des sites de rencontre sur Internet, en vertu desquelles la police est chargée de mettre en œuvre les règlements d</w:t>
      </w:r>
      <w:r w:rsidR="00277023">
        <w:rPr>
          <w:lang w:val="es-ES"/>
        </w:rPr>
        <w:t>’</w:t>
      </w:r>
      <w:r w:rsidRPr="001262F9">
        <w:rPr>
          <w:lang w:val="es-ES"/>
        </w:rPr>
        <w:t>application.</w:t>
      </w:r>
      <w:r w:rsidR="00093F0A" w:rsidRPr="00A57029">
        <w:rPr>
          <w:lang w:val="es-ES"/>
        </w:rPr>
        <w:t xml:space="preserve"> </w:t>
      </w:r>
    </w:p>
    <w:p w:rsidR="00093F0A" w:rsidRPr="001262F9" w:rsidRDefault="00365506" w:rsidP="00093F0A">
      <w:pPr>
        <w:pStyle w:val="Heading1"/>
        <w:rPr>
          <w:lang w:val="es-ES"/>
        </w:rPr>
      </w:pPr>
      <w:r w:rsidRPr="00F206B8">
        <w:rPr>
          <w:lang w:val="fr-FR"/>
        </w:rPr>
        <w:t>Tableau</w:t>
      </w:r>
      <w:r w:rsidRPr="00F206B8">
        <w:rPr>
          <w:lang w:val="es-ES"/>
        </w:rPr>
        <w:t xml:space="preserve"> </w:t>
      </w:r>
      <w:r w:rsidR="00093F0A" w:rsidRPr="001262F9">
        <w:rPr>
          <w:lang w:val="es-ES"/>
        </w:rPr>
        <w:t>30</w:t>
      </w:r>
    </w:p>
    <w:p w:rsidR="00093F0A" w:rsidRPr="001262F9" w:rsidRDefault="001262F9" w:rsidP="002C75A6">
      <w:pPr>
        <w:pStyle w:val="SingleTxtG"/>
        <w:jc w:val="left"/>
        <w:rPr>
          <w:b/>
          <w:lang w:val="es-ES"/>
        </w:rPr>
      </w:pPr>
      <w:r w:rsidRPr="001262F9">
        <w:rPr>
          <w:b/>
          <w:lang w:val="fr-FR"/>
        </w:rPr>
        <w:t>Nombre d</w:t>
      </w:r>
      <w:r w:rsidR="00277023">
        <w:rPr>
          <w:b/>
          <w:lang w:val="fr-FR"/>
        </w:rPr>
        <w:t>’</w:t>
      </w:r>
      <w:r w:rsidRPr="001262F9">
        <w:rPr>
          <w:b/>
          <w:lang w:val="fr-FR"/>
        </w:rPr>
        <w:t xml:space="preserve">arrestations liées à des infractions à </w:t>
      </w:r>
      <w:smartTag w:uri="urn:schemas-microsoft-com:office:smarttags" w:element="PersonName">
        <w:smartTagPr>
          <w:attr w:name="ProductID" w:val="la Loi"/>
        </w:smartTagPr>
        <w:r w:rsidRPr="001262F9">
          <w:rPr>
            <w:b/>
            <w:lang w:val="fr-FR"/>
          </w:rPr>
          <w:t>la Loi</w:t>
        </w:r>
      </w:smartTag>
      <w:r w:rsidRPr="001262F9">
        <w:rPr>
          <w:b/>
          <w:lang w:val="fr-FR"/>
        </w:rPr>
        <w:t xml:space="preserve"> sur la protection de l</w:t>
      </w:r>
      <w:r w:rsidR="00277023">
        <w:rPr>
          <w:b/>
          <w:lang w:val="fr-FR"/>
        </w:rPr>
        <w:t>’</w:t>
      </w:r>
      <w:r w:rsidRPr="001262F9">
        <w:rPr>
          <w:b/>
          <w:lang w:val="fr-FR"/>
        </w:rPr>
        <w:t>enfance contre des environnements dangereux</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708"/>
        <w:gridCol w:w="709"/>
        <w:gridCol w:w="709"/>
        <w:gridCol w:w="709"/>
      </w:tblGrid>
      <w:tr w:rsidR="00093F0A" w:rsidRPr="008E5027">
        <w:tc>
          <w:tcPr>
            <w:tcW w:w="4536" w:type="dxa"/>
            <w:tcBorders>
              <w:top w:val="single" w:sz="4" w:space="0" w:color="auto"/>
              <w:bottom w:val="single" w:sz="12" w:space="0" w:color="auto"/>
            </w:tcBorders>
            <w:shd w:val="clear" w:color="auto" w:fill="auto"/>
            <w:vAlign w:val="bottom"/>
          </w:tcPr>
          <w:p w:rsidR="00093F0A" w:rsidRPr="001262F9" w:rsidRDefault="00093F0A" w:rsidP="005D4774">
            <w:pPr>
              <w:spacing w:before="80" w:after="80" w:line="200" w:lineRule="exact"/>
              <w:rPr>
                <w:i/>
                <w:sz w:val="16"/>
                <w:lang w:val="es-ES"/>
              </w:rPr>
            </w:pPr>
          </w:p>
        </w:tc>
        <w:tc>
          <w:tcPr>
            <w:tcW w:w="708"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2001</w:t>
            </w:r>
          </w:p>
        </w:tc>
        <w:tc>
          <w:tcPr>
            <w:tcW w:w="709"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2002</w:t>
            </w:r>
          </w:p>
        </w:tc>
        <w:tc>
          <w:tcPr>
            <w:tcW w:w="709"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2003</w:t>
            </w:r>
          </w:p>
        </w:tc>
        <w:tc>
          <w:tcPr>
            <w:tcW w:w="709"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2004</w:t>
            </w:r>
          </w:p>
        </w:tc>
      </w:tr>
      <w:tr w:rsidR="00093F0A" w:rsidRPr="008E5027">
        <w:tc>
          <w:tcPr>
            <w:tcW w:w="4536" w:type="dxa"/>
            <w:tcBorders>
              <w:top w:val="single" w:sz="12" w:space="0" w:color="auto"/>
            </w:tcBorders>
            <w:shd w:val="clear" w:color="auto" w:fill="auto"/>
            <w:vAlign w:val="bottom"/>
          </w:tcPr>
          <w:p w:rsidR="00093F0A" w:rsidRPr="008E5027" w:rsidRDefault="001262F9" w:rsidP="005D4774">
            <w:pPr>
              <w:suppressAutoHyphens w:val="0"/>
              <w:spacing w:before="40" w:after="40" w:line="220" w:lineRule="exact"/>
              <w:rPr>
                <w:sz w:val="18"/>
              </w:rPr>
            </w:pPr>
            <w:r w:rsidRPr="001262F9">
              <w:rPr>
                <w:sz w:val="18"/>
                <w:lang w:val="fr-FR"/>
              </w:rPr>
              <w:t>Code du travail</w:t>
            </w:r>
          </w:p>
        </w:tc>
        <w:tc>
          <w:tcPr>
            <w:tcW w:w="708"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139</w:t>
            </w:r>
          </w:p>
        </w:tc>
        <w:tc>
          <w:tcPr>
            <w:tcW w:w="709"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65</w:t>
            </w:r>
          </w:p>
        </w:tc>
        <w:tc>
          <w:tcPr>
            <w:tcW w:w="709"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55</w:t>
            </w:r>
          </w:p>
        </w:tc>
        <w:tc>
          <w:tcPr>
            <w:tcW w:w="709" w:type="dxa"/>
            <w:tcBorders>
              <w:top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69</w:t>
            </w:r>
          </w:p>
        </w:tc>
      </w:tr>
      <w:tr w:rsidR="00093F0A" w:rsidRPr="008E5027">
        <w:tc>
          <w:tcPr>
            <w:tcW w:w="4536" w:type="dxa"/>
            <w:tcBorders>
              <w:bottom w:val="single" w:sz="12" w:space="0" w:color="auto"/>
            </w:tcBorders>
            <w:shd w:val="clear" w:color="auto" w:fill="auto"/>
            <w:vAlign w:val="bottom"/>
          </w:tcPr>
          <w:p w:rsidR="00093F0A" w:rsidRPr="001262F9" w:rsidRDefault="001262F9" w:rsidP="005D4774">
            <w:pPr>
              <w:suppressAutoHyphens w:val="0"/>
              <w:spacing w:before="40" w:after="40" w:line="220" w:lineRule="exact"/>
              <w:rPr>
                <w:sz w:val="18"/>
                <w:lang w:val="es-ES"/>
              </w:rPr>
            </w:pPr>
            <w:r w:rsidRPr="001262F9">
              <w:rPr>
                <w:sz w:val="18"/>
                <w:lang w:val="fr-FR"/>
              </w:rPr>
              <w:t>Loi sur le contrôle et l</w:t>
            </w:r>
            <w:r w:rsidR="00277023">
              <w:rPr>
                <w:sz w:val="18"/>
                <w:lang w:val="fr-FR"/>
              </w:rPr>
              <w:t>’</w:t>
            </w:r>
            <w:r w:rsidRPr="001262F9">
              <w:rPr>
                <w:sz w:val="18"/>
                <w:lang w:val="fr-FR"/>
              </w:rPr>
              <w:t>amélioration de l</w:t>
            </w:r>
            <w:r w:rsidR="00277023">
              <w:rPr>
                <w:sz w:val="18"/>
                <w:lang w:val="fr-FR"/>
              </w:rPr>
              <w:t>’</w:t>
            </w:r>
            <w:r w:rsidRPr="001262F9">
              <w:rPr>
                <w:sz w:val="18"/>
                <w:lang w:val="fr-FR"/>
              </w:rPr>
              <w:t>industrie du spectacle et des loisirs</w:t>
            </w:r>
          </w:p>
        </w:tc>
        <w:tc>
          <w:tcPr>
            <w:tcW w:w="708"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698</w:t>
            </w:r>
          </w:p>
        </w:tc>
        <w:tc>
          <w:tcPr>
            <w:tcW w:w="709"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689</w:t>
            </w:r>
          </w:p>
        </w:tc>
        <w:tc>
          <w:tcPr>
            <w:tcW w:w="709"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619</w:t>
            </w:r>
          </w:p>
        </w:tc>
        <w:tc>
          <w:tcPr>
            <w:tcW w:w="709" w:type="dxa"/>
            <w:tcBorders>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615</w:t>
            </w:r>
          </w:p>
        </w:tc>
      </w:tr>
    </w:tbl>
    <w:p w:rsidR="00093F0A" w:rsidRPr="008E5027" w:rsidRDefault="00093F0A" w:rsidP="00997CD6">
      <w:pPr>
        <w:spacing w:before="120"/>
        <w:ind w:left="1134" w:right="1134" w:firstLine="170"/>
        <w:rPr>
          <w:sz w:val="18"/>
          <w:szCs w:val="18"/>
        </w:rPr>
      </w:pPr>
      <w:r w:rsidRPr="008E5027">
        <w:rPr>
          <w:iCs/>
          <w:sz w:val="18"/>
          <w:szCs w:val="18"/>
        </w:rPr>
        <w:t xml:space="preserve">*  </w:t>
      </w:r>
      <w:r w:rsidR="001262F9" w:rsidRPr="001262F9">
        <w:rPr>
          <w:iCs/>
          <w:sz w:val="18"/>
          <w:szCs w:val="18"/>
          <w:lang w:val="fr-FR"/>
        </w:rPr>
        <w:t>Les p</w:t>
      </w:r>
      <w:r w:rsidR="001262F9" w:rsidRPr="001262F9">
        <w:rPr>
          <w:sz w:val="18"/>
          <w:szCs w:val="18"/>
          <w:lang w:val="fr-FR"/>
        </w:rPr>
        <w:t>ersonnes arrêtées en application du Code du travail ont été inculpées d</w:t>
      </w:r>
      <w:r w:rsidR="00277023">
        <w:rPr>
          <w:sz w:val="18"/>
          <w:szCs w:val="18"/>
          <w:lang w:val="fr-FR"/>
        </w:rPr>
        <w:t>’</w:t>
      </w:r>
      <w:r w:rsidR="001262F9" w:rsidRPr="001262F9">
        <w:rPr>
          <w:sz w:val="18"/>
          <w:szCs w:val="18"/>
          <w:lang w:val="fr-FR"/>
        </w:rPr>
        <w:t>employer des jeunes n</w:t>
      </w:r>
      <w:r w:rsidR="00277023">
        <w:rPr>
          <w:sz w:val="18"/>
          <w:szCs w:val="18"/>
          <w:lang w:val="fr-FR"/>
        </w:rPr>
        <w:t>’</w:t>
      </w:r>
      <w:r w:rsidR="001262F9" w:rsidRPr="001262F9">
        <w:rPr>
          <w:sz w:val="18"/>
          <w:szCs w:val="18"/>
          <w:lang w:val="fr-FR"/>
        </w:rPr>
        <w:t>ayant pas l</w:t>
      </w:r>
      <w:r w:rsidR="00277023">
        <w:rPr>
          <w:sz w:val="18"/>
          <w:szCs w:val="18"/>
          <w:lang w:val="fr-FR"/>
        </w:rPr>
        <w:t>’</w:t>
      </w:r>
      <w:r w:rsidR="001262F9" w:rsidRPr="001262F9">
        <w:rPr>
          <w:sz w:val="18"/>
          <w:szCs w:val="18"/>
          <w:lang w:val="fr-FR"/>
        </w:rPr>
        <w:t>âge minimum requis pour travailler la nuit ou exercer une activité dangereuse</w:t>
      </w:r>
      <w:r w:rsidRPr="008E5027">
        <w:rPr>
          <w:sz w:val="18"/>
          <w:szCs w:val="18"/>
        </w:rPr>
        <w:t>.</w:t>
      </w:r>
    </w:p>
    <w:p w:rsidR="00093F0A" w:rsidRPr="008E5027" w:rsidRDefault="00093F0A" w:rsidP="003864E0">
      <w:pPr>
        <w:spacing w:after="240"/>
        <w:ind w:left="1134" w:right="1134" w:firstLine="170"/>
        <w:rPr>
          <w:sz w:val="18"/>
          <w:szCs w:val="18"/>
        </w:rPr>
      </w:pPr>
      <w:r w:rsidRPr="008E5027">
        <w:rPr>
          <w:sz w:val="18"/>
          <w:szCs w:val="18"/>
        </w:rPr>
        <w:t xml:space="preserve">*  </w:t>
      </w:r>
      <w:r w:rsidR="001262F9" w:rsidRPr="001262F9">
        <w:rPr>
          <w:sz w:val="18"/>
          <w:szCs w:val="18"/>
          <w:lang w:val="fr-FR"/>
        </w:rPr>
        <w:t xml:space="preserve">Les personnes arrêtées en application de </w:t>
      </w:r>
      <w:smartTag w:uri="urn:schemas-microsoft-com:office:smarttags" w:element="PersonName">
        <w:smartTagPr>
          <w:attr w:name="ProductID" w:val="la Loi"/>
        </w:smartTagPr>
        <w:r w:rsidR="001262F9" w:rsidRPr="001262F9">
          <w:rPr>
            <w:sz w:val="18"/>
            <w:szCs w:val="18"/>
            <w:lang w:val="fr-FR"/>
          </w:rPr>
          <w:t>la Loi</w:t>
        </w:r>
      </w:smartTag>
      <w:r w:rsidR="001262F9" w:rsidRPr="001262F9">
        <w:rPr>
          <w:sz w:val="18"/>
          <w:szCs w:val="18"/>
          <w:lang w:val="fr-FR"/>
        </w:rPr>
        <w:t xml:space="preserve"> sur le contrôle et l</w:t>
      </w:r>
      <w:r w:rsidR="00277023">
        <w:rPr>
          <w:sz w:val="18"/>
          <w:szCs w:val="18"/>
          <w:lang w:val="fr-FR"/>
        </w:rPr>
        <w:t>’</w:t>
      </w:r>
      <w:r w:rsidR="001262F9" w:rsidRPr="001262F9">
        <w:rPr>
          <w:sz w:val="18"/>
          <w:szCs w:val="18"/>
          <w:lang w:val="fr-FR"/>
        </w:rPr>
        <w:t>amélioration de l</w:t>
      </w:r>
      <w:r w:rsidR="00277023">
        <w:rPr>
          <w:sz w:val="18"/>
          <w:szCs w:val="18"/>
          <w:lang w:val="fr-FR"/>
        </w:rPr>
        <w:t>’</w:t>
      </w:r>
      <w:r w:rsidR="001262F9" w:rsidRPr="001262F9">
        <w:rPr>
          <w:sz w:val="18"/>
          <w:szCs w:val="18"/>
          <w:lang w:val="fr-FR"/>
        </w:rPr>
        <w:t>industrie du spectacle et des loisirs ont été inculpées d</w:t>
      </w:r>
      <w:r w:rsidR="00277023">
        <w:rPr>
          <w:sz w:val="18"/>
          <w:szCs w:val="18"/>
          <w:lang w:val="fr-FR"/>
        </w:rPr>
        <w:t>’</w:t>
      </w:r>
      <w:r w:rsidR="001262F9" w:rsidRPr="001262F9">
        <w:rPr>
          <w:sz w:val="18"/>
          <w:szCs w:val="18"/>
          <w:lang w:val="fr-FR"/>
        </w:rPr>
        <w:t>employer des mineurs devant recevoir et servir des clients dans des établissements de spectacle et de loisirs</w:t>
      </w:r>
      <w:r w:rsidRPr="008E5027">
        <w:rPr>
          <w:sz w:val="18"/>
          <w:szCs w:val="18"/>
        </w:rPr>
        <w:t>.</w:t>
      </w:r>
    </w:p>
    <w:p w:rsidR="001262F9" w:rsidRPr="001262F9" w:rsidRDefault="001262F9" w:rsidP="001262F9">
      <w:pPr>
        <w:pStyle w:val="SingleTxtG"/>
        <w:rPr>
          <w:lang w:val="fr-FR"/>
        </w:rPr>
      </w:pPr>
      <w:r w:rsidRPr="001262F9">
        <w:rPr>
          <w:lang w:val="fr-FR"/>
        </w:rPr>
        <w:t>(Travail des enfants et formation professionnelle</w:t>
      </w:r>
    </w:p>
    <w:p w:rsidR="001262F9" w:rsidRPr="001262F9" w:rsidRDefault="001262F9" w:rsidP="001262F9">
      <w:pPr>
        <w:pStyle w:val="SingleTxtG"/>
        <w:rPr>
          <w:lang w:val="fr-FR"/>
        </w:rPr>
      </w:pPr>
      <w:r w:rsidRPr="001262F9">
        <w:rPr>
          <w:lang w:val="fr-FR"/>
        </w:rPr>
        <w:t>520.</w:t>
      </w:r>
      <w:r w:rsidRPr="001262F9">
        <w:rPr>
          <w:lang w:val="fr-FR"/>
        </w:rPr>
        <w:tab/>
        <w:t xml:space="preserve">Voir paragraphes 454-455 du deuxième rapport du Japon. </w:t>
      </w:r>
    </w:p>
    <w:p w:rsidR="001262F9" w:rsidRPr="001262F9" w:rsidRDefault="001262F9" w:rsidP="001262F9">
      <w:pPr>
        <w:pStyle w:val="SingleTxtG"/>
        <w:rPr>
          <w:bCs/>
          <w:iCs/>
          <w:lang w:val="fr-FR"/>
        </w:rPr>
      </w:pPr>
      <w:r w:rsidRPr="001262F9">
        <w:rPr>
          <w:lang w:val="fr-FR"/>
        </w:rPr>
        <w:t xml:space="preserve">(a-2) </w:t>
      </w:r>
      <w:r w:rsidRPr="001262F9">
        <w:rPr>
          <w:bCs/>
          <w:iCs/>
          <w:lang w:val="fr-FR"/>
        </w:rPr>
        <w:t>Mesures adoptées en vertu des dispositions pertinentes des instruments internationaux</w:t>
      </w:r>
    </w:p>
    <w:p w:rsidR="001262F9" w:rsidRPr="001262F9" w:rsidRDefault="001262F9" w:rsidP="001262F9">
      <w:pPr>
        <w:pStyle w:val="SingleTxtG"/>
        <w:rPr>
          <w:lang w:val="fr-FR"/>
        </w:rPr>
      </w:pPr>
      <w:r w:rsidRPr="001262F9">
        <w:rPr>
          <w:lang w:val="fr-FR"/>
        </w:rPr>
        <w:t>521.</w:t>
      </w:r>
      <w:r w:rsidRPr="001262F9">
        <w:rPr>
          <w:lang w:val="fr-FR"/>
        </w:rPr>
        <w:tab/>
        <w:t xml:space="preserve">Voir paragraphes 456-460 du deuxième rapport du Japon. </w:t>
      </w:r>
    </w:p>
    <w:p w:rsidR="001262F9" w:rsidRPr="001262F9" w:rsidRDefault="001262F9" w:rsidP="001262F9">
      <w:pPr>
        <w:pStyle w:val="SingleTxtG"/>
        <w:rPr>
          <w:i/>
          <w:lang w:val="fr-FR"/>
        </w:rPr>
      </w:pPr>
      <w:r w:rsidRPr="001262F9">
        <w:rPr>
          <w:lang w:val="fr-FR"/>
        </w:rPr>
        <w:t>(a-3) Instruments internationaux relatifs aux Conventions internationales ratifiées par le Japon, y compris les instruments</w:t>
      </w:r>
      <w:r w:rsidR="00EA1115">
        <w:rPr>
          <w:lang w:val="fr-FR"/>
        </w:rPr>
        <w:t xml:space="preserve"> </w:t>
      </w:r>
      <w:r w:rsidRPr="001262F9">
        <w:rPr>
          <w:lang w:val="fr-FR"/>
        </w:rPr>
        <w:t xml:space="preserve">relatifs à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de l</w:t>
      </w:r>
      <w:r w:rsidR="00277023">
        <w:rPr>
          <w:lang w:val="fr-FR"/>
        </w:rPr>
        <w:t>’</w:t>
      </w:r>
      <w:r w:rsidRPr="001262F9">
        <w:rPr>
          <w:lang w:val="fr-FR"/>
        </w:rPr>
        <w:t>Organisation internationale du travail (OIT)</w:t>
      </w:r>
    </w:p>
    <w:p w:rsidR="001262F9" w:rsidRPr="001262F9" w:rsidRDefault="001262F9" w:rsidP="001262F9">
      <w:pPr>
        <w:pStyle w:val="SingleTxtG"/>
        <w:rPr>
          <w:lang w:val="fr-FR"/>
        </w:rPr>
      </w:pPr>
      <w:r w:rsidRPr="001262F9">
        <w:rPr>
          <w:lang w:val="fr-FR"/>
        </w:rPr>
        <w:t>522.</w:t>
      </w:r>
      <w:r w:rsidRPr="001262F9">
        <w:rPr>
          <w:lang w:val="fr-FR"/>
        </w:rPr>
        <w:tab/>
        <w:t xml:space="preserve">Voir paragraphe 461 du deuxième rapport du Japon. </w:t>
      </w:r>
    </w:p>
    <w:p w:rsidR="001262F9" w:rsidRPr="001262F9" w:rsidRDefault="001262F9" w:rsidP="001262F9">
      <w:pPr>
        <w:pStyle w:val="SingleTxtG"/>
        <w:rPr>
          <w:bCs/>
          <w:lang w:val="fr-FR"/>
        </w:rPr>
      </w:pPr>
      <w:r w:rsidRPr="001262F9">
        <w:rPr>
          <w:bCs/>
          <w:lang w:val="fr-FR"/>
        </w:rPr>
        <w:t>(b) Toxicomanie</w:t>
      </w:r>
    </w:p>
    <w:p w:rsidR="001262F9" w:rsidRPr="001262F9" w:rsidRDefault="001262F9" w:rsidP="001262F9">
      <w:pPr>
        <w:pStyle w:val="SingleTxtG"/>
        <w:rPr>
          <w:bCs/>
          <w:iCs/>
          <w:lang w:val="fr-FR"/>
        </w:rPr>
      </w:pPr>
      <w:r w:rsidRPr="001262F9">
        <w:rPr>
          <w:bCs/>
          <w:lang w:val="fr-FR"/>
        </w:rPr>
        <w:t xml:space="preserve">(b-1) </w:t>
      </w:r>
      <w:r w:rsidRPr="001262F9">
        <w:rPr>
          <w:bCs/>
          <w:iCs/>
          <w:lang w:val="fr-FR"/>
        </w:rPr>
        <w:t>Protection des enfants contre les stupéfiants et les substances psychotropes tels que définis dans les conventions internationales applicables</w:t>
      </w:r>
    </w:p>
    <w:p w:rsidR="001262F9" w:rsidRPr="001262F9" w:rsidRDefault="001262F9" w:rsidP="001262F9">
      <w:pPr>
        <w:pStyle w:val="SingleTxtG"/>
        <w:rPr>
          <w:lang w:val="fr-FR"/>
        </w:rPr>
      </w:pPr>
      <w:r w:rsidRPr="001262F9">
        <w:rPr>
          <w:lang w:val="fr-FR"/>
        </w:rPr>
        <w:t>523.</w:t>
      </w:r>
      <w:r w:rsidRPr="001262F9">
        <w:rPr>
          <w:lang w:val="fr-FR"/>
        </w:rPr>
        <w:tab/>
        <w:t xml:space="preserve">Le Japon a ratifié les conventions suivantes qui constituent le cadre juridique international des mesures de lutte contre la toxicomanie, à savoir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unique sur les stupéfiants de 1961, en 1964,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sur les substances psychotropes de 1971, en 1990, et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des Nations Unies contre le traite illicite de stupéfiants et de substances psychotropes de 1988, en 1992, et il s</w:t>
      </w:r>
      <w:r w:rsidR="00277023">
        <w:rPr>
          <w:lang w:val="fr-FR"/>
        </w:rPr>
        <w:t>’</w:t>
      </w:r>
      <w:r w:rsidRPr="001262F9">
        <w:rPr>
          <w:lang w:val="fr-FR"/>
        </w:rPr>
        <w:t>emploie à les mettre en pratique. Le Gouvernement japonais apporte sa contribution à l</w:t>
      </w:r>
      <w:r w:rsidR="00277023">
        <w:rPr>
          <w:lang w:val="fr-FR"/>
        </w:rPr>
        <w:t>’</w:t>
      </w:r>
      <w:r w:rsidRPr="001262F9">
        <w:rPr>
          <w:lang w:val="fr-FR"/>
        </w:rPr>
        <w:t>Office des Nations Unies contre la drogue et le crime (UNODC) depuis 1991. S</w:t>
      </w:r>
      <w:r w:rsidR="00277023">
        <w:rPr>
          <w:lang w:val="fr-FR"/>
        </w:rPr>
        <w:t>’</w:t>
      </w:r>
      <w:r w:rsidRPr="001262F9">
        <w:rPr>
          <w:lang w:val="fr-FR"/>
        </w:rPr>
        <w:t>agissant en particulier des régions de l</w:t>
      </w:r>
      <w:r w:rsidR="00277023">
        <w:rPr>
          <w:lang w:val="fr-FR"/>
        </w:rPr>
        <w:t>’</w:t>
      </w:r>
      <w:r w:rsidRPr="001262F9">
        <w:rPr>
          <w:lang w:val="fr-FR"/>
        </w:rPr>
        <w:t>Asie du sud-est, il appuie des projets visant à réduire la consommation de drogues, notamment par l</w:t>
      </w:r>
      <w:r w:rsidR="00277023">
        <w:rPr>
          <w:lang w:val="fr-FR"/>
        </w:rPr>
        <w:t>’</w:t>
      </w:r>
      <w:r w:rsidRPr="001262F9">
        <w:rPr>
          <w:lang w:val="fr-FR"/>
        </w:rPr>
        <w:t>éducation des enfants pour prévenir la toxicomanie.</w:t>
      </w:r>
    </w:p>
    <w:p w:rsidR="001262F9" w:rsidRPr="001262F9" w:rsidRDefault="001262F9" w:rsidP="001262F9">
      <w:pPr>
        <w:pStyle w:val="SingleTxtG"/>
        <w:rPr>
          <w:bCs/>
          <w:iCs/>
          <w:lang w:val="fr-FR"/>
        </w:rPr>
      </w:pPr>
      <w:r w:rsidRPr="001262F9">
        <w:rPr>
          <w:lang w:val="fr-FR"/>
        </w:rPr>
        <w:t>(b-2) Empêcher l</w:t>
      </w:r>
      <w:r w:rsidR="00277023">
        <w:rPr>
          <w:lang w:val="fr-FR"/>
        </w:rPr>
        <w:t>’</w:t>
      </w:r>
      <w:r w:rsidRPr="001262F9">
        <w:rPr>
          <w:lang w:val="fr-FR"/>
        </w:rPr>
        <w:t>engagement d</w:t>
      </w:r>
      <w:r w:rsidR="00277023">
        <w:rPr>
          <w:lang w:val="fr-FR"/>
        </w:rPr>
        <w:t>’</w:t>
      </w:r>
      <w:r w:rsidRPr="001262F9">
        <w:rPr>
          <w:lang w:val="fr-FR"/>
        </w:rPr>
        <w:t>enfants dans la production illicite de substances psychotropes</w:t>
      </w:r>
    </w:p>
    <w:p w:rsidR="001262F9" w:rsidRPr="001262F9" w:rsidRDefault="001262F9" w:rsidP="001262F9">
      <w:pPr>
        <w:pStyle w:val="SingleTxtG"/>
        <w:rPr>
          <w:bCs/>
          <w:iCs/>
          <w:lang w:val="fr-FR"/>
        </w:rPr>
      </w:pPr>
      <w:r w:rsidRPr="001262F9">
        <w:rPr>
          <w:lang w:val="fr-FR"/>
        </w:rPr>
        <w:t>(</w:t>
      </w:r>
      <w:r w:rsidRPr="001262F9">
        <w:rPr>
          <w:bCs/>
          <w:iCs/>
          <w:lang w:val="fr-FR"/>
        </w:rPr>
        <w:t>Coopération avec le Programme des Nations Unies pour le contrôle international des drogues (PNUCID))</w:t>
      </w:r>
    </w:p>
    <w:p w:rsidR="001262F9" w:rsidRPr="001262F9" w:rsidRDefault="001262F9" w:rsidP="001262F9">
      <w:pPr>
        <w:pStyle w:val="SingleTxtG"/>
        <w:rPr>
          <w:lang w:val="fr-FR"/>
        </w:rPr>
      </w:pPr>
      <w:r w:rsidRPr="001262F9">
        <w:rPr>
          <w:lang w:val="fr-FR"/>
        </w:rPr>
        <w:t>524.</w:t>
      </w:r>
      <w:r w:rsidRPr="001262F9">
        <w:rPr>
          <w:lang w:val="fr-FR"/>
        </w:rPr>
        <w:tab/>
        <w:t xml:space="preserve">Voir paragraphes 463-470 du deuxième rapport du Japon. </w:t>
      </w:r>
    </w:p>
    <w:p w:rsidR="001262F9" w:rsidRPr="001262F9" w:rsidRDefault="001262F9" w:rsidP="001262F9">
      <w:pPr>
        <w:pStyle w:val="SingleTxtG"/>
        <w:rPr>
          <w:bCs/>
          <w:iCs/>
          <w:lang w:val="fr-FR"/>
        </w:rPr>
      </w:pPr>
      <w:r w:rsidRPr="001262F9">
        <w:rPr>
          <w:lang w:val="fr-FR"/>
        </w:rPr>
        <w:t>(</w:t>
      </w:r>
      <w:r w:rsidR="008F55B7">
        <w:rPr>
          <w:lang w:val="fr-FR"/>
        </w:rPr>
        <w:t>É</w:t>
      </w:r>
      <w:r w:rsidRPr="001262F9">
        <w:rPr>
          <w:lang w:val="fr-FR"/>
        </w:rPr>
        <w:t>tablissement d</w:t>
      </w:r>
      <w:r w:rsidR="00277023">
        <w:rPr>
          <w:lang w:val="fr-FR"/>
        </w:rPr>
        <w:t>’</w:t>
      </w:r>
      <w:r w:rsidRPr="001262F9">
        <w:rPr>
          <w:lang w:val="fr-FR"/>
        </w:rPr>
        <w:t>une Stratégie de prévention de la toxicomanie sur cinq ans</w:t>
      </w:r>
      <w:r w:rsidRPr="001262F9">
        <w:rPr>
          <w:bCs/>
          <w:iCs/>
          <w:lang w:val="fr-FR"/>
        </w:rPr>
        <w:t>)</w:t>
      </w:r>
    </w:p>
    <w:p w:rsidR="001262F9" w:rsidRPr="001262F9" w:rsidRDefault="001262F9" w:rsidP="001262F9">
      <w:pPr>
        <w:pStyle w:val="SingleTxtG"/>
        <w:rPr>
          <w:lang w:val="fr-FR"/>
        </w:rPr>
      </w:pPr>
      <w:r w:rsidRPr="001262F9">
        <w:rPr>
          <w:lang w:val="fr-FR"/>
        </w:rPr>
        <w:t>525.</w:t>
      </w:r>
      <w:r w:rsidRPr="001262F9">
        <w:rPr>
          <w:lang w:val="fr-FR"/>
        </w:rPr>
        <w:tab/>
        <w:t xml:space="preserve">En mai 1998, le Gouvernement japonais a formulé </w:t>
      </w:r>
      <w:smartTag w:uri="urn:schemas-microsoft-com:office:smarttags" w:element="PersonName">
        <w:smartTagPr>
          <w:attr w:name="ProductID" w:val="la Strat￩gie"/>
        </w:smartTagPr>
        <w:r w:rsidRPr="001262F9">
          <w:rPr>
            <w:lang w:val="fr-FR"/>
          </w:rPr>
          <w:t>la Stratégie</w:t>
        </w:r>
      </w:smartTag>
      <w:r w:rsidRPr="001262F9">
        <w:rPr>
          <w:lang w:val="fr-FR"/>
        </w:rPr>
        <w:t xml:space="preserve"> de prévention de la toxicomanie sur cinq ans, sous l</w:t>
      </w:r>
      <w:r w:rsidR="00277023">
        <w:rPr>
          <w:lang w:val="fr-FR"/>
        </w:rPr>
        <w:t>’</w:t>
      </w:r>
      <w:r w:rsidRPr="001262F9">
        <w:rPr>
          <w:lang w:val="fr-FR"/>
        </w:rPr>
        <w:t>égide du premier Ministre, au Centre de promotion des mesures de prévention de la toxicomanie. Les ministères et organismes compétents travaillent en collaboration au titre d</w:t>
      </w:r>
      <w:r w:rsidR="00277023">
        <w:rPr>
          <w:lang w:val="fr-FR"/>
        </w:rPr>
        <w:t>’</w:t>
      </w:r>
      <w:r w:rsidRPr="001262F9">
        <w:rPr>
          <w:lang w:val="fr-FR"/>
        </w:rPr>
        <w:t>une stratégie globale visant à promouvoir des mesures dans ce sens et sont parvenus à freiner l</w:t>
      </w:r>
      <w:r w:rsidR="00277023">
        <w:rPr>
          <w:lang w:val="fr-FR"/>
        </w:rPr>
        <w:t>’</w:t>
      </w:r>
      <w:r w:rsidRPr="001262F9">
        <w:rPr>
          <w:lang w:val="fr-FR"/>
        </w:rPr>
        <w:t>aggravation de la toxicomanie en particulier chez les jeunes. Cependant, le nombre d</w:t>
      </w:r>
      <w:r w:rsidR="00277023">
        <w:rPr>
          <w:lang w:val="fr-FR"/>
        </w:rPr>
        <w:t>’</w:t>
      </w:r>
      <w:r w:rsidRPr="001262F9">
        <w:rPr>
          <w:lang w:val="fr-FR"/>
        </w:rPr>
        <w:t>arrestations de jeunes délinquants toxicomanes, notamment d</w:t>
      </w:r>
      <w:r w:rsidR="00277023">
        <w:rPr>
          <w:lang w:val="fr-FR"/>
        </w:rPr>
        <w:t>’</w:t>
      </w:r>
      <w:r w:rsidRPr="001262F9">
        <w:rPr>
          <w:lang w:val="fr-FR"/>
        </w:rPr>
        <w:t>élèves de l</w:t>
      </w:r>
      <w:r w:rsidR="00277023">
        <w:rPr>
          <w:lang w:val="fr-FR"/>
        </w:rPr>
        <w:t>’</w:t>
      </w:r>
      <w:r w:rsidRPr="001262F9">
        <w:rPr>
          <w:lang w:val="fr-FR"/>
        </w:rPr>
        <w:t xml:space="preserve">enseignement secondaire, demeure élevé. De fait, vu la sophistication de la vente des drogues illicites, le volume des stupéfiants de synthèse saisis sous forme de comprimés comme la marijuana et </w:t>
      </w:r>
      <w:smartTag w:uri="urn:schemas-microsoft-com:office:smarttags" w:element="PersonName">
        <w:smartTagPr>
          <w:attr w:name="ProductID" w:val="la MDMA"/>
        </w:smartTagPr>
        <w:r w:rsidRPr="001262F9">
          <w:rPr>
            <w:lang w:val="fr-FR"/>
          </w:rPr>
          <w:t>la MDMA</w:t>
        </w:r>
      </w:smartTag>
      <w:r w:rsidRPr="001262F9">
        <w:rPr>
          <w:lang w:val="fr-FR"/>
        </w:rPr>
        <w:t xml:space="preserve"> (méthylènedioxyméthamphétamine) s</w:t>
      </w:r>
      <w:r w:rsidR="00277023">
        <w:rPr>
          <w:lang w:val="fr-FR"/>
        </w:rPr>
        <w:t>’</w:t>
      </w:r>
      <w:r w:rsidRPr="001262F9">
        <w:rPr>
          <w:lang w:val="fr-FR"/>
        </w:rPr>
        <w:t xml:space="preserve">est rapidement accru. Ainsi, dans ces circonstances impérieuses, le Centre a lancé </w:t>
      </w:r>
      <w:smartTag w:uri="urn:schemas-microsoft-com:office:smarttags" w:element="PersonName">
        <w:smartTagPr>
          <w:attr w:name="ProductID" w:val="la Strat￩gie"/>
        </w:smartTagPr>
        <w:r w:rsidRPr="001262F9">
          <w:rPr>
            <w:lang w:val="fr-FR"/>
          </w:rPr>
          <w:t>la Stratégie</w:t>
        </w:r>
      </w:smartTag>
      <w:r w:rsidRPr="001262F9">
        <w:rPr>
          <w:lang w:val="fr-FR"/>
        </w:rPr>
        <w:t xml:space="preserve"> de prévention de la toxicomanie sur cinq ans en juillet 2003.</w:t>
      </w:r>
    </w:p>
    <w:p w:rsidR="001262F9" w:rsidRPr="001262F9" w:rsidRDefault="001262F9" w:rsidP="001262F9">
      <w:pPr>
        <w:pStyle w:val="SingleTxtG"/>
        <w:rPr>
          <w:lang w:val="fr-FR"/>
        </w:rPr>
      </w:pPr>
      <w:r w:rsidRPr="001262F9">
        <w:rPr>
          <w:lang w:val="fr-FR"/>
        </w:rPr>
        <w:t>526.</w:t>
      </w:r>
      <w:r w:rsidRPr="001262F9">
        <w:rPr>
          <w:lang w:val="fr-FR"/>
        </w:rPr>
        <w:tab/>
        <w:t>Les objectifs fondamentaux de cette Stratégie sont de mettre en œuvre des mesures globales afin de mettre un terme aussi vite que possible à la troisième vague de toxicomanie que connaît le Japon et de participer à l</w:t>
      </w:r>
      <w:r w:rsidR="00277023">
        <w:rPr>
          <w:lang w:val="fr-FR"/>
        </w:rPr>
        <w:t>’</w:t>
      </w:r>
      <w:r w:rsidRPr="001262F9">
        <w:rPr>
          <w:lang w:val="fr-FR"/>
        </w:rPr>
        <w:t>effort international de résolution du problème mondial de la toxicomanie.</w:t>
      </w:r>
      <w:r w:rsidR="00EA1115">
        <w:rPr>
          <w:lang w:val="fr-FR"/>
        </w:rPr>
        <w:t xml:space="preserve"> </w:t>
      </w:r>
      <w:r w:rsidRPr="001262F9">
        <w:rPr>
          <w:lang w:val="fr-FR"/>
        </w:rPr>
        <w:t>Les objectifs spécifiques sont les suivants</w:t>
      </w:r>
      <w:r w:rsidR="00277023">
        <w:rPr>
          <w:lang w:val="fr-FR"/>
        </w:rPr>
        <w:t>:</w:t>
      </w:r>
      <w:r w:rsidRPr="001262F9">
        <w:rPr>
          <w:lang w:val="fr-FR"/>
        </w:rPr>
        <w:t xml:space="preserve"> mettre un terme à la tendance des mineurs à la toxicomanie en les sensibilisant, et notamment les élèves de l</w:t>
      </w:r>
      <w:r w:rsidR="00277023">
        <w:rPr>
          <w:lang w:val="fr-FR"/>
        </w:rPr>
        <w:t>’</w:t>
      </w:r>
      <w:r w:rsidRPr="001262F9">
        <w:rPr>
          <w:lang w:val="fr-FR"/>
        </w:rPr>
        <w:t>enseignement secondaire, à ses dangers, tendre vers l</w:t>
      </w:r>
      <w:r w:rsidR="00277023">
        <w:rPr>
          <w:lang w:val="fr-FR"/>
        </w:rPr>
        <w:t>’</w:t>
      </w:r>
      <w:r w:rsidRPr="001262F9">
        <w:rPr>
          <w:lang w:val="fr-FR"/>
        </w:rPr>
        <w:t>éradication de la toxicomanie chez les jeunes en redoublant d</w:t>
      </w:r>
      <w:r w:rsidR="00277023">
        <w:rPr>
          <w:lang w:val="fr-FR"/>
        </w:rPr>
        <w:t>’</w:t>
      </w:r>
      <w:r w:rsidRPr="001262F9">
        <w:rPr>
          <w:lang w:val="fr-FR"/>
        </w:rPr>
        <w:t>efforts pour encourager les mineurs autres que les enfants à ne pas toucher aux drogues, afin de promouvoir, dans les ministères et les organismes d</w:t>
      </w:r>
      <w:r w:rsidR="00277023">
        <w:rPr>
          <w:lang w:val="fr-FR"/>
        </w:rPr>
        <w:t>’</w:t>
      </w:r>
      <w:r w:rsidRPr="001262F9">
        <w:rPr>
          <w:lang w:val="fr-FR"/>
        </w:rPr>
        <w:t>Etat concernés, des mesures de lutte contre la toxicomanie ciblant l</w:t>
      </w:r>
      <w:r w:rsidR="00277023">
        <w:rPr>
          <w:lang w:val="fr-FR"/>
        </w:rPr>
        <w:t>’</w:t>
      </w:r>
      <w:r w:rsidRPr="001262F9">
        <w:rPr>
          <w:lang w:val="fr-FR"/>
        </w:rPr>
        <w:t>ensemble de la population, notamment les jeunes.</w:t>
      </w:r>
    </w:p>
    <w:p w:rsidR="001262F9" w:rsidRPr="001262F9" w:rsidRDefault="001262F9" w:rsidP="001262F9">
      <w:pPr>
        <w:pStyle w:val="SingleTxtG"/>
        <w:rPr>
          <w:lang w:val="fr-FR"/>
        </w:rPr>
      </w:pPr>
      <w:r w:rsidRPr="001262F9">
        <w:rPr>
          <w:lang w:val="fr-FR"/>
        </w:rPr>
        <w:t>(Arsenal réglementaire)</w:t>
      </w:r>
    </w:p>
    <w:p w:rsidR="001262F9" w:rsidRPr="001262F9" w:rsidRDefault="001262F9" w:rsidP="001262F9">
      <w:pPr>
        <w:pStyle w:val="SingleTxtG"/>
        <w:rPr>
          <w:lang w:val="fr-FR"/>
        </w:rPr>
      </w:pPr>
      <w:r w:rsidRPr="001262F9">
        <w:rPr>
          <w:lang w:val="fr-FR"/>
        </w:rPr>
        <w:t>527.</w:t>
      </w:r>
      <w:r w:rsidRPr="001262F9">
        <w:rPr>
          <w:lang w:val="fr-FR"/>
        </w:rPr>
        <w:tab/>
        <w:t>Ainsi que le stipulent les paragraphes 466-470 du deuxième rapport du Japon, les services chargés de l</w:t>
      </w:r>
      <w:r w:rsidR="00277023">
        <w:rPr>
          <w:lang w:val="fr-FR"/>
        </w:rPr>
        <w:t>’</w:t>
      </w:r>
      <w:r w:rsidRPr="001262F9">
        <w:rPr>
          <w:lang w:val="fr-FR"/>
        </w:rPr>
        <w:t>application de la loi associent leurs efforts pour prévenir l</w:t>
      </w:r>
      <w:r w:rsidR="00277023">
        <w:rPr>
          <w:lang w:val="fr-FR"/>
        </w:rPr>
        <w:t>’</w:t>
      </w:r>
      <w:r w:rsidRPr="001262F9">
        <w:rPr>
          <w:lang w:val="fr-FR"/>
        </w:rPr>
        <w:t>aggravation de la toxicomanie chez les jeunes, couper les filières d</w:t>
      </w:r>
      <w:r w:rsidR="00277023">
        <w:rPr>
          <w:lang w:val="fr-FR"/>
        </w:rPr>
        <w:t>’</w:t>
      </w:r>
      <w:r w:rsidRPr="001262F9">
        <w:rPr>
          <w:lang w:val="fr-FR"/>
        </w:rPr>
        <w:t>approvisionnement et supprimer la demande de drogues. Ces services intensifient leur coopération avec les écoles et d</w:t>
      </w:r>
      <w:r w:rsidR="00277023">
        <w:rPr>
          <w:lang w:val="fr-FR"/>
        </w:rPr>
        <w:t>’</w:t>
      </w:r>
      <w:r w:rsidRPr="001262F9">
        <w:rPr>
          <w:lang w:val="fr-FR"/>
        </w:rPr>
        <w:t>autres parties prenantes, et les patrouilles s</w:t>
      </w:r>
      <w:r w:rsidR="00277023">
        <w:rPr>
          <w:lang w:val="fr-FR"/>
        </w:rPr>
        <w:t>’</w:t>
      </w:r>
      <w:r w:rsidRPr="001262F9">
        <w:rPr>
          <w:lang w:val="fr-FR"/>
        </w:rPr>
        <w:t xml:space="preserve">emploient à détecter rapidement les jeunes toxicomanes et à leur offrir un accompagnement adapté. </w:t>
      </w:r>
    </w:p>
    <w:p w:rsidR="001262F9" w:rsidRPr="001262F9" w:rsidRDefault="001262F9" w:rsidP="001262F9">
      <w:pPr>
        <w:pStyle w:val="SingleTxtG"/>
        <w:rPr>
          <w:lang w:val="fr-FR"/>
        </w:rPr>
      </w:pPr>
      <w:r w:rsidRPr="001262F9">
        <w:rPr>
          <w:lang w:val="fr-FR"/>
        </w:rPr>
        <w:t>(Education en matière de prévention de la toxicomanie dans les écoles)</w:t>
      </w:r>
    </w:p>
    <w:p w:rsidR="001262F9" w:rsidRPr="001262F9" w:rsidRDefault="001262F9" w:rsidP="001262F9">
      <w:pPr>
        <w:pStyle w:val="SingleTxtG"/>
        <w:rPr>
          <w:lang w:val="fr-FR"/>
        </w:rPr>
      </w:pPr>
      <w:r w:rsidRPr="001262F9">
        <w:rPr>
          <w:lang w:val="fr-FR"/>
        </w:rPr>
        <w:t>528.</w:t>
      </w:r>
      <w:r w:rsidRPr="001262F9">
        <w:rPr>
          <w:lang w:val="fr-FR"/>
        </w:rPr>
        <w:tab/>
        <w:t>Dans les écoles, l</w:t>
      </w:r>
      <w:r w:rsidR="00277023">
        <w:rPr>
          <w:lang w:val="fr-FR"/>
        </w:rPr>
        <w:t>’</w:t>
      </w:r>
      <w:r w:rsidRPr="001262F9">
        <w:rPr>
          <w:lang w:val="fr-FR"/>
        </w:rPr>
        <w:t>éducation à la prévention de la toxicomanie est, conformément aux directives pédagogiques, dispensée dans toutes les activités scolaires, notamment dans les cours d</w:t>
      </w:r>
      <w:r w:rsidR="00277023">
        <w:rPr>
          <w:lang w:val="fr-FR"/>
        </w:rPr>
        <w:t>’</w:t>
      </w:r>
      <w:r w:rsidRPr="001262F9">
        <w:rPr>
          <w:lang w:val="fr-FR"/>
        </w:rPr>
        <w:t>éducation physique et sanitaire. De plus, le Gouvernement japonais a demandé aux conseils d</w:t>
      </w:r>
      <w:r w:rsidR="00277023">
        <w:rPr>
          <w:lang w:val="fr-FR"/>
        </w:rPr>
        <w:t>’</w:t>
      </w:r>
      <w:r w:rsidRPr="001262F9">
        <w:rPr>
          <w:lang w:val="fr-FR"/>
        </w:rPr>
        <w:t>éducation d</w:t>
      </w:r>
      <w:r w:rsidR="00277023">
        <w:rPr>
          <w:lang w:val="fr-FR"/>
        </w:rPr>
        <w:t>’</w:t>
      </w:r>
      <w:r w:rsidRPr="001262F9">
        <w:rPr>
          <w:lang w:val="fr-FR"/>
        </w:rPr>
        <w:t>organiser des cours de prévention de la toxicomanie avec les conseils de spécialistes externes, par exemple des policiers, dans tous les établissements d</w:t>
      </w:r>
      <w:r w:rsidR="00277023">
        <w:rPr>
          <w:lang w:val="fr-FR"/>
        </w:rPr>
        <w:t>’</w:t>
      </w:r>
      <w:r w:rsidRPr="001262F9">
        <w:rPr>
          <w:lang w:val="fr-FR"/>
        </w:rPr>
        <w:t>enseignement secondaire. Le Gouvernement a également mis en œuvre les mesures suivantes</w:t>
      </w:r>
      <w:r w:rsidR="00277023">
        <w:rPr>
          <w:lang w:val="fr-FR"/>
        </w:rPr>
        <w:t>:</w:t>
      </w:r>
      <w:r w:rsidRPr="001262F9">
        <w:rPr>
          <w:lang w:val="fr-FR"/>
        </w:rPr>
        <w:t xml:space="preserve"> préparer et distribuer des brochures</w:t>
      </w:r>
      <w:r w:rsidR="00EA1115">
        <w:rPr>
          <w:lang w:val="fr-FR"/>
        </w:rPr>
        <w:t xml:space="preserve"> </w:t>
      </w:r>
      <w:r w:rsidRPr="001262F9">
        <w:rPr>
          <w:lang w:val="fr-FR"/>
        </w:rPr>
        <w:t>aux élèves et des documents de référence aux enseignants, organiser des séminaires à l</w:t>
      </w:r>
      <w:r w:rsidR="00277023">
        <w:rPr>
          <w:lang w:val="fr-FR"/>
        </w:rPr>
        <w:t>’</w:t>
      </w:r>
      <w:r w:rsidRPr="001262F9">
        <w:rPr>
          <w:lang w:val="fr-FR"/>
        </w:rPr>
        <w:t>intention du personnel scolaire, mener des activités de relations publiques et de sensibilisation comme installer des écrans géants dans les stades, organiser des symposiums, promouvoir la recherche appliquée dans des domaines précis, etc. Parallèlement, outre une étude sur la vision que les élèves ont des drogues, les plans à venir incluent la préparation et la distribution de documents qui répondent de façon approfondie à diverses questions que les élèves se posent, y compris la toxicomanie.</w:t>
      </w:r>
    </w:p>
    <w:p w:rsidR="001262F9" w:rsidRPr="001262F9" w:rsidRDefault="001262F9" w:rsidP="001262F9">
      <w:pPr>
        <w:pStyle w:val="SingleTxtG"/>
        <w:rPr>
          <w:bCs/>
          <w:iCs/>
          <w:lang w:val="fr-FR"/>
        </w:rPr>
      </w:pPr>
      <w:r w:rsidRPr="001262F9">
        <w:rPr>
          <w:lang w:val="fr-FR"/>
        </w:rPr>
        <w:t>(</w:t>
      </w:r>
      <w:r w:rsidRPr="001262F9">
        <w:rPr>
          <w:bCs/>
          <w:iCs/>
          <w:lang w:val="fr-FR"/>
        </w:rPr>
        <w:t>Education en matière de prévention de la toxicomanie dans les centres de formation pour mineurs et à l</w:t>
      </w:r>
      <w:r w:rsidR="00277023">
        <w:rPr>
          <w:bCs/>
          <w:iCs/>
          <w:lang w:val="fr-FR"/>
        </w:rPr>
        <w:t>’</w:t>
      </w:r>
      <w:r w:rsidRPr="001262F9">
        <w:rPr>
          <w:bCs/>
          <w:iCs/>
          <w:lang w:val="fr-FR"/>
        </w:rPr>
        <w:t>intention des mineurs en probation)</w:t>
      </w:r>
    </w:p>
    <w:p w:rsidR="001262F9" w:rsidRPr="001262F9" w:rsidRDefault="001262F9" w:rsidP="001262F9">
      <w:pPr>
        <w:pStyle w:val="SingleTxtG"/>
        <w:rPr>
          <w:lang w:val="fr-FR"/>
        </w:rPr>
      </w:pPr>
      <w:r w:rsidRPr="001262F9">
        <w:rPr>
          <w:lang w:val="fr-FR"/>
        </w:rPr>
        <w:t>529.</w:t>
      </w:r>
      <w:r w:rsidRPr="001262F9">
        <w:rPr>
          <w:lang w:val="fr-FR"/>
        </w:rPr>
        <w:tab/>
        <w:t xml:space="preserve">Voir paragraphes 475-478 du deuxième rapport du Japon. </w:t>
      </w:r>
    </w:p>
    <w:p w:rsidR="001262F9" w:rsidRPr="001262F9" w:rsidRDefault="001262F9" w:rsidP="001262F9">
      <w:pPr>
        <w:pStyle w:val="SingleTxtG"/>
        <w:rPr>
          <w:lang w:val="fr-FR"/>
        </w:rPr>
      </w:pPr>
      <w:r w:rsidRPr="001262F9">
        <w:rPr>
          <w:lang w:val="fr-FR"/>
        </w:rPr>
        <w:t>530.</w:t>
      </w:r>
      <w:r w:rsidRPr="001262F9">
        <w:rPr>
          <w:lang w:val="fr-FR"/>
        </w:rPr>
        <w:tab/>
        <w:t>L</w:t>
      </w:r>
      <w:r w:rsidR="00277023">
        <w:rPr>
          <w:lang w:val="fr-FR"/>
        </w:rPr>
        <w:t>’</w:t>
      </w:r>
      <w:r w:rsidRPr="001262F9">
        <w:rPr>
          <w:lang w:val="fr-FR"/>
        </w:rPr>
        <w:t xml:space="preserve">éducation en matière de prévention de la toxicomanie est dispensée dans le cadre des programmes destinés à des groupes spéciaux dans les prisons pour mineurs. </w:t>
      </w:r>
    </w:p>
    <w:p w:rsidR="001262F9" w:rsidRPr="001262F9" w:rsidRDefault="001262F9" w:rsidP="001262F9">
      <w:pPr>
        <w:pStyle w:val="SingleTxtG"/>
        <w:rPr>
          <w:lang w:val="fr-FR"/>
        </w:rPr>
      </w:pPr>
      <w:r w:rsidRPr="001262F9">
        <w:rPr>
          <w:lang w:val="fr-FR"/>
        </w:rPr>
        <w:t>(Assistance dans les centres d</w:t>
      </w:r>
      <w:r w:rsidR="00277023">
        <w:rPr>
          <w:lang w:val="fr-FR"/>
        </w:rPr>
        <w:t>’</w:t>
      </w:r>
      <w:r w:rsidRPr="001262F9">
        <w:rPr>
          <w:lang w:val="fr-FR"/>
        </w:rPr>
        <w:t xml:space="preserve">aide aux mineurs) </w:t>
      </w:r>
    </w:p>
    <w:p w:rsidR="001262F9" w:rsidRPr="001262F9" w:rsidRDefault="001262F9" w:rsidP="001262F9">
      <w:pPr>
        <w:pStyle w:val="SingleTxtG"/>
        <w:rPr>
          <w:lang w:val="fr-FR"/>
        </w:rPr>
      </w:pPr>
      <w:r w:rsidRPr="001262F9">
        <w:rPr>
          <w:lang w:val="fr-FR"/>
        </w:rPr>
        <w:t>531.</w:t>
      </w:r>
      <w:r w:rsidRPr="001262F9">
        <w:rPr>
          <w:lang w:val="fr-FR"/>
        </w:rPr>
        <w:tab/>
        <w:t>Les services chargés de l</w:t>
      </w:r>
      <w:r w:rsidR="00277023">
        <w:rPr>
          <w:lang w:val="fr-FR"/>
        </w:rPr>
        <w:t>’</w:t>
      </w:r>
      <w:r w:rsidRPr="001262F9">
        <w:rPr>
          <w:lang w:val="fr-FR"/>
        </w:rPr>
        <w:t>application de la loi coopèrent avec les organisations compétentes et s</w:t>
      </w:r>
      <w:r w:rsidR="00277023">
        <w:rPr>
          <w:lang w:val="fr-FR"/>
        </w:rPr>
        <w:t>’</w:t>
      </w:r>
      <w:r w:rsidRPr="001262F9">
        <w:rPr>
          <w:lang w:val="fr-FR"/>
        </w:rPr>
        <w:t>emploient, essentiellement dans les centres d</w:t>
      </w:r>
      <w:r w:rsidR="00277023">
        <w:rPr>
          <w:lang w:val="fr-FR"/>
        </w:rPr>
        <w:t>’</w:t>
      </w:r>
      <w:r w:rsidRPr="001262F9">
        <w:rPr>
          <w:lang w:val="fr-FR"/>
        </w:rPr>
        <w:t xml:space="preserve">aide aux mineurs, à conseiller, orienter et accompagner les mineurs de façon suivie afin que les jeunes toxicomanes puissent se libérer des drogues à un stade précoce. </w:t>
      </w:r>
    </w:p>
    <w:p w:rsidR="001262F9" w:rsidRPr="001262F9" w:rsidRDefault="001262F9" w:rsidP="001262F9">
      <w:pPr>
        <w:pStyle w:val="SingleTxtG"/>
        <w:rPr>
          <w:lang w:val="fr-FR"/>
        </w:rPr>
      </w:pPr>
      <w:r w:rsidRPr="001262F9">
        <w:rPr>
          <w:lang w:val="fr-FR"/>
        </w:rPr>
        <w:t>(Statistiques)</w:t>
      </w:r>
    </w:p>
    <w:p w:rsidR="00093F0A" w:rsidRPr="001262F9" w:rsidRDefault="001262F9" w:rsidP="001262F9">
      <w:pPr>
        <w:pStyle w:val="SingleTxtG"/>
        <w:rPr>
          <w:lang w:val="fr-FR"/>
        </w:rPr>
      </w:pPr>
      <w:r w:rsidRPr="001262F9">
        <w:rPr>
          <w:lang w:val="fr-FR"/>
        </w:rPr>
        <w:t>532.</w:t>
      </w:r>
      <w:r w:rsidRPr="001262F9">
        <w:rPr>
          <w:lang w:val="fr-FR"/>
        </w:rPr>
        <w:tab/>
        <w:t xml:space="preserve">En 2005, 427 mineurs ont été arrêtés pour des infractions liées à la consommation de stimulants, 174 pour des infractions liées à la marijuana et 63 pour des infractions liées à des stupéfiants de synthèse comme </w:t>
      </w:r>
      <w:smartTag w:uri="urn:schemas-microsoft-com:office:smarttags" w:element="PersonName">
        <w:smartTagPr>
          <w:attr w:name="ProductID" w:val="la MDMA. S"/>
        </w:smartTagPr>
        <w:smartTag w:uri="urn:schemas-microsoft-com:office:smarttags" w:element="PersonName">
          <w:smartTagPr>
            <w:attr w:name="ProductID" w:val="la MDMA."/>
          </w:smartTagPr>
          <w:r w:rsidRPr="001262F9">
            <w:rPr>
              <w:lang w:val="fr-FR"/>
            </w:rPr>
            <w:t>la MDMA.</w:t>
          </w:r>
        </w:smartTag>
        <w:r w:rsidRPr="001262F9">
          <w:rPr>
            <w:lang w:val="fr-FR"/>
          </w:rPr>
          <w:t xml:space="preserve"> S</w:t>
        </w:r>
      </w:smartTag>
      <w:r w:rsidR="00277023">
        <w:rPr>
          <w:lang w:val="fr-FR"/>
        </w:rPr>
        <w:t>’</w:t>
      </w:r>
      <w:r w:rsidRPr="001262F9">
        <w:rPr>
          <w:lang w:val="fr-FR"/>
        </w:rPr>
        <w:t xml:space="preserve">agissant de la situation actuelle de la toxicomanie chez les jeunes, le nombre de mineurs arrêtés pour des infractions liées à la consommation de stimulants, qui diminuait depuis </w:t>
      </w:r>
      <w:smartTag w:uri="urn:schemas-microsoft-com:office:smarttags" w:element="metricconverter">
        <w:smartTagPr>
          <w:attr w:name="ProductID" w:val="2000, a"/>
        </w:smartTagPr>
        <w:r w:rsidRPr="001262F9">
          <w:rPr>
            <w:lang w:val="fr-FR"/>
          </w:rPr>
          <w:t>2000, a</w:t>
        </w:r>
      </w:smartTag>
      <w:r w:rsidRPr="001262F9">
        <w:rPr>
          <w:lang w:val="fr-FR"/>
        </w:rPr>
        <w:t xml:space="preserve"> augmenté, et celui des infractions liées à la marijuana et aux stupéfiants de synthèse en comprimés comme </w:t>
      </w:r>
      <w:smartTag w:uri="urn:schemas-microsoft-com:office:smarttags" w:element="PersonName">
        <w:smartTagPr>
          <w:attr w:name="ProductID" w:val="la MDMA"/>
        </w:smartTagPr>
        <w:r w:rsidRPr="001262F9">
          <w:rPr>
            <w:lang w:val="fr-FR"/>
          </w:rPr>
          <w:t>la MDMA</w:t>
        </w:r>
      </w:smartTag>
      <w:r w:rsidRPr="001262F9">
        <w:rPr>
          <w:lang w:val="fr-FR"/>
        </w:rPr>
        <w:t xml:space="preserve"> est demeuré élevé. Ainsi, le niveau de toxicomanie chez les jeunes demeure sérieux, sachant d</w:t>
      </w:r>
      <w:r w:rsidR="00277023">
        <w:rPr>
          <w:lang w:val="fr-FR"/>
        </w:rPr>
        <w:t>’</w:t>
      </w:r>
      <w:r w:rsidRPr="001262F9">
        <w:rPr>
          <w:lang w:val="fr-FR"/>
        </w:rPr>
        <w:t>autant plus que la consommation peut s</w:t>
      </w:r>
      <w:r w:rsidR="00277023">
        <w:rPr>
          <w:lang w:val="fr-FR"/>
        </w:rPr>
        <w:t>’</w:t>
      </w:r>
      <w:r w:rsidRPr="001262F9">
        <w:rPr>
          <w:lang w:val="fr-FR"/>
        </w:rPr>
        <w:t>étendre. La toxicomanie des jeunes s</w:t>
      </w:r>
      <w:r w:rsidR="00277023">
        <w:rPr>
          <w:lang w:val="fr-FR"/>
        </w:rPr>
        <w:t>’</w:t>
      </w:r>
      <w:r w:rsidRPr="001262F9">
        <w:rPr>
          <w:lang w:val="fr-FR"/>
        </w:rPr>
        <w:t>explique en partie par le fait que les mineurs ont une vision erronée des drogues, que leur résistance à cet égard est limitée et que les drogues sont devenues plus accessibles avec l</w:t>
      </w:r>
      <w:r w:rsidR="00277023">
        <w:rPr>
          <w:lang w:val="fr-FR"/>
        </w:rPr>
        <w:t>’</w:t>
      </w:r>
      <w:r w:rsidRPr="001262F9">
        <w:rPr>
          <w:lang w:val="fr-FR"/>
        </w:rPr>
        <w:t>utilisation généralisée des téléphones mobiles. De plus, outre les drogues définies dans les conventions internationales, d</w:t>
      </w:r>
      <w:r w:rsidR="00277023">
        <w:rPr>
          <w:lang w:val="fr-FR"/>
        </w:rPr>
        <w:t>’</w:t>
      </w:r>
      <w:r w:rsidRPr="001262F9">
        <w:rPr>
          <w:lang w:val="fr-FR"/>
        </w:rPr>
        <w:t>autres infractions concernent les solvants organiques comme les diluants, et en 2005, ce sont 1.394 mineurs qui ont été arrêtés pour ces infractions.</w:t>
      </w:r>
      <w:r w:rsidR="00093F0A" w:rsidRPr="001262F9">
        <w:rPr>
          <w:lang w:val="fr-FR"/>
        </w:rPr>
        <w:t xml:space="preserve"> </w:t>
      </w:r>
    </w:p>
    <w:p w:rsidR="00093F0A" w:rsidRPr="008E5027" w:rsidRDefault="00365506" w:rsidP="00675064">
      <w:pPr>
        <w:pStyle w:val="Heading1"/>
      </w:pPr>
      <w:r w:rsidRPr="00F206B8">
        <w:rPr>
          <w:lang w:val="fr-FR"/>
        </w:rPr>
        <w:t>Tableau</w:t>
      </w:r>
      <w:r w:rsidRPr="00F206B8">
        <w:rPr>
          <w:lang w:val="es-ES"/>
        </w:rPr>
        <w:t xml:space="preserve"> </w:t>
      </w:r>
      <w:r w:rsidR="00093F0A" w:rsidRPr="00675064">
        <w:t>31</w:t>
      </w:r>
    </w:p>
    <w:p w:rsidR="00093F0A" w:rsidRPr="001262F9" w:rsidRDefault="00007C02" w:rsidP="00675064">
      <w:pPr>
        <w:pStyle w:val="SingleTxtG"/>
        <w:jc w:val="left"/>
        <w:rPr>
          <w:b/>
          <w:lang w:val="es-ES"/>
        </w:rPr>
      </w:pPr>
      <w:r>
        <w:rPr>
          <w:b/>
          <w:bCs/>
        </w:rPr>
        <w:t>É</w:t>
      </w:r>
      <w:r w:rsidR="001262F9" w:rsidRPr="001262F9">
        <w:rPr>
          <w:b/>
          <w:bCs/>
          <w:lang w:val="fr-FR"/>
        </w:rPr>
        <w:t>volution du nombre de mineurs arrêtés pour des</w:t>
      </w:r>
      <w:r w:rsidR="00EA1115">
        <w:rPr>
          <w:b/>
          <w:bCs/>
          <w:lang w:val="fr-FR"/>
        </w:rPr>
        <w:t xml:space="preserve"> </w:t>
      </w:r>
      <w:r w:rsidR="001262F9" w:rsidRPr="001262F9">
        <w:rPr>
          <w:b/>
          <w:bCs/>
          <w:lang w:val="fr-FR"/>
        </w:rPr>
        <w:t>infractions liées à la toxicomanie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956"/>
        <w:gridCol w:w="957"/>
        <w:gridCol w:w="956"/>
        <w:gridCol w:w="957"/>
      </w:tblGrid>
      <w:tr w:rsidR="00093F0A" w:rsidRPr="008E5027" w:rsidTr="001262F9">
        <w:tc>
          <w:tcPr>
            <w:tcW w:w="3544" w:type="dxa"/>
            <w:tcBorders>
              <w:top w:val="single" w:sz="4" w:space="0" w:color="auto"/>
              <w:bottom w:val="single" w:sz="12" w:space="0" w:color="auto"/>
            </w:tcBorders>
            <w:shd w:val="clear" w:color="auto" w:fill="auto"/>
            <w:vAlign w:val="bottom"/>
          </w:tcPr>
          <w:p w:rsidR="00093F0A" w:rsidRPr="001262F9" w:rsidRDefault="00093F0A" w:rsidP="001262F9">
            <w:pPr>
              <w:spacing w:before="40" w:after="40" w:line="220" w:lineRule="exact"/>
              <w:rPr>
                <w:i/>
                <w:sz w:val="16"/>
                <w:lang w:val="es-ES"/>
              </w:rPr>
            </w:pPr>
          </w:p>
        </w:tc>
        <w:tc>
          <w:tcPr>
            <w:tcW w:w="956"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2002</w:t>
            </w:r>
          </w:p>
        </w:tc>
        <w:tc>
          <w:tcPr>
            <w:tcW w:w="957"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2003</w:t>
            </w:r>
          </w:p>
        </w:tc>
        <w:tc>
          <w:tcPr>
            <w:tcW w:w="956"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2004</w:t>
            </w:r>
          </w:p>
        </w:tc>
        <w:tc>
          <w:tcPr>
            <w:tcW w:w="957"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2005</w:t>
            </w:r>
          </w:p>
        </w:tc>
      </w:tr>
      <w:tr w:rsidR="001262F9" w:rsidRPr="008E5027" w:rsidTr="001262F9">
        <w:tc>
          <w:tcPr>
            <w:tcW w:w="3544" w:type="dxa"/>
            <w:tcBorders>
              <w:top w:val="single" w:sz="12" w:space="0" w:color="auto"/>
            </w:tcBorders>
            <w:shd w:val="clear" w:color="auto" w:fill="auto"/>
            <w:vAlign w:val="bottom"/>
          </w:tcPr>
          <w:p w:rsidR="001262F9" w:rsidRPr="001262F9" w:rsidRDefault="001262F9" w:rsidP="001262F9">
            <w:pPr>
              <w:spacing w:before="40" w:after="40" w:line="220" w:lineRule="exact"/>
              <w:rPr>
                <w:sz w:val="18"/>
              </w:rPr>
            </w:pPr>
            <w:r w:rsidRPr="001262F9">
              <w:rPr>
                <w:sz w:val="18"/>
              </w:rPr>
              <w:t>Stimulants</w:t>
            </w:r>
          </w:p>
        </w:tc>
        <w:tc>
          <w:tcPr>
            <w:tcW w:w="956" w:type="dxa"/>
            <w:tcBorders>
              <w:top w:val="single" w:sz="12" w:space="0" w:color="auto"/>
            </w:tcBorders>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745</w:t>
            </w:r>
          </w:p>
        </w:tc>
        <w:tc>
          <w:tcPr>
            <w:tcW w:w="957" w:type="dxa"/>
            <w:tcBorders>
              <w:top w:val="single" w:sz="12" w:space="0" w:color="auto"/>
            </w:tcBorders>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524</w:t>
            </w:r>
          </w:p>
        </w:tc>
        <w:tc>
          <w:tcPr>
            <w:tcW w:w="956" w:type="dxa"/>
            <w:tcBorders>
              <w:top w:val="single" w:sz="12" w:space="0" w:color="auto"/>
            </w:tcBorders>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388</w:t>
            </w:r>
          </w:p>
        </w:tc>
        <w:tc>
          <w:tcPr>
            <w:tcW w:w="957" w:type="dxa"/>
            <w:tcBorders>
              <w:top w:val="single" w:sz="12" w:space="0" w:color="auto"/>
            </w:tcBorders>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427</w:t>
            </w:r>
          </w:p>
        </w:tc>
      </w:tr>
      <w:tr w:rsidR="001262F9" w:rsidRPr="008E5027" w:rsidTr="001262F9">
        <w:tc>
          <w:tcPr>
            <w:tcW w:w="3544" w:type="dxa"/>
            <w:shd w:val="clear" w:color="auto" w:fill="auto"/>
            <w:vAlign w:val="bottom"/>
          </w:tcPr>
          <w:p w:rsidR="001262F9" w:rsidRPr="001262F9" w:rsidRDefault="001262F9" w:rsidP="001262F9">
            <w:pPr>
              <w:spacing w:before="40" w:after="40" w:line="220" w:lineRule="exact"/>
              <w:rPr>
                <w:sz w:val="18"/>
              </w:rPr>
            </w:pPr>
            <w:r w:rsidRPr="001262F9">
              <w:rPr>
                <w:sz w:val="18"/>
              </w:rPr>
              <w:t>Marijuana</w:t>
            </w:r>
          </w:p>
        </w:tc>
        <w:tc>
          <w:tcPr>
            <w:tcW w:w="956" w:type="dxa"/>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190</w:t>
            </w:r>
          </w:p>
        </w:tc>
        <w:tc>
          <w:tcPr>
            <w:tcW w:w="957" w:type="dxa"/>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185</w:t>
            </w:r>
          </w:p>
        </w:tc>
        <w:tc>
          <w:tcPr>
            <w:tcW w:w="956" w:type="dxa"/>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221</w:t>
            </w:r>
          </w:p>
        </w:tc>
        <w:tc>
          <w:tcPr>
            <w:tcW w:w="957" w:type="dxa"/>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174</w:t>
            </w:r>
          </w:p>
        </w:tc>
      </w:tr>
      <w:tr w:rsidR="001262F9" w:rsidRPr="008E5027" w:rsidTr="001262F9">
        <w:tc>
          <w:tcPr>
            <w:tcW w:w="3544" w:type="dxa"/>
            <w:shd w:val="clear" w:color="auto" w:fill="auto"/>
            <w:vAlign w:val="bottom"/>
          </w:tcPr>
          <w:p w:rsidR="001262F9" w:rsidRPr="001262F9" w:rsidRDefault="001262F9" w:rsidP="001262F9">
            <w:pPr>
              <w:spacing w:before="40" w:after="40" w:line="220" w:lineRule="exact"/>
              <w:rPr>
                <w:sz w:val="18"/>
                <w:lang w:val="es-ES"/>
              </w:rPr>
            </w:pPr>
            <w:r w:rsidRPr="001262F9">
              <w:rPr>
                <w:sz w:val="18"/>
                <w:lang w:val="es-ES"/>
              </w:rPr>
              <w:t>Stupéfiants de synthèse comme la MDMA</w:t>
            </w:r>
          </w:p>
        </w:tc>
        <w:tc>
          <w:tcPr>
            <w:tcW w:w="956" w:type="dxa"/>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7</w:t>
            </w:r>
          </w:p>
        </w:tc>
        <w:tc>
          <w:tcPr>
            <w:tcW w:w="957" w:type="dxa"/>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29</w:t>
            </w:r>
          </w:p>
        </w:tc>
        <w:tc>
          <w:tcPr>
            <w:tcW w:w="956" w:type="dxa"/>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67</w:t>
            </w:r>
          </w:p>
        </w:tc>
        <w:tc>
          <w:tcPr>
            <w:tcW w:w="957" w:type="dxa"/>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63</w:t>
            </w:r>
          </w:p>
        </w:tc>
      </w:tr>
      <w:tr w:rsidR="001262F9" w:rsidRPr="008E5027" w:rsidTr="001262F9">
        <w:tc>
          <w:tcPr>
            <w:tcW w:w="3544" w:type="dxa"/>
            <w:tcBorders>
              <w:bottom w:val="single" w:sz="12" w:space="0" w:color="auto"/>
            </w:tcBorders>
            <w:shd w:val="clear" w:color="auto" w:fill="auto"/>
            <w:vAlign w:val="bottom"/>
          </w:tcPr>
          <w:p w:rsidR="001262F9" w:rsidRPr="001262F9" w:rsidRDefault="001262F9" w:rsidP="001262F9">
            <w:pPr>
              <w:spacing w:before="40" w:after="40" w:line="220" w:lineRule="exact"/>
              <w:rPr>
                <w:sz w:val="18"/>
              </w:rPr>
            </w:pPr>
            <w:r w:rsidRPr="001262F9">
              <w:rPr>
                <w:sz w:val="18"/>
              </w:rPr>
              <w:t>Solvants organiques comme les diluants</w:t>
            </w:r>
          </w:p>
        </w:tc>
        <w:tc>
          <w:tcPr>
            <w:tcW w:w="956" w:type="dxa"/>
            <w:tcBorders>
              <w:bottom w:val="single" w:sz="12" w:space="0" w:color="auto"/>
            </w:tcBorders>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2 751</w:t>
            </w:r>
          </w:p>
        </w:tc>
        <w:tc>
          <w:tcPr>
            <w:tcW w:w="957" w:type="dxa"/>
            <w:tcBorders>
              <w:bottom w:val="single" w:sz="12" w:space="0" w:color="auto"/>
            </w:tcBorders>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2 835</w:t>
            </w:r>
          </w:p>
        </w:tc>
        <w:tc>
          <w:tcPr>
            <w:tcW w:w="956" w:type="dxa"/>
            <w:tcBorders>
              <w:bottom w:val="single" w:sz="12" w:space="0" w:color="auto"/>
            </w:tcBorders>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2 205</w:t>
            </w:r>
          </w:p>
        </w:tc>
        <w:tc>
          <w:tcPr>
            <w:tcW w:w="957" w:type="dxa"/>
            <w:tcBorders>
              <w:bottom w:val="single" w:sz="12" w:space="0" w:color="auto"/>
            </w:tcBorders>
            <w:shd w:val="clear" w:color="auto" w:fill="auto"/>
            <w:vAlign w:val="bottom"/>
          </w:tcPr>
          <w:p w:rsidR="001262F9" w:rsidRPr="008E5027" w:rsidRDefault="001262F9" w:rsidP="005D4774">
            <w:pPr>
              <w:suppressAutoHyphens w:val="0"/>
              <w:spacing w:before="40" w:after="40" w:line="220" w:lineRule="exact"/>
              <w:jc w:val="right"/>
              <w:rPr>
                <w:sz w:val="18"/>
              </w:rPr>
            </w:pPr>
            <w:r w:rsidRPr="008E5027">
              <w:rPr>
                <w:sz w:val="18"/>
              </w:rPr>
              <w:t>1 368</w:t>
            </w:r>
          </w:p>
        </w:tc>
      </w:tr>
    </w:tbl>
    <w:p w:rsidR="00093F0A" w:rsidRPr="008E5027" w:rsidRDefault="00093F0A" w:rsidP="00FF023F">
      <w:pPr>
        <w:spacing w:before="120" w:after="240"/>
        <w:ind w:left="1134" w:right="1134" w:firstLine="170"/>
        <w:rPr>
          <w:sz w:val="18"/>
          <w:szCs w:val="18"/>
        </w:rPr>
      </w:pPr>
      <w:r w:rsidRPr="001262F9">
        <w:rPr>
          <w:i/>
          <w:iCs/>
          <w:sz w:val="18"/>
          <w:szCs w:val="18"/>
          <w:lang w:val="es-ES"/>
        </w:rPr>
        <w:t>Sources:</w:t>
      </w:r>
      <w:r w:rsidR="007A2D83" w:rsidRPr="001262F9">
        <w:rPr>
          <w:sz w:val="18"/>
          <w:szCs w:val="18"/>
          <w:lang w:val="es-ES"/>
        </w:rPr>
        <w:t xml:space="preserve"> </w:t>
      </w:r>
      <w:r w:rsidR="001262F9" w:rsidRPr="001262F9">
        <w:rPr>
          <w:sz w:val="18"/>
          <w:szCs w:val="18"/>
          <w:lang w:val="fr-FR"/>
        </w:rPr>
        <w:t xml:space="preserve">Police nationale, Ministère de la santé, du travail et de la protection sociale, et services de surveillance côtière du Japon. La source relative aux infractions liées aux solvants organiques est </w:t>
      </w:r>
      <w:smartTag w:uri="urn:schemas-microsoft-com:office:smarttags" w:element="PersonName">
        <w:smartTagPr>
          <w:attr w:name="ProductID" w:val="la Police"/>
        </w:smartTagPr>
        <w:r w:rsidR="001262F9" w:rsidRPr="001262F9">
          <w:rPr>
            <w:sz w:val="18"/>
            <w:szCs w:val="18"/>
            <w:lang w:val="fr-FR"/>
          </w:rPr>
          <w:t>la Police</w:t>
        </w:r>
      </w:smartTag>
      <w:r w:rsidR="001262F9" w:rsidRPr="001262F9">
        <w:rPr>
          <w:sz w:val="18"/>
          <w:szCs w:val="18"/>
          <w:lang w:val="fr-FR"/>
        </w:rPr>
        <w:t xml:space="preserve"> nationale</w:t>
      </w:r>
      <w:r w:rsidR="00DE1998" w:rsidRPr="008E5027">
        <w:rPr>
          <w:sz w:val="18"/>
          <w:szCs w:val="18"/>
        </w:rPr>
        <w:t>.</w:t>
      </w:r>
    </w:p>
    <w:p w:rsidR="001262F9" w:rsidRPr="001262F9" w:rsidRDefault="001262F9" w:rsidP="001262F9">
      <w:pPr>
        <w:pStyle w:val="SingleTxtG"/>
        <w:rPr>
          <w:bCs/>
          <w:iCs/>
          <w:lang w:val="fr-FR"/>
        </w:rPr>
      </w:pPr>
      <w:r w:rsidRPr="001262F9">
        <w:rPr>
          <w:lang w:val="fr-FR"/>
        </w:rPr>
        <w:t xml:space="preserve">(b-3) </w:t>
      </w:r>
      <w:r w:rsidRPr="001262F9">
        <w:rPr>
          <w:bCs/>
          <w:iCs/>
          <w:lang w:val="fr-FR"/>
        </w:rPr>
        <w:t>Effets des mesures de prévention de la consommation d</w:t>
      </w:r>
      <w:r w:rsidR="00277023">
        <w:rPr>
          <w:bCs/>
          <w:iCs/>
          <w:lang w:val="fr-FR"/>
        </w:rPr>
        <w:t>’</w:t>
      </w:r>
      <w:r w:rsidRPr="001262F9">
        <w:rPr>
          <w:bCs/>
          <w:iCs/>
          <w:lang w:val="fr-FR"/>
        </w:rPr>
        <w:t>alcool, de tabac et d</w:t>
      </w:r>
      <w:r w:rsidR="00277023">
        <w:rPr>
          <w:bCs/>
          <w:iCs/>
          <w:lang w:val="fr-FR"/>
        </w:rPr>
        <w:t>’</w:t>
      </w:r>
      <w:r w:rsidRPr="001262F9">
        <w:rPr>
          <w:bCs/>
          <w:iCs/>
          <w:lang w:val="fr-FR"/>
        </w:rPr>
        <w:t>autres substances nuisibles chez les enfants</w:t>
      </w:r>
    </w:p>
    <w:p w:rsidR="001262F9" w:rsidRPr="001262F9" w:rsidRDefault="001262F9" w:rsidP="001262F9">
      <w:pPr>
        <w:pStyle w:val="SingleTxtG"/>
        <w:rPr>
          <w:lang w:val="fr-FR"/>
        </w:rPr>
      </w:pPr>
      <w:r w:rsidRPr="001262F9">
        <w:rPr>
          <w:lang w:val="fr-FR"/>
        </w:rPr>
        <w:t>(</w:t>
      </w:r>
      <w:r w:rsidR="008E49D4">
        <w:rPr>
          <w:lang w:val="fr-FR"/>
        </w:rPr>
        <w:t>“</w:t>
      </w:r>
      <w:r w:rsidRPr="001262F9">
        <w:rPr>
          <w:lang w:val="fr-FR"/>
        </w:rPr>
        <w:t xml:space="preserve">Healthy Japon </w:t>
      </w:r>
      <w:smartTag w:uri="urn:schemas-microsoft-com:office:smarttags" w:element="metricconverter">
        <w:smartTagPr>
          <w:attr w:name="ProductID" w:val="21”"/>
        </w:smartTagPr>
        <w:r w:rsidRPr="001262F9">
          <w:rPr>
            <w:lang w:val="fr-FR"/>
          </w:rPr>
          <w:t>21</w:t>
        </w:r>
        <w:r w:rsidR="008E49D4">
          <w:rPr>
            <w:lang w:val="fr-FR"/>
          </w:rPr>
          <w:t>”</w:t>
        </w:r>
      </w:smartTag>
      <w:r w:rsidRPr="001262F9">
        <w:rPr>
          <w:lang w:val="fr-FR"/>
        </w:rPr>
        <w:t xml:space="preserve"> et ratification des Conventions pertinentes)</w:t>
      </w:r>
    </w:p>
    <w:p w:rsidR="001262F9" w:rsidRPr="001262F9" w:rsidRDefault="001262F9" w:rsidP="001262F9">
      <w:pPr>
        <w:pStyle w:val="SingleTxtG"/>
        <w:rPr>
          <w:lang w:val="fr-FR"/>
        </w:rPr>
      </w:pPr>
      <w:r>
        <w:rPr>
          <w:lang w:val="fr-FR"/>
        </w:rPr>
        <w:t>533.</w:t>
      </w:r>
      <w:r>
        <w:rPr>
          <w:lang w:val="fr-FR"/>
        </w:rPr>
        <w:tab/>
      </w:r>
      <w:r w:rsidRPr="001262F9">
        <w:rPr>
          <w:lang w:val="fr-FR"/>
        </w:rPr>
        <w:t xml:space="preserve">En avril 2000, le Ministère de la santé, du travail et de la protection sociale a lancé une campagne intitulée </w:t>
      </w:r>
      <w:r w:rsidR="008E49D4">
        <w:rPr>
          <w:lang w:val="fr-FR"/>
        </w:rPr>
        <w:t>“</w:t>
      </w:r>
      <w:r w:rsidRPr="001262F9">
        <w:rPr>
          <w:lang w:val="fr-FR"/>
        </w:rPr>
        <w:t>Building a Healthy Japan in the 21e Century</w:t>
      </w:r>
      <w:r w:rsidR="008E49D4">
        <w:rPr>
          <w:lang w:val="fr-FR"/>
        </w:rPr>
        <w:t>”</w:t>
      </w:r>
      <w:r w:rsidRPr="001262F9">
        <w:rPr>
          <w:lang w:val="fr-FR"/>
        </w:rPr>
        <w:t xml:space="preserve"> dans l</w:t>
      </w:r>
      <w:r w:rsidR="00277023">
        <w:rPr>
          <w:lang w:val="fr-FR"/>
        </w:rPr>
        <w:t>’</w:t>
      </w:r>
      <w:r w:rsidRPr="001262F9">
        <w:rPr>
          <w:lang w:val="fr-FR"/>
        </w:rPr>
        <w:t>objectif d</w:t>
      </w:r>
      <w:r w:rsidR="00277023">
        <w:rPr>
          <w:lang w:val="fr-FR"/>
        </w:rPr>
        <w:t>’</w:t>
      </w:r>
      <w:r w:rsidRPr="001262F9">
        <w:rPr>
          <w:lang w:val="fr-FR"/>
        </w:rPr>
        <w:t>éliminer le tabagisme et l</w:t>
      </w:r>
      <w:r w:rsidR="00277023">
        <w:rPr>
          <w:lang w:val="fr-FR"/>
        </w:rPr>
        <w:t>’</w:t>
      </w:r>
      <w:r w:rsidRPr="001262F9">
        <w:rPr>
          <w:lang w:val="fr-FR"/>
        </w:rPr>
        <w:t>alcoolisme chez les mineurs d</w:t>
      </w:r>
      <w:r w:rsidR="00277023">
        <w:rPr>
          <w:lang w:val="fr-FR"/>
        </w:rPr>
        <w:t>’</w:t>
      </w:r>
      <w:r w:rsidRPr="001262F9">
        <w:rPr>
          <w:lang w:val="fr-FR"/>
        </w:rPr>
        <w:t>ici à 2010, et depuis il mène des activités éducatives sur des sujets tels que les effets du tabagisme et de l</w:t>
      </w:r>
      <w:r w:rsidR="00277023">
        <w:rPr>
          <w:lang w:val="fr-FR"/>
        </w:rPr>
        <w:t>’</w:t>
      </w:r>
      <w:r w:rsidRPr="001262F9">
        <w:rPr>
          <w:lang w:val="fr-FR"/>
        </w:rPr>
        <w:t xml:space="preserve">alcoolisme sur la santé des jeunes, à travers des symposiums et des ateliers destinés aux membres du personnel des collectivités locales. En outre, le Gouvernement japonais a ratifié en juin 2004 </w:t>
      </w:r>
      <w:smartTag w:uri="urn:schemas-microsoft-com:office:smarttags" w:element="PersonName">
        <w:smartTagPr>
          <w:attr w:name="ProductID" w:val="la Convention-cadre"/>
        </w:smartTagPr>
        <w:r w:rsidRPr="001262F9">
          <w:rPr>
            <w:lang w:val="fr-FR"/>
          </w:rPr>
          <w:t>la Convention-cadre</w:t>
        </w:r>
      </w:smartTag>
      <w:r w:rsidRPr="001262F9">
        <w:rPr>
          <w:lang w:val="fr-FR"/>
        </w:rPr>
        <w:t xml:space="preserve"> de l</w:t>
      </w:r>
      <w:r w:rsidR="00277023">
        <w:rPr>
          <w:lang w:val="fr-FR"/>
        </w:rPr>
        <w:t>’</w:t>
      </w:r>
      <w:r w:rsidRPr="001262F9">
        <w:rPr>
          <w:lang w:val="fr-FR"/>
        </w:rPr>
        <w:t>OMS pour la lutte antitabac (</w:t>
      </w:r>
      <w:r w:rsidR="008E49D4">
        <w:rPr>
          <w:lang w:val="fr-FR"/>
        </w:rPr>
        <w:t>“</w:t>
      </w:r>
      <w:r w:rsidRPr="001262F9">
        <w:rPr>
          <w:lang w:val="fr-FR"/>
        </w:rPr>
        <w:t>Convention-cadre pour la lutte antitabac</w:t>
      </w:r>
      <w:r w:rsidR="008E49D4">
        <w:rPr>
          <w:lang w:val="fr-FR"/>
        </w:rPr>
        <w:t>”</w:t>
      </w:r>
      <w:r w:rsidRPr="001262F9">
        <w:rPr>
          <w:lang w:val="fr-FR"/>
        </w:rPr>
        <w:t>), entrée en application en février 2005. Le Gouvernement a également mis en place un Comité de liaison entre les ministères et les organismes pour les mesures de lutte contre le tabac, chargé de promouvoir des mesures contre la consommation de tabac, en étroite collaboration</w:t>
      </w:r>
      <w:r w:rsidR="00EA1115">
        <w:rPr>
          <w:lang w:val="fr-FR"/>
        </w:rPr>
        <w:t xml:space="preserve"> </w:t>
      </w:r>
      <w:r w:rsidRPr="001262F9">
        <w:rPr>
          <w:lang w:val="fr-FR"/>
        </w:rPr>
        <w:t>avec les ministères et organismes compétents, ainsi qu</w:t>
      </w:r>
      <w:r w:rsidR="00277023">
        <w:rPr>
          <w:lang w:val="fr-FR"/>
        </w:rPr>
        <w:t>’</w:t>
      </w:r>
      <w:r w:rsidRPr="001262F9">
        <w:rPr>
          <w:lang w:val="fr-FR"/>
        </w:rPr>
        <w:t>un groupe de travail sur les mesures visant à empêcher les jeunes de fumer. Le Ministère envisage de redoubler d</w:t>
      </w:r>
      <w:r w:rsidR="00277023">
        <w:rPr>
          <w:lang w:val="fr-FR"/>
        </w:rPr>
        <w:t>’</w:t>
      </w:r>
      <w:r w:rsidRPr="001262F9">
        <w:rPr>
          <w:lang w:val="fr-FR"/>
        </w:rPr>
        <w:t>efforts pour réaliser l</w:t>
      </w:r>
      <w:r w:rsidR="00277023">
        <w:rPr>
          <w:lang w:val="fr-FR"/>
        </w:rPr>
        <w:t>’</w:t>
      </w:r>
      <w:r w:rsidRPr="001262F9">
        <w:rPr>
          <w:lang w:val="fr-FR"/>
        </w:rPr>
        <w:t>objectif d</w:t>
      </w:r>
      <w:r w:rsidR="00277023">
        <w:rPr>
          <w:lang w:val="fr-FR"/>
        </w:rPr>
        <w:t>’</w:t>
      </w:r>
      <w:r w:rsidRPr="001262F9">
        <w:rPr>
          <w:lang w:val="fr-FR"/>
        </w:rPr>
        <w:t>éliminer l</w:t>
      </w:r>
      <w:r w:rsidR="00277023">
        <w:rPr>
          <w:lang w:val="fr-FR"/>
        </w:rPr>
        <w:t>’</w:t>
      </w:r>
      <w:r w:rsidRPr="001262F9">
        <w:rPr>
          <w:lang w:val="fr-FR"/>
        </w:rPr>
        <w:t>alcoolisme et le tabagisme chez les jeunes, en donnant des informations exactes sur les effets du tabac et de l</w:t>
      </w:r>
      <w:r w:rsidR="00277023">
        <w:rPr>
          <w:lang w:val="fr-FR"/>
        </w:rPr>
        <w:t>’</w:t>
      </w:r>
      <w:r w:rsidRPr="001262F9">
        <w:rPr>
          <w:lang w:val="fr-FR"/>
        </w:rPr>
        <w:t>alcool sur la santé en en suscitant un débat national sur ces questions grâce à différents moyens comme des brochures et Internet.</w:t>
      </w:r>
    </w:p>
    <w:p w:rsidR="001262F9" w:rsidRPr="001262F9" w:rsidRDefault="001262F9" w:rsidP="001262F9">
      <w:pPr>
        <w:pStyle w:val="SingleTxtG"/>
        <w:rPr>
          <w:lang w:val="fr-FR"/>
        </w:rPr>
      </w:pPr>
      <w:r w:rsidRPr="001262F9">
        <w:rPr>
          <w:lang w:val="fr-FR"/>
        </w:rPr>
        <w:t xml:space="preserve">(Amendements partiels de </w:t>
      </w:r>
      <w:smartTag w:uri="urn:schemas-microsoft-com:office:smarttags" w:element="PersonName">
        <w:smartTagPr>
          <w:attr w:name="ProductID" w:val="la Loi"/>
        </w:smartTagPr>
        <w:r w:rsidRPr="001262F9">
          <w:rPr>
            <w:lang w:val="fr-FR"/>
          </w:rPr>
          <w:t>la Loi</w:t>
        </w:r>
      </w:smartTag>
      <w:r w:rsidRPr="001262F9">
        <w:rPr>
          <w:lang w:val="fr-FR"/>
        </w:rPr>
        <w:t xml:space="preserve"> sur l</w:t>
      </w:r>
      <w:r w:rsidR="00277023">
        <w:rPr>
          <w:lang w:val="fr-FR"/>
        </w:rPr>
        <w:t>’</w:t>
      </w:r>
      <w:r w:rsidRPr="001262F9">
        <w:rPr>
          <w:lang w:val="fr-FR"/>
        </w:rPr>
        <w:t>interdiction faite aux mineurs de boire de l</w:t>
      </w:r>
      <w:r w:rsidR="00277023">
        <w:rPr>
          <w:lang w:val="fr-FR"/>
        </w:rPr>
        <w:t>’</w:t>
      </w:r>
      <w:r w:rsidRPr="001262F9">
        <w:rPr>
          <w:lang w:val="fr-FR"/>
        </w:rPr>
        <w:t xml:space="preserve">alcool et de </w:t>
      </w:r>
      <w:smartTag w:uri="urn:schemas-microsoft-com:office:smarttags" w:element="PersonName">
        <w:smartTagPr>
          <w:attr w:name="ProductID" w:val="la Loi"/>
        </w:smartTagPr>
        <w:r w:rsidRPr="001262F9">
          <w:rPr>
            <w:lang w:val="fr-FR"/>
          </w:rPr>
          <w:t>la Loi</w:t>
        </w:r>
      </w:smartTag>
      <w:r w:rsidRPr="001262F9">
        <w:rPr>
          <w:lang w:val="fr-FR"/>
        </w:rPr>
        <w:t xml:space="preserve"> sur l</w:t>
      </w:r>
      <w:r w:rsidR="00277023">
        <w:rPr>
          <w:lang w:val="fr-FR"/>
        </w:rPr>
        <w:t>’</w:t>
      </w:r>
      <w:r w:rsidRPr="001262F9">
        <w:rPr>
          <w:lang w:val="fr-FR"/>
        </w:rPr>
        <w:t xml:space="preserve">interdiction faite aux mineurs de fumer) </w:t>
      </w:r>
    </w:p>
    <w:p w:rsidR="001262F9" w:rsidRPr="001262F9" w:rsidRDefault="001262F9" w:rsidP="001262F9">
      <w:pPr>
        <w:pStyle w:val="SingleTxtG"/>
        <w:rPr>
          <w:lang w:val="fr-FR"/>
        </w:rPr>
      </w:pPr>
      <w:r w:rsidRPr="001262F9">
        <w:rPr>
          <w:lang w:val="fr-FR"/>
        </w:rPr>
        <w:t>534.</w:t>
      </w:r>
      <w:r w:rsidRPr="001262F9">
        <w:rPr>
          <w:lang w:val="fr-FR"/>
        </w:rPr>
        <w:tab/>
        <w:t>S</w:t>
      </w:r>
      <w:r w:rsidR="00277023">
        <w:rPr>
          <w:lang w:val="fr-FR"/>
        </w:rPr>
        <w:t>’</w:t>
      </w:r>
      <w:r w:rsidRPr="001262F9">
        <w:rPr>
          <w:lang w:val="fr-FR"/>
        </w:rPr>
        <w:t xml:space="preserve">agissant des amendements partiels de </w:t>
      </w:r>
      <w:smartTag w:uri="urn:schemas-microsoft-com:office:smarttags" w:element="PersonName">
        <w:smartTagPr>
          <w:attr w:name="ProductID" w:val="la Loi"/>
        </w:smartTagPr>
        <w:r w:rsidRPr="001262F9">
          <w:rPr>
            <w:lang w:val="fr-FR"/>
          </w:rPr>
          <w:t>la Loi</w:t>
        </w:r>
      </w:smartTag>
      <w:r w:rsidRPr="001262F9">
        <w:rPr>
          <w:lang w:val="fr-FR"/>
        </w:rPr>
        <w:t xml:space="preserve"> sur l</w:t>
      </w:r>
      <w:r w:rsidR="00277023">
        <w:rPr>
          <w:lang w:val="fr-FR"/>
        </w:rPr>
        <w:t>’</w:t>
      </w:r>
      <w:r w:rsidRPr="001262F9">
        <w:rPr>
          <w:lang w:val="fr-FR"/>
        </w:rPr>
        <w:t>interdiction faite aux mineurs de boire de l</w:t>
      </w:r>
      <w:r w:rsidR="00277023">
        <w:rPr>
          <w:lang w:val="fr-FR"/>
        </w:rPr>
        <w:t>’</w:t>
      </w:r>
      <w:r w:rsidRPr="001262F9">
        <w:rPr>
          <w:lang w:val="fr-FR"/>
        </w:rPr>
        <w:t xml:space="preserve">alcool et de </w:t>
      </w:r>
      <w:smartTag w:uri="urn:schemas-microsoft-com:office:smarttags" w:element="PersonName">
        <w:smartTagPr>
          <w:attr w:name="ProductID" w:val="la Loi"/>
        </w:smartTagPr>
        <w:r w:rsidRPr="001262F9">
          <w:rPr>
            <w:lang w:val="fr-FR"/>
          </w:rPr>
          <w:t>la Loi</w:t>
        </w:r>
      </w:smartTag>
      <w:r w:rsidRPr="001262F9">
        <w:rPr>
          <w:lang w:val="fr-FR"/>
        </w:rPr>
        <w:t xml:space="preserve"> sur l</w:t>
      </w:r>
      <w:r w:rsidR="00277023">
        <w:rPr>
          <w:lang w:val="fr-FR"/>
        </w:rPr>
        <w:t>’</w:t>
      </w:r>
      <w:r w:rsidRPr="001262F9">
        <w:rPr>
          <w:lang w:val="fr-FR"/>
        </w:rPr>
        <w:t xml:space="preserve">interdiction faite aux mineurs de fumer, voir paragraphe 13. Voir également paragraphes 479-484 du deuxième rapport du Japon. </w:t>
      </w:r>
    </w:p>
    <w:p w:rsidR="00093F0A" w:rsidRPr="001262F9" w:rsidRDefault="001262F9" w:rsidP="001262F9">
      <w:pPr>
        <w:pStyle w:val="SingleTxtG"/>
        <w:rPr>
          <w:lang w:val="fr-FR"/>
        </w:rPr>
      </w:pPr>
      <w:r w:rsidRPr="001262F9">
        <w:rPr>
          <w:lang w:val="fr-FR"/>
        </w:rPr>
        <w:t>535.</w:t>
      </w:r>
      <w:r w:rsidRPr="001262F9">
        <w:rPr>
          <w:lang w:val="fr-FR"/>
        </w:rPr>
        <w:tab/>
        <w:t>Dans l</w:t>
      </w:r>
      <w:r w:rsidR="00277023">
        <w:rPr>
          <w:lang w:val="fr-FR"/>
        </w:rPr>
        <w:t>’</w:t>
      </w:r>
      <w:r w:rsidRPr="001262F9">
        <w:rPr>
          <w:lang w:val="fr-FR"/>
        </w:rPr>
        <w:t>objectif d</w:t>
      </w:r>
      <w:r w:rsidR="00277023">
        <w:rPr>
          <w:lang w:val="fr-FR"/>
        </w:rPr>
        <w:t>’</w:t>
      </w:r>
      <w:r w:rsidRPr="001262F9">
        <w:rPr>
          <w:lang w:val="fr-FR"/>
        </w:rPr>
        <w:t>assurer que les boissons alcoolisées et le tabac ne sont pas facilement accessibles aux mineurs, les services chargés de l</w:t>
      </w:r>
      <w:r w:rsidR="00277023">
        <w:rPr>
          <w:lang w:val="fr-FR"/>
        </w:rPr>
        <w:t>’</w:t>
      </w:r>
      <w:r w:rsidRPr="001262F9">
        <w:rPr>
          <w:lang w:val="fr-FR"/>
        </w:rPr>
        <w:t>application de la loi donnent des instructions précises et imposent des contrôles sévères aux vendeurs, et ils encouragent les industries concernées à prendre d</w:t>
      </w:r>
      <w:r w:rsidR="00277023">
        <w:rPr>
          <w:lang w:val="fr-FR"/>
        </w:rPr>
        <w:t>’</w:t>
      </w:r>
      <w:r w:rsidRPr="001262F9">
        <w:rPr>
          <w:lang w:val="fr-FR"/>
        </w:rPr>
        <w:t>elles-mêmes des mesures réglementaires à cet égard.</w:t>
      </w:r>
      <w:r w:rsidR="00093F0A" w:rsidRPr="001262F9">
        <w:rPr>
          <w:lang w:val="fr-FR"/>
        </w:rPr>
        <w:t xml:space="preserve"> </w:t>
      </w:r>
    </w:p>
    <w:p w:rsidR="00093F0A" w:rsidRPr="001262F9" w:rsidRDefault="00365506" w:rsidP="00093F0A">
      <w:pPr>
        <w:pStyle w:val="Heading1"/>
        <w:rPr>
          <w:lang w:val="es-ES"/>
        </w:rPr>
      </w:pPr>
      <w:r w:rsidRPr="00F206B8">
        <w:rPr>
          <w:lang w:val="fr-FR"/>
        </w:rPr>
        <w:t>Tableau</w:t>
      </w:r>
      <w:r w:rsidRPr="00F206B8">
        <w:rPr>
          <w:lang w:val="es-ES"/>
        </w:rPr>
        <w:t xml:space="preserve"> </w:t>
      </w:r>
      <w:r w:rsidR="00093F0A" w:rsidRPr="001262F9">
        <w:rPr>
          <w:lang w:val="es-ES"/>
        </w:rPr>
        <w:t>32</w:t>
      </w:r>
    </w:p>
    <w:p w:rsidR="00093F0A" w:rsidRPr="001262F9" w:rsidRDefault="00007C02" w:rsidP="00C874F0">
      <w:pPr>
        <w:pStyle w:val="SingleTxtG"/>
        <w:jc w:val="left"/>
        <w:rPr>
          <w:b/>
          <w:lang w:val="es-ES"/>
        </w:rPr>
      </w:pPr>
      <w:r>
        <w:rPr>
          <w:b/>
          <w:bCs/>
          <w:lang w:val="fr-FR"/>
        </w:rPr>
        <w:t>É</w:t>
      </w:r>
      <w:r w:rsidR="001262F9" w:rsidRPr="001262F9">
        <w:rPr>
          <w:b/>
          <w:bCs/>
          <w:lang w:val="fr-FR"/>
        </w:rPr>
        <w:t xml:space="preserve">volution du nombre de mineurs placés en détention provisoire en application de </w:t>
      </w:r>
      <w:smartTag w:uri="urn:schemas-microsoft-com:office:smarttags" w:element="PersonName">
        <w:smartTagPr>
          <w:attr w:name="ProductID" w:val="la Loi"/>
        </w:smartTagPr>
        <w:r w:rsidR="001262F9" w:rsidRPr="001262F9">
          <w:rPr>
            <w:b/>
            <w:bCs/>
            <w:lang w:val="fr-FR"/>
          </w:rPr>
          <w:t>la Loi</w:t>
        </w:r>
      </w:smartTag>
      <w:r w:rsidR="001262F9" w:rsidRPr="001262F9">
        <w:rPr>
          <w:b/>
          <w:bCs/>
          <w:lang w:val="fr-FR"/>
        </w:rPr>
        <w:t xml:space="preserve"> sur l</w:t>
      </w:r>
      <w:r w:rsidR="00277023">
        <w:rPr>
          <w:b/>
          <w:bCs/>
          <w:lang w:val="fr-FR"/>
        </w:rPr>
        <w:t>’</w:t>
      </w:r>
      <w:r w:rsidR="001262F9" w:rsidRPr="001262F9">
        <w:rPr>
          <w:b/>
          <w:bCs/>
          <w:lang w:val="fr-FR"/>
        </w:rPr>
        <w:t>interdiction faite aux mineurs de consommer de l</w:t>
      </w:r>
      <w:r w:rsidR="00277023">
        <w:rPr>
          <w:b/>
          <w:bCs/>
          <w:lang w:val="fr-FR"/>
        </w:rPr>
        <w:t>’</w:t>
      </w:r>
      <w:r w:rsidR="001262F9" w:rsidRPr="001262F9">
        <w:rPr>
          <w:b/>
          <w:bCs/>
          <w:lang w:val="fr-FR"/>
        </w:rPr>
        <w:t xml:space="preserve">alcool et de </w:t>
      </w:r>
      <w:smartTag w:uri="urn:schemas-microsoft-com:office:smarttags" w:element="PersonName">
        <w:smartTagPr>
          <w:attr w:name="ProductID" w:val="la Loi"/>
        </w:smartTagPr>
        <w:r w:rsidR="001262F9" w:rsidRPr="001262F9">
          <w:rPr>
            <w:b/>
            <w:bCs/>
            <w:lang w:val="fr-FR"/>
          </w:rPr>
          <w:t>la Loi</w:t>
        </w:r>
      </w:smartTag>
      <w:r w:rsidR="001262F9" w:rsidRPr="001262F9">
        <w:rPr>
          <w:b/>
          <w:bCs/>
          <w:lang w:val="fr-FR"/>
        </w:rPr>
        <w:t xml:space="preserve"> sur l</w:t>
      </w:r>
      <w:r w:rsidR="00277023">
        <w:rPr>
          <w:b/>
          <w:bCs/>
          <w:lang w:val="fr-FR"/>
        </w:rPr>
        <w:t>’</w:t>
      </w:r>
      <w:r w:rsidR="001262F9" w:rsidRPr="001262F9">
        <w:rPr>
          <w:b/>
          <w:bCs/>
          <w:lang w:val="fr-FR"/>
        </w:rPr>
        <w:t>interdiction faite aux mineurs de fumer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0"/>
        <w:gridCol w:w="637"/>
        <w:gridCol w:w="638"/>
        <w:gridCol w:w="637"/>
        <w:gridCol w:w="638"/>
      </w:tblGrid>
      <w:tr w:rsidR="00093F0A" w:rsidRPr="008E5027" w:rsidTr="001754E4">
        <w:trPr>
          <w:tblHeader/>
        </w:trPr>
        <w:tc>
          <w:tcPr>
            <w:tcW w:w="4820" w:type="dxa"/>
            <w:tcBorders>
              <w:top w:val="single" w:sz="4" w:space="0" w:color="auto"/>
              <w:bottom w:val="single" w:sz="12" w:space="0" w:color="auto"/>
            </w:tcBorders>
            <w:shd w:val="clear" w:color="auto" w:fill="auto"/>
            <w:vAlign w:val="bottom"/>
          </w:tcPr>
          <w:p w:rsidR="00093F0A" w:rsidRPr="001262F9" w:rsidRDefault="00093F0A" w:rsidP="005D4774">
            <w:pPr>
              <w:spacing w:before="80" w:after="80" w:line="200" w:lineRule="exact"/>
              <w:rPr>
                <w:i/>
                <w:sz w:val="16"/>
                <w:lang w:val="es-ES"/>
              </w:rPr>
            </w:pPr>
          </w:p>
        </w:tc>
        <w:tc>
          <w:tcPr>
            <w:tcW w:w="637" w:type="dxa"/>
            <w:tcBorders>
              <w:top w:val="single" w:sz="4" w:space="0" w:color="auto"/>
              <w:bottom w:val="single" w:sz="12" w:space="0" w:color="auto"/>
            </w:tcBorders>
            <w:shd w:val="clear" w:color="auto" w:fill="auto"/>
            <w:vAlign w:val="bottom"/>
          </w:tcPr>
          <w:p w:rsidR="00093F0A" w:rsidRPr="008E5027" w:rsidRDefault="00093F0A" w:rsidP="001754E4">
            <w:pPr>
              <w:spacing w:before="80" w:after="80" w:line="200" w:lineRule="exact"/>
              <w:jc w:val="right"/>
              <w:rPr>
                <w:i/>
                <w:sz w:val="16"/>
              </w:rPr>
            </w:pPr>
            <w:r w:rsidRPr="008E5027">
              <w:rPr>
                <w:i/>
                <w:sz w:val="16"/>
              </w:rPr>
              <w:t>2001</w:t>
            </w:r>
          </w:p>
        </w:tc>
        <w:tc>
          <w:tcPr>
            <w:tcW w:w="638" w:type="dxa"/>
            <w:tcBorders>
              <w:top w:val="single" w:sz="4" w:space="0" w:color="auto"/>
              <w:bottom w:val="single" w:sz="12" w:space="0" w:color="auto"/>
            </w:tcBorders>
            <w:shd w:val="clear" w:color="auto" w:fill="auto"/>
            <w:vAlign w:val="bottom"/>
          </w:tcPr>
          <w:p w:rsidR="00093F0A" w:rsidRPr="008E5027" w:rsidRDefault="00093F0A" w:rsidP="001754E4">
            <w:pPr>
              <w:spacing w:before="80" w:after="80" w:line="200" w:lineRule="exact"/>
              <w:jc w:val="right"/>
              <w:rPr>
                <w:i/>
                <w:sz w:val="16"/>
              </w:rPr>
            </w:pPr>
            <w:r w:rsidRPr="008E5027">
              <w:rPr>
                <w:i/>
                <w:sz w:val="16"/>
              </w:rPr>
              <w:t>2002</w:t>
            </w:r>
          </w:p>
        </w:tc>
        <w:tc>
          <w:tcPr>
            <w:tcW w:w="637" w:type="dxa"/>
            <w:tcBorders>
              <w:top w:val="single" w:sz="4" w:space="0" w:color="auto"/>
              <w:bottom w:val="single" w:sz="12" w:space="0" w:color="auto"/>
            </w:tcBorders>
            <w:shd w:val="clear" w:color="auto" w:fill="auto"/>
            <w:vAlign w:val="bottom"/>
          </w:tcPr>
          <w:p w:rsidR="00093F0A" w:rsidRPr="008E5027" w:rsidRDefault="00093F0A" w:rsidP="001754E4">
            <w:pPr>
              <w:spacing w:before="80" w:after="80" w:line="200" w:lineRule="exact"/>
              <w:jc w:val="right"/>
              <w:rPr>
                <w:i/>
                <w:sz w:val="16"/>
              </w:rPr>
            </w:pPr>
            <w:r w:rsidRPr="008E5027">
              <w:rPr>
                <w:i/>
                <w:sz w:val="16"/>
              </w:rPr>
              <w:t>2003</w:t>
            </w:r>
          </w:p>
        </w:tc>
        <w:tc>
          <w:tcPr>
            <w:tcW w:w="638" w:type="dxa"/>
            <w:tcBorders>
              <w:top w:val="single" w:sz="4" w:space="0" w:color="auto"/>
              <w:bottom w:val="single" w:sz="12" w:space="0" w:color="auto"/>
            </w:tcBorders>
            <w:shd w:val="clear" w:color="auto" w:fill="auto"/>
            <w:vAlign w:val="bottom"/>
          </w:tcPr>
          <w:p w:rsidR="00093F0A" w:rsidRPr="008E5027" w:rsidRDefault="00093F0A" w:rsidP="001754E4">
            <w:pPr>
              <w:spacing w:before="80" w:after="80" w:line="200" w:lineRule="exact"/>
              <w:jc w:val="right"/>
              <w:rPr>
                <w:i/>
                <w:sz w:val="16"/>
              </w:rPr>
            </w:pPr>
            <w:r w:rsidRPr="008E5027">
              <w:rPr>
                <w:i/>
                <w:sz w:val="16"/>
              </w:rPr>
              <w:t>2004</w:t>
            </w:r>
          </w:p>
        </w:tc>
      </w:tr>
      <w:tr w:rsidR="00093F0A" w:rsidRPr="008E5027" w:rsidTr="001754E4">
        <w:tc>
          <w:tcPr>
            <w:tcW w:w="4820" w:type="dxa"/>
            <w:tcBorders>
              <w:top w:val="single" w:sz="12" w:space="0" w:color="auto"/>
            </w:tcBorders>
            <w:shd w:val="clear" w:color="auto" w:fill="auto"/>
            <w:vAlign w:val="bottom"/>
          </w:tcPr>
          <w:p w:rsidR="00093F0A" w:rsidRPr="001754E4" w:rsidRDefault="001754E4" w:rsidP="005D4774">
            <w:pPr>
              <w:suppressAutoHyphens w:val="0"/>
              <w:spacing w:before="40" w:after="40" w:line="220" w:lineRule="exact"/>
              <w:rPr>
                <w:sz w:val="18"/>
              </w:rPr>
            </w:pPr>
            <w:r w:rsidRPr="001754E4">
              <w:rPr>
                <w:sz w:val="18"/>
              </w:rPr>
              <w:t>Loi sur l</w:t>
            </w:r>
            <w:r w:rsidR="00277023">
              <w:rPr>
                <w:sz w:val="18"/>
              </w:rPr>
              <w:t>’</w:t>
            </w:r>
            <w:r w:rsidRPr="001754E4">
              <w:rPr>
                <w:sz w:val="18"/>
              </w:rPr>
              <w:t>interdiction faite aux mineurs de boire de l</w:t>
            </w:r>
            <w:r w:rsidR="00277023">
              <w:rPr>
                <w:sz w:val="18"/>
              </w:rPr>
              <w:t>’</w:t>
            </w:r>
            <w:r w:rsidRPr="001754E4">
              <w:rPr>
                <w:sz w:val="18"/>
              </w:rPr>
              <w:t>alcool</w:t>
            </w:r>
          </w:p>
        </w:tc>
        <w:tc>
          <w:tcPr>
            <w:tcW w:w="637" w:type="dxa"/>
            <w:tcBorders>
              <w:top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159</w:t>
            </w:r>
          </w:p>
        </w:tc>
        <w:tc>
          <w:tcPr>
            <w:tcW w:w="638" w:type="dxa"/>
            <w:tcBorders>
              <w:top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133</w:t>
            </w:r>
          </w:p>
        </w:tc>
        <w:tc>
          <w:tcPr>
            <w:tcW w:w="637" w:type="dxa"/>
            <w:tcBorders>
              <w:top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170</w:t>
            </w:r>
          </w:p>
        </w:tc>
        <w:tc>
          <w:tcPr>
            <w:tcW w:w="638" w:type="dxa"/>
            <w:tcBorders>
              <w:top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158</w:t>
            </w:r>
          </w:p>
        </w:tc>
      </w:tr>
      <w:tr w:rsidR="00093F0A" w:rsidRPr="008E5027" w:rsidTr="001754E4">
        <w:tc>
          <w:tcPr>
            <w:tcW w:w="4820" w:type="dxa"/>
            <w:shd w:val="clear" w:color="auto" w:fill="auto"/>
            <w:vAlign w:val="bottom"/>
          </w:tcPr>
          <w:p w:rsidR="00093F0A" w:rsidRPr="001754E4" w:rsidRDefault="00093F0A" w:rsidP="001754E4">
            <w:pPr>
              <w:tabs>
                <w:tab w:val="left" w:pos="284"/>
              </w:tabs>
              <w:suppressAutoHyphens w:val="0"/>
              <w:spacing w:before="40" w:after="40" w:line="220" w:lineRule="exact"/>
              <w:ind w:left="284" w:hanging="284"/>
              <w:rPr>
                <w:sz w:val="18"/>
                <w:lang w:val="es-ES"/>
              </w:rPr>
            </w:pPr>
            <w:r w:rsidRPr="00277023">
              <w:rPr>
                <w:sz w:val="18"/>
                <w:lang w:val="es-ES"/>
              </w:rPr>
              <w:tab/>
            </w:r>
            <w:r w:rsidR="001754E4" w:rsidRPr="001754E4">
              <w:rPr>
                <w:sz w:val="18"/>
                <w:lang w:val="es-ES"/>
              </w:rPr>
              <w:t>Consommation non restreinte par une personne investie de l</w:t>
            </w:r>
            <w:r w:rsidR="00277023">
              <w:rPr>
                <w:sz w:val="18"/>
                <w:lang w:val="es-ES"/>
              </w:rPr>
              <w:t>’</w:t>
            </w:r>
            <w:r w:rsidR="001754E4" w:rsidRPr="001754E4">
              <w:rPr>
                <w:sz w:val="18"/>
                <w:lang w:val="es-ES"/>
              </w:rPr>
              <w:t>autorité parentale</w:t>
            </w:r>
          </w:p>
        </w:tc>
        <w:tc>
          <w:tcPr>
            <w:tcW w:w="637"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9</w:t>
            </w:r>
          </w:p>
        </w:tc>
        <w:tc>
          <w:tcPr>
            <w:tcW w:w="638"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10</w:t>
            </w:r>
          </w:p>
        </w:tc>
        <w:tc>
          <w:tcPr>
            <w:tcW w:w="637"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13</w:t>
            </w:r>
          </w:p>
        </w:tc>
        <w:tc>
          <w:tcPr>
            <w:tcW w:w="638"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8</w:t>
            </w:r>
          </w:p>
        </w:tc>
      </w:tr>
      <w:tr w:rsidR="00093F0A" w:rsidRPr="008E5027" w:rsidTr="001754E4">
        <w:tc>
          <w:tcPr>
            <w:tcW w:w="4820" w:type="dxa"/>
            <w:shd w:val="clear" w:color="auto" w:fill="auto"/>
            <w:vAlign w:val="bottom"/>
          </w:tcPr>
          <w:p w:rsidR="00093F0A" w:rsidRPr="001754E4" w:rsidRDefault="00093F0A" w:rsidP="005D4774">
            <w:pPr>
              <w:tabs>
                <w:tab w:val="left" w:pos="284"/>
              </w:tabs>
              <w:suppressAutoHyphens w:val="0"/>
              <w:spacing w:before="40" w:after="40" w:line="220" w:lineRule="exact"/>
              <w:rPr>
                <w:sz w:val="18"/>
              </w:rPr>
            </w:pPr>
            <w:r w:rsidRPr="008E5027">
              <w:rPr>
                <w:sz w:val="18"/>
              </w:rPr>
              <w:tab/>
            </w:r>
            <w:r w:rsidR="001754E4" w:rsidRPr="001754E4">
              <w:rPr>
                <w:sz w:val="18"/>
              </w:rPr>
              <w:t>Vendeur sachant que son client est mineur</w:t>
            </w:r>
          </w:p>
        </w:tc>
        <w:tc>
          <w:tcPr>
            <w:tcW w:w="637"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150</w:t>
            </w:r>
          </w:p>
        </w:tc>
        <w:tc>
          <w:tcPr>
            <w:tcW w:w="638"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123</w:t>
            </w:r>
          </w:p>
        </w:tc>
        <w:tc>
          <w:tcPr>
            <w:tcW w:w="637"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157</w:t>
            </w:r>
          </w:p>
        </w:tc>
        <w:tc>
          <w:tcPr>
            <w:tcW w:w="638"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150</w:t>
            </w:r>
          </w:p>
        </w:tc>
      </w:tr>
      <w:tr w:rsidR="00093F0A" w:rsidRPr="008E5027" w:rsidTr="001754E4">
        <w:tc>
          <w:tcPr>
            <w:tcW w:w="4820" w:type="dxa"/>
            <w:shd w:val="clear" w:color="auto" w:fill="auto"/>
            <w:vAlign w:val="bottom"/>
          </w:tcPr>
          <w:p w:rsidR="00093F0A" w:rsidRPr="001754E4" w:rsidRDefault="001754E4" w:rsidP="005D4774">
            <w:pPr>
              <w:suppressAutoHyphens w:val="0"/>
              <w:spacing w:before="40" w:after="40" w:line="220" w:lineRule="exact"/>
              <w:rPr>
                <w:sz w:val="18"/>
              </w:rPr>
            </w:pPr>
            <w:r w:rsidRPr="001754E4">
              <w:rPr>
                <w:sz w:val="18"/>
              </w:rPr>
              <w:t>Loi sur l</w:t>
            </w:r>
            <w:r w:rsidR="00277023">
              <w:rPr>
                <w:sz w:val="18"/>
              </w:rPr>
              <w:t>’</w:t>
            </w:r>
            <w:r w:rsidRPr="001754E4">
              <w:rPr>
                <w:sz w:val="18"/>
              </w:rPr>
              <w:t>interdiction faite aux mineurs de fumer</w:t>
            </w:r>
          </w:p>
        </w:tc>
        <w:tc>
          <w:tcPr>
            <w:tcW w:w="637"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6</w:t>
            </w:r>
          </w:p>
        </w:tc>
        <w:tc>
          <w:tcPr>
            <w:tcW w:w="638"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12</w:t>
            </w:r>
          </w:p>
        </w:tc>
        <w:tc>
          <w:tcPr>
            <w:tcW w:w="637"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18</w:t>
            </w:r>
          </w:p>
        </w:tc>
        <w:tc>
          <w:tcPr>
            <w:tcW w:w="638"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31</w:t>
            </w:r>
          </w:p>
        </w:tc>
      </w:tr>
      <w:tr w:rsidR="00093F0A" w:rsidRPr="008E5027" w:rsidTr="001754E4">
        <w:tc>
          <w:tcPr>
            <w:tcW w:w="4820" w:type="dxa"/>
            <w:shd w:val="clear" w:color="auto" w:fill="auto"/>
            <w:vAlign w:val="bottom"/>
          </w:tcPr>
          <w:p w:rsidR="00093F0A" w:rsidRPr="001754E4" w:rsidRDefault="00093F0A" w:rsidP="001754E4">
            <w:pPr>
              <w:tabs>
                <w:tab w:val="left" w:pos="284"/>
              </w:tabs>
              <w:suppressAutoHyphens w:val="0"/>
              <w:spacing w:before="40" w:after="40" w:line="220" w:lineRule="exact"/>
              <w:ind w:left="284" w:hanging="284"/>
              <w:rPr>
                <w:sz w:val="18"/>
                <w:lang w:val="es-ES"/>
              </w:rPr>
            </w:pPr>
            <w:r w:rsidRPr="00277023">
              <w:rPr>
                <w:sz w:val="18"/>
                <w:lang w:val="es-ES"/>
              </w:rPr>
              <w:tab/>
            </w:r>
            <w:r w:rsidR="001754E4" w:rsidRPr="001754E4">
              <w:rPr>
                <w:sz w:val="18"/>
                <w:lang w:val="es-ES"/>
              </w:rPr>
              <w:t>Consommation non restreinte par une personne investie de l</w:t>
            </w:r>
            <w:r w:rsidR="00277023">
              <w:rPr>
                <w:sz w:val="18"/>
                <w:lang w:val="es-ES"/>
              </w:rPr>
              <w:t>’</w:t>
            </w:r>
            <w:r w:rsidR="001754E4" w:rsidRPr="001754E4">
              <w:rPr>
                <w:sz w:val="18"/>
                <w:lang w:val="es-ES"/>
              </w:rPr>
              <w:t>autorité parentale</w:t>
            </w:r>
          </w:p>
        </w:tc>
        <w:tc>
          <w:tcPr>
            <w:tcW w:w="637"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3</w:t>
            </w:r>
          </w:p>
        </w:tc>
        <w:tc>
          <w:tcPr>
            <w:tcW w:w="638"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9</w:t>
            </w:r>
          </w:p>
        </w:tc>
        <w:tc>
          <w:tcPr>
            <w:tcW w:w="637"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6</w:t>
            </w:r>
          </w:p>
        </w:tc>
        <w:tc>
          <w:tcPr>
            <w:tcW w:w="638" w:type="dxa"/>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26</w:t>
            </w:r>
          </w:p>
        </w:tc>
      </w:tr>
      <w:tr w:rsidR="00093F0A" w:rsidRPr="008E5027" w:rsidTr="001754E4">
        <w:tc>
          <w:tcPr>
            <w:tcW w:w="4820" w:type="dxa"/>
            <w:tcBorders>
              <w:bottom w:val="single" w:sz="12" w:space="0" w:color="auto"/>
            </w:tcBorders>
            <w:shd w:val="clear" w:color="auto" w:fill="auto"/>
            <w:vAlign w:val="bottom"/>
          </w:tcPr>
          <w:p w:rsidR="00093F0A" w:rsidRPr="001754E4" w:rsidRDefault="00093F0A" w:rsidP="005D4774">
            <w:pPr>
              <w:tabs>
                <w:tab w:val="left" w:pos="284"/>
              </w:tabs>
              <w:suppressAutoHyphens w:val="0"/>
              <w:spacing w:before="40" w:after="40" w:line="220" w:lineRule="exact"/>
              <w:rPr>
                <w:sz w:val="18"/>
              </w:rPr>
            </w:pPr>
            <w:r w:rsidRPr="008E5027">
              <w:rPr>
                <w:sz w:val="18"/>
              </w:rPr>
              <w:tab/>
            </w:r>
            <w:r w:rsidR="001754E4" w:rsidRPr="001754E4">
              <w:rPr>
                <w:sz w:val="18"/>
              </w:rPr>
              <w:t>Vendeur sachant que son client est mineur</w:t>
            </w:r>
          </w:p>
        </w:tc>
        <w:tc>
          <w:tcPr>
            <w:tcW w:w="637" w:type="dxa"/>
            <w:tcBorders>
              <w:bottom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3</w:t>
            </w:r>
          </w:p>
        </w:tc>
        <w:tc>
          <w:tcPr>
            <w:tcW w:w="638" w:type="dxa"/>
            <w:tcBorders>
              <w:bottom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3</w:t>
            </w:r>
          </w:p>
        </w:tc>
        <w:tc>
          <w:tcPr>
            <w:tcW w:w="637" w:type="dxa"/>
            <w:tcBorders>
              <w:bottom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12</w:t>
            </w:r>
          </w:p>
        </w:tc>
        <w:tc>
          <w:tcPr>
            <w:tcW w:w="638" w:type="dxa"/>
            <w:tcBorders>
              <w:bottom w:val="single" w:sz="12" w:space="0" w:color="auto"/>
            </w:tcBorders>
            <w:shd w:val="clear" w:color="auto" w:fill="auto"/>
            <w:vAlign w:val="bottom"/>
          </w:tcPr>
          <w:p w:rsidR="00093F0A" w:rsidRPr="008E5027" w:rsidRDefault="00093F0A" w:rsidP="001754E4">
            <w:pPr>
              <w:suppressAutoHyphens w:val="0"/>
              <w:spacing w:before="40" w:after="40" w:line="220" w:lineRule="exact"/>
              <w:jc w:val="right"/>
              <w:rPr>
                <w:sz w:val="18"/>
              </w:rPr>
            </w:pPr>
            <w:r w:rsidRPr="008E5027">
              <w:rPr>
                <w:sz w:val="18"/>
              </w:rPr>
              <w:t>5</w:t>
            </w:r>
          </w:p>
        </w:tc>
      </w:tr>
    </w:tbl>
    <w:p w:rsidR="00093F0A" w:rsidRPr="008E5027" w:rsidRDefault="00093F0A" w:rsidP="008E0EE7">
      <w:pPr>
        <w:spacing w:before="120" w:after="240"/>
        <w:ind w:left="1134" w:right="1134" w:firstLine="170"/>
        <w:rPr>
          <w:sz w:val="18"/>
          <w:szCs w:val="18"/>
        </w:rPr>
      </w:pPr>
      <w:r w:rsidRPr="008E5027">
        <w:rPr>
          <w:i/>
          <w:iCs/>
          <w:sz w:val="18"/>
          <w:szCs w:val="18"/>
        </w:rPr>
        <w:t>Source</w:t>
      </w:r>
      <w:r w:rsidRPr="001262F9">
        <w:rPr>
          <w:i/>
          <w:iCs/>
          <w:sz w:val="18"/>
          <w:szCs w:val="18"/>
        </w:rPr>
        <w:t>:</w:t>
      </w:r>
      <w:r w:rsidR="007A2D83" w:rsidRPr="008E5027">
        <w:rPr>
          <w:iCs/>
          <w:sz w:val="18"/>
          <w:szCs w:val="18"/>
        </w:rPr>
        <w:t xml:space="preserve"> </w:t>
      </w:r>
      <w:r w:rsidR="001262F9" w:rsidRPr="001262F9">
        <w:rPr>
          <w:sz w:val="18"/>
          <w:szCs w:val="18"/>
          <w:lang w:val="fr-FR"/>
        </w:rPr>
        <w:t>Police nationale</w:t>
      </w:r>
      <w:r w:rsidRPr="008E5027">
        <w:rPr>
          <w:sz w:val="18"/>
          <w:szCs w:val="18"/>
        </w:rPr>
        <w:t>.</w:t>
      </w:r>
    </w:p>
    <w:p w:rsidR="001262F9" w:rsidRPr="001262F9" w:rsidRDefault="001262F9" w:rsidP="001262F9">
      <w:pPr>
        <w:pStyle w:val="SingleTxtG"/>
        <w:tabs>
          <w:tab w:val="left" w:pos="284"/>
        </w:tabs>
        <w:rPr>
          <w:lang w:val="fr-FR"/>
        </w:rPr>
      </w:pPr>
      <w:r w:rsidRPr="001262F9">
        <w:rPr>
          <w:lang w:val="fr-FR"/>
        </w:rPr>
        <w:t>(Mesures de lutte contre l</w:t>
      </w:r>
      <w:r w:rsidR="00277023">
        <w:rPr>
          <w:lang w:val="fr-FR"/>
        </w:rPr>
        <w:t>’</w:t>
      </w:r>
      <w:r w:rsidRPr="001262F9">
        <w:rPr>
          <w:lang w:val="fr-FR"/>
        </w:rPr>
        <w:t>alcoolisme)</w:t>
      </w:r>
    </w:p>
    <w:p w:rsidR="001262F9" w:rsidRPr="001262F9" w:rsidRDefault="001262F9" w:rsidP="001262F9">
      <w:pPr>
        <w:pStyle w:val="H4G"/>
        <w:rPr>
          <w:lang w:val="fr-FR"/>
        </w:rPr>
      </w:pPr>
      <w:r>
        <w:rPr>
          <w:lang w:val="fr-FR"/>
        </w:rPr>
        <w:tab/>
        <w:t>1)</w:t>
      </w:r>
      <w:r>
        <w:rPr>
          <w:lang w:val="fr-FR"/>
        </w:rPr>
        <w:tab/>
      </w:r>
      <w:r w:rsidRPr="001262F9">
        <w:rPr>
          <w:lang w:val="fr-FR"/>
        </w:rPr>
        <w:t>Instructions données aux distributeurs de boissons alcoolisées</w:t>
      </w:r>
    </w:p>
    <w:p w:rsidR="001262F9" w:rsidRPr="001262F9" w:rsidRDefault="001262F9" w:rsidP="001262F9">
      <w:pPr>
        <w:pStyle w:val="SingleTxtG"/>
        <w:tabs>
          <w:tab w:val="left" w:pos="284"/>
        </w:tabs>
        <w:rPr>
          <w:lang w:val="fr-FR"/>
        </w:rPr>
      </w:pPr>
      <w:r w:rsidRPr="001262F9">
        <w:rPr>
          <w:lang w:val="fr-FR"/>
        </w:rPr>
        <w:t>536.</w:t>
      </w:r>
      <w:r w:rsidRPr="001262F9">
        <w:rPr>
          <w:lang w:val="fr-FR"/>
        </w:rPr>
        <w:tab/>
        <w:t>Le Trésor public a formulé des normes indicatives qui contribuent à la prévention de la consommation d</w:t>
      </w:r>
      <w:r w:rsidR="00277023">
        <w:rPr>
          <w:lang w:val="fr-FR"/>
        </w:rPr>
        <w:t>’</w:t>
      </w:r>
      <w:r w:rsidRPr="001262F9">
        <w:rPr>
          <w:lang w:val="fr-FR"/>
        </w:rPr>
        <w:t>alcool des mineurs et contiennent des instructions destinées aux distributeurs d</w:t>
      </w:r>
      <w:r w:rsidR="00277023">
        <w:rPr>
          <w:lang w:val="fr-FR"/>
        </w:rPr>
        <w:t>’</w:t>
      </w:r>
      <w:r w:rsidRPr="001262F9">
        <w:rPr>
          <w:lang w:val="fr-FR"/>
        </w:rPr>
        <w:t>alcool, comme demander une pièce d</w:t>
      </w:r>
      <w:r w:rsidR="00277023">
        <w:rPr>
          <w:lang w:val="fr-FR"/>
        </w:rPr>
        <w:t>’</w:t>
      </w:r>
      <w:r w:rsidRPr="001262F9">
        <w:rPr>
          <w:lang w:val="fr-FR"/>
        </w:rPr>
        <w:t>identité pour vérifier l</w:t>
      </w:r>
      <w:r w:rsidR="00277023">
        <w:rPr>
          <w:lang w:val="fr-FR"/>
        </w:rPr>
        <w:t>’</w:t>
      </w:r>
      <w:r w:rsidRPr="001262F9">
        <w:rPr>
          <w:lang w:val="fr-FR"/>
        </w:rPr>
        <w:t>âge du client. Depuis septembre 2003, les magasins qui vendent de l</w:t>
      </w:r>
      <w:r w:rsidR="00277023">
        <w:rPr>
          <w:lang w:val="fr-FR"/>
        </w:rPr>
        <w:t>’</w:t>
      </w:r>
      <w:r w:rsidRPr="001262F9">
        <w:rPr>
          <w:lang w:val="fr-FR"/>
        </w:rPr>
        <w:t>alcool doivent indiquer “Alcool en vente ici” et “</w:t>
      </w:r>
      <w:smartTag w:uri="urn:schemas-microsoft-com:office:smarttags" w:element="PersonName">
        <w:smartTagPr>
          <w:attr w:name="ProductID" w:val="la Loi"/>
        </w:smartTagPr>
        <w:r w:rsidRPr="001262F9">
          <w:rPr>
            <w:lang w:val="fr-FR"/>
          </w:rPr>
          <w:t>La Loi</w:t>
        </w:r>
      </w:smartTag>
      <w:r w:rsidRPr="001262F9">
        <w:rPr>
          <w:lang w:val="fr-FR"/>
        </w:rPr>
        <w:t xml:space="preserve"> interdit la consommation d</w:t>
      </w:r>
      <w:r w:rsidR="00277023">
        <w:rPr>
          <w:lang w:val="fr-FR"/>
        </w:rPr>
        <w:t>’</w:t>
      </w:r>
      <w:r w:rsidRPr="001262F9">
        <w:rPr>
          <w:lang w:val="fr-FR"/>
        </w:rPr>
        <w:t>alcool aux mineurs” à proximité des lieux de vente. Depuis octobre 2005, l</w:t>
      </w:r>
      <w:r w:rsidR="00277023">
        <w:rPr>
          <w:lang w:val="fr-FR"/>
        </w:rPr>
        <w:t>’</w:t>
      </w:r>
      <w:r w:rsidRPr="001262F9">
        <w:rPr>
          <w:lang w:val="fr-FR"/>
        </w:rPr>
        <w:t xml:space="preserve">indication ci-dessus a été modifiée pour devenir </w:t>
      </w:r>
      <w:r w:rsidR="008E49D4">
        <w:rPr>
          <w:lang w:val="fr-FR"/>
        </w:rPr>
        <w:t>“</w:t>
      </w:r>
      <w:r w:rsidRPr="001262F9">
        <w:rPr>
          <w:lang w:val="fr-FR"/>
        </w:rPr>
        <w:t>vente d</w:t>
      </w:r>
      <w:r w:rsidR="00277023">
        <w:rPr>
          <w:lang w:val="fr-FR"/>
        </w:rPr>
        <w:t>’</w:t>
      </w:r>
      <w:r w:rsidRPr="001262F9">
        <w:rPr>
          <w:lang w:val="fr-FR"/>
        </w:rPr>
        <w:t>alcool interdite aux personnes ne pouvant prouver qu</w:t>
      </w:r>
      <w:r w:rsidR="00277023">
        <w:rPr>
          <w:lang w:val="fr-FR"/>
        </w:rPr>
        <w:t>’</w:t>
      </w:r>
      <w:r w:rsidRPr="001262F9">
        <w:rPr>
          <w:lang w:val="fr-FR"/>
        </w:rPr>
        <w:t>elles sont âgées d</w:t>
      </w:r>
      <w:r w:rsidR="00277023">
        <w:rPr>
          <w:lang w:val="fr-FR"/>
        </w:rPr>
        <w:t>’</w:t>
      </w:r>
      <w:r w:rsidRPr="001262F9">
        <w:rPr>
          <w:lang w:val="fr-FR"/>
        </w:rPr>
        <w:t>au moins 20 ans</w:t>
      </w:r>
      <w:r w:rsidR="008E49D4">
        <w:rPr>
          <w:lang w:val="fr-FR"/>
        </w:rPr>
        <w:t>”</w:t>
      </w:r>
      <w:r w:rsidRPr="001262F9">
        <w:rPr>
          <w:lang w:val="fr-FR"/>
        </w:rPr>
        <w:t>.</w:t>
      </w:r>
    </w:p>
    <w:p w:rsidR="001262F9" w:rsidRPr="001262F9" w:rsidRDefault="001262F9" w:rsidP="001262F9">
      <w:pPr>
        <w:pStyle w:val="H4G"/>
        <w:rPr>
          <w:lang w:val="fr-FR"/>
        </w:rPr>
      </w:pPr>
      <w:r>
        <w:rPr>
          <w:lang w:val="fr-FR"/>
        </w:rPr>
        <w:tab/>
        <w:t>2)</w:t>
      </w:r>
      <w:r>
        <w:rPr>
          <w:lang w:val="fr-FR"/>
        </w:rPr>
        <w:tab/>
      </w:r>
      <w:r w:rsidRPr="001262F9">
        <w:rPr>
          <w:lang w:val="fr-FR"/>
        </w:rPr>
        <w:t>Education a l</w:t>
      </w:r>
      <w:r w:rsidR="00277023">
        <w:rPr>
          <w:lang w:val="fr-FR"/>
        </w:rPr>
        <w:t>’</w:t>
      </w:r>
      <w:r w:rsidRPr="001262F9">
        <w:rPr>
          <w:lang w:val="fr-FR"/>
        </w:rPr>
        <w:t>école en matière de prévention de l</w:t>
      </w:r>
      <w:r w:rsidR="00277023">
        <w:rPr>
          <w:lang w:val="fr-FR"/>
        </w:rPr>
        <w:t>’</w:t>
      </w:r>
      <w:r w:rsidRPr="001262F9">
        <w:rPr>
          <w:lang w:val="fr-FR"/>
        </w:rPr>
        <w:t>alcoolisme</w:t>
      </w:r>
    </w:p>
    <w:p w:rsidR="001262F9" w:rsidRPr="001262F9" w:rsidRDefault="001262F9" w:rsidP="001262F9">
      <w:pPr>
        <w:pStyle w:val="SingleTxtG"/>
        <w:tabs>
          <w:tab w:val="left" w:pos="284"/>
        </w:tabs>
        <w:rPr>
          <w:lang w:val="fr-FR"/>
        </w:rPr>
      </w:pPr>
      <w:r w:rsidRPr="001262F9">
        <w:rPr>
          <w:lang w:val="fr-FR"/>
        </w:rPr>
        <w:t>537.</w:t>
      </w:r>
      <w:r w:rsidRPr="001262F9">
        <w:rPr>
          <w:lang w:val="fr-FR"/>
        </w:rPr>
        <w:tab/>
        <w:t>L</w:t>
      </w:r>
      <w:r w:rsidR="00277023">
        <w:rPr>
          <w:lang w:val="fr-FR"/>
        </w:rPr>
        <w:t>’</w:t>
      </w:r>
      <w:r w:rsidRPr="001262F9">
        <w:rPr>
          <w:lang w:val="fr-FR"/>
        </w:rPr>
        <w:t>éducation à l</w:t>
      </w:r>
      <w:r w:rsidR="00277023">
        <w:rPr>
          <w:lang w:val="fr-FR"/>
        </w:rPr>
        <w:t>’</w:t>
      </w:r>
      <w:r w:rsidRPr="001262F9">
        <w:rPr>
          <w:lang w:val="fr-FR"/>
        </w:rPr>
        <w:t>école en matière de prévention de la consommation d</w:t>
      </w:r>
      <w:r w:rsidR="00277023">
        <w:rPr>
          <w:lang w:val="fr-FR"/>
        </w:rPr>
        <w:t>’</w:t>
      </w:r>
      <w:r w:rsidRPr="001262F9">
        <w:rPr>
          <w:lang w:val="fr-FR"/>
        </w:rPr>
        <w:t>alcool est, conformément aux directives pédagogiques, dispensée dans toutes les activités pédagogiques, notamment dans les cours d</w:t>
      </w:r>
      <w:r w:rsidR="00277023">
        <w:rPr>
          <w:lang w:val="fr-FR"/>
        </w:rPr>
        <w:t>’</w:t>
      </w:r>
      <w:r w:rsidRPr="001262F9">
        <w:rPr>
          <w:lang w:val="fr-FR"/>
        </w:rPr>
        <w:t>éducation physique et sanitaire. En 2004, des documents de référence ont également été élaborés et distribués aux enseignants des établissements secondaires. En 2006, des outils pédagogiques couvrant les différentes questions qui se posent aux élèves, comme la consommation d</w:t>
      </w:r>
      <w:r w:rsidR="00277023">
        <w:rPr>
          <w:lang w:val="fr-FR"/>
        </w:rPr>
        <w:t>’</w:t>
      </w:r>
      <w:r w:rsidRPr="001262F9">
        <w:rPr>
          <w:lang w:val="fr-FR"/>
        </w:rPr>
        <w:t>alcool, seront élaborés et distribués.</w:t>
      </w:r>
    </w:p>
    <w:p w:rsidR="001262F9" w:rsidRPr="001262F9" w:rsidRDefault="001262F9" w:rsidP="001262F9">
      <w:pPr>
        <w:pStyle w:val="SingleTxtG"/>
        <w:tabs>
          <w:tab w:val="left" w:pos="284"/>
        </w:tabs>
        <w:rPr>
          <w:lang w:val="fr-FR"/>
        </w:rPr>
      </w:pPr>
      <w:r w:rsidRPr="001262F9">
        <w:rPr>
          <w:lang w:val="fr-FR"/>
        </w:rPr>
        <w:t>(Mesures de lutte contre le tabagisme)</w:t>
      </w:r>
    </w:p>
    <w:p w:rsidR="001262F9" w:rsidRPr="001262F9" w:rsidRDefault="001262F9" w:rsidP="001262F9">
      <w:pPr>
        <w:pStyle w:val="H4G"/>
        <w:rPr>
          <w:lang w:val="fr-FR"/>
        </w:rPr>
      </w:pPr>
      <w:r>
        <w:rPr>
          <w:lang w:val="fr-FR"/>
        </w:rPr>
        <w:tab/>
        <w:t>1)</w:t>
      </w:r>
      <w:r>
        <w:rPr>
          <w:lang w:val="fr-FR"/>
        </w:rPr>
        <w:tab/>
      </w:r>
      <w:r w:rsidRPr="001262F9">
        <w:rPr>
          <w:lang w:val="fr-FR"/>
        </w:rPr>
        <w:t>Instructions données aux industries concernées</w:t>
      </w:r>
    </w:p>
    <w:p w:rsidR="001262F9" w:rsidRPr="001262F9" w:rsidRDefault="001262F9" w:rsidP="001262F9">
      <w:pPr>
        <w:pStyle w:val="SingleTxtG"/>
        <w:tabs>
          <w:tab w:val="left" w:pos="284"/>
        </w:tabs>
        <w:rPr>
          <w:lang w:val="fr-FR"/>
        </w:rPr>
      </w:pPr>
      <w:r w:rsidRPr="001262F9">
        <w:rPr>
          <w:lang w:val="fr-FR"/>
        </w:rPr>
        <w:t>538.</w:t>
      </w:r>
      <w:r w:rsidRPr="001262F9">
        <w:rPr>
          <w:lang w:val="fr-FR"/>
        </w:rPr>
        <w:tab/>
        <w:t xml:space="preserve">Sachant que </w:t>
      </w:r>
      <w:smartTag w:uri="urn:schemas-microsoft-com:office:smarttags" w:element="PersonName">
        <w:smartTagPr>
          <w:attr w:name="ProductID" w:val="la Convention-cadre"/>
        </w:smartTagPr>
        <w:r w:rsidRPr="001262F9">
          <w:rPr>
            <w:lang w:val="fr-FR"/>
          </w:rPr>
          <w:t>la Convention-cadre</w:t>
        </w:r>
      </w:smartTag>
      <w:r w:rsidRPr="001262F9">
        <w:rPr>
          <w:lang w:val="fr-FR"/>
        </w:rPr>
        <w:t xml:space="preserve"> pour la lutte antitabac prévoit des mesures appropriées visant à interdire la vente de produits du tabac aux mineurs, la police nationale, le Ministère des finances, le Ministère de la santé, du travail et de la protection sociale ont conjointement demandé à l</w:t>
      </w:r>
      <w:r w:rsidR="00277023">
        <w:rPr>
          <w:lang w:val="fr-FR"/>
        </w:rPr>
        <w:t>’</w:t>
      </w:r>
      <w:r w:rsidRPr="001262F9">
        <w:rPr>
          <w:lang w:val="fr-FR"/>
        </w:rPr>
        <w:t>industrie du tabac en juin 2004 de s</w:t>
      </w:r>
      <w:r w:rsidR="00277023">
        <w:rPr>
          <w:lang w:val="fr-FR"/>
        </w:rPr>
        <w:t>’</w:t>
      </w:r>
      <w:r w:rsidRPr="001262F9">
        <w:rPr>
          <w:lang w:val="fr-FR"/>
        </w:rPr>
        <w:t>efforcer de prévenir le tabagisme des mineurs, par exemple en installant les distributeurs automatiques de cigarettes dans des lieux appropriés et en assurant l</w:t>
      </w:r>
      <w:r w:rsidR="00277023">
        <w:rPr>
          <w:lang w:val="fr-FR"/>
        </w:rPr>
        <w:t>’</w:t>
      </w:r>
      <w:r w:rsidRPr="001262F9">
        <w:rPr>
          <w:lang w:val="fr-FR"/>
        </w:rPr>
        <w:t>encadrement approprié et strict des employés. Pour se voir délivrer une licence de débitant de tabac, il est demandé depuis juillet 1989 de prévoir une échoppe séparée pour l</w:t>
      </w:r>
      <w:r w:rsidR="00277023">
        <w:rPr>
          <w:lang w:val="fr-FR"/>
        </w:rPr>
        <w:t>’</w:t>
      </w:r>
      <w:r w:rsidRPr="001262F9">
        <w:rPr>
          <w:lang w:val="fr-FR"/>
        </w:rPr>
        <w:t>installation d</w:t>
      </w:r>
      <w:r w:rsidR="00277023">
        <w:rPr>
          <w:lang w:val="fr-FR"/>
        </w:rPr>
        <w:t>’</w:t>
      </w:r>
      <w:r w:rsidRPr="001262F9">
        <w:rPr>
          <w:lang w:val="fr-FR"/>
        </w:rPr>
        <w:t xml:space="preserve">un distributeur, et pour les distributeurs mis en place avant cette date, des consignes sont prévues pour améliorer la situation. </w:t>
      </w:r>
    </w:p>
    <w:p w:rsidR="001262F9" w:rsidRPr="001262F9" w:rsidRDefault="001262F9" w:rsidP="001262F9">
      <w:pPr>
        <w:pStyle w:val="H4G"/>
        <w:rPr>
          <w:lang w:val="fr-FR"/>
        </w:rPr>
      </w:pPr>
      <w:r>
        <w:rPr>
          <w:lang w:val="fr-FR"/>
        </w:rPr>
        <w:tab/>
        <w:t>2)</w:t>
      </w:r>
      <w:r>
        <w:rPr>
          <w:lang w:val="fr-FR"/>
        </w:rPr>
        <w:tab/>
      </w:r>
      <w:r w:rsidRPr="001262F9">
        <w:rPr>
          <w:lang w:val="fr-FR"/>
        </w:rPr>
        <w:t>Réglementation en matière de publicité</w:t>
      </w:r>
    </w:p>
    <w:p w:rsidR="001262F9" w:rsidRPr="001262F9" w:rsidRDefault="001262F9" w:rsidP="001262F9">
      <w:pPr>
        <w:pStyle w:val="SingleTxtG"/>
        <w:tabs>
          <w:tab w:val="left" w:pos="284"/>
        </w:tabs>
        <w:rPr>
          <w:lang w:val="fr-FR"/>
        </w:rPr>
      </w:pPr>
      <w:r w:rsidRPr="001262F9">
        <w:rPr>
          <w:lang w:val="fr-FR"/>
        </w:rPr>
        <w:t>539.</w:t>
      </w:r>
      <w:r w:rsidRPr="001262F9">
        <w:rPr>
          <w:lang w:val="fr-FR"/>
        </w:rPr>
        <w:tab/>
        <w:t xml:space="preserve">Dans le cadre des mesures internes visant à appliquer </w:t>
      </w:r>
      <w:smartTag w:uri="urn:schemas-microsoft-com:office:smarttags" w:element="PersonName">
        <w:smartTagPr>
          <w:attr w:name="ProductID" w:val="la Convention-cadre"/>
        </w:smartTagPr>
        <w:r w:rsidRPr="001262F9">
          <w:rPr>
            <w:lang w:val="fr-FR"/>
          </w:rPr>
          <w:t>la Convention-cadre</w:t>
        </w:r>
      </w:smartTag>
      <w:r w:rsidRPr="001262F9">
        <w:rPr>
          <w:lang w:val="fr-FR"/>
        </w:rPr>
        <w:t xml:space="preserve"> pour la lutte antitabac, les directives relatives à la publicité sur le tabac manufacturé ont été partiellement amendées en mars 2004. Ainsi, des mesures contribuant à la prévention du tabagisme chez les jeunes ont été prises, comme par exemple l</w:t>
      </w:r>
      <w:r w:rsidR="00277023">
        <w:rPr>
          <w:lang w:val="fr-FR"/>
        </w:rPr>
        <w:t>’</w:t>
      </w:r>
      <w:r w:rsidRPr="001262F9">
        <w:rPr>
          <w:lang w:val="fr-FR"/>
        </w:rPr>
        <w:t>interdiction théorique de la publicité pour le tabac à la télévision, à la radio, sur Internet et en extérieur (y compris dans les transports publics). Depuis juillet 2005, tous les paquets de tabac manufacturé doivent porter la mise en garde suivante</w:t>
      </w:r>
      <w:r w:rsidR="00277023">
        <w:rPr>
          <w:lang w:val="fr-FR"/>
        </w:rPr>
        <w:t>:</w:t>
      </w:r>
      <w:r w:rsidRPr="001262F9">
        <w:rPr>
          <w:lang w:val="fr-FR"/>
        </w:rPr>
        <w:t xml:space="preserve"> </w:t>
      </w:r>
      <w:r w:rsidR="008E49D4">
        <w:rPr>
          <w:lang w:val="fr-FR"/>
        </w:rPr>
        <w:t>“</w:t>
      </w:r>
      <w:r w:rsidRPr="001262F9">
        <w:rPr>
          <w:lang w:val="fr-FR"/>
        </w:rPr>
        <w:t>Fumer nuit à la santé des mineurs et crée une dépendance. Les mineurs doivent s</w:t>
      </w:r>
      <w:r w:rsidR="00277023">
        <w:rPr>
          <w:lang w:val="fr-FR"/>
        </w:rPr>
        <w:t>’</w:t>
      </w:r>
      <w:r w:rsidRPr="001262F9">
        <w:rPr>
          <w:lang w:val="fr-FR"/>
        </w:rPr>
        <w:t>abstenir de fumer, même s</w:t>
      </w:r>
      <w:r w:rsidR="00277023">
        <w:rPr>
          <w:lang w:val="fr-FR"/>
        </w:rPr>
        <w:t>’</w:t>
      </w:r>
      <w:r w:rsidRPr="001262F9">
        <w:rPr>
          <w:lang w:val="fr-FR"/>
        </w:rPr>
        <w:t>ils sont encouragés par d</w:t>
      </w:r>
      <w:r w:rsidR="00277023">
        <w:rPr>
          <w:lang w:val="fr-FR"/>
        </w:rPr>
        <w:t>’</w:t>
      </w:r>
      <w:r w:rsidRPr="001262F9">
        <w:rPr>
          <w:lang w:val="fr-FR"/>
        </w:rPr>
        <w:t>autres</w:t>
      </w:r>
      <w:r w:rsidR="008E49D4">
        <w:rPr>
          <w:lang w:val="fr-FR"/>
        </w:rPr>
        <w:t>”</w:t>
      </w:r>
      <w:r w:rsidRPr="001262F9">
        <w:rPr>
          <w:lang w:val="fr-FR"/>
        </w:rPr>
        <w:t xml:space="preserve">. </w:t>
      </w:r>
    </w:p>
    <w:p w:rsidR="001262F9" w:rsidRPr="001262F9" w:rsidRDefault="001262F9" w:rsidP="001262F9">
      <w:pPr>
        <w:pStyle w:val="H4G"/>
        <w:rPr>
          <w:lang w:val="fr-FR"/>
        </w:rPr>
      </w:pPr>
      <w:r>
        <w:rPr>
          <w:lang w:val="fr-FR"/>
        </w:rPr>
        <w:tab/>
        <w:t>3)</w:t>
      </w:r>
      <w:r>
        <w:rPr>
          <w:lang w:val="fr-FR"/>
        </w:rPr>
        <w:tab/>
      </w:r>
      <w:r w:rsidRPr="001262F9">
        <w:rPr>
          <w:lang w:val="fr-FR"/>
        </w:rPr>
        <w:t>Education à l</w:t>
      </w:r>
      <w:r w:rsidR="00277023">
        <w:rPr>
          <w:lang w:val="fr-FR"/>
        </w:rPr>
        <w:t>’</w:t>
      </w:r>
      <w:r w:rsidRPr="001262F9">
        <w:rPr>
          <w:lang w:val="fr-FR"/>
        </w:rPr>
        <w:t>école en matière de prévention du tabagisme</w:t>
      </w:r>
    </w:p>
    <w:p w:rsidR="001262F9" w:rsidRPr="001262F9" w:rsidRDefault="001262F9" w:rsidP="001262F9">
      <w:pPr>
        <w:pStyle w:val="SingleTxtG"/>
        <w:tabs>
          <w:tab w:val="left" w:pos="284"/>
        </w:tabs>
        <w:rPr>
          <w:lang w:val="fr-FR"/>
        </w:rPr>
      </w:pPr>
      <w:r w:rsidRPr="001262F9">
        <w:rPr>
          <w:lang w:val="fr-FR"/>
        </w:rPr>
        <w:t>540.</w:t>
      </w:r>
      <w:r w:rsidRPr="001262F9">
        <w:rPr>
          <w:lang w:val="fr-FR"/>
        </w:rPr>
        <w:tab/>
        <w:t>L</w:t>
      </w:r>
      <w:r w:rsidR="00277023">
        <w:rPr>
          <w:lang w:val="fr-FR"/>
        </w:rPr>
        <w:t>’</w:t>
      </w:r>
      <w:r w:rsidRPr="001262F9">
        <w:rPr>
          <w:lang w:val="fr-FR"/>
        </w:rPr>
        <w:t>éducation à l</w:t>
      </w:r>
      <w:r w:rsidR="00277023">
        <w:rPr>
          <w:lang w:val="fr-FR"/>
        </w:rPr>
        <w:t>’</w:t>
      </w:r>
      <w:r w:rsidRPr="001262F9">
        <w:rPr>
          <w:lang w:val="fr-FR"/>
        </w:rPr>
        <w:t>école en matière de prévention du tabagisme est, conformément aux directives pédagogiques, dispensée dans toutes les activités éducatives, notamment dans les cours d</w:t>
      </w:r>
      <w:r w:rsidR="00277023">
        <w:rPr>
          <w:lang w:val="fr-FR"/>
        </w:rPr>
        <w:t>’</w:t>
      </w:r>
      <w:r w:rsidRPr="001262F9">
        <w:rPr>
          <w:lang w:val="fr-FR"/>
        </w:rPr>
        <w:t>éducation physique et sanitaire. De plus, depuis 1996, des affiches et des brochures destinés aux élèves du cycle élémentaire, des brochures destinées aux élèves de l</w:t>
      </w:r>
      <w:r w:rsidR="00277023">
        <w:rPr>
          <w:lang w:val="fr-FR"/>
        </w:rPr>
        <w:t>’</w:t>
      </w:r>
      <w:r w:rsidRPr="001262F9">
        <w:rPr>
          <w:lang w:val="fr-FR"/>
        </w:rPr>
        <w:t>enseignement secondaire et des documents de référence destinés aux enseignants des établissements secondaires ont été élaborés et distribués. Des études visant à suivre la mise en œuvre des mesures de prévention du tabagisme passif dans les écoles vont être menées. En 2006, des outils pédagogiques couvrant les diverses questions qui se posent aux élèves comme le tabagisme seront élaborés et distribués.</w:t>
      </w:r>
    </w:p>
    <w:p w:rsidR="001262F9" w:rsidRPr="001262F9" w:rsidRDefault="001262F9" w:rsidP="001262F9">
      <w:pPr>
        <w:pStyle w:val="H23G"/>
        <w:rPr>
          <w:lang w:val="fr-FR"/>
        </w:rPr>
      </w:pPr>
      <w:r>
        <w:rPr>
          <w:lang w:val="fr-FR"/>
        </w:rPr>
        <w:tab/>
      </w:r>
      <w:r w:rsidRPr="001262F9">
        <w:rPr>
          <w:lang w:val="fr-FR"/>
        </w:rPr>
        <w:t>c</w:t>
      </w:r>
      <w:r>
        <w:rPr>
          <w:lang w:val="fr-FR"/>
        </w:rPr>
        <w:t>)</w:t>
      </w:r>
      <w:r>
        <w:rPr>
          <w:lang w:val="fr-FR"/>
        </w:rPr>
        <w:tab/>
      </w:r>
      <w:r w:rsidRPr="001262F9">
        <w:rPr>
          <w:lang w:val="fr-FR"/>
        </w:rPr>
        <w:t>Exploitation sexuelle et violence sexuelle (article 34)</w:t>
      </w:r>
    </w:p>
    <w:p w:rsidR="001262F9" w:rsidRPr="001262F9" w:rsidRDefault="001262F9" w:rsidP="001262F9">
      <w:pPr>
        <w:pStyle w:val="SingleTxtG"/>
        <w:tabs>
          <w:tab w:val="left" w:pos="284"/>
        </w:tabs>
        <w:rPr>
          <w:lang w:val="fr-FR"/>
        </w:rPr>
      </w:pPr>
      <w:r w:rsidRPr="001262F9">
        <w:rPr>
          <w:lang w:val="fr-FR"/>
        </w:rPr>
        <w:t>(c-1) Lois et règlements internationaux pertinents</w:t>
      </w:r>
    </w:p>
    <w:p w:rsidR="001262F9" w:rsidRPr="001262F9" w:rsidRDefault="001262F9" w:rsidP="001262F9">
      <w:pPr>
        <w:pStyle w:val="SingleTxtG"/>
        <w:tabs>
          <w:tab w:val="left" w:pos="284"/>
        </w:tabs>
        <w:rPr>
          <w:lang w:val="fr-FR"/>
        </w:rPr>
      </w:pPr>
      <w:r w:rsidRPr="001262F9">
        <w:rPr>
          <w:lang w:val="fr-FR"/>
        </w:rPr>
        <w:t>541.</w:t>
      </w:r>
      <w:r w:rsidRPr="001262F9">
        <w:rPr>
          <w:lang w:val="fr-FR"/>
        </w:rPr>
        <w:tab/>
        <w:t>S</w:t>
      </w:r>
      <w:r w:rsidR="00277023">
        <w:rPr>
          <w:lang w:val="fr-FR"/>
        </w:rPr>
        <w:t>’</w:t>
      </w:r>
      <w:r w:rsidRPr="001262F9">
        <w:rPr>
          <w:lang w:val="fr-FR"/>
        </w:rPr>
        <w:t>agissant de l</w:t>
      </w:r>
      <w:r w:rsidR="00277023">
        <w:rPr>
          <w:lang w:val="fr-FR"/>
        </w:rPr>
        <w:t>’</w:t>
      </w:r>
      <w:r w:rsidRPr="001262F9">
        <w:rPr>
          <w:lang w:val="fr-FR"/>
        </w:rPr>
        <w:t xml:space="preserve">exploitation sexuelle des enfants, le Gouvernement japonais a ratifié le Protocole facultatif à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relative aux droits de l</w:t>
      </w:r>
      <w:r w:rsidR="00277023">
        <w:rPr>
          <w:lang w:val="fr-FR"/>
        </w:rPr>
        <w:t>’</w:t>
      </w:r>
      <w:r w:rsidRPr="001262F9">
        <w:rPr>
          <w:lang w:val="fr-FR"/>
        </w:rPr>
        <w:t>enfant concernant la vente d</w:t>
      </w:r>
      <w:r w:rsidR="00277023">
        <w:rPr>
          <w:lang w:val="fr-FR"/>
        </w:rPr>
        <w:t>’</w:t>
      </w:r>
      <w:r w:rsidRPr="001262F9">
        <w:rPr>
          <w:lang w:val="fr-FR"/>
        </w:rPr>
        <w:t xml:space="preserve">enfants, la prostitution des enfants et la pornographie mettant en scène des enfants en janvier 2005 et travaille à sa mise en application. De plus, la signature du Protocole additionnel à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des Nations Unies contre la criminalité transnationale organisée visant à prévenir, réprimer et punir la traite des personnes, en particulier des femmes et des enfants a été approuvée par </w:t>
      </w:r>
      <w:smartTag w:uri="urn:schemas-microsoft-com:office:smarttags" w:element="PersonName">
        <w:smartTagPr>
          <w:attr w:name="ProductID" w:val="la Di￨te"/>
        </w:smartTagPr>
        <w:r w:rsidRPr="001262F9">
          <w:rPr>
            <w:lang w:val="fr-FR"/>
          </w:rPr>
          <w:t>la Diète</w:t>
        </w:r>
      </w:smartTag>
      <w:r w:rsidRPr="001262F9">
        <w:rPr>
          <w:lang w:val="fr-FR"/>
        </w:rPr>
        <w:t xml:space="preserve"> en juillet 2005 (NB –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elle-même n</w:t>
      </w:r>
      <w:r w:rsidR="00277023">
        <w:rPr>
          <w:lang w:val="fr-FR"/>
        </w:rPr>
        <w:t>’</w:t>
      </w:r>
      <w:r w:rsidRPr="001262F9">
        <w:rPr>
          <w:lang w:val="fr-FR"/>
        </w:rPr>
        <w:t>a pas encore été ratifiée en raison</w:t>
      </w:r>
      <w:r w:rsidR="00EA1115">
        <w:rPr>
          <w:lang w:val="fr-FR"/>
        </w:rPr>
        <w:t xml:space="preserve"> </w:t>
      </w:r>
      <w:r w:rsidRPr="001262F9">
        <w:rPr>
          <w:lang w:val="fr-FR"/>
        </w:rPr>
        <w:t>de l</w:t>
      </w:r>
      <w:r w:rsidR="00277023">
        <w:rPr>
          <w:lang w:val="fr-FR"/>
        </w:rPr>
        <w:t>’</w:t>
      </w:r>
      <w:r w:rsidRPr="001262F9">
        <w:rPr>
          <w:lang w:val="fr-FR"/>
        </w:rPr>
        <w:t xml:space="preserve">harmonisation toujours en cours du droit interne pertinent avec </w:t>
      </w:r>
      <w:smartTag w:uri="urn:schemas-microsoft-com:office:smarttags" w:element="PersonName">
        <w:smartTagPr>
          <w:attr w:name="ProductID" w:val="LA CONVENTION"/>
        </w:smartTagPr>
        <w:r w:rsidRPr="001262F9">
          <w:rPr>
            <w:lang w:val="fr-FR"/>
          </w:rPr>
          <w:t>la Convention</w:t>
        </w:r>
      </w:smartTag>
      <w:r w:rsidRPr="001262F9">
        <w:rPr>
          <w:lang w:val="fr-FR"/>
        </w:rPr>
        <w:t>, c</w:t>
      </w:r>
      <w:r w:rsidR="00277023">
        <w:rPr>
          <w:lang w:val="fr-FR"/>
        </w:rPr>
        <w:t>’</w:t>
      </w:r>
      <w:r w:rsidRPr="001262F9">
        <w:rPr>
          <w:lang w:val="fr-FR"/>
        </w:rPr>
        <w:t>est pourquoi le Protocole n</w:t>
      </w:r>
      <w:r w:rsidR="00277023">
        <w:rPr>
          <w:lang w:val="fr-FR"/>
        </w:rPr>
        <w:t>’</w:t>
      </w:r>
      <w:r w:rsidRPr="001262F9">
        <w:rPr>
          <w:lang w:val="fr-FR"/>
        </w:rPr>
        <w:t xml:space="preserve">a jamais été ratifié). </w:t>
      </w:r>
    </w:p>
    <w:p w:rsidR="001262F9" w:rsidRPr="001262F9" w:rsidRDefault="001262F9" w:rsidP="001262F9">
      <w:pPr>
        <w:pStyle w:val="SingleTxtG"/>
        <w:tabs>
          <w:tab w:val="left" w:pos="284"/>
        </w:tabs>
        <w:rPr>
          <w:lang w:val="fr-FR"/>
        </w:rPr>
      </w:pPr>
      <w:r w:rsidRPr="001262F9">
        <w:rPr>
          <w:lang w:val="fr-FR"/>
        </w:rPr>
        <w:t>(c-2) Stratégie visant à protéger les enfants contre toutes les formes d</w:t>
      </w:r>
      <w:r w:rsidR="00277023">
        <w:rPr>
          <w:lang w:val="fr-FR"/>
        </w:rPr>
        <w:t>’</w:t>
      </w:r>
      <w:r w:rsidRPr="001262F9">
        <w:rPr>
          <w:lang w:val="fr-FR"/>
        </w:rPr>
        <w:t>exploi</w:t>
      </w:r>
      <w:r w:rsidR="00080583">
        <w:rPr>
          <w:lang w:val="fr-FR"/>
        </w:rPr>
        <w:t>tation et de violence sexuelles</w:t>
      </w:r>
    </w:p>
    <w:p w:rsidR="001262F9" w:rsidRPr="001262F9" w:rsidRDefault="001262F9" w:rsidP="001262F9">
      <w:pPr>
        <w:pStyle w:val="SingleTxtG"/>
        <w:tabs>
          <w:tab w:val="left" w:pos="284"/>
        </w:tabs>
        <w:rPr>
          <w:lang w:val="fr-FR"/>
        </w:rPr>
      </w:pPr>
      <w:r w:rsidRPr="001262F9">
        <w:rPr>
          <w:lang w:val="fr-FR"/>
        </w:rPr>
        <w:t xml:space="preserve">(Amendement partiel de </w:t>
      </w:r>
      <w:smartTag w:uri="urn:schemas-microsoft-com:office:smarttags" w:element="PersonName">
        <w:smartTagPr>
          <w:attr w:name="ProductID" w:val="la Loi"/>
        </w:smartTagPr>
        <w:r w:rsidRPr="001262F9">
          <w:rPr>
            <w:lang w:val="fr-FR"/>
          </w:rPr>
          <w:t>la Loi</w:t>
        </w:r>
      </w:smartTag>
      <w:r w:rsidRPr="001262F9">
        <w:rPr>
          <w:lang w:val="fr-FR"/>
        </w:rPr>
        <w:t xml:space="preserve"> relative à la répression de la prostitution des enfants et de la pornographie mettant en scène des enfants, et à la protection des enfants)</w:t>
      </w:r>
    </w:p>
    <w:p w:rsidR="001262F9" w:rsidRPr="001262F9" w:rsidRDefault="001262F9" w:rsidP="001262F9">
      <w:pPr>
        <w:pStyle w:val="SingleTxtG"/>
        <w:tabs>
          <w:tab w:val="left" w:pos="284"/>
        </w:tabs>
        <w:rPr>
          <w:lang w:val="fr-FR"/>
        </w:rPr>
      </w:pPr>
      <w:r w:rsidRPr="001262F9">
        <w:rPr>
          <w:lang w:val="fr-FR"/>
        </w:rPr>
        <w:t>542.</w:t>
      </w:r>
      <w:r w:rsidRPr="001262F9">
        <w:rPr>
          <w:lang w:val="fr-FR"/>
        </w:rPr>
        <w:tab/>
        <w:t xml:space="preserve">Voir paragraphes 493-496 du deuxième rapport du Japon. </w:t>
      </w:r>
    </w:p>
    <w:p w:rsidR="001262F9" w:rsidRPr="001262F9" w:rsidRDefault="001262F9" w:rsidP="001262F9">
      <w:pPr>
        <w:pStyle w:val="SingleTxtG"/>
        <w:tabs>
          <w:tab w:val="left" w:pos="284"/>
        </w:tabs>
        <w:rPr>
          <w:lang w:val="fr-FR"/>
        </w:rPr>
      </w:pPr>
      <w:r w:rsidRPr="001262F9">
        <w:rPr>
          <w:lang w:val="fr-FR"/>
        </w:rPr>
        <w:t>543.</w:t>
      </w:r>
      <w:r w:rsidRPr="001262F9">
        <w:rPr>
          <w:lang w:val="fr-FR"/>
        </w:rPr>
        <w:tab/>
      </w:r>
      <w:smartTag w:uri="urn:schemas-microsoft-com:office:smarttags" w:element="PersonName">
        <w:smartTagPr>
          <w:attr w:name="ProductID" w:val="la Loi"/>
        </w:smartTagPr>
        <w:r w:rsidRPr="001262F9">
          <w:rPr>
            <w:lang w:val="fr-FR"/>
          </w:rPr>
          <w:t>La Loi</w:t>
        </w:r>
      </w:smartTag>
      <w:r w:rsidRPr="001262F9">
        <w:rPr>
          <w:lang w:val="fr-FR"/>
        </w:rPr>
        <w:t xml:space="preserve"> relative à la répression de la prostitution des enfants et de la pornographie mettant en scène des enfants, et à la protection des enfants, a été partiellement amendée en juin 2004. Ainsi qu</w:t>
      </w:r>
      <w:r w:rsidR="00277023">
        <w:rPr>
          <w:lang w:val="fr-FR"/>
        </w:rPr>
        <w:t>’</w:t>
      </w:r>
      <w:r w:rsidRPr="001262F9">
        <w:rPr>
          <w:lang w:val="fr-FR"/>
        </w:rPr>
        <w:t>il est énoncé à l</w:t>
      </w:r>
      <w:r w:rsidR="00277023">
        <w:rPr>
          <w:lang w:val="fr-FR"/>
        </w:rPr>
        <w:t>’</w:t>
      </w:r>
      <w:r w:rsidRPr="001262F9">
        <w:rPr>
          <w:lang w:val="fr-FR"/>
        </w:rPr>
        <w:t>article 1, l</w:t>
      </w:r>
      <w:r w:rsidR="00277023">
        <w:rPr>
          <w:lang w:val="fr-FR"/>
        </w:rPr>
        <w:t>’</w:t>
      </w:r>
      <w:r w:rsidRPr="001262F9">
        <w:rPr>
          <w:lang w:val="fr-FR"/>
        </w:rPr>
        <w:t>objectif de défendre les droits des enfants est exposé en termes plus directs. Les peines encourues pour des crimes tels que la prostitution enfantine, le proxénétisme en rapport avec la prostitution enfantine, l</w:t>
      </w:r>
      <w:r w:rsidR="00277023">
        <w:rPr>
          <w:lang w:val="fr-FR"/>
        </w:rPr>
        <w:t>’</w:t>
      </w:r>
      <w:r w:rsidRPr="001262F9">
        <w:rPr>
          <w:lang w:val="fr-FR"/>
        </w:rPr>
        <w:t>incitation à la prostitution enfantine et la fourniture de supports de pornographie enfantine ont été alourdies. Compte tenu de la nécessité d</w:t>
      </w:r>
      <w:r w:rsidR="00277023">
        <w:rPr>
          <w:lang w:val="fr-FR"/>
        </w:rPr>
        <w:t>’</w:t>
      </w:r>
      <w:r w:rsidRPr="001262F9">
        <w:rPr>
          <w:lang w:val="fr-FR"/>
        </w:rPr>
        <w:t xml:space="preserve">ériger ces actes en infractions pénales en vertu du Protocole facultatif à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relative aux droits de l</w:t>
      </w:r>
      <w:r w:rsidR="00277023">
        <w:rPr>
          <w:lang w:val="fr-FR"/>
        </w:rPr>
        <w:t>’</w:t>
      </w:r>
      <w:r w:rsidRPr="001262F9">
        <w:rPr>
          <w:lang w:val="fr-FR"/>
        </w:rPr>
        <w:t xml:space="preserve">enfant et de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sur la cybercriminalité, et en vue de promouvoir davantage la protection des enfants, l</w:t>
      </w:r>
      <w:r w:rsidR="00277023">
        <w:rPr>
          <w:lang w:val="fr-FR"/>
        </w:rPr>
        <w:t>’</w:t>
      </w:r>
      <w:r w:rsidRPr="001262F9">
        <w:rPr>
          <w:lang w:val="fr-FR"/>
        </w:rPr>
        <w:t>acte d</w:t>
      </w:r>
      <w:r w:rsidR="00277023">
        <w:rPr>
          <w:lang w:val="fr-FR"/>
        </w:rPr>
        <w:t>’</w:t>
      </w:r>
      <w:r w:rsidRPr="001262F9">
        <w:rPr>
          <w:lang w:val="fr-FR"/>
        </w:rPr>
        <w:t>offrir des enregistrements électromagnétiques de pornographie enfantine ou d</w:t>
      </w:r>
      <w:r w:rsidR="00277023">
        <w:rPr>
          <w:lang w:val="fr-FR"/>
        </w:rPr>
        <w:t>’</w:t>
      </w:r>
      <w:r w:rsidRPr="001262F9">
        <w:rPr>
          <w:lang w:val="fr-FR"/>
        </w:rPr>
        <w:t>en conserver à cette fin, l</w:t>
      </w:r>
      <w:r w:rsidR="00277023">
        <w:rPr>
          <w:lang w:val="fr-FR"/>
        </w:rPr>
        <w:t>’</w:t>
      </w:r>
      <w:r w:rsidRPr="001262F9">
        <w:rPr>
          <w:lang w:val="fr-FR"/>
        </w:rPr>
        <w:t>acte d</w:t>
      </w:r>
      <w:r w:rsidR="00277023">
        <w:rPr>
          <w:lang w:val="fr-FR"/>
        </w:rPr>
        <w:t>’</w:t>
      </w:r>
      <w:r w:rsidRPr="001262F9">
        <w:rPr>
          <w:lang w:val="fr-FR"/>
        </w:rPr>
        <w:t>offrir ces enregistrements à certaines personnes ou d</w:t>
      </w:r>
      <w:r w:rsidR="00277023">
        <w:rPr>
          <w:lang w:val="fr-FR"/>
        </w:rPr>
        <w:t>’</w:t>
      </w:r>
      <w:r w:rsidRPr="001262F9">
        <w:rPr>
          <w:lang w:val="fr-FR"/>
        </w:rPr>
        <w:t>en fabriquer et d</w:t>
      </w:r>
      <w:r w:rsidR="00277023">
        <w:rPr>
          <w:lang w:val="fr-FR"/>
        </w:rPr>
        <w:t>’</w:t>
      </w:r>
      <w:r w:rsidRPr="001262F9">
        <w:rPr>
          <w:lang w:val="fr-FR"/>
        </w:rPr>
        <w:t>en posséder à cette fin, et l</w:t>
      </w:r>
      <w:r w:rsidR="00277023">
        <w:rPr>
          <w:lang w:val="fr-FR"/>
        </w:rPr>
        <w:t>’</w:t>
      </w:r>
      <w:r w:rsidRPr="001262F9">
        <w:rPr>
          <w:lang w:val="fr-FR"/>
        </w:rPr>
        <w:t>acte d</w:t>
      </w:r>
      <w:r w:rsidR="00277023">
        <w:rPr>
          <w:lang w:val="fr-FR"/>
        </w:rPr>
        <w:t>’</w:t>
      </w:r>
      <w:r w:rsidRPr="001262F9">
        <w:rPr>
          <w:lang w:val="fr-FR"/>
        </w:rPr>
        <w:t xml:space="preserve">inciter un enfant à se prêter à des actes obscènes aux fins de produire de la pornographie enfantine sont tous devenus passibles de sanctions pénales. </w:t>
      </w:r>
      <w:smartTag w:uri="urn:schemas-microsoft-com:office:smarttags" w:element="PersonName">
        <w:smartTagPr>
          <w:attr w:name="ProductID" w:val="la Loi"/>
        </w:smartTagPr>
        <w:r w:rsidRPr="001262F9">
          <w:rPr>
            <w:lang w:val="fr-FR"/>
          </w:rPr>
          <w:t>La Loi</w:t>
        </w:r>
      </w:smartTag>
      <w:r w:rsidRPr="001262F9">
        <w:rPr>
          <w:lang w:val="fr-FR"/>
        </w:rPr>
        <w:t xml:space="preserve"> et les sanctions pénales s</w:t>
      </w:r>
      <w:r w:rsidR="00277023">
        <w:rPr>
          <w:lang w:val="fr-FR"/>
        </w:rPr>
        <w:t>’</w:t>
      </w:r>
      <w:r w:rsidRPr="001262F9">
        <w:rPr>
          <w:lang w:val="fr-FR"/>
        </w:rPr>
        <w:t>appliquent également aux Japonais qui s</w:t>
      </w:r>
      <w:r w:rsidR="00277023">
        <w:rPr>
          <w:lang w:val="fr-FR"/>
        </w:rPr>
        <w:t>’</w:t>
      </w:r>
      <w:r w:rsidRPr="001262F9">
        <w:rPr>
          <w:lang w:val="fr-FR"/>
        </w:rPr>
        <w:t>en sont rendus coupables à l</w:t>
      </w:r>
      <w:r w:rsidR="00277023">
        <w:rPr>
          <w:lang w:val="fr-FR"/>
        </w:rPr>
        <w:t>’</w:t>
      </w:r>
      <w:r w:rsidRPr="001262F9">
        <w:rPr>
          <w:lang w:val="fr-FR"/>
        </w:rPr>
        <w:t>étranger.</w:t>
      </w:r>
    </w:p>
    <w:p w:rsidR="001262F9" w:rsidRPr="001262F9" w:rsidRDefault="001262F9" w:rsidP="001262F9">
      <w:pPr>
        <w:pStyle w:val="SingleTxtG"/>
        <w:tabs>
          <w:tab w:val="left" w:pos="284"/>
        </w:tabs>
        <w:rPr>
          <w:lang w:val="fr-FR"/>
        </w:rPr>
      </w:pPr>
      <w:r w:rsidRPr="001262F9">
        <w:rPr>
          <w:lang w:val="fr-FR"/>
        </w:rPr>
        <w:t>544.</w:t>
      </w:r>
      <w:r w:rsidRPr="001262F9">
        <w:rPr>
          <w:lang w:val="fr-FR"/>
        </w:rPr>
        <w:tab/>
        <w:t xml:space="preserve">In 2004, 1.232 personnes (1.845 cas) ont été arrêtées pour violation de </w:t>
      </w:r>
      <w:smartTag w:uri="urn:schemas-microsoft-com:office:smarttags" w:element="PersonName">
        <w:smartTagPr>
          <w:attr w:name="ProductID" w:val="la Loi"/>
        </w:smartTagPr>
        <w:r w:rsidRPr="001262F9">
          <w:rPr>
            <w:lang w:val="fr-FR"/>
          </w:rPr>
          <w:t>la Loi</w:t>
        </w:r>
      </w:smartTag>
      <w:r w:rsidRPr="001262F9">
        <w:rPr>
          <w:lang w:val="fr-FR"/>
        </w:rPr>
        <w:t xml:space="preserve"> relative à la répression de la prostitution des enfants et de la pornographie mettant en scène des enfants, et à la protection des enfants. Parmi elles, 1.095 personnes (1.668 cas) ont été arrêtées pour des infractions liées à la prostitution enfantine et 137 personnes (177 cas) pour des actes de pornographie mettant en scène des enfants, dont 76 (85 cas) ont été arrêtées pour des délits sur Internet. </w:t>
      </w:r>
    </w:p>
    <w:p w:rsidR="001262F9" w:rsidRPr="001262F9" w:rsidRDefault="001262F9" w:rsidP="001262F9">
      <w:pPr>
        <w:pStyle w:val="SingleTxtG"/>
        <w:tabs>
          <w:tab w:val="left" w:pos="284"/>
        </w:tabs>
        <w:rPr>
          <w:lang w:val="fr-FR"/>
        </w:rPr>
      </w:pPr>
      <w:r w:rsidRPr="001262F9">
        <w:rPr>
          <w:lang w:val="fr-FR"/>
        </w:rPr>
        <w:t>(Loi sur la prévention de la maltraitance à l</w:t>
      </w:r>
      <w:r w:rsidR="00277023">
        <w:rPr>
          <w:lang w:val="fr-FR"/>
        </w:rPr>
        <w:t>’</w:t>
      </w:r>
      <w:r w:rsidRPr="001262F9">
        <w:rPr>
          <w:lang w:val="fr-FR"/>
        </w:rPr>
        <w:t xml:space="preserve">égard des enfants et Loi </w:t>
      </w:r>
      <w:r w:rsidR="00080583">
        <w:rPr>
          <w:lang w:val="fr-FR"/>
        </w:rPr>
        <w:t>sur la protection de l</w:t>
      </w:r>
      <w:r w:rsidR="00277023">
        <w:rPr>
          <w:lang w:val="fr-FR"/>
        </w:rPr>
        <w:t>’</w:t>
      </w:r>
      <w:r w:rsidR="00080583">
        <w:rPr>
          <w:lang w:val="fr-FR"/>
        </w:rPr>
        <w:t>enfance)</w:t>
      </w:r>
    </w:p>
    <w:p w:rsidR="001262F9" w:rsidRPr="001262F9" w:rsidRDefault="001262F9" w:rsidP="001262F9">
      <w:pPr>
        <w:pStyle w:val="SingleTxtG"/>
        <w:tabs>
          <w:tab w:val="left" w:pos="284"/>
        </w:tabs>
        <w:rPr>
          <w:lang w:val="fr-FR"/>
        </w:rPr>
      </w:pPr>
      <w:r w:rsidRPr="001262F9">
        <w:rPr>
          <w:lang w:val="fr-FR"/>
        </w:rPr>
        <w:t>545.</w:t>
      </w:r>
      <w:r w:rsidRPr="001262F9">
        <w:rPr>
          <w:lang w:val="fr-FR"/>
        </w:rPr>
        <w:tab/>
      </w:r>
      <w:smartTag w:uri="urn:schemas-microsoft-com:office:smarttags" w:element="PersonName">
        <w:smartTagPr>
          <w:attr w:name="ProductID" w:val="la Loi"/>
        </w:smartTagPr>
        <w:r w:rsidRPr="001262F9">
          <w:rPr>
            <w:lang w:val="fr-FR"/>
          </w:rPr>
          <w:t>La Loi</w:t>
        </w:r>
      </w:smartTag>
      <w:r w:rsidRPr="001262F9">
        <w:rPr>
          <w:lang w:val="fr-FR"/>
        </w:rPr>
        <w:t xml:space="preserve"> sur la prévention de la maltraitance à l</w:t>
      </w:r>
      <w:r w:rsidR="00277023">
        <w:rPr>
          <w:lang w:val="fr-FR"/>
        </w:rPr>
        <w:t>’</w:t>
      </w:r>
      <w:r w:rsidRPr="001262F9">
        <w:rPr>
          <w:lang w:val="fr-FR"/>
        </w:rPr>
        <w:t>égard des enfants stipule que la violence sexuelle à l</w:t>
      </w:r>
      <w:r w:rsidR="00277023">
        <w:rPr>
          <w:lang w:val="fr-FR"/>
        </w:rPr>
        <w:t>’</w:t>
      </w:r>
      <w:r w:rsidRPr="001262F9">
        <w:rPr>
          <w:lang w:val="fr-FR"/>
        </w:rPr>
        <w:t>égard d</w:t>
      </w:r>
      <w:r w:rsidR="00277023">
        <w:rPr>
          <w:lang w:val="fr-FR"/>
        </w:rPr>
        <w:t>’</w:t>
      </w:r>
      <w:r w:rsidRPr="001262F9">
        <w:rPr>
          <w:lang w:val="fr-FR"/>
        </w:rPr>
        <w:t>un enfant et son exploitation sexuelle sont intégrées dans la définition de la maltraitance et qu</w:t>
      </w:r>
      <w:r w:rsidR="00277023">
        <w:rPr>
          <w:lang w:val="fr-FR"/>
        </w:rPr>
        <w:t>’</w:t>
      </w:r>
      <w:r w:rsidRPr="001262F9">
        <w:rPr>
          <w:lang w:val="fr-FR"/>
        </w:rPr>
        <w:t>elles sont interdites à toute personne. En outre, le Ministère de la santé, du travail et de la protection sociale s</w:t>
      </w:r>
      <w:r w:rsidR="00277023">
        <w:rPr>
          <w:lang w:val="fr-FR"/>
        </w:rPr>
        <w:t>’</w:t>
      </w:r>
      <w:r w:rsidRPr="001262F9">
        <w:rPr>
          <w:lang w:val="fr-FR"/>
        </w:rPr>
        <w:t>emploie activement à fournir des informations au public et à proposer des activités éducatives pour la prévention de la maltraitance à l</w:t>
      </w:r>
      <w:r w:rsidR="00277023">
        <w:rPr>
          <w:lang w:val="fr-FR"/>
        </w:rPr>
        <w:t>’</w:t>
      </w:r>
      <w:r w:rsidRPr="001262F9">
        <w:rPr>
          <w:lang w:val="fr-FR"/>
        </w:rPr>
        <w:t>égard des enfants. Ainsi, le Ministère a préparé un manuel sur la façon d</w:t>
      </w:r>
      <w:r w:rsidR="00277023">
        <w:rPr>
          <w:lang w:val="fr-FR"/>
        </w:rPr>
        <w:t>’</w:t>
      </w:r>
      <w:r w:rsidRPr="001262F9">
        <w:rPr>
          <w:lang w:val="fr-FR"/>
        </w:rPr>
        <w:t>appréhender cette forme de maltraitance</w:t>
      </w:r>
      <w:r w:rsidR="00277023">
        <w:rPr>
          <w:lang w:val="fr-FR"/>
        </w:rPr>
        <w:t>;</w:t>
      </w:r>
      <w:r w:rsidRPr="001262F9">
        <w:rPr>
          <w:lang w:val="fr-FR"/>
        </w:rPr>
        <w:t xml:space="preserve"> il offre des conseils très précis sur la façon de prendre en charge les enfants lorsqu</w:t>
      </w:r>
      <w:r w:rsidR="00277023">
        <w:rPr>
          <w:lang w:val="fr-FR"/>
        </w:rPr>
        <w:t>’</w:t>
      </w:r>
      <w:r w:rsidRPr="001262F9">
        <w:rPr>
          <w:lang w:val="fr-FR"/>
        </w:rPr>
        <w:t>ils viennent personnellement demander une protection ou sur celle d</w:t>
      </w:r>
      <w:r w:rsidR="00277023">
        <w:rPr>
          <w:lang w:val="fr-FR"/>
        </w:rPr>
        <w:t>’</w:t>
      </w:r>
      <w:r w:rsidRPr="001262F9">
        <w:rPr>
          <w:lang w:val="fr-FR"/>
        </w:rPr>
        <w:t>aborder les cas d</w:t>
      </w:r>
      <w:r w:rsidR="00277023">
        <w:rPr>
          <w:lang w:val="fr-FR"/>
        </w:rPr>
        <w:t>’</w:t>
      </w:r>
      <w:r w:rsidRPr="001262F9">
        <w:rPr>
          <w:lang w:val="fr-FR"/>
        </w:rPr>
        <w:t>exploitation sexuelle, de manière à assurer que le personnel des centres de guidance infantile et des institutions de protection de l</w:t>
      </w:r>
      <w:r w:rsidR="00277023">
        <w:rPr>
          <w:lang w:val="fr-FR"/>
        </w:rPr>
        <w:t>’</w:t>
      </w:r>
      <w:r w:rsidRPr="001262F9">
        <w:rPr>
          <w:lang w:val="fr-FR"/>
        </w:rPr>
        <w:t>enfance apporte une réponse adaptée aux cas qui se présentent</w:t>
      </w:r>
      <w:r w:rsidR="00EA1115">
        <w:rPr>
          <w:lang w:val="fr-FR"/>
        </w:rPr>
        <w:t xml:space="preserve"> </w:t>
      </w:r>
      <w:r w:rsidRPr="001262F9">
        <w:rPr>
          <w:lang w:val="fr-FR"/>
        </w:rPr>
        <w:t>à eux.</w:t>
      </w:r>
    </w:p>
    <w:p w:rsidR="001262F9" w:rsidRPr="001262F9" w:rsidRDefault="001262F9" w:rsidP="001262F9">
      <w:pPr>
        <w:pStyle w:val="SingleTxtG"/>
        <w:tabs>
          <w:tab w:val="left" w:pos="284"/>
        </w:tabs>
        <w:rPr>
          <w:lang w:val="fr-FR"/>
        </w:rPr>
      </w:pPr>
      <w:r w:rsidRPr="001262F9">
        <w:rPr>
          <w:lang w:val="fr-FR"/>
        </w:rPr>
        <w:t>546.</w:t>
      </w:r>
      <w:r w:rsidRPr="001262F9">
        <w:rPr>
          <w:lang w:val="fr-FR"/>
        </w:rPr>
        <w:tab/>
      </w:r>
      <w:smartTag w:uri="urn:schemas-microsoft-com:office:smarttags" w:element="PersonName">
        <w:smartTagPr>
          <w:attr w:name="ProductID" w:val="la Loi"/>
        </w:smartTagPr>
        <w:r w:rsidRPr="001262F9">
          <w:rPr>
            <w:lang w:val="fr-FR"/>
          </w:rPr>
          <w:t>La Loi</w:t>
        </w:r>
      </w:smartTag>
      <w:r w:rsidRPr="001262F9">
        <w:rPr>
          <w:lang w:val="fr-FR"/>
        </w:rPr>
        <w:t xml:space="preserve"> sur la protection de l</w:t>
      </w:r>
      <w:r w:rsidR="00277023">
        <w:rPr>
          <w:lang w:val="fr-FR"/>
        </w:rPr>
        <w:t>’</w:t>
      </w:r>
      <w:r w:rsidRPr="001262F9">
        <w:rPr>
          <w:lang w:val="fr-FR"/>
        </w:rPr>
        <w:t>enfance a été partiellement amendée en novembre 2004 et le rôle des centres de guidance infantile a été clairement défini, et priorité y est donnée aux cas difficiles qui requièrent des compétences élevées, dans le souci d</w:t>
      </w:r>
      <w:r w:rsidR="00277023">
        <w:rPr>
          <w:lang w:val="fr-FR"/>
        </w:rPr>
        <w:t>’</w:t>
      </w:r>
      <w:r w:rsidRPr="001262F9">
        <w:rPr>
          <w:lang w:val="fr-FR"/>
        </w:rPr>
        <w:t>assurer l</w:t>
      </w:r>
      <w:r w:rsidR="00277023">
        <w:rPr>
          <w:lang w:val="fr-FR"/>
        </w:rPr>
        <w:t>’</w:t>
      </w:r>
      <w:r w:rsidRPr="001262F9">
        <w:rPr>
          <w:lang w:val="fr-FR"/>
        </w:rPr>
        <w:t>amélioration des systèmes de guidance infantile locaux. Dans le même objectif, il a été demandé</w:t>
      </w:r>
      <w:r w:rsidR="00EA1115">
        <w:rPr>
          <w:lang w:val="fr-FR"/>
        </w:rPr>
        <w:t xml:space="preserve"> </w:t>
      </w:r>
      <w:r w:rsidRPr="001262F9">
        <w:rPr>
          <w:lang w:val="fr-FR"/>
        </w:rPr>
        <w:t>aux établissements de protection de l</w:t>
      </w:r>
      <w:r w:rsidR="00277023">
        <w:rPr>
          <w:lang w:val="fr-FR"/>
        </w:rPr>
        <w:t>’</w:t>
      </w:r>
      <w:r w:rsidRPr="001262F9">
        <w:rPr>
          <w:lang w:val="fr-FR"/>
        </w:rPr>
        <w:t>enfance de mettre en place un bureau de plainte conformément</w:t>
      </w:r>
      <w:r w:rsidR="00EA1115">
        <w:rPr>
          <w:lang w:val="fr-FR"/>
        </w:rPr>
        <w:t xml:space="preserve"> </w:t>
      </w:r>
      <w:r w:rsidRPr="001262F9">
        <w:rPr>
          <w:lang w:val="fr-FR"/>
        </w:rPr>
        <w:t>aux normes minima relatives aux établissements de protection de l</w:t>
      </w:r>
      <w:r w:rsidR="00277023">
        <w:rPr>
          <w:lang w:val="fr-FR"/>
        </w:rPr>
        <w:t>’</w:t>
      </w:r>
      <w:r w:rsidRPr="001262F9">
        <w:rPr>
          <w:lang w:val="fr-FR"/>
        </w:rPr>
        <w:t xml:space="preserve">enfance (ordonnance </w:t>
      </w:r>
      <w:r w:rsidR="00862799" w:rsidRPr="001262F9">
        <w:rPr>
          <w:lang w:val="fr-FR"/>
        </w:rPr>
        <w:t>No</w:t>
      </w:r>
      <w:r w:rsidRPr="001262F9">
        <w:rPr>
          <w:lang w:val="fr-FR"/>
        </w:rPr>
        <w:t>. 63 de 1948 du Ministère de la santé, du travail et de la protection sociale), partiellement amendées en 2000, afin d</w:t>
      </w:r>
      <w:r w:rsidR="00277023">
        <w:rPr>
          <w:lang w:val="fr-FR"/>
        </w:rPr>
        <w:t>’</w:t>
      </w:r>
      <w:r w:rsidRPr="001262F9">
        <w:rPr>
          <w:lang w:val="fr-FR"/>
        </w:rPr>
        <w:t>assurer que les plaintes émanant d</w:t>
      </w:r>
      <w:r w:rsidR="00277023">
        <w:rPr>
          <w:lang w:val="fr-FR"/>
        </w:rPr>
        <w:t>’</w:t>
      </w:r>
      <w:r w:rsidRPr="001262F9">
        <w:rPr>
          <w:lang w:val="fr-FR"/>
        </w:rPr>
        <w:t>enfants placés dans un établissement de protection de l</w:t>
      </w:r>
      <w:r w:rsidR="00277023">
        <w:rPr>
          <w:lang w:val="fr-FR"/>
        </w:rPr>
        <w:t>’</w:t>
      </w:r>
      <w:r w:rsidRPr="001262F9">
        <w:rPr>
          <w:lang w:val="fr-FR"/>
        </w:rPr>
        <w:t>enfance ou de ses représentants légaux relatives au traitement reçu dans l</w:t>
      </w:r>
      <w:r w:rsidR="00277023">
        <w:rPr>
          <w:lang w:val="fr-FR"/>
        </w:rPr>
        <w:t>’</w:t>
      </w:r>
      <w:r w:rsidRPr="001262F9">
        <w:rPr>
          <w:lang w:val="fr-FR"/>
        </w:rPr>
        <w:t xml:space="preserve">établissement soient traitées rapidement et convenablement. Le concept de </w:t>
      </w:r>
      <w:r w:rsidR="008E49D4">
        <w:rPr>
          <w:lang w:val="fr-FR"/>
        </w:rPr>
        <w:t>“</w:t>
      </w:r>
      <w:r w:rsidRPr="001262F9">
        <w:rPr>
          <w:lang w:val="fr-FR"/>
        </w:rPr>
        <w:t>mobilisation en faveur des droits de l</w:t>
      </w:r>
      <w:r w:rsidR="00277023">
        <w:rPr>
          <w:lang w:val="fr-FR"/>
        </w:rPr>
        <w:t>’</w:t>
      </w:r>
      <w:r w:rsidRPr="001262F9">
        <w:rPr>
          <w:lang w:val="fr-FR"/>
        </w:rPr>
        <w:t>enfant</w:t>
      </w:r>
      <w:r w:rsidR="008E49D4">
        <w:rPr>
          <w:lang w:val="fr-FR"/>
        </w:rPr>
        <w:t>”</w:t>
      </w:r>
      <w:r w:rsidRPr="001262F9">
        <w:rPr>
          <w:lang w:val="fr-FR"/>
        </w:rPr>
        <w:t xml:space="preserve"> est incorporé dans les programmes de formation continue du personnel travaillant sur des projets de soutien au développement de la capacité d</w:t>
      </w:r>
      <w:r w:rsidR="00277023">
        <w:rPr>
          <w:lang w:val="fr-FR"/>
        </w:rPr>
        <w:t>’</w:t>
      </w:r>
      <w:r w:rsidRPr="001262F9">
        <w:rPr>
          <w:lang w:val="fr-FR"/>
        </w:rPr>
        <w:t>autonomie des enfants, dispensés à l</w:t>
      </w:r>
      <w:r w:rsidR="00277023">
        <w:rPr>
          <w:lang w:val="fr-FR"/>
        </w:rPr>
        <w:t>’</w:t>
      </w:r>
      <w:r w:rsidRPr="001262F9">
        <w:rPr>
          <w:lang w:val="fr-FR"/>
        </w:rPr>
        <w:t>Institut de formation des personnels de l</w:t>
      </w:r>
      <w:r w:rsidR="00277023">
        <w:rPr>
          <w:lang w:val="fr-FR"/>
        </w:rPr>
        <w:t>’</w:t>
      </w:r>
      <w:r w:rsidRPr="001262F9">
        <w:rPr>
          <w:lang w:val="fr-FR"/>
        </w:rPr>
        <w:t>Institut d</w:t>
      </w:r>
      <w:r w:rsidR="00277023">
        <w:rPr>
          <w:lang w:val="fr-FR"/>
        </w:rPr>
        <w:t>’</w:t>
      </w:r>
      <w:r w:rsidRPr="001262F9">
        <w:rPr>
          <w:lang w:val="fr-FR"/>
        </w:rPr>
        <w:t>aide au développement de l</w:t>
      </w:r>
      <w:r w:rsidR="00277023">
        <w:rPr>
          <w:lang w:val="fr-FR"/>
        </w:rPr>
        <w:t>’</w:t>
      </w:r>
      <w:r w:rsidRPr="001262F9">
        <w:rPr>
          <w:lang w:val="fr-FR"/>
        </w:rPr>
        <w:t xml:space="preserve">autonomie des enfants, affilié à </w:t>
      </w:r>
      <w:r w:rsidRPr="001262F9">
        <w:rPr>
          <w:i/>
          <w:iCs/>
          <w:lang w:val="fr-FR"/>
        </w:rPr>
        <w:t>Musashino Gakuin</w:t>
      </w:r>
      <w:r w:rsidR="00862799">
        <w:rPr>
          <w:lang w:val="fr-FR"/>
        </w:rPr>
        <w:t>.</w:t>
      </w:r>
    </w:p>
    <w:p w:rsidR="001262F9" w:rsidRPr="001262F9" w:rsidRDefault="001262F9" w:rsidP="001262F9">
      <w:pPr>
        <w:pStyle w:val="SingleTxtG"/>
        <w:tabs>
          <w:tab w:val="left" w:pos="284"/>
        </w:tabs>
        <w:rPr>
          <w:lang w:val="fr-FR"/>
        </w:rPr>
      </w:pPr>
      <w:r w:rsidRPr="001262F9">
        <w:rPr>
          <w:lang w:val="fr-FR"/>
        </w:rPr>
        <w:t>547.</w:t>
      </w:r>
      <w:r w:rsidRPr="001262F9">
        <w:rPr>
          <w:lang w:val="fr-FR"/>
        </w:rPr>
        <w:tab/>
        <w:t>Dans ses observations finales en réponse au deuxième rapport du Japon, le Comité des droits de l</w:t>
      </w:r>
      <w:r w:rsidR="00277023">
        <w:rPr>
          <w:lang w:val="fr-FR"/>
        </w:rPr>
        <w:t>’</w:t>
      </w:r>
      <w:r w:rsidRPr="001262F9">
        <w:rPr>
          <w:lang w:val="fr-FR"/>
        </w:rPr>
        <w:t>enfant a recommandé la modification du système judiciaire relatif à l</w:t>
      </w:r>
      <w:r w:rsidR="00277023">
        <w:rPr>
          <w:lang w:val="fr-FR"/>
        </w:rPr>
        <w:t>’</w:t>
      </w:r>
      <w:r w:rsidRPr="001262F9">
        <w:rPr>
          <w:lang w:val="fr-FR"/>
        </w:rPr>
        <w:t>exploitation et à la violence sexuelles afin d</w:t>
      </w:r>
      <w:r w:rsidR="00277023">
        <w:rPr>
          <w:lang w:val="fr-FR"/>
        </w:rPr>
        <w:t>’</w:t>
      </w:r>
      <w:r w:rsidRPr="001262F9">
        <w:rPr>
          <w:lang w:val="fr-FR"/>
        </w:rPr>
        <w:t xml:space="preserve">assurer que les filles et les garçons bénéficient de la même protection. Cependant, les lois et dispositions pertinentes, y compris </w:t>
      </w:r>
      <w:smartTag w:uri="urn:schemas-microsoft-com:office:smarttags" w:element="PersonName">
        <w:smartTagPr>
          <w:attr w:name="ProductID" w:val="la Loi"/>
        </w:smartTagPr>
        <w:r w:rsidRPr="001262F9">
          <w:rPr>
            <w:lang w:val="fr-FR"/>
          </w:rPr>
          <w:t>la Loi</w:t>
        </w:r>
      </w:smartTag>
      <w:r w:rsidRPr="001262F9">
        <w:rPr>
          <w:lang w:val="fr-FR"/>
        </w:rPr>
        <w:t xml:space="preserve"> actuelle sur la protection de l</w:t>
      </w:r>
      <w:r w:rsidR="00277023">
        <w:rPr>
          <w:lang w:val="fr-FR"/>
        </w:rPr>
        <w:t>’</w:t>
      </w:r>
      <w:r w:rsidRPr="001262F9">
        <w:rPr>
          <w:lang w:val="fr-FR"/>
        </w:rPr>
        <w:t>enfance, ne comportent aucune disposition discriminatoire qui permette d</w:t>
      </w:r>
      <w:r w:rsidR="00277023">
        <w:rPr>
          <w:lang w:val="fr-FR"/>
        </w:rPr>
        <w:t>’</w:t>
      </w:r>
      <w:r w:rsidRPr="001262F9">
        <w:rPr>
          <w:lang w:val="fr-FR"/>
        </w:rPr>
        <w:t xml:space="preserve">adopter des mesures de protection différentes selon le sexe des enfants. </w:t>
      </w:r>
    </w:p>
    <w:p w:rsidR="001262F9" w:rsidRPr="001262F9" w:rsidRDefault="001262F9" w:rsidP="001262F9">
      <w:pPr>
        <w:pStyle w:val="SingleTxtG"/>
        <w:tabs>
          <w:tab w:val="left" w:pos="284"/>
        </w:tabs>
        <w:rPr>
          <w:lang w:val="fr-FR"/>
        </w:rPr>
      </w:pPr>
      <w:r w:rsidRPr="001262F9">
        <w:rPr>
          <w:lang w:val="fr-FR"/>
        </w:rPr>
        <w:t>(Loi sur les sites de rencontre sur Internet)</w:t>
      </w:r>
    </w:p>
    <w:p w:rsidR="001262F9" w:rsidRPr="001262F9" w:rsidRDefault="001262F9" w:rsidP="001262F9">
      <w:pPr>
        <w:pStyle w:val="SingleTxtG"/>
        <w:tabs>
          <w:tab w:val="left" w:pos="284"/>
        </w:tabs>
        <w:rPr>
          <w:lang w:val="fr-FR"/>
        </w:rPr>
      </w:pPr>
      <w:r w:rsidRPr="001262F9">
        <w:rPr>
          <w:lang w:val="fr-FR"/>
        </w:rPr>
        <w:t>548.</w:t>
      </w:r>
      <w:r w:rsidRPr="001262F9">
        <w:rPr>
          <w:lang w:val="fr-FR"/>
        </w:rPr>
        <w:tab/>
        <w:t xml:space="preserve">En juin </w:t>
      </w:r>
      <w:smartTag w:uri="urn:schemas-microsoft-com:office:smarttags" w:element="metricconverter">
        <w:smartTagPr>
          <w:attr w:name="ProductID" w:val="2003 a"/>
        </w:smartTagPr>
        <w:r w:rsidRPr="001262F9">
          <w:rPr>
            <w:lang w:val="fr-FR"/>
          </w:rPr>
          <w:t>2003 a</w:t>
        </w:r>
      </w:smartTag>
      <w:r w:rsidRPr="001262F9">
        <w:rPr>
          <w:lang w:val="fr-FR"/>
        </w:rPr>
        <w:t xml:space="preserve"> été formulée </w:t>
      </w:r>
      <w:smartTag w:uri="urn:schemas-microsoft-com:office:smarttags" w:element="PersonName">
        <w:smartTagPr>
          <w:attr w:name="ProductID" w:val="la Loi"/>
        </w:smartTagPr>
        <w:r w:rsidRPr="001262F9">
          <w:rPr>
            <w:lang w:val="fr-FR"/>
          </w:rPr>
          <w:t>la Loi</w:t>
        </w:r>
      </w:smartTag>
      <w:r w:rsidRPr="001262F9">
        <w:rPr>
          <w:lang w:val="fr-FR"/>
        </w:rPr>
        <w:t xml:space="preserve"> sur les sites de rencontre sur Internet, dont les dispositions ont commencé à être mises en œuvre en décembre de la même année (voir paragraphe 14). </w:t>
      </w:r>
    </w:p>
    <w:p w:rsidR="001262F9" w:rsidRPr="001262F9" w:rsidRDefault="001262F9" w:rsidP="001262F9">
      <w:pPr>
        <w:pStyle w:val="SingleTxtG"/>
        <w:tabs>
          <w:tab w:val="left" w:pos="284"/>
        </w:tabs>
        <w:rPr>
          <w:lang w:val="fr-FR"/>
        </w:rPr>
      </w:pPr>
      <w:r w:rsidRPr="001262F9">
        <w:rPr>
          <w:lang w:val="fr-FR"/>
        </w:rPr>
        <w:t>(Réponse aux informations illicites et préjudiciables comme la pornographie enfantine)</w:t>
      </w:r>
    </w:p>
    <w:p w:rsidR="001262F9" w:rsidRPr="001262F9" w:rsidRDefault="001262F9" w:rsidP="001262F9">
      <w:pPr>
        <w:pStyle w:val="SingleTxtG"/>
        <w:tabs>
          <w:tab w:val="left" w:pos="284"/>
        </w:tabs>
        <w:rPr>
          <w:lang w:val="fr-FR"/>
        </w:rPr>
      </w:pPr>
      <w:r w:rsidRPr="001262F9">
        <w:rPr>
          <w:lang w:val="fr-FR"/>
        </w:rPr>
        <w:t>549.</w:t>
      </w:r>
      <w:r w:rsidRPr="001262F9">
        <w:rPr>
          <w:lang w:val="fr-FR"/>
        </w:rPr>
        <w:tab/>
        <w:t xml:space="preserve">Voir paragraphes 485-492 du deuxième rapport du Japon. </w:t>
      </w:r>
    </w:p>
    <w:p w:rsidR="001262F9" w:rsidRPr="001262F9" w:rsidRDefault="001262F9" w:rsidP="001262F9">
      <w:pPr>
        <w:pStyle w:val="SingleTxtG"/>
        <w:tabs>
          <w:tab w:val="left" w:pos="284"/>
        </w:tabs>
        <w:rPr>
          <w:lang w:val="fr-FR"/>
        </w:rPr>
      </w:pPr>
      <w:r w:rsidRPr="001262F9">
        <w:rPr>
          <w:lang w:val="fr-FR"/>
        </w:rPr>
        <w:t>550.</w:t>
      </w:r>
      <w:r w:rsidRPr="001262F9">
        <w:rPr>
          <w:lang w:val="fr-FR"/>
        </w:rPr>
        <w:tab/>
        <w:t>Le Gouvernement japonais travaille sur des mesures de protection des mineurs, notamment pour lutter contre les sites Internet dangereux et la cybercriminalité, à travers le Plan d</w:t>
      </w:r>
      <w:r w:rsidR="00277023">
        <w:rPr>
          <w:lang w:val="fr-FR"/>
        </w:rPr>
        <w:t>’</w:t>
      </w:r>
      <w:r w:rsidRPr="001262F9">
        <w:rPr>
          <w:lang w:val="fr-FR"/>
        </w:rPr>
        <w:t>action pour édifier une société sans crime.</w:t>
      </w:r>
      <w:r w:rsidR="00EA1115">
        <w:rPr>
          <w:lang w:val="fr-FR"/>
        </w:rPr>
        <w:t xml:space="preserve"> </w:t>
      </w:r>
      <w:smartTag w:uri="urn:schemas-microsoft-com:office:smarttags" w:element="PersonName">
        <w:smartTagPr>
          <w:attr w:name="ProductID" w:val="la Police"/>
        </w:smartTagPr>
        <w:r w:rsidRPr="001262F9">
          <w:rPr>
            <w:lang w:val="fr-FR"/>
          </w:rPr>
          <w:t>La Police</w:t>
        </w:r>
      </w:smartTag>
      <w:r w:rsidRPr="001262F9">
        <w:rPr>
          <w:lang w:val="fr-FR"/>
        </w:rPr>
        <w:t xml:space="preserve"> nationale a élaboré en juillet 2005 le Programme prioritaire de sécurité de l</w:t>
      </w:r>
      <w:r w:rsidR="00277023">
        <w:rPr>
          <w:lang w:val="fr-FR"/>
        </w:rPr>
        <w:t>’</w:t>
      </w:r>
      <w:r w:rsidRPr="001262F9">
        <w:rPr>
          <w:lang w:val="fr-FR"/>
        </w:rPr>
        <w:t>information 2005. Il contient des mesures de lutte contre les informations illicites et préjudiciables sur Internet, y compris la pornographie enfantine parmi les dispositions prioritaires, et prévoit des contrôles stricts à cet égard. De plus, la police a lancé en 2002 un système de recherche automatique de pornographie enfantine pour lutter contre la pornographie en ligne mettant en scène des enfants. La police préfectorale enregistre des images de pornographie enfantine dans la base de données gérée par la police nationale, et le système lance automatiquement une recherche pour vérifier si des images identiques existent sur Internet, et en cas de hit, le système informe automatiquement la police préfectorale qui enregistre l</w:t>
      </w:r>
      <w:r w:rsidR="00277023">
        <w:rPr>
          <w:lang w:val="fr-FR"/>
        </w:rPr>
        <w:t>’</w:t>
      </w:r>
      <w:r w:rsidRPr="001262F9">
        <w:rPr>
          <w:lang w:val="fr-FR"/>
        </w:rPr>
        <w:t>image qui devient alors un outil d</w:t>
      </w:r>
      <w:r w:rsidR="00277023">
        <w:rPr>
          <w:lang w:val="fr-FR"/>
        </w:rPr>
        <w:t>’</w:t>
      </w:r>
      <w:r w:rsidRPr="001262F9">
        <w:rPr>
          <w:lang w:val="fr-FR"/>
        </w:rPr>
        <w:t xml:space="preserve">enquête. </w:t>
      </w:r>
      <w:smartTag w:uri="urn:schemas-microsoft-com:office:smarttags" w:element="PersonName">
        <w:smartTagPr>
          <w:attr w:name="ProductID" w:val="la Loi"/>
        </w:smartTagPr>
        <w:r w:rsidRPr="001262F9">
          <w:rPr>
            <w:lang w:val="fr-FR"/>
          </w:rPr>
          <w:t>La Loi</w:t>
        </w:r>
      </w:smartTag>
      <w:r w:rsidRPr="001262F9">
        <w:rPr>
          <w:lang w:val="fr-FR"/>
        </w:rPr>
        <w:t xml:space="preserve"> sur le contrôle et l</w:t>
      </w:r>
      <w:r w:rsidR="00277023">
        <w:rPr>
          <w:lang w:val="fr-FR"/>
        </w:rPr>
        <w:t>’</w:t>
      </w:r>
      <w:r w:rsidRPr="001262F9">
        <w:rPr>
          <w:lang w:val="fr-FR"/>
        </w:rPr>
        <w:t>amélioration de l</w:t>
      </w:r>
      <w:r w:rsidR="00277023">
        <w:rPr>
          <w:lang w:val="fr-FR"/>
        </w:rPr>
        <w:t>’</w:t>
      </w:r>
      <w:r w:rsidRPr="001262F9">
        <w:rPr>
          <w:lang w:val="fr-FR"/>
        </w:rPr>
        <w:t>industrie du spectacle et des loisirs stipule qu</w:t>
      </w:r>
      <w:r w:rsidR="00277023">
        <w:rPr>
          <w:lang w:val="fr-FR"/>
        </w:rPr>
        <w:t>’</w:t>
      </w:r>
      <w:r w:rsidRPr="001262F9">
        <w:rPr>
          <w:lang w:val="fr-FR"/>
        </w:rPr>
        <w:t>un arrêté de suspension des activités peut être pris dans le cas où une personne impliquée dans des opérations commerciales de vente et de location de vidéos pour adultes se rend coupable d</w:t>
      </w:r>
      <w:r w:rsidR="00277023">
        <w:rPr>
          <w:lang w:val="fr-FR"/>
        </w:rPr>
        <w:t>’</w:t>
      </w:r>
      <w:r w:rsidRPr="001262F9">
        <w:rPr>
          <w:lang w:val="fr-FR"/>
        </w:rPr>
        <w:t>un délit tel que la distribution de matériel obscène ou de vidéos pornographiques mettant en scène des enfants.</w:t>
      </w:r>
    </w:p>
    <w:p w:rsidR="001262F9" w:rsidRPr="001262F9" w:rsidRDefault="001262F9" w:rsidP="001262F9">
      <w:pPr>
        <w:pStyle w:val="SingleTxtG"/>
        <w:tabs>
          <w:tab w:val="left" w:pos="284"/>
        </w:tabs>
        <w:rPr>
          <w:lang w:val="fr-FR"/>
        </w:rPr>
      </w:pPr>
      <w:r w:rsidRPr="001262F9">
        <w:rPr>
          <w:lang w:val="fr-FR"/>
        </w:rPr>
        <w:t>(Education en matière de prévention de l</w:t>
      </w:r>
      <w:r w:rsidR="00277023">
        <w:rPr>
          <w:lang w:val="fr-FR"/>
        </w:rPr>
        <w:t>’</w:t>
      </w:r>
      <w:r w:rsidRPr="001262F9">
        <w:rPr>
          <w:lang w:val="fr-FR"/>
        </w:rPr>
        <w:t>exploitation sexue</w:t>
      </w:r>
      <w:r w:rsidR="00080583">
        <w:rPr>
          <w:lang w:val="fr-FR"/>
        </w:rPr>
        <w:t>lle et de la violence sexuelle)</w:t>
      </w:r>
    </w:p>
    <w:p w:rsidR="001262F9" w:rsidRPr="001262F9" w:rsidRDefault="001262F9" w:rsidP="001262F9">
      <w:pPr>
        <w:pStyle w:val="SingleTxtG"/>
        <w:tabs>
          <w:tab w:val="left" w:pos="284"/>
        </w:tabs>
        <w:rPr>
          <w:lang w:val="fr-FR"/>
        </w:rPr>
      </w:pPr>
      <w:r w:rsidRPr="001262F9">
        <w:rPr>
          <w:lang w:val="fr-FR"/>
        </w:rPr>
        <w:t>551.</w:t>
      </w:r>
      <w:r w:rsidRPr="001262F9">
        <w:rPr>
          <w:lang w:val="fr-FR"/>
        </w:rPr>
        <w:tab/>
        <w:t>Le personnel enseignant reçoit des informations sur la prévention de la maltraitance à l</w:t>
      </w:r>
      <w:r w:rsidR="00277023">
        <w:rPr>
          <w:lang w:val="fr-FR"/>
        </w:rPr>
        <w:t>’</w:t>
      </w:r>
      <w:r w:rsidRPr="001262F9">
        <w:rPr>
          <w:lang w:val="fr-FR"/>
        </w:rPr>
        <w:t>égard des enfants, y compris sur l</w:t>
      </w:r>
      <w:r w:rsidR="00277023">
        <w:rPr>
          <w:lang w:val="fr-FR"/>
        </w:rPr>
        <w:t>’</w:t>
      </w:r>
      <w:r w:rsidRPr="001262F9">
        <w:rPr>
          <w:lang w:val="fr-FR"/>
        </w:rPr>
        <w:t>exploitation sexuelle, grâce à des publications et à l</w:t>
      </w:r>
      <w:r w:rsidR="00277023">
        <w:rPr>
          <w:lang w:val="fr-FR"/>
        </w:rPr>
        <w:t>’</w:t>
      </w:r>
      <w:r w:rsidRPr="001262F9">
        <w:rPr>
          <w:lang w:val="fr-FR"/>
        </w:rPr>
        <w:t>organisation de réunions. S</w:t>
      </w:r>
      <w:r w:rsidR="00277023">
        <w:rPr>
          <w:lang w:val="fr-FR"/>
        </w:rPr>
        <w:t>’</w:t>
      </w:r>
      <w:r w:rsidRPr="001262F9">
        <w:rPr>
          <w:lang w:val="fr-FR"/>
        </w:rPr>
        <w:t>agissant de promouvoir la santé physique et mentale des enfants, outre la prévention des maladies et le soutien antistress, il est important d</w:t>
      </w:r>
      <w:r w:rsidR="00277023">
        <w:rPr>
          <w:lang w:val="fr-FR"/>
        </w:rPr>
        <w:t>’</w:t>
      </w:r>
      <w:r w:rsidRPr="001262F9">
        <w:rPr>
          <w:lang w:val="fr-FR"/>
        </w:rPr>
        <w:t>avoir un mode de vie équilibré, avec des exercices physiques et une alimentation, un repos et un sommeil de bonne qualité. Il est tout aussi important d</w:t>
      </w:r>
      <w:r w:rsidR="00277023">
        <w:rPr>
          <w:lang w:val="fr-FR"/>
        </w:rPr>
        <w:t>’</w:t>
      </w:r>
      <w:r w:rsidRPr="001262F9">
        <w:rPr>
          <w:lang w:val="fr-FR"/>
        </w:rPr>
        <w:t>être conscient de la valeur de la santé, de prendre soin de soi-même, de savoir gérer son stress et de développer la capacité de s</w:t>
      </w:r>
      <w:r w:rsidR="00277023">
        <w:rPr>
          <w:lang w:val="fr-FR"/>
        </w:rPr>
        <w:t>’</w:t>
      </w:r>
      <w:r w:rsidRPr="001262F9">
        <w:rPr>
          <w:lang w:val="fr-FR"/>
        </w:rPr>
        <w:t>abstenir de son propre chef de toucher aux substances préjudiciables pour la santé. C</w:t>
      </w:r>
      <w:r w:rsidR="00277023">
        <w:rPr>
          <w:lang w:val="fr-FR"/>
        </w:rPr>
        <w:t>’</w:t>
      </w:r>
      <w:r w:rsidRPr="001262F9">
        <w:rPr>
          <w:lang w:val="fr-FR"/>
        </w:rPr>
        <w:t>est pourquoi les établissements scolaires offrent des conseils en matière de développement mental, de recherche d</w:t>
      </w:r>
      <w:r w:rsidR="00277023">
        <w:rPr>
          <w:lang w:val="fr-FR"/>
        </w:rPr>
        <w:t>’</w:t>
      </w:r>
      <w:r w:rsidRPr="001262F9">
        <w:rPr>
          <w:lang w:val="fr-FR"/>
        </w:rPr>
        <w:t>équilibre entre le corps et l</w:t>
      </w:r>
      <w:r w:rsidR="00277023">
        <w:rPr>
          <w:lang w:val="fr-FR"/>
        </w:rPr>
        <w:t>’</w:t>
      </w:r>
      <w:r w:rsidRPr="001262F9">
        <w:rPr>
          <w:lang w:val="fr-FR"/>
        </w:rPr>
        <w:t>esprit et de prise de conscience de soi dans les cours d</w:t>
      </w:r>
      <w:r w:rsidR="00277023">
        <w:rPr>
          <w:lang w:val="fr-FR"/>
        </w:rPr>
        <w:t>’</w:t>
      </w:r>
      <w:r w:rsidRPr="001262F9">
        <w:rPr>
          <w:lang w:val="fr-FR"/>
        </w:rPr>
        <w:t xml:space="preserve">éducation physique et sanitaire. Avec la promulgation de </w:t>
      </w:r>
      <w:smartTag w:uri="urn:schemas-microsoft-com:office:smarttags" w:element="PersonName">
        <w:smartTagPr>
          <w:attr w:name="ProductID" w:val="la Loi"/>
        </w:smartTagPr>
        <w:r w:rsidRPr="001262F9">
          <w:rPr>
            <w:lang w:val="fr-FR"/>
          </w:rPr>
          <w:t>la Loi</w:t>
        </w:r>
      </w:smartTag>
      <w:r w:rsidRPr="001262F9">
        <w:rPr>
          <w:lang w:val="fr-FR"/>
        </w:rPr>
        <w:t xml:space="preserve"> sur la réglementation des actes visant à attirer des enfants par des sites de rencontres sur Internet en juin 2003, une note présentant les grandes lignes de </w:t>
      </w:r>
      <w:smartTag w:uri="urn:schemas-microsoft-com:office:smarttags" w:element="PersonName">
        <w:smartTagPr>
          <w:attr w:name="ProductID" w:val="la Loi"/>
        </w:smartTagPr>
        <w:r w:rsidRPr="001262F9">
          <w:rPr>
            <w:lang w:val="fr-FR"/>
          </w:rPr>
          <w:t>la Loi</w:t>
        </w:r>
      </w:smartTag>
      <w:r w:rsidRPr="001262F9">
        <w:rPr>
          <w:lang w:val="fr-FR"/>
        </w:rPr>
        <w:t xml:space="preserve"> et les aspects à prendre en considération a été envoyé aux conseils d</w:t>
      </w:r>
      <w:r w:rsidR="00277023">
        <w:rPr>
          <w:lang w:val="fr-FR"/>
        </w:rPr>
        <w:t>’</w:t>
      </w:r>
      <w:r w:rsidRPr="001262F9">
        <w:rPr>
          <w:lang w:val="fr-FR"/>
        </w:rPr>
        <w:t>éducation des préfectures.</w:t>
      </w:r>
    </w:p>
    <w:p w:rsidR="001262F9" w:rsidRPr="001262F9" w:rsidRDefault="001262F9" w:rsidP="001262F9">
      <w:pPr>
        <w:pStyle w:val="SingleTxtG"/>
        <w:tabs>
          <w:tab w:val="left" w:pos="284"/>
        </w:tabs>
        <w:rPr>
          <w:bCs/>
          <w:iCs/>
          <w:lang w:val="fr-FR"/>
        </w:rPr>
      </w:pPr>
      <w:r w:rsidRPr="001262F9">
        <w:rPr>
          <w:lang w:val="fr-FR"/>
        </w:rPr>
        <w:t>(c-3) Campagne d</w:t>
      </w:r>
      <w:r w:rsidR="00277023">
        <w:rPr>
          <w:lang w:val="fr-FR"/>
        </w:rPr>
        <w:t>’</w:t>
      </w:r>
      <w:r w:rsidRPr="001262F9">
        <w:rPr>
          <w:lang w:val="fr-FR"/>
        </w:rPr>
        <w:t>information et d</w:t>
      </w:r>
      <w:r w:rsidR="00277023">
        <w:rPr>
          <w:lang w:val="fr-FR"/>
        </w:rPr>
        <w:t>’</w:t>
      </w:r>
      <w:r w:rsidRPr="001262F9">
        <w:rPr>
          <w:lang w:val="fr-FR"/>
        </w:rPr>
        <w:t>éducation</w:t>
      </w:r>
    </w:p>
    <w:p w:rsidR="001262F9" w:rsidRPr="001262F9" w:rsidRDefault="001262F9" w:rsidP="001262F9">
      <w:pPr>
        <w:pStyle w:val="SingleTxtG"/>
        <w:tabs>
          <w:tab w:val="left" w:pos="284"/>
        </w:tabs>
        <w:rPr>
          <w:lang w:val="fr-FR"/>
        </w:rPr>
      </w:pPr>
      <w:r w:rsidRPr="001262F9">
        <w:rPr>
          <w:lang w:val="fr-FR"/>
        </w:rPr>
        <w:t>552.</w:t>
      </w:r>
      <w:r w:rsidRPr="001262F9">
        <w:rPr>
          <w:lang w:val="fr-FR"/>
        </w:rPr>
        <w:tab/>
        <w:t>En décembre 2001, le Gouvernement a organisé le deuxième Congrès mondial contre l</w:t>
      </w:r>
      <w:r w:rsidR="00277023">
        <w:rPr>
          <w:lang w:val="fr-FR"/>
        </w:rPr>
        <w:t>’</w:t>
      </w:r>
      <w:r w:rsidRPr="001262F9">
        <w:rPr>
          <w:lang w:val="fr-FR"/>
        </w:rPr>
        <w:t>exploitation sexuelle des enfants à des fins commerciales conjointement avec l</w:t>
      </w:r>
      <w:r w:rsidR="00277023">
        <w:rPr>
          <w:lang w:val="fr-FR"/>
        </w:rPr>
        <w:t>’</w:t>
      </w:r>
      <w:r w:rsidRPr="001262F9">
        <w:rPr>
          <w:lang w:val="fr-FR"/>
        </w:rPr>
        <w:t>UNICEF, ECPAT International (réseau d</w:t>
      </w:r>
      <w:r w:rsidR="00277023">
        <w:rPr>
          <w:lang w:val="fr-FR"/>
        </w:rPr>
        <w:t>’</w:t>
      </w:r>
      <w:r w:rsidRPr="001262F9">
        <w:rPr>
          <w:lang w:val="fr-FR"/>
        </w:rPr>
        <w:t>ONG contre la prostitution enfantine, la pornographie enfantine et le traite d</w:t>
      </w:r>
      <w:r w:rsidR="00277023">
        <w:rPr>
          <w:lang w:val="fr-FR"/>
        </w:rPr>
        <w:t>’</w:t>
      </w:r>
      <w:r w:rsidRPr="001262F9">
        <w:rPr>
          <w:lang w:val="fr-FR"/>
        </w:rPr>
        <w:t xml:space="preserve">enfants à des fins sexuelles) et le Groupe des ONG pour </w:t>
      </w:r>
      <w:smartTag w:uri="urn:schemas-microsoft-com:office:smarttags" w:element="PersonName">
        <w:smartTagPr>
          <w:attr w:name="ProductID" w:val="LA CONVENTION"/>
        </w:smartTagPr>
        <w:r w:rsidRPr="001262F9">
          <w:rPr>
            <w:lang w:val="fr-FR"/>
          </w:rPr>
          <w:t>la Convention</w:t>
        </w:r>
      </w:smartTag>
      <w:r w:rsidRPr="001262F9">
        <w:rPr>
          <w:lang w:val="fr-FR"/>
        </w:rPr>
        <w:t xml:space="preserve"> relative aux droits de l</w:t>
      </w:r>
      <w:r w:rsidR="00277023">
        <w:rPr>
          <w:lang w:val="fr-FR"/>
        </w:rPr>
        <w:t>’</w:t>
      </w:r>
      <w:r w:rsidRPr="001262F9">
        <w:rPr>
          <w:lang w:val="fr-FR"/>
        </w:rPr>
        <w:t>enfant, qui a réuni quelque 3.000 participants. Le Congrès, qui a vivement intéressé des Japonais et des étrangers, a permis de lancer un message invitant tous les intervenants dans ce domaine à associer leurs efforts pour venir à bout de ce problème.</w:t>
      </w:r>
    </w:p>
    <w:p w:rsidR="001262F9" w:rsidRPr="001262F9" w:rsidRDefault="001262F9" w:rsidP="001262F9">
      <w:pPr>
        <w:pStyle w:val="SingleTxtG"/>
        <w:tabs>
          <w:tab w:val="left" w:pos="284"/>
        </w:tabs>
        <w:rPr>
          <w:lang w:val="fr-FR"/>
        </w:rPr>
      </w:pPr>
      <w:r w:rsidRPr="001262F9">
        <w:rPr>
          <w:lang w:val="fr-FR"/>
        </w:rPr>
        <w:t>553.</w:t>
      </w:r>
      <w:r w:rsidRPr="001262F9">
        <w:rPr>
          <w:lang w:val="fr-FR"/>
        </w:rPr>
        <w:tab/>
        <w:t>La brochure préparée par le Ministère des affaires étrangères sur les mesures de sécurité devant être respectées à l</w:t>
      </w:r>
      <w:r w:rsidR="00277023">
        <w:rPr>
          <w:lang w:val="fr-FR"/>
        </w:rPr>
        <w:t>’</w:t>
      </w:r>
      <w:r w:rsidRPr="001262F9">
        <w:rPr>
          <w:lang w:val="fr-FR"/>
        </w:rPr>
        <w:t>étranger par les touristes japonais précise l</w:t>
      </w:r>
      <w:r w:rsidR="00277023">
        <w:rPr>
          <w:lang w:val="fr-FR"/>
        </w:rPr>
        <w:t>’</w:t>
      </w:r>
      <w:r w:rsidRPr="001262F9">
        <w:rPr>
          <w:lang w:val="fr-FR"/>
        </w:rPr>
        <w:t>existence de dispositions qui sanctionnent les infractions liées à la pornographie enfantine commises à l</w:t>
      </w:r>
      <w:r w:rsidR="00277023">
        <w:rPr>
          <w:lang w:val="fr-FR"/>
        </w:rPr>
        <w:t>’</w:t>
      </w:r>
      <w:r w:rsidRPr="001262F9">
        <w:rPr>
          <w:lang w:val="fr-FR"/>
        </w:rPr>
        <w:t>étranger. S</w:t>
      </w:r>
      <w:r w:rsidR="00277023">
        <w:rPr>
          <w:lang w:val="fr-FR"/>
        </w:rPr>
        <w:t>’</w:t>
      </w:r>
      <w:r w:rsidRPr="001262F9">
        <w:rPr>
          <w:lang w:val="fr-FR"/>
        </w:rPr>
        <w:t>appuyant sur cet instrument, le Ministère diffuse des informations pour empêcher les ressortissants japonais d</w:t>
      </w:r>
      <w:r w:rsidR="00277023">
        <w:rPr>
          <w:lang w:val="fr-FR"/>
        </w:rPr>
        <w:t>’</w:t>
      </w:r>
      <w:r w:rsidRPr="001262F9">
        <w:rPr>
          <w:lang w:val="fr-FR"/>
        </w:rPr>
        <w:t>être clients de la prostitution enfantine à l</w:t>
      </w:r>
      <w:r w:rsidR="00277023">
        <w:rPr>
          <w:lang w:val="fr-FR"/>
        </w:rPr>
        <w:t>’</w:t>
      </w:r>
      <w:r w:rsidRPr="001262F9">
        <w:rPr>
          <w:lang w:val="fr-FR"/>
        </w:rPr>
        <w:t>étranger. En mars 2005, le Ministère a également appuyé le lancement du projet de Code au Japon, soutenu par l</w:t>
      </w:r>
      <w:r w:rsidR="00277023">
        <w:rPr>
          <w:lang w:val="fr-FR"/>
        </w:rPr>
        <w:t>’</w:t>
      </w:r>
      <w:r w:rsidRPr="001262F9">
        <w:rPr>
          <w:lang w:val="fr-FR"/>
        </w:rPr>
        <w:t>UNICEF et ECPAT, et encouragé la campagne de lutte contre la prostitution enfantine lancée par l</w:t>
      </w:r>
      <w:r w:rsidR="00277023">
        <w:rPr>
          <w:lang w:val="fr-FR"/>
        </w:rPr>
        <w:t>’</w:t>
      </w:r>
      <w:r w:rsidRPr="001262F9">
        <w:rPr>
          <w:lang w:val="fr-FR"/>
        </w:rPr>
        <w:t>industrie du voyage au Japon.</w:t>
      </w:r>
    </w:p>
    <w:p w:rsidR="001262F9" w:rsidRPr="001262F9" w:rsidRDefault="001262F9" w:rsidP="001262F9">
      <w:pPr>
        <w:pStyle w:val="SingleTxtG"/>
        <w:tabs>
          <w:tab w:val="left" w:pos="284"/>
        </w:tabs>
        <w:rPr>
          <w:lang w:val="fr-FR"/>
        </w:rPr>
      </w:pPr>
      <w:r w:rsidRPr="001262F9">
        <w:rPr>
          <w:lang w:val="fr-FR"/>
        </w:rPr>
        <w:t>554.</w:t>
      </w:r>
      <w:r w:rsidRPr="001262F9">
        <w:rPr>
          <w:lang w:val="fr-FR"/>
        </w:rPr>
        <w:tab/>
        <w:t xml:space="preserve">Voir paragraphes 485-486 du deuxième rapport du Japon. </w:t>
      </w:r>
    </w:p>
    <w:p w:rsidR="001262F9" w:rsidRPr="001262F9" w:rsidRDefault="001262F9" w:rsidP="001262F9">
      <w:pPr>
        <w:pStyle w:val="SingleTxtG"/>
        <w:tabs>
          <w:tab w:val="left" w:pos="284"/>
        </w:tabs>
        <w:rPr>
          <w:lang w:val="fr-FR"/>
        </w:rPr>
      </w:pPr>
      <w:r w:rsidRPr="001262F9">
        <w:rPr>
          <w:lang w:val="fr-FR"/>
        </w:rPr>
        <w:t>555.</w:t>
      </w:r>
      <w:r w:rsidRPr="001262F9">
        <w:rPr>
          <w:lang w:val="fr-FR"/>
        </w:rPr>
        <w:tab/>
        <w:t>Avec l</w:t>
      </w:r>
      <w:r w:rsidR="00277023">
        <w:rPr>
          <w:lang w:val="fr-FR"/>
        </w:rPr>
        <w:t>’</w:t>
      </w:r>
      <w:r w:rsidRPr="001262F9">
        <w:rPr>
          <w:lang w:val="fr-FR"/>
        </w:rPr>
        <w:t xml:space="preserve">entrée en application de </w:t>
      </w:r>
      <w:smartTag w:uri="urn:schemas-microsoft-com:office:smarttags" w:element="PersonName">
        <w:smartTagPr>
          <w:attr w:name="ProductID" w:val="la Loi"/>
        </w:smartTagPr>
        <w:r w:rsidRPr="001262F9">
          <w:rPr>
            <w:lang w:val="fr-FR"/>
          </w:rPr>
          <w:t>la Loi</w:t>
        </w:r>
      </w:smartTag>
      <w:r w:rsidRPr="001262F9">
        <w:rPr>
          <w:lang w:val="fr-FR"/>
        </w:rPr>
        <w:t xml:space="preserve"> relative à la répression de la prostitution des enfants et de la pornographie mettant en scène des enfants, et à la protection des enfants, partiellement amendée en juin 2004, le Ministère de la justice a, outre la diffusion d</w:t>
      </w:r>
      <w:r w:rsidR="00277023">
        <w:rPr>
          <w:lang w:val="fr-FR"/>
        </w:rPr>
        <w:t>’</w:t>
      </w:r>
      <w:r w:rsidRPr="001262F9">
        <w:rPr>
          <w:lang w:val="fr-FR"/>
        </w:rPr>
        <w:t xml:space="preserve">informations sur </w:t>
      </w:r>
      <w:smartTag w:uri="urn:schemas-microsoft-com:office:smarttags" w:element="PersonName">
        <w:smartTagPr>
          <w:attr w:name="ProductID" w:val="la Loi"/>
        </w:smartTagPr>
        <w:r w:rsidRPr="001262F9">
          <w:rPr>
            <w:lang w:val="fr-FR"/>
          </w:rPr>
          <w:t>la Loi</w:t>
        </w:r>
      </w:smartTag>
      <w:r w:rsidRPr="001262F9">
        <w:rPr>
          <w:lang w:val="fr-FR"/>
        </w:rPr>
        <w:t xml:space="preserve"> sur son site Internet, offert différents programmes de formation aux procureurs en fonction de leur degré d</w:t>
      </w:r>
      <w:r w:rsidR="00277023">
        <w:rPr>
          <w:lang w:val="fr-FR"/>
        </w:rPr>
        <w:t>’</w:t>
      </w:r>
      <w:r w:rsidRPr="001262F9">
        <w:rPr>
          <w:lang w:val="fr-FR"/>
        </w:rPr>
        <w:t>expérience. Ces sessions de formation ont comporté des conférences sur les questions relatives aux femmes et aux enfants, les pratiques des procureurs et les droits de l</w:t>
      </w:r>
      <w:r w:rsidR="00277023">
        <w:rPr>
          <w:lang w:val="fr-FR"/>
        </w:rPr>
        <w:t>’</w:t>
      </w:r>
      <w:r w:rsidRPr="001262F9">
        <w:rPr>
          <w:lang w:val="fr-FR"/>
        </w:rPr>
        <w:t>homme, et ont ainsi renforcé la considération accordée aux droits de l</w:t>
      </w:r>
      <w:r w:rsidR="00277023">
        <w:rPr>
          <w:lang w:val="fr-FR"/>
        </w:rPr>
        <w:t>’</w:t>
      </w:r>
      <w:r w:rsidRPr="001262F9">
        <w:rPr>
          <w:lang w:val="fr-FR"/>
        </w:rPr>
        <w:t>enfant.</w:t>
      </w:r>
    </w:p>
    <w:p w:rsidR="001262F9" w:rsidRPr="001262F9" w:rsidRDefault="001262F9" w:rsidP="001262F9">
      <w:pPr>
        <w:pStyle w:val="SingleTxtG"/>
        <w:tabs>
          <w:tab w:val="left" w:pos="284"/>
        </w:tabs>
        <w:rPr>
          <w:lang w:val="fr-FR"/>
        </w:rPr>
      </w:pPr>
      <w:r w:rsidRPr="001262F9">
        <w:rPr>
          <w:bCs/>
          <w:lang w:val="fr-FR"/>
        </w:rPr>
        <w:t>556.</w:t>
      </w:r>
      <w:r w:rsidRPr="001262F9">
        <w:rPr>
          <w:bCs/>
          <w:lang w:val="fr-FR"/>
        </w:rPr>
        <w:tab/>
        <w:t>S</w:t>
      </w:r>
      <w:r w:rsidR="00277023">
        <w:rPr>
          <w:bCs/>
          <w:lang w:val="fr-FR"/>
        </w:rPr>
        <w:t>’</w:t>
      </w:r>
      <w:r w:rsidRPr="001262F9">
        <w:rPr>
          <w:bCs/>
          <w:lang w:val="fr-FR"/>
        </w:rPr>
        <w:t>agissant des mesures de lutte contre la traite des personnes, des activités de sensibilisation et éducatives sont menées, y compris des mesures telles que des affichages dans les bureaux de l</w:t>
      </w:r>
      <w:r w:rsidR="00277023">
        <w:rPr>
          <w:bCs/>
          <w:lang w:val="fr-FR"/>
        </w:rPr>
        <w:t>’</w:t>
      </w:r>
      <w:r w:rsidRPr="001262F9">
        <w:rPr>
          <w:bCs/>
          <w:lang w:val="fr-FR"/>
        </w:rPr>
        <w:t>immigration de tout le pays et la distribution de dépliants aux organisations concernées, comme les bureaux régionaux de l</w:t>
      </w:r>
      <w:r w:rsidR="00277023">
        <w:rPr>
          <w:bCs/>
          <w:lang w:val="fr-FR"/>
        </w:rPr>
        <w:t>’</w:t>
      </w:r>
      <w:r w:rsidRPr="001262F9">
        <w:rPr>
          <w:bCs/>
          <w:lang w:val="fr-FR"/>
        </w:rPr>
        <w:t>immigration, qui encouragent les victimes de la traite à demander l</w:t>
      </w:r>
      <w:r w:rsidR="00277023">
        <w:rPr>
          <w:bCs/>
          <w:lang w:val="fr-FR"/>
        </w:rPr>
        <w:t>’</w:t>
      </w:r>
      <w:r w:rsidRPr="001262F9">
        <w:rPr>
          <w:bCs/>
          <w:lang w:val="fr-FR"/>
        </w:rPr>
        <w:t>aide de la police ou du Bureau de l</w:t>
      </w:r>
      <w:r w:rsidR="00277023">
        <w:rPr>
          <w:bCs/>
          <w:lang w:val="fr-FR"/>
        </w:rPr>
        <w:t>’</w:t>
      </w:r>
      <w:r w:rsidRPr="001262F9">
        <w:rPr>
          <w:bCs/>
          <w:lang w:val="fr-FR"/>
        </w:rPr>
        <w:t>immigration</w:t>
      </w:r>
      <w:r w:rsidRPr="001262F9">
        <w:rPr>
          <w:lang w:val="fr-FR"/>
        </w:rPr>
        <w:t xml:space="preserve">. </w:t>
      </w:r>
    </w:p>
    <w:p w:rsidR="001262F9" w:rsidRPr="001262F9" w:rsidRDefault="001262F9" w:rsidP="001262F9">
      <w:pPr>
        <w:pStyle w:val="SingleTxtG"/>
        <w:tabs>
          <w:tab w:val="left" w:pos="284"/>
        </w:tabs>
        <w:rPr>
          <w:lang w:val="fr-FR"/>
        </w:rPr>
      </w:pPr>
      <w:r w:rsidRPr="001262F9">
        <w:rPr>
          <w:lang w:val="fr-FR"/>
        </w:rPr>
        <w:t>557.</w:t>
      </w:r>
      <w:r w:rsidRPr="001262F9">
        <w:rPr>
          <w:lang w:val="fr-FR"/>
        </w:rPr>
        <w:tab/>
        <w:t>Les services chargés de l</w:t>
      </w:r>
      <w:r w:rsidR="00277023">
        <w:rPr>
          <w:lang w:val="fr-FR"/>
        </w:rPr>
        <w:t>’</w:t>
      </w:r>
      <w:r w:rsidRPr="001262F9">
        <w:rPr>
          <w:lang w:val="fr-FR"/>
        </w:rPr>
        <w:t>application de la loi distribuent des dépliants, par le biais de la police préfectorale, aux établissements secondaires de premier cycle de tout le pays sur les dangers d</w:t>
      </w:r>
      <w:r w:rsidR="00277023">
        <w:rPr>
          <w:lang w:val="fr-FR"/>
        </w:rPr>
        <w:t>’</w:t>
      </w:r>
      <w:r w:rsidRPr="001262F9">
        <w:rPr>
          <w:lang w:val="fr-FR"/>
        </w:rPr>
        <w:t xml:space="preserve">utiliser les sites de rencontre sur Internet, qui ont tendance à devenir un vivier de prostitution enfantine, ainsi que sur la teneur de </w:t>
      </w:r>
      <w:smartTag w:uri="urn:schemas-microsoft-com:office:smarttags" w:element="PersonName">
        <w:smartTagPr>
          <w:attr w:name="ProductID" w:val="la Loi"/>
        </w:smartTagPr>
        <w:r w:rsidRPr="001262F9">
          <w:rPr>
            <w:lang w:val="fr-FR"/>
          </w:rPr>
          <w:t>la Loi</w:t>
        </w:r>
      </w:smartTag>
      <w:r w:rsidRPr="001262F9">
        <w:rPr>
          <w:lang w:val="fr-FR"/>
        </w:rPr>
        <w:t xml:space="preserve"> sur les sites de rencontre sur Internet promulguée en septembre 2003. Ils distribuent également à la police préfectorale des vidéos de sensibilisation et d</w:t>
      </w:r>
      <w:r w:rsidR="00277023">
        <w:rPr>
          <w:lang w:val="fr-FR"/>
        </w:rPr>
        <w:t>’</w:t>
      </w:r>
      <w:r w:rsidRPr="001262F9">
        <w:rPr>
          <w:lang w:val="fr-FR"/>
        </w:rPr>
        <w:t>éducation invitant la population à ne pas utiliser les sites de rencontre sur Internet. De même, les services chargés de l</w:t>
      </w:r>
      <w:r w:rsidR="00277023">
        <w:rPr>
          <w:lang w:val="fr-FR"/>
        </w:rPr>
        <w:t>’</w:t>
      </w:r>
      <w:r w:rsidRPr="001262F9">
        <w:rPr>
          <w:lang w:val="fr-FR"/>
        </w:rPr>
        <w:t>application de la loi postent sur leur site Internet des données statistiques relatives aux crimes liés à la prostitution enfantine, à la pornographie enfantine et à la maltraitance à l</w:t>
      </w:r>
      <w:r w:rsidR="00277023">
        <w:rPr>
          <w:lang w:val="fr-FR"/>
        </w:rPr>
        <w:t>’</w:t>
      </w:r>
      <w:r w:rsidRPr="001262F9">
        <w:rPr>
          <w:lang w:val="fr-FR"/>
        </w:rPr>
        <w:t>égard des enfants, ainsi qu</w:t>
      </w:r>
      <w:r w:rsidR="00277023">
        <w:rPr>
          <w:lang w:val="fr-FR"/>
        </w:rPr>
        <w:t>’</w:t>
      </w:r>
      <w:r w:rsidRPr="001262F9">
        <w:rPr>
          <w:lang w:val="fr-FR"/>
        </w:rPr>
        <w:t>un examen rapide de ces crimes, et mènent des activités de sensibilisation et d</w:t>
      </w:r>
      <w:r w:rsidR="00277023">
        <w:rPr>
          <w:lang w:val="fr-FR"/>
        </w:rPr>
        <w:t>’</w:t>
      </w:r>
      <w:r w:rsidRPr="001262F9">
        <w:rPr>
          <w:lang w:val="fr-FR"/>
        </w:rPr>
        <w:t>éducation visant à la prévention de tels préjudices. Au cours du mois désigné pour la promotion de la prévention de la maltraitance à l</w:t>
      </w:r>
      <w:r w:rsidR="00277023">
        <w:rPr>
          <w:lang w:val="fr-FR"/>
        </w:rPr>
        <w:t>’</w:t>
      </w:r>
      <w:r w:rsidRPr="001262F9">
        <w:rPr>
          <w:lang w:val="fr-FR"/>
        </w:rPr>
        <w:t>égard des enfants, les services s</w:t>
      </w:r>
      <w:r w:rsidR="00277023">
        <w:rPr>
          <w:lang w:val="fr-FR"/>
        </w:rPr>
        <w:t>’</w:t>
      </w:r>
      <w:r w:rsidRPr="001262F9">
        <w:rPr>
          <w:lang w:val="fr-FR"/>
        </w:rPr>
        <w:t>associent aux ministères et organismes compétents et s</w:t>
      </w:r>
      <w:r w:rsidR="00277023">
        <w:rPr>
          <w:lang w:val="fr-FR"/>
        </w:rPr>
        <w:t>’</w:t>
      </w:r>
      <w:r w:rsidRPr="001262F9">
        <w:rPr>
          <w:lang w:val="fr-FR"/>
        </w:rPr>
        <w:t>emploient à sensibiliser le public par des affichages sur le tableau d</w:t>
      </w:r>
      <w:r w:rsidR="00277023">
        <w:rPr>
          <w:lang w:val="fr-FR"/>
        </w:rPr>
        <w:t>’</w:t>
      </w:r>
      <w:r w:rsidRPr="001262F9">
        <w:rPr>
          <w:lang w:val="fr-FR"/>
        </w:rPr>
        <w:t>information des services de police, la distribution de dépliants et la publication de communiqués d</w:t>
      </w:r>
      <w:r w:rsidR="00277023">
        <w:rPr>
          <w:lang w:val="fr-FR"/>
        </w:rPr>
        <w:t>’</w:t>
      </w:r>
      <w:r w:rsidRPr="001262F9">
        <w:rPr>
          <w:lang w:val="fr-FR"/>
        </w:rPr>
        <w:t>intérêt général sur la prévention de la maltraitance à l</w:t>
      </w:r>
      <w:r w:rsidR="00277023">
        <w:rPr>
          <w:lang w:val="fr-FR"/>
        </w:rPr>
        <w:t>’</w:t>
      </w:r>
      <w:r w:rsidRPr="001262F9">
        <w:rPr>
          <w:lang w:val="fr-FR"/>
        </w:rPr>
        <w:t>égard des enfants dans les magazines féminins.</w:t>
      </w:r>
    </w:p>
    <w:p w:rsidR="001262F9" w:rsidRPr="001262F9" w:rsidRDefault="001262F9" w:rsidP="00770019">
      <w:pPr>
        <w:pStyle w:val="SingleTxtG"/>
        <w:keepNext/>
        <w:tabs>
          <w:tab w:val="left" w:pos="284"/>
        </w:tabs>
        <w:rPr>
          <w:lang w:val="fr-FR"/>
        </w:rPr>
      </w:pPr>
      <w:r w:rsidRPr="001262F9">
        <w:rPr>
          <w:lang w:val="fr-FR"/>
        </w:rPr>
        <w:t xml:space="preserve">(c-4) Soutien aux enfants ayant subi des préjudices et </w:t>
      </w:r>
      <w:r w:rsidR="00B21575">
        <w:rPr>
          <w:lang w:val="fr-FR"/>
        </w:rPr>
        <w:t>formation du personnel concerné</w:t>
      </w:r>
    </w:p>
    <w:p w:rsidR="001262F9" w:rsidRPr="001262F9" w:rsidRDefault="001262F9" w:rsidP="001262F9">
      <w:pPr>
        <w:pStyle w:val="SingleTxtG"/>
        <w:tabs>
          <w:tab w:val="left" w:pos="284"/>
        </w:tabs>
        <w:rPr>
          <w:lang w:val="fr-FR"/>
        </w:rPr>
      </w:pPr>
      <w:r w:rsidRPr="001262F9">
        <w:rPr>
          <w:lang w:val="fr-FR"/>
        </w:rPr>
        <w:t>558.</w:t>
      </w:r>
      <w:r w:rsidRPr="001262F9">
        <w:rPr>
          <w:lang w:val="fr-FR"/>
        </w:rPr>
        <w:tab/>
        <w:t>S</w:t>
      </w:r>
      <w:r w:rsidR="00277023">
        <w:rPr>
          <w:lang w:val="fr-FR"/>
        </w:rPr>
        <w:t>’</w:t>
      </w:r>
      <w:r w:rsidRPr="001262F9">
        <w:rPr>
          <w:lang w:val="fr-FR"/>
        </w:rPr>
        <w:t>agissant des enfants victimes d</w:t>
      </w:r>
      <w:r w:rsidR="00277023">
        <w:rPr>
          <w:lang w:val="fr-FR"/>
        </w:rPr>
        <w:t>’</w:t>
      </w:r>
      <w:r w:rsidRPr="001262F9">
        <w:rPr>
          <w:lang w:val="fr-FR"/>
        </w:rPr>
        <w:t>atteintes à leur santé et à leur sécurité, comme la prostitution enfantine,</w:t>
      </w:r>
      <w:r w:rsidR="00EA1115">
        <w:rPr>
          <w:lang w:val="fr-FR"/>
        </w:rPr>
        <w:t xml:space="preserve"> </w:t>
      </w:r>
      <w:r w:rsidRPr="001262F9">
        <w:rPr>
          <w:lang w:val="fr-FR"/>
        </w:rPr>
        <w:t>des spécialistes de la guidance et de l</w:t>
      </w:r>
      <w:r w:rsidR="00277023">
        <w:rPr>
          <w:lang w:val="fr-FR"/>
        </w:rPr>
        <w:t>’</w:t>
      </w:r>
      <w:r w:rsidRPr="001262F9">
        <w:rPr>
          <w:lang w:val="fr-FR"/>
        </w:rPr>
        <w:t>accompagnement des mineurs, présents surtout dans les centres d</w:t>
      </w:r>
      <w:r w:rsidR="00277023">
        <w:rPr>
          <w:lang w:val="fr-FR"/>
        </w:rPr>
        <w:t>’</w:t>
      </w:r>
      <w:r w:rsidRPr="001262F9">
        <w:rPr>
          <w:lang w:val="fr-FR"/>
        </w:rPr>
        <w:t>aide aux mineurs établis dans les bureaux de la police préfectorales, offrent des conseils individualisés fondés sur la personnalité de chaque enfant ou un soutien continu en coopération avec des experts externes et des volontaires privés si nécessaire, par exemple en intervenant sur leur environnement conjointement avec les représentants légaux. De plus, les agents chargés de la guidance et les spécialistes de l</w:t>
      </w:r>
      <w:r w:rsidR="00277023">
        <w:rPr>
          <w:lang w:val="fr-FR"/>
        </w:rPr>
        <w:t>’</w:t>
      </w:r>
      <w:r w:rsidRPr="001262F9">
        <w:rPr>
          <w:lang w:val="fr-FR"/>
        </w:rPr>
        <w:t>accompagnement des mineurs suivent une formation pour acquérir les compétences requises, dispensée par des experts tels que des professeurs et des conseillers universitaires. En ce qui concerne la maltraitance à l</w:t>
      </w:r>
      <w:r w:rsidR="00277023">
        <w:rPr>
          <w:lang w:val="fr-FR"/>
        </w:rPr>
        <w:t>’</w:t>
      </w:r>
      <w:r w:rsidRPr="001262F9">
        <w:rPr>
          <w:lang w:val="fr-FR"/>
        </w:rPr>
        <w:t xml:space="preserve">égard des enfants, des conseils et une formation sur des sujets tels la teneur de </w:t>
      </w:r>
      <w:smartTag w:uri="urn:schemas-microsoft-com:office:smarttags" w:element="PersonName">
        <w:smartTagPr>
          <w:attr w:name="ProductID" w:val="la Loi"/>
        </w:smartTagPr>
        <w:r w:rsidRPr="001262F9">
          <w:rPr>
            <w:lang w:val="fr-FR"/>
          </w:rPr>
          <w:t>la Loi</w:t>
        </w:r>
      </w:smartTag>
      <w:r w:rsidRPr="001262F9">
        <w:rPr>
          <w:lang w:val="fr-FR"/>
        </w:rPr>
        <w:t xml:space="preserve"> sur la prévention de la maltraitance à l</w:t>
      </w:r>
      <w:r w:rsidR="00277023">
        <w:rPr>
          <w:lang w:val="fr-FR"/>
        </w:rPr>
        <w:t>’</w:t>
      </w:r>
      <w:r w:rsidRPr="001262F9">
        <w:rPr>
          <w:lang w:val="fr-FR"/>
        </w:rPr>
        <w:t>égard des enfants sont également dispensés dans la perspective de détecter rapidement les cas de maltraitance, en utilisant des opportunités telles que les sessions de formation pour le personnel récemment recruté. Le personnel de police qui participe à la protection des enfants et contribue au soutien des représentants légaux suit une formation pour améliorer ses connaissances et compétences en matière de maltraitance, s</w:t>
      </w:r>
      <w:r w:rsidR="00277023">
        <w:rPr>
          <w:lang w:val="fr-FR"/>
        </w:rPr>
        <w:t>’</w:t>
      </w:r>
      <w:r w:rsidRPr="001262F9">
        <w:rPr>
          <w:lang w:val="fr-FR"/>
        </w:rPr>
        <w:t>agissant par exemple des caractéristiques présentées par les enfants victimes et de la façon de coopérer avec les organisations compétentes. En particulier, le personnel de la police préfectorale qui exerce des fonctions liées à la prévention de la maltraitance à l</w:t>
      </w:r>
      <w:r w:rsidR="00277023">
        <w:rPr>
          <w:lang w:val="fr-FR"/>
        </w:rPr>
        <w:t>’</w:t>
      </w:r>
      <w:r w:rsidRPr="001262F9">
        <w:rPr>
          <w:lang w:val="fr-FR"/>
        </w:rPr>
        <w:t>égard des enfants suit une formation sur la façon d</w:t>
      </w:r>
      <w:r w:rsidR="00277023">
        <w:rPr>
          <w:lang w:val="fr-FR"/>
        </w:rPr>
        <w:t>’</w:t>
      </w:r>
      <w:r w:rsidRPr="001262F9">
        <w:rPr>
          <w:lang w:val="fr-FR"/>
        </w:rPr>
        <w:t>appréhender cette forme de maltraitance, y compris sur la coopération procédurale avec les organisations compétentes.</w:t>
      </w:r>
    </w:p>
    <w:p w:rsidR="001262F9" w:rsidRPr="001262F9" w:rsidRDefault="001262F9" w:rsidP="001262F9">
      <w:pPr>
        <w:pStyle w:val="SingleTxtG"/>
        <w:tabs>
          <w:tab w:val="left" w:pos="284"/>
        </w:tabs>
        <w:rPr>
          <w:lang w:val="fr-FR"/>
        </w:rPr>
      </w:pPr>
      <w:r w:rsidRPr="001262F9">
        <w:rPr>
          <w:lang w:val="fr-FR"/>
        </w:rPr>
        <w:t>(c-5) Statistiques</w:t>
      </w:r>
    </w:p>
    <w:p w:rsidR="00093F0A" w:rsidRPr="00B21575" w:rsidRDefault="001262F9" w:rsidP="001262F9">
      <w:pPr>
        <w:pStyle w:val="SingleTxtG"/>
        <w:tabs>
          <w:tab w:val="left" w:pos="284"/>
        </w:tabs>
        <w:rPr>
          <w:lang w:val="fr-FR"/>
        </w:rPr>
      </w:pPr>
      <w:r w:rsidRPr="001262F9">
        <w:rPr>
          <w:lang w:val="fr-FR"/>
        </w:rPr>
        <w:t>559.</w:t>
      </w:r>
      <w:r w:rsidRPr="001262F9">
        <w:rPr>
          <w:lang w:val="fr-FR"/>
        </w:rPr>
        <w:tab/>
        <w:t>Voir</w:t>
      </w:r>
      <w:r w:rsidR="00EA1115">
        <w:rPr>
          <w:lang w:val="fr-FR"/>
        </w:rPr>
        <w:t xml:space="preserve"> </w:t>
      </w:r>
      <w:r w:rsidRPr="001262F9">
        <w:rPr>
          <w:lang w:val="fr-FR"/>
        </w:rPr>
        <w:t>tableau ci-dessous concernant les données sur les arrestations liées aux principales atteintes à la santé et à la sécurité en rapport avec l</w:t>
      </w:r>
      <w:r w:rsidR="00277023">
        <w:rPr>
          <w:lang w:val="fr-FR"/>
        </w:rPr>
        <w:t>’</w:t>
      </w:r>
      <w:r w:rsidRPr="001262F9">
        <w:rPr>
          <w:lang w:val="fr-FR"/>
        </w:rPr>
        <w:t>exploitation sexuelle</w:t>
      </w:r>
      <w:r w:rsidR="00B21575">
        <w:rPr>
          <w:lang w:val="fr-FR"/>
        </w:rPr>
        <w:t>.</w:t>
      </w:r>
    </w:p>
    <w:p w:rsidR="00093F0A" w:rsidRPr="008E5027" w:rsidRDefault="00365506" w:rsidP="00093F0A">
      <w:pPr>
        <w:pStyle w:val="Heading1"/>
      </w:pPr>
      <w:r w:rsidRPr="00F206B8">
        <w:rPr>
          <w:lang w:val="fr-FR"/>
        </w:rPr>
        <w:t>Tableau</w:t>
      </w:r>
      <w:r w:rsidRPr="00B21575">
        <w:t xml:space="preserve"> </w:t>
      </w:r>
      <w:r w:rsidR="00093F0A" w:rsidRPr="008E5027">
        <w:t>33</w:t>
      </w:r>
    </w:p>
    <w:p w:rsidR="001E119F" w:rsidRPr="008E5027" w:rsidRDefault="00007C02" w:rsidP="00B21575">
      <w:pPr>
        <w:pStyle w:val="SingleTxtG"/>
        <w:jc w:val="left"/>
      </w:pPr>
      <w:r>
        <w:rPr>
          <w:b/>
          <w:bCs/>
          <w:lang w:val="fr-FR"/>
        </w:rPr>
        <w:t>É</w:t>
      </w:r>
      <w:r w:rsidR="00B21575" w:rsidRPr="00B21575">
        <w:rPr>
          <w:b/>
          <w:bCs/>
          <w:lang w:val="fr-FR"/>
        </w:rPr>
        <w:t>volution du nombre d</w:t>
      </w:r>
      <w:r w:rsidR="00277023">
        <w:rPr>
          <w:b/>
          <w:bCs/>
          <w:lang w:val="fr-FR"/>
        </w:rPr>
        <w:t>’</w:t>
      </w:r>
      <w:r w:rsidR="00B21575" w:rsidRPr="00B21575">
        <w:rPr>
          <w:b/>
          <w:bCs/>
          <w:lang w:val="fr-FR"/>
        </w:rPr>
        <w:t>arrestations liées à l</w:t>
      </w:r>
      <w:r w:rsidR="00277023">
        <w:rPr>
          <w:b/>
          <w:bCs/>
          <w:lang w:val="fr-FR"/>
        </w:rPr>
        <w:t>’</w:t>
      </w:r>
      <w:r w:rsidR="00B21575" w:rsidRPr="00B21575">
        <w:rPr>
          <w:b/>
          <w:bCs/>
          <w:lang w:val="fr-FR"/>
        </w:rPr>
        <w:t>exploitation sexuelle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66"/>
        <w:gridCol w:w="826"/>
        <w:gridCol w:w="826"/>
        <w:gridCol w:w="826"/>
        <w:gridCol w:w="826"/>
      </w:tblGrid>
      <w:tr w:rsidR="00093F0A" w:rsidRPr="008E5027" w:rsidTr="008F0413">
        <w:trPr>
          <w:trHeight w:val="180"/>
        </w:trPr>
        <w:tc>
          <w:tcPr>
            <w:tcW w:w="4066" w:type="dxa"/>
            <w:tcBorders>
              <w:top w:val="single" w:sz="4"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noProof/>
                <w:sz w:val="16"/>
              </w:rPr>
              <w:pict>
                <v:line id="_x0000_s1034" style="position:absolute;left:0;text-align:left;z-index:3" from="3.3pt,0" to="198.3pt,36pt">
                  <w10:anchorlock/>
                </v:line>
              </w:pict>
            </w:r>
            <w:r w:rsidR="001754E4">
              <w:rPr>
                <w:i/>
                <w:sz w:val="16"/>
              </w:rPr>
              <w:t>Année</w:t>
            </w:r>
          </w:p>
        </w:tc>
        <w:tc>
          <w:tcPr>
            <w:tcW w:w="826" w:type="dxa"/>
            <w:vMerge w:val="restart"/>
            <w:tcBorders>
              <w:top w:val="single" w:sz="4" w:space="0" w:color="auto"/>
            </w:tcBorders>
            <w:shd w:val="clear" w:color="auto" w:fill="auto"/>
            <w:vAlign w:val="bottom"/>
          </w:tcPr>
          <w:p w:rsidR="00093F0A" w:rsidRPr="008E5027" w:rsidRDefault="00093F0A" w:rsidP="008F0413">
            <w:pPr>
              <w:spacing w:before="80" w:after="80" w:line="200" w:lineRule="exact"/>
              <w:jc w:val="right"/>
              <w:rPr>
                <w:i/>
                <w:sz w:val="16"/>
              </w:rPr>
            </w:pPr>
            <w:r w:rsidRPr="008E5027">
              <w:rPr>
                <w:i/>
                <w:sz w:val="16"/>
              </w:rPr>
              <w:t>2001</w:t>
            </w:r>
          </w:p>
        </w:tc>
        <w:tc>
          <w:tcPr>
            <w:tcW w:w="826" w:type="dxa"/>
            <w:vMerge w:val="restart"/>
            <w:tcBorders>
              <w:top w:val="single" w:sz="4" w:space="0" w:color="auto"/>
            </w:tcBorders>
            <w:shd w:val="clear" w:color="auto" w:fill="auto"/>
            <w:vAlign w:val="bottom"/>
          </w:tcPr>
          <w:p w:rsidR="00093F0A" w:rsidRPr="008E5027" w:rsidRDefault="00093F0A" w:rsidP="008F0413">
            <w:pPr>
              <w:spacing w:before="80" w:after="80" w:line="200" w:lineRule="exact"/>
              <w:jc w:val="right"/>
              <w:rPr>
                <w:i/>
                <w:sz w:val="16"/>
              </w:rPr>
            </w:pPr>
            <w:r w:rsidRPr="008E5027">
              <w:rPr>
                <w:i/>
                <w:sz w:val="16"/>
              </w:rPr>
              <w:t>2002</w:t>
            </w:r>
          </w:p>
        </w:tc>
        <w:tc>
          <w:tcPr>
            <w:tcW w:w="826" w:type="dxa"/>
            <w:vMerge w:val="restart"/>
            <w:tcBorders>
              <w:top w:val="single" w:sz="4" w:space="0" w:color="auto"/>
            </w:tcBorders>
            <w:shd w:val="clear" w:color="auto" w:fill="auto"/>
            <w:vAlign w:val="bottom"/>
          </w:tcPr>
          <w:p w:rsidR="00093F0A" w:rsidRPr="008E5027" w:rsidRDefault="00093F0A" w:rsidP="008F0413">
            <w:pPr>
              <w:spacing w:before="80" w:after="80" w:line="200" w:lineRule="exact"/>
              <w:jc w:val="right"/>
              <w:rPr>
                <w:i/>
                <w:sz w:val="16"/>
              </w:rPr>
            </w:pPr>
            <w:r w:rsidRPr="008E5027">
              <w:rPr>
                <w:i/>
                <w:sz w:val="16"/>
              </w:rPr>
              <w:t>2003</w:t>
            </w:r>
          </w:p>
        </w:tc>
        <w:tc>
          <w:tcPr>
            <w:tcW w:w="826" w:type="dxa"/>
            <w:vMerge w:val="restart"/>
            <w:tcBorders>
              <w:top w:val="single" w:sz="4" w:space="0" w:color="auto"/>
            </w:tcBorders>
            <w:shd w:val="clear" w:color="auto" w:fill="auto"/>
            <w:vAlign w:val="bottom"/>
          </w:tcPr>
          <w:p w:rsidR="00093F0A" w:rsidRPr="008E5027" w:rsidRDefault="00093F0A" w:rsidP="008F0413">
            <w:pPr>
              <w:spacing w:before="80" w:after="80" w:line="200" w:lineRule="exact"/>
              <w:jc w:val="right"/>
              <w:rPr>
                <w:i/>
                <w:sz w:val="16"/>
              </w:rPr>
            </w:pPr>
            <w:r w:rsidRPr="008E5027">
              <w:rPr>
                <w:i/>
                <w:sz w:val="16"/>
              </w:rPr>
              <w:t>2004</w:t>
            </w:r>
          </w:p>
        </w:tc>
      </w:tr>
      <w:tr w:rsidR="00093F0A" w:rsidRPr="008E5027" w:rsidTr="008F0413">
        <w:trPr>
          <w:trHeight w:val="180"/>
        </w:trPr>
        <w:tc>
          <w:tcPr>
            <w:tcW w:w="4066" w:type="dxa"/>
            <w:tcBorders>
              <w:bottom w:val="single" w:sz="12" w:space="0" w:color="auto"/>
            </w:tcBorders>
            <w:shd w:val="clear" w:color="auto" w:fill="auto"/>
            <w:vAlign w:val="bottom"/>
          </w:tcPr>
          <w:p w:rsidR="00093F0A" w:rsidRPr="001754E4" w:rsidRDefault="001754E4" w:rsidP="005D4774">
            <w:pPr>
              <w:spacing w:before="80" w:after="80" w:line="200" w:lineRule="exact"/>
              <w:rPr>
                <w:i/>
                <w:sz w:val="16"/>
              </w:rPr>
            </w:pPr>
            <w:r w:rsidRPr="001754E4">
              <w:rPr>
                <w:i/>
                <w:sz w:val="16"/>
              </w:rPr>
              <w:t>Classification</w:t>
            </w:r>
          </w:p>
        </w:tc>
        <w:tc>
          <w:tcPr>
            <w:tcW w:w="826" w:type="dxa"/>
            <w:vMerge/>
            <w:tcBorders>
              <w:bottom w:val="single" w:sz="12" w:space="0" w:color="auto"/>
            </w:tcBorders>
            <w:shd w:val="clear" w:color="auto" w:fill="auto"/>
            <w:vAlign w:val="bottom"/>
          </w:tcPr>
          <w:p w:rsidR="00093F0A" w:rsidRPr="008E5027" w:rsidRDefault="00093F0A" w:rsidP="008F0413">
            <w:pPr>
              <w:spacing w:before="80" w:after="80" w:line="200" w:lineRule="exact"/>
              <w:jc w:val="right"/>
              <w:rPr>
                <w:i/>
                <w:sz w:val="16"/>
              </w:rPr>
            </w:pPr>
          </w:p>
        </w:tc>
        <w:tc>
          <w:tcPr>
            <w:tcW w:w="826" w:type="dxa"/>
            <w:vMerge/>
            <w:tcBorders>
              <w:bottom w:val="single" w:sz="12" w:space="0" w:color="auto"/>
            </w:tcBorders>
            <w:shd w:val="clear" w:color="auto" w:fill="auto"/>
            <w:vAlign w:val="bottom"/>
          </w:tcPr>
          <w:p w:rsidR="00093F0A" w:rsidRPr="008E5027" w:rsidRDefault="00093F0A" w:rsidP="008F0413">
            <w:pPr>
              <w:spacing w:before="80" w:after="80" w:line="200" w:lineRule="exact"/>
              <w:jc w:val="right"/>
              <w:rPr>
                <w:i/>
                <w:sz w:val="16"/>
              </w:rPr>
            </w:pPr>
          </w:p>
        </w:tc>
        <w:tc>
          <w:tcPr>
            <w:tcW w:w="826" w:type="dxa"/>
            <w:vMerge/>
            <w:tcBorders>
              <w:bottom w:val="single" w:sz="12" w:space="0" w:color="auto"/>
            </w:tcBorders>
            <w:shd w:val="clear" w:color="auto" w:fill="auto"/>
            <w:vAlign w:val="bottom"/>
          </w:tcPr>
          <w:p w:rsidR="00093F0A" w:rsidRPr="008E5027" w:rsidRDefault="00093F0A" w:rsidP="008F0413">
            <w:pPr>
              <w:spacing w:before="80" w:after="80" w:line="200" w:lineRule="exact"/>
              <w:jc w:val="right"/>
              <w:rPr>
                <w:i/>
                <w:sz w:val="16"/>
              </w:rPr>
            </w:pPr>
          </w:p>
        </w:tc>
        <w:tc>
          <w:tcPr>
            <w:tcW w:w="826" w:type="dxa"/>
            <w:vMerge/>
            <w:tcBorders>
              <w:bottom w:val="single" w:sz="12" w:space="0" w:color="auto"/>
            </w:tcBorders>
            <w:shd w:val="clear" w:color="auto" w:fill="auto"/>
            <w:vAlign w:val="bottom"/>
          </w:tcPr>
          <w:p w:rsidR="00093F0A" w:rsidRPr="008E5027" w:rsidRDefault="00093F0A" w:rsidP="008F0413">
            <w:pPr>
              <w:spacing w:before="80" w:after="80" w:line="200" w:lineRule="exact"/>
              <w:jc w:val="right"/>
              <w:rPr>
                <w:i/>
                <w:sz w:val="16"/>
              </w:rPr>
            </w:pPr>
          </w:p>
        </w:tc>
      </w:tr>
      <w:tr w:rsidR="00093F0A" w:rsidRPr="008E5027" w:rsidTr="008F0413">
        <w:tc>
          <w:tcPr>
            <w:tcW w:w="4066" w:type="dxa"/>
            <w:tcBorders>
              <w:top w:val="single" w:sz="12" w:space="0" w:color="auto"/>
            </w:tcBorders>
            <w:shd w:val="clear" w:color="auto" w:fill="auto"/>
            <w:vAlign w:val="bottom"/>
          </w:tcPr>
          <w:p w:rsidR="00093F0A" w:rsidRPr="001754E4" w:rsidRDefault="001754E4" w:rsidP="008F0413">
            <w:pPr>
              <w:suppressAutoHyphens w:val="0"/>
              <w:spacing w:before="40" w:after="40" w:line="220" w:lineRule="exact"/>
              <w:rPr>
                <w:sz w:val="18"/>
                <w:lang w:val="es-ES"/>
              </w:rPr>
            </w:pPr>
            <w:r w:rsidRPr="001754E4">
              <w:rPr>
                <w:sz w:val="18"/>
                <w:lang w:val="es-ES"/>
              </w:rPr>
              <w:t>Loi sur la protection de l</w:t>
            </w:r>
            <w:r w:rsidR="00277023">
              <w:rPr>
                <w:sz w:val="18"/>
                <w:lang w:val="es-ES"/>
              </w:rPr>
              <w:t>’</w:t>
            </w:r>
            <w:r w:rsidRPr="001754E4">
              <w:rPr>
                <w:sz w:val="18"/>
                <w:lang w:val="es-ES"/>
              </w:rPr>
              <w:t>enfance (actes indécents)</w:t>
            </w:r>
          </w:p>
        </w:tc>
        <w:tc>
          <w:tcPr>
            <w:tcW w:w="826" w:type="dxa"/>
            <w:tcBorders>
              <w:top w:val="single" w:sz="12" w:space="0" w:color="auto"/>
            </w:tcBorders>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345</w:t>
            </w:r>
          </w:p>
        </w:tc>
        <w:tc>
          <w:tcPr>
            <w:tcW w:w="826" w:type="dxa"/>
            <w:tcBorders>
              <w:top w:val="single" w:sz="12" w:space="0" w:color="auto"/>
            </w:tcBorders>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395</w:t>
            </w:r>
          </w:p>
        </w:tc>
        <w:tc>
          <w:tcPr>
            <w:tcW w:w="826" w:type="dxa"/>
            <w:tcBorders>
              <w:top w:val="single" w:sz="12" w:space="0" w:color="auto"/>
            </w:tcBorders>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455</w:t>
            </w:r>
          </w:p>
        </w:tc>
        <w:tc>
          <w:tcPr>
            <w:tcW w:w="826" w:type="dxa"/>
            <w:tcBorders>
              <w:top w:val="single" w:sz="12" w:space="0" w:color="auto"/>
            </w:tcBorders>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513</w:t>
            </w:r>
          </w:p>
        </w:tc>
      </w:tr>
      <w:tr w:rsidR="00093F0A" w:rsidRPr="008E5027" w:rsidTr="008F0413">
        <w:tc>
          <w:tcPr>
            <w:tcW w:w="4066" w:type="dxa"/>
            <w:shd w:val="clear" w:color="auto" w:fill="auto"/>
            <w:vAlign w:val="bottom"/>
          </w:tcPr>
          <w:p w:rsidR="00093F0A" w:rsidRPr="001754E4" w:rsidRDefault="001754E4" w:rsidP="008F0413">
            <w:pPr>
              <w:suppressAutoHyphens w:val="0"/>
              <w:spacing w:before="40" w:after="40" w:line="220" w:lineRule="exact"/>
              <w:rPr>
                <w:sz w:val="18"/>
                <w:lang w:val="es-ES"/>
              </w:rPr>
            </w:pPr>
            <w:r w:rsidRPr="001754E4">
              <w:rPr>
                <w:sz w:val="18"/>
                <w:lang w:val="es-ES"/>
              </w:rPr>
              <w:t>Loi sur la prévention de la prostitution</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126</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134</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94</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118</w:t>
            </w:r>
          </w:p>
        </w:tc>
      </w:tr>
      <w:tr w:rsidR="00093F0A" w:rsidRPr="008F0413" w:rsidTr="008F0413">
        <w:tc>
          <w:tcPr>
            <w:tcW w:w="4066" w:type="dxa"/>
            <w:shd w:val="clear" w:color="auto" w:fill="auto"/>
            <w:vAlign w:val="bottom"/>
          </w:tcPr>
          <w:p w:rsidR="00093F0A" w:rsidRPr="001754E4" w:rsidRDefault="001754E4" w:rsidP="008F0413">
            <w:pPr>
              <w:suppressAutoHyphens w:val="0"/>
              <w:spacing w:before="40" w:after="40" w:line="220" w:lineRule="exact"/>
              <w:rPr>
                <w:sz w:val="18"/>
                <w:lang w:val="es-ES"/>
              </w:rPr>
            </w:pPr>
            <w:r w:rsidRPr="001754E4">
              <w:rPr>
                <w:sz w:val="18"/>
                <w:lang w:val="es-ES"/>
              </w:rPr>
              <w:t xml:space="preserve">Arrêté municipal sur la protection des mineurs </w:t>
            </w:r>
            <w:r w:rsidR="008F0413">
              <w:rPr>
                <w:sz w:val="18"/>
                <w:lang w:val="es-ES"/>
              </w:rPr>
              <w:br/>
            </w:r>
            <w:r w:rsidRPr="001754E4">
              <w:rPr>
                <w:sz w:val="18"/>
                <w:lang w:val="es-ES"/>
              </w:rPr>
              <w:t>(actes indécents)</w:t>
            </w:r>
          </w:p>
        </w:tc>
        <w:tc>
          <w:tcPr>
            <w:tcW w:w="826" w:type="dxa"/>
            <w:shd w:val="clear" w:color="auto" w:fill="auto"/>
            <w:vAlign w:val="bottom"/>
          </w:tcPr>
          <w:p w:rsidR="00093F0A" w:rsidRPr="008F0413" w:rsidRDefault="00093F0A" w:rsidP="008F0413">
            <w:pPr>
              <w:suppressAutoHyphens w:val="0"/>
              <w:spacing w:before="40" w:after="40" w:line="220" w:lineRule="exact"/>
              <w:jc w:val="right"/>
              <w:rPr>
                <w:sz w:val="18"/>
                <w:lang w:val="es-ES"/>
              </w:rPr>
            </w:pPr>
            <w:r w:rsidRPr="008F0413">
              <w:rPr>
                <w:sz w:val="18"/>
                <w:lang w:val="es-ES"/>
              </w:rPr>
              <w:t>1 265</w:t>
            </w:r>
          </w:p>
        </w:tc>
        <w:tc>
          <w:tcPr>
            <w:tcW w:w="826" w:type="dxa"/>
            <w:shd w:val="clear" w:color="auto" w:fill="auto"/>
            <w:vAlign w:val="bottom"/>
          </w:tcPr>
          <w:p w:rsidR="00093F0A" w:rsidRPr="008F0413" w:rsidRDefault="00093F0A" w:rsidP="008F0413">
            <w:pPr>
              <w:suppressAutoHyphens w:val="0"/>
              <w:spacing w:before="40" w:after="40" w:line="220" w:lineRule="exact"/>
              <w:jc w:val="right"/>
              <w:rPr>
                <w:sz w:val="18"/>
                <w:lang w:val="es-ES"/>
              </w:rPr>
            </w:pPr>
            <w:r w:rsidRPr="008F0413">
              <w:rPr>
                <w:sz w:val="18"/>
                <w:lang w:val="es-ES"/>
              </w:rPr>
              <w:t>1 291</w:t>
            </w:r>
          </w:p>
        </w:tc>
        <w:tc>
          <w:tcPr>
            <w:tcW w:w="826" w:type="dxa"/>
            <w:shd w:val="clear" w:color="auto" w:fill="auto"/>
            <w:vAlign w:val="bottom"/>
          </w:tcPr>
          <w:p w:rsidR="00093F0A" w:rsidRPr="008F0413" w:rsidRDefault="00093F0A" w:rsidP="008F0413">
            <w:pPr>
              <w:suppressAutoHyphens w:val="0"/>
              <w:spacing w:before="40" w:after="40" w:line="220" w:lineRule="exact"/>
              <w:jc w:val="right"/>
              <w:rPr>
                <w:sz w:val="18"/>
                <w:lang w:val="es-ES"/>
              </w:rPr>
            </w:pPr>
            <w:r w:rsidRPr="008F0413">
              <w:rPr>
                <w:sz w:val="18"/>
                <w:lang w:val="es-ES"/>
              </w:rPr>
              <w:t>1 281</w:t>
            </w:r>
          </w:p>
        </w:tc>
        <w:tc>
          <w:tcPr>
            <w:tcW w:w="826" w:type="dxa"/>
            <w:shd w:val="clear" w:color="auto" w:fill="auto"/>
            <w:vAlign w:val="bottom"/>
          </w:tcPr>
          <w:p w:rsidR="00093F0A" w:rsidRPr="008F0413" w:rsidRDefault="00093F0A" w:rsidP="008F0413">
            <w:pPr>
              <w:suppressAutoHyphens w:val="0"/>
              <w:spacing w:before="40" w:after="40" w:line="220" w:lineRule="exact"/>
              <w:jc w:val="right"/>
              <w:rPr>
                <w:sz w:val="18"/>
                <w:lang w:val="es-ES"/>
              </w:rPr>
            </w:pPr>
            <w:r w:rsidRPr="008F0413">
              <w:rPr>
                <w:sz w:val="18"/>
                <w:lang w:val="es-ES"/>
              </w:rPr>
              <w:t>1 211</w:t>
            </w:r>
          </w:p>
        </w:tc>
      </w:tr>
      <w:tr w:rsidR="00093F0A" w:rsidRPr="00236416" w:rsidTr="008F0413">
        <w:tc>
          <w:tcPr>
            <w:tcW w:w="4066" w:type="dxa"/>
            <w:shd w:val="clear" w:color="auto" w:fill="auto"/>
            <w:vAlign w:val="bottom"/>
          </w:tcPr>
          <w:p w:rsidR="00093F0A" w:rsidRPr="001754E4" w:rsidRDefault="001754E4" w:rsidP="008F0413">
            <w:pPr>
              <w:suppressAutoHyphens w:val="0"/>
              <w:spacing w:before="40" w:after="40" w:line="220" w:lineRule="exact"/>
              <w:rPr>
                <w:sz w:val="18"/>
                <w:lang w:val="es-ES"/>
              </w:rPr>
            </w:pPr>
            <w:r w:rsidRPr="001754E4">
              <w:rPr>
                <w:sz w:val="18"/>
                <w:lang w:val="es-ES"/>
              </w:rPr>
              <w:t xml:space="preserve">Loi relative à la répression de la prostitution </w:t>
            </w:r>
            <w:r w:rsidR="00236416">
              <w:rPr>
                <w:sz w:val="18"/>
                <w:lang w:val="es-ES"/>
              </w:rPr>
              <w:br/>
            </w:r>
            <w:r w:rsidRPr="001754E4">
              <w:rPr>
                <w:sz w:val="18"/>
                <w:lang w:val="es-ES"/>
              </w:rPr>
              <w:t xml:space="preserve">des enfants et de la pornographie enfantine, </w:t>
            </w:r>
            <w:r w:rsidR="00236416">
              <w:rPr>
                <w:sz w:val="18"/>
                <w:lang w:val="es-ES"/>
              </w:rPr>
              <w:br/>
            </w:r>
            <w:r w:rsidRPr="001754E4">
              <w:rPr>
                <w:sz w:val="18"/>
                <w:lang w:val="es-ES"/>
              </w:rPr>
              <w:t>et à la protection des enfants</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1 026</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1 366</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1 374</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1 232</w:t>
            </w:r>
          </w:p>
        </w:tc>
      </w:tr>
      <w:tr w:rsidR="00093F0A" w:rsidRPr="00236416" w:rsidTr="008F0413">
        <w:tc>
          <w:tcPr>
            <w:tcW w:w="4066" w:type="dxa"/>
            <w:shd w:val="clear" w:color="auto" w:fill="auto"/>
            <w:vAlign w:val="bottom"/>
          </w:tcPr>
          <w:p w:rsidR="00093F0A" w:rsidRPr="00236416" w:rsidRDefault="00093F0A" w:rsidP="008F0413">
            <w:pPr>
              <w:tabs>
                <w:tab w:val="left" w:pos="284"/>
              </w:tabs>
              <w:suppressAutoHyphens w:val="0"/>
              <w:spacing w:before="40" w:after="40" w:line="220" w:lineRule="exact"/>
              <w:rPr>
                <w:sz w:val="18"/>
                <w:lang w:val="es-ES"/>
              </w:rPr>
            </w:pPr>
            <w:r w:rsidRPr="00236416">
              <w:rPr>
                <w:sz w:val="18"/>
                <w:lang w:val="es-ES"/>
              </w:rPr>
              <w:tab/>
            </w:r>
            <w:r w:rsidR="001754E4" w:rsidRPr="00236416">
              <w:rPr>
                <w:sz w:val="18"/>
                <w:lang w:val="es-ES"/>
              </w:rPr>
              <w:t>Prostitution enfantine</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898</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1 201</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1 182</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1 095</w:t>
            </w:r>
          </w:p>
        </w:tc>
      </w:tr>
      <w:tr w:rsidR="00093F0A" w:rsidRPr="008E5027" w:rsidTr="008F0413">
        <w:tc>
          <w:tcPr>
            <w:tcW w:w="4066" w:type="dxa"/>
            <w:shd w:val="clear" w:color="auto" w:fill="auto"/>
            <w:vAlign w:val="bottom"/>
          </w:tcPr>
          <w:p w:rsidR="00093F0A" w:rsidRPr="001754E4" w:rsidRDefault="00093F0A" w:rsidP="008F0413">
            <w:pPr>
              <w:suppressAutoHyphens w:val="0"/>
              <w:spacing w:before="40" w:after="40" w:line="220" w:lineRule="exact"/>
              <w:rPr>
                <w:sz w:val="18"/>
                <w:lang w:val="es-ES"/>
              </w:rPr>
            </w:pPr>
            <w:r w:rsidRPr="00236416">
              <w:rPr>
                <w:sz w:val="18"/>
                <w:lang w:val="es-ES"/>
              </w:rPr>
              <w:tab/>
            </w:r>
            <w:r w:rsidR="001754E4" w:rsidRPr="001754E4">
              <w:rPr>
                <w:sz w:val="18"/>
                <w:lang w:val="es-ES"/>
              </w:rPr>
              <w:t>en relation avec des sites de rencontre en ligne</w:t>
            </w:r>
          </w:p>
        </w:tc>
        <w:tc>
          <w:tcPr>
            <w:tcW w:w="826" w:type="dxa"/>
            <w:shd w:val="clear" w:color="auto" w:fill="auto"/>
            <w:vAlign w:val="bottom"/>
          </w:tcPr>
          <w:p w:rsidR="00093F0A" w:rsidRPr="00236416" w:rsidRDefault="00093F0A" w:rsidP="008F0413">
            <w:pPr>
              <w:suppressAutoHyphens w:val="0"/>
              <w:spacing w:before="40" w:after="40" w:line="220" w:lineRule="exact"/>
              <w:jc w:val="right"/>
              <w:rPr>
                <w:sz w:val="18"/>
                <w:lang w:val="es-ES"/>
              </w:rPr>
            </w:pPr>
            <w:r w:rsidRPr="00236416">
              <w:rPr>
                <w:sz w:val="18"/>
                <w:lang w:val="es-ES"/>
              </w:rPr>
              <w:t>237</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236416">
              <w:rPr>
                <w:sz w:val="18"/>
                <w:lang w:val="es-ES"/>
              </w:rPr>
              <w:t>4</w:t>
            </w:r>
            <w:r w:rsidRPr="008E5027">
              <w:rPr>
                <w:sz w:val="18"/>
              </w:rPr>
              <w:t>93</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568</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498</w:t>
            </w:r>
          </w:p>
        </w:tc>
      </w:tr>
      <w:tr w:rsidR="00093F0A" w:rsidRPr="008E5027" w:rsidTr="008F0413">
        <w:tc>
          <w:tcPr>
            <w:tcW w:w="4066" w:type="dxa"/>
            <w:shd w:val="clear" w:color="auto" w:fill="auto"/>
            <w:vAlign w:val="bottom"/>
          </w:tcPr>
          <w:p w:rsidR="00093F0A" w:rsidRPr="001754E4" w:rsidRDefault="00093F0A" w:rsidP="008F0413">
            <w:pPr>
              <w:suppressAutoHyphens w:val="0"/>
              <w:spacing w:before="40" w:after="40" w:line="220" w:lineRule="exact"/>
              <w:rPr>
                <w:sz w:val="18"/>
                <w:lang w:val="es-ES"/>
              </w:rPr>
            </w:pPr>
            <w:r w:rsidRPr="00277023">
              <w:rPr>
                <w:sz w:val="18"/>
                <w:lang w:val="es-ES"/>
              </w:rPr>
              <w:tab/>
            </w:r>
            <w:r w:rsidR="001754E4" w:rsidRPr="001754E4">
              <w:rPr>
                <w:sz w:val="18"/>
                <w:lang w:val="es-ES"/>
              </w:rPr>
              <w:t>en relation avec les clubs de téléphone rose</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357</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356</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174</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135</w:t>
            </w:r>
          </w:p>
        </w:tc>
      </w:tr>
      <w:tr w:rsidR="00093F0A" w:rsidRPr="008E5027" w:rsidTr="008F0413">
        <w:tc>
          <w:tcPr>
            <w:tcW w:w="4066" w:type="dxa"/>
            <w:shd w:val="clear" w:color="auto" w:fill="auto"/>
            <w:vAlign w:val="bottom"/>
          </w:tcPr>
          <w:p w:rsidR="00093F0A" w:rsidRPr="001754E4" w:rsidRDefault="00093F0A" w:rsidP="008F0413">
            <w:pPr>
              <w:tabs>
                <w:tab w:val="left" w:pos="284"/>
              </w:tabs>
              <w:suppressAutoHyphens w:val="0"/>
              <w:spacing w:before="40" w:after="40" w:line="220" w:lineRule="exact"/>
              <w:rPr>
                <w:sz w:val="18"/>
              </w:rPr>
            </w:pPr>
            <w:r w:rsidRPr="008E5027">
              <w:rPr>
                <w:sz w:val="18"/>
              </w:rPr>
              <w:tab/>
            </w:r>
            <w:r w:rsidR="001754E4" w:rsidRPr="001754E4">
              <w:rPr>
                <w:sz w:val="18"/>
              </w:rPr>
              <w:t>Pornographie enfantine</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128</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165</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192</w:t>
            </w:r>
          </w:p>
        </w:tc>
        <w:tc>
          <w:tcPr>
            <w:tcW w:w="826" w:type="dxa"/>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137</w:t>
            </w:r>
          </w:p>
        </w:tc>
      </w:tr>
      <w:tr w:rsidR="00093F0A" w:rsidRPr="008E5027" w:rsidTr="008F0413">
        <w:tc>
          <w:tcPr>
            <w:tcW w:w="4066" w:type="dxa"/>
            <w:tcBorders>
              <w:bottom w:val="single" w:sz="12" w:space="0" w:color="auto"/>
            </w:tcBorders>
            <w:shd w:val="clear" w:color="auto" w:fill="auto"/>
            <w:vAlign w:val="bottom"/>
          </w:tcPr>
          <w:p w:rsidR="00093F0A" w:rsidRPr="001754E4" w:rsidRDefault="00093F0A" w:rsidP="008F0413">
            <w:pPr>
              <w:suppressAutoHyphens w:val="0"/>
              <w:spacing w:before="40" w:after="40" w:line="220" w:lineRule="exact"/>
              <w:rPr>
                <w:sz w:val="18"/>
              </w:rPr>
            </w:pPr>
            <w:r w:rsidRPr="008E5027">
              <w:rPr>
                <w:sz w:val="18"/>
              </w:rPr>
              <w:tab/>
            </w:r>
            <w:r w:rsidR="001754E4" w:rsidRPr="001754E4">
              <w:rPr>
                <w:sz w:val="18"/>
              </w:rPr>
              <w:t>pornographie enfantine sur Internet</w:t>
            </w:r>
          </w:p>
        </w:tc>
        <w:tc>
          <w:tcPr>
            <w:tcW w:w="826" w:type="dxa"/>
            <w:tcBorders>
              <w:bottom w:val="single" w:sz="12" w:space="0" w:color="auto"/>
            </w:tcBorders>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99</w:t>
            </w:r>
          </w:p>
        </w:tc>
        <w:tc>
          <w:tcPr>
            <w:tcW w:w="826" w:type="dxa"/>
            <w:tcBorders>
              <w:bottom w:val="single" w:sz="12" w:space="0" w:color="auto"/>
            </w:tcBorders>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104</w:t>
            </w:r>
          </w:p>
        </w:tc>
        <w:tc>
          <w:tcPr>
            <w:tcW w:w="826" w:type="dxa"/>
            <w:tcBorders>
              <w:bottom w:val="single" w:sz="12" w:space="0" w:color="auto"/>
            </w:tcBorders>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100</w:t>
            </w:r>
          </w:p>
        </w:tc>
        <w:tc>
          <w:tcPr>
            <w:tcW w:w="826" w:type="dxa"/>
            <w:tcBorders>
              <w:bottom w:val="single" w:sz="12" w:space="0" w:color="auto"/>
            </w:tcBorders>
            <w:shd w:val="clear" w:color="auto" w:fill="auto"/>
            <w:vAlign w:val="bottom"/>
          </w:tcPr>
          <w:p w:rsidR="00093F0A" w:rsidRPr="008E5027" w:rsidRDefault="00093F0A" w:rsidP="008F0413">
            <w:pPr>
              <w:suppressAutoHyphens w:val="0"/>
              <w:spacing w:before="40" w:after="40" w:line="220" w:lineRule="exact"/>
              <w:jc w:val="right"/>
              <w:rPr>
                <w:sz w:val="18"/>
              </w:rPr>
            </w:pPr>
            <w:r w:rsidRPr="008E5027">
              <w:rPr>
                <w:sz w:val="18"/>
              </w:rPr>
              <w:t>76</w:t>
            </w:r>
          </w:p>
        </w:tc>
      </w:tr>
    </w:tbl>
    <w:p w:rsidR="00093F0A" w:rsidRPr="00B21575" w:rsidRDefault="00093F0A" w:rsidP="003864E0">
      <w:pPr>
        <w:spacing w:before="120" w:after="240"/>
        <w:ind w:left="1134" w:right="1134" w:firstLine="170"/>
        <w:rPr>
          <w:sz w:val="18"/>
          <w:szCs w:val="18"/>
          <w:lang w:val="es-ES"/>
        </w:rPr>
      </w:pPr>
      <w:r w:rsidRPr="00B21575">
        <w:rPr>
          <w:i/>
          <w:sz w:val="18"/>
          <w:szCs w:val="18"/>
          <w:lang w:val="es-ES"/>
        </w:rPr>
        <w:t>Source</w:t>
      </w:r>
      <w:r w:rsidR="007A2D83" w:rsidRPr="00B21575">
        <w:rPr>
          <w:i/>
          <w:sz w:val="18"/>
          <w:szCs w:val="18"/>
          <w:lang w:val="es-ES"/>
        </w:rPr>
        <w:t>:</w:t>
      </w:r>
      <w:r w:rsidR="007A2D83" w:rsidRPr="00B21575">
        <w:rPr>
          <w:sz w:val="18"/>
          <w:szCs w:val="18"/>
          <w:lang w:val="es-ES"/>
        </w:rPr>
        <w:t xml:space="preserve"> </w:t>
      </w:r>
      <w:r w:rsidR="00B21575" w:rsidRPr="00B21575">
        <w:rPr>
          <w:sz w:val="18"/>
          <w:szCs w:val="18"/>
          <w:lang w:val="fr-FR"/>
        </w:rPr>
        <w:t>Police nationale</w:t>
      </w:r>
      <w:r w:rsidRPr="00B21575">
        <w:rPr>
          <w:sz w:val="18"/>
          <w:szCs w:val="18"/>
          <w:lang w:val="es-ES"/>
        </w:rPr>
        <w:t>.</w:t>
      </w:r>
    </w:p>
    <w:p w:rsidR="00B21575" w:rsidRPr="00B21575" w:rsidRDefault="00B21575" w:rsidP="00B21575">
      <w:pPr>
        <w:pStyle w:val="SingleTxtG"/>
        <w:rPr>
          <w:lang w:val="fr-FR"/>
        </w:rPr>
      </w:pPr>
      <w:r w:rsidRPr="00B21575">
        <w:rPr>
          <w:lang w:val="fr-FR"/>
        </w:rPr>
        <w:t>560.</w:t>
      </w:r>
      <w:r w:rsidRPr="00B21575">
        <w:rPr>
          <w:lang w:val="fr-FR"/>
        </w:rPr>
        <w:tab/>
        <w:t>Le nombre de consultations pour maltraitance à l</w:t>
      </w:r>
      <w:r w:rsidR="00277023">
        <w:rPr>
          <w:lang w:val="fr-FR"/>
        </w:rPr>
        <w:t>’</w:t>
      </w:r>
      <w:r w:rsidRPr="00B21575">
        <w:rPr>
          <w:lang w:val="fr-FR"/>
        </w:rPr>
        <w:t>égard d</w:t>
      </w:r>
      <w:r w:rsidR="00277023">
        <w:rPr>
          <w:lang w:val="fr-FR"/>
        </w:rPr>
        <w:t>’</w:t>
      </w:r>
      <w:r w:rsidRPr="00B21575">
        <w:rPr>
          <w:lang w:val="fr-FR"/>
        </w:rPr>
        <w:t>enfants dans les centres de guidance infantile s</w:t>
      </w:r>
      <w:r w:rsidR="00277023">
        <w:rPr>
          <w:lang w:val="fr-FR"/>
        </w:rPr>
        <w:t>’</w:t>
      </w:r>
      <w:r w:rsidRPr="00B21575">
        <w:rPr>
          <w:lang w:val="fr-FR"/>
        </w:rPr>
        <w:t>est élevé à 33.408 en 2004, et le nombre de consultations liées à des abus sexuels a été de 1.048 la même année. Le nombre d</w:t>
      </w:r>
      <w:r w:rsidR="00277023">
        <w:rPr>
          <w:lang w:val="fr-FR"/>
        </w:rPr>
        <w:t>’</w:t>
      </w:r>
      <w:r w:rsidRPr="00B21575">
        <w:rPr>
          <w:lang w:val="fr-FR"/>
        </w:rPr>
        <w:t>enfants victimes de la prostitution ou de la pornographie bénéficiant d</w:t>
      </w:r>
      <w:r w:rsidR="00277023">
        <w:rPr>
          <w:lang w:val="fr-FR"/>
        </w:rPr>
        <w:t>’</w:t>
      </w:r>
      <w:r w:rsidRPr="00B21575">
        <w:rPr>
          <w:lang w:val="fr-FR"/>
        </w:rPr>
        <w:t xml:space="preserve">un accompagnement dans un centre de guidance infantile a été de 100 en 2004. </w:t>
      </w:r>
    </w:p>
    <w:p w:rsidR="00B21575" w:rsidRPr="00B21575" w:rsidRDefault="00B21575" w:rsidP="00B21575">
      <w:pPr>
        <w:pStyle w:val="H23G"/>
        <w:rPr>
          <w:lang w:val="fr-FR"/>
        </w:rPr>
      </w:pPr>
      <w:r>
        <w:rPr>
          <w:lang w:val="fr-FR"/>
        </w:rPr>
        <w:tab/>
        <w:t>d)</w:t>
      </w:r>
      <w:r>
        <w:rPr>
          <w:lang w:val="fr-FR"/>
        </w:rPr>
        <w:tab/>
      </w:r>
      <w:r w:rsidRPr="00B21575">
        <w:rPr>
          <w:lang w:val="fr-FR"/>
        </w:rPr>
        <w:t>Vente, traite et enlèvement</w:t>
      </w:r>
    </w:p>
    <w:p w:rsidR="00B21575" w:rsidRPr="00B21575" w:rsidRDefault="00B21575" w:rsidP="00B21575">
      <w:pPr>
        <w:pStyle w:val="SingleTxtG"/>
        <w:rPr>
          <w:lang w:val="fr-FR"/>
        </w:rPr>
      </w:pPr>
      <w:r w:rsidRPr="00B21575">
        <w:rPr>
          <w:lang w:val="fr-FR"/>
        </w:rPr>
        <w:t>(Formulation de lois nationales en vue d</w:t>
      </w:r>
      <w:r w:rsidR="00277023">
        <w:rPr>
          <w:lang w:val="fr-FR"/>
        </w:rPr>
        <w:t>’</w:t>
      </w:r>
      <w:r w:rsidRPr="00B21575">
        <w:rPr>
          <w:lang w:val="fr-FR"/>
        </w:rPr>
        <w:t>adopter des mesures de lutte contre la traite des êtres humains)</w:t>
      </w:r>
    </w:p>
    <w:p w:rsidR="00B21575" w:rsidRPr="00B21575" w:rsidRDefault="00B21575" w:rsidP="00B21575">
      <w:pPr>
        <w:pStyle w:val="SingleTxtG"/>
        <w:rPr>
          <w:lang w:val="fr-FR"/>
        </w:rPr>
      </w:pPr>
      <w:r w:rsidRPr="00B21575">
        <w:rPr>
          <w:lang w:val="fr-FR"/>
        </w:rPr>
        <w:t>561.</w:t>
      </w:r>
      <w:r w:rsidRPr="00B21575">
        <w:rPr>
          <w:lang w:val="fr-FR"/>
        </w:rPr>
        <w:tab/>
        <w:t xml:space="preserve">Voir paragraphes 506-507 du deuxième rapport du Japon. </w:t>
      </w:r>
    </w:p>
    <w:p w:rsidR="00B21575" w:rsidRPr="00B21575" w:rsidRDefault="00B21575" w:rsidP="00B21575">
      <w:pPr>
        <w:pStyle w:val="SingleTxtG"/>
        <w:rPr>
          <w:lang w:val="fr-FR"/>
        </w:rPr>
      </w:pPr>
      <w:r w:rsidRPr="00B21575">
        <w:rPr>
          <w:lang w:val="fr-FR"/>
        </w:rPr>
        <w:t>562.</w:t>
      </w:r>
      <w:r w:rsidRPr="00B21575">
        <w:rPr>
          <w:lang w:val="fr-FR"/>
        </w:rPr>
        <w:tab/>
        <w:t>S</w:t>
      </w:r>
      <w:r w:rsidR="00277023">
        <w:rPr>
          <w:lang w:val="fr-FR"/>
        </w:rPr>
        <w:t>’</w:t>
      </w:r>
      <w:r w:rsidRPr="00B21575">
        <w:rPr>
          <w:lang w:val="fr-FR"/>
        </w:rPr>
        <w:t xml:space="preserve">agissant des mesures de lutte contre la traite des êtres humains, y compris des enfants, le Japon a formulé en décembre 2004 un Plan de lutte contre la traite des êtres humains ayant trait à la prévention et au contrôle de la traite et à la protection des victimes, auquel chaque Ministère et organisme est partie prenante. Les principales actions menées en application du Plan sont les suivantes: </w:t>
      </w:r>
    </w:p>
    <w:p w:rsidR="00B21575" w:rsidRPr="00B21575" w:rsidRDefault="00B21575" w:rsidP="00B21575">
      <w:pPr>
        <w:pStyle w:val="SingleTxtG"/>
        <w:rPr>
          <w:lang w:val="fr-FR"/>
        </w:rPr>
      </w:pPr>
      <w:r w:rsidRPr="00B21575">
        <w:rPr>
          <w:lang w:val="fr-FR"/>
        </w:rPr>
        <w:tab/>
        <w:t>1)</w:t>
      </w:r>
      <w:r>
        <w:rPr>
          <w:lang w:val="fr-FR"/>
        </w:rPr>
        <w:tab/>
      </w:r>
      <w:r w:rsidRPr="00B21575">
        <w:rPr>
          <w:lang w:val="fr-FR"/>
        </w:rPr>
        <w:t>Le Code pénal a été partiellement modifié (entrée en application en juillet 2005) pour établir le délit de traite des personnes. Le Code pénal modifié punit les actes d</w:t>
      </w:r>
      <w:r w:rsidR="00277023">
        <w:rPr>
          <w:lang w:val="fr-FR"/>
        </w:rPr>
        <w:t>’</w:t>
      </w:r>
      <w:r w:rsidRPr="00B21575">
        <w:rPr>
          <w:lang w:val="fr-FR"/>
        </w:rPr>
        <w:t>enlèvement et de séquestration à des fins d</w:t>
      </w:r>
      <w:r w:rsidR="00277023">
        <w:rPr>
          <w:lang w:val="fr-FR"/>
        </w:rPr>
        <w:t>’</w:t>
      </w:r>
      <w:r w:rsidRPr="00B21575">
        <w:rPr>
          <w:lang w:val="fr-FR"/>
        </w:rPr>
        <w:t>obscénité, de transfert dans un pays étranger, de traite des personnes, de transfert d</w:t>
      </w:r>
      <w:r w:rsidR="00277023">
        <w:rPr>
          <w:lang w:val="fr-FR"/>
        </w:rPr>
        <w:t>’</w:t>
      </w:r>
      <w:r w:rsidRPr="00B21575">
        <w:rPr>
          <w:lang w:val="fr-FR"/>
        </w:rPr>
        <w:t>une personne enlevée et séquestrée dans un pays étranger et de remise de personnes enlevées. Cette modification renforce la protection des droits de l</w:t>
      </w:r>
      <w:r w:rsidR="00277023">
        <w:rPr>
          <w:lang w:val="fr-FR"/>
        </w:rPr>
        <w:t>’</w:t>
      </w:r>
      <w:r w:rsidRPr="00B21575">
        <w:rPr>
          <w:lang w:val="fr-FR"/>
        </w:rPr>
        <w:t>enfant du point de vue de la liberté individuelle. S</w:t>
      </w:r>
      <w:r w:rsidR="00277023">
        <w:rPr>
          <w:lang w:val="fr-FR"/>
        </w:rPr>
        <w:t>’</w:t>
      </w:r>
      <w:r w:rsidRPr="00B21575">
        <w:rPr>
          <w:lang w:val="fr-FR"/>
        </w:rPr>
        <w:t>agissant des crimes assimilables à ces actes, la coopération en matière d</w:t>
      </w:r>
      <w:r w:rsidR="00277023">
        <w:rPr>
          <w:lang w:val="fr-FR"/>
        </w:rPr>
        <w:t>’</w:t>
      </w:r>
      <w:r w:rsidRPr="00B21575">
        <w:rPr>
          <w:lang w:val="fr-FR"/>
        </w:rPr>
        <w:t>enquêtes, l</w:t>
      </w:r>
      <w:r w:rsidR="00277023">
        <w:rPr>
          <w:lang w:val="fr-FR"/>
        </w:rPr>
        <w:t>’</w:t>
      </w:r>
      <w:r w:rsidRPr="00B21575">
        <w:rPr>
          <w:lang w:val="fr-FR"/>
        </w:rPr>
        <w:t>assistance judiciaire et les échanges d</w:t>
      </w:r>
      <w:r w:rsidR="00277023">
        <w:rPr>
          <w:lang w:val="fr-FR"/>
        </w:rPr>
        <w:t>’</w:t>
      </w:r>
      <w:r w:rsidRPr="00B21575">
        <w:rPr>
          <w:lang w:val="fr-FR"/>
        </w:rPr>
        <w:t>informations ont été renforcés. De plus, une ordonnance du Ministère de la justice a été partiellement modifiée (mars 2005) de manière à resserrer les procédures d</w:t>
      </w:r>
      <w:r w:rsidR="00277023">
        <w:rPr>
          <w:lang w:val="fr-FR"/>
        </w:rPr>
        <w:t>’</w:t>
      </w:r>
      <w:r w:rsidRPr="00B21575">
        <w:rPr>
          <w:lang w:val="fr-FR"/>
        </w:rPr>
        <w:t>examen et d</w:t>
      </w:r>
      <w:r w:rsidR="00277023">
        <w:rPr>
          <w:lang w:val="fr-FR"/>
        </w:rPr>
        <w:t>’</w:t>
      </w:r>
      <w:r w:rsidRPr="00B21575">
        <w:rPr>
          <w:lang w:val="fr-FR"/>
        </w:rPr>
        <w:t xml:space="preserve">approbation du statut de résident des </w:t>
      </w:r>
      <w:r w:rsidR="008E49D4">
        <w:rPr>
          <w:lang w:val="fr-FR"/>
        </w:rPr>
        <w:t>“</w:t>
      </w:r>
      <w:r w:rsidRPr="00B21575">
        <w:rPr>
          <w:lang w:val="fr-FR"/>
        </w:rPr>
        <w:t>artistes</w:t>
      </w:r>
      <w:r w:rsidR="008E49D4">
        <w:rPr>
          <w:lang w:val="fr-FR"/>
        </w:rPr>
        <w:t>”</w:t>
      </w:r>
      <w:r w:rsidRPr="00B21575">
        <w:rPr>
          <w:lang w:val="fr-FR"/>
        </w:rPr>
        <w:t xml:space="preserve"> de music-hall. Des mesures visant à prévenir la traite des personnes ont également été prises sur le territoire japonais, le Ministère des ressources foncières, des infrastructures et des transports ayant donné à l</w:t>
      </w:r>
      <w:r w:rsidR="00277023">
        <w:rPr>
          <w:lang w:val="fr-FR"/>
        </w:rPr>
        <w:t>’</w:t>
      </w:r>
      <w:r w:rsidRPr="00B21575">
        <w:rPr>
          <w:lang w:val="fr-FR"/>
        </w:rPr>
        <w:t>industrie du voyage l</w:t>
      </w:r>
      <w:r w:rsidR="00277023">
        <w:rPr>
          <w:lang w:val="fr-FR"/>
        </w:rPr>
        <w:t>’</w:t>
      </w:r>
      <w:r w:rsidRPr="00B21575">
        <w:rPr>
          <w:lang w:val="fr-FR"/>
        </w:rPr>
        <w:t>instruction de ne pas se rendre complice de l</w:t>
      </w:r>
      <w:r w:rsidR="00277023">
        <w:rPr>
          <w:lang w:val="fr-FR"/>
        </w:rPr>
        <w:t>’</w:t>
      </w:r>
      <w:r w:rsidRPr="00B21575">
        <w:rPr>
          <w:lang w:val="fr-FR"/>
        </w:rPr>
        <w:t>exploitation sexuelle des enfants.</w:t>
      </w:r>
    </w:p>
    <w:p w:rsidR="00B21575" w:rsidRPr="00B21575" w:rsidRDefault="00B21575" w:rsidP="00B21575">
      <w:pPr>
        <w:pStyle w:val="SingleTxtG"/>
        <w:rPr>
          <w:lang w:val="fr-FR"/>
        </w:rPr>
      </w:pPr>
      <w:r w:rsidRPr="00B21575">
        <w:rPr>
          <w:bCs/>
          <w:lang w:val="fr-FR"/>
        </w:rPr>
        <w:tab/>
        <w:t>2)</w:t>
      </w:r>
      <w:r>
        <w:rPr>
          <w:bCs/>
          <w:lang w:val="fr-FR"/>
        </w:rPr>
        <w:tab/>
      </w:r>
      <w:smartTag w:uri="urn:schemas-microsoft-com:office:smarttags" w:element="PersonName">
        <w:smartTagPr>
          <w:attr w:name="ProductID" w:val="la Loi"/>
        </w:smartTagPr>
        <w:r w:rsidRPr="00B21575">
          <w:rPr>
            <w:bCs/>
            <w:lang w:val="fr-FR"/>
          </w:rPr>
          <w:t>La Loi</w:t>
        </w:r>
      </w:smartTag>
      <w:r w:rsidRPr="00B21575">
        <w:rPr>
          <w:bCs/>
          <w:lang w:val="fr-FR"/>
        </w:rPr>
        <w:t xml:space="preserve"> sur le contrôle de l</w:t>
      </w:r>
      <w:r w:rsidR="00277023">
        <w:rPr>
          <w:bCs/>
          <w:lang w:val="fr-FR"/>
        </w:rPr>
        <w:t>’</w:t>
      </w:r>
      <w:r w:rsidRPr="00B21575">
        <w:rPr>
          <w:bCs/>
          <w:lang w:val="fr-FR"/>
        </w:rPr>
        <w:t>immigration et la reconnaissance du statut de réfugié a été partiellement modifiée (adoption en juin 2005</w:t>
      </w:r>
      <w:r w:rsidRPr="00B21575">
        <w:rPr>
          <w:lang w:val="fr-FR"/>
        </w:rPr>
        <w:t xml:space="preserve"> et entrée en application en juillet de la même année), ce qui a permis de mettre en place des systèmes juridiques pour que les victimes de la traite ne soient pas expulsées, même si elles étaient prostituées. Une nouvelle disposition stipule que le Ministre de la justice peut, à titre exceptionnel, accorder un titre de séjour temporaire à des clandestin(e)s qui étaient sous le contrôle d</w:t>
      </w:r>
      <w:r w:rsidR="00277023">
        <w:rPr>
          <w:lang w:val="fr-FR"/>
        </w:rPr>
        <w:t>’</w:t>
      </w:r>
      <w:r w:rsidRPr="00B21575">
        <w:rPr>
          <w:lang w:val="fr-FR"/>
        </w:rPr>
        <w:t>un autre individu, par exemple dans le cadre de la traite. Les trafiquants font l</w:t>
      </w:r>
      <w:r w:rsidR="00277023">
        <w:rPr>
          <w:lang w:val="fr-FR"/>
        </w:rPr>
        <w:t>’</w:t>
      </w:r>
      <w:r w:rsidRPr="00B21575">
        <w:rPr>
          <w:lang w:val="fr-FR"/>
        </w:rPr>
        <w:t>objet de mesures de refus d</w:t>
      </w:r>
      <w:r w:rsidR="00277023">
        <w:rPr>
          <w:lang w:val="fr-FR"/>
        </w:rPr>
        <w:t>’</w:t>
      </w:r>
      <w:r w:rsidRPr="00B21575">
        <w:rPr>
          <w:lang w:val="fr-FR"/>
        </w:rPr>
        <w:t>entrée sur le territoire et d</w:t>
      </w:r>
      <w:r w:rsidR="00277023">
        <w:rPr>
          <w:lang w:val="fr-FR"/>
        </w:rPr>
        <w:t>’</w:t>
      </w:r>
      <w:r w:rsidRPr="00B21575">
        <w:rPr>
          <w:lang w:val="fr-FR"/>
        </w:rPr>
        <w:t xml:space="preserve">expulsion. En redéfinissant la traite des êtres humains dans </w:t>
      </w:r>
      <w:smartTag w:uri="urn:schemas-microsoft-com:office:smarttags" w:element="PersonName">
        <w:smartTagPr>
          <w:attr w:name="ProductID" w:val="la Loi"/>
        </w:smartTagPr>
        <w:r w:rsidRPr="00B21575">
          <w:rPr>
            <w:lang w:val="fr-FR"/>
          </w:rPr>
          <w:t>la Loi</w:t>
        </w:r>
      </w:smartTag>
      <w:r w:rsidRPr="00B21575">
        <w:rPr>
          <w:lang w:val="fr-FR"/>
        </w:rPr>
        <w:t xml:space="preserve"> (y compris la définition spéciale relative aux enfants de moins de 18 ans, identique à celle du Protocole relatif à la traite), des mesures ont été adoptées pour pouvoir parvenir rapidement et objectivement à reconnaître les victimes et à identifier les délinquants.</w:t>
      </w:r>
    </w:p>
    <w:p w:rsidR="00B21575" w:rsidRPr="00B21575" w:rsidRDefault="00B21575" w:rsidP="00B21575">
      <w:pPr>
        <w:pStyle w:val="SingleTxtG"/>
        <w:rPr>
          <w:lang w:val="fr-FR"/>
        </w:rPr>
      </w:pPr>
      <w:r w:rsidRPr="00B21575">
        <w:rPr>
          <w:lang w:val="fr-FR"/>
        </w:rPr>
        <w:tab/>
        <w:t>3)</w:t>
      </w:r>
      <w:r>
        <w:rPr>
          <w:lang w:val="fr-FR"/>
        </w:rPr>
        <w:tab/>
      </w:r>
      <w:smartTag w:uri="urn:schemas-microsoft-com:office:smarttags" w:element="PersonName">
        <w:smartTagPr>
          <w:attr w:name="ProductID" w:val="la Loi"/>
        </w:smartTagPr>
        <w:r w:rsidRPr="00B21575">
          <w:rPr>
            <w:lang w:val="fr-FR"/>
          </w:rPr>
          <w:t>La Loi</w:t>
        </w:r>
      </w:smartTag>
      <w:r w:rsidRPr="00B21575">
        <w:rPr>
          <w:lang w:val="fr-FR"/>
        </w:rPr>
        <w:t xml:space="preserve"> relative à la répression de la prostitution des enfants et de la pornographie mettant en scène des enfants, et à la protection des enfants, interdit d</w:t>
      </w:r>
      <w:r w:rsidR="00277023">
        <w:rPr>
          <w:lang w:val="fr-FR"/>
        </w:rPr>
        <w:t>’</w:t>
      </w:r>
      <w:r w:rsidRPr="00B21575">
        <w:rPr>
          <w:lang w:val="fr-FR"/>
        </w:rPr>
        <w:t>engager des enfants dans la prostitution et de leur faire</w:t>
      </w:r>
      <w:r w:rsidR="00EA1115">
        <w:rPr>
          <w:lang w:val="fr-FR"/>
        </w:rPr>
        <w:t xml:space="preserve"> </w:t>
      </w:r>
      <w:r w:rsidRPr="00B21575">
        <w:rPr>
          <w:lang w:val="fr-FR"/>
        </w:rPr>
        <w:t>tenir le rôle d</w:t>
      </w:r>
      <w:r w:rsidR="00277023">
        <w:rPr>
          <w:lang w:val="fr-FR"/>
        </w:rPr>
        <w:t>’</w:t>
      </w:r>
      <w:r w:rsidRPr="00B21575">
        <w:rPr>
          <w:lang w:val="fr-FR"/>
        </w:rPr>
        <w:t>un partenaire dans le cadre de relations sexuelles, et de vendre/acheter des enfants à des fins de production de pornographie enfantine. Elle interdit également le transfert d</w:t>
      </w:r>
      <w:r w:rsidR="00277023">
        <w:rPr>
          <w:lang w:val="fr-FR"/>
        </w:rPr>
        <w:t>’</w:t>
      </w:r>
      <w:r w:rsidRPr="00B21575">
        <w:rPr>
          <w:lang w:val="fr-FR"/>
        </w:rPr>
        <w:t>un enfant enlevé et séquestré ou échangé, vivant dans un pays étranger, vers un autre pays aux fins de pornographie enfantine. Les services chargés de l</w:t>
      </w:r>
      <w:r w:rsidR="00277023">
        <w:rPr>
          <w:lang w:val="fr-FR"/>
        </w:rPr>
        <w:t>’</w:t>
      </w:r>
      <w:r w:rsidRPr="00B21575">
        <w:rPr>
          <w:lang w:val="fr-FR"/>
        </w:rPr>
        <w:t>application de la loi s</w:t>
      </w:r>
      <w:r w:rsidR="00277023">
        <w:rPr>
          <w:lang w:val="fr-FR"/>
        </w:rPr>
        <w:t>’</w:t>
      </w:r>
      <w:r w:rsidRPr="00B21575">
        <w:rPr>
          <w:lang w:val="fr-FR"/>
        </w:rPr>
        <w:t xml:space="preserve">emploient à effectuer des contrôles rigoureux conformément à </w:t>
      </w:r>
      <w:smartTag w:uri="urn:schemas-microsoft-com:office:smarttags" w:element="PersonName">
        <w:smartTagPr>
          <w:attr w:name="ProductID" w:val="la Loi. En"/>
        </w:smartTagPr>
        <w:r w:rsidRPr="00B21575">
          <w:rPr>
            <w:lang w:val="fr-FR"/>
          </w:rPr>
          <w:t>la Loi. En</w:t>
        </w:r>
      </w:smartTag>
      <w:r w:rsidRPr="00B21575">
        <w:rPr>
          <w:lang w:val="fr-FR"/>
        </w:rPr>
        <w:t xml:space="preserve"> outre, </w:t>
      </w:r>
      <w:smartTag w:uri="urn:schemas-microsoft-com:office:smarttags" w:element="PersonName">
        <w:smartTagPr>
          <w:attr w:name="ProductID" w:val="la Loi"/>
        </w:smartTagPr>
        <w:r w:rsidRPr="00B21575">
          <w:rPr>
            <w:lang w:val="fr-FR"/>
          </w:rPr>
          <w:t>la Loi</w:t>
        </w:r>
      </w:smartTag>
      <w:r w:rsidRPr="00B21575">
        <w:rPr>
          <w:lang w:val="fr-FR"/>
        </w:rPr>
        <w:t xml:space="preserve"> sur le contrôle et l</w:t>
      </w:r>
      <w:r w:rsidR="00277023">
        <w:rPr>
          <w:lang w:val="fr-FR"/>
        </w:rPr>
        <w:t>’</w:t>
      </w:r>
      <w:r w:rsidRPr="00B21575">
        <w:rPr>
          <w:lang w:val="fr-FR"/>
        </w:rPr>
        <w:t>amélioration de l</w:t>
      </w:r>
      <w:r w:rsidR="00277023">
        <w:rPr>
          <w:lang w:val="fr-FR"/>
        </w:rPr>
        <w:t>’</w:t>
      </w:r>
      <w:r w:rsidRPr="00B21575">
        <w:rPr>
          <w:lang w:val="fr-FR"/>
        </w:rPr>
        <w:t>industrie du spectacle et des loisirs a été partiellement modifiée (adoption en octobre 2005), aux termes de laquelle la traite des personnes récemment intégrée au Code pénal a été ajoutée aux motifs de retrait de la licence d</w:t>
      </w:r>
      <w:r w:rsidR="00277023">
        <w:rPr>
          <w:lang w:val="fr-FR"/>
        </w:rPr>
        <w:t>’</w:t>
      </w:r>
      <w:r w:rsidRPr="00B21575">
        <w:rPr>
          <w:lang w:val="fr-FR"/>
        </w:rPr>
        <w:t>un établissement de spectacles et de loisirs et aux motifs de fermeture temporaire de sex-shops.</w:t>
      </w:r>
    </w:p>
    <w:p w:rsidR="00B21575" w:rsidRPr="00B21575" w:rsidRDefault="00B21575" w:rsidP="00B21575">
      <w:pPr>
        <w:pStyle w:val="SingleTxtG"/>
        <w:rPr>
          <w:lang w:val="fr-FR"/>
        </w:rPr>
      </w:pPr>
      <w:r w:rsidRPr="00B21575">
        <w:rPr>
          <w:lang w:val="fr-FR"/>
        </w:rPr>
        <w:t>(Coopération internationale)</w:t>
      </w:r>
    </w:p>
    <w:p w:rsidR="00B21575" w:rsidRPr="00B21575" w:rsidRDefault="00B21575" w:rsidP="00B21575">
      <w:pPr>
        <w:pStyle w:val="SingleTxtG"/>
        <w:rPr>
          <w:lang w:val="fr-FR"/>
        </w:rPr>
      </w:pPr>
      <w:r w:rsidRPr="00B21575">
        <w:rPr>
          <w:lang w:val="fr-FR"/>
        </w:rPr>
        <w:t>563.</w:t>
      </w:r>
      <w:r w:rsidRPr="00B21575">
        <w:rPr>
          <w:lang w:val="fr-FR"/>
        </w:rPr>
        <w:tab/>
        <w:t>S</w:t>
      </w:r>
      <w:r w:rsidR="00277023">
        <w:rPr>
          <w:lang w:val="fr-FR"/>
        </w:rPr>
        <w:t>’</w:t>
      </w:r>
      <w:r w:rsidRPr="00B21575">
        <w:rPr>
          <w:lang w:val="fr-FR"/>
        </w:rPr>
        <w:t>agissant de prévenir la traite des enfants, le Gouvernement japonais</w:t>
      </w:r>
      <w:r w:rsidR="00EA1115">
        <w:rPr>
          <w:lang w:val="fr-FR"/>
        </w:rPr>
        <w:t xml:space="preserve"> </w:t>
      </w:r>
      <w:r w:rsidRPr="00B21575">
        <w:rPr>
          <w:lang w:val="fr-FR"/>
        </w:rPr>
        <w:t>offre sont assistance à travers le fonds des Nations Unies pour la sécurité humaine. En juin 2003, il a versé quelque 500.000 dollars par le biais de l</w:t>
      </w:r>
      <w:r w:rsidR="00277023">
        <w:rPr>
          <w:lang w:val="fr-FR"/>
        </w:rPr>
        <w:t>’</w:t>
      </w:r>
      <w:r w:rsidRPr="00B21575">
        <w:rPr>
          <w:lang w:val="fr-FR"/>
        </w:rPr>
        <w:t>UNICEF au Laos pour l</w:t>
      </w:r>
      <w:r w:rsidR="00277023">
        <w:rPr>
          <w:lang w:val="fr-FR"/>
        </w:rPr>
        <w:t>’</w:t>
      </w:r>
      <w:r w:rsidRPr="00B21575">
        <w:rPr>
          <w:lang w:val="fr-FR"/>
        </w:rPr>
        <w:t>éducation des filles et le développement communautaire en vue de prévenir la traite des filles. En avril 2003, il a apporté une contribution à hauteur de quelque 1.200.00 dollars par le biais de l</w:t>
      </w:r>
      <w:r w:rsidR="00277023">
        <w:rPr>
          <w:lang w:val="fr-FR"/>
        </w:rPr>
        <w:t>’</w:t>
      </w:r>
      <w:r w:rsidRPr="00B21575">
        <w:rPr>
          <w:lang w:val="fr-FR"/>
        </w:rPr>
        <w:t>OIT au Cambodge et au Vietnam pour prévenir la traite des enfants et des femmes à l</w:t>
      </w:r>
      <w:r w:rsidR="00277023">
        <w:rPr>
          <w:lang w:val="fr-FR"/>
        </w:rPr>
        <w:t>’</w:t>
      </w:r>
      <w:r w:rsidRPr="00B21575">
        <w:rPr>
          <w:lang w:val="fr-FR"/>
        </w:rPr>
        <w:t>échelon communautaire.</w:t>
      </w:r>
    </w:p>
    <w:p w:rsidR="00B21575" w:rsidRPr="00B21575" w:rsidRDefault="00B21575" w:rsidP="00B21575">
      <w:pPr>
        <w:pStyle w:val="SingleTxtG"/>
        <w:rPr>
          <w:lang w:val="fr-FR"/>
        </w:rPr>
      </w:pPr>
      <w:r w:rsidRPr="00B21575">
        <w:rPr>
          <w:lang w:val="fr-FR"/>
        </w:rPr>
        <w:t>564.</w:t>
      </w:r>
      <w:r w:rsidRPr="00B21575">
        <w:rPr>
          <w:lang w:val="fr-FR"/>
        </w:rPr>
        <w:tab/>
        <w:t>Par ailleurs, en vue de promouvoir les actions contre le problème mondial de la traite, le Gouvernement japonais a mandaté une équipe d</w:t>
      </w:r>
      <w:r w:rsidR="00277023">
        <w:rPr>
          <w:lang w:val="fr-FR"/>
        </w:rPr>
        <w:t>’</w:t>
      </w:r>
      <w:r w:rsidRPr="00B21575">
        <w:rPr>
          <w:lang w:val="fr-FR"/>
        </w:rPr>
        <w:t>enquêteurs de l</w:t>
      </w:r>
      <w:r w:rsidR="00277023">
        <w:rPr>
          <w:lang w:val="fr-FR"/>
        </w:rPr>
        <w:t>’</w:t>
      </w:r>
      <w:r w:rsidRPr="00B21575">
        <w:rPr>
          <w:lang w:val="fr-FR"/>
        </w:rPr>
        <w:t>Etat dans différents pays (aux Philippines et en Thaïlande en 2004, en Colombie et aux Etats-Unis en janvier 2005, en Russie, en Ukraine, en Roumanie et en France en juillet 2005), et ces visites ont permis des échanges d</w:t>
      </w:r>
      <w:r w:rsidR="00277023">
        <w:rPr>
          <w:lang w:val="fr-FR"/>
        </w:rPr>
        <w:t>’</w:t>
      </w:r>
      <w:r w:rsidRPr="00B21575">
        <w:rPr>
          <w:lang w:val="fr-FR"/>
        </w:rPr>
        <w:t>informations avec les organisations compétentes. En juin 2005, dans le cadre du processus de Bali, le Japon a organisé un atelier sur l</w:t>
      </w:r>
      <w:r w:rsidR="00277023">
        <w:rPr>
          <w:lang w:val="fr-FR"/>
        </w:rPr>
        <w:t>’</w:t>
      </w:r>
      <w:r w:rsidRPr="00B21575">
        <w:rPr>
          <w:lang w:val="fr-FR"/>
        </w:rPr>
        <w:t>élaboration d</w:t>
      </w:r>
      <w:r w:rsidR="00277023">
        <w:rPr>
          <w:lang w:val="fr-FR"/>
        </w:rPr>
        <w:t>’</w:t>
      </w:r>
      <w:r w:rsidRPr="00B21575">
        <w:rPr>
          <w:lang w:val="fr-FR"/>
        </w:rPr>
        <w:t>un Plan d</w:t>
      </w:r>
      <w:r w:rsidR="00277023">
        <w:rPr>
          <w:lang w:val="fr-FR"/>
        </w:rPr>
        <w:t>’</w:t>
      </w:r>
      <w:r w:rsidRPr="00B21575">
        <w:rPr>
          <w:lang w:val="fr-FR"/>
        </w:rPr>
        <w:t>action national interinstitutions pour l</w:t>
      </w:r>
      <w:r w:rsidR="00277023">
        <w:rPr>
          <w:lang w:val="fr-FR"/>
        </w:rPr>
        <w:t>’</w:t>
      </w:r>
      <w:r w:rsidRPr="00B21575">
        <w:rPr>
          <w:lang w:val="fr-FR"/>
        </w:rPr>
        <w:t>élimination de la traite des personnes et de la criminalité transnationale, à l</w:t>
      </w:r>
      <w:r w:rsidR="00277023">
        <w:rPr>
          <w:lang w:val="fr-FR"/>
        </w:rPr>
        <w:t>’</w:t>
      </w:r>
      <w:r w:rsidRPr="00B21575">
        <w:rPr>
          <w:lang w:val="fr-FR"/>
        </w:rPr>
        <w:t>occasion duquel il a échangé des vues avec le Gouvernement de chaque pays participant, des organisations internationales et des ONG, dans le but de promouvoir des actions internationales en rapport avec cette question. En outre, en février 2006, le Japon a organisé un symposium international à Tokyo sur le thème de la traite des personnes et invité des représentants de différents pays, notamment de Thaïlande, des Philippines, d</w:t>
      </w:r>
      <w:r w:rsidR="00277023">
        <w:rPr>
          <w:lang w:val="fr-FR"/>
        </w:rPr>
        <w:t>’</w:t>
      </w:r>
      <w:r w:rsidRPr="00B21575">
        <w:rPr>
          <w:lang w:val="fr-FR"/>
        </w:rPr>
        <w:t>Indonésie et de Colombie.</w:t>
      </w:r>
    </w:p>
    <w:p w:rsidR="00B21575" w:rsidRPr="00B21575" w:rsidRDefault="00B21575" w:rsidP="00B21575">
      <w:pPr>
        <w:pStyle w:val="SingleTxtG"/>
        <w:rPr>
          <w:lang w:val="fr-FR"/>
        </w:rPr>
      </w:pPr>
      <w:r w:rsidRPr="00B21575">
        <w:rPr>
          <w:lang w:val="fr-FR"/>
        </w:rPr>
        <w:t>565.</w:t>
      </w:r>
      <w:r w:rsidRPr="00B21575">
        <w:rPr>
          <w:lang w:val="fr-FR"/>
        </w:rPr>
        <w:tab/>
        <w:t>Depuis 2003, le Gouvernement japonais apporte sa contribution financière à la maintenance et au fonctionnement du site Web du Processus de Bali sur le trafic de migrants, la traite des personnes et la criminalité transnationale qui y est associée, qui offre une description détaillée de cette initiative et des résultats obtenus au cours des ateliers et contribue à encourager les échanges d</w:t>
      </w:r>
      <w:r w:rsidR="00277023">
        <w:rPr>
          <w:lang w:val="fr-FR"/>
        </w:rPr>
        <w:t>’</w:t>
      </w:r>
      <w:r w:rsidRPr="00B21575">
        <w:rPr>
          <w:lang w:val="fr-FR"/>
        </w:rPr>
        <w:t xml:space="preserve">informations entre les pays participants. </w:t>
      </w:r>
    </w:p>
    <w:p w:rsidR="00B21575" w:rsidRPr="00B21575" w:rsidRDefault="00B21575" w:rsidP="00B21575">
      <w:pPr>
        <w:pStyle w:val="SingleTxtG"/>
        <w:rPr>
          <w:lang w:val="fr-FR"/>
        </w:rPr>
      </w:pPr>
      <w:r w:rsidRPr="00B21575">
        <w:rPr>
          <w:lang w:val="fr-FR"/>
        </w:rPr>
        <w:t>566.</w:t>
      </w:r>
      <w:r w:rsidRPr="00B21575">
        <w:rPr>
          <w:lang w:val="fr-FR"/>
        </w:rPr>
        <w:tab/>
        <w:t>Après la catastrophe du tsunami qui a frappé l</w:t>
      </w:r>
      <w:r w:rsidR="00277023">
        <w:rPr>
          <w:lang w:val="fr-FR"/>
        </w:rPr>
        <w:t>’</w:t>
      </w:r>
      <w:r w:rsidRPr="00B21575">
        <w:rPr>
          <w:lang w:val="fr-FR"/>
        </w:rPr>
        <w:t>océan indien en 2004, le Gouvernement japonais a réservé environ 86 millions de dollars du montant qu</w:t>
      </w:r>
      <w:r w:rsidR="00277023">
        <w:rPr>
          <w:lang w:val="fr-FR"/>
        </w:rPr>
        <w:t>’</w:t>
      </w:r>
      <w:r w:rsidRPr="00B21575">
        <w:rPr>
          <w:lang w:val="fr-FR"/>
        </w:rPr>
        <w:t xml:space="preserve">il verse à des organisations internationales au profit du </w:t>
      </w:r>
      <w:r w:rsidR="008E49D4">
        <w:rPr>
          <w:lang w:val="fr-FR"/>
        </w:rPr>
        <w:t>“</w:t>
      </w:r>
      <w:r w:rsidRPr="00B21575">
        <w:rPr>
          <w:lang w:val="fr-FR"/>
        </w:rPr>
        <w:t>Plan d</w:t>
      </w:r>
      <w:r w:rsidR="00277023">
        <w:rPr>
          <w:lang w:val="fr-FR"/>
        </w:rPr>
        <w:t>’</w:t>
      </w:r>
      <w:r w:rsidRPr="00B21575">
        <w:rPr>
          <w:lang w:val="fr-FR"/>
        </w:rPr>
        <w:t>aide aux enfants du tsunami</w:t>
      </w:r>
      <w:r w:rsidR="008E49D4">
        <w:rPr>
          <w:lang w:val="fr-FR"/>
        </w:rPr>
        <w:t>”</w:t>
      </w:r>
      <w:r w:rsidRPr="00B21575">
        <w:rPr>
          <w:lang w:val="fr-FR"/>
        </w:rPr>
        <w:t>, qui comprend des mesures de prévention de la traite des enfants vivant dans des pays dévastés. En octobre 2005, le Gouvernement japonais a contribué à hauteur de quelque 650.000 dollars à un projet de l</w:t>
      </w:r>
      <w:r w:rsidR="00277023">
        <w:rPr>
          <w:lang w:val="fr-FR"/>
        </w:rPr>
        <w:t>’</w:t>
      </w:r>
      <w:r w:rsidRPr="00B21575">
        <w:rPr>
          <w:lang w:val="fr-FR"/>
        </w:rPr>
        <w:t>UNICEF relatif à des mesures contre la traite des personnes en Asie du sud-est (Philippines, Thaïlande).</w:t>
      </w:r>
    </w:p>
    <w:p w:rsidR="00B21575" w:rsidRPr="00B21575" w:rsidRDefault="00B21575" w:rsidP="00B21575">
      <w:pPr>
        <w:pStyle w:val="SingleTxtG"/>
        <w:rPr>
          <w:lang w:val="fr-FR"/>
        </w:rPr>
      </w:pPr>
      <w:r w:rsidRPr="00B21575">
        <w:rPr>
          <w:lang w:val="fr-FR"/>
        </w:rPr>
        <w:t>567.</w:t>
      </w:r>
      <w:r w:rsidRPr="00B21575">
        <w:rPr>
          <w:lang w:val="fr-FR"/>
        </w:rPr>
        <w:tab/>
        <w:t>En février 2003, le Japon a organisé un symposium international sur la traite des enfants à Tokyo, conjointement avec le Ministère des affaires étrangères et l</w:t>
      </w:r>
      <w:r w:rsidR="00277023">
        <w:rPr>
          <w:lang w:val="fr-FR"/>
        </w:rPr>
        <w:t>’</w:t>
      </w:r>
      <w:r w:rsidRPr="00B21575">
        <w:rPr>
          <w:lang w:val="fr-FR"/>
        </w:rPr>
        <w:t>UNICEF. Le symposium a sensibilisé le public à l</w:t>
      </w:r>
      <w:r w:rsidR="00277023">
        <w:rPr>
          <w:lang w:val="fr-FR"/>
        </w:rPr>
        <w:t>’</w:t>
      </w:r>
      <w:r w:rsidRPr="00B21575">
        <w:rPr>
          <w:lang w:val="fr-FR"/>
        </w:rPr>
        <w:t>importance de travailler à l</w:t>
      </w:r>
      <w:r w:rsidR="00277023">
        <w:rPr>
          <w:lang w:val="fr-FR"/>
        </w:rPr>
        <w:t>’</w:t>
      </w:r>
      <w:r w:rsidRPr="00B21575">
        <w:rPr>
          <w:lang w:val="fr-FR"/>
        </w:rPr>
        <w:t>éradication de la traite en adoptant des mesures telles que la prévention de la traite, la protection, le rapatriement et la réinsertion des enfants victimes, ainsi que des mesures juridiques connexes, et de rechercher des approches globales et ouvertes, émanant non seulement d</w:t>
      </w:r>
      <w:r w:rsidR="00277023">
        <w:rPr>
          <w:lang w:val="fr-FR"/>
        </w:rPr>
        <w:t>’</w:t>
      </w:r>
      <w:r w:rsidRPr="00B21575">
        <w:rPr>
          <w:lang w:val="fr-FR"/>
        </w:rPr>
        <w:t>ONG mais également du Gouvernement et d</w:t>
      </w:r>
      <w:r w:rsidR="00277023">
        <w:rPr>
          <w:lang w:val="fr-FR"/>
        </w:rPr>
        <w:t>’</w:t>
      </w:r>
      <w:r w:rsidRPr="00B21575">
        <w:rPr>
          <w:lang w:val="fr-FR"/>
        </w:rPr>
        <w:t xml:space="preserve">autres organisations internationales compétentes dans le cadre de la coopération. </w:t>
      </w:r>
    </w:p>
    <w:p w:rsidR="00B21575" w:rsidRPr="00B21575" w:rsidRDefault="00B21575" w:rsidP="00B21575">
      <w:pPr>
        <w:pStyle w:val="SingleTxtG"/>
        <w:rPr>
          <w:lang w:val="fr-FR"/>
        </w:rPr>
      </w:pPr>
      <w:r w:rsidRPr="00B21575">
        <w:rPr>
          <w:lang w:val="fr-FR"/>
        </w:rPr>
        <w:t>568.</w:t>
      </w:r>
      <w:r w:rsidRPr="00B21575">
        <w:rPr>
          <w:lang w:val="fr-FR"/>
        </w:rPr>
        <w:tab/>
        <w:t>S</w:t>
      </w:r>
      <w:r w:rsidR="00277023">
        <w:rPr>
          <w:lang w:val="fr-FR"/>
        </w:rPr>
        <w:t>’</w:t>
      </w:r>
      <w:r w:rsidRPr="00B21575">
        <w:rPr>
          <w:lang w:val="fr-FR"/>
        </w:rPr>
        <w:t>agissant de renforcer des mesures en réponse aux infractions de plus en plus mondialisées liées à la prostitution et à la pornographie enfantines, la police nationale a organisé une réunion sur la coopération internationale en matière d</w:t>
      </w:r>
      <w:r w:rsidR="00277023">
        <w:rPr>
          <w:lang w:val="fr-FR"/>
        </w:rPr>
        <w:t>’</w:t>
      </w:r>
      <w:r w:rsidRPr="00B21575">
        <w:rPr>
          <w:lang w:val="fr-FR"/>
        </w:rPr>
        <w:t>enquêtes sur les infractions relatives à l</w:t>
      </w:r>
      <w:r w:rsidR="00277023">
        <w:rPr>
          <w:lang w:val="fr-FR"/>
        </w:rPr>
        <w:t>’</w:t>
      </w:r>
      <w:r w:rsidRPr="00B21575">
        <w:rPr>
          <w:lang w:val="fr-FR"/>
        </w:rPr>
        <w:t>exploitation sexuelle à des fins commerciales au cours du deuxième Congrès mondial contre l</w:t>
      </w:r>
      <w:r w:rsidR="00277023">
        <w:rPr>
          <w:lang w:val="fr-FR"/>
        </w:rPr>
        <w:t>’</w:t>
      </w:r>
      <w:r w:rsidRPr="00B21575">
        <w:rPr>
          <w:lang w:val="fr-FR"/>
        </w:rPr>
        <w:t>exploitation sexuelle à des fins commerciales à Yokohama en décembre 2001.</w:t>
      </w:r>
      <w:r w:rsidR="00EA1115">
        <w:rPr>
          <w:lang w:val="fr-FR"/>
        </w:rPr>
        <w:t xml:space="preserve"> </w:t>
      </w:r>
      <w:r w:rsidRPr="00B21575">
        <w:rPr>
          <w:lang w:val="fr-FR"/>
        </w:rPr>
        <w:t>Chaque année depuis 2002, la police nationale invite des représentants de polices nationales et d</w:t>
      </w:r>
      <w:r w:rsidR="00277023">
        <w:rPr>
          <w:lang w:val="fr-FR"/>
        </w:rPr>
        <w:t>’</w:t>
      </w:r>
      <w:r w:rsidRPr="00B21575">
        <w:rPr>
          <w:lang w:val="fr-FR"/>
        </w:rPr>
        <w:t>institutions judiciaires</w:t>
      </w:r>
      <w:r w:rsidR="00EA1115">
        <w:rPr>
          <w:lang w:val="fr-FR"/>
        </w:rPr>
        <w:t xml:space="preserve"> </w:t>
      </w:r>
      <w:r w:rsidRPr="00B21575">
        <w:rPr>
          <w:lang w:val="fr-FR"/>
        </w:rPr>
        <w:t>ainsi que d</w:t>
      </w:r>
      <w:r w:rsidR="00277023">
        <w:rPr>
          <w:lang w:val="fr-FR"/>
        </w:rPr>
        <w:t>’</w:t>
      </w:r>
      <w:r w:rsidRPr="00B21575">
        <w:rPr>
          <w:lang w:val="fr-FR"/>
        </w:rPr>
        <w:t>ONG de pays de l</w:t>
      </w:r>
      <w:r w:rsidR="00277023">
        <w:rPr>
          <w:lang w:val="fr-FR"/>
        </w:rPr>
        <w:t>’</w:t>
      </w:r>
      <w:r w:rsidRPr="00B21575">
        <w:rPr>
          <w:lang w:val="fr-FR"/>
        </w:rPr>
        <w:t>Asie du sud-est qui travaillent sur la question de l</w:t>
      </w:r>
      <w:r w:rsidR="00277023">
        <w:rPr>
          <w:lang w:val="fr-FR"/>
        </w:rPr>
        <w:t>’</w:t>
      </w:r>
      <w:r w:rsidRPr="00B21575">
        <w:rPr>
          <w:lang w:val="fr-FR"/>
        </w:rPr>
        <w:t>exploitation sexuelle à des fins commerciales d</w:t>
      </w:r>
      <w:r w:rsidR="00277023">
        <w:rPr>
          <w:lang w:val="fr-FR"/>
        </w:rPr>
        <w:t>’</w:t>
      </w:r>
      <w:r w:rsidRPr="00B21575">
        <w:rPr>
          <w:lang w:val="fr-FR"/>
        </w:rPr>
        <w:t>enfants, à participer à un séminaire sur l</w:t>
      </w:r>
      <w:r w:rsidR="00277023">
        <w:rPr>
          <w:lang w:val="fr-FR"/>
        </w:rPr>
        <w:t>’</w:t>
      </w:r>
      <w:r w:rsidRPr="00B21575">
        <w:rPr>
          <w:lang w:val="fr-FR"/>
        </w:rPr>
        <w:t>exploitation sexuelle à des fins commerciales d</w:t>
      </w:r>
      <w:r w:rsidR="00277023">
        <w:rPr>
          <w:lang w:val="fr-FR"/>
        </w:rPr>
        <w:t>’</w:t>
      </w:r>
      <w:r w:rsidRPr="00B21575">
        <w:rPr>
          <w:lang w:val="fr-FR"/>
        </w:rPr>
        <w:t>enfants en Asie du sud-est et à un Conseil réunissant des enquêteurs (4</w:t>
      </w:r>
      <w:r w:rsidRPr="00B21575">
        <w:rPr>
          <w:vertAlign w:val="superscript"/>
          <w:lang w:val="fr-FR"/>
        </w:rPr>
        <w:t>e</w:t>
      </w:r>
      <w:r w:rsidRPr="00B21575">
        <w:rPr>
          <w:lang w:val="fr-FR"/>
        </w:rPr>
        <w:t xml:space="preserve"> édition en novembre 2005). Des vues sont échangées sur l</w:t>
      </w:r>
      <w:r w:rsidR="00277023">
        <w:rPr>
          <w:lang w:val="fr-FR"/>
        </w:rPr>
        <w:t>’</w:t>
      </w:r>
      <w:r w:rsidRPr="00B21575">
        <w:rPr>
          <w:lang w:val="fr-FR"/>
        </w:rPr>
        <w:t>état d</w:t>
      </w:r>
      <w:r w:rsidR="00277023">
        <w:rPr>
          <w:lang w:val="fr-FR"/>
        </w:rPr>
        <w:t>’</w:t>
      </w:r>
      <w:r w:rsidRPr="00B21575">
        <w:rPr>
          <w:lang w:val="fr-FR"/>
        </w:rPr>
        <w:t>avancement des actions menées à cet égard et sur la protection des enfants victimes. Le Gouvernement japonais</w:t>
      </w:r>
      <w:r w:rsidR="00EA1115">
        <w:rPr>
          <w:lang w:val="fr-FR"/>
        </w:rPr>
        <w:t xml:space="preserve"> </w:t>
      </w:r>
      <w:r w:rsidRPr="00B21575">
        <w:rPr>
          <w:lang w:val="fr-FR"/>
        </w:rPr>
        <w:t>participe également à des conférences d</w:t>
      </w:r>
      <w:r w:rsidR="00277023">
        <w:rPr>
          <w:lang w:val="fr-FR"/>
        </w:rPr>
        <w:t>’</w:t>
      </w:r>
      <w:r w:rsidRPr="00B21575">
        <w:rPr>
          <w:lang w:val="fr-FR"/>
        </w:rPr>
        <w:t>experts sur les crimes commis contre des enfants, organisées par l</w:t>
      </w:r>
      <w:r w:rsidR="00277023">
        <w:rPr>
          <w:lang w:val="fr-FR"/>
        </w:rPr>
        <w:t>’</w:t>
      </w:r>
      <w:r w:rsidRPr="00B21575">
        <w:rPr>
          <w:lang w:val="fr-FR"/>
        </w:rPr>
        <w:t>Organisation internationale de police criminelle (INTERPOL), à l</w:t>
      </w:r>
      <w:r w:rsidR="00277023">
        <w:rPr>
          <w:lang w:val="fr-FR"/>
        </w:rPr>
        <w:t>’</w:t>
      </w:r>
      <w:r w:rsidRPr="00B21575">
        <w:rPr>
          <w:lang w:val="fr-FR"/>
        </w:rPr>
        <w:t>occasion desquelles il échange des informations avec les pays participants sur la prostitution et la pornographie enfantines à travers des études de cas, et avec des autorités chargées des enquêtes afin de renforcer leurs relations en matière de coopération.</w:t>
      </w:r>
    </w:p>
    <w:p w:rsidR="00B21575" w:rsidRPr="00B21575" w:rsidRDefault="00B21575" w:rsidP="00B21575">
      <w:pPr>
        <w:pStyle w:val="SingleTxtG"/>
        <w:rPr>
          <w:lang w:val="fr-FR"/>
        </w:rPr>
      </w:pPr>
      <w:r w:rsidRPr="00B21575">
        <w:rPr>
          <w:lang w:val="fr-FR"/>
        </w:rPr>
        <w:t>569.</w:t>
      </w:r>
      <w:r w:rsidRPr="00B21575">
        <w:rPr>
          <w:lang w:val="fr-FR"/>
        </w:rPr>
        <w:tab/>
        <w:t>En 2003, après l</w:t>
      </w:r>
      <w:r w:rsidR="00277023">
        <w:rPr>
          <w:lang w:val="fr-FR"/>
        </w:rPr>
        <w:t>’</w:t>
      </w:r>
      <w:r w:rsidRPr="00B21575">
        <w:rPr>
          <w:lang w:val="fr-FR"/>
        </w:rPr>
        <w:t xml:space="preserve">adoption de </w:t>
      </w:r>
      <w:smartTag w:uri="urn:schemas-microsoft-com:office:smarttags" w:element="PersonName">
        <w:smartTagPr>
          <w:attr w:name="ProductID" w:val="la Strat￩gie"/>
        </w:smartTagPr>
        <w:r w:rsidRPr="00B21575">
          <w:rPr>
            <w:lang w:val="fr-FR"/>
          </w:rPr>
          <w:t>la Stratégie</w:t>
        </w:r>
      </w:smartTag>
      <w:r w:rsidRPr="00B21575">
        <w:rPr>
          <w:lang w:val="fr-FR"/>
        </w:rPr>
        <w:t xml:space="preserve"> de protection de l</w:t>
      </w:r>
      <w:r w:rsidR="00277023">
        <w:rPr>
          <w:lang w:val="fr-FR"/>
        </w:rPr>
        <w:t>’</w:t>
      </w:r>
      <w:r w:rsidRPr="00B21575">
        <w:rPr>
          <w:lang w:val="fr-FR"/>
        </w:rPr>
        <w:t>enfance visant la protection des enfants contre l</w:t>
      </w:r>
      <w:r w:rsidR="00277023">
        <w:rPr>
          <w:lang w:val="fr-FR"/>
        </w:rPr>
        <w:t>’</w:t>
      </w:r>
      <w:r w:rsidRPr="00B21575">
        <w:rPr>
          <w:lang w:val="fr-FR"/>
        </w:rPr>
        <w:t xml:space="preserve">exploitation sur Internet lors de </w:t>
      </w:r>
      <w:smartTag w:uri="urn:schemas-microsoft-com:office:smarttags" w:element="PersonName">
        <w:smartTagPr>
          <w:attr w:name="ProductID" w:val="la Conf￩rence"/>
        </w:smartTagPr>
        <w:r w:rsidRPr="00B21575">
          <w:rPr>
            <w:lang w:val="fr-FR"/>
          </w:rPr>
          <w:t>la Conférence</w:t>
        </w:r>
      </w:smartTag>
      <w:r w:rsidRPr="00B21575">
        <w:rPr>
          <w:lang w:val="fr-FR"/>
        </w:rPr>
        <w:t xml:space="preserve"> du G 8, et à l</w:t>
      </w:r>
      <w:r w:rsidR="00277023">
        <w:rPr>
          <w:lang w:val="fr-FR"/>
        </w:rPr>
        <w:t>’</w:t>
      </w:r>
      <w:r w:rsidRPr="00B21575">
        <w:rPr>
          <w:lang w:val="fr-FR"/>
        </w:rPr>
        <w:t>occasion d</w:t>
      </w:r>
      <w:r w:rsidR="00277023">
        <w:rPr>
          <w:lang w:val="fr-FR"/>
        </w:rPr>
        <w:t>’</w:t>
      </w:r>
      <w:r w:rsidRPr="00B21575">
        <w:rPr>
          <w:lang w:val="fr-FR"/>
        </w:rPr>
        <w:t>une réunion des ministres de la justice et de l</w:t>
      </w:r>
      <w:r w:rsidR="00277023">
        <w:rPr>
          <w:lang w:val="fr-FR"/>
        </w:rPr>
        <w:t>’</w:t>
      </w:r>
      <w:r w:rsidRPr="00B21575">
        <w:rPr>
          <w:lang w:val="fr-FR"/>
        </w:rPr>
        <w:t>intérieur, les pays du G 8, y compris le Japon, ont convenu de collecter et d</w:t>
      </w:r>
      <w:r w:rsidR="00277023">
        <w:rPr>
          <w:lang w:val="fr-FR"/>
        </w:rPr>
        <w:t>’</w:t>
      </w:r>
      <w:r w:rsidRPr="00B21575">
        <w:rPr>
          <w:lang w:val="fr-FR"/>
        </w:rPr>
        <w:t>échanger des informations, de coopérer avec le secteur industriel et des ONG, et de contacter les pays ne faisant pas partie du G 8. Dans le cadre de ces actions, les services chargés de l</w:t>
      </w:r>
      <w:r w:rsidR="00277023">
        <w:rPr>
          <w:lang w:val="fr-FR"/>
        </w:rPr>
        <w:t>’</w:t>
      </w:r>
      <w:r w:rsidRPr="00B21575">
        <w:rPr>
          <w:lang w:val="fr-FR"/>
        </w:rPr>
        <w:t>application de la loi sont vivement intéressés par la création d</w:t>
      </w:r>
      <w:r w:rsidR="00277023">
        <w:rPr>
          <w:lang w:val="fr-FR"/>
        </w:rPr>
        <w:t>’</w:t>
      </w:r>
      <w:r w:rsidRPr="00B21575">
        <w:rPr>
          <w:lang w:val="fr-FR"/>
        </w:rPr>
        <w:t>une base de données internationale sur l</w:t>
      </w:r>
      <w:r w:rsidR="00277023">
        <w:rPr>
          <w:lang w:val="fr-FR"/>
        </w:rPr>
        <w:t>’</w:t>
      </w:r>
      <w:r w:rsidRPr="00B21575">
        <w:rPr>
          <w:lang w:val="fr-FR"/>
        </w:rPr>
        <w:t>exploitation sexuelle des enfants. En septembre 2005, les tâches liées à la création de la base de données ont été transférées à INTERPOL, qui représente l</w:t>
      </w:r>
      <w:r w:rsidR="00277023">
        <w:rPr>
          <w:lang w:val="fr-FR"/>
        </w:rPr>
        <w:t>’</w:t>
      </w:r>
      <w:r w:rsidRPr="00B21575">
        <w:rPr>
          <w:lang w:val="fr-FR"/>
        </w:rPr>
        <w:t>organisme central, mais le Japon entend poursuivre sa participation à cette initiative.</w:t>
      </w:r>
    </w:p>
    <w:p w:rsidR="00B21575" w:rsidRPr="00B21575" w:rsidRDefault="00B21575" w:rsidP="00B21575">
      <w:pPr>
        <w:pStyle w:val="SingleTxtG"/>
        <w:rPr>
          <w:lang w:val="fr-FR"/>
        </w:rPr>
      </w:pPr>
      <w:r w:rsidRPr="00B21575">
        <w:rPr>
          <w:lang w:val="fr-FR"/>
        </w:rPr>
        <w:t>(Campagnes d</w:t>
      </w:r>
      <w:r w:rsidR="00277023">
        <w:rPr>
          <w:lang w:val="fr-FR"/>
        </w:rPr>
        <w:t>’</w:t>
      </w:r>
      <w:r w:rsidRPr="00B21575">
        <w:rPr>
          <w:lang w:val="fr-FR"/>
        </w:rPr>
        <w:t>éducation)</w:t>
      </w:r>
    </w:p>
    <w:p w:rsidR="00B21575" w:rsidRPr="00B21575" w:rsidRDefault="00B21575" w:rsidP="00B21575">
      <w:pPr>
        <w:pStyle w:val="SingleTxtG"/>
        <w:rPr>
          <w:lang w:val="fr-FR"/>
        </w:rPr>
      </w:pPr>
      <w:r w:rsidRPr="00B21575">
        <w:rPr>
          <w:lang w:val="fr-FR"/>
        </w:rPr>
        <w:t>570.</w:t>
      </w:r>
      <w:r w:rsidRPr="00B21575">
        <w:rPr>
          <w:lang w:val="fr-FR"/>
        </w:rPr>
        <w:tab/>
        <w:t>Le Centre de promotion de l</w:t>
      </w:r>
      <w:r w:rsidR="00277023">
        <w:rPr>
          <w:lang w:val="fr-FR"/>
        </w:rPr>
        <w:t>’</w:t>
      </w:r>
      <w:r w:rsidRPr="00B21575">
        <w:rPr>
          <w:lang w:val="fr-FR"/>
        </w:rPr>
        <w:t>égalité des sexes renforce ses activités, y compris la sensibilisation sociale, en vue d</w:t>
      </w:r>
      <w:r w:rsidR="00277023">
        <w:rPr>
          <w:lang w:val="fr-FR"/>
        </w:rPr>
        <w:t>’</w:t>
      </w:r>
      <w:r w:rsidRPr="00B21575">
        <w:rPr>
          <w:lang w:val="fr-FR"/>
        </w:rPr>
        <w:t>éliminer la violence à l</w:t>
      </w:r>
      <w:r w:rsidR="00277023">
        <w:rPr>
          <w:lang w:val="fr-FR"/>
        </w:rPr>
        <w:t>’</w:t>
      </w:r>
      <w:r w:rsidRPr="00B21575">
        <w:rPr>
          <w:lang w:val="fr-FR"/>
        </w:rPr>
        <w:t>égard des femmes (en particulier violence conjugale, délits sexuels, prostitution, traite des personnes, harcèlement sexuel,</w:t>
      </w:r>
      <w:r w:rsidR="00EA1115">
        <w:rPr>
          <w:lang w:val="fr-FR"/>
        </w:rPr>
        <w:t xml:space="preserve"> </w:t>
      </w:r>
      <w:r w:rsidRPr="00B21575">
        <w:rPr>
          <w:lang w:val="fr-FR"/>
        </w:rPr>
        <w:t>harcèlement criminel), en collaboration avec les collectivités locales, des organisations privées</w:t>
      </w:r>
      <w:r w:rsidR="00EA1115">
        <w:rPr>
          <w:lang w:val="fr-FR"/>
        </w:rPr>
        <w:t xml:space="preserve"> </w:t>
      </w:r>
      <w:r w:rsidRPr="00B21575">
        <w:rPr>
          <w:lang w:val="fr-FR"/>
        </w:rPr>
        <w:t>et d</w:t>
      </w:r>
      <w:r w:rsidR="00277023">
        <w:rPr>
          <w:lang w:val="fr-FR"/>
        </w:rPr>
        <w:t>’</w:t>
      </w:r>
      <w:r w:rsidRPr="00B21575">
        <w:rPr>
          <w:lang w:val="fr-FR"/>
        </w:rPr>
        <w:t>autres organisations connexes. Chaque année, le Centre mène une campagne en faveur de l</w:t>
      </w:r>
      <w:r w:rsidR="00277023">
        <w:rPr>
          <w:lang w:val="fr-FR"/>
        </w:rPr>
        <w:t>’</w:t>
      </w:r>
      <w:r w:rsidRPr="00B21575">
        <w:rPr>
          <w:lang w:val="fr-FR"/>
        </w:rPr>
        <w:t>élimination de la violence à l</w:t>
      </w:r>
      <w:r w:rsidR="00277023">
        <w:rPr>
          <w:lang w:val="fr-FR"/>
        </w:rPr>
        <w:t>’</w:t>
      </w:r>
      <w:r w:rsidRPr="00B21575">
        <w:rPr>
          <w:lang w:val="fr-FR"/>
        </w:rPr>
        <w:t>égard des femmes pendant deux semaines, du 12 au 25 novembre (le 25 novembre étant la journée internationale pour l</w:t>
      </w:r>
      <w:r w:rsidR="00277023">
        <w:rPr>
          <w:lang w:val="fr-FR"/>
        </w:rPr>
        <w:t>’</w:t>
      </w:r>
      <w:r w:rsidRPr="00B21575">
        <w:rPr>
          <w:lang w:val="fr-FR"/>
        </w:rPr>
        <w:t>élimination de la violence à l</w:t>
      </w:r>
      <w:r w:rsidR="00277023">
        <w:rPr>
          <w:lang w:val="fr-FR"/>
        </w:rPr>
        <w:t>’</w:t>
      </w:r>
      <w:r w:rsidRPr="00B21575">
        <w:rPr>
          <w:lang w:val="fr-FR"/>
        </w:rPr>
        <w:t>égard des femmes). En étroite collaboration avec d</w:t>
      </w:r>
      <w:r w:rsidR="00277023">
        <w:rPr>
          <w:lang w:val="fr-FR"/>
        </w:rPr>
        <w:t>’</w:t>
      </w:r>
      <w:r w:rsidRPr="00B21575">
        <w:rPr>
          <w:lang w:val="fr-FR"/>
        </w:rPr>
        <w:t>autres ministères et organismes (comme le secrétariat du Cabinet, la police nationale, le Ministère de la justice, le Ministère des affaires étrangères, le Ministère de la santé, du travail et de la protection sociale), le Bureau du Cabinet a distribué dans tout le pays quelque 30.000 affiches aux collectivités locales, à la police et aux bureaux régionaux de l</w:t>
      </w:r>
      <w:r w:rsidR="00277023">
        <w:rPr>
          <w:lang w:val="fr-FR"/>
        </w:rPr>
        <w:t>’</w:t>
      </w:r>
      <w:r w:rsidRPr="00B21575">
        <w:rPr>
          <w:lang w:val="fr-FR"/>
        </w:rPr>
        <w:t>immigration.</w:t>
      </w:r>
    </w:p>
    <w:p w:rsidR="00B21575" w:rsidRPr="00B21575" w:rsidRDefault="00B21575" w:rsidP="00B21575">
      <w:pPr>
        <w:pStyle w:val="SingleTxtG"/>
        <w:rPr>
          <w:lang w:val="fr-FR"/>
        </w:rPr>
      </w:pPr>
      <w:r w:rsidRPr="00B21575">
        <w:rPr>
          <w:lang w:val="fr-FR"/>
        </w:rPr>
        <w:t>571.</w:t>
      </w:r>
      <w:r w:rsidRPr="00B21575">
        <w:rPr>
          <w:lang w:val="fr-FR"/>
        </w:rPr>
        <w:tab/>
        <w:t>Le Ministère des affaires étrangères a préparé 5.000 exemplaires d</w:t>
      </w:r>
      <w:r w:rsidR="00277023">
        <w:rPr>
          <w:lang w:val="fr-FR"/>
        </w:rPr>
        <w:t>’</w:t>
      </w:r>
      <w:r w:rsidRPr="00B21575">
        <w:rPr>
          <w:lang w:val="fr-FR"/>
        </w:rPr>
        <w:t>une brochure sur l</w:t>
      </w:r>
      <w:r w:rsidR="00277023">
        <w:rPr>
          <w:lang w:val="fr-FR"/>
        </w:rPr>
        <w:t>’</w:t>
      </w:r>
      <w:r w:rsidRPr="00B21575">
        <w:rPr>
          <w:lang w:val="fr-FR"/>
        </w:rPr>
        <w:t>action des pouvoirs publics contre la traite des personnes, et les a largement distribués lors de symposiums ou à d</w:t>
      </w:r>
      <w:r w:rsidR="00277023">
        <w:rPr>
          <w:lang w:val="fr-FR"/>
        </w:rPr>
        <w:t>’</w:t>
      </w:r>
      <w:r w:rsidRPr="00B21575">
        <w:rPr>
          <w:lang w:val="fr-FR"/>
        </w:rPr>
        <w:t xml:space="preserve">autres occasions. </w:t>
      </w:r>
    </w:p>
    <w:p w:rsidR="00B21575" w:rsidRPr="00B21575" w:rsidRDefault="00B21575" w:rsidP="00B21575">
      <w:pPr>
        <w:pStyle w:val="SingleTxtG"/>
        <w:rPr>
          <w:lang w:val="fr-FR"/>
        </w:rPr>
      </w:pPr>
      <w:r w:rsidRPr="00B21575">
        <w:rPr>
          <w:lang w:val="fr-FR"/>
        </w:rPr>
        <w:t>(Sessions de formation à l</w:t>
      </w:r>
      <w:r w:rsidR="00277023">
        <w:rPr>
          <w:lang w:val="fr-FR"/>
        </w:rPr>
        <w:t>’</w:t>
      </w:r>
      <w:r w:rsidRPr="00B21575">
        <w:rPr>
          <w:lang w:val="fr-FR"/>
        </w:rPr>
        <w:t xml:space="preserve">intention du personnel des bureaux de procureur) </w:t>
      </w:r>
    </w:p>
    <w:p w:rsidR="00B21575" w:rsidRPr="00B21575" w:rsidRDefault="00B21575" w:rsidP="00B21575">
      <w:pPr>
        <w:pStyle w:val="SingleTxtG"/>
        <w:rPr>
          <w:bCs/>
          <w:lang w:val="fr-FR"/>
        </w:rPr>
      </w:pPr>
      <w:r w:rsidRPr="00B21575">
        <w:rPr>
          <w:lang w:val="fr-FR"/>
        </w:rPr>
        <w:t>572.</w:t>
      </w:r>
      <w:r w:rsidRPr="00B21575">
        <w:rPr>
          <w:lang w:val="fr-FR"/>
        </w:rPr>
        <w:tab/>
        <w:t>Les procureurs bénéficient de divers programmes de formation selon leur degré d</w:t>
      </w:r>
      <w:r w:rsidR="00277023">
        <w:rPr>
          <w:lang w:val="fr-FR"/>
        </w:rPr>
        <w:t>’</w:t>
      </w:r>
      <w:r w:rsidRPr="00B21575">
        <w:rPr>
          <w:lang w:val="fr-FR"/>
        </w:rPr>
        <w:t>expérience, comprenant des conférences sur les questions relatives aux femmes et aux enfants</w:t>
      </w:r>
      <w:r w:rsidRPr="00B21575">
        <w:rPr>
          <w:bCs/>
          <w:lang w:val="fr-FR"/>
        </w:rPr>
        <w:t>. De même, les agents de l</w:t>
      </w:r>
      <w:r w:rsidR="00277023">
        <w:rPr>
          <w:bCs/>
          <w:lang w:val="fr-FR"/>
        </w:rPr>
        <w:t>’</w:t>
      </w:r>
      <w:r w:rsidRPr="00B21575">
        <w:rPr>
          <w:bCs/>
          <w:lang w:val="fr-FR"/>
        </w:rPr>
        <w:t>immigration suivent des cours donnés par des instructeurs externes (comme des universitaires) sur les conventions relatives aux droits de l</w:t>
      </w:r>
      <w:r w:rsidR="00277023">
        <w:rPr>
          <w:bCs/>
          <w:lang w:val="fr-FR"/>
        </w:rPr>
        <w:t>’</w:t>
      </w:r>
      <w:r w:rsidRPr="00B21575">
        <w:rPr>
          <w:bCs/>
          <w:lang w:val="fr-FR"/>
        </w:rPr>
        <w:t xml:space="preserve">homme, y compris </w:t>
      </w:r>
      <w:smartTag w:uri="urn:schemas-microsoft-com:office:smarttags" w:element="PersonName">
        <w:smartTagPr>
          <w:attr w:name="ProductID" w:val="LA CONVENTION"/>
        </w:smartTagPr>
        <w:r w:rsidRPr="00B21575">
          <w:rPr>
            <w:bCs/>
            <w:lang w:val="fr-FR"/>
          </w:rPr>
          <w:t>la Convention</w:t>
        </w:r>
      </w:smartTag>
      <w:r w:rsidRPr="00B21575">
        <w:rPr>
          <w:bCs/>
          <w:lang w:val="fr-FR"/>
        </w:rPr>
        <w:t xml:space="preserve"> relative aux droits de l</w:t>
      </w:r>
      <w:r w:rsidR="00277023">
        <w:rPr>
          <w:bCs/>
          <w:lang w:val="fr-FR"/>
        </w:rPr>
        <w:t>’</w:t>
      </w:r>
      <w:r w:rsidRPr="00B21575">
        <w:rPr>
          <w:bCs/>
          <w:lang w:val="fr-FR"/>
        </w:rPr>
        <w:t>enfant. En 2004, le programme de formation aux droits de l</w:t>
      </w:r>
      <w:r w:rsidR="00277023">
        <w:rPr>
          <w:bCs/>
          <w:lang w:val="fr-FR"/>
        </w:rPr>
        <w:t>’</w:t>
      </w:r>
      <w:r w:rsidRPr="00B21575">
        <w:rPr>
          <w:bCs/>
          <w:lang w:val="fr-FR"/>
        </w:rPr>
        <w:t>homme proposé au personnel exerçant une activité en rapport avec l</w:t>
      </w:r>
      <w:r w:rsidR="00277023">
        <w:rPr>
          <w:bCs/>
          <w:lang w:val="fr-FR"/>
        </w:rPr>
        <w:t>’</w:t>
      </w:r>
      <w:r w:rsidRPr="00B21575">
        <w:rPr>
          <w:bCs/>
          <w:lang w:val="fr-FR"/>
        </w:rPr>
        <w:t>immigration et le traitement des ressortissants étrangers était principalement axé sur les mesures de lutte contre la traite des personnes, y compris la traite des enfants de moins de 18 ans.</w:t>
      </w:r>
    </w:p>
    <w:p w:rsidR="00B21575" w:rsidRPr="00B21575" w:rsidRDefault="00B21575" w:rsidP="002B5F2D">
      <w:pPr>
        <w:pStyle w:val="SingleTxtG"/>
        <w:keepNext/>
        <w:rPr>
          <w:lang w:val="fr-FR"/>
        </w:rPr>
      </w:pPr>
      <w:r w:rsidRPr="00B21575">
        <w:rPr>
          <w:lang w:val="fr-FR"/>
        </w:rPr>
        <w:t>(Actions menées contre l</w:t>
      </w:r>
      <w:r w:rsidR="00277023">
        <w:rPr>
          <w:lang w:val="fr-FR"/>
        </w:rPr>
        <w:t>’</w:t>
      </w:r>
      <w:r w:rsidRPr="00B21575">
        <w:rPr>
          <w:lang w:val="fr-FR"/>
        </w:rPr>
        <w:t>enlèvement de ressortissants japonais par les autorités nord</w:t>
      </w:r>
      <w:r w:rsidR="002B5F2D">
        <w:rPr>
          <w:lang w:val="fr-FR"/>
        </w:rPr>
        <w:noBreakHyphen/>
      </w:r>
      <w:r w:rsidRPr="00B21575">
        <w:rPr>
          <w:lang w:val="fr-FR"/>
        </w:rPr>
        <w:t>coréennes)</w:t>
      </w:r>
    </w:p>
    <w:p w:rsidR="00B21575" w:rsidRPr="00B21575" w:rsidRDefault="00B21575" w:rsidP="00014606">
      <w:pPr>
        <w:pStyle w:val="SingleTxtG"/>
        <w:keepLines/>
        <w:rPr>
          <w:lang w:val="fr-FR"/>
        </w:rPr>
      </w:pPr>
      <w:r w:rsidRPr="00B21575">
        <w:rPr>
          <w:lang w:val="fr-FR"/>
        </w:rPr>
        <w:t>573.</w:t>
      </w:r>
      <w:r w:rsidRPr="00B21575">
        <w:rPr>
          <w:lang w:val="fr-FR"/>
        </w:rPr>
        <w:tab/>
        <w:t xml:space="preserve">Certaines victimes parmi les ressortissants japonais enlevés par </w:t>
      </w:r>
      <w:smartTag w:uri="urn:schemas-microsoft-com:office:smarttags" w:element="PersonName">
        <w:smartTagPr>
          <w:attr w:name="ProductID" w:val="la Cor￩e"/>
        </w:smartTagPr>
        <w:r w:rsidRPr="00B21575">
          <w:rPr>
            <w:lang w:val="fr-FR"/>
          </w:rPr>
          <w:t>la Corée</w:t>
        </w:r>
      </w:smartTag>
      <w:r w:rsidRPr="00B21575">
        <w:rPr>
          <w:lang w:val="fr-FR"/>
        </w:rPr>
        <w:t xml:space="preserve"> du nord étaient des enfants au moment de leur enlèvement. Afin de répondre à ce problème d</w:t>
      </w:r>
      <w:r w:rsidR="00277023">
        <w:rPr>
          <w:lang w:val="fr-FR"/>
        </w:rPr>
        <w:t>’</w:t>
      </w:r>
      <w:r w:rsidRPr="00B21575">
        <w:rPr>
          <w:lang w:val="fr-FR"/>
        </w:rPr>
        <w:t xml:space="preserve">enlèvement, le Gouvernement japonais a engagé des consultations avec </w:t>
      </w:r>
      <w:smartTag w:uri="urn:schemas-microsoft-com:office:smarttags" w:element="PersonName">
        <w:smartTagPr>
          <w:attr w:name="ProductID" w:val="la Cor￩e"/>
        </w:smartTagPr>
        <w:r w:rsidRPr="00B21575">
          <w:rPr>
            <w:lang w:val="fr-FR"/>
          </w:rPr>
          <w:t>la Corée</w:t>
        </w:r>
      </w:smartTag>
      <w:r w:rsidRPr="00B21575">
        <w:rPr>
          <w:lang w:val="fr-FR"/>
        </w:rPr>
        <w:t xml:space="preserve"> du nord et abordé cette question lors de rencontres internationales comme les entretiens à six et le G 8. En se fondant sur la reconnaissance qu</w:t>
      </w:r>
      <w:r w:rsidR="00277023">
        <w:rPr>
          <w:lang w:val="fr-FR"/>
        </w:rPr>
        <w:t>’</w:t>
      </w:r>
      <w:r w:rsidRPr="00B21575">
        <w:rPr>
          <w:lang w:val="fr-FR"/>
        </w:rPr>
        <w:t>il s</w:t>
      </w:r>
      <w:r w:rsidR="00277023">
        <w:rPr>
          <w:lang w:val="fr-FR"/>
        </w:rPr>
        <w:t>’</w:t>
      </w:r>
      <w:r w:rsidRPr="00B21575">
        <w:rPr>
          <w:lang w:val="fr-FR"/>
        </w:rPr>
        <w:t>agit d</w:t>
      </w:r>
      <w:r w:rsidR="00277023">
        <w:rPr>
          <w:lang w:val="fr-FR"/>
        </w:rPr>
        <w:t>’</w:t>
      </w:r>
      <w:r w:rsidRPr="00B21575">
        <w:rPr>
          <w:lang w:val="fr-FR"/>
        </w:rPr>
        <w:t>un problème grave qui porte directement atteinte à la sécurité et à la paix des Japonais, notamment des enfants, le Gouvernement japonais a déployé des efforts diplomatiques en tant que co-auteur de la résolution relative à la situation des droits de l</w:t>
      </w:r>
      <w:r w:rsidR="00277023">
        <w:rPr>
          <w:lang w:val="fr-FR"/>
        </w:rPr>
        <w:t>’</w:t>
      </w:r>
      <w:r w:rsidRPr="00B21575">
        <w:rPr>
          <w:lang w:val="fr-FR"/>
        </w:rPr>
        <w:t>homme en République démocratique populaire de Corée, avec l</w:t>
      </w:r>
      <w:r w:rsidR="00277023">
        <w:rPr>
          <w:lang w:val="fr-FR"/>
        </w:rPr>
        <w:t>’</w:t>
      </w:r>
      <w:r w:rsidRPr="00B21575">
        <w:rPr>
          <w:lang w:val="fr-FR"/>
        </w:rPr>
        <w:t>Union européenne et les Etats-Unis d</w:t>
      </w:r>
      <w:r w:rsidR="00277023">
        <w:rPr>
          <w:lang w:val="fr-FR"/>
        </w:rPr>
        <w:t>’</w:t>
      </w:r>
      <w:r w:rsidRPr="00B21575">
        <w:rPr>
          <w:lang w:val="fr-FR"/>
        </w:rPr>
        <w:t>Amérique. Partant, une résolution a été adoptée sur la situation des droits de l</w:t>
      </w:r>
      <w:r w:rsidR="00277023">
        <w:rPr>
          <w:lang w:val="fr-FR"/>
        </w:rPr>
        <w:t>’</w:t>
      </w:r>
      <w:r w:rsidRPr="00B21575">
        <w:rPr>
          <w:lang w:val="fr-FR"/>
        </w:rPr>
        <w:t>homme en Corée du nord en 2003, lors de la 59</w:t>
      </w:r>
      <w:r w:rsidRPr="00B21575">
        <w:rPr>
          <w:vertAlign w:val="superscript"/>
          <w:lang w:val="fr-FR"/>
        </w:rPr>
        <w:t>e</w:t>
      </w:r>
      <w:r w:rsidRPr="00B21575">
        <w:rPr>
          <w:lang w:val="fr-FR"/>
        </w:rPr>
        <w:t xml:space="preserve"> session de </w:t>
      </w:r>
      <w:smartTag w:uri="urn:schemas-microsoft-com:office:smarttags" w:element="PersonName">
        <w:smartTagPr>
          <w:attr w:name="ProductID" w:val="la Commission"/>
        </w:smartTagPr>
        <w:r w:rsidRPr="00B21575">
          <w:rPr>
            <w:lang w:val="fr-FR"/>
          </w:rPr>
          <w:t>la Commission</w:t>
        </w:r>
      </w:smartTag>
      <w:r w:rsidRPr="00B21575">
        <w:rPr>
          <w:lang w:val="fr-FR"/>
        </w:rPr>
        <w:t xml:space="preserve"> des droits de l</w:t>
      </w:r>
      <w:r w:rsidR="00277023">
        <w:rPr>
          <w:lang w:val="fr-FR"/>
        </w:rPr>
        <w:t>’</w:t>
      </w:r>
      <w:r w:rsidRPr="00B21575">
        <w:rPr>
          <w:lang w:val="fr-FR"/>
        </w:rPr>
        <w:t>homme. En décembre 2005, l</w:t>
      </w:r>
      <w:r w:rsidR="00277023">
        <w:rPr>
          <w:lang w:val="fr-FR"/>
        </w:rPr>
        <w:t>’</w:t>
      </w:r>
      <w:r w:rsidRPr="00B21575">
        <w:rPr>
          <w:lang w:val="fr-FR"/>
        </w:rPr>
        <w:t>Assemblée générale des Nations Unies a adopté pour la première fois une résolution sur la situation des droits de l</w:t>
      </w:r>
      <w:r w:rsidR="00277023">
        <w:rPr>
          <w:lang w:val="fr-FR"/>
        </w:rPr>
        <w:t>’</w:t>
      </w:r>
      <w:r w:rsidRPr="00B21575">
        <w:rPr>
          <w:lang w:val="fr-FR"/>
        </w:rPr>
        <w:t>homme en République démocratique populaire de Corée, exprimant sa vive préoccupation à cet égard, y compris sur l</w:t>
      </w:r>
      <w:r w:rsidR="00277023">
        <w:rPr>
          <w:lang w:val="fr-FR"/>
        </w:rPr>
        <w:t>’</w:t>
      </w:r>
      <w:r w:rsidRPr="00B21575">
        <w:rPr>
          <w:lang w:val="fr-FR"/>
        </w:rPr>
        <w:t>enlèvement et la séquestration d</w:t>
      </w:r>
      <w:r w:rsidR="00277023">
        <w:rPr>
          <w:lang w:val="fr-FR"/>
        </w:rPr>
        <w:t>’</w:t>
      </w:r>
      <w:r w:rsidRPr="00B21575">
        <w:rPr>
          <w:lang w:val="fr-FR"/>
        </w:rPr>
        <w:t xml:space="preserve">étrangers. Elle prie instamment </w:t>
      </w:r>
      <w:smartTag w:uri="urn:schemas-microsoft-com:office:smarttags" w:element="PersonName">
        <w:smartTagPr>
          <w:attr w:name="ProductID" w:val="la Cor￩e"/>
        </w:smartTagPr>
        <w:r w:rsidRPr="00B21575">
          <w:rPr>
            <w:lang w:val="fr-FR"/>
          </w:rPr>
          <w:t>la Corée</w:t>
        </w:r>
      </w:smartTag>
      <w:r w:rsidRPr="00B21575">
        <w:rPr>
          <w:lang w:val="fr-FR"/>
        </w:rPr>
        <w:t xml:space="preserve"> du nord d</w:t>
      </w:r>
      <w:r w:rsidR="00277023">
        <w:rPr>
          <w:lang w:val="fr-FR"/>
        </w:rPr>
        <w:t>’</w:t>
      </w:r>
      <w:r w:rsidRPr="00B21575">
        <w:rPr>
          <w:lang w:val="fr-FR"/>
        </w:rPr>
        <w:t xml:space="preserve">appliquer pleinement les mesures énoncées dans les résolutions de </w:t>
      </w:r>
      <w:smartTag w:uri="urn:schemas-microsoft-com:office:smarttags" w:element="PersonName">
        <w:smartTagPr>
          <w:attr w:name="ProductID" w:val="la Commission"/>
        </w:smartTagPr>
        <w:r w:rsidRPr="00B21575">
          <w:rPr>
            <w:lang w:val="fr-FR"/>
          </w:rPr>
          <w:t>la Commission</w:t>
        </w:r>
      </w:smartTag>
      <w:r w:rsidRPr="00B21575">
        <w:rPr>
          <w:lang w:val="fr-FR"/>
        </w:rPr>
        <w:t xml:space="preserve"> des droits de l</w:t>
      </w:r>
      <w:r w:rsidR="00277023">
        <w:rPr>
          <w:lang w:val="fr-FR"/>
        </w:rPr>
        <w:t>’</w:t>
      </w:r>
      <w:r w:rsidRPr="00B21575">
        <w:rPr>
          <w:lang w:val="fr-FR"/>
        </w:rPr>
        <w:t>homme, qui demandent fermement une réponse aux préoccupations relatives à la situation des droits de l</w:t>
      </w:r>
      <w:r w:rsidR="00277023">
        <w:rPr>
          <w:lang w:val="fr-FR"/>
        </w:rPr>
        <w:t>’</w:t>
      </w:r>
      <w:r w:rsidRPr="00B21575">
        <w:rPr>
          <w:lang w:val="fr-FR"/>
        </w:rPr>
        <w:t>homme, notamment par une solution claire, transparente et urgente à toutes les questions en suspens ayant trait à l</w:t>
      </w:r>
      <w:r w:rsidR="00277023">
        <w:rPr>
          <w:lang w:val="fr-FR"/>
        </w:rPr>
        <w:t>’</w:t>
      </w:r>
      <w:r w:rsidRPr="00B21575">
        <w:rPr>
          <w:lang w:val="fr-FR"/>
        </w:rPr>
        <w:t>enlèvement d</w:t>
      </w:r>
      <w:r w:rsidR="00277023">
        <w:rPr>
          <w:lang w:val="fr-FR"/>
        </w:rPr>
        <w:t>’</w:t>
      </w:r>
      <w:r w:rsidRPr="00B21575">
        <w:rPr>
          <w:lang w:val="fr-FR"/>
        </w:rPr>
        <w:t xml:space="preserve">étrangers sous la forme de disparitions forcées, y compris en assurant le retour immédiat des personnes enlevées. A cet égard, la résolution demande instamment à </w:t>
      </w:r>
      <w:smartTag w:uri="urn:schemas-microsoft-com:office:smarttags" w:element="PersonName">
        <w:smartTagPr>
          <w:attr w:name="ProductID" w:val="la Cor￩e"/>
        </w:smartTagPr>
        <w:r w:rsidRPr="00B21575">
          <w:rPr>
            <w:lang w:val="fr-FR"/>
          </w:rPr>
          <w:t>la Corée</w:t>
        </w:r>
      </w:smartTag>
      <w:r w:rsidRPr="00B21575">
        <w:rPr>
          <w:lang w:val="fr-FR"/>
        </w:rPr>
        <w:t xml:space="preserve"> du nord de coopérer pleinement avec les organismes des Nations Unies. Le Gouvernement japonais a poursuivi sans relâche ses efforts diplomatiques pour prévenir les enlèvements d</w:t>
      </w:r>
      <w:r w:rsidR="00277023">
        <w:rPr>
          <w:lang w:val="fr-FR"/>
        </w:rPr>
        <w:t>’</w:t>
      </w:r>
      <w:r w:rsidRPr="00B21575">
        <w:rPr>
          <w:lang w:val="fr-FR"/>
        </w:rPr>
        <w:t>enfants et résoudre les problèmes subsistants.</w:t>
      </w:r>
    </w:p>
    <w:p w:rsidR="00B21575" w:rsidRPr="00B21575" w:rsidRDefault="00B21575" w:rsidP="00B21575">
      <w:pPr>
        <w:pStyle w:val="SingleTxtG"/>
        <w:rPr>
          <w:bCs/>
          <w:iCs/>
          <w:lang w:val="fr-FR"/>
        </w:rPr>
      </w:pPr>
      <w:r w:rsidRPr="00B21575">
        <w:rPr>
          <w:lang w:val="fr-FR"/>
        </w:rPr>
        <w:t>(Accords bilatéraux, multilatéraux ou internationaux interdisant l</w:t>
      </w:r>
      <w:r w:rsidR="00277023">
        <w:rPr>
          <w:lang w:val="fr-FR"/>
        </w:rPr>
        <w:t>’</w:t>
      </w:r>
      <w:r w:rsidRPr="00B21575">
        <w:rPr>
          <w:lang w:val="fr-FR"/>
        </w:rPr>
        <w:t>achat ou la vente d</w:t>
      </w:r>
      <w:r w:rsidR="00277023">
        <w:rPr>
          <w:lang w:val="fr-FR"/>
        </w:rPr>
        <w:t>’</w:t>
      </w:r>
      <w:r w:rsidRPr="00B21575">
        <w:rPr>
          <w:lang w:val="fr-FR"/>
        </w:rPr>
        <w:t>enfants</w:t>
      </w:r>
      <w:r w:rsidRPr="00B21575">
        <w:rPr>
          <w:bCs/>
          <w:iCs/>
          <w:lang w:val="fr-FR"/>
        </w:rPr>
        <w:t xml:space="preserve">) </w:t>
      </w:r>
    </w:p>
    <w:p w:rsidR="00B21575" w:rsidRPr="00B21575" w:rsidRDefault="00B21575" w:rsidP="00B21575">
      <w:pPr>
        <w:pStyle w:val="SingleTxtG"/>
        <w:rPr>
          <w:lang w:val="fr-FR"/>
        </w:rPr>
      </w:pPr>
      <w:r w:rsidRPr="00B21575">
        <w:rPr>
          <w:lang w:val="fr-FR"/>
        </w:rPr>
        <w:t>574.</w:t>
      </w:r>
      <w:r w:rsidRPr="00B21575">
        <w:rPr>
          <w:lang w:val="fr-FR"/>
        </w:rPr>
        <w:tab/>
        <w:t xml:space="preserve">Voir paragraphe 501 du deuxième rapport du Japon. </w:t>
      </w:r>
    </w:p>
    <w:p w:rsidR="00B21575" w:rsidRPr="00B21575" w:rsidRDefault="00B21575" w:rsidP="00B21575">
      <w:pPr>
        <w:pStyle w:val="SingleTxtG"/>
        <w:rPr>
          <w:b/>
          <w:bCs/>
          <w:lang w:val="fr-FR"/>
        </w:rPr>
      </w:pPr>
      <w:r w:rsidRPr="00B21575">
        <w:rPr>
          <w:lang w:val="fr-FR"/>
        </w:rPr>
        <w:t>575.</w:t>
      </w:r>
      <w:r w:rsidRPr="00B21575">
        <w:rPr>
          <w:lang w:val="fr-FR"/>
        </w:rPr>
        <w:tab/>
        <w:t xml:space="preserve">En tant que suite donnée au rapport, la signature du Protocole facultatif à </w:t>
      </w:r>
      <w:smartTag w:uri="urn:schemas-microsoft-com:office:smarttags" w:element="PersonName">
        <w:smartTagPr>
          <w:attr w:name="ProductID" w:val="LA CONVENTION"/>
        </w:smartTagPr>
        <w:r w:rsidRPr="00B21575">
          <w:rPr>
            <w:lang w:val="fr-FR"/>
          </w:rPr>
          <w:t>la Convention</w:t>
        </w:r>
      </w:smartTag>
      <w:r w:rsidRPr="00B21575">
        <w:rPr>
          <w:lang w:val="fr-FR"/>
        </w:rPr>
        <w:t xml:space="preserve"> relative aux droits de l</w:t>
      </w:r>
      <w:r w:rsidR="00277023">
        <w:rPr>
          <w:lang w:val="fr-FR"/>
        </w:rPr>
        <w:t>’</w:t>
      </w:r>
      <w:r w:rsidRPr="00B21575">
        <w:rPr>
          <w:lang w:val="fr-FR"/>
        </w:rPr>
        <w:t>enfant, concernant la vente d</w:t>
      </w:r>
      <w:r w:rsidR="00277023">
        <w:rPr>
          <w:lang w:val="fr-FR"/>
        </w:rPr>
        <w:t>’</w:t>
      </w:r>
      <w:r w:rsidRPr="00B21575">
        <w:rPr>
          <w:lang w:val="fr-FR"/>
        </w:rPr>
        <w:t xml:space="preserve">enfants, la prostitution des enfants et la pornographie mettant en scène des enfants a été approuvée par </w:t>
      </w:r>
      <w:smartTag w:uri="urn:schemas-microsoft-com:office:smarttags" w:element="PersonName">
        <w:smartTagPr>
          <w:attr w:name="ProductID" w:val="la Di￨te"/>
        </w:smartTagPr>
        <w:r w:rsidRPr="00B21575">
          <w:rPr>
            <w:lang w:val="fr-FR"/>
          </w:rPr>
          <w:t>la Diète</w:t>
        </w:r>
      </w:smartTag>
      <w:r w:rsidRPr="00B21575">
        <w:rPr>
          <w:lang w:val="fr-FR"/>
        </w:rPr>
        <w:t xml:space="preserve"> le 21 avril 2004. Le Protocole a été ratifié le 24 janvier 2005 et a pris effet le 24 février de la même année. Le 8 juin 2005, la signature du Protocole additionnel à </w:t>
      </w:r>
      <w:smartTag w:uri="urn:schemas-microsoft-com:office:smarttags" w:element="PersonName">
        <w:smartTagPr>
          <w:attr w:name="ProductID" w:val="LA CONVENTION"/>
        </w:smartTagPr>
        <w:r w:rsidRPr="00B21575">
          <w:rPr>
            <w:lang w:val="fr-FR"/>
          </w:rPr>
          <w:t>la Convention</w:t>
        </w:r>
      </w:smartTag>
      <w:r w:rsidRPr="00B21575">
        <w:rPr>
          <w:lang w:val="fr-FR"/>
        </w:rPr>
        <w:t xml:space="preserve"> des Nations Unies contre la criminalité transnationale organisée, visant à prévenir, réprimer et punir la traite des personnes, en particulier des femmes et des enfants a été approuvée par </w:t>
      </w:r>
      <w:smartTag w:uri="urn:schemas-microsoft-com:office:smarttags" w:element="PersonName">
        <w:smartTagPr>
          <w:attr w:name="ProductID" w:val="჆幰჆䅳蠀玼ჹ庘჆㮀჻䅳蠀㷔᪑欘჆某჆䅳蠀௼᪒凐᪔柸჆䅳蠀慤ჿꐨ᪉撰჆䅳蠀씔ლ愘჆憐჆䅳言&#10;la MDMA. S䅳蠀숤ჺ戈჆懠჆䅳蠀쏴ლﯠნ慀჆䅳蠀싔ლ慀჆恸჆䅳蠀쌜ლ惰჆愘჆䅳蠀쎬ლ憐჆媈჆䅳蠀쓌ლ恸჆慨჆䅳蠀ⴔჺØჼｰ჻䅳蠀썄ჺ惈჆뽠ჼ䅳蠀셌ჺ暐჆惈჆䅳蠀బჺ嬨჆퀘჻䅳蠀瑌ჹఠჹસჹ䅳蠀囄ჾȠჾ¸ჾ䅳蠀叄᪑坰᪓嚨᪓䅳蠀왴᪈螘᪋薸᪋䅳蠀쩼᪌㋘᪌ㄠ᪌䅳蠀胜ჵ揀჆搸჆䅳蠀饴᪈䴘᪋䭠᪋䅳蠀㼬᪈ퟀ᪊혈᪊䅳蠀羼ჵﱐჷ揨჆䅳蠀纜ჵ揨჆挠჆䅳蠀绤ჵ掘჆揀჆䅳蠀罴ჵ搸჆徰჆䅳蠀肔ჵ挠჆搐჆䅳蠀憬ჿ奸ᄁ埨ᄁ䅳蠀㿌᪑某჆㝨᪓䅳蠀愜ჿ恐჆ꋀ᪉䅳蠀혬ჾꥠᄀꞨᄀ䅳蠀僴᪑占᪓劘᪓䅳蠀髜᪒洠჆毠჆䅳蠀ꌌ᪍䰨᪏䩰᪏䅳蠀⌄᪎煠᪐濐᪐䅳蠀싼ჺ晀჆暸჆䅳蠀䵼᪎ꠐ᪐Ꚁ᪐䅳蠀剄᪎글᪐괸᪐䅳蠀쇜ჺ숈ჼ晨჆䅳蠀삼ჺ晨჆斠჆䅳蠀섄ჺ昘჆晀჆䅳蠀솔ჺ暸჆戈჆䅳蠀슴ჺ斠჆暐჆䅳蠀坔᪎둀᪐델᪐䅳蠀狤᪎퓨᪐퐠᪐䅳蠀祜᪎᪐᪐䅳蠀翔᪎᪐᪐䅳蠀Μ᪑᪐᪐䅳蠀ე᪑אּ᪐難᪐䅳蠀㺬᪑怀჆撈჆䅳蠀೔᪒怨჆殐჆䅳踀la Cor￩e슅䅳蠀關᪑둀᪓덐᪓䅳蠀ꆬ᪑쐈᪓싰᪓䅳蠀跼᪑ꤨ᪓ꡠ᪓䅳蠀蟌᪑ꀘ᪓齐᪓䅳蠀粌᪑遐᪓辈᪓䅳蠀濤᪑绸᪓縈᪓䅳蠀搔᪑湨᪓浐᪓䅳蠀峄᪑搘᪓捐᪓䅳蠀迤᪒Ψ᪕ʐ᪕䅳耀̶ᴰ෦&#10;la Chambre䅳蠀쒌᪑᪓᪓䅳蠀키᪑Ϙ᪔̐᪔䅳蠀㾄᪑櫈჆歀჆䅳蠀᪑᫸᪔ᨰ᪔䅳蠀᪑㭸᪔㪈᪔䅳蠀㹤᪑㨸᪓櫰჆䅳蠀㵄᪑櫰჆樨჆䅳蠀㶌᪑檠჆櫈჆䅳蠀㸜᪑歀჆怀჆䅳蠀㼼᪑樨჆欘჆䅳蠀t᪒䙀᪔䕸᪔䅳蠀ಌ᪒柸჆傐᪔䅳蠀ୄZ渐჆灀჆䅳蠀飤᪒攨჆ᇠҷ䅳蠀ॴ᪒嘈᪔啀᪔䅳蠀ᨌ᪒槠᪔棈᪔䅳蠀⬴᪒胠᪔羘᪔䅳蠀㘬᪒辐᪔蹐᪔䅳蠀䱤᪒괘᪔가᪔䅳蠀綜᪒᪔᪔䅳蠀ݠ[濰჆ࡘ᪕䅳蠀騄᪒煘჆攨჆䅳耀С䌯尺䅳言&#10;la Chambre䅳蠀볘൵뙈൵배൵뮈൵䅳谀ap la Policep䅳蠀鮴᪒珘჆灨჆䅳蠀⎘Ǝᇠҷ殸჆䅳踀la MDMA. S䅳耀̬:\Users\Aline䅳蠀렴ෙ璠჆琀჆䅳言ᰠ෦&#10;la Loi. En䅳耀Ε൵뤀൵묐൵똀൵䅳耀ʇ宜皸 la Charteᵰ෦䅳耀ή䅳蠀鱄᪒畨჆燐჆䅳蠀眦IOHಜ땀൵䅳踀1,000 kgel䅳蠀諔᪒︰᪔瀘჆䅳蠀Ҳ灀჆泸჆䅳蠀觼᪒濈჆멸(䅳蠀Ҳ殸჆濰჆䅳蠀铴᪒淨჆狀჆䅳踀2,500 kgre䅳踀1,500 kgEn䅳蠀믐൵똘൵䅳谀呓䵒 la Charte뒴䅳蠀謜᪒猐჆燸჆䅳蠀驌᪒燸჆洠჆䅳蠀묨൵䅳蠀움Ɣ版჆犘჆䅳蠀鴜᪒潐჆猸჆䅳蠀饴᪒焰჆煘჆䅳耀ϴミ댰(൶鑀᪒䅳蠀呸ଘ畠睅熨჆䅳谀Ʋ ProductID䅳蠀웘Ɣ熨჆癘჆䅳蠀ଫ灨჆璠჆䅳耀ς䅳蠀骔᪒獠჆焰჆䅳蠀鳔᪒燐჆珘჆䅳蠀馼᪒现჆猐჆䅳耀˺䅳蠀餬᪒琀჆獠჆䅳蠀鶬᪒猸჆淨჆䅳蠀颜᪒溈჆现჆䅳踀la Di￨te䅳蠀붘൵䅳蠀돀൵䅳蠀鰜!狀჆溈჆䅳谀鮘!몘ﻜ돈䈉㕡鲬䅳蠀땘൵饸෫봸൵싨ଉ䅳耀Ϲミ댰(ᒬҷ针᪒䅳耀Ѓミ댰(붜൵阸᪒䅳蠀顔᪒疸჆潐჆䅳耀Ѝミ댰(&#10;묬൵锘᪒䅳蠀鷴᪒瘈჆畨჆䅳耀Цミ댰(밴൵霐᪒䅳蠀鲌᪒癘჆疸჆䅳蠀C:\sers밴൵霐᪒䅳蠀鯼᪒犘჆瘈჆䅳耀̝:\Users\Public䅳耀Ы䅳耀а䅳耀е䅳耀к䅳耀п䅳耀ф䅳耀щ䅳耀ю䅳耀ѓ䅳耀ј䅳耀ѝ䅳耀Ѣ䅳耀ѧ䅳耀Ѭ䅳耀ѱ䅳耀Ѷ䅳耀ѻ䅳耀Ҁ䅳耀҅䅳耀Ҋ䅳耀ҏ䅳耀Ҕ䅳耀ҙ䅳耀Ҟ䅳耀ң䅳耀Ҩ䅳耀ҭ䅳耀Ҳ䅳耀ҷ䅳耀Ҽ䅳耀Ӂ䅳耀ӆ䅳耀Ӌ䅳耀Ӑ䅳耀ӕ䅳耀Ӛ䅳耀ӟ䅳耀Ӥ䅳耀ө䅳耀Ӯ䅳耀ӳ䅳耀Ӹ䅳耀ӽ䅳耀Ԃ䅳耀ԇ䅳耀Ԍ䅳耀ԑ䅳耀Ԗ䅳耀ԛ䅳耀Ԡ䅳耀ԥ䅳耀Ԫ䅳耀ԯ䅳耀Դ䅳耀Թ䅳耀Ծ䅳耀Ճ䅳耀Ո䅳耀Ս䅳耀ՒÁ8ဆ8ဆ䅳耀耀՗ｓ䅳耀՜～䅳耀աｙ䅳耀զｄ䅳耀իｏ䅳耀հｊ䅳耀յｵ䅳耀պｰ䅳耀տｻ䅳耀քｦ䅳耀։｡䅳耀֎ｬ䅳耀֓７䅳耀֘２䅳耀֝＝䅳耀֢８䅳耀֧＃䅳耀֬．䅳耀ֱ）䅳耀ֶＴ䅳耀ֻ＿䅳耀׀Ｚ䅳耀ׅＥ䅳耀׊＠䅳耀׏Ｋ䅳耀הￖ䅳耀י￑䅳耀מￜ䅳耀ףￇ䅳耀רￂ䅳耀׭ￍ䅳耀ײ￈䅳耀׷￳䅳耀׼䅳耀؁￹䅳耀؆￤䅳耀؋￯䅳耀ؐ￪䅳耀ؕﾕ䅳耀ؚﾐ䅳耀؟ﾛ䅳耀ؤﾆ䅳耀ةﾁ䅳耀خﾌ䅳耀سﾷ䅳耀ظﾲ䅳耀ؽﾽ䅳耀قﾸ䅳耀هﾣ䅳耀ٌﾮ䅳耀ّﾩ䅳耀ٖ﹔䅳耀ٛ﹟䅳耀٠﹚䅳耀٥﹅䅳耀٪﹀䅳耀ٯ﹋䅳耀ٴﹶ䅳耀ٹﹱ䅳耀پﹼ䅳耀ڃ﹧䅳耀ڈ﹢䅳耀ڍ﹭䅳耀ڒ﹨䅳耀ڗ︓䅳耀ڜ︞䅳耀ڡ︙䅳耀ڦ︄䅳耀ګ️䅳耀ڰ︊䅳耀ڵ︵䅳耀ں︰䅳耀ڿ︻䅳耀ۄ︦䅳耀ۉ︡䅳耀ێ︬䅳耀ۓﻗ䅳耀ۘﻒ䅳耀۝ﻝ䅳耀ۢﻘ䅳耀ۧﻃ䅳耀۬ﻎ䅳耀۱ﻉ䅳耀۶ﻴ䅳耀ۻ﻿䅳耀܀ﻺ䅳耀܅ﻥ䅳耀܊ﻠ䅳耀܏ﻫ䅳耀ܔﺖ䅳耀ܙﺑ䅳耀ܞﺜ䅳耀ܣﺇ䅳耀ܨﺂ䅳耀ܭﺍ䅳耀ܲﺈ䅳耀ܷﺳ䅳耀ܼﺾ䅳耀݁ﺹ䅳耀݆ﺤ䅳耀݋ﺯ䅳耀ݐﺪ䅳耀ݕﵕ䅳耀ݚﵐ䅳耀ݟﵛ䅳耀ݤ﵆䅳耀ݩ﵁䅳耀ݮ﵌䅳耀ݳﵷ䅳耀ݸﵲ䅳耀ݽﵽ䅳耀ނﵸ䅳耀އﵣ䅳耀ތﵮ䅳耀ޑﵩ䅳耀ޖﴔ䅳耀ޛﴟ䅳耀ޠﴚ䅳耀ޥﴅ䅳耀ުﴀ䅳耀ޯﴋ䅳耀޴ﴶ䅳耀޹ﴱ䅳耀޾ﴼ䅳耀߃ﴧ䅳耀߈ﴢ䅳耀ߍﴭ䅳耀ߒﴨ䅳耀ߗ﷓䅳耀ߜ﷞䅳耀ߡ﷙䅳耀ߦﷄ䅳耀߫﷏䅳耀߰﷊䅳耀ߵﷵ䅳耀ߺﷰ䅳耀߿ﷻ䅳耀ࠄ﷦䅳耀ࠉ﷡䅳耀ࠎ﷬䅳耀ࠓﶗ䅳耀࠘ﶒ䅳耀ࠝﶝ䅳耀ࠢﶘ䅳耀ࠧﶃ䅳耀ࠬﶎ䅳耀࠱ﶉ䅳耀࠶ﶴ䅳耀࠻ﶿ䅳耀ࡀﶺ䅳耀ࡅﶥ䅳耀ࡊﶠ䅳耀ࡏﶫ䅳耀ࡔﱖ䅳耀࡙ﱑ䅳耀࡞ﱜ䅳耀ࡣﱇ䅳耀ࡨﱂ䅳耀࡭ﱍ䅳耀ࡲﱈ䅳耀ࡷﱳ䅳耀ࡼﱾ䅳耀ࢁﱹ䅳耀ࢆﱤ䅳耀ࢋﱯ䅳耀࢐ﱪ䅳耀࢕ﰕ䅳耀࢚ﰐ䅳耀࢟ﰛ䅳耀ࢤﰆ䅳耀ࢩﰁ䅳耀ࢮﰌ䅳耀ࢳﰷ䅳耀ࢸﰲ䅳耀ࢽﰽ䅳耀ࣂﰸ䅳耀ࣇﰣ䅳耀࣌ﰮ䅳耀࣑ﰩ䅳耀ࣖﳔ䅳耀ࣛﳟ䅳耀࣠ﳚ䅳耀ࣥﳅ䅳耀࣪ﳀ䅳耀࣯ﳋ䅳耀ࣴﳶ䅳耀ࣹﳱ䅳耀ࣾﳼ䅳耀ःﳧ䅳耀ईﳢ䅳耀ऍﳭ䅳耀ऒﳨ䅳耀गﲓ䅳耀जﲞ䅳耀डﲙ䅳耀दﲄ䅳耀फﲏ䅳耀रﲊ䅳耀वﲵ䅳耀ऺﲰ䅳耀िﲻ䅳耀ॄﲦ䅳耀ॉﲡ䅳耀ॎﲬ䅳耀॓ﭗ䅳耀क़ﭒ䅳耀ढ़ﭝ䅳耀ॢﭘ䅳耀१ףּ䅳耀६פֿ䅳耀ॱשּ䅳耀ॶﭴ䅳耀ॻﭿ䅳耀ঀﭺ䅳耀অﭥ䅳耀ঊﭠ䅳耀এﭫ䅳耀ঔﬖ䅳耀ঙ﬑䅳耀ঞ﬜䅳耀ণ﬇䅳耀নﬂ䅳耀ভ﬍䅳耀ল﬈䅳耀ষדּ䅳耀়מּ䅳耀ুיּ䅳耀৆ﬤ䅳耀োאָ䅳耀৐שׁ䅳耀৕ﯕ䅳耀৚﯐䅳耀য়ﯛ䅳耀৤﯆䅳耀৩﯁䅳耀৮﯌䅳耀৳ﯷ䅳耀৸ﯲ䅳耀৽ﯽ䅳耀ਂﯸ䅳耀ਇﯣ䅳耀਌ﯮ䅳耀਑ﯩ䅳耀ਖﮔ䅳耀ਛﮟ䅳耀ਠﮚ䅳耀ਥﮅ䅳耀ਪﮀ䅳耀ਯﮋ䅳耀਴﮶䅳耀ਹﮱ䅳耀ਾ﮼䅳耀੃ﮧ䅳耀ੈﮢ䅳耀੍ﮭ䅳耀੒ﮨ䅳耀੗禎䅳耀ੜ艹䅳耀੡繁䅳耀੦梅䅳耀੫祐䅳耀ੰ琢䅳耀ੵ冀䅳耀੺並䅳耀੿嗢䅳耀઄辶䅳耀ઉ視䅳耀઎𤋮䅳耀ઓ益䅳耀ઘ晴䅳耀ઝ精䅳耀ઢ礼䅳耀ધ糖䅳耀બ﨎䅳耀઱降䅳耀શ勤䅳耀઻憎䅳耀ી墨䅳耀ૅ逸䅳耀૊蘒䅳耀૏飼䅳耀૔𥳐䅳耀૙𣏕䅳耀૞﫜䅳耀ૣ難䅳耀૨輸䅳耀૭鬒䅳耀૲靖䅳耀૷﫳䅳耀ૼ﫾䅳耀ଁ﫹䅳耀ଆ﫤䅳耀ଋ﫯䅳耀ଐ﫪䅳耀କ歹䅳耀ଚ敖䅳耀ଟ瀞䅳耀ତ惘䅳耀଩嬨䅳耀ମ戴䅳耀ଳ覆䅳耀ସ者䅳耀ଽ諾䅳耀ୂ視䅳耀େ画䅳耀ୌ类䅳耀୑睊䅳耀ୖ凜䅳耀୛寧䅳耀ୠ讀䅳耀୥聾䅳耀୪鹿䅳耀୯屢䅳耀୴略䅳耀୹辰䅳耀୾良䅳耀ஃ不䅳耀ஈ異䅳耀஍省䅳耀ஒ泌䅳耀஗邏䅳耀ஜ爛䅳耀஡酪䅳耀஦滑䅳耀஫羅䅳耀ர金䅳耀வ蘆䅳耀஺擄䅳耀ி碌䅳耀௄臘䅳耀௉嵐䅳耀௎郎䅳耀௓輪䅳耀௘戮䅳耀௝利䅳耀௢律䅳耀௧遼䅳耀௬硫䅳耀௱柳䅳耀௶林䅳耀௻刺䅳耀ఀ狀䅳耀అ痢䅳耀ఊ易䅳耀ఏ匿䅳耀ఔ練䅳耀ఙ撚䅳耀ఞ列䅳耀ణ驪䅳耀న廬䅳耀భ轢䅳耀ల麗䅳耀ష靈䅳耀఼料䅳耀ు惡䅳耀ె捻䅳耀ో羚䅳耀౐寧䅳耀ౕ䅳耀ౚ䅳耀౟䅳耀౤䅳耀౩䅳耀౮䅳耀౳䅳耀౸䅳耀౽䅳耀ಂ䅳耀ಇ䅳耀ಌ䅳耀಑䅳耀ಖ䅳耀ಛ䅳耀ಠ䅳耀ಥ䅳耀ಪ䅳耀ಯ䅳耀಴䅳耀ಹ䅳耀ಾ䅳耀ೃ䅳耀ೈ䅳耀್䅳耀೒䅳耀೗䅳耀೜䅳耀ೡ䅳耀೦䅳耀೫䅳耀೰䅳耀೵䅳耀೺䅳耀೿䅳耀ഄ䅳耀ഉ䅳耀എ䅳耀ഓ䅳耀ഘ䅳耀ഝ䅳耀ഢ䅳耀ധ䅳耀ബ䅳耀റ䅳耀ശ䅳耀഻䅳耀ീ䅳耀൅䅳耀ൊ䅳耀൏䅳耀ൔ䅳耀൙䅳耀൞䅳耀ൣ䅳耀൨䅳耀൭䅳耀൲䅳耀൷䅳耀ർ䅳耀ඁ䅳耀ආ䅳耀උ䅳耀ඐ䅳耀ඕ䅳耀ක䅳耀ඟ䅳耀ඤ䅳耀ඩ䅳耀ථ䅳耀ඳ䅳耀ම䅳耀ල䅳耀ෂ䅳耀෇䅳耀෌䅳耀ෑ䅳耀ූ䅳耀ෛ䅳耀෠䅳耀෥䅳耀෪䅳耀෯䅳耀෴䅳耀෹䅳耀෾䅳耀ฃ䅳耀จ䅳耀ญ䅳耀ฒ䅳耀ท䅳耀ผ䅳耀ม䅳耀ฦ䅳耀ห䅳耀ะ䅳耀ี䅳耀ฺ䅳耀฿䅳耀ไ䅳耀้䅳耀๎䅳耀๓䅳耀๘䅳耀๝䅳耀๢䅳耀๧䅳耀๬䅳耀๱䅳耀๶䅳耀๻䅳耀຀䅳耀຅䅳耀ຊ䅳耀ຏ䅳耀ດ䅳耀ນ䅳耀ພ䅳耀ຣ䅳耀ຨ䅳耀ອ䅳耀າ䅳耀ື䅳耀ຼ䅳耀ແ䅳耀ໆ䅳耀໋䅳耀໐䅳耀໕䅳耀໚䅳耀ໟ䅳耀໤䅳耀໩䅳耀໮䅳耀໳䅳耀໸䅳耀໽䅳耀༂䅳耀༇䅳耀༌䅳耀༑䅳耀༖䅳耀༛䅳耀༠䅳耀༥䅳耀༪䅳耀༯䅳耀༴䅳耀༹䅳耀༾䅳耀གྷ䅳耀཈䅳耀ཌྷ䅳耀དྷ䅳耀བྷ䅳耀ཛྷ䅳耀ཡ䅳耀ས䅳耀ཫ䅳耀཰䅳耀ཱུ䅳耀ེ䅳耀ཿ䅳耀྄䅳耀ྉ䅳耀ྎ䅳耀ྒྷ䅳耀྘䅳耀ྜྷ䅳耀ྡྷ䅳耀ྦྷ䅳耀ྫྷ䅳耀ྱ䅳耀ྶ䅳耀ྻ䅳耀࿀䅳耀࿅䅳耀࿊䅳耀࿏䅳耀࿔䅳耀࿙䅳耀࿞䅳耀࿣䅳耀࿨䅳耀࿭䅳耀࿲䅳耀࿷䅳耀࿼䅳耀ခ䅳耀ဆ䅳耀ဋ䅳耀တ䅳耀ပ䅳耀ယ䅳耀ဟ䅳耀ဤ䅳耀ဩ䅳耀ီ䅳耀ဳ䅳耀း䅳耀ွ䅳耀၂䅳耀၇䅳耀၌䅳耀ၑ䅳耀ၖ䅳耀ၛ䅳耀ၠ䅳耀ၥ䅳耀ၪ䅳耀ၯ䅳耀ၴ䅳耀ၹ䅳耀ၾ䅳耀ႃ䅳耀ႈ䅳耀ႍ䅳耀႒䅳耀႗䅳耀ႜ䅳耀Ⴁ䅳耀Ⴆ䅳耀Ⴋ䅳耀Ⴐ䅳耀Ⴕ䅳耀Ⴚ䅳耀Ⴟ䅳耀Ⴤ䅳耀჉䅳耀჎䅳耀დ䅳耀ი䅳耀ო䅳耀ტ䅳耀ყ䅳耀წ䅳耀ჱ䅳耀ჶ䅳耀჻䅳耀ᄀ䅳耀ᄅ䅳耀ᄊ䅳耀ᄏ䅳耀ᄔ䅳耀ᄙ䅳耀ᄞ䅳耀ᄣ䅳耀ᄨ䅳耀ᄭ䅳耀ᄲ䅳耀ᄷ䅳耀ᄼ䅳耀ᅁ䅳耀ᅆ䅳耀ᅋ䅳耀ᅐ䅳耀ᅕ䅳耀ᅚ䅳耀ᅟ䅳耀ᅤ䅳耀ᅩ䅳耀ᅮ䅳耀ᅳ䅳耀ᅸ䅳耀ᅽ䅳耀ᆂ䅳耀ᆇ䅳耀ᆌ䅳耀ᆑ䅳耀ᆖ䅳耀ᆛ䅳耀ᆠ䅳耀ᆥ䅳耀ᆪ䅳耀ᆯ䅳耀ᆴ䅳耀ᆹ䅳耀ᆾ䅳耀ᇃ䅳耀ᇈ䅳耀ᇍ䅳耀ᇒ䅳耀ᇗ䅳耀ᇜ䅳耀ᇡ䅳耀ᇦ䅳耀ᇫ䅳耀ᇰ䅳耀ᇵ䅳耀ᇺ䅳耀ᇿ䅳耀ሄ䅳耀ሉ䅳耀ሎ䅳耀ሓ䅳耀መ䅳耀ም䅳耀ሢ䅳耀ሧ䅳耀ሬ䅳耀ሱ䅳耀ሶ䅳耀ሻ䅳耀ቀ䅳耀ቅ䅳耀ቊ䅳耀቏䅳耀ቔ䅳耀቙䅳耀቞䅳耀ባ䅳耀ቨ䅳耀ቭ䅳耀ቲ䅳耀ቷ䅳耀ቼ䅳耀ኁ䅳耀ኆ䅳耀ኋ䅳耀ነ䅳耀ን䅳耀ኚ䅳耀ኟ䅳耀ኤ䅳耀ኩ䅳耀ኮ䅳耀ኳ䅳耀ኸ䅳耀ኽ䅳耀ዂ䅳耀዇䅳耀ዌ䅳耀ዑ䅳耀ዖ䅳耀ዛ䅳耀ዠ䅳耀ዥ䅳耀ዪ䅳耀ዯ䅳耀ዴ䅳耀ዹ䅳耀ዾ䅳耀ጃ䅳耀ገ䅳耀ግ䅳耀ጒ䅳耀጗䅳耀ጜ䅳耀ጡ䅳耀ጦ䅳耀ጫ䅳耀ጰ䅳耀ጵ䅳耀ጺ䅳耀ጿ䅳耀ፄ䅳耀ፉ䅳耀ፎ䅳耀ፓ䅳耀ፘ䅳耀፝䅳耀።䅳耀፧䅳耀፬䅳耀፱䅳耀፶䅳耀፻䅳耀ᎀ䅳耀ᎅ䅳耀ᎊ䅳耀ᎏ䅳耀᎔䅳耀᎙䅳耀᎞䅳耀Ꭳ䅳耀Ꭸ䅳耀Ꭽ䅳耀Ꮂ䅳耀Ꮇ䅳耀Ꮌ䅳耀Ꮑ䅳耀Ꮖ䅳耀Ꮛ䅳耀Ꮠ䅳耀Ꮥ䅳耀Ꮪ䅳耀Ꮯ䅳耀Ꮴ䅳耀Ꮹ䅳耀Ꮾ䅳耀Ᏻ䅳耀ᏸ䅳耀ᏽ䅳耀ᐂ䅳耀ᐇ䅳耀ᐌ䅳耀ᐑ䅳耀ᐖ䅳耀ᐛ䅳耀ᐠ䅳耀ᐥ䅳耀ᐪ䅳耀ᐯ䅳耀ᐴ䅳耀ᐹ䅳耀ᐾ䅳耀ᑃ䅳耀ᑈ䅳耀ᑍ䅳耀ᑒ䅳耀ᑗ䅳耀ᑜ䅳耀ᑡ䅳耀ᑦ䅳耀ᑫ䅳耀ᑰ䅳耀ᑵ䅳耀ᑺ䅳耀ᑿ䅳耀ᒄ䅳耀ᒉ䅳耀ᒎ䅳耀ᒓ䅳耀ᒘ䅳耀ᒝ䅳耀ᒢ䅳耀ᒧ䅳耀ᒬ䅳耀ᒱ䅳耀ᒶ䅳耀ᒻ䅳耀ᓀ䅳耀ᓅ䅳耀ᓊ䅳耀ᓏ䅳耀ᓔ䅳耀ᓙ䅳耀ᓞ䅳耀ᓣ䅳耀ᓨ䅳耀ᓭ䅳耀ᓲ䅳耀ᓷ䅳耀ᓼ䅳耀ᔁ䅳耀ᔆ䅳耀ᔋ䅳耀ᔐ䅳耀ᔕ䅳耀ᔚ䅳耀ᔟ䅳耀ᔤ䅳耀ᔩ䅳耀ᔮ䅳耀ᔳ䅳耀ᔸ䅳耀ᔽ䅳耀ᕂ䅳耀ᕇ䅳耀ᕌ䅳耀ᕑ䅳耀ᕖ코䅳耀ᕛ콟䅳耀ᕠ콚䅳耀ᕥ콅䅳耀ᕪ콀䅳耀ᕯ콋䅳耀ᕴ콶䅳耀ᕹ콱䅳耀ᕾ콼䅳耀ᖃ콧䅳耀ᖈ콢䅳耀ᖍ콭䅳耀ᖒ콨䅳耀ᖗ켓䅳耀ᖜ켞䅳耀ᖡ켙䅳耀ᖦ켄䅳耀ᖫ켏䅳耀ᖰ켊䅳耀ᖵ켵䅳耀ᖺ켰䅳耀ᖿ켻䅳耀ᗄ켦䅳耀ᗉ켡䅳耀ᗎ켬䅳耀ᗓ쿗䅳耀ᗘ쿒䅳耀ᗝ쿝䅳耀ᗢ쿘䅳耀ᗧ쿃䅳耀ᗬ쿎䅳耀ᗱ쿉䅳耀ᗶ쿴䅳耀ᗻ쿿䅳耀ᘀ쿺䅳耀ᘅ쿥䅳耀ᘊ쿠䅳耀ᘏ쿫䅳耀ᘔ쾖䅳耀ᘙ쾑䅳耀ᘞ쾜䅳耀ᘣ쾇䅳耀ᘨ쾂䅳耀ᘭ쾍䅳耀ᘲ쾈䅳耀ᘷ쾳䅳耀ᘼ쾾䅳耀ᙁ쾹䅳耀ᙆ쾤䅳耀ᙋ쾯䅳耀ᙐ쾪䅳耀ᙕ칕䅳耀ᙚ칐䅳耀ᙟ칛䅳耀ᙤ칆䅳耀ᙩ칁䅳耀᙮칌䅳耀ᙳ칷䅳耀ᙸ칲䅳耀ᙽ칽䅳耀ᚂ칸䅳耀ᚇ칣䅳耀ᚌ칮䅳耀ᚑ칩䅳耀ᚖ츔䅳耀᚛츟䅳耀ᚠ츚䅳耀ᚥ츅䅳耀ᚪ츀䅳耀ᚯ츋䅳耀ᚴ츶䅳耀ᚹ츱䅳耀ᚾ츼䅳耀ᛃ츧䅳耀ᛈ츢䅳耀ᛍ츭䅳耀ᛒ츨䅳耀ᛗ컓䅳耀ᛜ컞䅳耀ᛡ컙䅳耀ᛦ컄䅳耀᛫컏䅳耀ᛰ컊䅳耀ᛵ컵䅳耀᛺컰䅳耀᛿컻䅳耀ᜄ컦䅳耀ᜉ컡䅳耀ᜎ컬䅳耀ᜓ캗䅳耀᜘캒䅳耀᜝캝䅳耀ᜢ캘䅳耀ᜧ캃䅳耀ᜬ캎䅳耀ᜱ캉䅳耀᜶캴䅳耀᜻캿䅳耀ᝀ캺䅳耀ᝅ캥䅳耀ᝊ캠䅳耀ᝏ캫䅳耀᝔쵖䅳耀᝙쵑䅳耀᝞최䅳耀ᝣ쵇䅳耀ᝨ쵂䅳耀᝭쵍䅳耀ᝲ쵈䅳耀᝷쵳䅳耀᝼쵾䅳耀ខ쵹䅳耀ឆ쵤䅳耀ឋ쵯䅳耀ថ쵪䅳耀ផ촕䅳耀រ촐䅳耀ស촛䅳耀ឤ촆䅳耀ឩ촁䅳耀ឮ촌䅳耀ឳ촷䅳耀ី촲䅳耀ួ촽䅳耀ែ촸䅳耀ះ촣䅳耀៌촮䅳耀៑촩䅳耀៖췔䅳耀៛췟䅳耀០췚䅳耀៥췅䅳耀៪췀䅳耀៯췋䅳耀៴췶䅳耀៹췱䅳耀៾췼䅳耀᠃췧䅳耀᠈췢䅳耀᠍췭䅳耀᠒취䅳耀᠗춓䅳耀᠜춞䅳耀ᠡ춙䅳耀ᠦ춄䅳耀ᠫ춏䅳耀ᠰ춊䅳耀ᠵ춵䅳耀ᠺ춰䅳耀ᠿ춻䅳耀ᡄ춦䅳耀ᡉ춡䅳耀ᡎ춬䅳耀ᡓ챗䅳耀ᡘ챒䅳耀ᡝ챝䅳耀ᡢ챘䅳耀ᡧ챃䅳耀ᡬ챎䅳耀ᡱ챉䅳耀ᡶ챴䅳耀᡻챿䅳耀ᢀ챺䅳耀ᢅ챥䅳耀ᢊ챠䅳耀ᢏ챫䅳耀ᢔ찖䅳耀ᢙ찑䅳耀ᢞ찜䅳耀ᢣ찇䅳耀ᢨ찂䅳耀᢭찍䅳耀ᢲ찈䅳耀ᢷ찳䅳耀ᢼ찾䅳耀ᣁ찹䅳耀ᣆ찤䅳耀ᣋ찯䅳耀ᣐ찪䅳耀ᣕ쳕䅳耀ᣚ쳐䅳耀ᣟ쳛䅳耀ᣤ쳆䅳耀ᣩ쳁䅳耀ᣮ쳌䅳耀ᣳ쳷䅳耀᣸쳲䅳耀᣽쳽䅳耀ᤂ쳸䅳耀ᤇ쳣䅳耀ᤌ쳮䅳耀ᤑ쳩䅳耀ᤖ첔䅳耀ᤛ첟䅳耀ᤠ첚䅳耀ᤥ첅䅳耀ᤪ첀䅳耀᤯첋䅳耀ᤴ첶䅳耀᤹첱䅳耀᤾첼䅳耀᥃첧䅳耀᥈첢䅳耀᥍청䅳耀ᥒ첨䅳耀ᥗ쭓䅳耀ᥜ쭞䅳耀ᥡ쭙䅳耀ᥦ쭄䅳耀ᥫ쭏䅳耀ᥰ쭊䅳耀᥵쭵䅳耀᥺쭰䅳耀᥿쭻䅳耀ᦄ쭦䅳耀ᦉ쭡䅳耀ᦎ쭬䅳耀ᦓ쬗䅳耀ᦘ쬒䅳耀ᦝ쬝䅳耀ᦢ쬘䅳耀ᦧ쬃䅳耀᦬쬎䅳耀ᦱ쬉䅳耀ᦶ쬴䅳耀ᦻ쬿䅳耀ᧀ쬺䅳耀ᧅ쬥䅳耀᧊쬠䅳耀᧏쬫䅳耀᧔쯖䅳耀᧙쯑䅳耀᧞쯜䅳耀᧣쯇䅳耀᧨쯂䅳耀᧭쯍䅳耀᧲쯈䅳耀᧷쯳䅳耀᧼쯾䅳耀ᨁ쯹䅳耀ᨆ쯤䅳耀ᨋ쯯䅳耀ᨐ쯪䅳耀ᨕ쮕䅳耀ᨚ쮐䅳耀᨟쮛䅳耀ᨤ쮆䅳耀ᨩ쮁䅳耀ᨮ쮌䅳耀ᨳ쮷䅳耀ᨸ쮲䅳耀ᨽ쮽䅳耀ᩂ쮸䅳耀ᩇ쮣䅳耀ᩌ쮮䅳耀ᩑ"/>
        </w:smartTagPr>
        <w:r w:rsidRPr="00B21575">
          <w:rPr>
            <w:lang w:val="fr-FR"/>
          </w:rPr>
          <w:t>la Diète.</w:t>
        </w:r>
      </w:smartTag>
      <w:r w:rsidRPr="00B21575">
        <w:rPr>
          <w:lang w:val="fr-FR"/>
        </w:rPr>
        <w:t xml:space="preserve"> (</w:t>
      </w:r>
      <w:smartTag w:uri="urn:schemas-microsoft-com:office:smarttags" w:element="PersonName">
        <w:smartTagPr>
          <w:attr w:name="ProductID" w:val="LA CONVENTION"/>
        </w:smartTagPr>
        <w:r w:rsidRPr="00B21575">
          <w:rPr>
            <w:lang w:val="fr-FR"/>
          </w:rPr>
          <w:t>La Convention</w:t>
        </w:r>
      </w:smartTag>
      <w:r w:rsidRPr="00B21575">
        <w:rPr>
          <w:lang w:val="fr-FR"/>
        </w:rPr>
        <w:t xml:space="preserve"> elle-même n</w:t>
      </w:r>
      <w:r w:rsidR="00277023">
        <w:rPr>
          <w:lang w:val="fr-FR"/>
        </w:rPr>
        <w:t>’</w:t>
      </w:r>
      <w:r w:rsidRPr="00B21575">
        <w:rPr>
          <w:lang w:val="fr-FR"/>
        </w:rPr>
        <w:t>a pas encore été ratifiée car les lois internes pertinentes ne sont toujours pas modifiées. De ce fait, le Protocole n</w:t>
      </w:r>
      <w:r w:rsidR="00277023">
        <w:rPr>
          <w:lang w:val="fr-FR"/>
        </w:rPr>
        <w:t>’</w:t>
      </w:r>
      <w:r w:rsidRPr="00B21575">
        <w:rPr>
          <w:lang w:val="fr-FR"/>
        </w:rPr>
        <w:t>a jamais été ratifié).</w:t>
      </w:r>
    </w:p>
    <w:p w:rsidR="00B21575" w:rsidRPr="00B21575" w:rsidRDefault="00B21575" w:rsidP="00B21575">
      <w:pPr>
        <w:pStyle w:val="H23G"/>
        <w:rPr>
          <w:lang w:val="fr-FR"/>
        </w:rPr>
      </w:pPr>
      <w:r>
        <w:rPr>
          <w:lang w:val="fr-FR"/>
        </w:rPr>
        <w:tab/>
        <w:t>e)</w:t>
      </w:r>
      <w:r>
        <w:rPr>
          <w:lang w:val="fr-FR"/>
        </w:rPr>
        <w:tab/>
      </w:r>
      <w:r w:rsidRPr="00B21575">
        <w:rPr>
          <w:lang w:val="fr-FR"/>
        </w:rPr>
        <w:t>Autres formes d</w:t>
      </w:r>
      <w:r w:rsidR="00277023">
        <w:rPr>
          <w:lang w:val="fr-FR"/>
        </w:rPr>
        <w:t>’</w:t>
      </w:r>
      <w:r w:rsidRPr="00B21575">
        <w:rPr>
          <w:lang w:val="fr-FR"/>
        </w:rPr>
        <w:t>exploitation</w:t>
      </w:r>
    </w:p>
    <w:p w:rsidR="00B21575" w:rsidRPr="00B21575" w:rsidRDefault="00B21575" w:rsidP="00B21575">
      <w:pPr>
        <w:pStyle w:val="SingleTxtG"/>
        <w:rPr>
          <w:lang w:val="fr-FR"/>
        </w:rPr>
      </w:pPr>
      <w:r w:rsidRPr="00B21575">
        <w:rPr>
          <w:lang w:val="fr-FR"/>
        </w:rPr>
        <w:t>(Elimination de l</w:t>
      </w:r>
      <w:r w:rsidR="00277023">
        <w:rPr>
          <w:lang w:val="fr-FR"/>
        </w:rPr>
        <w:t>’</w:t>
      </w:r>
      <w:r w:rsidRPr="00B21575">
        <w:rPr>
          <w:lang w:val="fr-FR"/>
        </w:rPr>
        <w:t xml:space="preserve">influence des </w:t>
      </w:r>
      <w:r w:rsidRPr="00B21575">
        <w:rPr>
          <w:i/>
          <w:lang w:val="fr-FR"/>
        </w:rPr>
        <w:t>boryokudan</w:t>
      </w:r>
      <w:r w:rsidRPr="00B21575">
        <w:rPr>
          <w:lang w:val="fr-FR"/>
        </w:rPr>
        <w:t xml:space="preserve"> sur les jeunes) </w:t>
      </w:r>
    </w:p>
    <w:p w:rsidR="00B21575" w:rsidRPr="00B21575" w:rsidRDefault="00B21575" w:rsidP="00B21575">
      <w:pPr>
        <w:pStyle w:val="SingleTxtG"/>
        <w:rPr>
          <w:lang w:val="fr-FR"/>
        </w:rPr>
      </w:pPr>
      <w:r w:rsidRPr="00B21575">
        <w:rPr>
          <w:lang w:val="fr-FR"/>
        </w:rPr>
        <w:t>576.</w:t>
      </w:r>
      <w:r w:rsidRPr="00B21575">
        <w:rPr>
          <w:lang w:val="fr-FR"/>
        </w:rPr>
        <w:tab/>
        <w:t xml:space="preserve">Voir paragraphes 510-513 du deuxième rapport du Japon. </w:t>
      </w:r>
    </w:p>
    <w:p w:rsidR="00093F0A" w:rsidRPr="00B21575" w:rsidRDefault="00B21575" w:rsidP="00B21575">
      <w:pPr>
        <w:pStyle w:val="SingleTxtG"/>
        <w:rPr>
          <w:lang w:val="es-ES"/>
        </w:rPr>
      </w:pPr>
      <w:r w:rsidRPr="00B21575">
        <w:rPr>
          <w:lang w:val="fr-FR"/>
        </w:rPr>
        <w:t>577.</w:t>
      </w:r>
      <w:r w:rsidRPr="00B21575">
        <w:rPr>
          <w:lang w:val="fr-FR"/>
        </w:rPr>
        <w:tab/>
      </w:r>
      <w:smartTag w:uri="urn:schemas-microsoft-com:office:smarttags" w:element="PersonName">
        <w:smartTagPr>
          <w:attr w:name="ProductID" w:val="la Loi"/>
        </w:smartTagPr>
        <w:r w:rsidRPr="00B21575">
          <w:rPr>
            <w:lang w:val="fr-FR"/>
          </w:rPr>
          <w:t>La Loi</w:t>
        </w:r>
      </w:smartTag>
      <w:r w:rsidRPr="00B21575">
        <w:rPr>
          <w:lang w:val="fr-FR"/>
        </w:rPr>
        <w:t xml:space="preserve"> sur la prévention des activités illicites des </w:t>
      </w:r>
      <w:r w:rsidRPr="00B21575">
        <w:rPr>
          <w:i/>
          <w:iCs/>
          <w:lang w:val="fr-FR"/>
        </w:rPr>
        <w:t>boryokudan</w:t>
      </w:r>
      <w:r w:rsidRPr="00B21575">
        <w:rPr>
          <w:lang w:val="fr-FR"/>
        </w:rPr>
        <w:t xml:space="preserve"> (ou “</w:t>
      </w:r>
      <w:r w:rsidRPr="00B21575">
        <w:rPr>
          <w:i/>
          <w:lang w:val="fr-FR"/>
        </w:rPr>
        <w:t xml:space="preserve">Loi </w:t>
      </w:r>
      <w:r w:rsidR="008E49D4">
        <w:rPr>
          <w:i/>
          <w:iCs/>
          <w:lang w:val="fr-FR"/>
        </w:rPr>
        <w:t>anti</w:t>
      </w:r>
      <w:r w:rsidR="008E49D4">
        <w:rPr>
          <w:i/>
          <w:iCs/>
          <w:lang w:val="fr-FR"/>
        </w:rPr>
        <w:noBreakHyphen/>
      </w:r>
      <w:r w:rsidRPr="00B21575">
        <w:rPr>
          <w:i/>
          <w:iCs/>
          <w:lang w:val="fr-FR"/>
        </w:rPr>
        <w:t>Boryokudan</w:t>
      </w:r>
      <w:r w:rsidRPr="00B21575">
        <w:rPr>
          <w:lang w:val="fr-FR"/>
        </w:rPr>
        <w:t>”) interdit aux membres de ces gangs d</w:t>
      </w:r>
      <w:r w:rsidR="00277023">
        <w:rPr>
          <w:lang w:val="fr-FR"/>
        </w:rPr>
        <w:t>’</w:t>
      </w:r>
      <w:r w:rsidRPr="00B21575">
        <w:rPr>
          <w:lang w:val="fr-FR"/>
        </w:rPr>
        <w:t>obliger des mineurs</w:t>
      </w:r>
      <w:r w:rsidR="00EA1115">
        <w:rPr>
          <w:lang w:val="fr-FR"/>
        </w:rPr>
        <w:t xml:space="preserve"> </w:t>
      </w:r>
      <w:r w:rsidRPr="00B21575">
        <w:rPr>
          <w:lang w:val="fr-FR"/>
        </w:rPr>
        <w:t>à s</w:t>
      </w:r>
      <w:r w:rsidR="00277023">
        <w:rPr>
          <w:lang w:val="fr-FR"/>
        </w:rPr>
        <w:t>’</w:t>
      </w:r>
      <w:r w:rsidRPr="00B21575">
        <w:rPr>
          <w:lang w:val="fr-FR"/>
        </w:rPr>
        <w:t>y affilier. Dans le cadre de l</w:t>
      </w:r>
      <w:r w:rsidR="00277023">
        <w:rPr>
          <w:lang w:val="fr-FR"/>
        </w:rPr>
        <w:t>’</w:t>
      </w:r>
      <w:r w:rsidRPr="00B21575">
        <w:rPr>
          <w:lang w:val="fr-FR"/>
        </w:rPr>
        <w:t xml:space="preserve">application de </w:t>
      </w:r>
      <w:smartTag w:uri="urn:schemas-microsoft-com:office:smarttags" w:element="PersonName">
        <w:smartTagPr>
          <w:attr w:name="ProductID" w:val="la Loi"/>
        </w:smartTagPr>
        <w:r w:rsidRPr="00B21575">
          <w:rPr>
            <w:lang w:val="fr-FR"/>
          </w:rPr>
          <w:t>la Loi</w:t>
        </w:r>
      </w:smartTag>
      <w:r w:rsidRPr="00B21575">
        <w:rPr>
          <w:lang w:val="fr-FR"/>
        </w:rPr>
        <w:t>, la décision de suspension prise à l</w:t>
      </w:r>
      <w:r w:rsidR="00277023">
        <w:rPr>
          <w:lang w:val="fr-FR"/>
        </w:rPr>
        <w:t>’</w:t>
      </w:r>
      <w:r w:rsidRPr="00B21575">
        <w:rPr>
          <w:lang w:val="fr-FR"/>
        </w:rPr>
        <w:t>encontre d</w:t>
      </w:r>
      <w:r w:rsidR="00277023">
        <w:rPr>
          <w:lang w:val="fr-FR"/>
        </w:rPr>
        <w:t>’</w:t>
      </w:r>
      <w:r w:rsidRPr="00B21575">
        <w:rPr>
          <w:lang w:val="fr-FR"/>
        </w:rPr>
        <w:t>un membre</w:t>
      </w:r>
      <w:r w:rsidR="00EA1115">
        <w:rPr>
          <w:lang w:val="fr-FR"/>
        </w:rPr>
        <w:t xml:space="preserve"> </w:t>
      </w:r>
      <w:r w:rsidRPr="00B21575">
        <w:rPr>
          <w:lang w:val="fr-FR"/>
        </w:rPr>
        <w:t>qui force un mineur à s</w:t>
      </w:r>
      <w:r w:rsidR="00277023">
        <w:rPr>
          <w:lang w:val="fr-FR"/>
        </w:rPr>
        <w:t>’</w:t>
      </w:r>
      <w:r w:rsidRPr="00B21575">
        <w:rPr>
          <w:lang w:val="fr-FR"/>
        </w:rPr>
        <w:t>affilier à un groupe de criminels organisés, ou à l</w:t>
      </w:r>
      <w:r w:rsidR="00277023">
        <w:rPr>
          <w:lang w:val="fr-FR"/>
        </w:rPr>
        <w:t>’</w:t>
      </w:r>
      <w:r w:rsidRPr="00B21575">
        <w:rPr>
          <w:lang w:val="fr-FR"/>
        </w:rPr>
        <w:t>encontre d</w:t>
      </w:r>
      <w:r w:rsidR="00277023">
        <w:rPr>
          <w:lang w:val="fr-FR"/>
        </w:rPr>
        <w:t>’</w:t>
      </w:r>
      <w:r w:rsidRPr="00B21575">
        <w:rPr>
          <w:lang w:val="fr-FR"/>
        </w:rPr>
        <w:t>un membre qui empêche un mineur d</w:t>
      </w:r>
      <w:r w:rsidR="00277023">
        <w:rPr>
          <w:lang w:val="fr-FR"/>
        </w:rPr>
        <w:t>’</w:t>
      </w:r>
      <w:r w:rsidRPr="00B21575">
        <w:rPr>
          <w:lang w:val="fr-FR"/>
        </w:rPr>
        <w:t>en sortir est l</w:t>
      </w:r>
      <w:r w:rsidR="00277023">
        <w:rPr>
          <w:lang w:val="fr-FR"/>
        </w:rPr>
        <w:t>’</w:t>
      </w:r>
      <w:r w:rsidRPr="00B21575">
        <w:rPr>
          <w:lang w:val="fr-FR"/>
        </w:rPr>
        <w:t>une des mesures appliquées pour protéger les mineurs contre les groupes criminels organisés.</w:t>
      </w:r>
      <w:r w:rsidR="00093F0A" w:rsidRPr="00B21575">
        <w:rPr>
          <w:lang w:val="es-ES"/>
        </w:rPr>
        <w:t xml:space="preserve"> </w:t>
      </w:r>
    </w:p>
    <w:p w:rsidR="00093F0A" w:rsidRPr="00B21575" w:rsidRDefault="00365506" w:rsidP="00014606">
      <w:pPr>
        <w:pStyle w:val="Heading1"/>
        <w:keepNext/>
        <w:tabs>
          <w:tab w:val="left" w:pos="2430"/>
        </w:tabs>
        <w:rPr>
          <w:lang w:val="es-ES"/>
        </w:rPr>
      </w:pPr>
      <w:r w:rsidRPr="00F206B8">
        <w:rPr>
          <w:lang w:val="fr-FR"/>
        </w:rPr>
        <w:t>Tableau</w:t>
      </w:r>
      <w:r w:rsidRPr="00F206B8">
        <w:rPr>
          <w:lang w:val="es-ES"/>
        </w:rPr>
        <w:t xml:space="preserve"> </w:t>
      </w:r>
      <w:r w:rsidR="00093F0A" w:rsidRPr="00B21575">
        <w:rPr>
          <w:lang w:val="es-ES"/>
        </w:rPr>
        <w:t>34</w:t>
      </w:r>
    </w:p>
    <w:p w:rsidR="00093F0A" w:rsidRPr="00B21575" w:rsidRDefault="00B21575" w:rsidP="00014606">
      <w:pPr>
        <w:pStyle w:val="SingleTxtG"/>
        <w:keepNext/>
        <w:jc w:val="left"/>
        <w:rPr>
          <w:b/>
          <w:lang w:val="es-ES"/>
        </w:rPr>
      </w:pPr>
      <w:r w:rsidRPr="00B21575">
        <w:rPr>
          <w:b/>
          <w:bCs/>
          <w:lang w:val="fr-FR"/>
        </w:rPr>
        <w:t>Nombre d</w:t>
      </w:r>
      <w:r w:rsidR="00277023">
        <w:rPr>
          <w:b/>
          <w:bCs/>
          <w:lang w:val="fr-FR"/>
        </w:rPr>
        <w:t>’</w:t>
      </w:r>
      <w:r w:rsidRPr="00B21575">
        <w:rPr>
          <w:b/>
          <w:bCs/>
          <w:lang w:val="fr-FR"/>
        </w:rPr>
        <w:t xml:space="preserve">injonctions exécutées en application de </w:t>
      </w:r>
      <w:smartTag w:uri="urn:schemas-microsoft-com:office:smarttags" w:element="PersonName">
        <w:smartTagPr>
          <w:attr w:name="ProductID" w:val="la Loi Anti-Boryokudan"/>
        </w:smartTagPr>
        <w:r w:rsidRPr="00B21575">
          <w:rPr>
            <w:b/>
            <w:bCs/>
            <w:lang w:val="fr-FR"/>
          </w:rPr>
          <w:t xml:space="preserve">la Loi </w:t>
        </w:r>
        <w:r w:rsidRPr="00B21575">
          <w:rPr>
            <w:b/>
            <w:bCs/>
            <w:i/>
            <w:iCs/>
            <w:lang w:val="fr-FR"/>
          </w:rPr>
          <w:t>Anti-Boryokudan</w:t>
        </w:r>
      </w:smartTag>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62"/>
        <w:gridCol w:w="602"/>
        <w:gridCol w:w="602"/>
        <w:gridCol w:w="602"/>
        <w:gridCol w:w="602"/>
      </w:tblGrid>
      <w:tr w:rsidR="00093F0A" w:rsidRPr="008E5027">
        <w:tc>
          <w:tcPr>
            <w:tcW w:w="4962" w:type="dxa"/>
            <w:tcBorders>
              <w:top w:val="single" w:sz="4" w:space="0" w:color="auto"/>
              <w:bottom w:val="single" w:sz="12" w:space="0" w:color="auto"/>
            </w:tcBorders>
            <w:shd w:val="clear" w:color="auto" w:fill="auto"/>
            <w:vAlign w:val="bottom"/>
          </w:tcPr>
          <w:p w:rsidR="00093F0A" w:rsidRPr="00B21575" w:rsidRDefault="00093F0A" w:rsidP="00014606">
            <w:pPr>
              <w:keepNext/>
              <w:spacing w:before="80" w:after="80" w:line="200" w:lineRule="exact"/>
              <w:rPr>
                <w:i/>
                <w:sz w:val="16"/>
                <w:lang w:val="es-ES"/>
              </w:rPr>
            </w:pPr>
          </w:p>
        </w:tc>
        <w:tc>
          <w:tcPr>
            <w:tcW w:w="602" w:type="dxa"/>
            <w:tcBorders>
              <w:top w:val="single" w:sz="4" w:space="0" w:color="auto"/>
              <w:bottom w:val="single" w:sz="12" w:space="0" w:color="auto"/>
            </w:tcBorders>
            <w:shd w:val="clear" w:color="auto" w:fill="auto"/>
            <w:vAlign w:val="bottom"/>
          </w:tcPr>
          <w:p w:rsidR="00093F0A" w:rsidRPr="008E5027" w:rsidRDefault="00093F0A" w:rsidP="00014606">
            <w:pPr>
              <w:keepNext/>
              <w:spacing w:before="80" w:after="80" w:line="200" w:lineRule="exact"/>
              <w:jc w:val="right"/>
              <w:rPr>
                <w:i/>
                <w:sz w:val="16"/>
              </w:rPr>
            </w:pPr>
            <w:r w:rsidRPr="008E5027">
              <w:rPr>
                <w:i/>
                <w:sz w:val="16"/>
              </w:rPr>
              <w:t>2001</w:t>
            </w:r>
          </w:p>
        </w:tc>
        <w:tc>
          <w:tcPr>
            <w:tcW w:w="602" w:type="dxa"/>
            <w:tcBorders>
              <w:top w:val="single" w:sz="4" w:space="0" w:color="auto"/>
              <w:bottom w:val="single" w:sz="12" w:space="0" w:color="auto"/>
            </w:tcBorders>
            <w:shd w:val="clear" w:color="auto" w:fill="auto"/>
            <w:vAlign w:val="bottom"/>
          </w:tcPr>
          <w:p w:rsidR="00093F0A" w:rsidRPr="008E5027" w:rsidRDefault="00093F0A" w:rsidP="00014606">
            <w:pPr>
              <w:keepNext/>
              <w:spacing w:before="80" w:after="80" w:line="200" w:lineRule="exact"/>
              <w:jc w:val="right"/>
              <w:rPr>
                <w:i/>
                <w:sz w:val="16"/>
              </w:rPr>
            </w:pPr>
            <w:r w:rsidRPr="008E5027">
              <w:rPr>
                <w:i/>
                <w:sz w:val="16"/>
              </w:rPr>
              <w:t>2002</w:t>
            </w:r>
          </w:p>
        </w:tc>
        <w:tc>
          <w:tcPr>
            <w:tcW w:w="602" w:type="dxa"/>
            <w:tcBorders>
              <w:top w:val="single" w:sz="4" w:space="0" w:color="auto"/>
              <w:bottom w:val="single" w:sz="12" w:space="0" w:color="auto"/>
            </w:tcBorders>
            <w:shd w:val="clear" w:color="auto" w:fill="auto"/>
            <w:vAlign w:val="bottom"/>
          </w:tcPr>
          <w:p w:rsidR="00093F0A" w:rsidRPr="008E5027" w:rsidRDefault="00093F0A" w:rsidP="00014606">
            <w:pPr>
              <w:keepNext/>
              <w:spacing w:before="80" w:after="80" w:line="200" w:lineRule="exact"/>
              <w:jc w:val="right"/>
              <w:rPr>
                <w:i/>
                <w:sz w:val="16"/>
              </w:rPr>
            </w:pPr>
            <w:r w:rsidRPr="008E5027">
              <w:rPr>
                <w:i/>
                <w:sz w:val="16"/>
              </w:rPr>
              <w:t>2003</w:t>
            </w:r>
          </w:p>
        </w:tc>
        <w:tc>
          <w:tcPr>
            <w:tcW w:w="602" w:type="dxa"/>
            <w:tcBorders>
              <w:top w:val="single" w:sz="4" w:space="0" w:color="auto"/>
              <w:bottom w:val="single" w:sz="12" w:space="0" w:color="auto"/>
            </w:tcBorders>
            <w:shd w:val="clear" w:color="auto" w:fill="auto"/>
            <w:vAlign w:val="bottom"/>
          </w:tcPr>
          <w:p w:rsidR="00093F0A" w:rsidRPr="008E5027" w:rsidRDefault="00093F0A" w:rsidP="00014606">
            <w:pPr>
              <w:keepNext/>
              <w:spacing w:before="80" w:after="80" w:line="200" w:lineRule="exact"/>
              <w:jc w:val="right"/>
              <w:rPr>
                <w:i/>
                <w:sz w:val="16"/>
              </w:rPr>
            </w:pPr>
            <w:r w:rsidRPr="008E5027">
              <w:rPr>
                <w:i/>
                <w:sz w:val="16"/>
              </w:rPr>
              <w:t>2004</w:t>
            </w:r>
          </w:p>
        </w:tc>
      </w:tr>
      <w:tr w:rsidR="00ED3EE1" w:rsidRPr="008E5027">
        <w:tc>
          <w:tcPr>
            <w:tcW w:w="4962" w:type="dxa"/>
            <w:tcBorders>
              <w:top w:val="single" w:sz="12" w:space="0" w:color="auto"/>
            </w:tcBorders>
            <w:shd w:val="clear" w:color="auto" w:fill="auto"/>
            <w:vAlign w:val="bottom"/>
          </w:tcPr>
          <w:p w:rsidR="00ED3EE1" w:rsidRPr="008E5027" w:rsidRDefault="00B21575" w:rsidP="009C1F67">
            <w:pPr>
              <w:suppressAutoHyphens w:val="0"/>
              <w:spacing w:before="40" w:line="220" w:lineRule="exact"/>
              <w:rPr>
                <w:sz w:val="18"/>
              </w:rPr>
            </w:pPr>
            <w:r w:rsidRPr="00B21575">
              <w:rPr>
                <w:sz w:val="18"/>
                <w:lang w:val="fr-FR"/>
              </w:rPr>
              <w:t>Affiliation forcée et entrave à la sortie</w:t>
            </w:r>
          </w:p>
        </w:tc>
        <w:tc>
          <w:tcPr>
            <w:tcW w:w="602" w:type="dxa"/>
            <w:tcBorders>
              <w:top w:val="single" w:sz="12" w:space="0" w:color="auto"/>
            </w:tcBorders>
            <w:shd w:val="clear" w:color="auto" w:fill="auto"/>
            <w:vAlign w:val="bottom"/>
          </w:tcPr>
          <w:p w:rsidR="00ED3EE1" w:rsidRPr="008E5027" w:rsidRDefault="00ED3EE1" w:rsidP="009C1F67">
            <w:pPr>
              <w:suppressAutoHyphens w:val="0"/>
              <w:spacing w:before="40" w:line="220" w:lineRule="exact"/>
              <w:jc w:val="right"/>
              <w:rPr>
                <w:sz w:val="18"/>
              </w:rPr>
            </w:pPr>
            <w:r w:rsidRPr="008E5027">
              <w:rPr>
                <w:sz w:val="18"/>
              </w:rPr>
              <w:t>80</w:t>
            </w:r>
          </w:p>
        </w:tc>
        <w:tc>
          <w:tcPr>
            <w:tcW w:w="602" w:type="dxa"/>
            <w:tcBorders>
              <w:top w:val="single" w:sz="12" w:space="0" w:color="auto"/>
            </w:tcBorders>
            <w:shd w:val="clear" w:color="auto" w:fill="auto"/>
            <w:vAlign w:val="bottom"/>
          </w:tcPr>
          <w:p w:rsidR="00ED3EE1" w:rsidRPr="008E5027" w:rsidRDefault="00ED3EE1" w:rsidP="009C1F67">
            <w:pPr>
              <w:suppressAutoHyphens w:val="0"/>
              <w:spacing w:before="40" w:line="220" w:lineRule="exact"/>
              <w:jc w:val="right"/>
              <w:rPr>
                <w:sz w:val="18"/>
              </w:rPr>
            </w:pPr>
            <w:r w:rsidRPr="008E5027">
              <w:rPr>
                <w:sz w:val="18"/>
              </w:rPr>
              <w:t>49</w:t>
            </w:r>
          </w:p>
        </w:tc>
        <w:tc>
          <w:tcPr>
            <w:tcW w:w="602" w:type="dxa"/>
            <w:tcBorders>
              <w:top w:val="single" w:sz="12" w:space="0" w:color="auto"/>
            </w:tcBorders>
            <w:shd w:val="clear" w:color="auto" w:fill="auto"/>
            <w:vAlign w:val="bottom"/>
          </w:tcPr>
          <w:p w:rsidR="00ED3EE1" w:rsidRPr="008E5027" w:rsidRDefault="00ED3EE1" w:rsidP="009C1F67">
            <w:pPr>
              <w:suppressAutoHyphens w:val="0"/>
              <w:spacing w:before="40" w:line="220" w:lineRule="exact"/>
              <w:jc w:val="right"/>
              <w:rPr>
                <w:sz w:val="18"/>
              </w:rPr>
            </w:pPr>
            <w:r w:rsidRPr="008E5027">
              <w:rPr>
                <w:sz w:val="18"/>
              </w:rPr>
              <w:t>60</w:t>
            </w:r>
          </w:p>
        </w:tc>
        <w:tc>
          <w:tcPr>
            <w:tcW w:w="602" w:type="dxa"/>
            <w:tcBorders>
              <w:top w:val="single" w:sz="12" w:space="0" w:color="auto"/>
            </w:tcBorders>
            <w:shd w:val="clear" w:color="auto" w:fill="auto"/>
            <w:vAlign w:val="bottom"/>
          </w:tcPr>
          <w:p w:rsidR="00ED3EE1" w:rsidRPr="008E5027" w:rsidRDefault="00ED3EE1" w:rsidP="009C1F67">
            <w:pPr>
              <w:suppressAutoHyphens w:val="0"/>
              <w:spacing w:before="40" w:line="220" w:lineRule="exact"/>
              <w:jc w:val="right"/>
              <w:rPr>
                <w:sz w:val="18"/>
              </w:rPr>
            </w:pPr>
            <w:r w:rsidRPr="008E5027">
              <w:rPr>
                <w:sz w:val="18"/>
              </w:rPr>
              <w:t>77</w:t>
            </w:r>
          </w:p>
        </w:tc>
      </w:tr>
      <w:tr w:rsidR="00ED3EE1" w:rsidRPr="008E5027">
        <w:tc>
          <w:tcPr>
            <w:tcW w:w="4962" w:type="dxa"/>
            <w:shd w:val="clear" w:color="auto" w:fill="auto"/>
            <w:vAlign w:val="bottom"/>
          </w:tcPr>
          <w:p w:rsidR="00ED3EE1" w:rsidRPr="008E5027" w:rsidRDefault="00ED3EE1" w:rsidP="009C1F67">
            <w:pPr>
              <w:suppressAutoHyphens w:val="0"/>
              <w:spacing w:after="40" w:line="220" w:lineRule="exact"/>
              <w:rPr>
                <w:sz w:val="18"/>
              </w:rPr>
            </w:pPr>
          </w:p>
        </w:tc>
        <w:tc>
          <w:tcPr>
            <w:tcW w:w="602" w:type="dxa"/>
            <w:shd w:val="clear" w:color="auto" w:fill="auto"/>
            <w:vAlign w:val="bottom"/>
          </w:tcPr>
          <w:p w:rsidR="00ED3EE1" w:rsidRPr="008E5027" w:rsidRDefault="00ED3EE1" w:rsidP="009C1F67">
            <w:pPr>
              <w:suppressAutoHyphens w:val="0"/>
              <w:spacing w:after="40" w:line="220" w:lineRule="exact"/>
              <w:jc w:val="right"/>
              <w:rPr>
                <w:sz w:val="18"/>
              </w:rPr>
            </w:pPr>
            <w:r w:rsidRPr="008E5027">
              <w:rPr>
                <w:sz w:val="18"/>
              </w:rPr>
              <w:t>(6)</w:t>
            </w:r>
          </w:p>
        </w:tc>
        <w:tc>
          <w:tcPr>
            <w:tcW w:w="602" w:type="dxa"/>
            <w:shd w:val="clear" w:color="auto" w:fill="auto"/>
            <w:vAlign w:val="bottom"/>
          </w:tcPr>
          <w:p w:rsidR="00ED3EE1" w:rsidRPr="008E5027" w:rsidRDefault="00ED3EE1" w:rsidP="009C1F67">
            <w:pPr>
              <w:suppressAutoHyphens w:val="0"/>
              <w:spacing w:after="40" w:line="220" w:lineRule="exact"/>
              <w:jc w:val="right"/>
              <w:rPr>
                <w:sz w:val="18"/>
              </w:rPr>
            </w:pPr>
            <w:r w:rsidRPr="008E5027">
              <w:rPr>
                <w:sz w:val="18"/>
              </w:rPr>
              <w:t>(2)</w:t>
            </w:r>
          </w:p>
        </w:tc>
        <w:tc>
          <w:tcPr>
            <w:tcW w:w="602" w:type="dxa"/>
            <w:shd w:val="clear" w:color="auto" w:fill="auto"/>
            <w:vAlign w:val="bottom"/>
          </w:tcPr>
          <w:p w:rsidR="00ED3EE1" w:rsidRPr="008E5027" w:rsidRDefault="00ED3EE1" w:rsidP="009C1F67">
            <w:pPr>
              <w:suppressAutoHyphens w:val="0"/>
              <w:spacing w:after="40" w:line="220" w:lineRule="exact"/>
              <w:jc w:val="right"/>
              <w:rPr>
                <w:sz w:val="18"/>
              </w:rPr>
            </w:pPr>
            <w:r w:rsidRPr="008E5027">
              <w:rPr>
                <w:sz w:val="18"/>
              </w:rPr>
              <w:t>(4)</w:t>
            </w:r>
          </w:p>
        </w:tc>
        <w:tc>
          <w:tcPr>
            <w:tcW w:w="602" w:type="dxa"/>
            <w:shd w:val="clear" w:color="auto" w:fill="auto"/>
            <w:vAlign w:val="bottom"/>
          </w:tcPr>
          <w:p w:rsidR="00ED3EE1" w:rsidRPr="008E5027" w:rsidRDefault="00ED3EE1" w:rsidP="009C1F67">
            <w:pPr>
              <w:suppressAutoHyphens w:val="0"/>
              <w:spacing w:after="40" w:line="220" w:lineRule="exact"/>
              <w:jc w:val="right"/>
              <w:rPr>
                <w:sz w:val="18"/>
              </w:rPr>
            </w:pPr>
            <w:r w:rsidRPr="008E5027">
              <w:rPr>
                <w:sz w:val="18"/>
              </w:rPr>
              <w:t>(6)</w:t>
            </w:r>
          </w:p>
        </w:tc>
      </w:tr>
      <w:tr w:rsidR="00ED3EE1" w:rsidRPr="008E5027">
        <w:tc>
          <w:tcPr>
            <w:tcW w:w="4962" w:type="dxa"/>
            <w:shd w:val="clear" w:color="auto" w:fill="auto"/>
            <w:vAlign w:val="bottom"/>
          </w:tcPr>
          <w:p w:rsidR="00ED3EE1" w:rsidRPr="008E5027" w:rsidRDefault="00B21575" w:rsidP="009C1F67">
            <w:pPr>
              <w:suppressAutoHyphens w:val="0"/>
              <w:spacing w:before="40" w:line="220" w:lineRule="exact"/>
              <w:rPr>
                <w:sz w:val="18"/>
              </w:rPr>
            </w:pPr>
            <w:r w:rsidRPr="00B21575">
              <w:rPr>
                <w:sz w:val="18"/>
                <w:lang w:val="fr-FR"/>
              </w:rPr>
              <w:t>Tatouage forcé</w:t>
            </w:r>
          </w:p>
        </w:tc>
        <w:tc>
          <w:tcPr>
            <w:tcW w:w="602" w:type="dxa"/>
            <w:shd w:val="clear" w:color="auto" w:fill="auto"/>
            <w:vAlign w:val="bottom"/>
          </w:tcPr>
          <w:p w:rsidR="00ED3EE1" w:rsidRPr="008E5027" w:rsidRDefault="00ED3EE1" w:rsidP="009C1F67">
            <w:pPr>
              <w:suppressAutoHyphens w:val="0"/>
              <w:spacing w:before="40" w:line="220" w:lineRule="exact"/>
              <w:jc w:val="right"/>
              <w:rPr>
                <w:sz w:val="18"/>
              </w:rPr>
            </w:pPr>
          </w:p>
        </w:tc>
        <w:tc>
          <w:tcPr>
            <w:tcW w:w="602" w:type="dxa"/>
            <w:shd w:val="clear" w:color="auto" w:fill="auto"/>
            <w:vAlign w:val="bottom"/>
          </w:tcPr>
          <w:p w:rsidR="00ED3EE1" w:rsidRPr="008E5027" w:rsidRDefault="00ED3EE1" w:rsidP="009C1F67">
            <w:pPr>
              <w:suppressAutoHyphens w:val="0"/>
              <w:spacing w:before="40" w:line="220" w:lineRule="exact"/>
              <w:jc w:val="right"/>
              <w:rPr>
                <w:sz w:val="18"/>
              </w:rPr>
            </w:pPr>
            <w:r w:rsidRPr="008E5027">
              <w:rPr>
                <w:sz w:val="18"/>
              </w:rPr>
              <w:t>5</w:t>
            </w:r>
          </w:p>
        </w:tc>
        <w:tc>
          <w:tcPr>
            <w:tcW w:w="602" w:type="dxa"/>
            <w:shd w:val="clear" w:color="auto" w:fill="auto"/>
            <w:vAlign w:val="bottom"/>
          </w:tcPr>
          <w:p w:rsidR="00ED3EE1" w:rsidRPr="008E5027" w:rsidRDefault="00ED3EE1" w:rsidP="009C1F67">
            <w:pPr>
              <w:suppressAutoHyphens w:val="0"/>
              <w:spacing w:before="40" w:line="220" w:lineRule="exact"/>
              <w:jc w:val="right"/>
              <w:rPr>
                <w:sz w:val="18"/>
              </w:rPr>
            </w:pPr>
            <w:r w:rsidRPr="008E5027">
              <w:rPr>
                <w:sz w:val="18"/>
              </w:rPr>
              <w:t>2</w:t>
            </w:r>
          </w:p>
        </w:tc>
        <w:tc>
          <w:tcPr>
            <w:tcW w:w="602" w:type="dxa"/>
            <w:shd w:val="clear" w:color="auto" w:fill="auto"/>
            <w:vAlign w:val="bottom"/>
          </w:tcPr>
          <w:p w:rsidR="00ED3EE1" w:rsidRPr="008E5027" w:rsidRDefault="00ED3EE1" w:rsidP="009C1F67">
            <w:pPr>
              <w:suppressAutoHyphens w:val="0"/>
              <w:spacing w:before="40" w:line="220" w:lineRule="exact"/>
              <w:jc w:val="right"/>
              <w:rPr>
                <w:sz w:val="18"/>
              </w:rPr>
            </w:pPr>
            <w:r w:rsidRPr="008E5027">
              <w:rPr>
                <w:sz w:val="18"/>
              </w:rPr>
              <w:t>4</w:t>
            </w:r>
          </w:p>
        </w:tc>
      </w:tr>
      <w:tr w:rsidR="00ED3EE1" w:rsidRPr="008E5027">
        <w:tc>
          <w:tcPr>
            <w:tcW w:w="4962" w:type="dxa"/>
            <w:tcBorders>
              <w:bottom w:val="single" w:sz="12" w:space="0" w:color="auto"/>
            </w:tcBorders>
            <w:shd w:val="clear" w:color="auto" w:fill="auto"/>
            <w:vAlign w:val="bottom"/>
          </w:tcPr>
          <w:p w:rsidR="00ED3EE1" w:rsidRPr="008E5027" w:rsidRDefault="00ED3EE1" w:rsidP="009C1F67">
            <w:pPr>
              <w:suppressAutoHyphens w:val="0"/>
              <w:spacing w:after="40" w:line="220" w:lineRule="exact"/>
              <w:rPr>
                <w:sz w:val="18"/>
              </w:rPr>
            </w:pPr>
          </w:p>
        </w:tc>
        <w:tc>
          <w:tcPr>
            <w:tcW w:w="602" w:type="dxa"/>
            <w:tcBorders>
              <w:bottom w:val="single" w:sz="12" w:space="0" w:color="auto"/>
            </w:tcBorders>
            <w:shd w:val="clear" w:color="auto" w:fill="auto"/>
            <w:vAlign w:val="bottom"/>
          </w:tcPr>
          <w:p w:rsidR="00ED3EE1" w:rsidRPr="008E5027" w:rsidRDefault="00ED3EE1" w:rsidP="009C1F67">
            <w:pPr>
              <w:suppressAutoHyphens w:val="0"/>
              <w:spacing w:after="40" w:line="220" w:lineRule="exact"/>
              <w:jc w:val="right"/>
              <w:rPr>
                <w:sz w:val="18"/>
              </w:rPr>
            </w:pPr>
          </w:p>
        </w:tc>
        <w:tc>
          <w:tcPr>
            <w:tcW w:w="602" w:type="dxa"/>
            <w:tcBorders>
              <w:bottom w:val="single" w:sz="12" w:space="0" w:color="auto"/>
            </w:tcBorders>
            <w:shd w:val="clear" w:color="auto" w:fill="auto"/>
            <w:vAlign w:val="bottom"/>
          </w:tcPr>
          <w:p w:rsidR="00ED3EE1" w:rsidRPr="008E5027" w:rsidRDefault="00ED3EE1" w:rsidP="009C1F67">
            <w:pPr>
              <w:suppressAutoHyphens w:val="0"/>
              <w:spacing w:after="40" w:line="220" w:lineRule="exact"/>
              <w:jc w:val="right"/>
              <w:rPr>
                <w:sz w:val="18"/>
              </w:rPr>
            </w:pPr>
            <w:r w:rsidRPr="008E5027">
              <w:rPr>
                <w:sz w:val="18"/>
              </w:rPr>
              <w:t>(1)</w:t>
            </w:r>
          </w:p>
        </w:tc>
        <w:tc>
          <w:tcPr>
            <w:tcW w:w="602" w:type="dxa"/>
            <w:tcBorders>
              <w:bottom w:val="single" w:sz="12" w:space="0" w:color="auto"/>
            </w:tcBorders>
            <w:shd w:val="clear" w:color="auto" w:fill="auto"/>
            <w:vAlign w:val="bottom"/>
          </w:tcPr>
          <w:p w:rsidR="00ED3EE1" w:rsidRPr="008E5027" w:rsidRDefault="00ED3EE1" w:rsidP="009C1F67">
            <w:pPr>
              <w:suppressAutoHyphens w:val="0"/>
              <w:spacing w:after="40" w:line="220" w:lineRule="exact"/>
              <w:jc w:val="right"/>
              <w:rPr>
                <w:sz w:val="18"/>
              </w:rPr>
            </w:pPr>
          </w:p>
        </w:tc>
        <w:tc>
          <w:tcPr>
            <w:tcW w:w="602" w:type="dxa"/>
            <w:tcBorders>
              <w:bottom w:val="single" w:sz="12" w:space="0" w:color="auto"/>
            </w:tcBorders>
            <w:shd w:val="clear" w:color="auto" w:fill="auto"/>
            <w:vAlign w:val="bottom"/>
          </w:tcPr>
          <w:p w:rsidR="00ED3EE1" w:rsidRPr="008E5027" w:rsidRDefault="00ED3EE1" w:rsidP="009C1F67">
            <w:pPr>
              <w:suppressAutoHyphens w:val="0"/>
              <w:spacing w:after="40" w:line="220" w:lineRule="exact"/>
              <w:jc w:val="right"/>
              <w:rPr>
                <w:sz w:val="18"/>
              </w:rPr>
            </w:pPr>
          </w:p>
        </w:tc>
      </w:tr>
    </w:tbl>
    <w:p w:rsidR="00093F0A" w:rsidRPr="00B21575" w:rsidRDefault="00093F0A" w:rsidP="003864E0">
      <w:pPr>
        <w:spacing w:before="120" w:after="240"/>
        <w:ind w:left="1134" w:right="1134" w:firstLine="170"/>
        <w:rPr>
          <w:sz w:val="18"/>
          <w:szCs w:val="18"/>
          <w:lang w:val="es-ES"/>
        </w:rPr>
      </w:pPr>
      <w:r w:rsidRPr="00B21575">
        <w:rPr>
          <w:sz w:val="18"/>
          <w:szCs w:val="18"/>
          <w:lang w:val="es-ES"/>
        </w:rPr>
        <w:t xml:space="preserve">*  </w:t>
      </w:r>
      <w:r w:rsidR="00B21575" w:rsidRPr="00B21575">
        <w:rPr>
          <w:sz w:val="18"/>
          <w:szCs w:val="18"/>
          <w:lang w:val="fr-FR"/>
        </w:rPr>
        <w:t>Les chiffres représentent le nombre d</w:t>
      </w:r>
      <w:r w:rsidR="00277023">
        <w:rPr>
          <w:sz w:val="18"/>
          <w:szCs w:val="18"/>
          <w:lang w:val="fr-FR"/>
        </w:rPr>
        <w:t>’</w:t>
      </w:r>
      <w:r w:rsidR="00B21575" w:rsidRPr="00B21575">
        <w:rPr>
          <w:sz w:val="18"/>
          <w:szCs w:val="18"/>
          <w:lang w:val="fr-FR"/>
        </w:rPr>
        <w:t>injonctions et ceux entre parenthèses le nombre d</w:t>
      </w:r>
      <w:r w:rsidR="00277023">
        <w:rPr>
          <w:sz w:val="18"/>
          <w:szCs w:val="18"/>
          <w:lang w:val="fr-FR"/>
        </w:rPr>
        <w:t>’</w:t>
      </w:r>
      <w:r w:rsidR="00B21575" w:rsidRPr="00B21575">
        <w:rPr>
          <w:sz w:val="18"/>
          <w:szCs w:val="18"/>
          <w:lang w:val="fr-FR"/>
        </w:rPr>
        <w:t>injonctions délivrées pour éviter les récidives</w:t>
      </w:r>
      <w:r w:rsidRPr="00B21575">
        <w:rPr>
          <w:sz w:val="18"/>
          <w:szCs w:val="18"/>
          <w:lang w:val="es-ES"/>
        </w:rPr>
        <w:t xml:space="preserve">. </w:t>
      </w:r>
    </w:p>
    <w:p w:rsidR="00B21575" w:rsidRPr="00B21575" w:rsidRDefault="00B21575" w:rsidP="00B21575">
      <w:pPr>
        <w:pStyle w:val="SingleTxtG"/>
        <w:rPr>
          <w:lang w:val="fr-FR"/>
        </w:rPr>
      </w:pPr>
      <w:r w:rsidRPr="00B21575">
        <w:rPr>
          <w:lang w:val="fr-FR"/>
        </w:rPr>
        <w:t>578.</w:t>
      </w:r>
      <w:r w:rsidRPr="00B21575">
        <w:rPr>
          <w:lang w:val="fr-FR"/>
        </w:rPr>
        <w:tab/>
        <w:t>En 2004, le nombre de victimes mineures d</w:t>
      </w:r>
      <w:r w:rsidR="00277023">
        <w:rPr>
          <w:lang w:val="fr-FR"/>
        </w:rPr>
        <w:t>’</w:t>
      </w:r>
      <w:r w:rsidRPr="00B21575">
        <w:rPr>
          <w:lang w:val="fr-FR"/>
        </w:rPr>
        <w:t>infractions à la santé et à la sécurité auxquels avaient participé des groupes de criminels organisés s</w:t>
      </w:r>
      <w:r w:rsidR="00277023">
        <w:rPr>
          <w:lang w:val="fr-FR"/>
        </w:rPr>
        <w:t>’</w:t>
      </w:r>
      <w:r w:rsidRPr="00B21575">
        <w:rPr>
          <w:lang w:val="fr-FR"/>
        </w:rPr>
        <w:t>est élevé à 675, soit 11,6</w:t>
      </w:r>
      <w:r w:rsidR="00277023">
        <w:rPr>
          <w:lang w:val="fr-FR"/>
        </w:rPr>
        <w:t>%</w:t>
      </w:r>
      <w:r w:rsidRPr="00B21575">
        <w:rPr>
          <w:lang w:val="fr-FR"/>
        </w:rPr>
        <w:t xml:space="preserve"> de l</w:t>
      </w:r>
      <w:r w:rsidR="00277023">
        <w:rPr>
          <w:lang w:val="fr-FR"/>
        </w:rPr>
        <w:t>’</w:t>
      </w:r>
      <w:r w:rsidRPr="00B21575">
        <w:rPr>
          <w:lang w:val="fr-FR"/>
        </w:rPr>
        <w:t>ensemble des victimes mineures d</w:t>
      </w:r>
      <w:r w:rsidR="00277023">
        <w:rPr>
          <w:lang w:val="fr-FR"/>
        </w:rPr>
        <w:t>’</w:t>
      </w:r>
      <w:r w:rsidRPr="00B21575">
        <w:rPr>
          <w:lang w:val="fr-FR"/>
        </w:rPr>
        <w:t xml:space="preserve">infractions à la santé et à la sécurité. On sait également que les gangs sont impliqués dans des crimes extrêmement nuisibles, comme le trafic de drogue, la prostitution de jeunes filles et autres délits du même registre. </w:t>
      </w:r>
    </w:p>
    <w:p w:rsidR="00B21575" w:rsidRPr="00B21575" w:rsidRDefault="00B21575" w:rsidP="00B21575">
      <w:pPr>
        <w:pStyle w:val="SingleTxtG"/>
        <w:rPr>
          <w:lang w:val="fr-FR"/>
        </w:rPr>
      </w:pPr>
      <w:r w:rsidRPr="00B21575">
        <w:rPr>
          <w:lang w:val="fr-FR"/>
        </w:rPr>
        <w:t>(Recherche et protection des jeunes fugueurs)</w:t>
      </w:r>
    </w:p>
    <w:p w:rsidR="00093F0A" w:rsidRPr="00B21575" w:rsidRDefault="00B21575" w:rsidP="00B21575">
      <w:pPr>
        <w:pStyle w:val="SingleTxtG"/>
        <w:rPr>
          <w:lang w:val="es-ES"/>
        </w:rPr>
      </w:pPr>
      <w:r w:rsidRPr="00B21575">
        <w:rPr>
          <w:lang w:val="fr-FR"/>
        </w:rPr>
        <w:t>579.</w:t>
      </w:r>
      <w:r w:rsidRPr="00B21575">
        <w:rPr>
          <w:lang w:val="fr-FR"/>
        </w:rPr>
        <w:tab/>
        <w:t>Les services chargés de l</w:t>
      </w:r>
      <w:r w:rsidR="00277023">
        <w:rPr>
          <w:lang w:val="fr-FR"/>
        </w:rPr>
        <w:t>’</w:t>
      </w:r>
      <w:r w:rsidRPr="00B21575">
        <w:rPr>
          <w:lang w:val="fr-FR"/>
        </w:rPr>
        <w:t>application de la loi mènent des activités qui contribuent à la recherche et à la protection des jeunes fugueurs et déploient des efforts particuliers pour retrouver et protéger les jeunes fugueurs dont la vie ou la sécurité peut être menacée, ou qui peuvent subir les préjudices d</w:t>
      </w:r>
      <w:r w:rsidR="00277023">
        <w:rPr>
          <w:lang w:val="fr-FR"/>
        </w:rPr>
        <w:t>’</w:t>
      </w:r>
      <w:r w:rsidRPr="00B21575">
        <w:rPr>
          <w:lang w:val="fr-FR"/>
        </w:rPr>
        <w:t>un crime nuisible à leur bien-être.</w:t>
      </w:r>
    </w:p>
    <w:p w:rsidR="00093F0A" w:rsidRPr="00B21575" w:rsidRDefault="00365506" w:rsidP="00093F0A">
      <w:pPr>
        <w:pStyle w:val="Heading1"/>
        <w:rPr>
          <w:lang w:val="es-ES"/>
        </w:rPr>
      </w:pPr>
      <w:r w:rsidRPr="00F206B8">
        <w:rPr>
          <w:lang w:val="fr-FR"/>
        </w:rPr>
        <w:t>Tableau</w:t>
      </w:r>
      <w:r w:rsidRPr="00F206B8">
        <w:rPr>
          <w:lang w:val="es-ES"/>
        </w:rPr>
        <w:t xml:space="preserve"> </w:t>
      </w:r>
      <w:r w:rsidR="00093F0A" w:rsidRPr="00B21575">
        <w:rPr>
          <w:lang w:val="es-ES"/>
        </w:rPr>
        <w:t>35</w:t>
      </w:r>
    </w:p>
    <w:p w:rsidR="00093F0A" w:rsidRPr="00B21575" w:rsidRDefault="00007C02" w:rsidP="00C874F0">
      <w:pPr>
        <w:pStyle w:val="SingleTxtG"/>
        <w:jc w:val="left"/>
        <w:rPr>
          <w:b/>
          <w:bCs/>
          <w:lang w:val="es-ES"/>
        </w:rPr>
      </w:pPr>
      <w:r>
        <w:rPr>
          <w:b/>
          <w:bCs/>
          <w:lang w:val="fr-FR"/>
        </w:rPr>
        <w:t>É</w:t>
      </w:r>
      <w:r w:rsidR="00B21575" w:rsidRPr="00B21575">
        <w:rPr>
          <w:b/>
          <w:bCs/>
          <w:lang w:val="fr-FR"/>
        </w:rPr>
        <w:t>volution du nombre de jeunes fugueurs retrouvés ou protégés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9"/>
        <w:gridCol w:w="850"/>
        <w:gridCol w:w="850"/>
        <w:gridCol w:w="850"/>
        <w:gridCol w:w="851"/>
      </w:tblGrid>
      <w:tr w:rsidR="00093F0A" w:rsidRPr="008E5027">
        <w:tc>
          <w:tcPr>
            <w:tcW w:w="3969" w:type="dxa"/>
            <w:tcBorders>
              <w:top w:val="single" w:sz="4" w:space="0" w:color="auto"/>
              <w:bottom w:val="single" w:sz="12" w:space="0" w:color="auto"/>
            </w:tcBorders>
            <w:shd w:val="clear" w:color="auto" w:fill="auto"/>
            <w:vAlign w:val="bottom"/>
          </w:tcPr>
          <w:p w:rsidR="00093F0A" w:rsidRPr="00B21575" w:rsidRDefault="00093F0A" w:rsidP="005D4774">
            <w:pPr>
              <w:spacing w:before="80" w:after="80" w:line="200" w:lineRule="exact"/>
              <w:rPr>
                <w:i/>
                <w:sz w:val="16"/>
                <w:lang w:val="es-ES"/>
              </w:rPr>
            </w:pPr>
          </w:p>
        </w:tc>
        <w:tc>
          <w:tcPr>
            <w:tcW w:w="850"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2001</w:t>
            </w:r>
          </w:p>
        </w:tc>
        <w:tc>
          <w:tcPr>
            <w:tcW w:w="850"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2002</w:t>
            </w:r>
          </w:p>
        </w:tc>
        <w:tc>
          <w:tcPr>
            <w:tcW w:w="850"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2003</w:t>
            </w:r>
          </w:p>
        </w:tc>
        <w:tc>
          <w:tcPr>
            <w:tcW w:w="851" w:type="dxa"/>
            <w:tcBorders>
              <w:top w:val="single" w:sz="4" w:space="0" w:color="auto"/>
              <w:bottom w:val="single" w:sz="12" w:space="0" w:color="auto"/>
            </w:tcBorders>
            <w:shd w:val="clear" w:color="auto" w:fill="auto"/>
            <w:vAlign w:val="bottom"/>
          </w:tcPr>
          <w:p w:rsidR="00093F0A" w:rsidRPr="008E5027" w:rsidRDefault="00093F0A" w:rsidP="005D4774">
            <w:pPr>
              <w:spacing w:before="80" w:after="80" w:line="200" w:lineRule="exact"/>
              <w:jc w:val="right"/>
              <w:rPr>
                <w:i/>
                <w:sz w:val="16"/>
              </w:rPr>
            </w:pPr>
            <w:r w:rsidRPr="008E5027">
              <w:rPr>
                <w:i/>
                <w:sz w:val="16"/>
              </w:rPr>
              <w:t>2004</w:t>
            </w:r>
          </w:p>
        </w:tc>
      </w:tr>
      <w:tr w:rsidR="00093F0A" w:rsidRPr="008E5027">
        <w:tc>
          <w:tcPr>
            <w:tcW w:w="3969" w:type="dxa"/>
            <w:tcBorders>
              <w:top w:val="single" w:sz="12" w:space="0" w:color="auto"/>
              <w:bottom w:val="single" w:sz="12" w:space="0" w:color="auto"/>
            </w:tcBorders>
            <w:shd w:val="clear" w:color="auto" w:fill="auto"/>
            <w:vAlign w:val="bottom"/>
          </w:tcPr>
          <w:p w:rsidR="00093F0A" w:rsidRPr="00B21575" w:rsidRDefault="00B21575" w:rsidP="005D4774">
            <w:pPr>
              <w:suppressAutoHyphens w:val="0"/>
              <w:spacing w:before="40" w:after="40" w:line="220" w:lineRule="exact"/>
              <w:rPr>
                <w:sz w:val="18"/>
                <w:lang w:val="es-ES"/>
              </w:rPr>
            </w:pPr>
            <w:r w:rsidRPr="00B21575">
              <w:rPr>
                <w:sz w:val="18"/>
                <w:lang w:val="fr-FR"/>
              </w:rPr>
              <w:t>Jeunes fugueurs retrouvés ou protégés</w:t>
            </w:r>
          </w:p>
        </w:tc>
        <w:tc>
          <w:tcPr>
            <w:tcW w:w="850" w:type="dxa"/>
            <w:tcBorders>
              <w:top w:val="single" w:sz="12" w:space="0" w:color="auto"/>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26 232</w:t>
            </w:r>
          </w:p>
        </w:tc>
        <w:tc>
          <w:tcPr>
            <w:tcW w:w="850" w:type="dxa"/>
            <w:tcBorders>
              <w:top w:val="single" w:sz="12" w:space="0" w:color="auto"/>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23 815</w:t>
            </w:r>
          </w:p>
        </w:tc>
        <w:tc>
          <w:tcPr>
            <w:tcW w:w="850" w:type="dxa"/>
            <w:tcBorders>
              <w:top w:val="single" w:sz="12" w:space="0" w:color="auto"/>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22 615</w:t>
            </w:r>
          </w:p>
        </w:tc>
        <w:tc>
          <w:tcPr>
            <w:tcW w:w="851" w:type="dxa"/>
            <w:tcBorders>
              <w:top w:val="single" w:sz="12" w:space="0" w:color="auto"/>
              <w:bottom w:val="single" w:sz="12" w:space="0" w:color="auto"/>
            </w:tcBorders>
            <w:shd w:val="clear" w:color="auto" w:fill="auto"/>
            <w:vAlign w:val="bottom"/>
          </w:tcPr>
          <w:p w:rsidR="00093F0A" w:rsidRPr="008E5027" w:rsidRDefault="00093F0A" w:rsidP="005D4774">
            <w:pPr>
              <w:suppressAutoHyphens w:val="0"/>
              <w:spacing w:before="40" w:after="40" w:line="220" w:lineRule="exact"/>
              <w:jc w:val="right"/>
              <w:rPr>
                <w:sz w:val="18"/>
              </w:rPr>
            </w:pPr>
            <w:r w:rsidRPr="008E5027">
              <w:rPr>
                <w:sz w:val="18"/>
              </w:rPr>
              <w:t>18 704</w:t>
            </w:r>
          </w:p>
        </w:tc>
      </w:tr>
    </w:tbl>
    <w:p w:rsidR="00093F0A" w:rsidRPr="008E5027" w:rsidRDefault="00093F0A" w:rsidP="00851BEB">
      <w:pPr>
        <w:spacing w:before="120"/>
        <w:ind w:left="1134" w:right="1134" w:firstLine="170"/>
        <w:rPr>
          <w:sz w:val="18"/>
          <w:szCs w:val="18"/>
        </w:rPr>
      </w:pPr>
      <w:r w:rsidRPr="008E5027">
        <w:rPr>
          <w:i/>
          <w:iCs/>
          <w:sz w:val="18"/>
          <w:szCs w:val="18"/>
        </w:rPr>
        <w:t>Source</w:t>
      </w:r>
      <w:r w:rsidRPr="00D429EA">
        <w:rPr>
          <w:i/>
          <w:iCs/>
          <w:sz w:val="18"/>
          <w:szCs w:val="18"/>
        </w:rPr>
        <w:t>:</w:t>
      </w:r>
      <w:r w:rsidRPr="008E5027">
        <w:rPr>
          <w:iCs/>
          <w:sz w:val="18"/>
          <w:szCs w:val="18"/>
        </w:rPr>
        <w:t xml:space="preserve"> </w:t>
      </w:r>
      <w:r w:rsidR="00B21575" w:rsidRPr="00B21575">
        <w:rPr>
          <w:sz w:val="18"/>
          <w:szCs w:val="18"/>
          <w:lang w:val="fr-FR"/>
        </w:rPr>
        <w:t>Police nationale</w:t>
      </w:r>
      <w:r w:rsidRPr="008E5027">
        <w:rPr>
          <w:sz w:val="18"/>
          <w:szCs w:val="18"/>
        </w:rPr>
        <w:t>.</w:t>
      </w:r>
    </w:p>
    <w:p w:rsidR="00B21575" w:rsidRPr="00B21575" w:rsidRDefault="00B21575" w:rsidP="00B21575">
      <w:pPr>
        <w:pStyle w:val="H1G"/>
      </w:pPr>
      <w:r>
        <w:tab/>
        <w:t>D.</w:t>
      </w:r>
      <w:r>
        <w:tab/>
      </w:r>
      <w:r w:rsidRPr="00B21575">
        <w:t>Enfants appartenant à un groupe minoritaire ou autochtone (article 30)</w:t>
      </w:r>
    </w:p>
    <w:p w:rsidR="00B21575" w:rsidRPr="00B21575" w:rsidRDefault="00B21575" w:rsidP="00B21575">
      <w:pPr>
        <w:pStyle w:val="SingleTxtG"/>
      </w:pPr>
      <w:r w:rsidRPr="00B21575">
        <w:t>(Activités éducatives)</w:t>
      </w:r>
    </w:p>
    <w:p w:rsidR="00B21575" w:rsidRPr="00B21575" w:rsidRDefault="00B21575" w:rsidP="00B21575">
      <w:pPr>
        <w:pStyle w:val="SingleTxtG"/>
      </w:pPr>
      <w:r w:rsidRPr="00B21575">
        <w:t>580.</w:t>
      </w:r>
      <w:r w:rsidRPr="00B21575">
        <w:tab/>
        <w:t xml:space="preserve">Voir paragraphes 112, 113, 514, 515 et 516 du deuxième rapport du Japon. </w:t>
      </w:r>
    </w:p>
    <w:p w:rsidR="00B21575" w:rsidRPr="009B26C2" w:rsidRDefault="00B21575" w:rsidP="00B21575">
      <w:pPr>
        <w:pStyle w:val="SingleTxtG"/>
        <w:rPr>
          <w:lang w:val="es-ES"/>
        </w:rPr>
      </w:pPr>
      <w:r w:rsidRPr="00B21575">
        <w:rPr>
          <w:lang w:val="es-ES"/>
        </w:rPr>
        <w:t>581.</w:t>
      </w:r>
      <w:r w:rsidRPr="00B21575">
        <w:rPr>
          <w:lang w:val="es-ES"/>
        </w:rPr>
        <w:tab/>
        <w:t>On note des cas de calomnie et de diffamation à l</w:t>
      </w:r>
      <w:r w:rsidR="00277023">
        <w:rPr>
          <w:lang w:val="es-ES"/>
        </w:rPr>
        <w:t>’</w:t>
      </w:r>
      <w:r w:rsidRPr="00B21575">
        <w:rPr>
          <w:lang w:val="es-ES"/>
        </w:rPr>
        <w:t>égard du peuple Ainou parmi les affaires relatives aux groupes minoritaires et autochtones traitées par les organes de défense des droits de l</w:t>
      </w:r>
      <w:r w:rsidR="00277023">
        <w:rPr>
          <w:lang w:val="es-ES"/>
        </w:rPr>
        <w:t>’</w:t>
      </w:r>
      <w:r w:rsidRPr="00B21575">
        <w:rPr>
          <w:lang w:val="es-ES"/>
        </w:rPr>
        <w:t xml:space="preserve">homme du Ministère de la justice. </w:t>
      </w:r>
      <w:r w:rsidRPr="009B26C2">
        <w:rPr>
          <w:lang w:val="es-ES"/>
        </w:rPr>
        <w:t>Ces derniers se sont activement engagés dans la lutte contre ce phénomène, en offrant des services de conseil relatifs aux droits de l</w:t>
      </w:r>
      <w:r w:rsidR="00277023">
        <w:rPr>
          <w:lang w:val="es-ES"/>
        </w:rPr>
        <w:t>’</w:t>
      </w:r>
      <w:r w:rsidRPr="009B26C2">
        <w:rPr>
          <w:lang w:val="es-ES"/>
        </w:rPr>
        <w:t>homme, en menant des enquêtes et en résolvant des cas de violation des droits de l</w:t>
      </w:r>
      <w:r w:rsidR="00277023">
        <w:rPr>
          <w:lang w:val="es-ES"/>
        </w:rPr>
        <w:t>’</w:t>
      </w:r>
      <w:r w:rsidRPr="009B26C2">
        <w:rPr>
          <w:lang w:val="es-ES"/>
        </w:rPr>
        <w:t xml:space="preserve">homme. </w:t>
      </w:r>
    </w:p>
    <w:p w:rsidR="00B21575" w:rsidRPr="00B21575" w:rsidRDefault="00B21575" w:rsidP="00B21575">
      <w:pPr>
        <w:pStyle w:val="SingleTxtG"/>
        <w:rPr>
          <w:lang w:val="es-ES"/>
        </w:rPr>
      </w:pPr>
      <w:r w:rsidRPr="00B21575">
        <w:rPr>
          <w:lang w:val="es-ES"/>
        </w:rPr>
        <w:t>(Garantir la possibilité de recevoir une éducation)</w:t>
      </w:r>
    </w:p>
    <w:p w:rsidR="00093F0A" w:rsidRPr="00B21575" w:rsidRDefault="00B21575" w:rsidP="00B21575">
      <w:pPr>
        <w:pStyle w:val="SingleTxtG"/>
      </w:pPr>
      <w:r w:rsidRPr="00B21575">
        <w:t>582.</w:t>
      </w:r>
      <w:r w:rsidRPr="00B21575">
        <w:tab/>
        <w:t>Voir paragraphe 50 du rapport initial du Japon.</w:t>
      </w:r>
    </w:p>
    <w:p w:rsidR="00093F0A" w:rsidRPr="008E5027" w:rsidRDefault="00093F0A" w:rsidP="00093F0A">
      <w:pPr>
        <w:spacing w:before="240"/>
        <w:jc w:val="center"/>
        <w:rPr>
          <w:u w:val="single"/>
        </w:rPr>
      </w:pPr>
      <w:r w:rsidRPr="008E5027">
        <w:rPr>
          <w:u w:val="single"/>
        </w:rPr>
        <w:tab/>
      </w:r>
      <w:r w:rsidRPr="008E5027">
        <w:rPr>
          <w:u w:val="single"/>
        </w:rPr>
        <w:tab/>
      </w:r>
      <w:r w:rsidRPr="008E5027">
        <w:rPr>
          <w:u w:val="single"/>
        </w:rPr>
        <w:tab/>
      </w:r>
    </w:p>
    <w:sectPr w:rsidR="00093F0A" w:rsidRPr="008E5027" w:rsidSect="00093F0A">
      <w:headerReference w:type="even" r:id="rId18"/>
      <w:headerReference w:type="default" r:id="rId19"/>
      <w:footerReference w:type="even" r:id="rId20"/>
      <w:footerReference w:type="default" r:id="rId21"/>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D2" w:rsidRDefault="00AA29D2"/>
  </w:endnote>
  <w:endnote w:type="continuationSeparator" w:id="0">
    <w:p w:rsidR="00AA29D2" w:rsidRDefault="00AA29D2"/>
  </w:endnote>
  <w:endnote w:type="continuationNotice" w:id="1">
    <w:p w:rsidR="00AA29D2" w:rsidRDefault="00AA2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0A78E8" w:rsidRDefault="003B6268" w:rsidP="000A78E8">
    <w:pPr>
      <w:pStyle w:val="Footer"/>
      <w:tabs>
        <w:tab w:val="right" w:pos="9598"/>
      </w:tabs>
    </w:pPr>
    <w:r w:rsidRPr="000A78E8">
      <w:rPr>
        <w:b/>
        <w:sz w:val="18"/>
      </w:rPr>
      <w:fldChar w:fldCharType="begin"/>
    </w:r>
    <w:r w:rsidRPr="000A78E8">
      <w:rPr>
        <w:b/>
        <w:sz w:val="18"/>
      </w:rPr>
      <w:instrText xml:space="preserve"> PAGE  \* MERGEFORMAT </w:instrText>
    </w:r>
    <w:r w:rsidRPr="000A78E8">
      <w:rPr>
        <w:b/>
        <w:sz w:val="18"/>
      </w:rPr>
      <w:fldChar w:fldCharType="separate"/>
    </w:r>
    <w:r w:rsidR="00CA359F">
      <w:rPr>
        <w:b/>
        <w:noProof/>
        <w:sz w:val="18"/>
      </w:rPr>
      <w:t>104</w:t>
    </w:r>
    <w:r w:rsidRPr="000A78E8">
      <w:rPr>
        <w:b/>
        <w:sz w:val="18"/>
      </w:rPr>
      <w:fldChar w:fldCharType="end"/>
    </w:r>
    <w:r>
      <w:rPr>
        <w:sz w:val="18"/>
      </w:rPr>
      <w:tab/>
    </w:r>
    <w:r>
      <w:t>GE.09-45108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0A78E8" w:rsidRDefault="003B6268" w:rsidP="000A78E8">
    <w:pPr>
      <w:pStyle w:val="Footer"/>
      <w:tabs>
        <w:tab w:val="right" w:pos="9598"/>
      </w:tabs>
      <w:rPr>
        <w:b/>
        <w:sz w:val="18"/>
      </w:rPr>
    </w:pPr>
    <w:r>
      <w:t>GE.09-45108  (EXT)</w:t>
    </w:r>
    <w:r>
      <w:tab/>
    </w:r>
    <w:r w:rsidRPr="000A78E8">
      <w:rPr>
        <w:b/>
        <w:sz w:val="18"/>
      </w:rPr>
      <w:fldChar w:fldCharType="begin"/>
    </w:r>
    <w:r w:rsidRPr="000A78E8">
      <w:rPr>
        <w:b/>
        <w:sz w:val="18"/>
      </w:rPr>
      <w:instrText xml:space="preserve"> PAGE  \* MERGEFORMAT </w:instrText>
    </w:r>
    <w:r w:rsidRPr="000A78E8">
      <w:rPr>
        <w:b/>
        <w:sz w:val="18"/>
      </w:rPr>
      <w:fldChar w:fldCharType="separate"/>
    </w:r>
    <w:r w:rsidR="00CA359F">
      <w:rPr>
        <w:b/>
        <w:noProof/>
        <w:sz w:val="18"/>
      </w:rPr>
      <w:t>103</w:t>
    </w:r>
    <w:r w:rsidRPr="000A78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C01E72" w:rsidRDefault="003B6268">
    <w:pPr>
      <w:pStyle w:val="Footer"/>
      <w:rPr>
        <w:sz w:val="20"/>
      </w:rPr>
    </w:pPr>
    <w:r>
      <w:rPr>
        <w:sz w:val="20"/>
      </w:rPr>
      <w:t>GE.09-45108  (EXT)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583060" w:rsidRDefault="003B6268" w:rsidP="0058306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583060" w:rsidRDefault="003B6268" w:rsidP="0058306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093F0A" w:rsidRDefault="003B6268" w:rsidP="00093F0A">
    <w:pPr>
      <w:pStyle w:val="Footer"/>
      <w:tabs>
        <w:tab w:val="right" w:pos="9598"/>
      </w:tabs>
      <w:rPr>
        <w:b/>
        <w:sz w:val="18"/>
      </w:rPr>
    </w:pPr>
    <w:r w:rsidRPr="00093F0A">
      <w:rPr>
        <w:b/>
        <w:sz w:val="18"/>
      </w:rPr>
      <w:fldChar w:fldCharType="begin"/>
    </w:r>
    <w:r w:rsidRPr="00093F0A">
      <w:rPr>
        <w:b/>
        <w:sz w:val="18"/>
      </w:rPr>
      <w:instrText xml:space="preserve"> PAGE  \* MERGEFORMAT </w:instrText>
    </w:r>
    <w:r w:rsidRPr="00093F0A">
      <w:rPr>
        <w:b/>
        <w:sz w:val="18"/>
      </w:rPr>
      <w:fldChar w:fldCharType="separate"/>
    </w:r>
    <w:r w:rsidR="00CA359F">
      <w:rPr>
        <w:b/>
        <w:noProof/>
        <w:sz w:val="18"/>
      </w:rPr>
      <w:t>122</w:t>
    </w:r>
    <w:r w:rsidRPr="00093F0A">
      <w:rPr>
        <w:b/>
        <w:sz w:val="18"/>
      </w:rPr>
      <w:fldChar w:fldCharType="end"/>
    </w:r>
    <w:r>
      <w:rPr>
        <w:b/>
        <w:sz w:val="18"/>
      </w:rPr>
      <w:tab/>
    </w:r>
    <w:r w:rsidRPr="00093F0A">
      <w:t>GE.09-4510</w:t>
    </w:r>
    <w:r>
      <w:t>8  (EXT)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093F0A" w:rsidRDefault="003B6268" w:rsidP="00093F0A">
    <w:pPr>
      <w:pStyle w:val="Footer"/>
      <w:tabs>
        <w:tab w:val="right" w:pos="9598"/>
      </w:tabs>
      <w:rPr>
        <w:b/>
        <w:sz w:val="18"/>
      </w:rPr>
    </w:pPr>
    <w:r>
      <w:t>GE.09-45108  (EXT)</w:t>
    </w:r>
    <w:r>
      <w:tab/>
    </w:r>
    <w:r w:rsidRPr="00093F0A">
      <w:rPr>
        <w:b/>
        <w:sz w:val="18"/>
      </w:rPr>
      <w:fldChar w:fldCharType="begin"/>
    </w:r>
    <w:r w:rsidRPr="00093F0A">
      <w:rPr>
        <w:b/>
        <w:sz w:val="18"/>
      </w:rPr>
      <w:instrText xml:space="preserve"> PAGE  \* MERGEFORMAT </w:instrText>
    </w:r>
    <w:r w:rsidRPr="00093F0A">
      <w:rPr>
        <w:b/>
        <w:sz w:val="18"/>
      </w:rPr>
      <w:fldChar w:fldCharType="separate"/>
    </w:r>
    <w:r w:rsidR="00CA359F">
      <w:rPr>
        <w:b/>
        <w:noProof/>
        <w:sz w:val="18"/>
      </w:rPr>
      <w:t>123</w:t>
    </w:r>
    <w:r w:rsidRPr="00093F0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D2" w:rsidRPr="000B175B" w:rsidRDefault="00AA29D2" w:rsidP="000B175B">
      <w:pPr>
        <w:tabs>
          <w:tab w:val="right" w:pos="2155"/>
        </w:tabs>
        <w:spacing w:after="80"/>
        <w:ind w:left="680"/>
        <w:rPr>
          <w:u w:val="single"/>
        </w:rPr>
      </w:pPr>
      <w:r>
        <w:rPr>
          <w:u w:val="single"/>
        </w:rPr>
        <w:tab/>
      </w:r>
    </w:p>
  </w:footnote>
  <w:footnote w:type="continuationSeparator" w:id="0">
    <w:p w:rsidR="00AA29D2" w:rsidRPr="00FC68B7" w:rsidRDefault="00AA29D2" w:rsidP="00FC68B7">
      <w:pPr>
        <w:tabs>
          <w:tab w:val="left" w:pos="2155"/>
        </w:tabs>
        <w:spacing w:after="80"/>
        <w:ind w:left="680"/>
        <w:rPr>
          <w:u w:val="single"/>
        </w:rPr>
      </w:pPr>
      <w:r>
        <w:rPr>
          <w:u w:val="single"/>
        </w:rPr>
        <w:tab/>
      </w:r>
    </w:p>
  </w:footnote>
  <w:footnote w:type="continuationNotice" w:id="1">
    <w:p w:rsidR="00AA29D2" w:rsidRDefault="00AA29D2"/>
  </w:footnote>
  <w:footnote w:id="2">
    <w:p w:rsidR="003B6268" w:rsidRPr="000B55EC" w:rsidRDefault="003B6268">
      <w:pPr>
        <w:pStyle w:val="FootnoteText"/>
        <w:rPr>
          <w:lang w:val="fr-FR"/>
        </w:rPr>
      </w:pPr>
      <w:r>
        <w:tab/>
      </w:r>
      <w:r w:rsidRPr="000B55EC">
        <w:rPr>
          <w:rStyle w:val="FootnoteReference"/>
          <w:sz w:val="20"/>
          <w:vertAlign w:val="baseline"/>
          <w:lang w:val="fr-FR"/>
        </w:rPr>
        <w:t>*</w:t>
      </w:r>
      <w:r w:rsidRPr="000B55EC">
        <w:rPr>
          <w:sz w:val="20"/>
          <w:lang w:val="fr-FR"/>
        </w:rPr>
        <w:tab/>
      </w:r>
      <w:r w:rsidRPr="000B55EC">
        <w:rPr>
          <w:rFonts w:eastAsia="SimSun"/>
          <w:lang w:val="fr-FR" w:eastAsia="zh-CN"/>
        </w:rPr>
        <w:t>Conformément aux informations communiquées aux Etats parties concernant le traitement de leurs rapports, le présent document n</w:t>
      </w:r>
      <w:r>
        <w:rPr>
          <w:rFonts w:eastAsia="SimSun"/>
          <w:lang w:val="fr-FR" w:eastAsia="zh-CN"/>
        </w:rPr>
        <w:t>’</w:t>
      </w:r>
      <w:r w:rsidRPr="000B55EC">
        <w:rPr>
          <w:rFonts w:eastAsia="SimSun"/>
          <w:lang w:val="fr-FR" w:eastAsia="zh-CN"/>
        </w:rPr>
        <w:t>a pas été revu par les services d</w:t>
      </w:r>
      <w:r>
        <w:rPr>
          <w:rFonts w:eastAsia="SimSun"/>
          <w:lang w:val="fr-FR" w:eastAsia="zh-CN"/>
        </w:rPr>
        <w:t>’</w:t>
      </w:r>
      <w:r w:rsidRPr="000B55EC">
        <w:rPr>
          <w:rFonts w:eastAsia="SimSun"/>
          <w:lang w:val="fr-FR" w:eastAsia="zh-CN"/>
        </w:rPr>
        <w:t>édition avant d</w:t>
      </w:r>
      <w:r>
        <w:rPr>
          <w:rFonts w:eastAsia="SimSun"/>
          <w:lang w:val="fr-FR" w:eastAsia="zh-CN"/>
        </w:rPr>
        <w:t>’</w:t>
      </w:r>
      <w:r w:rsidRPr="000B55EC">
        <w:rPr>
          <w:rFonts w:eastAsia="SimSun"/>
          <w:lang w:val="fr-FR" w:eastAsia="zh-CN"/>
        </w:rPr>
        <w:t>être envoyé aux services de traduction de l</w:t>
      </w:r>
      <w:r>
        <w:rPr>
          <w:rFonts w:eastAsia="SimSun"/>
          <w:lang w:val="fr-FR" w:eastAsia="zh-CN"/>
        </w:rPr>
        <w:t>’</w:t>
      </w:r>
      <w:r w:rsidRPr="000B55EC">
        <w:rPr>
          <w:rFonts w:eastAsia="SimSun"/>
          <w:lang w:val="fr-FR" w:eastAsia="zh-CN"/>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0A78E8" w:rsidRDefault="003B6268" w:rsidP="000A78E8">
    <w:pPr>
      <w:pStyle w:val="Header"/>
    </w:pPr>
    <w:r w:rsidRPr="000A78E8">
      <w:t>CRC/C/JPN/3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0A78E8" w:rsidRDefault="003B6268" w:rsidP="000A78E8">
    <w:pPr>
      <w:pStyle w:val="Header"/>
      <w:jc w:val="right"/>
    </w:pPr>
    <w:r w:rsidRPr="000A78E8">
      <w:t>CRC/C/JPN/3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583060" w:rsidRDefault="003B6268" w:rsidP="00583060">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3" type="#_x0000_t202" style="position:absolute;margin-left:83.3pt;margin-top:56.65pt;width:17.55pt;height:481.9pt;z-index:2;mso-position-horizontal-relative:page;mso-position-vertical-relative:page" stroked="f">
          <v:textbox style="layout-flow:vertical" inset="0,0,0,0">
            <w:txbxContent>
              <w:p w:rsidR="003B6268" w:rsidRPr="000A78E8" w:rsidRDefault="003B6268" w:rsidP="00583060">
                <w:pPr>
                  <w:pStyle w:val="Footer"/>
                  <w:tabs>
                    <w:tab w:val="right" w:pos="9598"/>
                  </w:tabs>
                </w:pPr>
                <w:r w:rsidRPr="000A78E8">
                  <w:rPr>
                    <w:b/>
                    <w:sz w:val="18"/>
                  </w:rPr>
                  <w:fldChar w:fldCharType="begin"/>
                </w:r>
                <w:r w:rsidRPr="000A78E8">
                  <w:rPr>
                    <w:b/>
                    <w:sz w:val="18"/>
                  </w:rPr>
                  <w:instrText xml:space="preserve"> PAGE  \* MERGEFORMAT </w:instrText>
                </w:r>
                <w:r w:rsidRPr="000A78E8">
                  <w:rPr>
                    <w:b/>
                    <w:sz w:val="18"/>
                  </w:rPr>
                  <w:fldChar w:fldCharType="separate"/>
                </w:r>
                <w:r>
                  <w:rPr>
                    <w:b/>
                    <w:noProof/>
                    <w:sz w:val="18"/>
                  </w:rPr>
                  <w:t>106</w:t>
                </w:r>
                <w:r w:rsidRPr="000A78E8">
                  <w:rPr>
                    <w:b/>
                    <w:sz w:val="18"/>
                  </w:rPr>
                  <w:fldChar w:fldCharType="end"/>
                </w:r>
                <w:r>
                  <w:rPr>
                    <w:sz w:val="18"/>
                  </w:rPr>
                  <w:tab/>
                </w:r>
                <w:r>
                  <w:t>GE.09-45108  (EXT)</w:t>
                </w:r>
              </w:p>
              <w:p w:rsidR="003B6268" w:rsidRDefault="003B6268"/>
            </w:txbxContent>
          </v:textbox>
          <w10:anchorlock/>
        </v:shape>
      </w:pict>
    </w:r>
    <w:r>
      <w:rPr>
        <w:noProof/>
        <w:lang w:val="en-US"/>
      </w:rPr>
      <w:pict>
        <v:shape id="_x0000_s2052" type="#_x0000_t202" style="position:absolute;margin-left:771pt;margin-top:56.65pt;width:17.55pt;height:481.9pt;z-index:1;mso-position-horizontal-relative:page;mso-position-vertical-relative:page" stroked="f">
          <v:textbox style="layout-flow:vertical" inset="0,0,0,0">
            <w:txbxContent>
              <w:p w:rsidR="003B6268" w:rsidRPr="000A78E8" w:rsidRDefault="003B6268" w:rsidP="00583060">
                <w:pPr>
                  <w:pStyle w:val="Header"/>
                </w:pPr>
                <w:r w:rsidRPr="000A78E8">
                  <w:t>CRC/C/JPN/3</w:t>
                </w:r>
              </w:p>
              <w:p w:rsidR="003B6268" w:rsidRDefault="003B6268"/>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583060" w:rsidRDefault="003B6268" w:rsidP="00583060">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5" type="#_x0000_t202" style="position:absolute;margin-left:78.5pt;margin-top:56.65pt;width:17.55pt;height:481.9pt;z-index:4;mso-position-horizontal-relative:page;mso-position-vertical-relative:page" stroked="f">
          <v:textbox style="layout-flow:vertical" inset="0,0,0,0">
            <w:txbxContent>
              <w:p w:rsidR="003B6268" w:rsidRDefault="003B6268" w:rsidP="00580E85">
                <w:pPr>
                  <w:pStyle w:val="Footer"/>
                  <w:tabs>
                    <w:tab w:val="right" w:pos="9598"/>
                  </w:tabs>
                </w:pPr>
                <w:r>
                  <w:t>GE.09-45108</w:t>
                </w:r>
                <w:r w:rsidR="00580E85">
                  <w:t xml:space="preserve">  (EXT)</w:t>
                </w:r>
                <w:r>
                  <w:tab/>
                </w:r>
                <w:r w:rsidRPr="00580E85">
                  <w:rPr>
                    <w:b/>
                    <w:sz w:val="18"/>
                  </w:rPr>
                  <w:fldChar w:fldCharType="begin"/>
                </w:r>
                <w:r w:rsidRPr="00580E85">
                  <w:rPr>
                    <w:b/>
                    <w:sz w:val="18"/>
                  </w:rPr>
                  <w:instrText xml:space="preserve"> PAGE  \* MERGEFORMAT </w:instrText>
                </w:r>
                <w:r w:rsidRPr="00580E85">
                  <w:rPr>
                    <w:b/>
                    <w:sz w:val="18"/>
                  </w:rPr>
                  <w:fldChar w:fldCharType="separate"/>
                </w:r>
                <w:r w:rsidR="00CA359F">
                  <w:rPr>
                    <w:b/>
                    <w:noProof/>
                    <w:sz w:val="18"/>
                  </w:rPr>
                  <w:t>105</w:t>
                </w:r>
                <w:r w:rsidRPr="00580E85">
                  <w:rPr>
                    <w:b/>
                    <w:sz w:val="18"/>
                  </w:rPr>
                  <w:fldChar w:fldCharType="end"/>
                </w:r>
              </w:p>
            </w:txbxContent>
          </v:textbox>
          <w10:anchorlock/>
        </v:shape>
      </w:pict>
    </w:r>
    <w:r>
      <w:rPr>
        <w:noProof/>
        <w:lang w:val="en-US"/>
      </w:rPr>
      <w:pict>
        <v:shape id="_x0000_s2054" type="#_x0000_t202" style="position:absolute;margin-left:768.15pt;margin-top:56.65pt;width:17.55pt;height:481.9pt;z-index:3;mso-position-horizontal-relative:page;mso-position-vertical-relative:page" stroked="f">
          <v:textbox style="layout-flow:vertical" inset="0,0,0,0">
            <w:txbxContent>
              <w:p w:rsidR="003B6268" w:rsidRPr="000A78E8" w:rsidRDefault="003B6268" w:rsidP="00583060">
                <w:pPr>
                  <w:pStyle w:val="Header"/>
                  <w:jc w:val="right"/>
                </w:pPr>
                <w:r w:rsidRPr="000A78E8">
                  <w:t>CRC/C/JPN/3</w:t>
                </w:r>
              </w:p>
              <w:p w:rsidR="003B6268" w:rsidRDefault="003B6268"/>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Default="003B62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093F0A" w:rsidRDefault="003B6268" w:rsidP="00093F0A">
    <w:pPr>
      <w:pStyle w:val="Header"/>
    </w:pPr>
    <w:r>
      <w:t>CRC/C/JPN/3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8" w:rsidRPr="00093F0A" w:rsidRDefault="003B6268" w:rsidP="00093F0A">
    <w:pPr>
      <w:pStyle w:val="Header"/>
      <w:jc w:val="right"/>
    </w:pPr>
    <w:r>
      <w:t>CRC/C/JPN/3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52A80"/>
    <w:multiLevelType w:val="hybridMultilevel"/>
    <w:tmpl w:val="30802828"/>
    <w:lvl w:ilvl="0" w:tplc="C6FEB2FE">
      <w:start w:val="533"/>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704DE"/>
    <w:multiLevelType w:val="hybridMultilevel"/>
    <w:tmpl w:val="84B475D8"/>
    <w:lvl w:ilvl="0" w:tplc="5CDCFA06">
      <w:start w:val="486"/>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fESOut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19110B7"/>
    <w:multiLevelType w:val="hybridMultilevel"/>
    <w:tmpl w:val="7C38EF66"/>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8"/>
  </w:num>
  <w:num w:numId="15">
    <w:abstractNumId w:val="12"/>
  </w:num>
  <w:num w:numId="16">
    <w:abstractNumId w:val="11"/>
  </w:num>
  <w:num w:numId="17">
    <w:abstractNumId w:val="17"/>
  </w:num>
  <w:num w:numId="18">
    <w:abstractNumId w:val="19"/>
  </w:num>
  <w:num w:numId="19">
    <w:abstractNumId w:val="15"/>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DFE"/>
    <w:rsid w:val="00005696"/>
    <w:rsid w:val="00006FD1"/>
    <w:rsid w:val="00007C02"/>
    <w:rsid w:val="00010840"/>
    <w:rsid w:val="00011BD8"/>
    <w:rsid w:val="00014606"/>
    <w:rsid w:val="000205DE"/>
    <w:rsid w:val="000233D7"/>
    <w:rsid w:val="00036C2C"/>
    <w:rsid w:val="000413E3"/>
    <w:rsid w:val="000417AF"/>
    <w:rsid w:val="00047E05"/>
    <w:rsid w:val="00050F6B"/>
    <w:rsid w:val="00050FE3"/>
    <w:rsid w:val="00052D88"/>
    <w:rsid w:val="00053FE5"/>
    <w:rsid w:val="00055991"/>
    <w:rsid w:val="00060159"/>
    <w:rsid w:val="000612A6"/>
    <w:rsid w:val="00062732"/>
    <w:rsid w:val="00072C8C"/>
    <w:rsid w:val="00075BB5"/>
    <w:rsid w:val="00080583"/>
    <w:rsid w:val="0008364E"/>
    <w:rsid w:val="00083F40"/>
    <w:rsid w:val="0008415A"/>
    <w:rsid w:val="000858B1"/>
    <w:rsid w:val="00091419"/>
    <w:rsid w:val="000931C0"/>
    <w:rsid w:val="00093F0A"/>
    <w:rsid w:val="000944AD"/>
    <w:rsid w:val="000A71A7"/>
    <w:rsid w:val="000A78E8"/>
    <w:rsid w:val="000B175B"/>
    <w:rsid w:val="000B3A0F"/>
    <w:rsid w:val="000B45CA"/>
    <w:rsid w:val="000B55EC"/>
    <w:rsid w:val="000B6A2A"/>
    <w:rsid w:val="000C11CF"/>
    <w:rsid w:val="000C7D86"/>
    <w:rsid w:val="000D00BB"/>
    <w:rsid w:val="000D04E9"/>
    <w:rsid w:val="000D4F0F"/>
    <w:rsid w:val="000D7678"/>
    <w:rsid w:val="000D7F7F"/>
    <w:rsid w:val="000E0106"/>
    <w:rsid w:val="000E0415"/>
    <w:rsid w:val="000E5474"/>
    <w:rsid w:val="000E5D86"/>
    <w:rsid w:val="000E7FFC"/>
    <w:rsid w:val="000F66B4"/>
    <w:rsid w:val="00100AC7"/>
    <w:rsid w:val="00102171"/>
    <w:rsid w:val="00106F42"/>
    <w:rsid w:val="001102D6"/>
    <w:rsid w:val="001106EB"/>
    <w:rsid w:val="00114051"/>
    <w:rsid w:val="001224A0"/>
    <w:rsid w:val="001262F9"/>
    <w:rsid w:val="00127749"/>
    <w:rsid w:val="00134E25"/>
    <w:rsid w:val="00142AA7"/>
    <w:rsid w:val="001466E1"/>
    <w:rsid w:val="00146E64"/>
    <w:rsid w:val="00150360"/>
    <w:rsid w:val="0015177D"/>
    <w:rsid w:val="0015318C"/>
    <w:rsid w:val="0015390D"/>
    <w:rsid w:val="001574DF"/>
    <w:rsid w:val="00164437"/>
    <w:rsid w:val="00172EF0"/>
    <w:rsid w:val="001754E4"/>
    <w:rsid w:val="00175E65"/>
    <w:rsid w:val="00182CB9"/>
    <w:rsid w:val="00183792"/>
    <w:rsid w:val="00185E62"/>
    <w:rsid w:val="00187586"/>
    <w:rsid w:val="00193EAB"/>
    <w:rsid w:val="00194CB3"/>
    <w:rsid w:val="00197D5F"/>
    <w:rsid w:val="001A3EBD"/>
    <w:rsid w:val="001B01C4"/>
    <w:rsid w:val="001B15A8"/>
    <w:rsid w:val="001B4B04"/>
    <w:rsid w:val="001C01F7"/>
    <w:rsid w:val="001C6663"/>
    <w:rsid w:val="001C7895"/>
    <w:rsid w:val="001D1E4D"/>
    <w:rsid w:val="001D26DF"/>
    <w:rsid w:val="001D2FDC"/>
    <w:rsid w:val="001D5B06"/>
    <w:rsid w:val="001D5C80"/>
    <w:rsid w:val="001E119F"/>
    <w:rsid w:val="001E161C"/>
    <w:rsid w:val="001E3181"/>
    <w:rsid w:val="001E3807"/>
    <w:rsid w:val="001E57F5"/>
    <w:rsid w:val="001E739C"/>
    <w:rsid w:val="001F3CCE"/>
    <w:rsid w:val="0020047C"/>
    <w:rsid w:val="00204894"/>
    <w:rsid w:val="00211E0B"/>
    <w:rsid w:val="00212783"/>
    <w:rsid w:val="00214FB7"/>
    <w:rsid w:val="002150F8"/>
    <w:rsid w:val="002157B6"/>
    <w:rsid w:val="00216A24"/>
    <w:rsid w:val="00222272"/>
    <w:rsid w:val="00236416"/>
    <w:rsid w:val="00237785"/>
    <w:rsid w:val="00241466"/>
    <w:rsid w:val="002458A6"/>
    <w:rsid w:val="00247FA8"/>
    <w:rsid w:val="00250492"/>
    <w:rsid w:val="00253D16"/>
    <w:rsid w:val="002547DA"/>
    <w:rsid w:val="00256405"/>
    <w:rsid w:val="00262066"/>
    <w:rsid w:val="00270871"/>
    <w:rsid w:val="00271C02"/>
    <w:rsid w:val="00274B35"/>
    <w:rsid w:val="002763B5"/>
    <w:rsid w:val="00276809"/>
    <w:rsid w:val="00277023"/>
    <w:rsid w:val="00282911"/>
    <w:rsid w:val="00285844"/>
    <w:rsid w:val="00285C41"/>
    <w:rsid w:val="00287AC6"/>
    <w:rsid w:val="002923A4"/>
    <w:rsid w:val="002940ED"/>
    <w:rsid w:val="002958A9"/>
    <w:rsid w:val="0029609B"/>
    <w:rsid w:val="002A1A50"/>
    <w:rsid w:val="002A34FC"/>
    <w:rsid w:val="002A7359"/>
    <w:rsid w:val="002A7383"/>
    <w:rsid w:val="002B0CF4"/>
    <w:rsid w:val="002B2554"/>
    <w:rsid w:val="002B5F02"/>
    <w:rsid w:val="002B5F2D"/>
    <w:rsid w:val="002B6A22"/>
    <w:rsid w:val="002C20AE"/>
    <w:rsid w:val="002C55D4"/>
    <w:rsid w:val="002C75A6"/>
    <w:rsid w:val="002D06BA"/>
    <w:rsid w:val="002D23E5"/>
    <w:rsid w:val="002D4345"/>
    <w:rsid w:val="002D735E"/>
    <w:rsid w:val="002E542C"/>
    <w:rsid w:val="002E56E9"/>
    <w:rsid w:val="002F07F2"/>
    <w:rsid w:val="002F0B15"/>
    <w:rsid w:val="002F0C75"/>
    <w:rsid w:val="002F1311"/>
    <w:rsid w:val="0030411F"/>
    <w:rsid w:val="00304B49"/>
    <w:rsid w:val="003061D0"/>
    <w:rsid w:val="00306BCA"/>
    <w:rsid w:val="00307555"/>
    <w:rsid w:val="003107FA"/>
    <w:rsid w:val="00312031"/>
    <w:rsid w:val="003143FE"/>
    <w:rsid w:val="00314DAE"/>
    <w:rsid w:val="003158EF"/>
    <w:rsid w:val="00320815"/>
    <w:rsid w:val="003211D2"/>
    <w:rsid w:val="003229D8"/>
    <w:rsid w:val="00324661"/>
    <w:rsid w:val="003256DE"/>
    <w:rsid w:val="00325BBB"/>
    <w:rsid w:val="00331FAB"/>
    <w:rsid w:val="00334678"/>
    <w:rsid w:val="003353B7"/>
    <w:rsid w:val="00336125"/>
    <w:rsid w:val="003407DC"/>
    <w:rsid w:val="003434B4"/>
    <w:rsid w:val="003459FB"/>
    <w:rsid w:val="00346C62"/>
    <w:rsid w:val="00354E34"/>
    <w:rsid w:val="00355C90"/>
    <w:rsid w:val="00361FB5"/>
    <w:rsid w:val="00362C35"/>
    <w:rsid w:val="00362D19"/>
    <w:rsid w:val="00364167"/>
    <w:rsid w:val="0036421F"/>
    <w:rsid w:val="00365506"/>
    <w:rsid w:val="0037099F"/>
    <w:rsid w:val="003716EC"/>
    <w:rsid w:val="003756D8"/>
    <w:rsid w:val="00377168"/>
    <w:rsid w:val="003840F4"/>
    <w:rsid w:val="003864E0"/>
    <w:rsid w:val="00386CCC"/>
    <w:rsid w:val="00386DA1"/>
    <w:rsid w:val="00387B31"/>
    <w:rsid w:val="00390373"/>
    <w:rsid w:val="0039277A"/>
    <w:rsid w:val="00395511"/>
    <w:rsid w:val="00395E38"/>
    <w:rsid w:val="003972E0"/>
    <w:rsid w:val="00397F05"/>
    <w:rsid w:val="003A20B3"/>
    <w:rsid w:val="003A4D2C"/>
    <w:rsid w:val="003B01B6"/>
    <w:rsid w:val="003B06C5"/>
    <w:rsid w:val="003B6268"/>
    <w:rsid w:val="003C0219"/>
    <w:rsid w:val="003C2CC4"/>
    <w:rsid w:val="003C4627"/>
    <w:rsid w:val="003C5640"/>
    <w:rsid w:val="003C7370"/>
    <w:rsid w:val="003D12B4"/>
    <w:rsid w:val="003D4B23"/>
    <w:rsid w:val="003D7DE8"/>
    <w:rsid w:val="003F01BA"/>
    <w:rsid w:val="003F1A85"/>
    <w:rsid w:val="003F26CC"/>
    <w:rsid w:val="00400CCC"/>
    <w:rsid w:val="00401069"/>
    <w:rsid w:val="00402AEA"/>
    <w:rsid w:val="004041EA"/>
    <w:rsid w:val="00404B54"/>
    <w:rsid w:val="00410691"/>
    <w:rsid w:val="00414E61"/>
    <w:rsid w:val="00416C6C"/>
    <w:rsid w:val="00416C9B"/>
    <w:rsid w:val="004325CB"/>
    <w:rsid w:val="004351CC"/>
    <w:rsid w:val="00440A4D"/>
    <w:rsid w:val="00446DE4"/>
    <w:rsid w:val="00450203"/>
    <w:rsid w:val="00451DA3"/>
    <w:rsid w:val="00452092"/>
    <w:rsid w:val="00454340"/>
    <w:rsid w:val="004560BB"/>
    <w:rsid w:val="00457B70"/>
    <w:rsid w:val="00461DA0"/>
    <w:rsid w:val="00461E0C"/>
    <w:rsid w:val="00461FA8"/>
    <w:rsid w:val="00467ECE"/>
    <w:rsid w:val="00473FF8"/>
    <w:rsid w:val="00480B34"/>
    <w:rsid w:val="00481ABD"/>
    <w:rsid w:val="004909C6"/>
    <w:rsid w:val="00490D6C"/>
    <w:rsid w:val="004A09C5"/>
    <w:rsid w:val="004A19C9"/>
    <w:rsid w:val="004A1AAB"/>
    <w:rsid w:val="004A24A1"/>
    <w:rsid w:val="004A252F"/>
    <w:rsid w:val="004A2F3D"/>
    <w:rsid w:val="004A427F"/>
    <w:rsid w:val="004A77E4"/>
    <w:rsid w:val="004B17FF"/>
    <w:rsid w:val="004B269B"/>
    <w:rsid w:val="004B2807"/>
    <w:rsid w:val="004B37D9"/>
    <w:rsid w:val="004B6816"/>
    <w:rsid w:val="004C038D"/>
    <w:rsid w:val="004C13D5"/>
    <w:rsid w:val="004C2844"/>
    <w:rsid w:val="004C651F"/>
    <w:rsid w:val="004D29E1"/>
    <w:rsid w:val="004D4E21"/>
    <w:rsid w:val="004E0CE7"/>
    <w:rsid w:val="004E4F01"/>
    <w:rsid w:val="004E6732"/>
    <w:rsid w:val="004E6E93"/>
    <w:rsid w:val="004F03D6"/>
    <w:rsid w:val="004F3B58"/>
    <w:rsid w:val="004F3E89"/>
    <w:rsid w:val="004F5112"/>
    <w:rsid w:val="004F55CD"/>
    <w:rsid w:val="004F7953"/>
    <w:rsid w:val="00502472"/>
    <w:rsid w:val="00505830"/>
    <w:rsid w:val="00505845"/>
    <w:rsid w:val="00505DD2"/>
    <w:rsid w:val="005066DB"/>
    <w:rsid w:val="00507D9F"/>
    <w:rsid w:val="00511C6F"/>
    <w:rsid w:val="00513E05"/>
    <w:rsid w:val="00515B30"/>
    <w:rsid w:val="00523D98"/>
    <w:rsid w:val="005265C7"/>
    <w:rsid w:val="00527C68"/>
    <w:rsid w:val="00532237"/>
    <w:rsid w:val="00532741"/>
    <w:rsid w:val="00533821"/>
    <w:rsid w:val="0053545B"/>
    <w:rsid w:val="00540C2F"/>
    <w:rsid w:val="005420F2"/>
    <w:rsid w:val="005427B4"/>
    <w:rsid w:val="00550B54"/>
    <w:rsid w:val="005538E2"/>
    <w:rsid w:val="00553D30"/>
    <w:rsid w:val="00566528"/>
    <w:rsid w:val="00567EA1"/>
    <w:rsid w:val="00574E40"/>
    <w:rsid w:val="005767C1"/>
    <w:rsid w:val="00580E85"/>
    <w:rsid w:val="00583060"/>
    <w:rsid w:val="00585C54"/>
    <w:rsid w:val="00586CA6"/>
    <w:rsid w:val="00587E3E"/>
    <w:rsid w:val="0059041B"/>
    <w:rsid w:val="00594341"/>
    <w:rsid w:val="00594AD5"/>
    <w:rsid w:val="00595D79"/>
    <w:rsid w:val="005A25A3"/>
    <w:rsid w:val="005A274D"/>
    <w:rsid w:val="005A379F"/>
    <w:rsid w:val="005A6762"/>
    <w:rsid w:val="005B131A"/>
    <w:rsid w:val="005B29E4"/>
    <w:rsid w:val="005B2C78"/>
    <w:rsid w:val="005B36DA"/>
    <w:rsid w:val="005B3DB3"/>
    <w:rsid w:val="005B6A64"/>
    <w:rsid w:val="005B7982"/>
    <w:rsid w:val="005C0081"/>
    <w:rsid w:val="005C50EF"/>
    <w:rsid w:val="005C7B55"/>
    <w:rsid w:val="005D4774"/>
    <w:rsid w:val="005D5F4F"/>
    <w:rsid w:val="005D6842"/>
    <w:rsid w:val="005E117B"/>
    <w:rsid w:val="005F05F0"/>
    <w:rsid w:val="005F1E2C"/>
    <w:rsid w:val="005F24AC"/>
    <w:rsid w:val="005F3BB5"/>
    <w:rsid w:val="005F4083"/>
    <w:rsid w:val="005F6017"/>
    <w:rsid w:val="005F6446"/>
    <w:rsid w:val="00600A4B"/>
    <w:rsid w:val="0060234D"/>
    <w:rsid w:val="006102E2"/>
    <w:rsid w:val="00611F7B"/>
    <w:rsid w:val="00611FC4"/>
    <w:rsid w:val="006122FD"/>
    <w:rsid w:val="00614031"/>
    <w:rsid w:val="006155AE"/>
    <w:rsid w:val="00615616"/>
    <w:rsid w:val="00616CFE"/>
    <w:rsid w:val="006176FB"/>
    <w:rsid w:val="00623322"/>
    <w:rsid w:val="0062462B"/>
    <w:rsid w:val="00625C4E"/>
    <w:rsid w:val="0062672C"/>
    <w:rsid w:val="00627608"/>
    <w:rsid w:val="0063075D"/>
    <w:rsid w:val="006347DD"/>
    <w:rsid w:val="006350BE"/>
    <w:rsid w:val="00640B26"/>
    <w:rsid w:val="00641B7F"/>
    <w:rsid w:val="00642AC3"/>
    <w:rsid w:val="00644C9F"/>
    <w:rsid w:val="00646BC7"/>
    <w:rsid w:val="006478C9"/>
    <w:rsid w:val="00652F2C"/>
    <w:rsid w:val="00661FFD"/>
    <w:rsid w:val="00663710"/>
    <w:rsid w:val="00663933"/>
    <w:rsid w:val="00674B37"/>
    <w:rsid w:val="00675064"/>
    <w:rsid w:val="006773DB"/>
    <w:rsid w:val="00682322"/>
    <w:rsid w:val="00682D97"/>
    <w:rsid w:val="00683B8C"/>
    <w:rsid w:val="006847D6"/>
    <w:rsid w:val="00691A49"/>
    <w:rsid w:val="00693A06"/>
    <w:rsid w:val="00693EB2"/>
    <w:rsid w:val="00695802"/>
    <w:rsid w:val="006959F8"/>
    <w:rsid w:val="006A2A88"/>
    <w:rsid w:val="006A2B5B"/>
    <w:rsid w:val="006A59ED"/>
    <w:rsid w:val="006A7392"/>
    <w:rsid w:val="006B0477"/>
    <w:rsid w:val="006B0DAD"/>
    <w:rsid w:val="006B555F"/>
    <w:rsid w:val="006B702B"/>
    <w:rsid w:val="006C05A3"/>
    <w:rsid w:val="006C0D34"/>
    <w:rsid w:val="006C477C"/>
    <w:rsid w:val="006C4C7F"/>
    <w:rsid w:val="006C4C88"/>
    <w:rsid w:val="006C57C4"/>
    <w:rsid w:val="006C680F"/>
    <w:rsid w:val="006D191E"/>
    <w:rsid w:val="006D3D31"/>
    <w:rsid w:val="006D66A3"/>
    <w:rsid w:val="006E25C0"/>
    <w:rsid w:val="006E27F3"/>
    <w:rsid w:val="006E564B"/>
    <w:rsid w:val="006F0FA4"/>
    <w:rsid w:val="006F124D"/>
    <w:rsid w:val="006F70D8"/>
    <w:rsid w:val="007019E2"/>
    <w:rsid w:val="0070206B"/>
    <w:rsid w:val="00703E5B"/>
    <w:rsid w:val="00715EC7"/>
    <w:rsid w:val="007170D5"/>
    <w:rsid w:val="00717B54"/>
    <w:rsid w:val="0072001C"/>
    <w:rsid w:val="007200CE"/>
    <w:rsid w:val="00723CA7"/>
    <w:rsid w:val="0072632A"/>
    <w:rsid w:val="00727D67"/>
    <w:rsid w:val="0073165C"/>
    <w:rsid w:val="00732C3B"/>
    <w:rsid w:val="007361C0"/>
    <w:rsid w:val="0073778A"/>
    <w:rsid w:val="007453E9"/>
    <w:rsid w:val="00746421"/>
    <w:rsid w:val="00746BFF"/>
    <w:rsid w:val="007539DF"/>
    <w:rsid w:val="0075640A"/>
    <w:rsid w:val="00764067"/>
    <w:rsid w:val="00770019"/>
    <w:rsid w:val="00780216"/>
    <w:rsid w:val="00782E0E"/>
    <w:rsid w:val="00792EEF"/>
    <w:rsid w:val="007943BA"/>
    <w:rsid w:val="00794819"/>
    <w:rsid w:val="00797030"/>
    <w:rsid w:val="007A20AF"/>
    <w:rsid w:val="007A2D83"/>
    <w:rsid w:val="007A7CCC"/>
    <w:rsid w:val="007B59A2"/>
    <w:rsid w:val="007B6BA5"/>
    <w:rsid w:val="007C29B2"/>
    <w:rsid w:val="007C3390"/>
    <w:rsid w:val="007C4F4B"/>
    <w:rsid w:val="007C5183"/>
    <w:rsid w:val="007C7AFB"/>
    <w:rsid w:val="007D2AFA"/>
    <w:rsid w:val="007E35A5"/>
    <w:rsid w:val="007E3BA3"/>
    <w:rsid w:val="007E4E51"/>
    <w:rsid w:val="007E500C"/>
    <w:rsid w:val="007E66AF"/>
    <w:rsid w:val="007E7719"/>
    <w:rsid w:val="007F034D"/>
    <w:rsid w:val="007F3143"/>
    <w:rsid w:val="007F622C"/>
    <w:rsid w:val="007F6611"/>
    <w:rsid w:val="008059DB"/>
    <w:rsid w:val="008175E9"/>
    <w:rsid w:val="008242D7"/>
    <w:rsid w:val="00831B21"/>
    <w:rsid w:val="00831C3C"/>
    <w:rsid w:val="00842C50"/>
    <w:rsid w:val="00843F0F"/>
    <w:rsid w:val="00850773"/>
    <w:rsid w:val="00851BEB"/>
    <w:rsid w:val="008525C0"/>
    <w:rsid w:val="00862799"/>
    <w:rsid w:val="0087037E"/>
    <w:rsid w:val="008718C8"/>
    <w:rsid w:val="00871D21"/>
    <w:rsid w:val="00871FD5"/>
    <w:rsid w:val="0087532D"/>
    <w:rsid w:val="00877226"/>
    <w:rsid w:val="0088074E"/>
    <w:rsid w:val="008816DF"/>
    <w:rsid w:val="00886F24"/>
    <w:rsid w:val="008916C9"/>
    <w:rsid w:val="008979B1"/>
    <w:rsid w:val="008A6B25"/>
    <w:rsid w:val="008A6C4F"/>
    <w:rsid w:val="008A6C88"/>
    <w:rsid w:val="008B10CD"/>
    <w:rsid w:val="008B74AE"/>
    <w:rsid w:val="008D086E"/>
    <w:rsid w:val="008D376E"/>
    <w:rsid w:val="008E0E46"/>
    <w:rsid w:val="008E0EE7"/>
    <w:rsid w:val="008E49D4"/>
    <w:rsid w:val="008E5027"/>
    <w:rsid w:val="008F0153"/>
    <w:rsid w:val="008F0413"/>
    <w:rsid w:val="008F084C"/>
    <w:rsid w:val="008F3D47"/>
    <w:rsid w:val="008F55B7"/>
    <w:rsid w:val="00902A92"/>
    <w:rsid w:val="009047C4"/>
    <w:rsid w:val="00905D6B"/>
    <w:rsid w:val="00905F73"/>
    <w:rsid w:val="00906202"/>
    <w:rsid w:val="00907CC9"/>
    <w:rsid w:val="009157A6"/>
    <w:rsid w:val="009167B9"/>
    <w:rsid w:val="00920653"/>
    <w:rsid w:val="00920E0B"/>
    <w:rsid w:val="009256E7"/>
    <w:rsid w:val="00933B84"/>
    <w:rsid w:val="00933D3B"/>
    <w:rsid w:val="00937DB5"/>
    <w:rsid w:val="009403EC"/>
    <w:rsid w:val="009408F9"/>
    <w:rsid w:val="00941F6F"/>
    <w:rsid w:val="00942BE3"/>
    <w:rsid w:val="00951C12"/>
    <w:rsid w:val="00956A66"/>
    <w:rsid w:val="0096056F"/>
    <w:rsid w:val="00960A18"/>
    <w:rsid w:val="009625C4"/>
    <w:rsid w:val="00962782"/>
    <w:rsid w:val="00962DD5"/>
    <w:rsid w:val="00963CBA"/>
    <w:rsid w:val="00964912"/>
    <w:rsid w:val="00976233"/>
    <w:rsid w:val="00983CA8"/>
    <w:rsid w:val="00987B70"/>
    <w:rsid w:val="009910C2"/>
    <w:rsid w:val="00991261"/>
    <w:rsid w:val="009932EB"/>
    <w:rsid w:val="00997CD6"/>
    <w:rsid w:val="009A4E12"/>
    <w:rsid w:val="009A6C9D"/>
    <w:rsid w:val="009B26C2"/>
    <w:rsid w:val="009C1F67"/>
    <w:rsid w:val="009C5DCB"/>
    <w:rsid w:val="009C62DE"/>
    <w:rsid w:val="009C65B9"/>
    <w:rsid w:val="009C7828"/>
    <w:rsid w:val="009E281D"/>
    <w:rsid w:val="009E2A2D"/>
    <w:rsid w:val="009E7F0B"/>
    <w:rsid w:val="009F0620"/>
    <w:rsid w:val="009F1F9A"/>
    <w:rsid w:val="009F27B6"/>
    <w:rsid w:val="009F2CDD"/>
    <w:rsid w:val="009F2EF2"/>
    <w:rsid w:val="009F3E16"/>
    <w:rsid w:val="009F6744"/>
    <w:rsid w:val="00A00D6D"/>
    <w:rsid w:val="00A03B54"/>
    <w:rsid w:val="00A05C99"/>
    <w:rsid w:val="00A067C0"/>
    <w:rsid w:val="00A1427D"/>
    <w:rsid w:val="00A228A3"/>
    <w:rsid w:val="00A25DF3"/>
    <w:rsid w:val="00A30C39"/>
    <w:rsid w:val="00A32837"/>
    <w:rsid w:val="00A347DC"/>
    <w:rsid w:val="00A35D05"/>
    <w:rsid w:val="00A57029"/>
    <w:rsid w:val="00A636FF"/>
    <w:rsid w:val="00A676DD"/>
    <w:rsid w:val="00A729D2"/>
    <w:rsid w:val="00A72F22"/>
    <w:rsid w:val="00A748A6"/>
    <w:rsid w:val="00A82CDE"/>
    <w:rsid w:val="00A879A4"/>
    <w:rsid w:val="00A9106B"/>
    <w:rsid w:val="00A91406"/>
    <w:rsid w:val="00A92B6A"/>
    <w:rsid w:val="00AA29D2"/>
    <w:rsid w:val="00AA3B3B"/>
    <w:rsid w:val="00AB0303"/>
    <w:rsid w:val="00AB14DD"/>
    <w:rsid w:val="00AB3508"/>
    <w:rsid w:val="00AB376D"/>
    <w:rsid w:val="00AB5A64"/>
    <w:rsid w:val="00AC3BA6"/>
    <w:rsid w:val="00AC5677"/>
    <w:rsid w:val="00AC78CE"/>
    <w:rsid w:val="00AE54CE"/>
    <w:rsid w:val="00AE6C83"/>
    <w:rsid w:val="00AE7C51"/>
    <w:rsid w:val="00AF6341"/>
    <w:rsid w:val="00AF6692"/>
    <w:rsid w:val="00AF7FE7"/>
    <w:rsid w:val="00B02F1D"/>
    <w:rsid w:val="00B12C09"/>
    <w:rsid w:val="00B12C27"/>
    <w:rsid w:val="00B147A4"/>
    <w:rsid w:val="00B14BE0"/>
    <w:rsid w:val="00B1665E"/>
    <w:rsid w:val="00B17D2A"/>
    <w:rsid w:val="00B21575"/>
    <w:rsid w:val="00B21749"/>
    <w:rsid w:val="00B23682"/>
    <w:rsid w:val="00B24A0B"/>
    <w:rsid w:val="00B264B3"/>
    <w:rsid w:val="00B30179"/>
    <w:rsid w:val="00B31A0F"/>
    <w:rsid w:val="00B3317B"/>
    <w:rsid w:val="00B354E5"/>
    <w:rsid w:val="00B45B49"/>
    <w:rsid w:val="00B460E5"/>
    <w:rsid w:val="00B46B70"/>
    <w:rsid w:val="00B50EF7"/>
    <w:rsid w:val="00B545C9"/>
    <w:rsid w:val="00B6270A"/>
    <w:rsid w:val="00B749AC"/>
    <w:rsid w:val="00B75B22"/>
    <w:rsid w:val="00B76F89"/>
    <w:rsid w:val="00B7701C"/>
    <w:rsid w:val="00B81E12"/>
    <w:rsid w:val="00B93068"/>
    <w:rsid w:val="00BA0CD4"/>
    <w:rsid w:val="00BA6C33"/>
    <w:rsid w:val="00BB2849"/>
    <w:rsid w:val="00BB2855"/>
    <w:rsid w:val="00BB438C"/>
    <w:rsid w:val="00BB5E95"/>
    <w:rsid w:val="00BB60DB"/>
    <w:rsid w:val="00BB6733"/>
    <w:rsid w:val="00BC74E9"/>
    <w:rsid w:val="00BC7FAA"/>
    <w:rsid w:val="00BD4EB6"/>
    <w:rsid w:val="00BD6A1C"/>
    <w:rsid w:val="00BE04F4"/>
    <w:rsid w:val="00BE3DFE"/>
    <w:rsid w:val="00BE4865"/>
    <w:rsid w:val="00BE5B70"/>
    <w:rsid w:val="00BE618E"/>
    <w:rsid w:val="00BF1E68"/>
    <w:rsid w:val="00BF47DB"/>
    <w:rsid w:val="00C00BB2"/>
    <w:rsid w:val="00C01E72"/>
    <w:rsid w:val="00C064EB"/>
    <w:rsid w:val="00C1464B"/>
    <w:rsid w:val="00C14AD2"/>
    <w:rsid w:val="00C17DBF"/>
    <w:rsid w:val="00C21121"/>
    <w:rsid w:val="00C25B16"/>
    <w:rsid w:val="00C27A6D"/>
    <w:rsid w:val="00C326AB"/>
    <w:rsid w:val="00C337A9"/>
    <w:rsid w:val="00C40E1C"/>
    <w:rsid w:val="00C44630"/>
    <w:rsid w:val="00C463DD"/>
    <w:rsid w:val="00C46E96"/>
    <w:rsid w:val="00C478E4"/>
    <w:rsid w:val="00C50633"/>
    <w:rsid w:val="00C50B7F"/>
    <w:rsid w:val="00C51DC1"/>
    <w:rsid w:val="00C52F71"/>
    <w:rsid w:val="00C56FD2"/>
    <w:rsid w:val="00C61842"/>
    <w:rsid w:val="00C62C9A"/>
    <w:rsid w:val="00C62E54"/>
    <w:rsid w:val="00C63303"/>
    <w:rsid w:val="00C745C3"/>
    <w:rsid w:val="00C75C6B"/>
    <w:rsid w:val="00C7657C"/>
    <w:rsid w:val="00C8184F"/>
    <w:rsid w:val="00C85630"/>
    <w:rsid w:val="00C874F0"/>
    <w:rsid w:val="00C93E89"/>
    <w:rsid w:val="00CA29D6"/>
    <w:rsid w:val="00CA331C"/>
    <w:rsid w:val="00CA359F"/>
    <w:rsid w:val="00CA5829"/>
    <w:rsid w:val="00CC20F7"/>
    <w:rsid w:val="00CD11F4"/>
    <w:rsid w:val="00CD2191"/>
    <w:rsid w:val="00CD4621"/>
    <w:rsid w:val="00CD6993"/>
    <w:rsid w:val="00CE2B13"/>
    <w:rsid w:val="00CE4A8F"/>
    <w:rsid w:val="00CE4A91"/>
    <w:rsid w:val="00CF39B0"/>
    <w:rsid w:val="00CF70BA"/>
    <w:rsid w:val="00CF7D76"/>
    <w:rsid w:val="00D00A8D"/>
    <w:rsid w:val="00D017E5"/>
    <w:rsid w:val="00D0222B"/>
    <w:rsid w:val="00D04D42"/>
    <w:rsid w:val="00D113DE"/>
    <w:rsid w:val="00D114B0"/>
    <w:rsid w:val="00D11730"/>
    <w:rsid w:val="00D11E8C"/>
    <w:rsid w:val="00D12762"/>
    <w:rsid w:val="00D15586"/>
    <w:rsid w:val="00D2031B"/>
    <w:rsid w:val="00D248F1"/>
    <w:rsid w:val="00D25FE2"/>
    <w:rsid w:val="00D35029"/>
    <w:rsid w:val="00D35307"/>
    <w:rsid w:val="00D3561A"/>
    <w:rsid w:val="00D429EA"/>
    <w:rsid w:val="00D43252"/>
    <w:rsid w:val="00D4689F"/>
    <w:rsid w:val="00D47745"/>
    <w:rsid w:val="00D54988"/>
    <w:rsid w:val="00D55AFE"/>
    <w:rsid w:val="00D61A2A"/>
    <w:rsid w:val="00D63F3A"/>
    <w:rsid w:val="00D6442D"/>
    <w:rsid w:val="00D679D8"/>
    <w:rsid w:val="00D67F78"/>
    <w:rsid w:val="00D72AFC"/>
    <w:rsid w:val="00D74CA4"/>
    <w:rsid w:val="00D76166"/>
    <w:rsid w:val="00D77260"/>
    <w:rsid w:val="00D85E81"/>
    <w:rsid w:val="00D90226"/>
    <w:rsid w:val="00D90DEA"/>
    <w:rsid w:val="00D978C6"/>
    <w:rsid w:val="00DA18AE"/>
    <w:rsid w:val="00DA4408"/>
    <w:rsid w:val="00DA561F"/>
    <w:rsid w:val="00DA67AD"/>
    <w:rsid w:val="00DA71C3"/>
    <w:rsid w:val="00DA7AB4"/>
    <w:rsid w:val="00DB0205"/>
    <w:rsid w:val="00DB08DD"/>
    <w:rsid w:val="00DB0CBA"/>
    <w:rsid w:val="00DB4442"/>
    <w:rsid w:val="00DC7E4B"/>
    <w:rsid w:val="00DC7E91"/>
    <w:rsid w:val="00DD087D"/>
    <w:rsid w:val="00DD272B"/>
    <w:rsid w:val="00DD314F"/>
    <w:rsid w:val="00DE1998"/>
    <w:rsid w:val="00DE1B6E"/>
    <w:rsid w:val="00DE31CC"/>
    <w:rsid w:val="00DF004F"/>
    <w:rsid w:val="00DF0487"/>
    <w:rsid w:val="00DF16D2"/>
    <w:rsid w:val="00DF25F8"/>
    <w:rsid w:val="00DF33A5"/>
    <w:rsid w:val="00DF3834"/>
    <w:rsid w:val="00E03CFF"/>
    <w:rsid w:val="00E04247"/>
    <w:rsid w:val="00E06AD0"/>
    <w:rsid w:val="00E130AB"/>
    <w:rsid w:val="00E17A28"/>
    <w:rsid w:val="00E21C8B"/>
    <w:rsid w:val="00E312CD"/>
    <w:rsid w:val="00E3269C"/>
    <w:rsid w:val="00E34FA6"/>
    <w:rsid w:val="00E37BEC"/>
    <w:rsid w:val="00E41669"/>
    <w:rsid w:val="00E42025"/>
    <w:rsid w:val="00E46BD8"/>
    <w:rsid w:val="00E513F4"/>
    <w:rsid w:val="00E51844"/>
    <w:rsid w:val="00E54E61"/>
    <w:rsid w:val="00E5644E"/>
    <w:rsid w:val="00E67B78"/>
    <w:rsid w:val="00E70CC2"/>
    <w:rsid w:val="00E7260F"/>
    <w:rsid w:val="00E744BF"/>
    <w:rsid w:val="00E761E6"/>
    <w:rsid w:val="00E767C8"/>
    <w:rsid w:val="00E90426"/>
    <w:rsid w:val="00E909ED"/>
    <w:rsid w:val="00E918DE"/>
    <w:rsid w:val="00E91D45"/>
    <w:rsid w:val="00E96630"/>
    <w:rsid w:val="00E97A98"/>
    <w:rsid w:val="00E97EC4"/>
    <w:rsid w:val="00EA1115"/>
    <w:rsid w:val="00EA2444"/>
    <w:rsid w:val="00EA25F2"/>
    <w:rsid w:val="00EA3A34"/>
    <w:rsid w:val="00EB00CB"/>
    <w:rsid w:val="00EB09E3"/>
    <w:rsid w:val="00EB55DA"/>
    <w:rsid w:val="00EB711D"/>
    <w:rsid w:val="00EC4F08"/>
    <w:rsid w:val="00EC5ABE"/>
    <w:rsid w:val="00EC75E8"/>
    <w:rsid w:val="00ED2827"/>
    <w:rsid w:val="00ED3EE1"/>
    <w:rsid w:val="00ED6485"/>
    <w:rsid w:val="00ED7A2A"/>
    <w:rsid w:val="00EE555A"/>
    <w:rsid w:val="00EE5870"/>
    <w:rsid w:val="00EE60CC"/>
    <w:rsid w:val="00EE6B0B"/>
    <w:rsid w:val="00EF1D7F"/>
    <w:rsid w:val="00EF34DA"/>
    <w:rsid w:val="00EF3723"/>
    <w:rsid w:val="00F01D02"/>
    <w:rsid w:val="00F03A03"/>
    <w:rsid w:val="00F06D02"/>
    <w:rsid w:val="00F07B3C"/>
    <w:rsid w:val="00F119BC"/>
    <w:rsid w:val="00F1475B"/>
    <w:rsid w:val="00F14E93"/>
    <w:rsid w:val="00F17731"/>
    <w:rsid w:val="00F20572"/>
    <w:rsid w:val="00F206B8"/>
    <w:rsid w:val="00F24A3E"/>
    <w:rsid w:val="00F25D17"/>
    <w:rsid w:val="00F27874"/>
    <w:rsid w:val="00F35E2F"/>
    <w:rsid w:val="00F40609"/>
    <w:rsid w:val="00F40E75"/>
    <w:rsid w:val="00F457DF"/>
    <w:rsid w:val="00F50D83"/>
    <w:rsid w:val="00F558E5"/>
    <w:rsid w:val="00F60213"/>
    <w:rsid w:val="00F61B93"/>
    <w:rsid w:val="00F750C1"/>
    <w:rsid w:val="00F834B2"/>
    <w:rsid w:val="00F901FE"/>
    <w:rsid w:val="00FA05D1"/>
    <w:rsid w:val="00FA1B36"/>
    <w:rsid w:val="00FA490D"/>
    <w:rsid w:val="00FA640E"/>
    <w:rsid w:val="00FB5BE5"/>
    <w:rsid w:val="00FC23D8"/>
    <w:rsid w:val="00FC4E25"/>
    <w:rsid w:val="00FC68B7"/>
    <w:rsid w:val="00FD082E"/>
    <w:rsid w:val="00FD194C"/>
    <w:rsid w:val="00FD1E51"/>
    <w:rsid w:val="00FD2943"/>
    <w:rsid w:val="00FD5070"/>
    <w:rsid w:val="00FD5B18"/>
    <w:rsid w:val="00FD610E"/>
    <w:rsid w:val="00FE4A04"/>
    <w:rsid w:val="00FE504D"/>
    <w:rsid w:val="00FF023F"/>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340"/>
    <w:pPr>
      <w:suppressAutoHyphens/>
      <w:spacing w:line="240" w:lineRule="atLeast"/>
    </w:pPr>
    <w:rPr>
      <w:lang w:val="en-GB"/>
    </w:rPr>
  </w:style>
  <w:style w:type="paragraph" w:styleId="Heading1">
    <w:name w:val="heading 1"/>
    <w:aliases w:val="Table_G,Numbered - 1,Outline1"/>
    <w:basedOn w:val="SingleTxtG"/>
    <w:next w:val="SingleTxtG"/>
    <w:qFormat/>
    <w:rsid w:val="00ED7A2A"/>
    <w:pPr>
      <w:spacing w:after="0" w:line="240" w:lineRule="auto"/>
      <w:ind w:right="0"/>
      <w:jc w:val="left"/>
      <w:outlineLvl w:val="0"/>
    </w:pPr>
  </w:style>
  <w:style w:type="paragraph" w:styleId="Heading2">
    <w:name w:val="heading 2"/>
    <w:aliases w:val="Numbered - 2,Outline2"/>
    <w:basedOn w:val="Normal"/>
    <w:next w:val="Normal"/>
    <w:qFormat/>
    <w:pPr>
      <w:spacing w:line="240" w:lineRule="auto"/>
      <w:outlineLvl w:val="1"/>
    </w:pPr>
  </w:style>
  <w:style w:type="paragraph" w:styleId="Heading3">
    <w:name w:val="heading 3"/>
    <w:aliases w:val="Numbered - 3,Outline3"/>
    <w:basedOn w:val="Normal"/>
    <w:next w:val="Normal"/>
    <w:qFormat/>
    <w:pPr>
      <w:spacing w:line="240" w:lineRule="auto"/>
      <w:outlineLvl w:val="2"/>
    </w:pPr>
  </w:style>
  <w:style w:type="paragraph" w:styleId="Heading4">
    <w:name w:val="heading 4"/>
    <w:aliases w:val="Numbered - 4"/>
    <w:basedOn w:val="Normal"/>
    <w:next w:val="Normal"/>
    <w:qFormat/>
    <w:pPr>
      <w:spacing w:line="240" w:lineRule="auto"/>
      <w:outlineLvl w:val="3"/>
    </w:pPr>
  </w:style>
  <w:style w:type="paragraph" w:styleId="Heading5">
    <w:name w:val="heading 5"/>
    <w:aliases w:val="Numbered - 5"/>
    <w:basedOn w:val="Normal"/>
    <w:next w:val="Normal"/>
    <w:qFormat/>
    <w:pPr>
      <w:spacing w:line="240" w:lineRule="auto"/>
      <w:outlineLvl w:val="4"/>
    </w:pPr>
  </w:style>
  <w:style w:type="paragraph" w:styleId="Heading6">
    <w:name w:val="heading 6"/>
    <w:aliases w:val="Numbered - 6"/>
    <w:basedOn w:val="Normal"/>
    <w:next w:val="Normal"/>
    <w:qFormat/>
    <w:pPr>
      <w:spacing w:line="240" w:lineRule="auto"/>
      <w:outlineLvl w:val="5"/>
    </w:pPr>
  </w:style>
  <w:style w:type="paragraph" w:styleId="Heading7">
    <w:name w:val="heading 7"/>
    <w:aliases w:val="Numbered - 7"/>
    <w:basedOn w:val="Normal"/>
    <w:next w:val="Normal"/>
    <w:qFormat/>
    <w:pPr>
      <w:spacing w:line="240" w:lineRule="auto"/>
      <w:outlineLvl w:val="6"/>
    </w:pPr>
  </w:style>
  <w:style w:type="paragraph" w:styleId="Heading8">
    <w:name w:val="heading 8"/>
    <w:aliases w:val="Numbered - 8"/>
    <w:basedOn w:val="Normal"/>
    <w:next w:val="Normal"/>
    <w:qFormat/>
    <w:pPr>
      <w:spacing w:line="240" w:lineRule="auto"/>
      <w:outlineLvl w:val="7"/>
    </w:pPr>
  </w:style>
  <w:style w:type="paragraph" w:styleId="Heading9">
    <w:name w:val="heading 9"/>
    <w:aliases w:val="Numbered -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rsid w:val="00ED2827"/>
    <w:pPr>
      <w:spacing w:after="120"/>
      <w:ind w:left="1134" w:right="1134"/>
      <w:jc w:val="both"/>
    </w:pPr>
  </w:style>
  <w:style w:type="character" w:styleId="PageNumber">
    <w:name w:val="page number"/>
    <w:aliases w:val="7_G"/>
    <w:semiHidden/>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link w:val="Bullet1GChar"/>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Char">
    <w:name w:val=" Char"/>
    <w:basedOn w:val="Normal"/>
    <w:semiHidden/>
    <w:rsid w:val="00D114B0"/>
    <w:pPr>
      <w:suppressAutoHyphens w:val="0"/>
      <w:spacing w:after="160" w:line="240" w:lineRule="exact"/>
    </w:pPr>
    <w:rPr>
      <w:rFonts w:ascii="Arial" w:hAnsi="Arial" w:cs="Arial"/>
    </w:rPr>
  </w:style>
  <w:style w:type="paragraph" w:styleId="BalloonText">
    <w:name w:val="Balloon Text"/>
    <w:basedOn w:val="Normal"/>
    <w:semiHidden/>
    <w:rsid w:val="00D114B0"/>
    <w:pPr>
      <w:suppressAutoHyphens w:val="0"/>
      <w:spacing w:line="240" w:lineRule="auto"/>
    </w:pPr>
    <w:rPr>
      <w:rFonts w:ascii="Tahoma" w:hAnsi="Tahoma" w:cs="Tahoma"/>
      <w:sz w:val="16"/>
      <w:szCs w:val="16"/>
    </w:rPr>
  </w:style>
  <w:style w:type="paragraph" w:customStyle="1" w:styleId="DfESBullets">
    <w:name w:val="DfESBullets"/>
    <w:basedOn w:val="Normal"/>
    <w:semiHidden/>
    <w:rsid w:val="00D114B0"/>
    <w:pPr>
      <w:widowControl w:val="0"/>
      <w:numPr>
        <w:numId w:val="1"/>
      </w:numPr>
      <w:suppressAutoHyphens w:val="0"/>
      <w:overflowPunct w:val="0"/>
      <w:autoSpaceDE w:val="0"/>
      <w:autoSpaceDN w:val="0"/>
      <w:adjustRightInd w:val="0"/>
      <w:spacing w:after="240" w:line="240" w:lineRule="auto"/>
      <w:textAlignment w:val="baseline"/>
    </w:pPr>
    <w:rPr>
      <w:rFonts w:ascii="Arial" w:hAnsi="Arial"/>
      <w:sz w:val="24"/>
    </w:rPr>
  </w:style>
  <w:style w:type="character" w:customStyle="1" w:styleId="DfESBulletsChar">
    <w:name w:val="DfESBullets Char"/>
    <w:semiHidden/>
    <w:rsid w:val="00D114B0"/>
    <w:rPr>
      <w:rFonts w:ascii="Arial" w:hAnsi="Arial"/>
      <w:sz w:val="24"/>
      <w:lang w:val="en-GB" w:eastAsia="en-US" w:bidi="ar-SA"/>
    </w:rPr>
  </w:style>
  <w:style w:type="paragraph" w:customStyle="1" w:styleId="DfESOutNumbered">
    <w:name w:val="DfESOutNumbered"/>
    <w:basedOn w:val="Normal"/>
    <w:semiHidden/>
    <w:rsid w:val="00D114B0"/>
    <w:pPr>
      <w:widowControl w:val="0"/>
      <w:numPr>
        <w:numId w:val="17"/>
      </w:numPr>
      <w:suppressAutoHyphens w:val="0"/>
      <w:overflowPunct w:val="0"/>
      <w:autoSpaceDE w:val="0"/>
      <w:autoSpaceDN w:val="0"/>
      <w:adjustRightInd w:val="0"/>
      <w:spacing w:after="240" w:line="240" w:lineRule="auto"/>
      <w:ind w:left="0" w:firstLine="0"/>
      <w:textAlignment w:val="baseline"/>
    </w:pPr>
    <w:rPr>
      <w:rFonts w:ascii="Arial" w:hAnsi="Arial"/>
      <w:sz w:val="24"/>
    </w:rPr>
  </w:style>
  <w:style w:type="character" w:customStyle="1" w:styleId="DfESOutNumberedChar">
    <w:name w:val="DfESOutNumbered Char"/>
    <w:semiHidden/>
    <w:rsid w:val="00D114B0"/>
    <w:rPr>
      <w:rFonts w:ascii="Arial" w:hAnsi="Arial"/>
      <w:sz w:val="24"/>
      <w:lang w:val="en-GB" w:eastAsia="en-US" w:bidi="ar-SA"/>
    </w:rPr>
  </w:style>
  <w:style w:type="paragraph" w:customStyle="1" w:styleId="Heading">
    <w:name w:val="Heading"/>
    <w:basedOn w:val="Normal"/>
    <w:next w:val="Normal"/>
    <w:semiHidden/>
    <w:rsid w:val="00D114B0"/>
    <w:pPr>
      <w:keepNext/>
      <w:keepLines/>
      <w:widowControl w:val="0"/>
      <w:suppressAutoHyphens w:val="0"/>
      <w:overflowPunct w:val="0"/>
      <w:autoSpaceDE w:val="0"/>
      <w:autoSpaceDN w:val="0"/>
      <w:adjustRightInd w:val="0"/>
      <w:spacing w:before="240" w:after="240" w:line="240" w:lineRule="auto"/>
      <w:ind w:left="-720"/>
      <w:textAlignment w:val="baseline"/>
    </w:pPr>
    <w:rPr>
      <w:rFonts w:ascii="Arial" w:hAnsi="Arial"/>
      <w:b/>
      <w:sz w:val="24"/>
    </w:rPr>
  </w:style>
  <w:style w:type="paragraph" w:customStyle="1" w:styleId="MinuteTop">
    <w:name w:val="Minute Top"/>
    <w:basedOn w:val="Normal"/>
    <w:semiHidden/>
    <w:rsid w:val="00D114B0"/>
    <w:pPr>
      <w:widowControl w:val="0"/>
      <w:tabs>
        <w:tab w:val="left" w:pos="4680"/>
        <w:tab w:val="left" w:pos="5587"/>
      </w:tabs>
      <w:suppressAutoHyphens w:val="0"/>
      <w:overflowPunct w:val="0"/>
      <w:autoSpaceDE w:val="0"/>
      <w:autoSpaceDN w:val="0"/>
      <w:adjustRightInd w:val="0"/>
      <w:spacing w:line="240" w:lineRule="auto"/>
      <w:textAlignment w:val="baseline"/>
    </w:pPr>
    <w:rPr>
      <w:rFonts w:ascii="Arial" w:hAnsi="Arial"/>
      <w:sz w:val="24"/>
    </w:rPr>
  </w:style>
  <w:style w:type="paragraph" w:customStyle="1" w:styleId="Numbered">
    <w:name w:val="Numbered"/>
    <w:basedOn w:val="Normal"/>
    <w:semiHidden/>
    <w:rsid w:val="00D114B0"/>
    <w:pPr>
      <w:widowControl w:val="0"/>
      <w:suppressAutoHyphens w:val="0"/>
      <w:overflowPunct w:val="0"/>
      <w:autoSpaceDE w:val="0"/>
      <w:autoSpaceDN w:val="0"/>
      <w:adjustRightInd w:val="0"/>
      <w:spacing w:after="240" w:line="240" w:lineRule="auto"/>
      <w:textAlignment w:val="baseline"/>
    </w:pPr>
    <w:rPr>
      <w:rFonts w:ascii="Arial" w:hAnsi="Arial"/>
      <w:sz w:val="24"/>
    </w:rPr>
  </w:style>
  <w:style w:type="paragraph" w:customStyle="1" w:styleId="Sub-Heading">
    <w:name w:val="Sub-Heading"/>
    <w:basedOn w:val="Heading"/>
    <w:next w:val="Numbered"/>
    <w:semiHidden/>
    <w:rsid w:val="00D114B0"/>
    <w:pPr>
      <w:spacing w:before="0"/>
    </w:pPr>
  </w:style>
  <w:style w:type="character" w:customStyle="1" w:styleId="CharChar">
    <w:name w:val=" Char Char"/>
    <w:semiHidden/>
    <w:rsid w:val="00D114B0"/>
    <w:rPr>
      <w:lang w:val="en-GB" w:eastAsia="en-US" w:bidi="ar-SA"/>
    </w:rPr>
  </w:style>
  <w:style w:type="character" w:customStyle="1" w:styleId="PersonalComposeStyle">
    <w:name w:val="Personal Compose Style"/>
    <w:semiHidden/>
    <w:rsid w:val="00D114B0"/>
    <w:rPr>
      <w:rFonts w:ascii="Arial" w:hAnsi="Arial" w:cs="Arial"/>
      <w:color w:val="auto"/>
      <w:sz w:val="20"/>
    </w:rPr>
  </w:style>
  <w:style w:type="character" w:customStyle="1" w:styleId="PersonalReplyStyle">
    <w:name w:val="Personal Reply Style"/>
    <w:semiHidden/>
    <w:rsid w:val="00D114B0"/>
    <w:rPr>
      <w:rFonts w:ascii="Arial" w:hAnsi="Arial" w:cs="Arial"/>
      <w:color w:val="auto"/>
      <w:sz w:val="20"/>
    </w:rPr>
  </w:style>
  <w:style w:type="paragraph" w:customStyle="1" w:styleId="CharChar1CarCarCharChar">
    <w:name w:val="Char Char1 Car Car Char Char"/>
    <w:basedOn w:val="Normal"/>
    <w:semiHidden/>
    <w:rsid w:val="00D114B0"/>
    <w:pPr>
      <w:suppressAutoHyphens w:val="0"/>
      <w:spacing w:after="160" w:line="240" w:lineRule="exact"/>
    </w:pPr>
    <w:rPr>
      <w:rFonts w:ascii="Tahoma" w:hAnsi="Tahoma" w:cs="Tahoma"/>
      <w:lang w:val="en-US"/>
    </w:rPr>
  </w:style>
  <w:style w:type="character" w:customStyle="1" w:styleId="loose1">
    <w:name w:val="loose1"/>
    <w:semiHidden/>
    <w:rsid w:val="00D114B0"/>
    <w:rPr>
      <w:vanish w:val="0"/>
      <w:webHidden w:val="0"/>
      <w:specVanish w:val="0"/>
    </w:rPr>
  </w:style>
  <w:style w:type="character" w:customStyle="1" w:styleId="mw-headline">
    <w:name w:val="mw-headline"/>
    <w:basedOn w:val="DefaultParagraphFont"/>
    <w:semiHidden/>
    <w:rsid w:val="00D114B0"/>
  </w:style>
  <w:style w:type="character" w:customStyle="1" w:styleId="bold1">
    <w:name w:val="bold1"/>
    <w:semiHidden/>
    <w:rsid w:val="00D114B0"/>
    <w:rPr>
      <w:b/>
      <w:bCs/>
    </w:rPr>
  </w:style>
  <w:style w:type="character" w:customStyle="1" w:styleId="tightinline1">
    <w:name w:val="tightinline1"/>
    <w:basedOn w:val="DefaultParagraphFont"/>
    <w:semiHidden/>
    <w:rsid w:val="00D114B0"/>
  </w:style>
  <w:style w:type="character" w:customStyle="1" w:styleId="ColouredText">
    <w:name w:val="Coloured Text"/>
    <w:semiHidden/>
    <w:rsid w:val="00D114B0"/>
    <w:rPr>
      <w:color w:val="C41200"/>
    </w:rPr>
  </w:style>
  <w:style w:type="character" w:customStyle="1" w:styleId="maintext1">
    <w:name w:val="maintext1"/>
    <w:basedOn w:val="DefaultParagraphFont"/>
    <w:semiHidden/>
    <w:rsid w:val="00D114B0"/>
  </w:style>
  <w:style w:type="character" w:customStyle="1" w:styleId="msochangeprop0">
    <w:name w:val="msochangeprop"/>
    <w:basedOn w:val="DefaultParagraphFont"/>
    <w:semiHidden/>
    <w:rsid w:val="00D114B0"/>
  </w:style>
  <w:style w:type="paragraph" w:customStyle="1" w:styleId="dfesoutnumbered0">
    <w:name w:val="dfesoutnumbered"/>
    <w:basedOn w:val="Normal"/>
    <w:semiHidden/>
    <w:rsid w:val="00D114B0"/>
    <w:pPr>
      <w:suppressAutoHyphens w:val="0"/>
      <w:spacing w:before="100" w:beforeAutospacing="1" w:after="100" w:afterAutospacing="1" w:line="240" w:lineRule="auto"/>
    </w:pPr>
    <w:rPr>
      <w:sz w:val="24"/>
      <w:szCs w:val="24"/>
      <w:lang w:eastAsia="en-GB"/>
    </w:rPr>
  </w:style>
  <w:style w:type="paragraph" w:customStyle="1" w:styleId="Outline7">
    <w:name w:val="Outline7"/>
    <w:basedOn w:val="Normal"/>
    <w:next w:val="Normal"/>
    <w:semiHidden/>
    <w:rsid w:val="00D114B0"/>
    <w:pPr>
      <w:tabs>
        <w:tab w:val="left" w:pos="720"/>
        <w:tab w:val="left" w:pos="1440"/>
        <w:tab w:val="left" w:pos="2160"/>
        <w:tab w:val="left" w:pos="2880"/>
        <w:tab w:val="left" w:pos="4680"/>
        <w:tab w:val="left" w:pos="5400"/>
        <w:tab w:val="right" w:pos="9000"/>
      </w:tabs>
      <w:suppressAutoHyphens w:val="0"/>
      <w:spacing w:after="240"/>
      <w:ind w:left="720"/>
      <w:jc w:val="both"/>
    </w:pPr>
    <w:rPr>
      <w:kern w:val="24"/>
      <w:sz w:val="24"/>
    </w:rPr>
  </w:style>
  <w:style w:type="paragraph" w:styleId="Caption">
    <w:name w:val="caption"/>
    <w:basedOn w:val="Normal"/>
    <w:next w:val="Normal"/>
    <w:qFormat/>
    <w:rsid w:val="00D114B0"/>
    <w:pPr>
      <w:suppressAutoHyphens w:val="0"/>
      <w:spacing w:before="120" w:after="120" w:line="240" w:lineRule="auto"/>
      <w:jc w:val="right"/>
    </w:pPr>
    <w:rPr>
      <w:rFonts w:ascii="Arial" w:hAnsi="Arial" w:cs="Arial"/>
      <w:b/>
      <w:bCs/>
      <w:i/>
      <w:iCs/>
      <w:szCs w:val="24"/>
      <w:lang w:val="en-US"/>
    </w:rPr>
  </w:style>
  <w:style w:type="character" w:customStyle="1" w:styleId="Heading2CharCharChar">
    <w:name w:val="Heading 2 Char Char Char"/>
    <w:semiHidden/>
    <w:rsid w:val="00D114B0"/>
    <w:rPr>
      <w:rFonts w:ascii="Arial" w:hAnsi="Arial"/>
      <w:b/>
      <w:noProof w:val="0"/>
      <w:kern w:val="28"/>
      <w:sz w:val="24"/>
      <w:lang w:val="en-GB" w:eastAsia="en-US" w:bidi="ar-SA"/>
    </w:rPr>
  </w:style>
  <w:style w:type="character" w:customStyle="1" w:styleId="CharacterStyle2">
    <w:name w:val="Character Style 2"/>
    <w:semiHidden/>
    <w:rsid w:val="00D114B0"/>
    <w:rPr>
      <w:sz w:val="24"/>
      <w:szCs w:val="24"/>
    </w:rPr>
  </w:style>
  <w:style w:type="character" w:customStyle="1" w:styleId="CharacterStyle1">
    <w:name w:val="Character Style 1"/>
    <w:semiHidden/>
    <w:rsid w:val="00D114B0"/>
    <w:rPr>
      <w:rFonts w:ascii="Garamond" w:hAnsi="Garamond"/>
      <w:sz w:val="24"/>
    </w:rPr>
  </w:style>
  <w:style w:type="character" w:customStyle="1" w:styleId="CharacterStyle4">
    <w:name w:val="Character Style 4"/>
    <w:semiHidden/>
    <w:rsid w:val="00D114B0"/>
    <w:rPr>
      <w:sz w:val="22"/>
      <w:szCs w:val="22"/>
    </w:rPr>
  </w:style>
  <w:style w:type="paragraph" w:styleId="CommentSubject">
    <w:name w:val="annotation subject"/>
    <w:basedOn w:val="CommentText"/>
    <w:next w:val="CommentText"/>
    <w:semiHidden/>
    <w:rsid w:val="00D114B0"/>
    <w:pPr>
      <w:suppressAutoHyphens w:val="0"/>
      <w:spacing w:line="240" w:lineRule="auto"/>
    </w:pPr>
    <w:rPr>
      <w:rFonts w:ascii="MS PGothic" w:eastAsia="MS PGothic" w:hAnsi="MS PGothic" w:cs="MS PGothic"/>
      <w:b/>
      <w:bCs/>
      <w:sz w:val="18"/>
      <w:szCs w:val="18"/>
      <w:lang w:val="en-US" w:eastAsia="ja-JP"/>
    </w:rPr>
  </w:style>
  <w:style w:type="character" w:customStyle="1" w:styleId="H1GChar">
    <w:name w:val="_ H_1_G Char"/>
    <w:link w:val="H1G"/>
    <w:rsid w:val="00461FA8"/>
    <w:rPr>
      <w:b/>
      <w:sz w:val="24"/>
      <w:lang w:val="en-GB" w:eastAsia="en-US" w:bidi="ar-SA"/>
    </w:rPr>
  </w:style>
  <w:style w:type="character" w:customStyle="1" w:styleId="Bullet1GChar">
    <w:name w:val="_Bullet 1_G Char"/>
    <w:link w:val="Bullet1G"/>
    <w:rsid w:val="008F3D47"/>
    <w:rPr>
      <w:lang w:val="en-GB" w:eastAsia="en-US" w:bidi="ar-SA"/>
    </w:rPr>
  </w:style>
  <w:style w:type="character" w:customStyle="1" w:styleId="SingleTxtGChar">
    <w:name w:val="_ Single Txt_G Char"/>
    <w:link w:val="SingleTxtG"/>
    <w:rsid w:val="00D63F3A"/>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60475</Words>
  <Characters>344712</Characters>
  <Application>Microsoft Office Word</Application>
  <DocSecurity>4</DocSecurity>
  <Lines>2872</Lines>
  <Paragraphs>808</Paragraphs>
  <ScaleCrop>false</ScaleCrop>
  <HeadingPairs>
    <vt:vector size="2" baseType="variant">
      <vt:variant>
        <vt:lpstr>Title</vt:lpstr>
      </vt:variant>
      <vt:variant>
        <vt:i4>1</vt:i4>
      </vt:variant>
    </vt:vector>
  </HeadingPairs>
  <TitlesOfParts>
    <vt:vector size="1" baseType="lpstr">
      <vt:lpstr>0945108</vt:lpstr>
    </vt:vector>
  </TitlesOfParts>
  <Company>CSD</Company>
  <LinksUpToDate>false</LinksUpToDate>
  <CharactersWithSpaces>404379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0945108</dc:title>
  <dc:subject/>
  <dc:creator>DCM</dc:creator>
  <cp:keywords>CRC/C/JPN/3</cp:keywords>
  <dc:description/>
  <cp:lastModifiedBy>DCM</cp:lastModifiedBy>
  <cp:revision>2</cp:revision>
  <cp:lastPrinted>2010-04-06T08:12:00Z</cp:lastPrinted>
  <dcterms:created xsi:type="dcterms:W3CDTF">2010-04-06T08:14:00Z</dcterms:created>
  <dcterms:modified xsi:type="dcterms:W3CDTF">2010-04-06T08:14:00Z</dcterms:modified>
</cp:coreProperties>
</file>