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91BEBEC" w14:textId="77777777" w:rsidTr="00154216">
        <w:trPr>
          <w:trHeight w:hRule="exact" w:val="851"/>
        </w:trPr>
        <w:tc>
          <w:tcPr>
            <w:tcW w:w="1280" w:type="dxa"/>
            <w:tcBorders>
              <w:bottom w:val="single" w:sz="4" w:space="0" w:color="auto"/>
            </w:tcBorders>
          </w:tcPr>
          <w:p w14:paraId="58894DA9" w14:textId="77777777" w:rsidR="002D5AAC" w:rsidRPr="0056415C" w:rsidRDefault="002D5AAC" w:rsidP="00CD5651">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14:paraId="26752D21" w14:textId="77777777"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78511191" w14:textId="77777777" w:rsidR="002D5AAC" w:rsidRDefault="00CD5651" w:rsidP="00CD5651">
            <w:pPr>
              <w:jc w:val="right"/>
            </w:pPr>
            <w:proofErr w:type="spellStart"/>
            <w:r w:rsidRPr="00CD5651">
              <w:rPr>
                <w:sz w:val="40"/>
              </w:rPr>
              <w:t>CRPD</w:t>
            </w:r>
            <w:proofErr w:type="spellEnd"/>
            <w:r>
              <w:t>/C/</w:t>
            </w:r>
            <w:proofErr w:type="spellStart"/>
            <w:r>
              <w:t>NZL</w:t>
            </w:r>
            <w:proofErr w:type="spellEnd"/>
            <w:r>
              <w:t>/2-3</w:t>
            </w:r>
          </w:p>
        </w:tc>
      </w:tr>
      <w:tr w:rsidR="002D5AAC" w14:paraId="4F1E96EF" w14:textId="77777777" w:rsidTr="00154216">
        <w:trPr>
          <w:trHeight w:hRule="exact" w:val="2835"/>
        </w:trPr>
        <w:tc>
          <w:tcPr>
            <w:tcW w:w="1280" w:type="dxa"/>
            <w:tcBorders>
              <w:top w:val="single" w:sz="4" w:space="0" w:color="auto"/>
              <w:bottom w:val="single" w:sz="12" w:space="0" w:color="auto"/>
            </w:tcBorders>
          </w:tcPr>
          <w:p w14:paraId="1F36AD81" w14:textId="77777777" w:rsidR="002D5AAC" w:rsidRDefault="00952284" w:rsidP="00C6457C">
            <w:pPr>
              <w:spacing w:before="120"/>
              <w:jc w:val="center"/>
            </w:pPr>
            <w:r>
              <w:rPr>
                <w:noProof/>
              </w:rPr>
              <w:drawing>
                <wp:inline distT="0" distB="0" distL="0" distR="0" wp14:anchorId="116492CD" wp14:editId="5A60871B">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FAAEF81"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14:paraId="2BB2DFD6" w14:textId="77777777" w:rsidR="002D5AAC" w:rsidRDefault="00CD5651" w:rsidP="00C6457C">
            <w:pPr>
              <w:spacing w:before="240"/>
            </w:pPr>
            <w:proofErr w:type="spellStart"/>
            <w:r>
              <w:t>Distr</w:t>
            </w:r>
            <w:proofErr w:type="spellEnd"/>
            <w:r>
              <w:t>. general</w:t>
            </w:r>
          </w:p>
          <w:p w14:paraId="0841E285" w14:textId="77777777" w:rsidR="00CD5651" w:rsidRDefault="00CD5651" w:rsidP="00CD5651">
            <w:pPr>
              <w:spacing w:line="240" w:lineRule="exact"/>
            </w:pPr>
            <w:r>
              <w:t>11 de octubre de 2019</w:t>
            </w:r>
          </w:p>
          <w:p w14:paraId="629BD09F" w14:textId="77777777" w:rsidR="00CD5651" w:rsidRDefault="00CD5651" w:rsidP="00CD5651">
            <w:pPr>
              <w:spacing w:line="240" w:lineRule="exact"/>
            </w:pPr>
            <w:r>
              <w:t>Español</w:t>
            </w:r>
          </w:p>
          <w:p w14:paraId="0E9F4878" w14:textId="77777777" w:rsidR="00CD5651" w:rsidRDefault="00CD5651" w:rsidP="00CD5651">
            <w:pPr>
              <w:tabs>
                <w:tab w:val="left" w:pos="1774"/>
              </w:tabs>
              <w:spacing w:line="240" w:lineRule="exact"/>
            </w:pPr>
            <w:r>
              <w:t>Original: inglés</w:t>
            </w:r>
          </w:p>
          <w:p w14:paraId="0FABDBDE" w14:textId="77777777" w:rsidR="00CD5651" w:rsidRDefault="00CD5651" w:rsidP="00CD5651">
            <w:pPr>
              <w:tabs>
                <w:tab w:val="left" w:pos="1774"/>
              </w:tabs>
              <w:spacing w:line="240" w:lineRule="exact"/>
            </w:pPr>
            <w:r w:rsidRPr="00447E97">
              <w:rPr>
                <w:lang w:val="es-ES_tradnl"/>
              </w:rPr>
              <w:t>Español, inglés y r</w:t>
            </w:r>
            <w:bookmarkStart w:id="0" w:name="_GoBack"/>
            <w:bookmarkEnd w:id="0"/>
            <w:r w:rsidRPr="00447E97">
              <w:rPr>
                <w:lang w:val="es-ES_tradnl"/>
              </w:rPr>
              <w:t>uso únicamente</w:t>
            </w:r>
          </w:p>
        </w:tc>
      </w:tr>
    </w:tbl>
    <w:p w14:paraId="63912D02" w14:textId="77777777" w:rsidR="00CD5651" w:rsidRPr="00154216" w:rsidRDefault="00154216" w:rsidP="00154216">
      <w:pPr>
        <w:spacing w:before="120"/>
        <w:rPr>
          <w:sz w:val="24"/>
          <w:szCs w:val="24"/>
        </w:rPr>
      </w:pPr>
      <w:r w:rsidRPr="00447E97">
        <w:rPr>
          <w:b/>
          <w:sz w:val="24"/>
          <w:szCs w:val="24"/>
          <w:lang w:val="es-ES_tradnl"/>
        </w:rPr>
        <w:t xml:space="preserve">Comité </w:t>
      </w:r>
      <w:bookmarkStart w:id="1" w:name="_Hlk30668271"/>
      <w:r w:rsidRPr="00447E97">
        <w:rPr>
          <w:b/>
          <w:sz w:val="24"/>
          <w:szCs w:val="24"/>
          <w:lang w:val="es-ES_tradnl"/>
        </w:rPr>
        <w:t xml:space="preserve">sobre los Derechos de las Personas </w:t>
      </w:r>
      <w:r w:rsidR="009847E6">
        <w:rPr>
          <w:b/>
          <w:sz w:val="24"/>
          <w:szCs w:val="24"/>
          <w:lang w:val="es-ES_tradnl"/>
        </w:rPr>
        <w:br/>
      </w:r>
      <w:r w:rsidRPr="00447E97">
        <w:rPr>
          <w:b/>
          <w:sz w:val="24"/>
          <w:szCs w:val="24"/>
          <w:lang w:val="es-ES_tradnl"/>
        </w:rPr>
        <w:t>con Discapacidad</w:t>
      </w:r>
      <w:bookmarkEnd w:id="1"/>
    </w:p>
    <w:p w14:paraId="53788BEE" w14:textId="77777777" w:rsidR="006F35EE" w:rsidRDefault="00154216" w:rsidP="00154216">
      <w:pPr>
        <w:pStyle w:val="HMG"/>
        <w:rPr>
          <w:lang w:val="es-ES_tradnl"/>
        </w:rPr>
      </w:pPr>
      <w:r w:rsidRPr="00447E97">
        <w:rPr>
          <w:lang w:val="es-ES_tradnl"/>
        </w:rPr>
        <w:tab/>
      </w:r>
      <w:r w:rsidRPr="00447E97">
        <w:rPr>
          <w:lang w:val="es-ES_tradnl"/>
        </w:rPr>
        <w:tab/>
        <w:t xml:space="preserve">Informes periódicos segundo y tercero combinados que Nueva Zelandia debía </w:t>
      </w:r>
      <w:r>
        <w:rPr>
          <w:lang w:val="es-ES_tradnl"/>
        </w:rPr>
        <w:br/>
      </w:r>
      <w:r w:rsidRPr="00447E97">
        <w:rPr>
          <w:lang w:val="es-ES_tradnl"/>
        </w:rPr>
        <w:t xml:space="preserve">presentar en 2019 en virtud del artículo 35 </w:t>
      </w:r>
      <w:r>
        <w:rPr>
          <w:lang w:val="es-ES_tradnl"/>
        </w:rPr>
        <w:br/>
      </w:r>
      <w:r w:rsidRPr="00447E97">
        <w:rPr>
          <w:lang w:val="es-ES_tradnl"/>
        </w:rPr>
        <w:t>de la Convención con arreglo al procedimiento facultativo de presentación de informes</w:t>
      </w:r>
      <w:r w:rsidRPr="00A17812">
        <w:rPr>
          <w:rStyle w:val="Refdenotaalpie"/>
          <w:b w:val="0"/>
          <w:bCs/>
          <w:sz w:val="20"/>
          <w:vertAlign w:val="baseline"/>
          <w:lang w:val="es-ES_tradnl"/>
        </w:rPr>
        <w:footnoteReference w:customMarkFollows="1" w:id="1"/>
        <w:t>*</w:t>
      </w:r>
    </w:p>
    <w:p w14:paraId="529CFA02" w14:textId="77777777" w:rsidR="00154216" w:rsidRDefault="00154216" w:rsidP="00154216">
      <w:pPr>
        <w:pStyle w:val="SingleTxtG"/>
        <w:jc w:val="right"/>
        <w:rPr>
          <w:lang w:val="es-ES_tradnl"/>
        </w:rPr>
      </w:pPr>
      <w:r w:rsidRPr="00447E97">
        <w:rPr>
          <w:lang w:val="es-ES_tradnl"/>
        </w:rPr>
        <w:t>[Fecha de recepción: 8 de marzo de 2019]</w:t>
      </w:r>
    </w:p>
    <w:p w14:paraId="6B3002AE" w14:textId="77777777" w:rsidR="00154216" w:rsidRPr="00447E97" w:rsidRDefault="00154216" w:rsidP="00154216">
      <w:pPr>
        <w:pStyle w:val="HChG"/>
        <w:rPr>
          <w:lang w:val="es-ES_tradnl"/>
        </w:rPr>
      </w:pPr>
      <w:r>
        <w:br w:type="page"/>
      </w:r>
      <w:r w:rsidRPr="00447E97">
        <w:rPr>
          <w:lang w:val="es-ES_tradnl"/>
        </w:rPr>
        <w:lastRenderedPageBreak/>
        <w:tab/>
      </w:r>
      <w:r w:rsidRPr="00447E97">
        <w:rPr>
          <w:lang w:val="es-ES_tradnl"/>
        </w:rPr>
        <w:tab/>
        <w:t>Glosario</w:t>
      </w:r>
    </w:p>
    <w:p w14:paraId="2BE3B2E4" w14:textId="77777777" w:rsidR="00154216" w:rsidRPr="00154216" w:rsidRDefault="00154216" w:rsidP="00154216">
      <w:pPr>
        <w:pStyle w:val="H23G"/>
        <w:rPr>
          <w:lang w:val="es-ES_tradnl"/>
        </w:rPr>
      </w:pPr>
      <w:r w:rsidRPr="00154216">
        <w:rPr>
          <w:lang w:val="es-ES_tradnl"/>
        </w:rPr>
        <w:tab/>
      </w:r>
      <w:r w:rsidRPr="00154216">
        <w:rPr>
          <w:lang w:val="es-ES_tradnl"/>
        </w:rPr>
        <w:tab/>
        <w:t>Palabras en te reo</w:t>
      </w:r>
    </w:p>
    <w:p w14:paraId="59529B09" w14:textId="77777777" w:rsidR="00154216" w:rsidRPr="00154216" w:rsidRDefault="00154216" w:rsidP="00154216">
      <w:pPr>
        <w:pStyle w:val="SingleTxtG"/>
        <w:tabs>
          <w:tab w:val="left" w:pos="3119"/>
        </w:tabs>
        <w:ind w:left="3119" w:hanging="1985"/>
        <w:rPr>
          <w:rStyle w:val="Refdenotaalfinal"/>
          <w:lang w:val="es-ES_tradnl"/>
        </w:rPr>
      </w:pPr>
      <w:proofErr w:type="spellStart"/>
      <w:r w:rsidRPr="00154216">
        <w:rPr>
          <w:lang w:val="es-ES_tradnl"/>
        </w:rPr>
        <w:t>Aotearoa</w:t>
      </w:r>
      <w:proofErr w:type="spellEnd"/>
      <w:r w:rsidRPr="00154216">
        <w:rPr>
          <w:lang w:val="es-ES_tradnl"/>
        </w:rPr>
        <w:tab/>
        <w:t>Nombre maorí de Nueva Zelandia</w:t>
      </w:r>
      <w:r w:rsidRPr="00154216">
        <w:rPr>
          <w:rStyle w:val="Refdenotaalfinal"/>
          <w:lang w:val="es-ES_tradnl"/>
        </w:rPr>
        <w:endnoteReference w:id="1"/>
      </w:r>
    </w:p>
    <w:p w14:paraId="511289AD" w14:textId="77777777" w:rsidR="00154216" w:rsidRPr="00154216" w:rsidRDefault="00154216" w:rsidP="00154216">
      <w:pPr>
        <w:pStyle w:val="SingleTxtG"/>
        <w:tabs>
          <w:tab w:val="left" w:pos="3119"/>
        </w:tabs>
        <w:ind w:left="3119" w:hanging="1985"/>
        <w:rPr>
          <w:lang w:val="es-ES_tradnl"/>
        </w:rPr>
      </w:pPr>
      <w:proofErr w:type="spellStart"/>
      <w:r w:rsidRPr="00154216">
        <w:rPr>
          <w:lang w:val="es-ES_tradnl"/>
        </w:rPr>
        <w:t>Māori</w:t>
      </w:r>
      <w:proofErr w:type="spellEnd"/>
      <w:r w:rsidRPr="00154216">
        <w:rPr>
          <w:lang w:val="es-ES_tradnl"/>
        </w:rPr>
        <w:tab/>
        <w:t xml:space="preserve">Indígena de </w:t>
      </w:r>
      <w:proofErr w:type="spellStart"/>
      <w:r w:rsidRPr="00154216">
        <w:rPr>
          <w:lang w:val="es-ES_tradnl"/>
        </w:rPr>
        <w:t>Aotearoa</w:t>
      </w:r>
      <w:proofErr w:type="spellEnd"/>
      <w:r w:rsidRPr="00154216">
        <w:rPr>
          <w:lang w:val="es-ES_tradnl"/>
        </w:rPr>
        <w:t>/Nueva Zelandia</w:t>
      </w:r>
      <w:r w:rsidRPr="00154216">
        <w:rPr>
          <w:rStyle w:val="Refdenotaalfinal"/>
          <w:lang w:val="es-ES_tradnl"/>
        </w:rPr>
        <w:endnoteReference w:id="2"/>
      </w:r>
      <w:r w:rsidRPr="00154216">
        <w:rPr>
          <w:rStyle w:val="Refdenotaalfinal"/>
          <w:lang w:val="es-ES_tradnl"/>
        </w:rPr>
        <w:t xml:space="preserve"> </w:t>
      </w:r>
    </w:p>
    <w:p w14:paraId="4F3890C8" w14:textId="77777777" w:rsidR="00154216" w:rsidRPr="00154216" w:rsidRDefault="00154216" w:rsidP="00154216">
      <w:pPr>
        <w:pStyle w:val="SingleTxtG"/>
        <w:tabs>
          <w:tab w:val="left" w:pos="3119"/>
        </w:tabs>
        <w:ind w:left="3119" w:hanging="1985"/>
        <w:rPr>
          <w:lang w:val="es-ES_tradnl"/>
        </w:rPr>
      </w:pPr>
      <w:r w:rsidRPr="00154216">
        <w:rPr>
          <w:lang w:val="es-ES_tradnl"/>
        </w:rPr>
        <w:t xml:space="preserve">Te reo/te reo </w:t>
      </w:r>
      <w:proofErr w:type="spellStart"/>
      <w:r w:rsidRPr="00154216">
        <w:rPr>
          <w:lang w:val="es-ES_tradnl"/>
        </w:rPr>
        <w:t>Māori</w:t>
      </w:r>
      <w:proofErr w:type="spellEnd"/>
      <w:r w:rsidRPr="00154216">
        <w:rPr>
          <w:lang w:val="es-ES_tradnl"/>
        </w:rPr>
        <w:tab/>
        <w:t xml:space="preserve">La lengua indígena de </w:t>
      </w:r>
      <w:proofErr w:type="spellStart"/>
      <w:r w:rsidRPr="00154216">
        <w:rPr>
          <w:lang w:val="es-ES_tradnl"/>
        </w:rPr>
        <w:t>Aotearoa</w:t>
      </w:r>
      <w:proofErr w:type="spellEnd"/>
      <w:r w:rsidRPr="00154216">
        <w:rPr>
          <w:lang w:val="es-ES_tradnl"/>
        </w:rPr>
        <w:t>/Nueva Zelandia</w:t>
      </w:r>
    </w:p>
    <w:p w14:paraId="481727D1" w14:textId="77777777" w:rsidR="00154216" w:rsidRPr="001D5978" w:rsidRDefault="00154216" w:rsidP="00154216">
      <w:pPr>
        <w:pStyle w:val="SingleTxtG"/>
        <w:tabs>
          <w:tab w:val="left" w:pos="3119"/>
        </w:tabs>
        <w:ind w:left="3119" w:hanging="1985"/>
        <w:rPr>
          <w:rStyle w:val="Refdenotaalfinal"/>
          <w:vertAlign w:val="baseline"/>
          <w:lang w:val="es-ES_tradnl"/>
        </w:rPr>
      </w:pPr>
      <w:proofErr w:type="spellStart"/>
      <w:r w:rsidRPr="00154216">
        <w:rPr>
          <w:lang w:val="es-ES_tradnl"/>
        </w:rPr>
        <w:t>Whānau</w:t>
      </w:r>
      <w:proofErr w:type="spellEnd"/>
      <w:r w:rsidRPr="00154216">
        <w:rPr>
          <w:lang w:val="es-ES_tradnl"/>
        </w:rPr>
        <w:tab/>
        <w:t>Familia extensa, grupo familiar, término familiar para dirigirse a un número de personas; unidad económica principal de la sociedad maorí tradicional. En el uso moderno, este término a veces se hace extensivo a amigos que quizá no tengan ningún lazo de parentesco con el resto del grupo</w:t>
      </w:r>
      <w:r w:rsidRPr="00154216">
        <w:rPr>
          <w:rStyle w:val="Refdenotaalfinal"/>
          <w:lang w:val="es-ES_tradnl"/>
        </w:rPr>
        <w:endnoteReference w:id="3"/>
      </w:r>
      <w:r w:rsidR="00114E26">
        <w:rPr>
          <w:lang w:val="es-ES_tradnl"/>
        </w:rPr>
        <w:t>.</w:t>
      </w:r>
    </w:p>
    <w:p w14:paraId="3B5F4AA1" w14:textId="77777777" w:rsidR="00154216" w:rsidRPr="00154216" w:rsidRDefault="00154216" w:rsidP="00154216">
      <w:pPr>
        <w:pStyle w:val="H23G"/>
        <w:rPr>
          <w:lang w:val="es-ES_tradnl"/>
        </w:rPr>
      </w:pPr>
      <w:r w:rsidRPr="00154216">
        <w:rPr>
          <w:lang w:val="es-ES_tradnl"/>
        </w:rPr>
        <w:tab/>
      </w:r>
      <w:r w:rsidRPr="00154216">
        <w:rPr>
          <w:lang w:val="es-ES_tradnl"/>
        </w:rPr>
        <w:tab/>
        <w:t>Siglas y abreviaturas</w:t>
      </w:r>
    </w:p>
    <w:p w14:paraId="51BEC3D3" w14:textId="77777777" w:rsidR="001D5978" w:rsidRPr="00154216" w:rsidRDefault="001D5978" w:rsidP="00154216">
      <w:pPr>
        <w:pStyle w:val="SingleTxtG"/>
        <w:tabs>
          <w:tab w:val="left" w:pos="3119"/>
        </w:tabs>
        <w:ind w:left="3119" w:hanging="1985"/>
        <w:rPr>
          <w:lang w:val="es-ES_tradnl"/>
        </w:rPr>
      </w:pPr>
      <w:r w:rsidRPr="00154216">
        <w:rPr>
          <w:lang w:val="es-ES_tradnl"/>
        </w:rPr>
        <w:t>ACC</w:t>
      </w:r>
      <w:r w:rsidRPr="00154216">
        <w:rPr>
          <w:lang w:val="es-ES_tradnl"/>
        </w:rPr>
        <w:tab/>
        <w:t>Corporación de Indemnización de Accidentes</w:t>
      </w:r>
    </w:p>
    <w:p w14:paraId="1E6B5E7B" w14:textId="77777777" w:rsidR="001D5978" w:rsidRDefault="001D5978" w:rsidP="00154216">
      <w:pPr>
        <w:pStyle w:val="SingleTxtG"/>
        <w:tabs>
          <w:tab w:val="left" w:pos="3119"/>
        </w:tabs>
        <w:ind w:left="3119" w:hanging="1985"/>
      </w:pPr>
      <w:proofErr w:type="spellStart"/>
      <w:r w:rsidRPr="00447E97">
        <w:rPr>
          <w:lang w:val="es-ES_tradnl"/>
        </w:rPr>
        <w:t>CDEM</w:t>
      </w:r>
      <w:proofErr w:type="spellEnd"/>
      <w:r w:rsidRPr="00447E97">
        <w:rPr>
          <w:lang w:val="es-ES_tradnl"/>
        </w:rPr>
        <w:tab/>
        <w:t>Gestión de Emergencia de la Defensa Civil</w:t>
      </w:r>
    </w:p>
    <w:p w14:paraId="18144C95" w14:textId="77777777" w:rsidR="001D5978" w:rsidRPr="00154216" w:rsidRDefault="001D5978" w:rsidP="00154216">
      <w:pPr>
        <w:pStyle w:val="SingleTxtG"/>
        <w:tabs>
          <w:tab w:val="left" w:pos="3119"/>
        </w:tabs>
        <w:ind w:left="3119" w:hanging="1985"/>
        <w:rPr>
          <w:rStyle w:val="Refdenotaalfinal"/>
          <w:lang w:val="es-ES_tradnl"/>
        </w:rPr>
      </w:pPr>
      <w:r w:rsidRPr="00154216">
        <w:rPr>
          <w:lang w:val="es-ES_tradnl"/>
        </w:rPr>
        <w:t xml:space="preserve">Coalición </w:t>
      </w:r>
      <w:proofErr w:type="spellStart"/>
      <w:r w:rsidRPr="00154216">
        <w:rPr>
          <w:lang w:val="es-ES_tradnl"/>
        </w:rPr>
        <w:t>DPO</w:t>
      </w:r>
      <w:proofErr w:type="spellEnd"/>
      <w:r w:rsidRPr="00154216">
        <w:rPr>
          <w:lang w:val="es-ES_tradnl"/>
        </w:rPr>
        <w:tab/>
        <w:t xml:space="preserve">Coalición de Organizaciones de las Personas con Discapacidad. Actualmente hay siete organizaciones en la Coalición </w:t>
      </w:r>
      <w:proofErr w:type="spellStart"/>
      <w:r w:rsidRPr="00154216">
        <w:rPr>
          <w:lang w:val="es-ES_tradnl"/>
        </w:rPr>
        <w:t>DPO</w:t>
      </w:r>
      <w:proofErr w:type="spellEnd"/>
      <w:r w:rsidRPr="00154216">
        <w:rPr>
          <w:lang w:val="es-ES_tradnl"/>
        </w:rPr>
        <w:t>, integradas o dirigidas principalmente por personas con discapacidad</w:t>
      </w:r>
      <w:r w:rsidRPr="00154216">
        <w:rPr>
          <w:rStyle w:val="Refdenotaalfinal"/>
          <w:lang w:val="es-ES_tradnl"/>
        </w:rPr>
        <w:endnoteReference w:id="4"/>
      </w:r>
      <w:r>
        <w:rPr>
          <w:lang w:val="es-ES_tradnl"/>
        </w:rPr>
        <w:t>.</w:t>
      </w:r>
    </w:p>
    <w:p w14:paraId="5DCAB6EF" w14:textId="77777777" w:rsidR="001D5978" w:rsidRPr="00154216" w:rsidRDefault="001D5978" w:rsidP="00154216">
      <w:pPr>
        <w:pStyle w:val="SingleTxtG"/>
        <w:tabs>
          <w:tab w:val="left" w:pos="3119"/>
        </w:tabs>
        <w:ind w:left="3119" w:hanging="1985"/>
        <w:rPr>
          <w:lang w:val="es-ES_tradnl"/>
        </w:rPr>
      </w:pPr>
      <w:r w:rsidRPr="00154216">
        <w:rPr>
          <w:lang w:val="es-ES_tradnl"/>
        </w:rPr>
        <w:t xml:space="preserve">Consejo </w:t>
      </w:r>
      <w:proofErr w:type="spellStart"/>
      <w:r w:rsidRPr="00154216">
        <w:rPr>
          <w:lang w:val="es-ES_tradnl"/>
        </w:rPr>
        <w:t>NZSL</w:t>
      </w:r>
      <w:proofErr w:type="spellEnd"/>
      <w:r w:rsidRPr="00154216">
        <w:rPr>
          <w:lang w:val="es-ES_tradnl"/>
        </w:rPr>
        <w:tab/>
        <w:t>Consejo de la Lengua de Señas de Nueva Zelandia</w:t>
      </w:r>
    </w:p>
    <w:p w14:paraId="44D8E19D" w14:textId="77777777" w:rsidR="001D5978" w:rsidRPr="00154216" w:rsidRDefault="001D5978" w:rsidP="00154216">
      <w:pPr>
        <w:pStyle w:val="SingleTxtG"/>
        <w:tabs>
          <w:tab w:val="left" w:pos="3119"/>
        </w:tabs>
        <w:ind w:left="3119" w:hanging="1985"/>
        <w:rPr>
          <w:lang w:val="es-ES_tradnl"/>
        </w:rPr>
      </w:pPr>
      <w:proofErr w:type="spellStart"/>
      <w:r w:rsidRPr="00154216">
        <w:rPr>
          <w:lang w:val="es-ES_tradnl"/>
        </w:rPr>
        <w:t>DSS</w:t>
      </w:r>
      <w:proofErr w:type="spellEnd"/>
      <w:r w:rsidRPr="00154216">
        <w:rPr>
          <w:lang w:val="es-ES_tradnl"/>
        </w:rPr>
        <w:t xml:space="preserve"> </w:t>
      </w:r>
      <w:r w:rsidRPr="00154216">
        <w:rPr>
          <w:lang w:val="es-ES_tradnl"/>
        </w:rPr>
        <w:tab/>
        <w:t>Servicios de Apoyo a la Discapacidad</w:t>
      </w:r>
    </w:p>
    <w:p w14:paraId="4F54285D" w14:textId="77777777" w:rsidR="001D5978" w:rsidRPr="00154216" w:rsidRDefault="001D5978" w:rsidP="00154216">
      <w:pPr>
        <w:pStyle w:val="SingleTxtG"/>
        <w:tabs>
          <w:tab w:val="left" w:pos="3119"/>
        </w:tabs>
        <w:ind w:left="3119" w:hanging="1985"/>
        <w:rPr>
          <w:lang w:val="es-ES_tradnl"/>
        </w:rPr>
      </w:pPr>
      <w:proofErr w:type="spellStart"/>
      <w:r w:rsidRPr="00154216">
        <w:rPr>
          <w:lang w:val="es-ES_tradnl"/>
        </w:rPr>
        <w:t>IMM</w:t>
      </w:r>
      <w:proofErr w:type="spellEnd"/>
      <w:r w:rsidRPr="00154216">
        <w:rPr>
          <w:lang w:val="es-ES_tradnl"/>
        </w:rPr>
        <w:tab/>
        <w:t xml:space="preserve">Mecanismo de Seguimiento Independiente integrado por la Comisión de Derechos Humanos, la Oficina del Ombudsman y la Coalición </w:t>
      </w:r>
      <w:proofErr w:type="spellStart"/>
      <w:r w:rsidRPr="00154216">
        <w:rPr>
          <w:lang w:val="es-ES_tradnl"/>
        </w:rPr>
        <w:t>DPO</w:t>
      </w:r>
      <w:proofErr w:type="spellEnd"/>
    </w:p>
    <w:p w14:paraId="6A9D59F0" w14:textId="77777777" w:rsidR="00154216" w:rsidRPr="00447E97" w:rsidRDefault="00154216" w:rsidP="00154216">
      <w:pPr>
        <w:pStyle w:val="HChG"/>
        <w:rPr>
          <w:lang w:val="es-ES_tradnl"/>
        </w:rPr>
      </w:pPr>
      <w:r>
        <w:br w:type="page"/>
      </w:r>
      <w:r w:rsidRPr="00447E97">
        <w:rPr>
          <w:lang w:val="es-ES_tradnl"/>
        </w:rPr>
        <w:lastRenderedPageBreak/>
        <w:tab/>
      </w:r>
      <w:r w:rsidRPr="00447E97">
        <w:rPr>
          <w:lang w:val="es-ES_tradnl"/>
        </w:rPr>
        <w:tab/>
        <w:t>Introducción</w:t>
      </w:r>
    </w:p>
    <w:p w14:paraId="31904A71" w14:textId="77777777" w:rsidR="00154216" w:rsidRPr="00154216" w:rsidRDefault="00154216" w:rsidP="00154216">
      <w:pPr>
        <w:pStyle w:val="SingleTxtG"/>
        <w:rPr>
          <w:lang w:val="es-ES_tradnl"/>
        </w:rPr>
      </w:pPr>
      <w:r w:rsidRPr="00154216">
        <w:rPr>
          <w:lang w:val="es-ES_tradnl"/>
        </w:rPr>
        <w:t>1.</w:t>
      </w:r>
      <w:r w:rsidRPr="00154216">
        <w:rPr>
          <w:lang w:val="es-ES_tradnl"/>
        </w:rPr>
        <w:tab/>
        <w:t xml:space="preserve">El Gobierno de Nueva Zelandia acoge con gran interés el examen de los informes periódicos combinados segundo y tercero sobre la aplicación de la Convención </w:t>
      </w:r>
      <w:r w:rsidRPr="00154216">
        <w:rPr>
          <w:bCs/>
          <w:lang w:val="es-ES_tradnl"/>
        </w:rPr>
        <w:t xml:space="preserve">sobre los Derechos de las Personas con Discapacidad (en lo sucesivo, </w:t>
      </w:r>
      <w:r>
        <w:rPr>
          <w:bCs/>
          <w:lang w:val="es-ES_tradnl"/>
        </w:rPr>
        <w:t>“</w:t>
      </w:r>
      <w:r w:rsidRPr="00154216">
        <w:rPr>
          <w:bCs/>
          <w:lang w:val="es-ES_tradnl"/>
        </w:rPr>
        <w:t>la Convención</w:t>
      </w:r>
      <w:r>
        <w:rPr>
          <w:bCs/>
          <w:lang w:val="es-ES_tradnl"/>
        </w:rPr>
        <w:t>”</w:t>
      </w:r>
      <w:r w:rsidRPr="00154216">
        <w:rPr>
          <w:bCs/>
          <w:lang w:val="es-ES_tradnl"/>
        </w:rPr>
        <w:t>)</w:t>
      </w:r>
      <w:r w:rsidRPr="00154216">
        <w:rPr>
          <w:lang w:val="es-ES_tradnl"/>
        </w:rPr>
        <w:t xml:space="preserve"> como una oportunidad para reconocer y seguir promoviendo los derechos de las personas con discapacidad. </w:t>
      </w:r>
    </w:p>
    <w:p w14:paraId="0784AD5E" w14:textId="77777777" w:rsidR="00154216" w:rsidRPr="00154216" w:rsidRDefault="00154216" w:rsidP="00154216">
      <w:pPr>
        <w:pStyle w:val="SingleTxtG"/>
        <w:rPr>
          <w:lang w:val="es-ES_tradnl"/>
        </w:rPr>
      </w:pPr>
      <w:r w:rsidRPr="00154216">
        <w:rPr>
          <w:lang w:val="es-ES_tradnl"/>
        </w:rPr>
        <w:t>2.</w:t>
      </w:r>
      <w:r w:rsidRPr="00154216">
        <w:rPr>
          <w:lang w:val="es-ES_tradnl"/>
        </w:rPr>
        <w:tab/>
        <w:t>En el presente informe se da respuesta a las preguntas formuladas por el Comité de las Naciones Unidas sobre los Derechos de las Personas con Discapacidad. Las preguntas, a las que se hace referencia en negrita, van seguidas de las respuestas del Gobierno.</w:t>
      </w:r>
    </w:p>
    <w:p w14:paraId="07FB9A3C" w14:textId="77777777" w:rsidR="00154216" w:rsidRPr="00154216" w:rsidRDefault="00154216" w:rsidP="00154216">
      <w:pPr>
        <w:pStyle w:val="SingleTxtG"/>
        <w:rPr>
          <w:rStyle w:val="Refdenotaalfinal"/>
          <w:lang w:val="es-ES_tradnl"/>
        </w:rPr>
      </w:pPr>
      <w:r w:rsidRPr="00154216">
        <w:rPr>
          <w:lang w:val="es-ES_tradnl"/>
        </w:rPr>
        <w:t>3.</w:t>
      </w:r>
      <w:r w:rsidRPr="00154216">
        <w:rPr>
          <w:lang w:val="es-ES_tradnl"/>
        </w:rPr>
        <w:tab/>
        <w:t xml:space="preserve">En el presente informe se utiliza el término </w:t>
      </w:r>
      <w:r>
        <w:rPr>
          <w:lang w:val="es-ES_tradnl"/>
        </w:rPr>
        <w:t>“</w:t>
      </w:r>
      <w:r w:rsidRPr="00154216">
        <w:rPr>
          <w:lang w:val="es-ES_tradnl"/>
        </w:rPr>
        <w:t>personas con discapacidad</w:t>
      </w:r>
      <w:r>
        <w:rPr>
          <w:lang w:val="es-ES_tradnl"/>
        </w:rPr>
        <w:t>”</w:t>
      </w:r>
      <w:r w:rsidRPr="00154216">
        <w:rPr>
          <w:lang w:val="es-ES_tradnl"/>
        </w:rPr>
        <w:t>. Es la expresión empleada en la Estrategia de Nueva Zelandia sobre la Discapacidad para 2016</w:t>
      </w:r>
      <w:r w:rsidR="006A6863">
        <w:rPr>
          <w:lang w:val="es-ES_tradnl"/>
        </w:rPr>
        <w:noBreakHyphen/>
      </w:r>
      <w:r w:rsidRPr="00154216">
        <w:rPr>
          <w:lang w:val="es-ES_tradnl"/>
        </w:rPr>
        <w:t>2026 (la Estrategia sobre la Discapacidad)</w:t>
      </w:r>
      <w:r w:rsidRPr="00154216">
        <w:rPr>
          <w:rStyle w:val="Refdenotaalfinal"/>
          <w:lang w:val="es-ES_tradnl"/>
        </w:rPr>
        <w:endnoteReference w:id="5"/>
      </w:r>
      <w:r w:rsidRPr="00154216">
        <w:rPr>
          <w:rStyle w:val="Refdenotaalfinal"/>
          <w:lang w:val="es-ES_tradnl"/>
        </w:rPr>
        <w:t xml:space="preserve"> </w:t>
      </w:r>
      <w:r w:rsidRPr="00154216">
        <w:rPr>
          <w:lang w:val="es-ES_tradnl"/>
        </w:rPr>
        <w:t>conforme a la recomendación del Grupo de Consulta para la Estrategia</w:t>
      </w:r>
      <w:r w:rsidRPr="00154216">
        <w:rPr>
          <w:rStyle w:val="Refdenotaalfinal"/>
          <w:lang w:val="es-ES_tradnl"/>
        </w:rPr>
        <w:endnoteReference w:id="6"/>
      </w:r>
      <w:r w:rsidR="00114E26">
        <w:rPr>
          <w:lang w:val="es-ES_tradnl"/>
        </w:rPr>
        <w:t>,</w:t>
      </w:r>
      <w:r w:rsidRPr="00154216">
        <w:rPr>
          <w:rStyle w:val="Refdenotaalfinal"/>
          <w:lang w:val="es-ES_tradnl"/>
        </w:rPr>
        <w:t xml:space="preserve"> </w:t>
      </w:r>
      <w:r w:rsidRPr="00154216">
        <w:rPr>
          <w:lang w:val="es-ES_tradnl"/>
        </w:rPr>
        <w:t xml:space="preserve">del que formaron parte las personas con discapacidad y sus </w:t>
      </w:r>
      <w:proofErr w:type="spellStart"/>
      <w:r w:rsidRPr="00154216">
        <w:rPr>
          <w:lang w:val="es-ES_tradnl"/>
        </w:rPr>
        <w:t>whānau</w:t>
      </w:r>
      <w:proofErr w:type="spellEnd"/>
      <w:r w:rsidRPr="00154216">
        <w:rPr>
          <w:rStyle w:val="Refdenotaalfinal"/>
          <w:lang w:val="es-ES_tradnl"/>
        </w:rPr>
        <w:endnoteReference w:id="7"/>
      </w:r>
      <w:r w:rsidR="00114E26">
        <w:rPr>
          <w:lang w:val="es-ES_tradnl"/>
        </w:rPr>
        <w:t>.</w:t>
      </w:r>
    </w:p>
    <w:p w14:paraId="5A58B448" w14:textId="77777777" w:rsidR="00154216" w:rsidRPr="00154216" w:rsidRDefault="00154216" w:rsidP="00154216">
      <w:pPr>
        <w:pStyle w:val="SingleTxtG"/>
        <w:rPr>
          <w:lang w:val="es-ES_tradnl"/>
        </w:rPr>
      </w:pPr>
      <w:r w:rsidRPr="00154216">
        <w:rPr>
          <w:lang w:val="es-ES_tradnl"/>
        </w:rPr>
        <w:t>4.</w:t>
      </w:r>
      <w:r w:rsidRPr="00154216">
        <w:rPr>
          <w:lang w:val="es-ES_tradnl"/>
        </w:rPr>
        <w:tab/>
        <w:t xml:space="preserve">Al preparar el presente informe, el Gobierno ha interactuado con la Coalición de Organizaciones de las Personas con Discapacidad (Coalición </w:t>
      </w:r>
      <w:proofErr w:type="spellStart"/>
      <w:r w:rsidRPr="00154216">
        <w:rPr>
          <w:lang w:val="es-ES_tradnl"/>
        </w:rPr>
        <w:t>DPO</w:t>
      </w:r>
      <w:proofErr w:type="spellEnd"/>
      <w:r w:rsidRPr="00154216">
        <w:rPr>
          <w:lang w:val="es-ES_tradnl"/>
        </w:rPr>
        <w:t>), las organizaciones del sector de la discapacidad, el Mecanismo de Seguimiento Independiente (</w:t>
      </w:r>
      <w:proofErr w:type="spellStart"/>
      <w:r w:rsidRPr="00154216">
        <w:rPr>
          <w:lang w:val="es-ES_tradnl"/>
        </w:rPr>
        <w:t>IMM</w:t>
      </w:r>
      <w:proofErr w:type="spellEnd"/>
      <w:r w:rsidRPr="00154216">
        <w:rPr>
          <w:lang w:val="es-ES_tradnl"/>
        </w:rPr>
        <w:t xml:space="preserve">) y la ciudadanía. </w:t>
      </w:r>
    </w:p>
    <w:p w14:paraId="180908BF" w14:textId="77777777" w:rsidR="00154216" w:rsidRPr="00154216" w:rsidRDefault="00154216" w:rsidP="00154216">
      <w:pPr>
        <w:pStyle w:val="SingleTxtG"/>
        <w:rPr>
          <w:lang w:val="es-ES_tradnl"/>
        </w:rPr>
      </w:pPr>
      <w:r w:rsidRPr="00154216">
        <w:rPr>
          <w:lang w:val="es-ES_tradnl"/>
        </w:rPr>
        <w:t>5.</w:t>
      </w:r>
      <w:r w:rsidRPr="00154216">
        <w:rPr>
          <w:lang w:val="es-ES_tradnl"/>
        </w:rPr>
        <w:tab/>
        <w:t>Desde nuestro primer examen periódico se han introducido varios cambios que han generado mayores oportunidades para el ejercicio de los derechos de las personas con discapacidad. Se trata de lo siguiente:</w:t>
      </w:r>
    </w:p>
    <w:p w14:paraId="2DA15204" w14:textId="77777777" w:rsidR="00154216" w:rsidRPr="00154216" w:rsidRDefault="00154216" w:rsidP="00154216">
      <w:pPr>
        <w:pStyle w:val="Bullet1G"/>
        <w:rPr>
          <w:lang w:val="es-ES_tradnl"/>
        </w:rPr>
      </w:pPr>
      <w:r w:rsidRPr="00154216">
        <w:rPr>
          <w:lang w:val="es-ES_tradnl"/>
        </w:rPr>
        <w:t>El cambio de gobierno tras las elecciones generales de 2017 dio lugar al nombramiento del Ministro de Asuntos de Discapacidad</w:t>
      </w:r>
      <w:r w:rsidRPr="00154216">
        <w:rPr>
          <w:rStyle w:val="Refdenotaalfinal"/>
          <w:lang w:val="es-ES_tradnl"/>
        </w:rPr>
        <w:endnoteReference w:id="8"/>
      </w:r>
      <w:r w:rsidRPr="00154216">
        <w:rPr>
          <w:rStyle w:val="Refdenotaalfinal"/>
          <w:lang w:val="es-ES_tradnl"/>
        </w:rPr>
        <w:t xml:space="preserve"> </w:t>
      </w:r>
      <w:r w:rsidRPr="00154216">
        <w:rPr>
          <w:lang w:val="es-ES_tradnl"/>
        </w:rPr>
        <w:t xml:space="preserve">que hoy integra el Gabinete. </w:t>
      </w:r>
    </w:p>
    <w:p w14:paraId="20D439FF" w14:textId="77777777" w:rsidR="00154216" w:rsidRPr="00154216" w:rsidRDefault="00154216" w:rsidP="00154216">
      <w:pPr>
        <w:pStyle w:val="Bullet1G"/>
        <w:rPr>
          <w:lang w:val="es-ES_tradnl"/>
        </w:rPr>
      </w:pPr>
      <w:r w:rsidRPr="00154216">
        <w:rPr>
          <w:lang w:val="es-ES_tradnl"/>
        </w:rPr>
        <w:t>En su alocución de investidura, el nuevo Gobierno asumió un firme compromiso con la inclusión</w:t>
      </w:r>
      <w:r w:rsidRPr="00154216">
        <w:rPr>
          <w:rStyle w:val="Refdenotaalfinal"/>
          <w:lang w:val="es-ES_tradnl"/>
        </w:rPr>
        <w:endnoteReference w:id="9"/>
      </w:r>
      <w:r w:rsidR="00114E26">
        <w:rPr>
          <w:lang w:val="es-ES_tradnl"/>
        </w:rPr>
        <w:t>.</w:t>
      </w:r>
      <w:r w:rsidRPr="00154216">
        <w:rPr>
          <w:rStyle w:val="Refdenotaalfinal"/>
          <w:lang w:val="es-ES_tradnl"/>
        </w:rPr>
        <w:t xml:space="preserve"> </w:t>
      </w:r>
      <w:r w:rsidRPr="00154216">
        <w:rPr>
          <w:lang w:val="es-ES_tradnl"/>
        </w:rPr>
        <w:t>También ha puesto en marcha una serie de reformas e iniciativas de investigación, en particular:</w:t>
      </w:r>
    </w:p>
    <w:p w14:paraId="08C1BD9D" w14:textId="77777777" w:rsidR="00154216" w:rsidRPr="00154216" w:rsidRDefault="00154216" w:rsidP="00154216">
      <w:pPr>
        <w:pStyle w:val="Bullet2G"/>
        <w:rPr>
          <w:lang w:val="es-ES_tradnl"/>
        </w:rPr>
      </w:pPr>
      <w:r w:rsidRPr="00154216">
        <w:rPr>
          <w:lang w:val="es-ES_tradnl"/>
        </w:rPr>
        <w:t>La elaboración de un Plan de Acción de Apoyo al Aprendizaje para 2019</w:t>
      </w:r>
      <w:r>
        <w:rPr>
          <w:lang w:val="es-ES_tradnl"/>
        </w:rPr>
        <w:noBreakHyphen/>
      </w:r>
      <w:r w:rsidRPr="00154216">
        <w:rPr>
          <w:lang w:val="es-ES_tradnl"/>
        </w:rPr>
        <w:t>2025</w:t>
      </w:r>
      <w:r>
        <w:rPr>
          <w:lang w:val="es-ES_tradnl"/>
        </w:rPr>
        <w:t>.</w:t>
      </w:r>
    </w:p>
    <w:p w14:paraId="0B93D893" w14:textId="77777777" w:rsidR="00154216" w:rsidRPr="00154216" w:rsidRDefault="00154216" w:rsidP="00154216">
      <w:pPr>
        <w:pStyle w:val="Bullet2G"/>
        <w:rPr>
          <w:lang w:val="es-ES_tradnl"/>
        </w:rPr>
      </w:pPr>
      <w:r w:rsidRPr="00154216">
        <w:rPr>
          <w:lang w:val="es-ES_tradnl"/>
        </w:rPr>
        <w:t>El establecimiento de la Real Comisión de Investigación sobre el Maltrato Histórico bajo la Tutela del Estado y de Instituciones Religiosas</w:t>
      </w:r>
      <w:r>
        <w:rPr>
          <w:lang w:val="es-ES_tradnl"/>
        </w:rPr>
        <w:t>.</w:t>
      </w:r>
    </w:p>
    <w:p w14:paraId="41E83D25" w14:textId="77777777" w:rsidR="00154216" w:rsidRPr="00154216" w:rsidRDefault="00154216" w:rsidP="00154216">
      <w:pPr>
        <w:pStyle w:val="Bullet2G"/>
        <w:rPr>
          <w:lang w:val="es-ES_tradnl"/>
        </w:rPr>
      </w:pPr>
      <w:r w:rsidRPr="00154216">
        <w:rPr>
          <w:lang w:val="es-ES_tradnl"/>
        </w:rPr>
        <w:t>La Investigación del Gobierno sobre la Salud Mental y las Adicciones</w:t>
      </w:r>
      <w:r>
        <w:rPr>
          <w:lang w:val="es-ES_tradnl"/>
        </w:rPr>
        <w:t>.</w:t>
      </w:r>
    </w:p>
    <w:p w14:paraId="057E81B2" w14:textId="77777777" w:rsidR="00154216" w:rsidRPr="00154216" w:rsidRDefault="00154216" w:rsidP="00154216">
      <w:pPr>
        <w:pStyle w:val="Bullet2G"/>
        <w:rPr>
          <w:lang w:val="es-ES_tradnl"/>
        </w:rPr>
      </w:pPr>
      <w:r w:rsidRPr="00154216">
        <w:rPr>
          <w:lang w:val="es-ES_tradnl"/>
        </w:rPr>
        <w:tab/>
        <w:t>La creación del Grupo Asesor de Expertos en Bienestar Social</w:t>
      </w:r>
      <w:r w:rsidRPr="00154216">
        <w:rPr>
          <w:rStyle w:val="Refdenotaalfinal"/>
          <w:lang w:val="es-ES_tradnl"/>
        </w:rPr>
        <w:endnoteReference w:id="10"/>
      </w:r>
      <w:r w:rsidR="00114E26">
        <w:rPr>
          <w:lang w:val="es-ES_tradnl"/>
        </w:rPr>
        <w:t>.</w:t>
      </w:r>
    </w:p>
    <w:p w14:paraId="6142478E" w14:textId="77777777" w:rsidR="00154216" w:rsidRPr="00154216" w:rsidRDefault="00154216" w:rsidP="00154216">
      <w:pPr>
        <w:pStyle w:val="Bullet1G"/>
        <w:rPr>
          <w:rStyle w:val="Refdenotaalfinal"/>
          <w:lang w:val="es-ES_tradnl"/>
        </w:rPr>
      </w:pPr>
      <w:r w:rsidRPr="00154216">
        <w:rPr>
          <w:lang w:val="es-ES_tradnl"/>
        </w:rPr>
        <w:t>En el presupuesto de 2018 se previó una considerable inversión adicional de cuatro años (de unos 460 millones de dólares neozelandeses) en servicios, medios de apoyo y programas de trabajo destinados a las personas con discapacidad</w:t>
      </w:r>
      <w:r w:rsidRPr="00154216">
        <w:rPr>
          <w:rStyle w:val="Refdenotaalfinal"/>
          <w:lang w:val="es-ES_tradnl"/>
        </w:rPr>
        <w:endnoteReference w:id="11"/>
      </w:r>
      <w:r w:rsidR="00114E26">
        <w:rPr>
          <w:lang w:val="es-ES_tradnl"/>
        </w:rPr>
        <w:t>.</w:t>
      </w:r>
    </w:p>
    <w:p w14:paraId="46BFEDC6" w14:textId="77777777" w:rsidR="00154216" w:rsidRPr="00154216" w:rsidRDefault="00154216" w:rsidP="00154216">
      <w:pPr>
        <w:pStyle w:val="Bullet1G"/>
        <w:rPr>
          <w:lang w:val="es-ES_tradnl"/>
        </w:rPr>
      </w:pPr>
      <w:r w:rsidRPr="00154216">
        <w:rPr>
          <w:lang w:val="es-ES_tradnl"/>
        </w:rPr>
        <w:t xml:space="preserve">En 2018, el Gabinete acordó </w:t>
      </w:r>
      <w:r>
        <w:rPr>
          <w:lang w:val="es-ES_tradnl"/>
        </w:rPr>
        <w:t>“</w:t>
      </w:r>
      <w:r w:rsidRPr="00154216">
        <w:rPr>
          <w:lang w:val="es-ES_tradnl"/>
        </w:rPr>
        <w:t>dar inicio a la elaboración de una metodología para lograr la plena accesibilidad en Nueva Zelandia, en colaboración con las partes interesadas</w:t>
      </w:r>
      <w:r>
        <w:rPr>
          <w:lang w:val="es-ES_tradnl"/>
        </w:rPr>
        <w:t>”</w:t>
      </w:r>
      <w:r w:rsidRPr="00154216">
        <w:rPr>
          <w:lang w:val="es-ES_tradnl"/>
        </w:rPr>
        <w:t xml:space="preserve">. Ello supone convenir en una definición común de lo que en la práctica significa la </w:t>
      </w:r>
      <w:r>
        <w:rPr>
          <w:lang w:val="es-ES_tradnl"/>
        </w:rPr>
        <w:t>“</w:t>
      </w:r>
      <w:r w:rsidRPr="00154216">
        <w:rPr>
          <w:lang w:val="es-ES_tradnl"/>
        </w:rPr>
        <w:t>plena accesibilidad</w:t>
      </w:r>
      <w:r>
        <w:rPr>
          <w:lang w:val="es-ES_tradnl"/>
        </w:rPr>
        <w:t>”</w:t>
      </w:r>
      <w:r w:rsidRPr="00154216">
        <w:rPr>
          <w:lang w:val="es-ES_tradnl"/>
        </w:rPr>
        <w:t xml:space="preserve"> y estudiar la viabilidad de legislar para establecer las normas y códigos de la accesibilidad. En junio de 2019 debe presentarse un informe al Gabinete.</w:t>
      </w:r>
    </w:p>
    <w:p w14:paraId="4C11A0F1" w14:textId="77777777" w:rsidR="00154216" w:rsidRPr="00154216" w:rsidRDefault="00154216" w:rsidP="00154216">
      <w:pPr>
        <w:pStyle w:val="Bullet1G"/>
        <w:rPr>
          <w:lang w:val="es-ES_tradnl"/>
        </w:rPr>
      </w:pPr>
      <w:r w:rsidRPr="00154216">
        <w:rPr>
          <w:lang w:val="es-ES_tradnl"/>
        </w:rPr>
        <w:t xml:space="preserve">Se estableció un Grupo Directivo Ministerial sobre los Asuntos de Discapacidad con el fin de ofrecer a los ministros dos veces al año la oportunidad de oír de viva voz del </w:t>
      </w:r>
      <w:proofErr w:type="spellStart"/>
      <w:r w:rsidRPr="00154216">
        <w:rPr>
          <w:lang w:val="es-ES_tradnl"/>
        </w:rPr>
        <w:t>IMM</w:t>
      </w:r>
      <w:proofErr w:type="spellEnd"/>
      <w:r w:rsidRPr="00154216">
        <w:rPr>
          <w:lang w:val="es-ES_tradnl"/>
        </w:rPr>
        <w:t xml:space="preserve"> sus puntos de vista sobre las cuestiones de política estratégica que repercuten en las personas con discapacidad.</w:t>
      </w:r>
    </w:p>
    <w:p w14:paraId="5B58197D" w14:textId="77777777" w:rsidR="00154216" w:rsidRPr="00154216" w:rsidRDefault="00154216" w:rsidP="00154216">
      <w:pPr>
        <w:pStyle w:val="Bullet1G"/>
        <w:rPr>
          <w:rStyle w:val="Refdenotaalfinal"/>
          <w:lang w:val="es-ES_tradnl"/>
        </w:rPr>
      </w:pPr>
      <w:r w:rsidRPr="00154216">
        <w:rPr>
          <w:lang w:val="es-ES_tradnl"/>
        </w:rPr>
        <w:t>En 2016 se revisó la Estrategia sobre la Discapacidad; en 2015 se actualizó el Plan de Acción sobre la Discapacidad para 2014</w:t>
      </w:r>
      <w:r w:rsidR="006A6863">
        <w:rPr>
          <w:lang w:val="es-ES_tradnl"/>
        </w:rPr>
        <w:t>-</w:t>
      </w:r>
      <w:r w:rsidRPr="00154216">
        <w:rPr>
          <w:lang w:val="es-ES_tradnl"/>
        </w:rPr>
        <w:t>2018, y actualmente se pone al día la información con miras al Plan de Acción sobre la Discapacidad para 2019</w:t>
      </w:r>
      <w:r w:rsidR="006A6863">
        <w:rPr>
          <w:lang w:val="es-ES_tradnl"/>
        </w:rPr>
        <w:t>-</w:t>
      </w:r>
      <w:r w:rsidRPr="00154216">
        <w:rPr>
          <w:lang w:val="es-ES_tradnl"/>
        </w:rPr>
        <w:t>2022 y se elabora un marco de resultados para el seguimiento de la Estrategia</w:t>
      </w:r>
      <w:r w:rsidRPr="00154216">
        <w:rPr>
          <w:rStyle w:val="Refdenotaalfinal"/>
          <w:lang w:val="es-ES_tradnl"/>
        </w:rPr>
        <w:endnoteReference w:id="12"/>
      </w:r>
      <w:r w:rsidR="00114E26">
        <w:rPr>
          <w:lang w:val="es-ES_tradnl"/>
        </w:rPr>
        <w:t>.</w:t>
      </w:r>
    </w:p>
    <w:p w14:paraId="5DD6A561" w14:textId="77777777" w:rsidR="00154216" w:rsidRPr="00154216" w:rsidRDefault="00154216" w:rsidP="00154216">
      <w:pPr>
        <w:pStyle w:val="Bullet1G"/>
        <w:rPr>
          <w:rStyle w:val="Refdenotaalfinal"/>
          <w:lang w:val="es-ES_tradnl"/>
        </w:rPr>
      </w:pPr>
      <w:r w:rsidRPr="00154216">
        <w:rPr>
          <w:lang w:val="es-ES_tradnl"/>
        </w:rPr>
        <w:lastRenderedPageBreak/>
        <w:t xml:space="preserve">Se han establecido la Estrategia y Plan de Acción y el Consejo de la Lengua de Señas de Nueva Zelandia (Consejo </w:t>
      </w:r>
      <w:proofErr w:type="spellStart"/>
      <w:r w:rsidRPr="00154216">
        <w:rPr>
          <w:lang w:val="es-ES_tradnl"/>
        </w:rPr>
        <w:t>NZSL</w:t>
      </w:r>
      <w:proofErr w:type="spellEnd"/>
      <w:r w:rsidRPr="00154216">
        <w:rPr>
          <w:lang w:val="es-ES_tradnl"/>
        </w:rPr>
        <w:t>) con el fin de promover y proteger la lengua de señas. El Consejo está integrado por miembros de la comunidad de personas sordas (véase la pregunta 20 a</w:t>
      </w:r>
      <w:r w:rsidR="006A6863">
        <w:rPr>
          <w:lang w:val="es-ES_tradnl"/>
        </w:rPr>
        <w:t>)</w:t>
      </w:r>
      <w:r w:rsidRPr="00154216">
        <w:rPr>
          <w:lang w:val="es-ES_tradnl"/>
        </w:rPr>
        <w:t>)</w:t>
      </w:r>
      <w:r w:rsidRPr="00154216">
        <w:rPr>
          <w:rStyle w:val="Refdenotaalfinal"/>
          <w:lang w:val="es-ES_tradnl"/>
        </w:rPr>
        <w:endnoteReference w:id="13"/>
      </w:r>
      <w:r w:rsidR="00114E26">
        <w:rPr>
          <w:lang w:val="es-ES_tradnl"/>
        </w:rPr>
        <w:t>.</w:t>
      </w:r>
    </w:p>
    <w:p w14:paraId="0E935355" w14:textId="77777777" w:rsidR="00154216" w:rsidRPr="00154216" w:rsidRDefault="00154216" w:rsidP="00154216">
      <w:pPr>
        <w:pStyle w:val="Bullet1G"/>
        <w:rPr>
          <w:lang w:val="es-ES_tradnl"/>
        </w:rPr>
      </w:pPr>
      <w:r w:rsidRPr="00154216">
        <w:rPr>
          <w:lang w:val="es-ES_tradnl"/>
        </w:rPr>
        <w:t>Se ha introducido una Carta de la Accesibilidad</w:t>
      </w:r>
      <w:r w:rsidRPr="00154216">
        <w:rPr>
          <w:rStyle w:val="Refdenotaalfinal"/>
          <w:lang w:val="es-ES_tradnl"/>
        </w:rPr>
        <w:endnoteReference w:id="14"/>
      </w:r>
      <w:r w:rsidR="006A6863" w:rsidRPr="006A6863">
        <w:rPr>
          <w:rStyle w:val="Refdenotaalfinal"/>
          <w:vertAlign w:val="baseline"/>
          <w:lang w:val="es-ES_tradnl"/>
        </w:rPr>
        <w:t xml:space="preserve"> </w:t>
      </w:r>
      <w:r w:rsidR="006A6863">
        <w:rPr>
          <w:lang w:val="es-ES_tradnl"/>
        </w:rPr>
        <w:t>p</w:t>
      </w:r>
      <w:r w:rsidRPr="00154216">
        <w:rPr>
          <w:lang w:val="es-ES_tradnl"/>
        </w:rPr>
        <w:t>or la que el Gobierno se compromete a hacer más accesibles la información y los servicios públicos para las personas con discapacidad.</w:t>
      </w:r>
    </w:p>
    <w:p w14:paraId="44F0963B" w14:textId="77777777" w:rsidR="00154216" w:rsidRPr="00154216" w:rsidRDefault="00154216" w:rsidP="00154216">
      <w:pPr>
        <w:pStyle w:val="Bullet1G"/>
        <w:rPr>
          <w:lang w:val="es-ES_tradnl"/>
        </w:rPr>
      </w:pPr>
      <w:r w:rsidRPr="00154216">
        <w:rPr>
          <w:lang w:val="es-ES_tradnl"/>
        </w:rPr>
        <w:t xml:space="preserve">Se ha publicado la guía </w:t>
      </w:r>
      <w:r w:rsidRPr="00154216">
        <w:rPr>
          <w:i/>
          <w:iCs/>
          <w:lang w:val="es-ES_tradnl"/>
        </w:rPr>
        <w:t>Edificios para todos</w:t>
      </w:r>
      <w:r w:rsidRPr="00154216">
        <w:rPr>
          <w:rStyle w:val="Refdenotaalfinal"/>
          <w:lang w:val="es-ES_tradnl"/>
        </w:rPr>
        <w:endnoteReference w:id="15"/>
      </w:r>
      <w:r w:rsidR="00114E26" w:rsidRPr="00114E26">
        <w:rPr>
          <w:iCs/>
          <w:lang w:val="es-ES_tradnl"/>
        </w:rPr>
        <w:t>,</w:t>
      </w:r>
      <w:r w:rsidRPr="00154216">
        <w:rPr>
          <w:lang w:val="es-ES_tradnl"/>
        </w:rPr>
        <w:t xml:space="preserve"> que alienta a los propietarios de edificios y a los arquitectos a tener en cuenta desde un comienzo las necesidades de todos los usuarios de los edificios públicos. Contiene directrices para el diseño de edificios públicos accesibles. </w:t>
      </w:r>
    </w:p>
    <w:p w14:paraId="5CC031AB" w14:textId="77777777" w:rsidR="00154216" w:rsidRPr="00154216" w:rsidRDefault="00154216" w:rsidP="00154216">
      <w:pPr>
        <w:pStyle w:val="Bullet1G"/>
        <w:rPr>
          <w:lang w:val="es-ES_tradnl"/>
        </w:rPr>
      </w:pPr>
      <w:r w:rsidRPr="00154216">
        <w:rPr>
          <w:lang w:val="es-ES_tradnl"/>
        </w:rPr>
        <w:t xml:space="preserve">Los datos sobre la discapacidad están mejorando tras la inclusión del </w:t>
      </w:r>
      <w:proofErr w:type="spellStart"/>
      <w:r w:rsidRPr="00154216">
        <w:rPr>
          <w:lang w:val="es-ES_tradnl"/>
        </w:rPr>
        <w:t>minicuestionario</w:t>
      </w:r>
      <w:proofErr w:type="spellEnd"/>
      <w:r w:rsidRPr="00154216">
        <w:rPr>
          <w:lang w:val="es-ES_tradnl"/>
        </w:rPr>
        <w:t xml:space="preserve"> sobre discapacidad del Grupo de Washington</w:t>
      </w:r>
      <w:r w:rsidRPr="00154216">
        <w:rPr>
          <w:rStyle w:val="Refdenotaalfinal"/>
          <w:lang w:val="es-ES_tradnl"/>
        </w:rPr>
        <w:endnoteReference w:id="16"/>
      </w:r>
      <w:r w:rsidRPr="00154216">
        <w:rPr>
          <w:rStyle w:val="Refdenotaalfinal"/>
          <w:lang w:val="es-ES_tradnl"/>
        </w:rPr>
        <w:t xml:space="preserve"> </w:t>
      </w:r>
      <w:r w:rsidRPr="00154216">
        <w:rPr>
          <w:lang w:val="es-ES_tradnl"/>
        </w:rPr>
        <w:t>en el censo nacional y en algunas encuestas estatales</w:t>
      </w:r>
      <w:r w:rsidRPr="00154216">
        <w:rPr>
          <w:rStyle w:val="Refdenotaalfinal"/>
          <w:lang w:val="es-ES_tradnl"/>
        </w:rPr>
        <w:endnoteReference w:id="17"/>
      </w:r>
      <w:r w:rsidR="00114E26">
        <w:rPr>
          <w:lang w:val="es-ES_tradnl"/>
        </w:rPr>
        <w:t>.</w:t>
      </w:r>
      <w:r w:rsidRPr="00154216">
        <w:rPr>
          <w:lang w:val="es-ES_tradnl"/>
        </w:rPr>
        <w:t xml:space="preserve"> El cuestionario permite hacer comparaciones entre las personas con y sin discapacidad</w:t>
      </w:r>
      <w:r w:rsidRPr="00154216">
        <w:rPr>
          <w:rStyle w:val="Refdenotaalfinal"/>
          <w:lang w:val="es-ES_tradnl"/>
        </w:rPr>
        <w:endnoteReference w:id="18"/>
      </w:r>
      <w:r w:rsidR="00114E26">
        <w:rPr>
          <w:lang w:val="es-ES_tradnl"/>
        </w:rPr>
        <w:t>.</w:t>
      </w:r>
      <w:r w:rsidRPr="00154216">
        <w:rPr>
          <w:lang w:val="es-ES_tradnl"/>
        </w:rPr>
        <w:t xml:space="preserve"> A pesar de los avances logrados, en todo el sector público sigue habiendo muchos procesos de recopilación de datos que no pueden generar información alguna sobre las personas con discapacidad, en particular los niños, ni datos desglosados por tipo de discapacidad. </w:t>
      </w:r>
    </w:p>
    <w:p w14:paraId="543E5DF6" w14:textId="77777777" w:rsidR="00154216" w:rsidRPr="00154216" w:rsidRDefault="00154216" w:rsidP="00154216">
      <w:pPr>
        <w:pStyle w:val="Bullet1G"/>
        <w:rPr>
          <w:lang w:val="es-ES_tradnl"/>
        </w:rPr>
      </w:pPr>
      <w:r w:rsidRPr="00154216">
        <w:rPr>
          <w:lang w:val="es-ES_tradnl"/>
        </w:rPr>
        <w:t xml:space="preserve">El programa </w:t>
      </w:r>
      <w:proofErr w:type="spellStart"/>
      <w:r w:rsidRPr="00154216">
        <w:rPr>
          <w:lang w:val="es-ES_tradnl"/>
        </w:rPr>
        <w:t>Oranga</w:t>
      </w:r>
      <w:proofErr w:type="spellEnd"/>
      <w:r w:rsidRPr="00154216">
        <w:rPr>
          <w:lang w:val="es-ES_tradnl"/>
        </w:rPr>
        <w:t xml:space="preserve"> </w:t>
      </w:r>
      <w:proofErr w:type="spellStart"/>
      <w:r w:rsidRPr="00154216">
        <w:rPr>
          <w:lang w:val="es-ES_tradnl"/>
        </w:rPr>
        <w:t>Mahi</w:t>
      </w:r>
      <w:proofErr w:type="spellEnd"/>
      <w:r w:rsidRPr="00154216">
        <w:rPr>
          <w:rStyle w:val="Refdenotaalfinal"/>
          <w:lang w:val="es-ES_tradnl"/>
        </w:rPr>
        <w:endnoteReference w:id="19"/>
      </w:r>
      <w:r w:rsidRPr="00154216">
        <w:rPr>
          <w:rStyle w:val="Refdenotaalfinal"/>
          <w:lang w:val="es-ES_tradnl"/>
        </w:rPr>
        <w:t xml:space="preserve"> </w:t>
      </w:r>
      <w:r w:rsidRPr="00154216">
        <w:rPr>
          <w:lang w:val="es-ES_tradnl"/>
        </w:rPr>
        <w:t>se puso en marcha para ensayar y evaluar nuevas formas de prestar un apoyo sanitario, social y laboral integrado a los clientes con trastornos de salud o discapacidad</w:t>
      </w:r>
      <w:r w:rsidRPr="00154216">
        <w:rPr>
          <w:rStyle w:val="Refdenotaalfinal"/>
          <w:lang w:val="es-ES_tradnl"/>
        </w:rPr>
        <w:endnoteReference w:id="20"/>
      </w:r>
      <w:r w:rsidR="00114E26">
        <w:rPr>
          <w:lang w:val="es-ES_tradnl"/>
        </w:rPr>
        <w:t>.</w:t>
      </w:r>
      <w:r w:rsidRPr="00154216">
        <w:rPr>
          <w:rStyle w:val="Refdenotaalfinal"/>
          <w:lang w:val="es-ES_tradnl"/>
        </w:rPr>
        <w:t xml:space="preserve"> </w:t>
      </w:r>
      <w:r w:rsidRPr="00154216">
        <w:rPr>
          <w:lang w:val="es-ES_tradnl"/>
        </w:rPr>
        <w:t>Se trata de una alianza estratégica entre el Ministerio de Desarrollo Social y el sector de la salud.</w:t>
      </w:r>
    </w:p>
    <w:p w14:paraId="77A79555" w14:textId="77777777" w:rsidR="00154216" w:rsidRPr="00154216" w:rsidRDefault="00154216" w:rsidP="00154216">
      <w:pPr>
        <w:pStyle w:val="Bullet1G"/>
        <w:rPr>
          <w:lang w:val="es-ES_tradnl"/>
        </w:rPr>
      </w:pPr>
      <w:r w:rsidRPr="00154216">
        <w:rPr>
          <w:lang w:val="es-ES_tradnl"/>
        </w:rPr>
        <w:t xml:space="preserve">El Gobierno celebrará consultas con el sector de la discapacidad sobre el diseño propuesto de una modalidad de suplemento salarial que contribuya a la eliminación de la disposición eximente del pago del salario mínimo legal. </w:t>
      </w:r>
    </w:p>
    <w:p w14:paraId="7318DE74" w14:textId="77777777" w:rsidR="00154216" w:rsidRPr="00154216" w:rsidRDefault="00154216" w:rsidP="00154216">
      <w:pPr>
        <w:pStyle w:val="Bullet1G"/>
        <w:rPr>
          <w:lang w:val="es-ES_tradnl"/>
        </w:rPr>
      </w:pPr>
      <w:r w:rsidRPr="00154216">
        <w:rPr>
          <w:lang w:val="es-ES_tradnl"/>
        </w:rPr>
        <w:t>El Gobierno está introduciendo importantes cambios en su sistema de apoyo a la discapacidad</w:t>
      </w:r>
      <w:r>
        <w:rPr>
          <w:lang w:val="es-ES_tradnl"/>
        </w:rPr>
        <w:t>:</w:t>
      </w:r>
    </w:p>
    <w:p w14:paraId="1C1AFCA8" w14:textId="77777777" w:rsidR="00154216" w:rsidRPr="00154216" w:rsidRDefault="00154216" w:rsidP="00154216">
      <w:pPr>
        <w:pStyle w:val="Bullet2G"/>
        <w:rPr>
          <w:rStyle w:val="Refdenotaalfinal"/>
          <w:lang w:val="es-ES_tradnl"/>
        </w:rPr>
      </w:pPr>
      <w:r w:rsidRPr="00154216">
        <w:rPr>
          <w:lang w:val="es-ES_tradnl"/>
        </w:rPr>
        <w:t>Desde octubre de 2018 se ensaya un prototipo para la transformación del sistema de apoyo a la discapacidad en la circunscripción de la Junta de Salud del Distrito Medio Central</w:t>
      </w:r>
      <w:r w:rsidRPr="00154216">
        <w:rPr>
          <w:rStyle w:val="Refdenotaalfinal"/>
          <w:lang w:val="es-ES_tradnl"/>
        </w:rPr>
        <w:endnoteReference w:id="21"/>
      </w:r>
      <w:r w:rsidR="00114E26">
        <w:rPr>
          <w:lang w:val="es-ES_tradnl"/>
        </w:rPr>
        <w:t>.</w:t>
      </w:r>
      <w:r w:rsidRPr="00154216">
        <w:rPr>
          <w:rStyle w:val="Refdenotaalfinal"/>
          <w:lang w:val="es-ES_tradnl"/>
        </w:rPr>
        <w:t xml:space="preserve"> </w:t>
      </w:r>
      <w:r w:rsidRPr="00154216">
        <w:rPr>
          <w:lang w:val="es-ES_tradnl"/>
        </w:rPr>
        <w:t xml:space="preserve">El prototipo se denomina </w:t>
      </w:r>
      <w:r w:rsidR="00C05D81" w:rsidRPr="00154216">
        <w:rPr>
          <w:lang w:val="es-ES_tradnl"/>
        </w:rPr>
        <w:t xml:space="preserve">Mana </w:t>
      </w:r>
      <w:proofErr w:type="spellStart"/>
      <w:r w:rsidRPr="00154216">
        <w:rPr>
          <w:lang w:val="es-ES_tradnl"/>
        </w:rPr>
        <w:t>Whaikaha</w:t>
      </w:r>
      <w:proofErr w:type="spellEnd"/>
      <w:r w:rsidRPr="00154216">
        <w:rPr>
          <w:rStyle w:val="Refdenotaalfinal"/>
          <w:lang w:val="es-ES_tradnl"/>
        </w:rPr>
        <w:endnoteReference w:id="22"/>
      </w:r>
      <w:r w:rsidR="00114E26">
        <w:rPr>
          <w:lang w:val="es-ES_tradnl"/>
        </w:rPr>
        <w:t>.</w:t>
      </w:r>
    </w:p>
    <w:p w14:paraId="525B7DE4" w14:textId="77777777" w:rsidR="00154216" w:rsidRPr="00154216" w:rsidRDefault="00154216" w:rsidP="00154216">
      <w:pPr>
        <w:pStyle w:val="Bullet2G"/>
        <w:rPr>
          <w:lang w:val="es-ES_tradnl"/>
        </w:rPr>
      </w:pPr>
      <w:r w:rsidRPr="00154216">
        <w:rPr>
          <w:lang w:val="es-ES_tradnl"/>
        </w:rPr>
        <w:tab/>
        <w:t xml:space="preserve">En el prototipo, las personas con discapacidad y sus familias y </w:t>
      </w:r>
      <w:proofErr w:type="spellStart"/>
      <w:r w:rsidRPr="00154216">
        <w:rPr>
          <w:lang w:val="es-ES_tradnl"/>
        </w:rPr>
        <w:t>whānau</w:t>
      </w:r>
      <w:proofErr w:type="spellEnd"/>
      <w:r w:rsidRPr="00154216">
        <w:rPr>
          <w:lang w:val="es-ES_tradnl"/>
        </w:rPr>
        <w:t xml:space="preserve"> tendrán más opciones y un mayor poder de decisión respecto de las formas de apoyo que necesitan para llevar la vida que deseen, en lugar de tener que adaptar sus existencias a la oferta de servicios. En ello consiste el enfoque de </w:t>
      </w:r>
      <w:r>
        <w:rPr>
          <w:lang w:val="es-ES_tradnl"/>
        </w:rPr>
        <w:t>“</w:t>
      </w:r>
      <w:r w:rsidRPr="00154216">
        <w:rPr>
          <w:lang w:val="es-ES_tradnl"/>
        </w:rPr>
        <w:t>promoción de una vida adecuada</w:t>
      </w:r>
      <w:r>
        <w:rPr>
          <w:lang w:val="es-ES_tradnl"/>
        </w:rPr>
        <w:t>”</w:t>
      </w:r>
      <w:r w:rsidRPr="00154216">
        <w:rPr>
          <w:lang w:val="es-ES_tradnl"/>
        </w:rPr>
        <w:t>.</w:t>
      </w:r>
    </w:p>
    <w:p w14:paraId="1AF96AE6" w14:textId="77777777" w:rsidR="00154216" w:rsidRPr="00154216" w:rsidRDefault="00154216" w:rsidP="00154216">
      <w:pPr>
        <w:pStyle w:val="Bullet2G"/>
        <w:rPr>
          <w:lang w:val="es-ES_tradnl"/>
        </w:rPr>
      </w:pPr>
      <w:r w:rsidRPr="00154216">
        <w:rPr>
          <w:lang w:val="es-ES_tradnl"/>
        </w:rPr>
        <w:tab/>
        <w:t xml:space="preserve">El Gobierno ha diseñado el prototipo conjuntamente con las personas con discapacidad y sus familias. Ha establecido un mecanismo para garantizar que las personas con discapacidad y sus familias y </w:t>
      </w:r>
      <w:proofErr w:type="spellStart"/>
      <w:r w:rsidRPr="00154216">
        <w:rPr>
          <w:lang w:val="es-ES_tradnl"/>
        </w:rPr>
        <w:t>whānau</w:t>
      </w:r>
      <w:proofErr w:type="spellEnd"/>
      <w:r w:rsidRPr="00154216">
        <w:rPr>
          <w:lang w:val="es-ES_tradnl"/>
        </w:rPr>
        <w:t xml:space="preserve"> sigan estando al centro del sistema de apoyo a la discapacidad. </w:t>
      </w:r>
    </w:p>
    <w:p w14:paraId="6D86AF93" w14:textId="77777777" w:rsidR="00154216" w:rsidRPr="00154216" w:rsidRDefault="00154216" w:rsidP="00154216">
      <w:pPr>
        <w:pStyle w:val="Bullet2G"/>
        <w:rPr>
          <w:lang w:val="es-ES_tradnl"/>
        </w:rPr>
      </w:pPr>
      <w:r w:rsidRPr="00154216">
        <w:rPr>
          <w:lang w:val="es-ES_tradnl"/>
        </w:rPr>
        <w:tab/>
        <w:t xml:space="preserve">Un aspecto clave del prototipo es que los niños, los jóvenes y los adultos con discapacidad y sus familias y </w:t>
      </w:r>
      <w:proofErr w:type="spellStart"/>
      <w:r w:rsidRPr="00154216">
        <w:rPr>
          <w:lang w:val="es-ES_tradnl"/>
        </w:rPr>
        <w:t>whānau</w:t>
      </w:r>
      <w:proofErr w:type="spellEnd"/>
      <w:r w:rsidRPr="00154216">
        <w:rPr>
          <w:lang w:val="es-ES_tradnl"/>
        </w:rPr>
        <w:t xml:space="preserve"> son bienvenidos al sistema de múltiples maneras y tienen acceso a un relacionador que los acompaña</w:t>
      </w:r>
      <w:r w:rsidRPr="00154216">
        <w:rPr>
          <w:rStyle w:val="Refdenotaalfinal"/>
          <w:lang w:val="es-ES_tradnl"/>
        </w:rPr>
        <w:endnoteReference w:id="23"/>
      </w:r>
      <w:r w:rsidR="00114E26">
        <w:rPr>
          <w:lang w:val="es-ES_tradnl"/>
        </w:rPr>
        <w:t xml:space="preserve">. </w:t>
      </w:r>
      <w:r w:rsidRPr="00114E26">
        <w:rPr>
          <w:rStyle w:val="Refdenotaalfinal"/>
          <w:vertAlign w:val="baseline"/>
          <w:lang w:val="es-ES_tradnl"/>
        </w:rPr>
        <w:t>H</w:t>
      </w:r>
      <w:r w:rsidRPr="00154216">
        <w:rPr>
          <w:lang w:val="es-ES_tradnl"/>
        </w:rPr>
        <w:t>abrá información y procedimientos accesibles para atender las diversas necesidades de la comunidad.</w:t>
      </w:r>
    </w:p>
    <w:p w14:paraId="630A992E" w14:textId="77777777" w:rsidR="00154216" w:rsidRPr="00154216" w:rsidRDefault="00154216" w:rsidP="00154216">
      <w:pPr>
        <w:pStyle w:val="Bullet2G"/>
        <w:rPr>
          <w:lang w:val="es-ES_tradnl"/>
        </w:rPr>
      </w:pPr>
      <w:r w:rsidRPr="00154216">
        <w:rPr>
          <w:lang w:val="es-ES_tradnl"/>
        </w:rPr>
        <w:tab/>
        <w:t xml:space="preserve">En el primer año de implementación del prototipo se aplicará el criterio de </w:t>
      </w:r>
      <w:r>
        <w:rPr>
          <w:lang w:val="es-ES_tradnl"/>
        </w:rPr>
        <w:t>“</w:t>
      </w:r>
      <w:r w:rsidRPr="00154216">
        <w:rPr>
          <w:lang w:val="es-ES_tradnl"/>
        </w:rPr>
        <w:t>ensayar, aprender e introducir ajustes</w:t>
      </w:r>
      <w:r>
        <w:rPr>
          <w:lang w:val="es-ES_tradnl"/>
        </w:rPr>
        <w:t>”</w:t>
      </w:r>
      <w:r w:rsidRPr="00154216">
        <w:rPr>
          <w:lang w:val="es-ES_tradnl"/>
        </w:rPr>
        <w:t xml:space="preserve"> con el fin de perfeccionar y ultimar el modelo y más tarde informar las decisiones sobre el despliegue del nuevo sistema de apoyo a la discapacidad en todo el país.</w:t>
      </w:r>
    </w:p>
    <w:p w14:paraId="28A36070" w14:textId="77777777" w:rsidR="00154216" w:rsidRPr="00154216" w:rsidRDefault="00154216" w:rsidP="00154216">
      <w:pPr>
        <w:pStyle w:val="H23G"/>
        <w:rPr>
          <w:lang w:val="es-ES_tradnl"/>
        </w:rPr>
      </w:pPr>
      <w:r w:rsidRPr="00154216">
        <w:rPr>
          <w:lang w:val="es-ES_tradnl"/>
        </w:rPr>
        <w:tab/>
      </w:r>
      <w:r w:rsidRPr="00154216">
        <w:rPr>
          <w:lang w:val="es-ES_tradnl"/>
        </w:rPr>
        <w:tab/>
        <w:t xml:space="preserve">Respuesta al párrafo 1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1EB783A7" w14:textId="77777777" w:rsidR="00154216" w:rsidRPr="00154216" w:rsidRDefault="00154216" w:rsidP="00154216">
      <w:pPr>
        <w:pStyle w:val="SingleTxtG"/>
        <w:rPr>
          <w:lang w:val="es-ES_tradnl"/>
        </w:rPr>
      </w:pPr>
      <w:r w:rsidRPr="00154216">
        <w:rPr>
          <w:lang w:val="es-ES_tradnl"/>
        </w:rPr>
        <w:t>6.</w:t>
      </w:r>
      <w:r w:rsidRPr="00154216">
        <w:rPr>
          <w:lang w:val="es-ES_tradnl"/>
        </w:rPr>
        <w:tab/>
        <w:t>La reforma jurídica incluye lo siguiente:</w:t>
      </w:r>
    </w:p>
    <w:p w14:paraId="014264C7" w14:textId="77777777" w:rsidR="00154216" w:rsidRPr="00154216" w:rsidRDefault="00154216" w:rsidP="00154216">
      <w:pPr>
        <w:pStyle w:val="Bullet1G"/>
        <w:rPr>
          <w:lang w:val="es-ES_tradnl"/>
        </w:rPr>
      </w:pPr>
      <w:r w:rsidRPr="00154216">
        <w:rPr>
          <w:lang w:val="es-ES_tradnl"/>
        </w:rPr>
        <w:t xml:space="preserve">La Ley de Enmienda de la Ley de Educación (Actualización) de 2017, que prohíbe el confinamiento y regula el uso de los medios de contención física en las escuelas </w:t>
      </w:r>
      <w:r w:rsidRPr="00154216">
        <w:rPr>
          <w:lang w:val="es-ES_tradnl"/>
        </w:rPr>
        <w:lastRenderedPageBreak/>
        <w:t xml:space="preserve">(véase la pregunta 14 d)). La Ley de Educación de 1989 establece ahora una serie de objetivos permanentes para el sistema educacional, como el de adhesión al </w:t>
      </w:r>
      <w:r>
        <w:rPr>
          <w:lang w:val="es-ES_tradnl"/>
        </w:rPr>
        <w:t>“</w:t>
      </w:r>
      <w:r w:rsidRPr="00154216">
        <w:rPr>
          <w:lang w:val="es-ES_tradnl"/>
        </w:rPr>
        <w:t>imperativo de integrar a los diversos grupos y a las personas con distintas características personales en el seno de la sociedad</w:t>
      </w:r>
      <w:r>
        <w:rPr>
          <w:lang w:val="es-ES_tradnl"/>
        </w:rPr>
        <w:t>”</w:t>
      </w:r>
      <w:r w:rsidR="00C05D81">
        <w:rPr>
          <w:lang w:val="es-ES_tradnl"/>
        </w:rPr>
        <w:t>.</w:t>
      </w:r>
    </w:p>
    <w:p w14:paraId="6B20E83A" w14:textId="77777777" w:rsidR="00154216" w:rsidRPr="00154216" w:rsidRDefault="00154216" w:rsidP="00154216">
      <w:pPr>
        <w:pStyle w:val="Bullet1G"/>
        <w:rPr>
          <w:lang w:val="es-ES_tradnl"/>
        </w:rPr>
      </w:pPr>
      <w:r w:rsidRPr="00154216">
        <w:rPr>
          <w:lang w:val="es-ES_tradnl"/>
        </w:rPr>
        <w:t xml:space="preserve">La reforma de la Ley de </w:t>
      </w:r>
      <w:proofErr w:type="spellStart"/>
      <w:r w:rsidRPr="00154216">
        <w:rPr>
          <w:lang w:val="es-ES_tradnl"/>
        </w:rPr>
        <w:t>Oranga</w:t>
      </w:r>
      <w:proofErr w:type="spellEnd"/>
      <w:r w:rsidRPr="00154216">
        <w:rPr>
          <w:lang w:val="es-ES_tradnl"/>
        </w:rPr>
        <w:t xml:space="preserve"> </w:t>
      </w:r>
      <w:proofErr w:type="spellStart"/>
      <w:r w:rsidRPr="00154216">
        <w:rPr>
          <w:lang w:val="es-ES_tradnl"/>
        </w:rPr>
        <w:t>Tamariki</w:t>
      </w:r>
      <w:proofErr w:type="spellEnd"/>
      <w:r w:rsidRPr="00154216">
        <w:rPr>
          <w:rStyle w:val="Refdenotaalfinal"/>
          <w:lang w:val="es-ES_tradnl"/>
        </w:rPr>
        <w:endnoteReference w:id="24"/>
      </w:r>
      <w:r w:rsidRPr="00154216">
        <w:rPr>
          <w:rStyle w:val="Refdenotaalfinal"/>
          <w:lang w:val="es-ES_tradnl"/>
        </w:rPr>
        <w:t xml:space="preserve"> </w:t>
      </w:r>
      <w:r w:rsidRPr="00154216">
        <w:rPr>
          <w:lang w:val="es-ES_tradnl"/>
        </w:rPr>
        <w:t>(Ley de Bienestar de la Infancia) de</w:t>
      </w:r>
      <w:r w:rsidR="00C05D81">
        <w:rPr>
          <w:lang w:val="es-ES_tradnl"/>
        </w:rPr>
        <w:t> </w:t>
      </w:r>
      <w:r w:rsidRPr="00154216">
        <w:rPr>
          <w:lang w:val="es-ES_tradnl"/>
        </w:rPr>
        <w:t>1989 (véanse las preguntas 7 b) y 21 a)), que hace referencia explícita a la Convención sobre los Derechos de las Personas con Discapacidad</w:t>
      </w:r>
      <w:r w:rsidR="00C05D81">
        <w:rPr>
          <w:lang w:val="es-ES_tradnl"/>
        </w:rPr>
        <w:t>.</w:t>
      </w:r>
    </w:p>
    <w:p w14:paraId="6879F347" w14:textId="77777777" w:rsidR="00154216" w:rsidRPr="00154216" w:rsidRDefault="00154216" w:rsidP="00154216">
      <w:pPr>
        <w:pStyle w:val="Bullet1G"/>
        <w:rPr>
          <w:lang w:val="es-ES_tradnl"/>
        </w:rPr>
      </w:pPr>
      <w:r w:rsidRPr="00154216">
        <w:rPr>
          <w:lang w:val="es-ES_tradnl"/>
        </w:rPr>
        <w:t>La revisión de la Ley de Seguridad Social en 2018</w:t>
      </w:r>
      <w:r w:rsidRPr="00154216">
        <w:rPr>
          <w:rStyle w:val="Refdenotaalfinal"/>
          <w:lang w:val="es-ES_tradnl"/>
        </w:rPr>
        <w:endnoteReference w:id="25"/>
      </w:r>
      <w:r w:rsidR="00114E26">
        <w:rPr>
          <w:lang w:val="es-ES_tradnl"/>
        </w:rPr>
        <w:t>,</w:t>
      </w:r>
      <w:r w:rsidRPr="00154216">
        <w:rPr>
          <w:rStyle w:val="Refdenotaalfinal"/>
          <w:lang w:val="es-ES_tradnl"/>
        </w:rPr>
        <w:t xml:space="preserve"> </w:t>
      </w:r>
      <w:r w:rsidRPr="00154216">
        <w:rPr>
          <w:lang w:val="es-ES_tradnl"/>
        </w:rPr>
        <w:t>que eliminó la facultad de obligar a una persona a someterse a tratamiento para poder recibir una prestación de emergencia</w:t>
      </w:r>
      <w:r w:rsidR="00C05D81">
        <w:rPr>
          <w:lang w:val="es-ES_tradnl"/>
        </w:rPr>
        <w:t>.</w:t>
      </w:r>
    </w:p>
    <w:p w14:paraId="2976DA10" w14:textId="77777777" w:rsidR="00154216" w:rsidRPr="00154216" w:rsidRDefault="00154216" w:rsidP="00154216">
      <w:pPr>
        <w:pStyle w:val="Bullet1G"/>
        <w:rPr>
          <w:lang w:val="es-ES_tradnl"/>
        </w:rPr>
      </w:pPr>
      <w:r w:rsidRPr="00154216">
        <w:rPr>
          <w:lang w:val="es-ES_tradnl"/>
        </w:rPr>
        <w:t xml:space="preserve">La intención de derogar la parte </w:t>
      </w:r>
      <w:proofErr w:type="spellStart"/>
      <w:r w:rsidRPr="00154216">
        <w:rPr>
          <w:lang w:val="es-ES_tradnl"/>
        </w:rPr>
        <w:t>4A</w:t>
      </w:r>
      <w:proofErr w:type="spellEnd"/>
      <w:r w:rsidRPr="00154216">
        <w:rPr>
          <w:lang w:val="es-ES_tradnl"/>
        </w:rPr>
        <w:t xml:space="preserve"> de la Ley de Salud Pública y Discapacidad de 2000</w:t>
      </w:r>
      <w:r w:rsidRPr="00154216">
        <w:rPr>
          <w:rStyle w:val="Refdenotaalfinal"/>
          <w:lang w:val="es-ES_tradnl"/>
        </w:rPr>
        <w:endnoteReference w:id="26"/>
      </w:r>
      <w:r w:rsidR="00114E26">
        <w:rPr>
          <w:lang w:val="es-ES_tradnl"/>
        </w:rPr>
        <w:t>,</w:t>
      </w:r>
      <w:r w:rsidRPr="00154216">
        <w:rPr>
          <w:rStyle w:val="Refdenotaalfinal"/>
          <w:lang w:val="es-ES_tradnl"/>
        </w:rPr>
        <w:t xml:space="preserve"> </w:t>
      </w:r>
      <w:r w:rsidRPr="00154216">
        <w:rPr>
          <w:lang w:val="es-ES_tradnl"/>
        </w:rPr>
        <w:t>que actualmente prohíbe las denuncias de discriminación en la política de atención de la familia (véase la pregunta 5 d))</w:t>
      </w:r>
      <w:r w:rsidR="00C05D81">
        <w:rPr>
          <w:lang w:val="es-ES_tradnl"/>
        </w:rPr>
        <w:t>.</w:t>
      </w:r>
    </w:p>
    <w:p w14:paraId="4F986789" w14:textId="77777777" w:rsidR="00154216" w:rsidRPr="00154216" w:rsidRDefault="00154216" w:rsidP="00154216">
      <w:pPr>
        <w:pStyle w:val="Bullet1G"/>
        <w:rPr>
          <w:lang w:val="es-ES_tradnl"/>
        </w:rPr>
      </w:pPr>
      <w:r w:rsidRPr="00154216">
        <w:rPr>
          <w:lang w:val="es-ES_tradnl"/>
        </w:rPr>
        <w:t xml:space="preserve">El acuerdo del Gabinete en 2018 de </w:t>
      </w:r>
      <w:r>
        <w:rPr>
          <w:lang w:val="es-ES_tradnl"/>
        </w:rPr>
        <w:t>“</w:t>
      </w:r>
      <w:r w:rsidRPr="00154216">
        <w:rPr>
          <w:lang w:val="es-ES_tradnl"/>
        </w:rPr>
        <w:t>dar inicio a la elaboración de una metodología para lograr la plena accesibilidad en Nueva Zelandia, en colaboración con las partes interesadas</w:t>
      </w:r>
      <w:r>
        <w:rPr>
          <w:lang w:val="es-ES_tradnl"/>
        </w:rPr>
        <w:t>”</w:t>
      </w:r>
      <w:r w:rsidRPr="00154216">
        <w:rPr>
          <w:lang w:val="es-ES_tradnl"/>
        </w:rPr>
        <w:t xml:space="preserve"> (véase la introducción).</w:t>
      </w:r>
    </w:p>
    <w:p w14:paraId="24C8D6CD" w14:textId="77777777" w:rsidR="00154216" w:rsidRPr="00154216" w:rsidRDefault="00154216" w:rsidP="00154216">
      <w:pPr>
        <w:pStyle w:val="SingleTxtG"/>
        <w:rPr>
          <w:lang w:val="es-ES_tradnl"/>
        </w:rPr>
      </w:pPr>
      <w:r w:rsidRPr="00154216">
        <w:rPr>
          <w:lang w:val="es-ES_tradnl"/>
        </w:rPr>
        <w:t>7.</w:t>
      </w:r>
      <w:r w:rsidRPr="00154216">
        <w:rPr>
          <w:lang w:val="es-ES_tradnl"/>
        </w:rPr>
        <w:tab/>
        <w:t>El Plan de Acción sobre la Discapacidad para 2014</w:t>
      </w:r>
      <w:r>
        <w:rPr>
          <w:lang w:val="es-ES_tradnl"/>
        </w:rPr>
        <w:t>-</w:t>
      </w:r>
      <w:r w:rsidRPr="00154216">
        <w:rPr>
          <w:lang w:val="es-ES_tradnl"/>
        </w:rPr>
        <w:t>2018</w:t>
      </w:r>
      <w:r w:rsidRPr="00154216">
        <w:rPr>
          <w:rStyle w:val="Refdenotaalfinal"/>
          <w:lang w:val="es-ES_tradnl"/>
        </w:rPr>
        <w:endnoteReference w:id="27"/>
      </w:r>
      <w:r w:rsidRPr="00154216">
        <w:rPr>
          <w:rStyle w:val="Refdenotaalfinal"/>
          <w:vertAlign w:val="baseline"/>
          <w:lang w:val="es-ES_tradnl"/>
        </w:rPr>
        <w:t xml:space="preserve"> </w:t>
      </w:r>
      <w:r w:rsidRPr="00154216">
        <w:rPr>
          <w:lang w:val="es-ES_tradnl"/>
        </w:rPr>
        <w:t>prevé la identificación de las leyes que sean incompatibles con la Convención y el estudio de opciones para mejorar la coherencia</w:t>
      </w:r>
      <w:r w:rsidRPr="00154216">
        <w:rPr>
          <w:rStyle w:val="Refdenotaalfinal"/>
          <w:lang w:val="es-ES_tradnl"/>
        </w:rPr>
        <w:endnoteReference w:id="28"/>
      </w:r>
      <w:r w:rsidR="00114E26">
        <w:rPr>
          <w:lang w:val="es-ES_tradnl"/>
        </w:rPr>
        <w:t>.</w:t>
      </w:r>
      <w:r w:rsidRPr="00154216">
        <w:rPr>
          <w:rStyle w:val="Refdenotaalfinal"/>
          <w:lang w:val="es-ES_tradnl"/>
        </w:rPr>
        <w:t xml:space="preserve"> </w:t>
      </w:r>
      <w:r w:rsidRPr="00154216">
        <w:rPr>
          <w:lang w:val="es-ES_tradnl"/>
        </w:rPr>
        <w:t>La Oficina de Asuntos de Discapacidad estableció mediante consultas una lista de las leyes que parecían contradecir la Convención. El siguiente paso consiste en evaluar esa legislación.</w:t>
      </w:r>
    </w:p>
    <w:p w14:paraId="47E53CC1" w14:textId="77777777" w:rsidR="00154216" w:rsidRPr="00154216" w:rsidRDefault="00154216" w:rsidP="00154216">
      <w:pPr>
        <w:pStyle w:val="H23G"/>
        <w:rPr>
          <w:lang w:val="es-ES_tradnl"/>
        </w:rPr>
      </w:pPr>
      <w:r w:rsidRPr="00154216">
        <w:rPr>
          <w:lang w:val="es-ES_tradnl"/>
        </w:rPr>
        <w:tab/>
      </w:r>
      <w:r w:rsidRPr="00154216">
        <w:rPr>
          <w:lang w:val="es-ES_tradnl"/>
        </w:rPr>
        <w:tab/>
        <w:t xml:space="preserve">Respuesta al párrafo 2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4058A07D" w14:textId="77777777" w:rsidR="00154216" w:rsidRPr="00154216" w:rsidRDefault="00154216" w:rsidP="00154216">
      <w:pPr>
        <w:pStyle w:val="SingleTxtG"/>
        <w:rPr>
          <w:lang w:val="es-ES_tradnl"/>
        </w:rPr>
      </w:pPr>
      <w:r w:rsidRPr="00154216">
        <w:rPr>
          <w:lang w:val="es-ES_tradnl"/>
        </w:rPr>
        <w:t>8.</w:t>
      </w:r>
      <w:r w:rsidRPr="00154216">
        <w:rPr>
          <w:lang w:val="es-ES_tradnl"/>
        </w:rPr>
        <w:tab/>
        <w:t xml:space="preserve">El Gobierno coordina y facilita la acción prevista en la Estrategia sobre la Discapacidad mediante el Plan de Acción sobre la Discapacidad. </w:t>
      </w:r>
    </w:p>
    <w:p w14:paraId="2311B63A" w14:textId="77777777" w:rsidR="00154216" w:rsidRPr="00154216" w:rsidRDefault="00154216" w:rsidP="00154216">
      <w:pPr>
        <w:pStyle w:val="SingleTxtG"/>
        <w:rPr>
          <w:lang w:val="es-ES_tradnl"/>
        </w:rPr>
      </w:pPr>
      <w:r w:rsidRPr="00154216">
        <w:rPr>
          <w:lang w:val="es-ES_tradnl"/>
        </w:rPr>
        <w:t>9.</w:t>
      </w:r>
      <w:r w:rsidRPr="00154216">
        <w:rPr>
          <w:lang w:val="es-ES_tradnl"/>
        </w:rPr>
        <w:tab/>
        <w:t>El actual Plan de Acción sobre la Discapacidad para 2014</w:t>
      </w:r>
      <w:r w:rsidR="00C05D81">
        <w:rPr>
          <w:lang w:val="es-ES_tradnl"/>
        </w:rPr>
        <w:t>-</w:t>
      </w:r>
      <w:r w:rsidRPr="00154216">
        <w:rPr>
          <w:lang w:val="es-ES_tradnl"/>
        </w:rPr>
        <w:t xml:space="preserve">2018 contempla la adopción de medidas importantes y prioritarias por parte de múltiples organismos gubernamentales. Los organismos gubernamentales dirigen la ejecución de cada medida en estrecha colaboración con la Coalición </w:t>
      </w:r>
      <w:proofErr w:type="spellStart"/>
      <w:r w:rsidRPr="00154216">
        <w:rPr>
          <w:lang w:val="es-ES_tradnl"/>
        </w:rPr>
        <w:t>DPO</w:t>
      </w:r>
      <w:proofErr w:type="spellEnd"/>
      <w:r w:rsidRPr="00154216">
        <w:rPr>
          <w:lang w:val="es-ES_tradnl"/>
        </w:rPr>
        <w:t>. Las necesidades de asignación de recursos se administran por vía de los presupuestos operacionales de estos organismos. La ejecución, los resultados, la evaluación y el seguimiento de las medidas forman parte de los procesos ordinarios de los organismos gubernamentales.</w:t>
      </w:r>
    </w:p>
    <w:p w14:paraId="7988883D" w14:textId="77777777" w:rsidR="00154216" w:rsidRPr="00154216" w:rsidRDefault="00154216" w:rsidP="00154216">
      <w:pPr>
        <w:pStyle w:val="SingleTxtG"/>
        <w:rPr>
          <w:lang w:val="es-ES_tradnl"/>
        </w:rPr>
      </w:pPr>
      <w:r w:rsidRPr="00154216">
        <w:rPr>
          <w:lang w:val="es-ES_tradnl"/>
        </w:rPr>
        <w:t>10.</w:t>
      </w:r>
      <w:r w:rsidRPr="00154216">
        <w:rPr>
          <w:lang w:val="es-ES_tradnl"/>
        </w:rPr>
        <w:tab/>
        <w:t xml:space="preserve">El mecanismo de gobernanza del Plan de Acción sobre la Discapacidad está compuesto por un grupo de jefes ejecutivos de la administración pública (y un grupo asociado de funcionarios de alto nivel) y la Coalición </w:t>
      </w:r>
      <w:proofErr w:type="spellStart"/>
      <w:r w:rsidRPr="00154216">
        <w:rPr>
          <w:lang w:val="es-ES_tradnl"/>
        </w:rPr>
        <w:t>DPO</w:t>
      </w:r>
      <w:proofErr w:type="spellEnd"/>
      <w:r w:rsidRPr="00154216">
        <w:rPr>
          <w:lang w:val="es-ES_tradnl"/>
        </w:rPr>
        <w:t xml:space="preserve">. </w:t>
      </w:r>
    </w:p>
    <w:p w14:paraId="05DF7CB5" w14:textId="77777777" w:rsidR="00154216" w:rsidRPr="00154216" w:rsidRDefault="00154216" w:rsidP="00154216">
      <w:pPr>
        <w:pStyle w:val="SingleTxtG"/>
        <w:rPr>
          <w:lang w:val="es-ES_tradnl"/>
        </w:rPr>
      </w:pPr>
      <w:r w:rsidRPr="00154216">
        <w:rPr>
          <w:lang w:val="es-ES_tradnl"/>
        </w:rPr>
        <w:t>11.</w:t>
      </w:r>
      <w:r w:rsidRPr="00154216">
        <w:rPr>
          <w:lang w:val="es-ES_tradnl"/>
        </w:rPr>
        <w:tab/>
        <w:t xml:space="preserve">Conjuntamente con la Coalición </w:t>
      </w:r>
      <w:proofErr w:type="spellStart"/>
      <w:r w:rsidRPr="00154216">
        <w:rPr>
          <w:lang w:val="es-ES_tradnl"/>
        </w:rPr>
        <w:t>DPO</w:t>
      </w:r>
      <w:proofErr w:type="spellEnd"/>
      <w:r w:rsidRPr="00154216">
        <w:rPr>
          <w:lang w:val="es-ES_tradnl"/>
        </w:rPr>
        <w:t>, el Gobierno está elaborando un nuevo Plan de Acción sobre la Discapacidad (2019</w:t>
      </w:r>
      <w:r w:rsidR="00C05D81">
        <w:rPr>
          <w:lang w:val="es-ES_tradnl"/>
        </w:rPr>
        <w:t>-</w:t>
      </w:r>
      <w:r w:rsidRPr="00154216">
        <w:rPr>
          <w:lang w:val="es-ES_tradnl"/>
        </w:rPr>
        <w:t xml:space="preserve">2022) tras la consulta pública. Este Plan se alineará más estrechamente con la Estrategia sobre la Discapacidad de 2016 e incluirá las seis cuestiones fundamentales señaladas por el </w:t>
      </w:r>
      <w:proofErr w:type="spellStart"/>
      <w:r w:rsidRPr="00154216">
        <w:rPr>
          <w:lang w:val="es-ES_tradnl"/>
        </w:rPr>
        <w:t>IMM</w:t>
      </w:r>
      <w:proofErr w:type="spellEnd"/>
      <w:r w:rsidRPr="00154216">
        <w:rPr>
          <w:rStyle w:val="Refdenotaalfinal"/>
          <w:lang w:val="es-ES_tradnl"/>
        </w:rPr>
        <w:endnoteReference w:id="29"/>
      </w:r>
      <w:r w:rsidR="00114E26">
        <w:rPr>
          <w:lang w:val="es-ES_tradnl"/>
        </w:rPr>
        <w:t>.</w:t>
      </w:r>
      <w:r w:rsidRPr="00154216">
        <w:rPr>
          <w:rStyle w:val="Refdenotaalfinal"/>
          <w:lang w:val="es-ES_tradnl"/>
        </w:rPr>
        <w:t xml:space="preserve"> </w:t>
      </w:r>
      <w:r w:rsidRPr="00154216">
        <w:rPr>
          <w:lang w:val="es-ES_tradnl"/>
        </w:rPr>
        <w:t xml:space="preserve">Este proceso se ha entablado por conducto del Grupo Directivo Ministerial sobre los Asuntos de Discapacidad y el </w:t>
      </w:r>
      <w:proofErr w:type="spellStart"/>
      <w:r w:rsidRPr="00154216">
        <w:rPr>
          <w:lang w:val="es-ES_tradnl"/>
        </w:rPr>
        <w:t>IMM</w:t>
      </w:r>
      <w:proofErr w:type="spellEnd"/>
      <w:r w:rsidRPr="00154216">
        <w:rPr>
          <w:lang w:val="es-ES_tradnl"/>
        </w:rPr>
        <w:t>.</w:t>
      </w:r>
    </w:p>
    <w:p w14:paraId="69BFD8A2" w14:textId="77777777" w:rsidR="00154216" w:rsidRPr="00154216" w:rsidRDefault="00154216" w:rsidP="00154216">
      <w:pPr>
        <w:pStyle w:val="SingleTxtG"/>
        <w:rPr>
          <w:lang w:val="es-ES_tradnl"/>
        </w:rPr>
      </w:pPr>
      <w:r w:rsidRPr="00154216">
        <w:rPr>
          <w:lang w:val="es-ES_tradnl"/>
        </w:rPr>
        <w:t>12.</w:t>
      </w:r>
      <w:r w:rsidRPr="00154216">
        <w:rPr>
          <w:lang w:val="es-ES_tradnl"/>
        </w:rPr>
        <w:tab/>
        <w:t>Se está elaborando un marco de resultados para vigilar los progresos cotejándolos con la Estrategia sobre la Discapacidad</w:t>
      </w:r>
      <w:r w:rsidRPr="00154216">
        <w:rPr>
          <w:rStyle w:val="Refdenotaalfinal"/>
          <w:lang w:val="es-ES_tradnl"/>
        </w:rPr>
        <w:endnoteReference w:id="30"/>
      </w:r>
      <w:r w:rsidR="00114E26">
        <w:rPr>
          <w:lang w:val="es-ES_tradnl"/>
        </w:rPr>
        <w:t>.</w:t>
      </w:r>
      <w:r w:rsidRPr="00154216">
        <w:rPr>
          <w:rStyle w:val="Refdenotaalfinal"/>
          <w:lang w:val="es-ES_tradnl"/>
        </w:rPr>
        <w:t xml:space="preserve"> </w:t>
      </w:r>
      <w:r w:rsidRPr="00154216">
        <w:rPr>
          <w:lang w:val="es-ES_tradnl"/>
        </w:rPr>
        <w:t>El Gobierno elaboró conjuntamente con las personas con discapacidad los 28 indicadores propuestos</w:t>
      </w:r>
      <w:r w:rsidRPr="00154216">
        <w:rPr>
          <w:rStyle w:val="Refdenotaalfinal"/>
          <w:lang w:val="es-ES_tradnl"/>
        </w:rPr>
        <w:endnoteReference w:id="31"/>
      </w:r>
      <w:r w:rsidR="00114E26">
        <w:rPr>
          <w:lang w:val="es-ES_tradnl"/>
        </w:rPr>
        <w:t>.</w:t>
      </w:r>
      <w:r w:rsidRPr="00154216">
        <w:rPr>
          <w:rStyle w:val="Refdenotaalfinal"/>
          <w:lang w:val="es-ES_tradnl"/>
        </w:rPr>
        <w:t xml:space="preserve"> </w:t>
      </w:r>
      <w:r w:rsidRPr="00154216">
        <w:rPr>
          <w:lang w:val="es-ES_tradnl"/>
        </w:rPr>
        <w:t xml:space="preserve">No todos los indicadores van aparejados con medidas, por lo que se sigue trabajando en la elaboración de medidas. </w:t>
      </w:r>
    </w:p>
    <w:p w14:paraId="7FE6B77C" w14:textId="77777777" w:rsidR="00154216" w:rsidRPr="00154216" w:rsidRDefault="00154216" w:rsidP="00154216">
      <w:pPr>
        <w:pStyle w:val="H23G"/>
        <w:rPr>
          <w:lang w:val="es-ES_tradnl"/>
        </w:rPr>
      </w:pPr>
      <w:r w:rsidRPr="00154216">
        <w:rPr>
          <w:lang w:val="es-ES_tradnl"/>
        </w:rPr>
        <w:tab/>
      </w:r>
      <w:r w:rsidRPr="00154216">
        <w:rPr>
          <w:lang w:val="es-ES_tradnl"/>
        </w:rPr>
        <w:tab/>
        <w:t xml:space="preserve">Respuesta al párrafo 3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5119FAD2" w14:textId="77777777" w:rsidR="00154216" w:rsidRPr="00154216" w:rsidRDefault="00154216" w:rsidP="00154216">
      <w:pPr>
        <w:pStyle w:val="SingleTxtG"/>
        <w:rPr>
          <w:lang w:val="es-ES_tradnl"/>
        </w:rPr>
      </w:pPr>
      <w:r w:rsidRPr="00154216">
        <w:rPr>
          <w:lang w:val="es-ES_tradnl"/>
        </w:rPr>
        <w:t>13.</w:t>
      </w:r>
      <w:r w:rsidRPr="00154216">
        <w:rPr>
          <w:lang w:val="es-ES_tradnl"/>
        </w:rPr>
        <w:tab/>
        <w:t>Una de las expectativas de los organismos públicos es colaborar con las personas con discapacidad en la reforma de las políticas que les conciernan. Se trata de uno de los principios fundamentales de la Estrategia sobre la Discapacidad.</w:t>
      </w:r>
    </w:p>
    <w:p w14:paraId="6CB81DFB" w14:textId="77777777" w:rsidR="00154216" w:rsidRPr="00154216" w:rsidRDefault="00154216" w:rsidP="00154216">
      <w:pPr>
        <w:pStyle w:val="SingleTxtG"/>
        <w:rPr>
          <w:lang w:val="es-ES_tradnl"/>
        </w:rPr>
      </w:pPr>
      <w:r w:rsidRPr="00154216">
        <w:rPr>
          <w:lang w:val="es-ES_tradnl"/>
        </w:rPr>
        <w:t>14.</w:t>
      </w:r>
      <w:r w:rsidRPr="00154216">
        <w:rPr>
          <w:lang w:val="es-ES_tradnl"/>
        </w:rPr>
        <w:tab/>
        <w:t>Las personas con discapacidad y las organizaciones que las representan participan a todo nivel, por ejemplo, en:</w:t>
      </w:r>
    </w:p>
    <w:p w14:paraId="6E632243" w14:textId="77777777" w:rsidR="00154216" w:rsidRPr="00154216" w:rsidRDefault="00154216" w:rsidP="00154216">
      <w:pPr>
        <w:pStyle w:val="Bullet1G"/>
        <w:rPr>
          <w:lang w:val="es-ES_tradnl"/>
        </w:rPr>
      </w:pPr>
      <w:r w:rsidRPr="00154216">
        <w:rPr>
          <w:lang w:val="es-ES_tradnl"/>
        </w:rPr>
        <w:t>Reuniones periódicas con los ministros (incluido el Grupo Directivo Ministerial sobre los Asuntos de Discapacidad)</w:t>
      </w:r>
      <w:r>
        <w:rPr>
          <w:lang w:val="es-ES_tradnl"/>
        </w:rPr>
        <w:t>.</w:t>
      </w:r>
    </w:p>
    <w:p w14:paraId="6C265CBF" w14:textId="77777777" w:rsidR="00154216" w:rsidRPr="00154216" w:rsidRDefault="00154216" w:rsidP="00154216">
      <w:pPr>
        <w:pStyle w:val="Bullet1G"/>
        <w:rPr>
          <w:lang w:val="es-ES_tradnl"/>
        </w:rPr>
      </w:pPr>
      <w:r w:rsidRPr="00154216">
        <w:rPr>
          <w:lang w:val="es-ES_tradnl"/>
        </w:rPr>
        <w:lastRenderedPageBreak/>
        <w:t>Funciones de gobernanza</w:t>
      </w:r>
      <w:r w:rsidR="003018B0">
        <w:rPr>
          <w:lang w:val="es-ES_tradnl"/>
        </w:rPr>
        <w:t xml:space="preserve">: </w:t>
      </w:r>
      <w:r w:rsidRPr="00154216">
        <w:rPr>
          <w:lang w:val="es-ES_tradnl"/>
        </w:rPr>
        <w:t>el Plan de Acción sobre la Discapacidad para 2014</w:t>
      </w:r>
      <w:r w:rsidR="00C05D81">
        <w:rPr>
          <w:lang w:val="es-ES_tradnl"/>
        </w:rPr>
        <w:noBreakHyphen/>
      </w:r>
      <w:r w:rsidRPr="00154216">
        <w:rPr>
          <w:lang w:val="es-ES_tradnl"/>
        </w:rPr>
        <w:t xml:space="preserve">2018, el prototipo de transformación del sistema de apoyo a la discapacidad y el Consejo </w:t>
      </w:r>
      <w:proofErr w:type="spellStart"/>
      <w:r w:rsidRPr="00154216">
        <w:rPr>
          <w:lang w:val="es-ES_tradnl"/>
        </w:rPr>
        <w:t>NZSL</w:t>
      </w:r>
      <w:proofErr w:type="spellEnd"/>
      <w:r>
        <w:rPr>
          <w:lang w:val="es-ES_tradnl"/>
        </w:rPr>
        <w:t>.</w:t>
      </w:r>
    </w:p>
    <w:p w14:paraId="16C107B2" w14:textId="77777777" w:rsidR="00154216" w:rsidRPr="00154216" w:rsidRDefault="00154216" w:rsidP="00154216">
      <w:pPr>
        <w:pStyle w:val="Bullet1G"/>
        <w:rPr>
          <w:rStyle w:val="Refdenotaalfinal"/>
          <w:lang w:val="es-ES_tradnl"/>
        </w:rPr>
      </w:pPr>
      <w:r w:rsidRPr="00154216">
        <w:rPr>
          <w:lang w:val="es-ES_tradnl"/>
        </w:rPr>
        <w:t>Procesos de elaboración conjunta: el prototipo de transformación del sistema de apoyo a la discapacidad (véase la introducción) y el Grupo de Consulta para la Revisión de la Estrategia sobre la Discapacidad</w:t>
      </w:r>
      <w:r w:rsidRPr="00154216">
        <w:rPr>
          <w:rStyle w:val="Refdenotaalfinal"/>
          <w:lang w:val="es-ES_tradnl"/>
        </w:rPr>
        <w:endnoteReference w:id="32"/>
      </w:r>
      <w:r>
        <w:rPr>
          <w:lang w:val="es-ES_tradnl"/>
        </w:rPr>
        <w:t>.</w:t>
      </w:r>
    </w:p>
    <w:p w14:paraId="0650F855" w14:textId="77777777" w:rsidR="00154216" w:rsidRPr="00154216" w:rsidRDefault="00154216" w:rsidP="00154216">
      <w:pPr>
        <w:pStyle w:val="Bullet1G"/>
        <w:rPr>
          <w:lang w:val="es-ES_tradnl"/>
        </w:rPr>
      </w:pPr>
      <w:r w:rsidRPr="00154216">
        <w:rPr>
          <w:lang w:val="es-ES_tradnl"/>
        </w:rPr>
        <w:t>La consulta pública respecto de la Estrategia y el Plan de Acción sobre la Discapacidad para 2019</w:t>
      </w:r>
      <w:r>
        <w:rPr>
          <w:lang w:val="es-ES_tradnl"/>
        </w:rPr>
        <w:t>-</w:t>
      </w:r>
      <w:r w:rsidRPr="00154216">
        <w:rPr>
          <w:lang w:val="es-ES_tradnl"/>
        </w:rPr>
        <w:t xml:space="preserve">2022. </w:t>
      </w:r>
    </w:p>
    <w:p w14:paraId="6B537EFC" w14:textId="77777777" w:rsidR="00154216" w:rsidRPr="00154216" w:rsidRDefault="00154216" w:rsidP="00154216">
      <w:pPr>
        <w:pStyle w:val="H23G"/>
        <w:rPr>
          <w:lang w:val="es-ES_tradnl"/>
        </w:rPr>
      </w:pPr>
      <w:r w:rsidRPr="00154216">
        <w:rPr>
          <w:lang w:val="es-ES_tradnl"/>
        </w:rPr>
        <w:tab/>
      </w:r>
      <w:r w:rsidRPr="00154216">
        <w:rPr>
          <w:lang w:val="es-ES_tradnl"/>
        </w:rPr>
        <w:tab/>
        <w:t xml:space="preserve">Respuesta al párrafo 4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7D3B8CE5" w14:textId="77777777" w:rsidR="00154216" w:rsidRPr="00154216" w:rsidRDefault="00154216" w:rsidP="00154216">
      <w:pPr>
        <w:pStyle w:val="SingleTxtG"/>
        <w:rPr>
          <w:lang w:val="es-ES_tradnl"/>
        </w:rPr>
      </w:pPr>
      <w:r w:rsidRPr="00154216">
        <w:rPr>
          <w:lang w:val="es-ES_tradnl"/>
        </w:rPr>
        <w:t>15.</w:t>
      </w:r>
      <w:r w:rsidRPr="00154216">
        <w:rPr>
          <w:lang w:val="es-ES_tradnl"/>
        </w:rPr>
        <w:tab/>
        <w:t xml:space="preserve">El Gobierno asigna recursos financieros a la Coalición </w:t>
      </w:r>
      <w:proofErr w:type="spellStart"/>
      <w:r w:rsidRPr="00154216">
        <w:rPr>
          <w:lang w:val="es-ES_tradnl"/>
        </w:rPr>
        <w:t>DPO</w:t>
      </w:r>
      <w:proofErr w:type="spellEnd"/>
      <w:r w:rsidRPr="00154216">
        <w:rPr>
          <w:lang w:val="es-ES_tradnl"/>
        </w:rPr>
        <w:t xml:space="preserve"> para que:</w:t>
      </w:r>
    </w:p>
    <w:p w14:paraId="70991710" w14:textId="77777777" w:rsidR="00154216" w:rsidRPr="00154216" w:rsidRDefault="00154216" w:rsidP="00154216">
      <w:pPr>
        <w:pStyle w:val="Bullet1G"/>
        <w:rPr>
          <w:lang w:val="es-ES_tradnl"/>
        </w:rPr>
      </w:pPr>
      <w:r w:rsidRPr="00154216">
        <w:rPr>
          <w:lang w:val="es-ES_tradnl"/>
        </w:rPr>
        <w:t>Dirija, en conjunto con los organismos gubernamentales, el desarrollo, la ejecución y el seguimiento del Plan de Acción sobre la Discapacidad para 2014</w:t>
      </w:r>
      <w:r>
        <w:rPr>
          <w:lang w:val="es-ES_tradnl"/>
        </w:rPr>
        <w:t>-</w:t>
      </w:r>
      <w:r w:rsidRPr="00154216">
        <w:rPr>
          <w:lang w:val="es-ES_tradnl"/>
        </w:rPr>
        <w:t>2018 (100.000 dólares neozelandeses por año)</w:t>
      </w:r>
      <w:r>
        <w:rPr>
          <w:lang w:val="es-ES_tradnl"/>
        </w:rPr>
        <w:t>.</w:t>
      </w:r>
    </w:p>
    <w:p w14:paraId="3C16B3FA" w14:textId="77777777" w:rsidR="00154216" w:rsidRPr="00154216" w:rsidRDefault="00154216" w:rsidP="00154216">
      <w:pPr>
        <w:pStyle w:val="Bullet1G"/>
        <w:rPr>
          <w:lang w:val="es-ES_tradnl"/>
        </w:rPr>
      </w:pPr>
      <w:r w:rsidRPr="00154216">
        <w:rPr>
          <w:lang w:val="es-ES_tradnl"/>
        </w:rPr>
        <w:t xml:space="preserve">Provea al seguimiento de la Convención encabezado por las personas con discapacidad en el marco del </w:t>
      </w:r>
      <w:proofErr w:type="spellStart"/>
      <w:r w:rsidRPr="00154216">
        <w:rPr>
          <w:lang w:val="es-ES_tradnl"/>
        </w:rPr>
        <w:t>IMM</w:t>
      </w:r>
      <w:proofErr w:type="spellEnd"/>
      <w:r w:rsidRPr="00154216">
        <w:rPr>
          <w:lang w:val="es-ES_tradnl"/>
        </w:rPr>
        <w:t xml:space="preserve"> (véase la pregunta 32) (275.000 dólares por año).</w:t>
      </w:r>
    </w:p>
    <w:p w14:paraId="4E035EB4" w14:textId="77777777" w:rsidR="00154216" w:rsidRPr="00154216" w:rsidRDefault="00154216" w:rsidP="00154216">
      <w:pPr>
        <w:pStyle w:val="SingleTxtG"/>
        <w:rPr>
          <w:lang w:val="es-ES_tradnl"/>
        </w:rPr>
      </w:pPr>
      <w:r w:rsidRPr="00154216">
        <w:rPr>
          <w:lang w:val="es-ES_tradnl"/>
        </w:rPr>
        <w:t>16.</w:t>
      </w:r>
      <w:r w:rsidRPr="00154216">
        <w:rPr>
          <w:lang w:val="es-ES_tradnl"/>
        </w:rPr>
        <w:tab/>
        <w:t>Tras un examen realizado en 2017</w:t>
      </w:r>
      <w:r w:rsidRPr="00154216">
        <w:rPr>
          <w:rStyle w:val="Refdenotaalfinal"/>
          <w:lang w:val="es-ES_tradnl"/>
        </w:rPr>
        <w:endnoteReference w:id="33"/>
      </w:r>
      <w:r w:rsidR="00114E26">
        <w:rPr>
          <w:lang w:val="es-ES_tradnl"/>
        </w:rPr>
        <w:t>,</w:t>
      </w:r>
      <w:r w:rsidRPr="00154216">
        <w:rPr>
          <w:rStyle w:val="Refdenotaalfinal"/>
          <w:lang w:val="es-ES_tradnl"/>
        </w:rPr>
        <w:t xml:space="preserve"> </w:t>
      </w:r>
      <w:r w:rsidRPr="00154216">
        <w:rPr>
          <w:lang w:val="es-ES_tradnl"/>
        </w:rPr>
        <w:t xml:space="preserve">la Coalición </w:t>
      </w:r>
      <w:proofErr w:type="spellStart"/>
      <w:r w:rsidRPr="00154216">
        <w:rPr>
          <w:lang w:val="es-ES_tradnl"/>
        </w:rPr>
        <w:t>DPO</w:t>
      </w:r>
      <w:proofErr w:type="spellEnd"/>
      <w:r w:rsidRPr="00154216">
        <w:rPr>
          <w:lang w:val="es-ES_tradnl"/>
        </w:rPr>
        <w:t xml:space="preserve"> contrató al Instituto Donald Beasley</w:t>
      </w:r>
      <w:r w:rsidRPr="00154216">
        <w:rPr>
          <w:rStyle w:val="Refdenotaalfinal"/>
          <w:lang w:val="es-ES_tradnl"/>
        </w:rPr>
        <w:endnoteReference w:id="34"/>
      </w:r>
      <w:r w:rsidRPr="00154216">
        <w:rPr>
          <w:rStyle w:val="Refdenotaalfinal"/>
          <w:lang w:val="es-ES_tradnl"/>
        </w:rPr>
        <w:t xml:space="preserve"> </w:t>
      </w:r>
      <w:r w:rsidRPr="00154216">
        <w:rPr>
          <w:lang w:val="es-ES_tradnl"/>
        </w:rPr>
        <w:t xml:space="preserve">para que se encargara del seguimiento liderado por las personas con discapacidad. Se pretende que el seguimiento se haga extensivo a una gama más amplia de personas con discapacidad y pueda dar mayor cabida a la voz de las personas maoríes y del Pacífico con discapacidad y de las personas que no pueden comunicarse oralmente. </w:t>
      </w:r>
    </w:p>
    <w:p w14:paraId="7254F3E8" w14:textId="77777777" w:rsidR="00154216" w:rsidRPr="00154216" w:rsidRDefault="00154216" w:rsidP="00154216">
      <w:pPr>
        <w:pStyle w:val="H23G"/>
        <w:rPr>
          <w:lang w:val="es-ES_tradnl"/>
        </w:rPr>
      </w:pPr>
      <w:bookmarkStart w:id="2" w:name="_Hlk512434659"/>
      <w:r w:rsidRPr="00154216">
        <w:rPr>
          <w:lang w:val="es-ES_tradnl"/>
        </w:rPr>
        <w:tab/>
      </w:r>
      <w:r w:rsidRPr="00154216">
        <w:rPr>
          <w:lang w:val="es-ES_tradnl"/>
        </w:rPr>
        <w:tab/>
        <w:t xml:space="preserve">Respuesta al párrafo 5 a)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401E074A" w14:textId="77777777" w:rsidR="00154216" w:rsidRPr="00154216" w:rsidRDefault="00154216" w:rsidP="00154216">
      <w:pPr>
        <w:pStyle w:val="SingleTxtG"/>
        <w:rPr>
          <w:lang w:val="es-ES_tradnl"/>
        </w:rPr>
      </w:pPr>
      <w:r w:rsidRPr="00154216">
        <w:rPr>
          <w:lang w:val="es-ES_tradnl"/>
        </w:rPr>
        <w:t>17.</w:t>
      </w:r>
      <w:r w:rsidRPr="00154216">
        <w:rPr>
          <w:lang w:val="es-ES_tradnl"/>
        </w:rPr>
        <w:tab/>
        <w:t>La Ley de Derechos Humanos de 1993 establece el marco contra la discriminación de Nueva Zelandia, que protege de la discriminación a los neozelandeses en varias esferas de la vida pública</w:t>
      </w:r>
      <w:r w:rsidRPr="00154216">
        <w:rPr>
          <w:rStyle w:val="Refdenotaalfinal"/>
          <w:lang w:val="es-ES_tradnl"/>
        </w:rPr>
        <w:endnoteReference w:id="35"/>
      </w:r>
      <w:r w:rsidR="00114E26">
        <w:rPr>
          <w:lang w:val="es-ES_tradnl"/>
        </w:rPr>
        <w:t>.</w:t>
      </w:r>
      <w:r w:rsidRPr="00154216">
        <w:rPr>
          <w:rStyle w:val="Refdenotaalfinal"/>
          <w:lang w:val="es-ES_tradnl"/>
        </w:rPr>
        <w:t xml:space="preserve"> </w:t>
      </w:r>
      <w:r w:rsidRPr="00154216">
        <w:rPr>
          <w:lang w:val="es-ES_tradnl"/>
        </w:rPr>
        <w:t>La Ley de la Carta de Derechos de Nueva Zelandia de 1990 también afirma el derecho a no ser sometido por el Estado a discriminación por los motivos enunciados en la Ley de Derechos Humanos.</w:t>
      </w:r>
    </w:p>
    <w:p w14:paraId="5B0A6D09" w14:textId="77777777" w:rsidR="00154216" w:rsidRPr="00154216" w:rsidRDefault="00154216" w:rsidP="00154216">
      <w:pPr>
        <w:pStyle w:val="SingleTxtG"/>
        <w:rPr>
          <w:lang w:val="es-ES_tradnl"/>
        </w:rPr>
      </w:pPr>
      <w:r w:rsidRPr="00154216">
        <w:rPr>
          <w:lang w:val="es-ES_tradnl"/>
        </w:rPr>
        <w:t>18.</w:t>
      </w:r>
      <w:r w:rsidRPr="00154216">
        <w:rPr>
          <w:lang w:val="es-ES_tradnl"/>
        </w:rPr>
        <w:tab/>
        <w:t>Se prohíbe la discriminación por los siguientes motivos:</w:t>
      </w:r>
    </w:p>
    <w:p w14:paraId="3A05D33A" w14:textId="77777777" w:rsidR="00154216" w:rsidRPr="00154216" w:rsidRDefault="00154216" w:rsidP="00154216">
      <w:pPr>
        <w:pStyle w:val="Bullet1G"/>
        <w:rPr>
          <w:lang w:val="es-ES_tradnl"/>
        </w:rPr>
      </w:pPr>
      <w:r w:rsidRPr="00154216">
        <w:rPr>
          <w:lang w:val="es-ES_tradnl"/>
        </w:rPr>
        <w:t>Sexo (incluido el género)</w:t>
      </w:r>
    </w:p>
    <w:p w14:paraId="0C853390" w14:textId="77777777" w:rsidR="00154216" w:rsidRPr="00154216" w:rsidRDefault="00154216" w:rsidP="00154216">
      <w:pPr>
        <w:pStyle w:val="Bullet1G"/>
        <w:rPr>
          <w:lang w:val="es-ES_tradnl"/>
        </w:rPr>
      </w:pPr>
      <w:r w:rsidRPr="00154216">
        <w:rPr>
          <w:lang w:val="es-ES_tradnl"/>
        </w:rPr>
        <w:t>Estado civil</w:t>
      </w:r>
    </w:p>
    <w:p w14:paraId="6D17C678" w14:textId="77777777" w:rsidR="00154216" w:rsidRPr="00154216" w:rsidRDefault="00154216" w:rsidP="00154216">
      <w:pPr>
        <w:pStyle w:val="Bullet1G"/>
        <w:rPr>
          <w:lang w:val="es-ES_tradnl"/>
        </w:rPr>
      </w:pPr>
      <w:r w:rsidRPr="00154216">
        <w:rPr>
          <w:lang w:val="es-ES_tradnl"/>
        </w:rPr>
        <w:t>Credo religioso</w:t>
      </w:r>
    </w:p>
    <w:p w14:paraId="4425DB69" w14:textId="77777777" w:rsidR="00154216" w:rsidRPr="00154216" w:rsidRDefault="00154216" w:rsidP="00154216">
      <w:pPr>
        <w:pStyle w:val="Bullet1G"/>
        <w:rPr>
          <w:lang w:val="es-ES_tradnl"/>
        </w:rPr>
      </w:pPr>
      <w:r w:rsidRPr="00154216">
        <w:rPr>
          <w:lang w:val="es-ES_tradnl"/>
        </w:rPr>
        <w:t>Creencias éticas</w:t>
      </w:r>
    </w:p>
    <w:p w14:paraId="7B5F21AF" w14:textId="77777777" w:rsidR="00154216" w:rsidRPr="00154216" w:rsidRDefault="00154216" w:rsidP="00154216">
      <w:pPr>
        <w:pStyle w:val="Bullet1G"/>
        <w:rPr>
          <w:lang w:val="es-ES_tradnl"/>
        </w:rPr>
      </w:pPr>
      <w:r w:rsidRPr="00154216">
        <w:rPr>
          <w:lang w:val="es-ES_tradnl"/>
        </w:rPr>
        <w:t>Color de la piel</w:t>
      </w:r>
    </w:p>
    <w:p w14:paraId="0B9C2EEA" w14:textId="77777777" w:rsidR="00154216" w:rsidRPr="00154216" w:rsidRDefault="00154216" w:rsidP="00154216">
      <w:pPr>
        <w:pStyle w:val="Bullet1G"/>
        <w:rPr>
          <w:lang w:val="es-ES_tradnl"/>
        </w:rPr>
      </w:pPr>
      <w:r w:rsidRPr="00154216">
        <w:rPr>
          <w:lang w:val="es-ES_tradnl"/>
        </w:rPr>
        <w:t>Raza</w:t>
      </w:r>
    </w:p>
    <w:p w14:paraId="01C06FB3" w14:textId="77777777" w:rsidR="00154216" w:rsidRPr="00154216" w:rsidRDefault="00154216" w:rsidP="00154216">
      <w:pPr>
        <w:pStyle w:val="Bullet1G"/>
        <w:rPr>
          <w:lang w:val="es-ES_tradnl"/>
        </w:rPr>
      </w:pPr>
      <w:r w:rsidRPr="00154216">
        <w:rPr>
          <w:lang w:val="es-ES_tradnl"/>
        </w:rPr>
        <w:t>Origen étnico o nacional</w:t>
      </w:r>
    </w:p>
    <w:p w14:paraId="4E89CB57" w14:textId="77777777" w:rsidR="00154216" w:rsidRPr="00154216" w:rsidRDefault="00154216" w:rsidP="00154216">
      <w:pPr>
        <w:pStyle w:val="Bullet1G"/>
        <w:rPr>
          <w:rStyle w:val="Refdenotaalfinal"/>
          <w:lang w:val="es-ES_tradnl"/>
        </w:rPr>
      </w:pPr>
      <w:r w:rsidRPr="00154216">
        <w:rPr>
          <w:lang w:val="es-ES_tradnl"/>
        </w:rPr>
        <w:t>Discapacidad</w:t>
      </w:r>
      <w:r w:rsidRPr="00154216">
        <w:rPr>
          <w:rStyle w:val="Refdenotaalfinal"/>
          <w:lang w:val="es-ES_tradnl"/>
        </w:rPr>
        <w:endnoteReference w:id="36"/>
      </w:r>
    </w:p>
    <w:p w14:paraId="174AB3FC" w14:textId="77777777" w:rsidR="00154216" w:rsidRPr="00154216" w:rsidRDefault="00154216" w:rsidP="00154216">
      <w:pPr>
        <w:pStyle w:val="Bullet1G"/>
        <w:rPr>
          <w:lang w:val="es-ES_tradnl"/>
        </w:rPr>
      </w:pPr>
      <w:r w:rsidRPr="00154216">
        <w:rPr>
          <w:lang w:val="es-ES_tradnl"/>
        </w:rPr>
        <w:t>Edad</w:t>
      </w:r>
    </w:p>
    <w:p w14:paraId="27E779D4" w14:textId="77777777" w:rsidR="00154216" w:rsidRPr="00154216" w:rsidRDefault="00154216" w:rsidP="00154216">
      <w:pPr>
        <w:pStyle w:val="Bullet1G"/>
        <w:rPr>
          <w:lang w:val="es-ES_tradnl"/>
        </w:rPr>
      </w:pPr>
      <w:r w:rsidRPr="00154216">
        <w:rPr>
          <w:lang w:val="es-ES_tradnl"/>
        </w:rPr>
        <w:t>Opinión política</w:t>
      </w:r>
    </w:p>
    <w:p w14:paraId="76398517" w14:textId="77777777" w:rsidR="00154216" w:rsidRPr="00154216" w:rsidRDefault="00154216" w:rsidP="00154216">
      <w:pPr>
        <w:pStyle w:val="Bullet1G"/>
        <w:rPr>
          <w:lang w:val="es-ES_tradnl"/>
        </w:rPr>
      </w:pPr>
      <w:r w:rsidRPr="00154216">
        <w:rPr>
          <w:lang w:val="es-ES_tradnl"/>
        </w:rPr>
        <w:t>Situación laboral</w:t>
      </w:r>
    </w:p>
    <w:p w14:paraId="17B3C3B6" w14:textId="77777777" w:rsidR="00154216" w:rsidRPr="00154216" w:rsidRDefault="00154216" w:rsidP="00154216">
      <w:pPr>
        <w:pStyle w:val="Bullet1G"/>
        <w:rPr>
          <w:lang w:val="es-ES_tradnl"/>
        </w:rPr>
      </w:pPr>
      <w:r w:rsidRPr="00154216">
        <w:rPr>
          <w:lang w:val="es-ES_tradnl"/>
        </w:rPr>
        <w:t>Situación familiar</w:t>
      </w:r>
    </w:p>
    <w:p w14:paraId="6667D66F" w14:textId="77777777" w:rsidR="00154216" w:rsidRPr="00154216" w:rsidRDefault="00154216" w:rsidP="00154216">
      <w:pPr>
        <w:pStyle w:val="Bullet1G"/>
        <w:rPr>
          <w:lang w:val="es-ES_tradnl"/>
        </w:rPr>
      </w:pPr>
      <w:r w:rsidRPr="00154216">
        <w:rPr>
          <w:lang w:val="es-ES_tradnl"/>
        </w:rPr>
        <w:t>Orientación sexual</w:t>
      </w:r>
    </w:p>
    <w:p w14:paraId="389A5ECE" w14:textId="77777777" w:rsidR="00154216" w:rsidRPr="00154216" w:rsidRDefault="00154216" w:rsidP="00154216">
      <w:pPr>
        <w:pStyle w:val="SingleTxtG"/>
        <w:rPr>
          <w:lang w:val="es-ES_tradnl"/>
        </w:rPr>
      </w:pPr>
      <w:r w:rsidRPr="00154216">
        <w:rPr>
          <w:lang w:val="es-ES_tradnl"/>
        </w:rPr>
        <w:t>19.</w:t>
      </w:r>
      <w:r w:rsidRPr="00154216">
        <w:rPr>
          <w:lang w:val="es-ES_tradnl"/>
        </w:rPr>
        <w:tab/>
        <w:t xml:space="preserve">Con arreglo a la Ley de Derechos Humanos, la denegación de ajustes razonables frente a una discapacidad puede equivaler a discriminación. Los empleadores y los proveedores de bienes y servicios, alojamiento y educación tienen la obligación de hacer ajustes razonables para las personas con discapacidad, asegurándoles incluso los servicios o instalaciones especiales que sean necesarios. La Ley de Derechos Humanos no define lo que es </w:t>
      </w:r>
      <w:r>
        <w:rPr>
          <w:lang w:val="es-ES_tradnl"/>
        </w:rPr>
        <w:t>“</w:t>
      </w:r>
      <w:r w:rsidRPr="00154216">
        <w:rPr>
          <w:lang w:val="es-ES_tradnl"/>
        </w:rPr>
        <w:t>razonable</w:t>
      </w:r>
      <w:r>
        <w:rPr>
          <w:lang w:val="es-ES_tradnl"/>
        </w:rPr>
        <w:t>”</w:t>
      </w:r>
      <w:r w:rsidRPr="00154216">
        <w:rPr>
          <w:lang w:val="es-ES_tradnl"/>
        </w:rPr>
        <w:t>; ello viene determinado por las circunstancias particulares.</w:t>
      </w:r>
    </w:p>
    <w:p w14:paraId="1533CFB1" w14:textId="77777777" w:rsidR="00154216" w:rsidRPr="00154216" w:rsidRDefault="00154216" w:rsidP="00154216">
      <w:pPr>
        <w:pStyle w:val="SingleTxtG"/>
        <w:rPr>
          <w:lang w:val="es-ES_tradnl"/>
        </w:rPr>
      </w:pPr>
      <w:r w:rsidRPr="00154216">
        <w:rPr>
          <w:lang w:val="es-ES_tradnl"/>
        </w:rPr>
        <w:lastRenderedPageBreak/>
        <w:t>20.</w:t>
      </w:r>
      <w:r w:rsidRPr="00154216">
        <w:rPr>
          <w:lang w:val="es-ES_tradnl"/>
        </w:rPr>
        <w:tab/>
        <w:t xml:space="preserve">Según la Ley de Derechos Humanos, es ilegal discriminar a los parientes o asociados de las personas con discapacidad (como un cónyuge, cuidador o socio comercial) a causa de la discapacidad. </w:t>
      </w:r>
    </w:p>
    <w:p w14:paraId="7FB37E62" w14:textId="77777777" w:rsidR="00154216" w:rsidRPr="00154216" w:rsidRDefault="00154216" w:rsidP="00154216">
      <w:pPr>
        <w:pStyle w:val="H23G"/>
        <w:rPr>
          <w:lang w:val="es-ES_tradnl"/>
        </w:rPr>
      </w:pPr>
      <w:r w:rsidRPr="00154216">
        <w:rPr>
          <w:lang w:val="es-ES_tradnl"/>
        </w:rPr>
        <w:tab/>
      </w:r>
      <w:r w:rsidRPr="00154216">
        <w:rPr>
          <w:lang w:val="es-ES_tradnl"/>
        </w:rPr>
        <w:tab/>
        <w:t xml:space="preserve">Respuesta al párrafo 5 b)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bookmarkEnd w:id="2"/>
    <w:p w14:paraId="24046193" w14:textId="77777777" w:rsidR="00154216" w:rsidRPr="00154216" w:rsidRDefault="00154216" w:rsidP="00154216">
      <w:pPr>
        <w:pStyle w:val="SingleTxtG"/>
        <w:rPr>
          <w:lang w:val="es-ES_tradnl"/>
        </w:rPr>
      </w:pPr>
      <w:r w:rsidRPr="00154216">
        <w:rPr>
          <w:lang w:val="es-ES_tradnl"/>
        </w:rPr>
        <w:t>21.</w:t>
      </w:r>
      <w:r w:rsidRPr="00154216">
        <w:rPr>
          <w:lang w:val="es-ES_tradnl"/>
        </w:rPr>
        <w:tab/>
        <w:t xml:space="preserve">En el año finalizado el 15 de junio de 2018, la Comisión de Derechos Humanos recibió 370 denuncias de discriminación ilícita por motivos de discapacidad. </w:t>
      </w:r>
    </w:p>
    <w:p w14:paraId="57201480" w14:textId="77777777" w:rsidR="00154216" w:rsidRPr="00154216" w:rsidRDefault="00154216" w:rsidP="00154216">
      <w:pPr>
        <w:pStyle w:val="SingleTxtG"/>
        <w:rPr>
          <w:lang w:val="es-ES_tradnl"/>
        </w:rPr>
      </w:pPr>
      <w:r w:rsidRPr="00154216">
        <w:rPr>
          <w:lang w:val="es-ES_tradnl"/>
        </w:rPr>
        <w:t>22.</w:t>
      </w:r>
      <w:r w:rsidRPr="00154216">
        <w:rPr>
          <w:lang w:val="es-ES_tradnl"/>
        </w:rPr>
        <w:tab/>
        <w:t>En 35 de estos casos se denunciaba discriminación ilícita por varios motivos, incluida la discapacidad. En siete denuncias los motivos eran la discapacidad y la edad.</w:t>
      </w:r>
    </w:p>
    <w:p w14:paraId="04BF5303" w14:textId="77777777" w:rsidR="00154216" w:rsidRPr="00154216" w:rsidRDefault="00154216" w:rsidP="00154216">
      <w:pPr>
        <w:pStyle w:val="SingleTxtG"/>
        <w:rPr>
          <w:lang w:val="es-ES_tradnl"/>
        </w:rPr>
      </w:pPr>
      <w:r w:rsidRPr="00154216">
        <w:rPr>
          <w:lang w:val="es-ES_tradnl"/>
        </w:rPr>
        <w:t>23.</w:t>
      </w:r>
      <w:r w:rsidRPr="00154216">
        <w:rPr>
          <w:lang w:val="es-ES_tradnl"/>
        </w:rPr>
        <w:tab/>
        <w:t xml:space="preserve">En siete denuncias, los motivos de discriminación eran la discapacidad y la situación familiar y en seis, el género y la discapacidad. Un número menor de denuncias se refería a otros motivos junto con la discapacidad. </w:t>
      </w:r>
    </w:p>
    <w:p w14:paraId="3AE04BC5" w14:textId="77777777" w:rsidR="00154216" w:rsidRPr="00154216" w:rsidRDefault="00154216" w:rsidP="00154216">
      <w:pPr>
        <w:pStyle w:val="SingleTxtG"/>
        <w:rPr>
          <w:lang w:val="es-ES_tradnl"/>
        </w:rPr>
      </w:pPr>
      <w:r w:rsidRPr="00154216">
        <w:rPr>
          <w:lang w:val="es-ES_tradnl"/>
        </w:rPr>
        <w:t>24.</w:t>
      </w:r>
      <w:r w:rsidRPr="00154216">
        <w:rPr>
          <w:lang w:val="es-ES_tradnl"/>
        </w:rPr>
        <w:tab/>
        <w:t>En el año finalizado el 30 de junio de 2017, la Comisión de Derechos Humanos recibió 419 denuncias de discriminación ilícita por motivos de discapacidad. Estas representaban la mayor proporción de las denuncias de discriminación ilícita.</w:t>
      </w:r>
    </w:p>
    <w:p w14:paraId="49C78873" w14:textId="77777777" w:rsidR="00154216" w:rsidRPr="00154216" w:rsidRDefault="00154216" w:rsidP="00154216">
      <w:pPr>
        <w:pStyle w:val="Bullet1G"/>
        <w:rPr>
          <w:lang w:val="es-ES_tradnl"/>
        </w:rPr>
      </w:pPr>
      <w:r w:rsidRPr="00154216">
        <w:rPr>
          <w:lang w:val="es-ES_tradnl"/>
        </w:rPr>
        <w:t xml:space="preserve">En su mayor parte, las denuncias se referían al trato dado a las personas con discapacidad por la administración pública, tanto en la política como en la práctica, particularmente en las escuelas. </w:t>
      </w:r>
    </w:p>
    <w:p w14:paraId="06CA9359" w14:textId="77777777" w:rsidR="00154216" w:rsidRPr="00154216" w:rsidRDefault="00154216" w:rsidP="00154216">
      <w:pPr>
        <w:pStyle w:val="Bullet1G"/>
        <w:rPr>
          <w:lang w:val="es-ES_tradnl"/>
        </w:rPr>
      </w:pPr>
      <w:r w:rsidRPr="00154216">
        <w:rPr>
          <w:lang w:val="es-ES_tradnl"/>
        </w:rPr>
        <w:t>La segunda denuncia más frecuente de discriminación ilícita por motivos de discapacidad se refería al ámbito laboral.</w:t>
      </w:r>
    </w:p>
    <w:p w14:paraId="24838291" w14:textId="77777777" w:rsidR="00154216" w:rsidRPr="00154216" w:rsidRDefault="00154216" w:rsidP="00154216">
      <w:pPr>
        <w:pStyle w:val="SingleTxtG"/>
        <w:rPr>
          <w:lang w:val="es-ES_tradnl"/>
        </w:rPr>
      </w:pPr>
      <w:r w:rsidRPr="00154216">
        <w:rPr>
          <w:lang w:val="es-ES_tradnl"/>
        </w:rPr>
        <w:t>25.</w:t>
      </w:r>
      <w:r w:rsidRPr="00154216">
        <w:rPr>
          <w:lang w:val="es-ES_tradnl"/>
        </w:rPr>
        <w:tab/>
        <w:t>Al cumplimiento de la Ley de Derechos Humanos de 1993 contribuyen:</w:t>
      </w:r>
    </w:p>
    <w:p w14:paraId="6434C838" w14:textId="77777777" w:rsidR="00154216" w:rsidRPr="00154216" w:rsidRDefault="00154216" w:rsidP="00154216">
      <w:pPr>
        <w:pStyle w:val="Bullet1G"/>
        <w:rPr>
          <w:lang w:val="es-ES_tradnl"/>
        </w:rPr>
      </w:pPr>
      <w:r w:rsidRPr="00154216">
        <w:rPr>
          <w:lang w:val="es-ES_tradnl"/>
        </w:rPr>
        <w:t>La función de investigación y el procedimiento de denuncia de la Comisión de Derechos Humanos</w:t>
      </w:r>
    </w:p>
    <w:p w14:paraId="57F1FA7D" w14:textId="77777777" w:rsidR="00154216" w:rsidRPr="00154216" w:rsidRDefault="00154216" w:rsidP="00154216">
      <w:pPr>
        <w:pStyle w:val="Bullet1G"/>
        <w:rPr>
          <w:lang w:val="es-ES_tradnl"/>
        </w:rPr>
      </w:pPr>
      <w:r w:rsidRPr="00154216">
        <w:rPr>
          <w:lang w:val="es-ES_tradnl"/>
        </w:rPr>
        <w:t>La política gubernamental</w:t>
      </w:r>
    </w:p>
    <w:p w14:paraId="792367B2" w14:textId="77777777" w:rsidR="00154216" w:rsidRPr="00154216" w:rsidRDefault="00154216" w:rsidP="00154216">
      <w:pPr>
        <w:pStyle w:val="Bullet1G"/>
        <w:rPr>
          <w:lang w:val="es-ES_tradnl"/>
        </w:rPr>
      </w:pPr>
      <w:r w:rsidRPr="00154216">
        <w:rPr>
          <w:lang w:val="es-ES_tradnl"/>
        </w:rPr>
        <w:t>El empoderamiento de los propios titulares de los derechos</w:t>
      </w:r>
    </w:p>
    <w:p w14:paraId="5E4E1325" w14:textId="77777777" w:rsidR="00154216" w:rsidRPr="00154216" w:rsidRDefault="00154216" w:rsidP="00154216">
      <w:pPr>
        <w:pStyle w:val="H23G"/>
        <w:rPr>
          <w:lang w:val="es-ES_tradnl"/>
        </w:rPr>
      </w:pPr>
      <w:r w:rsidRPr="00154216">
        <w:rPr>
          <w:lang w:val="es-ES_tradnl"/>
        </w:rPr>
        <w:tab/>
      </w:r>
      <w:r w:rsidRPr="00154216">
        <w:rPr>
          <w:lang w:val="es-ES_tradnl"/>
        </w:rPr>
        <w:tab/>
        <w:t xml:space="preserve">Respuesta al párrafo 5 c)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74415977" w14:textId="77777777" w:rsidR="00154216" w:rsidRPr="00154216" w:rsidRDefault="00154216" w:rsidP="00154216">
      <w:pPr>
        <w:pStyle w:val="SingleTxtG"/>
        <w:rPr>
          <w:rStyle w:val="Refdenotaalfinal"/>
          <w:vertAlign w:val="baseline"/>
          <w:lang w:val="es-ES_tradnl"/>
        </w:rPr>
      </w:pPr>
      <w:r w:rsidRPr="00154216">
        <w:rPr>
          <w:lang w:val="es-ES_tradnl"/>
        </w:rPr>
        <w:t>26.</w:t>
      </w:r>
      <w:r w:rsidRPr="00154216">
        <w:rPr>
          <w:lang w:val="es-ES_tradnl"/>
        </w:rPr>
        <w:tab/>
        <w:t xml:space="preserve">La definición de </w:t>
      </w:r>
      <w:r>
        <w:rPr>
          <w:lang w:val="es-ES_tradnl"/>
        </w:rPr>
        <w:t>“</w:t>
      </w:r>
      <w:r w:rsidRPr="00154216">
        <w:rPr>
          <w:lang w:val="es-ES_tradnl"/>
        </w:rPr>
        <w:t>ajustes razonables</w:t>
      </w:r>
      <w:r>
        <w:rPr>
          <w:lang w:val="es-ES_tradnl"/>
        </w:rPr>
        <w:t>”</w:t>
      </w:r>
      <w:r w:rsidRPr="00154216">
        <w:rPr>
          <w:lang w:val="es-ES_tradnl"/>
        </w:rPr>
        <w:t xml:space="preserve"> de la Convención ya está reconocida en el derecho neozelandés, y los tribunales de justicia del país la han aplicado en conformidad con el artículo 2 de la Convención</w:t>
      </w:r>
      <w:r w:rsidRPr="00154216">
        <w:rPr>
          <w:rStyle w:val="Refdenotaalfinal"/>
          <w:lang w:val="es-ES_tradnl"/>
        </w:rPr>
        <w:endnoteReference w:id="37"/>
      </w:r>
      <w:r>
        <w:rPr>
          <w:lang w:val="es-ES_tradnl"/>
        </w:rPr>
        <w:t>.</w:t>
      </w:r>
      <w:r w:rsidRPr="00154216">
        <w:rPr>
          <w:rStyle w:val="Refdenotaalfinal"/>
          <w:lang w:val="es-ES_tradnl"/>
        </w:rPr>
        <w:t xml:space="preserve"> </w:t>
      </w:r>
      <w:r w:rsidRPr="00154216">
        <w:rPr>
          <w:lang w:val="es-ES_tradnl"/>
        </w:rPr>
        <w:t>El Estado también cuenta con directrices sobre los ajustes razonables</w:t>
      </w:r>
      <w:r w:rsidRPr="00154216">
        <w:rPr>
          <w:rStyle w:val="Refdenotaalfinal"/>
          <w:lang w:val="es-ES_tradnl"/>
        </w:rPr>
        <w:endnoteReference w:id="38"/>
      </w:r>
      <w:r>
        <w:rPr>
          <w:lang w:val="es-ES_tradnl"/>
        </w:rPr>
        <w:t>.</w:t>
      </w:r>
    </w:p>
    <w:p w14:paraId="0A122112" w14:textId="77777777" w:rsidR="00154216" w:rsidRPr="00154216" w:rsidRDefault="00154216" w:rsidP="00154216">
      <w:pPr>
        <w:pStyle w:val="H23G"/>
        <w:rPr>
          <w:lang w:val="es-ES_tradnl"/>
        </w:rPr>
      </w:pPr>
      <w:r w:rsidRPr="00154216">
        <w:rPr>
          <w:lang w:val="es-ES_tradnl"/>
        </w:rPr>
        <w:tab/>
      </w:r>
      <w:r w:rsidRPr="00154216">
        <w:rPr>
          <w:lang w:val="es-ES_tradnl"/>
        </w:rPr>
        <w:tab/>
        <w:t xml:space="preserve">Respuesta al párrafo 5 d)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748B664F" w14:textId="77777777" w:rsidR="00154216" w:rsidRPr="00154216" w:rsidRDefault="00154216" w:rsidP="00154216">
      <w:pPr>
        <w:pStyle w:val="SingleTxtG"/>
        <w:rPr>
          <w:lang w:val="es-ES_tradnl"/>
        </w:rPr>
      </w:pPr>
      <w:r w:rsidRPr="00154216">
        <w:rPr>
          <w:lang w:val="es-ES_tradnl"/>
        </w:rPr>
        <w:t>27.</w:t>
      </w:r>
      <w:r w:rsidRPr="00154216">
        <w:rPr>
          <w:lang w:val="es-ES_tradnl"/>
        </w:rPr>
        <w:tab/>
        <w:t xml:space="preserve">En septiembre de 2018, el Gobierno anunció su intención de modificar el Plan de Subvención del Cuidado por Miembros de la Familia en el área de la salud, entre otros medios revocando la parte </w:t>
      </w:r>
      <w:proofErr w:type="spellStart"/>
      <w:r w:rsidRPr="00154216">
        <w:rPr>
          <w:lang w:val="es-ES_tradnl"/>
        </w:rPr>
        <w:t>4A</w:t>
      </w:r>
      <w:proofErr w:type="spellEnd"/>
      <w:r w:rsidRPr="00154216">
        <w:rPr>
          <w:lang w:val="es-ES_tradnl"/>
        </w:rPr>
        <w:t xml:space="preserve"> de la Ley de Salud Pública y Discapacidad de 2000. El Gobierno mantuvo una intensa interacción con las partes interesadas por conducto de un facilitador independiente con el fin de obtener información para concebir mejores modalidades de apoyo a los miembros de la familia que se ocupan de personas con discapacidad mediante el Plan</w:t>
      </w:r>
      <w:r w:rsidRPr="00154216">
        <w:rPr>
          <w:rStyle w:val="Refdenotaalfinal"/>
          <w:lang w:val="es-ES_tradnl"/>
        </w:rPr>
        <w:endnoteReference w:id="39"/>
      </w:r>
      <w:r w:rsidR="00114E26">
        <w:rPr>
          <w:lang w:val="es-ES_tradnl"/>
        </w:rPr>
        <w:t>.</w:t>
      </w:r>
      <w:r w:rsidRPr="00154216">
        <w:rPr>
          <w:rStyle w:val="Refdenotaalfinal"/>
          <w:lang w:val="es-ES_tradnl"/>
        </w:rPr>
        <w:t xml:space="preserve"> </w:t>
      </w:r>
    </w:p>
    <w:p w14:paraId="22E0DC70" w14:textId="77777777" w:rsidR="00154216" w:rsidRPr="00154216" w:rsidRDefault="00154216" w:rsidP="00154216">
      <w:pPr>
        <w:pStyle w:val="SingleTxtG"/>
        <w:rPr>
          <w:rStyle w:val="Refdenotaalfinal"/>
          <w:lang w:val="es-ES_tradnl"/>
        </w:rPr>
      </w:pPr>
      <w:r w:rsidRPr="00154216">
        <w:rPr>
          <w:lang w:val="es-ES_tradnl"/>
        </w:rPr>
        <w:t>28.</w:t>
      </w:r>
      <w:r w:rsidRPr="00154216">
        <w:rPr>
          <w:lang w:val="es-ES_tradnl"/>
        </w:rPr>
        <w:tab/>
        <w:t>En 2015 se llevó a cabo una evaluación independiente del Plan tras su primer año de ejecución. Se constató que, aunque la política beneficiaba a la mayoría de las familias, era preciso mejorar la accesibilidad y la funcionalidad del Plan</w:t>
      </w:r>
      <w:r w:rsidRPr="00154216">
        <w:rPr>
          <w:rStyle w:val="Refdenotaalfinal"/>
          <w:lang w:val="es-ES_tradnl"/>
        </w:rPr>
        <w:endnoteReference w:id="40"/>
      </w:r>
      <w:r w:rsidR="00114E26">
        <w:rPr>
          <w:lang w:val="es-ES_tradnl"/>
        </w:rPr>
        <w:t>.</w:t>
      </w:r>
    </w:p>
    <w:p w14:paraId="2775725B" w14:textId="77777777" w:rsidR="00154216" w:rsidRPr="00154216" w:rsidRDefault="00154216" w:rsidP="00154216">
      <w:pPr>
        <w:pStyle w:val="SingleTxtG"/>
        <w:rPr>
          <w:lang w:val="es-ES_tradnl"/>
        </w:rPr>
      </w:pPr>
      <w:r w:rsidRPr="00154216">
        <w:rPr>
          <w:lang w:val="es-ES_tradnl"/>
        </w:rPr>
        <w:t>29.</w:t>
      </w:r>
      <w:r w:rsidRPr="00154216">
        <w:rPr>
          <w:lang w:val="es-ES_tradnl"/>
        </w:rPr>
        <w:tab/>
        <w:t>En 2016 se modificó el Plan con el fin de:</w:t>
      </w:r>
    </w:p>
    <w:p w14:paraId="5FB0D357" w14:textId="77777777" w:rsidR="00154216" w:rsidRPr="00154216" w:rsidRDefault="00154216" w:rsidP="00154216">
      <w:pPr>
        <w:pStyle w:val="Bullet1G"/>
        <w:rPr>
          <w:lang w:val="es-ES_tradnl"/>
        </w:rPr>
      </w:pPr>
      <w:r w:rsidRPr="00154216">
        <w:rPr>
          <w:lang w:val="es-ES_tradnl"/>
        </w:rPr>
        <w:t>Esclarecer la función del abogado e introducir el apoyo a la adopción de decisiones de las personas con discapacidad</w:t>
      </w:r>
      <w:r>
        <w:rPr>
          <w:lang w:val="es-ES_tradnl"/>
        </w:rPr>
        <w:t>.</w:t>
      </w:r>
    </w:p>
    <w:p w14:paraId="1DA898FC" w14:textId="77777777" w:rsidR="00154216" w:rsidRPr="00154216" w:rsidRDefault="00154216" w:rsidP="00154216">
      <w:pPr>
        <w:pStyle w:val="Bullet1G"/>
        <w:rPr>
          <w:lang w:val="es-ES_tradnl"/>
        </w:rPr>
      </w:pPr>
      <w:r w:rsidRPr="00154216">
        <w:rPr>
          <w:lang w:val="es-ES_tradnl"/>
        </w:rPr>
        <w:t>Dar a conocer la opción de la subvención del cuidado por miembros de la familia a las personas con discapacidad que podrían acogerse al Plan y a sus cuidadores</w:t>
      </w:r>
      <w:r>
        <w:rPr>
          <w:lang w:val="es-ES_tradnl"/>
        </w:rPr>
        <w:t>.</w:t>
      </w:r>
    </w:p>
    <w:p w14:paraId="6801AFFF" w14:textId="77777777" w:rsidR="00154216" w:rsidRPr="00154216" w:rsidRDefault="00154216" w:rsidP="00154216">
      <w:pPr>
        <w:pStyle w:val="Bullet1G"/>
        <w:rPr>
          <w:lang w:val="es-ES_tradnl"/>
        </w:rPr>
      </w:pPr>
      <w:r w:rsidRPr="00154216">
        <w:rPr>
          <w:lang w:val="es-ES_tradnl"/>
        </w:rPr>
        <w:t>Mejorar los procedimientos de solicitud, obtención del consentimiento informado y apoyo a la toma de decisiones</w:t>
      </w:r>
      <w:r>
        <w:rPr>
          <w:lang w:val="es-ES_tradnl"/>
        </w:rPr>
        <w:t>.</w:t>
      </w:r>
    </w:p>
    <w:p w14:paraId="23C9A92C" w14:textId="77777777" w:rsidR="00154216" w:rsidRPr="00154216" w:rsidRDefault="00154216" w:rsidP="00154216">
      <w:pPr>
        <w:pStyle w:val="Bullet1G"/>
        <w:rPr>
          <w:lang w:val="es-ES_tradnl"/>
        </w:rPr>
      </w:pPr>
      <w:r w:rsidRPr="00154216">
        <w:rPr>
          <w:lang w:val="es-ES_tradnl"/>
        </w:rPr>
        <w:lastRenderedPageBreak/>
        <w:t>Reducir el número de visitas de seguimiento a una en el primer mes y luego proceder a evaluaciones anuales.</w:t>
      </w:r>
    </w:p>
    <w:p w14:paraId="0A6BC72B" w14:textId="77777777" w:rsidR="00154216" w:rsidRPr="00154216" w:rsidRDefault="00154216" w:rsidP="00154216">
      <w:pPr>
        <w:pStyle w:val="SingleTxtG"/>
        <w:rPr>
          <w:lang w:val="es-ES_tradnl"/>
        </w:rPr>
      </w:pPr>
      <w:r w:rsidRPr="00154216">
        <w:rPr>
          <w:lang w:val="es-ES_tradnl"/>
        </w:rPr>
        <w:t>30.</w:t>
      </w:r>
      <w:r w:rsidRPr="00154216">
        <w:rPr>
          <w:lang w:val="es-ES_tradnl"/>
        </w:rPr>
        <w:tab/>
        <w:t>Las demandas de indemnización por impago a los cuidadores familiares iban a ser oídas ante el Tribunal Superior en febrero de 2019, pero fueron resueltas entre las partes y retiradas en diciembre de 2018</w:t>
      </w:r>
      <w:r w:rsidRPr="00154216">
        <w:rPr>
          <w:rStyle w:val="Refdenotaalfinal"/>
          <w:lang w:val="es-ES_tradnl"/>
        </w:rPr>
        <w:endnoteReference w:id="41"/>
      </w:r>
      <w:r w:rsidR="00114E26">
        <w:rPr>
          <w:lang w:val="es-ES_tradnl"/>
        </w:rPr>
        <w:t>.</w:t>
      </w:r>
      <w:r w:rsidRPr="00154216">
        <w:rPr>
          <w:rStyle w:val="Refdenotaalfinal"/>
          <w:lang w:val="es-ES_tradnl"/>
        </w:rPr>
        <w:t xml:space="preserve"> </w:t>
      </w:r>
    </w:p>
    <w:p w14:paraId="63C4695A" w14:textId="77777777" w:rsidR="00154216" w:rsidRPr="00154216" w:rsidRDefault="00154216" w:rsidP="00154216">
      <w:pPr>
        <w:pStyle w:val="H23G"/>
        <w:rPr>
          <w:lang w:val="es-ES_tradnl"/>
        </w:rPr>
      </w:pPr>
      <w:r w:rsidRPr="00154216">
        <w:rPr>
          <w:lang w:val="es-ES_tradnl"/>
        </w:rPr>
        <w:tab/>
      </w:r>
      <w:r w:rsidRPr="00154216">
        <w:rPr>
          <w:lang w:val="es-ES_tradnl"/>
        </w:rPr>
        <w:tab/>
        <w:t xml:space="preserve">Respuesta al párrafo 5 e)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010A8C66" w14:textId="77777777" w:rsidR="00154216" w:rsidRPr="00154216" w:rsidRDefault="00154216" w:rsidP="00154216">
      <w:pPr>
        <w:pStyle w:val="SingleTxtG"/>
        <w:rPr>
          <w:lang w:val="es-ES_tradnl"/>
        </w:rPr>
      </w:pPr>
      <w:r w:rsidRPr="00154216">
        <w:rPr>
          <w:lang w:val="es-ES_tradnl"/>
        </w:rPr>
        <w:t>31.</w:t>
      </w:r>
      <w:r w:rsidRPr="00154216">
        <w:rPr>
          <w:lang w:val="es-ES_tradnl"/>
        </w:rPr>
        <w:tab/>
        <w:t xml:space="preserve">El Gobierno tiene en marcha una serie de programas destinados a generar mejores oportunidades y resultados para las personas con discapacidad, incluidas las de etnia maorí y del Pacífico. Sin embargo, no hay programas centrados exclusivamente en las personas con discapacidad maoríes o del Pacífico. </w:t>
      </w:r>
    </w:p>
    <w:p w14:paraId="0CB8CB59" w14:textId="77777777" w:rsidR="00154216" w:rsidRPr="00154216" w:rsidRDefault="00154216" w:rsidP="00154216">
      <w:pPr>
        <w:pStyle w:val="SingleTxtG"/>
        <w:rPr>
          <w:lang w:val="es-ES_tradnl"/>
        </w:rPr>
      </w:pPr>
      <w:r w:rsidRPr="00154216">
        <w:rPr>
          <w:lang w:val="es-ES_tradnl"/>
        </w:rPr>
        <w:t>32.</w:t>
      </w:r>
      <w:r w:rsidRPr="00154216">
        <w:rPr>
          <w:lang w:val="es-ES_tradnl"/>
        </w:rPr>
        <w:tab/>
        <w:t>Últimamente ha habido cambios legislativos</w:t>
      </w:r>
      <w:r w:rsidRPr="00154216">
        <w:rPr>
          <w:rStyle w:val="Refdenotaalfinal"/>
          <w:lang w:val="es-ES_tradnl"/>
        </w:rPr>
        <w:endnoteReference w:id="42"/>
      </w:r>
      <w:r w:rsidRPr="00154216">
        <w:rPr>
          <w:rStyle w:val="Refdenotaalfinal"/>
          <w:lang w:val="es-ES_tradnl"/>
        </w:rPr>
        <w:t xml:space="preserve"> </w:t>
      </w:r>
      <w:r w:rsidRPr="00154216">
        <w:rPr>
          <w:lang w:val="es-ES_tradnl"/>
        </w:rPr>
        <w:t xml:space="preserve">que imponen al Gobierno nuevas obligaciones en el sentido de determinar los resultados y las medidas que se necesitan para reducir la pobreza infantil y mitigar el impacto en los niños de la pobreza y la desventaja socioeconómica (véase la pregunta 26 b)). </w:t>
      </w:r>
    </w:p>
    <w:p w14:paraId="285DC1D8" w14:textId="77777777" w:rsidR="00154216" w:rsidRPr="00154216" w:rsidRDefault="00154216" w:rsidP="00154216">
      <w:pPr>
        <w:pStyle w:val="SingleTxtG"/>
        <w:rPr>
          <w:lang w:val="es-ES_tradnl"/>
        </w:rPr>
      </w:pPr>
      <w:r w:rsidRPr="00154216">
        <w:rPr>
          <w:lang w:val="es-ES_tradnl"/>
        </w:rPr>
        <w:t>33.</w:t>
      </w:r>
      <w:r w:rsidRPr="00154216">
        <w:rPr>
          <w:lang w:val="es-ES_tradnl"/>
        </w:rPr>
        <w:tab/>
        <w:t xml:space="preserve">Existen servicios de apoyo al empleo de todas las personas con discapacidad, incluidas las de etnia maorí y del Pacífico. </w:t>
      </w:r>
    </w:p>
    <w:p w14:paraId="2FE23667" w14:textId="77777777" w:rsidR="00154216" w:rsidRPr="00154216" w:rsidRDefault="00154216" w:rsidP="00154216">
      <w:pPr>
        <w:pStyle w:val="SingleTxtG"/>
        <w:rPr>
          <w:lang w:val="es-ES_tradnl"/>
        </w:rPr>
      </w:pPr>
      <w:r w:rsidRPr="00154216">
        <w:rPr>
          <w:lang w:val="es-ES_tradnl"/>
        </w:rPr>
        <w:t>34.</w:t>
      </w:r>
      <w:r w:rsidRPr="00154216">
        <w:rPr>
          <w:lang w:val="es-ES_tradnl"/>
        </w:rPr>
        <w:tab/>
        <w:t xml:space="preserve">El servicio </w:t>
      </w:r>
      <w:proofErr w:type="spellStart"/>
      <w:r w:rsidRPr="00154216">
        <w:rPr>
          <w:lang w:val="es-ES_tradnl"/>
        </w:rPr>
        <w:t>Whānau</w:t>
      </w:r>
      <w:proofErr w:type="spellEnd"/>
      <w:r w:rsidRPr="00154216">
        <w:rPr>
          <w:lang w:val="es-ES_tradnl"/>
        </w:rPr>
        <w:t xml:space="preserve"> Ora</w:t>
      </w:r>
      <w:r w:rsidRPr="00154216">
        <w:rPr>
          <w:rStyle w:val="Refdenotaalfinal"/>
          <w:lang w:val="es-ES_tradnl"/>
        </w:rPr>
        <w:endnoteReference w:id="43"/>
      </w:r>
      <w:r w:rsidRPr="00154216">
        <w:rPr>
          <w:rStyle w:val="Refdenotaalfinal"/>
          <w:lang w:val="es-ES_tradnl"/>
        </w:rPr>
        <w:t xml:space="preserve"> </w:t>
      </w:r>
      <w:r w:rsidRPr="00154216">
        <w:rPr>
          <w:lang w:val="es-ES_tradnl"/>
        </w:rPr>
        <w:t xml:space="preserve">aplica </w:t>
      </w:r>
      <w:r w:rsidR="00C05D81">
        <w:rPr>
          <w:lang w:val="es-ES_tradnl"/>
        </w:rPr>
        <w:t xml:space="preserve">un </w:t>
      </w:r>
      <w:r w:rsidRPr="00154216">
        <w:rPr>
          <w:lang w:val="es-ES_tradnl"/>
        </w:rPr>
        <w:t xml:space="preserve">enfoque basado en los puntos fuertes para empoderar a las </w:t>
      </w:r>
      <w:proofErr w:type="spellStart"/>
      <w:r w:rsidRPr="00154216">
        <w:rPr>
          <w:lang w:val="es-ES_tradnl"/>
        </w:rPr>
        <w:t>whānau</w:t>
      </w:r>
      <w:proofErr w:type="spellEnd"/>
      <w:r w:rsidRPr="00154216">
        <w:rPr>
          <w:lang w:val="es-ES_tradnl"/>
        </w:rPr>
        <w:t xml:space="preserve"> y aumentar el bienestar de generación en generación. Opera con un </w:t>
      </w:r>
      <w:r>
        <w:rPr>
          <w:lang w:val="es-ES_tradnl"/>
        </w:rPr>
        <w:t>“</w:t>
      </w:r>
      <w:r w:rsidRPr="00154216">
        <w:rPr>
          <w:lang w:val="es-ES_tradnl"/>
        </w:rPr>
        <w:t>modelo descentralizado de contratación de servicios</w:t>
      </w:r>
      <w:r>
        <w:rPr>
          <w:lang w:val="es-ES_tradnl"/>
        </w:rPr>
        <w:t>”</w:t>
      </w:r>
      <w:r w:rsidRPr="00154216">
        <w:rPr>
          <w:lang w:val="es-ES_tradnl"/>
        </w:rPr>
        <w:t xml:space="preserve">. Ello significa que el Gobierno contrata a agencias no gubernamentales para perseguir una serie de resultados en el plano del bienestar social. Se invierten recursos financieros en servicios y medios de apoyo que respondan a las necesidades y aspiraciones de las </w:t>
      </w:r>
      <w:proofErr w:type="spellStart"/>
      <w:r w:rsidRPr="00154216">
        <w:rPr>
          <w:lang w:val="es-ES_tradnl"/>
        </w:rPr>
        <w:t>whānau</w:t>
      </w:r>
      <w:proofErr w:type="spellEnd"/>
      <w:r w:rsidRPr="00154216">
        <w:rPr>
          <w:lang w:val="es-ES_tradnl"/>
        </w:rPr>
        <w:t xml:space="preserve"> y familias en las comunidades atendidas.</w:t>
      </w:r>
    </w:p>
    <w:p w14:paraId="144DCEB9" w14:textId="77777777" w:rsidR="00154216" w:rsidRPr="00154216" w:rsidRDefault="00154216" w:rsidP="00154216">
      <w:pPr>
        <w:pStyle w:val="SingleTxtG"/>
        <w:rPr>
          <w:lang w:val="es-ES_tradnl"/>
        </w:rPr>
      </w:pPr>
      <w:r w:rsidRPr="00154216">
        <w:rPr>
          <w:lang w:val="es-ES_tradnl"/>
        </w:rPr>
        <w:t>35.</w:t>
      </w:r>
      <w:r w:rsidRPr="00154216">
        <w:rPr>
          <w:lang w:val="es-ES_tradnl"/>
        </w:rPr>
        <w:tab/>
      </w:r>
      <w:proofErr w:type="spellStart"/>
      <w:r w:rsidRPr="00154216">
        <w:rPr>
          <w:lang w:val="es-ES_tradnl"/>
        </w:rPr>
        <w:t>Kāpō</w:t>
      </w:r>
      <w:proofErr w:type="spellEnd"/>
      <w:r w:rsidRPr="00154216">
        <w:rPr>
          <w:lang w:val="es-ES_tradnl"/>
        </w:rPr>
        <w:t xml:space="preserve"> </w:t>
      </w:r>
      <w:proofErr w:type="spellStart"/>
      <w:r w:rsidRPr="00154216">
        <w:rPr>
          <w:lang w:val="es-ES_tradnl"/>
        </w:rPr>
        <w:t>Māori</w:t>
      </w:r>
      <w:proofErr w:type="spellEnd"/>
      <w:r w:rsidRPr="00154216">
        <w:rPr>
          <w:lang w:val="es-ES_tradnl"/>
        </w:rPr>
        <w:t xml:space="preserve"> </w:t>
      </w:r>
      <w:proofErr w:type="spellStart"/>
      <w:r w:rsidRPr="00154216">
        <w:rPr>
          <w:lang w:val="es-ES_tradnl"/>
        </w:rPr>
        <w:t>Aotearoa</w:t>
      </w:r>
      <w:proofErr w:type="spellEnd"/>
      <w:r w:rsidRPr="00154216">
        <w:rPr>
          <w:lang w:val="es-ES_tradnl"/>
        </w:rPr>
        <w:t xml:space="preserve"> </w:t>
      </w:r>
      <w:proofErr w:type="spellStart"/>
      <w:r w:rsidRPr="00154216">
        <w:rPr>
          <w:lang w:val="es-ES_tradnl"/>
        </w:rPr>
        <w:t>NZ</w:t>
      </w:r>
      <w:proofErr w:type="spellEnd"/>
      <w:r w:rsidRPr="00154216">
        <w:rPr>
          <w:lang w:val="es-ES_tradnl"/>
        </w:rPr>
        <w:t xml:space="preserve"> </w:t>
      </w:r>
      <w:proofErr w:type="spellStart"/>
      <w:r w:rsidRPr="00154216">
        <w:rPr>
          <w:lang w:val="es-ES_tradnl"/>
        </w:rPr>
        <w:t>Incorporated</w:t>
      </w:r>
      <w:proofErr w:type="spellEnd"/>
      <w:r w:rsidRPr="00154216">
        <w:rPr>
          <w:lang w:val="es-ES_tradnl"/>
        </w:rPr>
        <w:t xml:space="preserve"> es una organización de personas con discapacidad que brinda apoyo y asesoramiento a las </w:t>
      </w:r>
      <w:proofErr w:type="spellStart"/>
      <w:r w:rsidRPr="00154216">
        <w:rPr>
          <w:lang w:val="es-ES_tradnl"/>
        </w:rPr>
        <w:t>kāpō</w:t>
      </w:r>
      <w:proofErr w:type="spellEnd"/>
      <w:r w:rsidRPr="00154216">
        <w:rPr>
          <w:lang w:val="es-ES_tradnl"/>
        </w:rPr>
        <w:t xml:space="preserve"> (personas ciegas, con deficiencias visuales, sordociegas) maoríes y a sus </w:t>
      </w:r>
      <w:proofErr w:type="spellStart"/>
      <w:r w:rsidRPr="00154216">
        <w:rPr>
          <w:lang w:val="es-ES_tradnl"/>
        </w:rPr>
        <w:t>whānau</w:t>
      </w:r>
      <w:proofErr w:type="spellEnd"/>
      <w:r w:rsidRPr="00154216">
        <w:rPr>
          <w:lang w:val="es-ES_tradnl"/>
        </w:rPr>
        <w:t xml:space="preserve">. También se está trabajando en la creación de una Organización de las Personas con Discapacidad del Pacífico. </w:t>
      </w:r>
    </w:p>
    <w:p w14:paraId="08003B02" w14:textId="77777777" w:rsidR="00154216" w:rsidRPr="00154216" w:rsidRDefault="00154216" w:rsidP="00154216">
      <w:pPr>
        <w:pStyle w:val="H23G"/>
        <w:rPr>
          <w:lang w:val="es-ES_tradnl"/>
        </w:rPr>
      </w:pPr>
      <w:r w:rsidRPr="00154216">
        <w:rPr>
          <w:lang w:val="es-ES_tradnl"/>
        </w:rPr>
        <w:tab/>
      </w:r>
      <w:r w:rsidRPr="00154216">
        <w:rPr>
          <w:lang w:val="es-ES_tradnl"/>
        </w:rPr>
        <w:tab/>
        <w:t xml:space="preserve">Respuesta al párrafo 5 f)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0BE46281" w14:textId="77777777" w:rsidR="00154216" w:rsidRPr="00154216" w:rsidRDefault="00154216" w:rsidP="00154216">
      <w:pPr>
        <w:pStyle w:val="SingleTxtG"/>
        <w:rPr>
          <w:lang w:val="es-ES_tradnl"/>
        </w:rPr>
      </w:pPr>
      <w:r w:rsidRPr="00154216">
        <w:rPr>
          <w:lang w:val="es-ES_tradnl"/>
        </w:rPr>
        <w:t>36.</w:t>
      </w:r>
      <w:r w:rsidRPr="00154216">
        <w:rPr>
          <w:lang w:val="es-ES_tradnl"/>
        </w:rPr>
        <w:tab/>
        <w:t>La elaboración de un Plan de Acción de Apoyo al Aprendizaje para 2019</w:t>
      </w:r>
      <w:r w:rsidR="00C05D81">
        <w:rPr>
          <w:lang w:val="es-ES_tradnl"/>
        </w:rPr>
        <w:t>-</w:t>
      </w:r>
      <w:r w:rsidRPr="00154216">
        <w:rPr>
          <w:lang w:val="es-ES_tradnl"/>
        </w:rPr>
        <w:t>2025 constituye una prioridad (véase la pregunta 22 c)).</w:t>
      </w:r>
    </w:p>
    <w:p w14:paraId="53A3B57B" w14:textId="77777777" w:rsidR="00154216" w:rsidRPr="00154216" w:rsidRDefault="00154216" w:rsidP="00154216">
      <w:pPr>
        <w:pStyle w:val="H4G"/>
        <w:rPr>
          <w:lang w:val="es-ES_tradnl"/>
        </w:rPr>
      </w:pPr>
      <w:r w:rsidRPr="00154216">
        <w:rPr>
          <w:lang w:val="es-ES_tradnl"/>
        </w:rPr>
        <w:tab/>
      </w:r>
      <w:r w:rsidRPr="00154216">
        <w:rPr>
          <w:lang w:val="es-ES_tradnl"/>
        </w:rPr>
        <w:tab/>
        <w:t>Identificación</w:t>
      </w:r>
    </w:p>
    <w:p w14:paraId="4A76243C" w14:textId="77777777" w:rsidR="00154216" w:rsidRPr="00154216" w:rsidRDefault="00154216" w:rsidP="00154216">
      <w:pPr>
        <w:pStyle w:val="SingleTxtG"/>
        <w:rPr>
          <w:lang w:val="es-ES_tradnl"/>
        </w:rPr>
      </w:pPr>
      <w:r w:rsidRPr="00154216">
        <w:rPr>
          <w:lang w:val="es-ES_tradnl"/>
        </w:rPr>
        <w:t>37.</w:t>
      </w:r>
      <w:r w:rsidRPr="00154216">
        <w:rPr>
          <w:lang w:val="es-ES_tradnl"/>
        </w:rPr>
        <w:tab/>
        <w:t>Los servicios de intervención temprana</w:t>
      </w:r>
      <w:r w:rsidRPr="00154216">
        <w:rPr>
          <w:rStyle w:val="Refdenotaalfinal"/>
          <w:lang w:val="es-ES_tradnl"/>
        </w:rPr>
        <w:endnoteReference w:id="44"/>
      </w:r>
      <w:r w:rsidRPr="00154216">
        <w:rPr>
          <w:rStyle w:val="Refdenotaalfinal"/>
          <w:lang w:val="es-ES_tradnl"/>
        </w:rPr>
        <w:t xml:space="preserve"> </w:t>
      </w:r>
      <w:r w:rsidRPr="00154216">
        <w:rPr>
          <w:lang w:val="es-ES_tradnl"/>
        </w:rPr>
        <w:t xml:space="preserve">garantizan al niño desde que nace la determinación oportuna de su necesidad de apoyo al aprendizaje y el acceso a este. </w:t>
      </w:r>
    </w:p>
    <w:p w14:paraId="3158ED36" w14:textId="77777777" w:rsidR="00154216" w:rsidRPr="00154216" w:rsidRDefault="00154216" w:rsidP="00154216">
      <w:pPr>
        <w:pStyle w:val="SingleTxtG"/>
        <w:rPr>
          <w:lang w:val="es-ES_tradnl"/>
        </w:rPr>
      </w:pPr>
      <w:r w:rsidRPr="00154216">
        <w:rPr>
          <w:lang w:val="es-ES_tradnl"/>
        </w:rPr>
        <w:t>38.</w:t>
      </w:r>
      <w:r w:rsidRPr="00154216">
        <w:rPr>
          <w:lang w:val="es-ES_tradnl"/>
        </w:rPr>
        <w:tab/>
        <w:t xml:space="preserve">El examen escolar </w:t>
      </w:r>
      <w:proofErr w:type="spellStart"/>
      <w:r w:rsidRPr="00154216">
        <w:rPr>
          <w:lang w:val="es-ES_tradnl"/>
        </w:rPr>
        <w:t>B4</w:t>
      </w:r>
      <w:proofErr w:type="spellEnd"/>
      <w:r w:rsidRPr="00154216">
        <w:rPr>
          <w:rStyle w:val="Refdenotaalfinal"/>
          <w:lang w:val="es-ES_tradnl"/>
        </w:rPr>
        <w:endnoteReference w:id="45"/>
      </w:r>
      <w:r w:rsidRPr="00154216">
        <w:rPr>
          <w:rStyle w:val="Refdenotaalfinal"/>
          <w:lang w:val="es-ES_tradnl"/>
        </w:rPr>
        <w:t xml:space="preserve"> </w:t>
      </w:r>
      <w:r w:rsidRPr="00154216">
        <w:rPr>
          <w:lang w:val="es-ES_tradnl"/>
        </w:rPr>
        <w:t xml:space="preserve">es un programa de salud universal que se ofrece a todas las familias cuyos hijos van a cumplir 4 años con el objeto de determinar si el niño necesita algún apoyo adicional antes de comenzar la escuela. </w:t>
      </w:r>
    </w:p>
    <w:p w14:paraId="3B90FB2C" w14:textId="77777777" w:rsidR="00154216" w:rsidRPr="00154216" w:rsidRDefault="00154216" w:rsidP="00154216">
      <w:pPr>
        <w:pStyle w:val="SingleTxtG"/>
        <w:rPr>
          <w:lang w:val="es-ES_tradnl"/>
        </w:rPr>
      </w:pPr>
      <w:r w:rsidRPr="00154216">
        <w:rPr>
          <w:lang w:val="es-ES_tradnl"/>
        </w:rPr>
        <w:t>39.</w:t>
      </w:r>
      <w:r w:rsidRPr="00154216">
        <w:rPr>
          <w:lang w:val="es-ES_tradnl"/>
        </w:rPr>
        <w:tab/>
        <w:t>Los niños que van a la zaga de los hitos del desarrollo pueden ser derivados al Servicio de Desarrollo del Niño. Este realiza una evaluación especializada, organiza servicios de intervención y de gestión y colabora con otros organismos para velar por que el niño reciba un apoyo integrado.</w:t>
      </w:r>
    </w:p>
    <w:p w14:paraId="4400968F" w14:textId="77777777" w:rsidR="00154216" w:rsidRPr="00154216" w:rsidRDefault="00154216" w:rsidP="00154216">
      <w:pPr>
        <w:pStyle w:val="H4G"/>
        <w:rPr>
          <w:lang w:val="es-ES_tradnl"/>
        </w:rPr>
      </w:pPr>
      <w:r w:rsidRPr="00154216">
        <w:rPr>
          <w:lang w:val="es-ES_tradnl"/>
        </w:rPr>
        <w:tab/>
      </w:r>
      <w:r w:rsidRPr="00154216">
        <w:rPr>
          <w:lang w:val="es-ES_tradnl"/>
        </w:rPr>
        <w:tab/>
        <w:t>Apoyo</w:t>
      </w:r>
    </w:p>
    <w:p w14:paraId="659CC20A" w14:textId="77777777" w:rsidR="00154216" w:rsidRPr="00154216" w:rsidRDefault="00154216" w:rsidP="00154216">
      <w:pPr>
        <w:pStyle w:val="SingleTxtG"/>
        <w:rPr>
          <w:lang w:val="es-ES_tradnl"/>
        </w:rPr>
      </w:pPr>
      <w:r w:rsidRPr="00154216">
        <w:rPr>
          <w:lang w:val="es-ES_tradnl"/>
        </w:rPr>
        <w:t>40.</w:t>
      </w:r>
      <w:r w:rsidRPr="00154216">
        <w:rPr>
          <w:lang w:val="es-ES_tradnl"/>
        </w:rPr>
        <w:tab/>
        <w:t>La gran mayoría de los estudiantes que requieren mucho apoyo para el aprendizaje asisten a las escuelas ordinarias, no a escuelas especiales. Las escuelas especiales prestan apoyo a los alumnos que tienen grandes necesidades</w:t>
      </w:r>
      <w:r w:rsidRPr="00154216">
        <w:rPr>
          <w:rStyle w:val="Refdenotaalfinal"/>
          <w:lang w:val="es-ES_tradnl"/>
        </w:rPr>
        <w:endnoteReference w:id="46"/>
      </w:r>
      <w:r w:rsidR="00114E26">
        <w:rPr>
          <w:lang w:val="es-ES_tradnl"/>
        </w:rPr>
        <w:t>.</w:t>
      </w:r>
      <w:r w:rsidRPr="00154216">
        <w:rPr>
          <w:rStyle w:val="Refdenotaalfinal"/>
          <w:lang w:val="es-ES_tradnl"/>
        </w:rPr>
        <w:t xml:space="preserve"> </w:t>
      </w:r>
    </w:p>
    <w:p w14:paraId="49CCEE85" w14:textId="77777777" w:rsidR="00154216" w:rsidRPr="00154216" w:rsidRDefault="00154216" w:rsidP="00154216">
      <w:pPr>
        <w:pStyle w:val="SingleTxtG"/>
        <w:rPr>
          <w:lang w:val="es-ES_tradnl"/>
        </w:rPr>
      </w:pPr>
      <w:r w:rsidRPr="00154216">
        <w:rPr>
          <w:lang w:val="es-ES_tradnl"/>
        </w:rPr>
        <w:t>41.</w:t>
      </w:r>
      <w:r w:rsidRPr="00154216">
        <w:rPr>
          <w:lang w:val="es-ES_tradnl"/>
        </w:rPr>
        <w:tab/>
        <w:t>Al 1 de julio de 2018, el Plan de Provisión Continua de Recursos prestaba apoyo al aprendizaje de 9.377 estudiantes (1,2</w:t>
      </w:r>
      <w:r w:rsidR="00D37C06">
        <w:rPr>
          <w:lang w:val="es-ES_tradnl"/>
        </w:rPr>
        <w:t> %</w:t>
      </w:r>
      <w:r w:rsidRPr="00154216">
        <w:rPr>
          <w:lang w:val="es-ES_tradnl"/>
        </w:rPr>
        <w:t xml:space="preserve"> del alumnado) que presentaban las mayores necesidades. </w:t>
      </w:r>
    </w:p>
    <w:p w14:paraId="55E74BF1" w14:textId="77777777" w:rsidR="00154216" w:rsidRPr="00154216" w:rsidRDefault="00154216" w:rsidP="00154216">
      <w:pPr>
        <w:pStyle w:val="SingleTxtG"/>
        <w:rPr>
          <w:lang w:val="es-ES_tradnl"/>
        </w:rPr>
      </w:pPr>
      <w:r w:rsidRPr="00154216">
        <w:rPr>
          <w:lang w:val="es-ES_tradnl"/>
        </w:rPr>
        <w:t>42.</w:t>
      </w:r>
      <w:r w:rsidRPr="00154216">
        <w:rPr>
          <w:lang w:val="es-ES_tradnl"/>
        </w:rPr>
        <w:tab/>
        <w:t xml:space="preserve">Existe un Servicio Integral de Apoyo Intensivo para el pequeño número de estudiantes que tienen problemas sumamente complejos de orden conductual, social o </w:t>
      </w:r>
      <w:r w:rsidRPr="00154216">
        <w:rPr>
          <w:lang w:val="es-ES_tradnl"/>
        </w:rPr>
        <w:lastRenderedPageBreak/>
        <w:t>cognitivo (que pueden ir asociados a dificultades intelectuales) y necesitan apoyo en la escuela, en el hogar y en la comunidad</w:t>
      </w:r>
      <w:r w:rsidRPr="00154216">
        <w:rPr>
          <w:rStyle w:val="Refdenotaalfinal"/>
          <w:lang w:val="es-ES_tradnl"/>
        </w:rPr>
        <w:endnoteReference w:id="47"/>
      </w:r>
      <w:r w:rsidR="00114E26">
        <w:rPr>
          <w:lang w:val="es-ES_tradnl"/>
        </w:rPr>
        <w:t>.</w:t>
      </w:r>
      <w:r w:rsidRPr="00154216">
        <w:rPr>
          <w:rStyle w:val="Refdenotaalfinal"/>
          <w:lang w:val="es-ES_tradnl"/>
        </w:rPr>
        <w:t xml:space="preserve"> </w:t>
      </w:r>
      <w:r w:rsidRPr="00154216">
        <w:rPr>
          <w:lang w:val="es-ES_tradnl"/>
        </w:rPr>
        <w:t xml:space="preserve">A partir del presupuesto de 2018 ha aumentado el número de alumnos que pueden acceder a este servicio de apoyo intensivo. </w:t>
      </w:r>
    </w:p>
    <w:p w14:paraId="25593E69" w14:textId="77777777" w:rsidR="00154216" w:rsidRPr="00154216" w:rsidRDefault="00154216" w:rsidP="00154216">
      <w:pPr>
        <w:pStyle w:val="SingleTxtG"/>
        <w:rPr>
          <w:lang w:val="es-ES_tradnl"/>
        </w:rPr>
      </w:pPr>
      <w:r w:rsidRPr="00154216">
        <w:rPr>
          <w:lang w:val="es-ES_tradnl"/>
        </w:rPr>
        <w:t>43.</w:t>
      </w:r>
      <w:r w:rsidRPr="00154216">
        <w:rPr>
          <w:lang w:val="es-ES_tradnl"/>
        </w:rPr>
        <w:tab/>
        <w:t>En 2018, los Servicios de Apoyo a la Discapacidad (</w:t>
      </w:r>
      <w:proofErr w:type="spellStart"/>
      <w:r w:rsidRPr="00154216">
        <w:rPr>
          <w:lang w:val="es-ES_tradnl"/>
        </w:rPr>
        <w:t>DSS</w:t>
      </w:r>
      <w:proofErr w:type="spellEnd"/>
      <w:r w:rsidRPr="00154216">
        <w:rPr>
          <w:lang w:val="es-ES_tradnl"/>
        </w:rPr>
        <w:t xml:space="preserve">) prestaron asistencia a unos 34.000 clientes, de los cuales casi la mitad presentaba una discapacidad intelectual. Los </w:t>
      </w:r>
      <w:proofErr w:type="spellStart"/>
      <w:r w:rsidRPr="00154216">
        <w:rPr>
          <w:lang w:val="es-ES_tradnl"/>
        </w:rPr>
        <w:t>DSS</w:t>
      </w:r>
      <w:proofErr w:type="spellEnd"/>
      <w:r w:rsidRPr="00154216">
        <w:rPr>
          <w:lang w:val="es-ES_tradnl"/>
        </w:rPr>
        <w:t xml:space="preserve"> contratan servicios de apoyo a la discapacidad para las personas (por lo general menores de 65 años) con deficiencias físicas, intelectuales o sensoriales de larga duración que necesitan un apoyo constante. </w:t>
      </w:r>
    </w:p>
    <w:p w14:paraId="6BBBFE29" w14:textId="77777777" w:rsidR="00154216" w:rsidRPr="00154216" w:rsidRDefault="00154216" w:rsidP="00154216">
      <w:pPr>
        <w:pStyle w:val="SingleTxtG"/>
        <w:rPr>
          <w:lang w:val="es-ES_tradnl"/>
        </w:rPr>
      </w:pPr>
      <w:r w:rsidRPr="00154216">
        <w:rPr>
          <w:lang w:val="es-ES_tradnl"/>
        </w:rPr>
        <w:t>44.</w:t>
      </w:r>
      <w:r w:rsidRPr="00154216">
        <w:rPr>
          <w:lang w:val="es-ES_tradnl"/>
        </w:rPr>
        <w:tab/>
        <w:t>Las personas con discapacidad intelectual representaban el 83</w:t>
      </w:r>
      <w:r w:rsidR="00D37C06">
        <w:rPr>
          <w:lang w:val="es-ES_tradnl"/>
        </w:rPr>
        <w:t> %</w:t>
      </w:r>
      <w:r w:rsidRPr="00154216">
        <w:rPr>
          <w:lang w:val="es-ES_tradnl"/>
        </w:rPr>
        <w:t xml:space="preserve"> (poco más de 6.000) de las personas acogidas en las residencias comunitarias de los </w:t>
      </w:r>
      <w:proofErr w:type="spellStart"/>
      <w:r w:rsidRPr="00154216">
        <w:rPr>
          <w:lang w:val="es-ES_tradnl"/>
        </w:rPr>
        <w:t>DSS</w:t>
      </w:r>
      <w:proofErr w:type="spellEnd"/>
      <w:r w:rsidRPr="00154216">
        <w:rPr>
          <w:lang w:val="es-ES_tradnl"/>
        </w:rPr>
        <w:t xml:space="preserve">, que cuentan con una asistencia de día y de noche que les permite llevar una vida de hogar segura y satisfactoria en un entorno comunitario. </w:t>
      </w:r>
    </w:p>
    <w:p w14:paraId="261257B1" w14:textId="77777777" w:rsidR="00154216" w:rsidRPr="00154216" w:rsidRDefault="00154216" w:rsidP="00154216">
      <w:pPr>
        <w:pStyle w:val="SingleTxtG"/>
        <w:rPr>
          <w:lang w:val="es-ES_tradnl"/>
        </w:rPr>
      </w:pPr>
      <w:r w:rsidRPr="00154216">
        <w:rPr>
          <w:lang w:val="es-ES_tradnl"/>
        </w:rPr>
        <w:t>45.</w:t>
      </w:r>
      <w:r w:rsidRPr="00154216">
        <w:rPr>
          <w:lang w:val="es-ES_tradnl"/>
        </w:rPr>
        <w:tab/>
        <w:t xml:space="preserve">Los Servicios de Apoyo Conductual trabajan con las personas y sus familias y </w:t>
      </w:r>
      <w:proofErr w:type="spellStart"/>
      <w:r w:rsidRPr="00154216">
        <w:rPr>
          <w:lang w:val="es-ES_tradnl"/>
        </w:rPr>
        <w:t>whānau</w:t>
      </w:r>
      <w:proofErr w:type="spellEnd"/>
      <w:r w:rsidRPr="00154216">
        <w:rPr>
          <w:lang w:val="es-ES_tradnl"/>
        </w:rPr>
        <w:t xml:space="preserve"> en los casos de personas que tienen un comportamiento problemático que puede excluirlas de elementos clave de la sociedad a raíz de conductas que suponen un riesgo de daño para ellas mismas o para los demás. En 2017, de las personas que recibieron servicios de apoyo conductual, 1.789 tenían 18 años o menos.</w:t>
      </w:r>
    </w:p>
    <w:p w14:paraId="28BAF140" w14:textId="77777777" w:rsidR="00154216" w:rsidRPr="00154216" w:rsidRDefault="00154216" w:rsidP="00154216">
      <w:pPr>
        <w:pStyle w:val="SingleTxtG"/>
        <w:rPr>
          <w:lang w:val="es-ES_tradnl"/>
        </w:rPr>
      </w:pPr>
      <w:r w:rsidRPr="00154216">
        <w:rPr>
          <w:lang w:val="es-ES_tradnl"/>
        </w:rPr>
        <w:t>46.</w:t>
      </w:r>
      <w:r w:rsidRPr="00154216">
        <w:rPr>
          <w:lang w:val="es-ES_tradnl"/>
        </w:rPr>
        <w:tab/>
        <w:t>El Gobierno ha renovado los recursos para ayudar a las escuelas a prestar apoyo a los niños con discapacidad psicosocial o intelectual</w:t>
      </w:r>
      <w:r w:rsidRPr="00154216">
        <w:rPr>
          <w:rStyle w:val="Refdenotaalfinal"/>
          <w:lang w:val="es-ES_tradnl"/>
        </w:rPr>
        <w:endnoteReference w:id="48"/>
      </w:r>
      <w:r w:rsidR="00114E26">
        <w:rPr>
          <w:lang w:val="es-ES_tradnl"/>
        </w:rPr>
        <w:t>.</w:t>
      </w:r>
      <w:r w:rsidRPr="00154216">
        <w:rPr>
          <w:rStyle w:val="Refdenotaalfinal"/>
          <w:lang w:val="es-ES_tradnl"/>
        </w:rPr>
        <w:t xml:space="preserve"> </w:t>
      </w:r>
    </w:p>
    <w:p w14:paraId="26C5F6D3" w14:textId="77777777" w:rsidR="00154216" w:rsidRPr="00154216" w:rsidRDefault="00154216" w:rsidP="00154216">
      <w:pPr>
        <w:pStyle w:val="SingleTxtG"/>
        <w:rPr>
          <w:lang w:val="es-ES_tradnl"/>
        </w:rPr>
      </w:pPr>
      <w:r w:rsidRPr="00154216">
        <w:rPr>
          <w:lang w:val="es-ES_tradnl"/>
        </w:rPr>
        <w:t>47.</w:t>
      </w:r>
      <w:r w:rsidRPr="00154216">
        <w:rPr>
          <w:lang w:val="es-ES_tradnl"/>
        </w:rPr>
        <w:tab/>
        <w:t xml:space="preserve">El Gobierno procura mejorar el acceso a los servicios de salud y los resultados en materia de salud de las personas con discapacidad intelectual o de aprendizaje (véase la pregunta 23 a)). </w:t>
      </w:r>
    </w:p>
    <w:p w14:paraId="139AB693" w14:textId="77777777" w:rsidR="00154216" w:rsidRPr="00154216" w:rsidRDefault="00154216" w:rsidP="00154216">
      <w:pPr>
        <w:pStyle w:val="H23G"/>
        <w:rPr>
          <w:lang w:val="es-ES_tradnl"/>
        </w:rPr>
      </w:pPr>
      <w:r w:rsidRPr="00154216">
        <w:rPr>
          <w:lang w:val="es-ES_tradnl"/>
        </w:rPr>
        <w:tab/>
      </w:r>
      <w:r w:rsidRPr="00154216">
        <w:rPr>
          <w:lang w:val="es-ES_tradnl"/>
        </w:rPr>
        <w:tab/>
        <w:t xml:space="preserve">Respuesta al párrafo 6 a)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315AE88A" w14:textId="77777777" w:rsidR="00154216" w:rsidRPr="00154216" w:rsidRDefault="00154216" w:rsidP="00154216">
      <w:pPr>
        <w:pStyle w:val="SingleTxtG"/>
        <w:rPr>
          <w:lang w:val="es-ES_tradnl"/>
        </w:rPr>
      </w:pPr>
      <w:r w:rsidRPr="00154216">
        <w:rPr>
          <w:lang w:val="es-ES_tradnl"/>
        </w:rPr>
        <w:t>48.</w:t>
      </w:r>
      <w:r w:rsidRPr="00154216">
        <w:rPr>
          <w:lang w:val="es-ES_tradnl"/>
        </w:rPr>
        <w:tab/>
        <w:t>Desde 2002, todos los documentos del Gabinete dirigidos a su Comité de Bienestar Social deben incluir:</w:t>
      </w:r>
    </w:p>
    <w:p w14:paraId="0797C663" w14:textId="77777777" w:rsidR="00154216" w:rsidRPr="00154216" w:rsidRDefault="00154216" w:rsidP="00154216">
      <w:pPr>
        <w:pStyle w:val="Bullet1G"/>
        <w:rPr>
          <w:lang w:val="es-ES_tradnl"/>
        </w:rPr>
      </w:pPr>
      <w:r w:rsidRPr="00154216">
        <w:rPr>
          <w:lang w:val="es-ES_tradnl"/>
        </w:rPr>
        <w:t>Una declaración de las repercusiones en materia de género en que se indique si se ha realizado un análisis de género y en qué medida se prevé que la política propuesta afectará a hombres y mujeres de manera diferente</w:t>
      </w:r>
      <w:r w:rsidR="00D37C06">
        <w:rPr>
          <w:lang w:val="es-ES_tradnl"/>
        </w:rPr>
        <w:t>.</w:t>
      </w:r>
    </w:p>
    <w:p w14:paraId="64A265AE" w14:textId="77777777" w:rsidR="00154216" w:rsidRPr="00154216" w:rsidRDefault="00154216" w:rsidP="00154216">
      <w:pPr>
        <w:pStyle w:val="Bullet1G"/>
        <w:rPr>
          <w:lang w:val="es-ES_tradnl"/>
        </w:rPr>
      </w:pPr>
      <w:r w:rsidRPr="00154216">
        <w:rPr>
          <w:lang w:val="es-ES_tradnl"/>
        </w:rPr>
        <w:t xml:space="preserve">Una declaración desde la perspectiva de la discapacidad que considere las repercusiones de las políticas y propuestas sobre las personas con discapacidad. </w:t>
      </w:r>
    </w:p>
    <w:p w14:paraId="4523BA5F" w14:textId="77777777" w:rsidR="00154216" w:rsidRPr="00154216" w:rsidRDefault="00154216" w:rsidP="00154216">
      <w:pPr>
        <w:pStyle w:val="H23G"/>
        <w:rPr>
          <w:lang w:val="es-ES_tradnl"/>
        </w:rPr>
      </w:pPr>
      <w:r w:rsidRPr="00154216">
        <w:rPr>
          <w:lang w:val="es-ES_tradnl"/>
        </w:rPr>
        <w:tab/>
      </w:r>
      <w:r w:rsidRPr="00154216">
        <w:rPr>
          <w:lang w:val="es-ES_tradnl"/>
        </w:rPr>
        <w:tab/>
        <w:t xml:space="preserve">Respuesta al párrafo 6 b)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06B1B983" w14:textId="77777777" w:rsidR="00154216" w:rsidRPr="00154216" w:rsidRDefault="00154216" w:rsidP="00154216">
      <w:pPr>
        <w:pStyle w:val="SingleTxtG"/>
        <w:rPr>
          <w:lang w:val="es-ES_tradnl"/>
        </w:rPr>
      </w:pPr>
      <w:r w:rsidRPr="00154216">
        <w:rPr>
          <w:lang w:val="es-ES_tradnl"/>
        </w:rPr>
        <w:t>49.</w:t>
      </w:r>
      <w:r w:rsidRPr="00154216">
        <w:rPr>
          <w:lang w:val="es-ES_tradnl"/>
        </w:rPr>
        <w:tab/>
        <w:t>En el año finalizado el 15 de junio de 2018, de las 370 denuncias de discriminación por discapacidad, 187 (el 50,5</w:t>
      </w:r>
      <w:r w:rsidR="00D37C06">
        <w:rPr>
          <w:lang w:val="es-ES_tradnl"/>
        </w:rPr>
        <w:t> %</w:t>
      </w:r>
      <w:r w:rsidRPr="00154216">
        <w:rPr>
          <w:lang w:val="es-ES_tradnl"/>
        </w:rPr>
        <w:t>) provenían de mujeres. Eran cuatro los temas principales: la salud de las mujeres; las madres y los niños; decisiones de los tribunales de justicia, y asuntos relacionados con el empleo. Los siguientes eran temas específicos de las denuncias de mujeres:</w:t>
      </w:r>
    </w:p>
    <w:p w14:paraId="6B2698C0" w14:textId="77777777" w:rsidR="00154216" w:rsidRPr="00154216" w:rsidRDefault="00154216" w:rsidP="00154216">
      <w:pPr>
        <w:pStyle w:val="Bullet1G"/>
        <w:rPr>
          <w:lang w:val="es-ES_tradnl"/>
        </w:rPr>
      </w:pPr>
      <w:r w:rsidRPr="00154216">
        <w:rPr>
          <w:lang w:val="es-ES_tradnl"/>
        </w:rPr>
        <w:t>El tratamiento de fecundación in vitro</w:t>
      </w:r>
      <w:r w:rsidR="00D37C06">
        <w:rPr>
          <w:lang w:val="es-ES_tradnl"/>
        </w:rPr>
        <w:t>.</w:t>
      </w:r>
    </w:p>
    <w:p w14:paraId="42BEE680" w14:textId="77777777" w:rsidR="00154216" w:rsidRPr="00154216" w:rsidRDefault="00154216" w:rsidP="00154216">
      <w:pPr>
        <w:pStyle w:val="Bullet1G"/>
        <w:rPr>
          <w:lang w:val="es-ES_tradnl"/>
        </w:rPr>
      </w:pPr>
      <w:r w:rsidRPr="00154216">
        <w:rPr>
          <w:lang w:val="es-ES_tradnl"/>
        </w:rPr>
        <w:t>La depresión posparto</w:t>
      </w:r>
      <w:r w:rsidR="00D37C06">
        <w:rPr>
          <w:lang w:val="es-ES_tradnl"/>
        </w:rPr>
        <w:t>.</w:t>
      </w:r>
    </w:p>
    <w:p w14:paraId="309D93F1" w14:textId="77777777" w:rsidR="00154216" w:rsidRPr="00154216" w:rsidRDefault="00154216" w:rsidP="00154216">
      <w:pPr>
        <w:pStyle w:val="Bullet1G"/>
        <w:rPr>
          <w:lang w:val="es-ES_tradnl"/>
        </w:rPr>
      </w:pPr>
      <w:r w:rsidRPr="00154216">
        <w:rPr>
          <w:lang w:val="es-ES_tradnl"/>
        </w:rPr>
        <w:t>El efecto de la salud mental en las percepciones de la capacidad para cuidar de niños</w:t>
      </w:r>
      <w:r w:rsidR="00D37C06">
        <w:rPr>
          <w:lang w:val="es-ES_tradnl"/>
        </w:rPr>
        <w:t>.</w:t>
      </w:r>
    </w:p>
    <w:p w14:paraId="28415D6B" w14:textId="77777777" w:rsidR="00154216" w:rsidRPr="00154216" w:rsidRDefault="00154216" w:rsidP="00154216">
      <w:pPr>
        <w:pStyle w:val="Bullet1G"/>
        <w:rPr>
          <w:lang w:val="es-ES_tradnl"/>
        </w:rPr>
      </w:pPr>
      <w:r w:rsidRPr="00154216">
        <w:rPr>
          <w:lang w:val="es-ES_tradnl"/>
        </w:rPr>
        <w:t>Los problemas laborales debidos a trastornos de salud de las mujeres como la endometriosis.</w:t>
      </w:r>
    </w:p>
    <w:p w14:paraId="6EA995AE" w14:textId="77777777" w:rsidR="00154216" w:rsidRPr="00154216" w:rsidRDefault="00154216" w:rsidP="00154216">
      <w:pPr>
        <w:pStyle w:val="SingleTxtG"/>
        <w:rPr>
          <w:lang w:val="es-ES_tradnl"/>
        </w:rPr>
      </w:pPr>
      <w:r w:rsidRPr="00154216">
        <w:rPr>
          <w:lang w:val="es-ES_tradnl"/>
        </w:rPr>
        <w:t>50.</w:t>
      </w:r>
      <w:r w:rsidRPr="00154216">
        <w:rPr>
          <w:lang w:val="es-ES_tradnl"/>
        </w:rPr>
        <w:tab/>
        <w:t>Según la Encuesta sobre la Discapacidad de 2013, las mujeres con discapacidad registran en promedio peores resultados que las mujeres sin discapacidad en los planos social y económico</w:t>
      </w:r>
      <w:r w:rsidRPr="00154216">
        <w:rPr>
          <w:rStyle w:val="Refdenotaalfinal"/>
          <w:lang w:val="es-ES_tradnl"/>
        </w:rPr>
        <w:endnoteReference w:id="49"/>
      </w:r>
      <w:r>
        <w:rPr>
          <w:lang w:val="es-ES_tradnl"/>
        </w:rPr>
        <w:t>.</w:t>
      </w:r>
      <w:r w:rsidRPr="00154216">
        <w:rPr>
          <w:rStyle w:val="Refdenotaalfinal"/>
          <w:lang w:val="es-ES_tradnl"/>
        </w:rPr>
        <w:t xml:space="preserve"> </w:t>
      </w:r>
      <w:r w:rsidRPr="00154216">
        <w:rPr>
          <w:lang w:val="es-ES_tradnl"/>
        </w:rPr>
        <w:t>La próxima encuesta está programada para 2023. A partir del Censo de 2018 se dispone de datos de la discapacidad desglosados por género.</w:t>
      </w:r>
    </w:p>
    <w:p w14:paraId="7AE01CCF" w14:textId="77777777" w:rsidR="00154216" w:rsidRPr="00154216" w:rsidRDefault="00154216" w:rsidP="00154216">
      <w:pPr>
        <w:pStyle w:val="H23G"/>
        <w:rPr>
          <w:lang w:val="es-ES_tradnl"/>
        </w:rPr>
      </w:pPr>
      <w:r w:rsidRPr="00154216">
        <w:rPr>
          <w:lang w:val="es-ES_tradnl"/>
        </w:rPr>
        <w:tab/>
      </w:r>
      <w:r w:rsidRPr="00154216">
        <w:rPr>
          <w:lang w:val="es-ES_tradnl"/>
        </w:rPr>
        <w:tab/>
        <w:t xml:space="preserve">Respuesta al párrafo 6 c)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02BE20EC" w14:textId="77777777" w:rsidR="00154216" w:rsidRPr="00154216" w:rsidRDefault="00154216" w:rsidP="00154216">
      <w:pPr>
        <w:pStyle w:val="SingleTxtG"/>
        <w:rPr>
          <w:iCs/>
          <w:lang w:val="es-ES_tradnl"/>
        </w:rPr>
      </w:pPr>
      <w:r w:rsidRPr="00154216">
        <w:rPr>
          <w:lang w:val="es-ES_tradnl"/>
        </w:rPr>
        <w:t>51.</w:t>
      </w:r>
      <w:r w:rsidRPr="00154216">
        <w:rPr>
          <w:lang w:val="es-ES_tradnl"/>
        </w:rPr>
        <w:tab/>
        <w:t>Desde 2014, el Gobierno tiene en marcha un programa de trabajo interinstitucional sobre la violencia familiar y sexual.</w:t>
      </w:r>
    </w:p>
    <w:p w14:paraId="5301AA9E" w14:textId="77777777" w:rsidR="00154216" w:rsidRPr="00154216" w:rsidRDefault="00154216" w:rsidP="00154216">
      <w:pPr>
        <w:pStyle w:val="SingleTxtG"/>
        <w:rPr>
          <w:lang w:val="es-ES_tradnl"/>
        </w:rPr>
      </w:pPr>
      <w:r w:rsidRPr="00154216">
        <w:rPr>
          <w:lang w:val="es-ES_tradnl"/>
        </w:rPr>
        <w:lastRenderedPageBreak/>
        <w:t>52.</w:t>
      </w:r>
      <w:r w:rsidRPr="00154216">
        <w:rPr>
          <w:lang w:val="es-ES_tradnl"/>
        </w:rPr>
        <w:tab/>
        <w:t>La Junta Asesora en Prevención de la Violencia Sexual</w:t>
      </w:r>
      <w:r w:rsidRPr="00154216">
        <w:rPr>
          <w:rStyle w:val="Refdenotaalfinal"/>
          <w:lang w:val="es-ES_tradnl"/>
        </w:rPr>
        <w:endnoteReference w:id="50"/>
      </w:r>
      <w:r w:rsidRPr="00154216">
        <w:rPr>
          <w:rStyle w:val="Refdenotaalfinal"/>
          <w:lang w:val="es-ES_tradnl"/>
        </w:rPr>
        <w:t xml:space="preserve"> </w:t>
      </w:r>
      <w:r w:rsidRPr="00154216">
        <w:rPr>
          <w:lang w:val="es-ES_tradnl"/>
        </w:rPr>
        <w:t>ha auspiciado un estudio para conocer qué programas de prevención de la violencia sexual están disponibles para las personas con discapacidad, la eficacia de esos programas y su desempeño cotejado con las mejores prácticas. Las conclusiones del estudio informarán y reforzarán el diseño y la elaboración de los futuros programas e iniciativas.</w:t>
      </w:r>
    </w:p>
    <w:p w14:paraId="01FB41AD" w14:textId="77777777" w:rsidR="00154216" w:rsidRPr="00154216" w:rsidRDefault="00154216" w:rsidP="00154216">
      <w:pPr>
        <w:pStyle w:val="SingleTxtG"/>
        <w:rPr>
          <w:lang w:val="es-ES_tradnl"/>
        </w:rPr>
      </w:pPr>
      <w:r w:rsidRPr="00154216">
        <w:rPr>
          <w:lang w:val="es-ES_tradnl"/>
        </w:rPr>
        <w:t>53.</w:t>
      </w:r>
      <w:r w:rsidRPr="00154216">
        <w:rPr>
          <w:lang w:val="es-ES_tradnl"/>
        </w:rPr>
        <w:tab/>
        <w:t>Los programas y servicios públicos destinados a las víctimas y a los agresores en los casos de violencia doméstica están a disposición de toda persona que necesite esa asistencia. Las siguientes son formas de apoyo específico a las mujeres con discapacidad:</w:t>
      </w:r>
    </w:p>
    <w:p w14:paraId="1F133EE6" w14:textId="77777777" w:rsidR="00154216" w:rsidRPr="00154216" w:rsidRDefault="00154216" w:rsidP="00154216">
      <w:pPr>
        <w:pStyle w:val="Bullet1G"/>
        <w:rPr>
          <w:rStyle w:val="Refdenotaalfinal"/>
          <w:lang w:val="es-ES_tradnl"/>
        </w:rPr>
      </w:pPr>
      <w:r w:rsidRPr="00154216">
        <w:rPr>
          <w:lang w:val="es-ES_tradnl"/>
        </w:rPr>
        <w:t xml:space="preserve">El folleto </w:t>
      </w:r>
      <w:proofErr w:type="spellStart"/>
      <w:r w:rsidRPr="00154216">
        <w:rPr>
          <w:i/>
          <w:iCs/>
          <w:lang w:val="es-ES_tradnl"/>
        </w:rPr>
        <w:t>Domestic</w:t>
      </w:r>
      <w:proofErr w:type="spellEnd"/>
      <w:r w:rsidRPr="00154216">
        <w:rPr>
          <w:i/>
          <w:iCs/>
          <w:lang w:val="es-ES_tradnl"/>
        </w:rPr>
        <w:t xml:space="preserve"> </w:t>
      </w:r>
      <w:proofErr w:type="spellStart"/>
      <w:r w:rsidRPr="00154216">
        <w:rPr>
          <w:i/>
          <w:iCs/>
          <w:lang w:val="es-ES_tradnl"/>
        </w:rPr>
        <w:t>Violence</w:t>
      </w:r>
      <w:proofErr w:type="spellEnd"/>
      <w:r w:rsidRPr="00154216">
        <w:rPr>
          <w:i/>
          <w:iCs/>
          <w:lang w:val="es-ES_tradnl"/>
        </w:rPr>
        <w:t xml:space="preserve"> and </w:t>
      </w:r>
      <w:proofErr w:type="spellStart"/>
      <w:r w:rsidRPr="00154216">
        <w:rPr>
          <w:i/>
          <w:iCs/>
          <w:lang w:val="es-ES_tradnl"/>
        </w:rPr>
        <w:t>Disabled</w:t>
      </w:r>
      <w:proofErr w:type="spellEnd"/>
      <w:r w:rsidRPr="00154216">
        <w:rPr>
          <w:i/>
          <w:iCs/>
          <w:lang w:val="es-ES_tradnl"/>
        </w:rPr>
        <w:t xml:space="preserve"> People </w:t>
      </w:r>
      <w:r w:rsidRPr="00154216">
        <w:rPr>
          <w:lang w:val="es-ES_tradnl"/>
        </w:rPr>
        <w:t>(La violencia doméstica y las personas con discapacidad)</w:t>
      </w:r>
      <w:r w:rsidRPr="00154216">
        <w:rPr>
          <w:rStyle w:val="Refdenotaalfinal"/>
          <w:lang w:val="es-ES_tradnl"/>
        </w:rPr>
        <w:endnoteReference w:id="51"/>
      </w:r>
      <w:r>
        <w:rPr>
          <w:lang w:val="es-ES_tradnl"/>
        </w:rPr>
        <w:t>.</w:t>
      </w:r>
    </w:p>
    <w:p w14:paraId="4060C81C" w14:textId="77777777" w:rsidR="00154216" w:rsidRPr="00154216" w:rsidRDefault="00154216" w:rsidP="00154216">
      <w:pPr>
        <w:pStyle w:val="Bullet1G"/>
        <w:rPr>
          <w:lang w:val="es-ES_tradnl"/>
        </w:rPr>
      </w:pPr>
      <w:r w:rsidRPr="00154216">
        <w:rPr>
          <w:lang w:val="es-ES_tradnl"/>
        </w:rPr>
        <w:t>Opciones accesibles para las personas sordas, con deficiencia auditiva, sordociegas y con deficiencias del habla que necesiten utilizar las líneas telefónicas nacionales de socorro en caso de violencia familiar.</w:t>
      </w:r>
    </w:p>
    <w:p w14:paraId="5BE9C0BF" w14:textId="77777777" w:rsidR="00154216" w:rsidRPr="00154216" w:rsidRDefault="00154216" w:rsidP="00154216">
      <w:pPr>
        <w:pStyle w:val="SingleTxtG"/>
        <w:rPr>
          <w:lang w:val="es-ES_tradnl"/>
        </w:rPr>
      </w:pPr>
      <w:r w:rsidRPr="00154216">
        <w:rPr>
          <w:lang w:val="es-ES_tradnl"/>
        </w:rPr>
        <w:t>54.</w:t>
      </w:r>
      <w:r w:rsidRPr="00154216">
        <w:rPr>
          <w:lang w:val="es-ES_tradnl"/>
        </w:rPr>
        <w:tab/>
        <w:t xml:space="preserve">No existen iniciativas de salud específicas para hacer frente a la violencia de género contra las mujeres con discapacidad, ni siquiera en las instituciones. En el marco de </w:t>
      </w:r>
      <w:r w:rsidR="00D37C06">
        <w:rPr>
          <w:lang w:val="es-ES_tradnl"/>
        </w:rPr>
        <w:t xml:space="preserve">la </w:t>
      </w:r>
      <w:r w:rsidRPr="00154216">
        <w:rPr>
          <w:lang w:val="es-ES_tradnl"/>
        </w:rPr>
        <w:t xml:space="preserve">Iniciativa Conjunta contra la Violencia Familiar y Sexual, pronto se elaborará una estrategia nacional que ha de considerar la situación de las personas con discapacidad, incluidas las que reciben cuidados en el hogar. </w:t>
      </w:r>
    </w:p>
    <w:p w14:paraId="319452C7" w14:textId="77777777" w:rsidR="00154216" w:rsidRPr="00154216" w:rsidRDefault="00154216" w:rsidP="00154216">
      <w:pPr>
        <w:pStyle w:val="SingleTxtG"/>
        <w:rPr>
          <w:lang w:val="es-ES_tradnl"/>
        </w:rPr>
      </w:pPr>
      <w:bookmarkStart w:id="3" w:name="_Hlk512452830"/>
      <w:r w:rsidRPr="00154216">
        <w:rPr>
          <w:lang w:val="es-ES_tradnl"/>
        </w:rPr>
        <w:t>55.</w:t>
      </w:r>
      <w:r w:rsidRPr="00154216">
        <w:rPr>
          <w:lang w:val="es-ES_tradnl"/>
        </w:rPr>
        <w:tab/>
        <w:t>Todos los neozelandeses tienen acceso a los servicios universales de salud sexual y reproductiva. Se dispone de servicios especializados para las personas que requieren apoyo adicional debido a su discapacidad. El Gobierno está elaborando un Plan de Acción en materia de Salud Sexual y Reproductiva para 2018</w:t>
      </w:r>
      <w:r w:rsidR="00D37C06">
        <w:rPr>
          <w:lang w:val="es-ES_tradnl"/>
        </w:rPr>
        <w:t>-</w:t>
      </w:r>
      <w:r w:rsidRPr="00154216">
        <w:rPr>
          <w:lang w:val="es-ES_tradnl"/>
        </w:rPr>
        <w:t>2027. Las personas con discapacidad, incluidas las mujeres con discapacidad, son reconocidas como población vulnerable en este plan, que prevé medidas concretas para fomentar la educación sexual de esta población. De ello se ocuparán proveedores de servicios y personas con discapacidad.</w:t>
      </w:r>
    </w:p>
    <w:p w14:paraId="22386BA5" w14:textId="77777777" w:rsidR="00154216" w:rsidRPr="00154216" w:rsidRDefault="00154216" w:rsidP="00154216">
      <w:pPr>
        <w:pStyle w:val="H23G"/>
        <w:rPr>
          <w:lang w:val="es-ES_tradnl"/>
        </w:rPr>
      </w:pPr>
      <w:r w:rsidRPr="00154216">
        <w:rPr>
          <w:lang w:val="es-ES_tradnl"/>
        </w:rPr>
        <w:tab/>
      </w:r>
      <w:r w:rsidRPr="00154216">
        <w:rPr>
          <w:lang w:val="es-ES_tradnl"/>
        </w:rPr>
        <w:tab/>
        <w:t xml:space="preserve">Respuesta al párrafo 6 d)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bookmarkEnd w:id="3"/>
    <w:p w14:paraId="69865A20" w14:textId="77777777" w:rsidR="00154216" w:rsidRPr="00154216" w:rsidRDefault="00154216" w:rsidP="00154216">
      <w:pPr>
        <w:pStyle w:val="SingleTxtG"/>
        <w:rPr>
          <w:lang w:val="es-ES_tradnl"/>
        </w:rPr>
      </w:pPr>
      <w:r w:rsidRPr="00154216">
        <w:rPr>
          <w:lang w:val="es-ES_tradnl"/>
        </w:rPr>
        <w:t>56.</w:t>
      </w:r>
      <w:r w:rsidRPr="00154216">
        <w:rPr>
          <w:lang w:val="es-ES_tradnl"/>
        </w:rPr>
        <w:tab/>
        <w:t xml:space="preserve">La Estrategia sobre la Discapacidad establece que las personas con discapacidad deben implicarse en los procesos de decisión que les afecten. </w:t>
      </w:r>
    </w:p>
    <w:p w14:paraId="623C7EE0" w14:textId="77777777" w:rsidR="00154216" w:rsidRPr="00154216" w:rsidRDefault="00154216" w:rsidP="00154216">
      <w:pPr>
        <w:pStyle w:val="SingleTxtG"/>
        <w:rPr>
          <w:lang w:val="es-ES_tradnl"/>
        </w:rPr>
      </w:pPr>
      <w:r w:rsidRPr="00154216">
        <w:rPr>
          <w:lang w:val="es-ES_tradnl"/>
        </w:rPr>
        <w:t>57.</w:t>
      </w:r>
      <w:r w:rsidRPr="00154216">
        <w:rPr>
          <w:lang w:val="es-ES_tradnl"/>
        </w:rPr>
        <w:tab/>
        <w:t>En 2018, el Gobierno se comprometió a asegurar la igualdad de representación de hombres y mujeres en todas las juntas directivas del sector estatal para 2021</w:t>
      </w:r>
      <w:r w:rsidRPr="00154216">
        <w:rPr>
          <w:rStyle w:val="Refdenotaalfinal"/>
          <w:lang w:val="es-ES_tradnl"/>
        </w:rPr>
        <w:endnoteReference w:id="52"/>
      </w:r>
      <w:r w:rsidR="00114E26">
        <w:rPr>
          <w:lang w:val="es-ES_tradnl"/>
        </w:rPr>
        <w:t>.</w:t>
      </w:r>
      <w:r w:rsidRPr="00154216">
        <w:rPr>
          <w:rStyle w:val="Refdenotaalfinal"/>
          <w:lang w:val="es-ES_tradnl"/>
        </w:rPr>
        <w:t xml:space="preserve"> </w:t>
      </w:r>
      <w:r w:rsidRPr="00154216">
        <w:rPr>
          <w:lang w:val="es-ES_tradnl"/>
        </w:rPr>
        <w:t>No hay ninguna política concreta que garantice la representación de las mujeres con discapacidad en estas juntas.</w:t>
      </w:r>
    </w:p>
    <w:p w14:paraId="45DC3DE0" w14:textId="77777777" w:rsidR="00154216" w:rsidRPr="00154216" w:rsidRDefault="00154216" w:rsidP="00154216">
      <w:pPr>
        <w:pStyle w:val="SingleTxtG"/>
        <w:rPr>
          <w:lang w:val="es-ES_tradnl"/>
        </w:rPr>
      </w:pPr>
      <w:r w:rsidRPr="00154216">
        <w:rPr>
          <w:lang w:val="es-ES_tradnl"/>
        </w:rPr>
        <w:t>58.</w:t>
      </w:r>
      <w:r w:rsidRPr="00154216">
        <w:rPr>
          <w:lang w:val="es-ES_tradnl"/>
        </w:rPr>
        <w:tab/>
        <w:t xml:space="preserve">En Nueva Zelandia no hay organizaciones que representen específicamente a las mujeres y niñas con discapacidad. </w:t>
      </w:r>
    </w:p>
    <w:p w14:paraId="2D3EA6CC" w14:textId="77777777" w:rsidR="00154216" w:rsidRPr="00154216" w:rsidRDefault="00154216" w:rsidP="00154216">
      <w:pPr>
        <w:pStyle w:val="SingleTxtG"/>
        <w:rPr>
          <w:lang w:val="es-ES_tradnl"/>
        </w:rPr>
      </w:pPr>
      <w:r w:rsidRPr="00154216">
        <w:rPr>
          <w:lang w:val="es-ES_tradnl"/>
        </w:rPr>
        <w:t>59.</w:t>
      </w:r>
      <w:r w:rsidRPr="00154216">
        <w:rPr>
          <w:lang w:val="es-ES_tradnl"/>
        </w:rPr>
        <w:tab/>
        <w:t xml:space="preserve">Las mujeres con discapacidad se han involucrado en los procesos de decisión sobre los asuntos de discapacidad. Por ejemplo: </w:t>
      </w:r>
    </w:p>
    <w:p w14:paraId="5791B394" w14:textId="77777777" w:rsidR="00154216" w:rsidRPr="00154216" w:rsidRDefault="00154216" w:rsidP="00154216">
      <w:pPr>
        <w:pStyle w:val="Bullet1G"/>
        <w:rPr>
          <w:lang w:val="es-ES_tradnl"/>
        </w:rPr>
      </w:pPr>
      <w:r w:rsidRPr="00154216">
        <w:rPr>
          <w:lang w:val="es-ES_tradnl"/>
        </w:rPr>
        <w:t>Se ha designado a dos mujeres con discapacidad (el 17</w:t>
      </w:r>
      <w:r w:rsidR="00D37C06">
        <w:rPr>
          <w:lang w:val="es-ES_tradnl"/>
        </w:rPr>
        <w:t> %</w:t>
      </w:r>
      <w:r w:rsidRPr="00154216">
        <w:rPr>
          <w:lang w:val="es-ES_tradnl"/>
        </w:rPr>
        <w:t>) para integrar el Grupo de Consulta para la Revisión de la Estrategia sobre la Discapacidad</w:t>
      </w:r>
      <w:r w:rsidRPr="00154216">
        <w:rPr>
          <w:rStyle w:val="Refdenotaalfinal"/>
          <w:lang w:val="es-ES_tradnl"/>
        </w:rPr>
        <w:endnoteReference w:id="53"/>
      </w:r>
      <w:r>
        <w:rPr>
          <w:lang w:val="es-ES_tradnl"/>
        </w:rPr>
        <w:t>.</w:t>
      </w:r>
      <w:r w:rsidRPr="00154216">
        <w:rPr>
          <w:rStyle w:val="Refdenotaalfinal"/>
          <w:lang w:val="es-ES_tradnl"/>
        </w:rPr>
        <w:t xml:space="preserve"> </w:t>
      </w:r>
    </w:p>
    <w:p w14:paraId="0BA31BF2" w14:textId="77777777" w:rsidR="00154216" w:rsidRPr="00154216" w:rsidRDefault="00154216" w:rsidP="00154216">
      <w:pPr>
        <w:pStyle w:val="Bullet1G"/>
        <w:rPr>
          <w:rStyle w:val="Refdenotaalfinal"/>
          <w:lang w:val="es-ES_tradnl"/>
        </w:rPr>
      </w:pPr>
      <w:r w:rsidRPr="00154216">
        <w:rPr>
          <w:lang w:val="es-ES_tradnl"/>
        </w:rPr>
        <w:t>Se ha designado a dos mujeres sordas (el 20</w:t>
      </w:r>
      <w:r w:rsidR="00D37C06">
        <w:rPr>
          <w:lang w:val="es-ES_tradnl"/>
        </w:rPr>
        <w:t> %</w:t>
      </w:r>
      <w:r w:rsidRPr="00154216">
        <w:rPr>
          <w:lang w:val="es-ES_tradnl"/>
        </w:rPr>
        <w:t xml:space="preserve">) para integrar el Consejo </w:t>
      </w:r>
      <w:proofErr w:type="spellStart"/>
      <w:r w:rsidRPr="00154216">
        <w:rPr>
          <w:lang w:val="es-ES_tradnl"/>
        </w:rPr>
        <w:t>NZSL</w:t>
      </w:r>
      <w:proofErr w:type="spellEnd"/>
      <w:r w:rsidRPr="00154216">
        <w:rPr>
          <w:rStyle w:val="Refdenotaalfinal"/>
          <w:lang w:val="es-ES_tradnl"/>
        </w:rPr>
        <w:endnoteReference w:id="54"/>
      </w:r>
      <w:r>
        <w:rPr>
          <w:lang w:val="es-ES_tradnl"/>
        </w:rPr>
        <w:t>.</w:t>
      </w:r>
    </w:p>
    <w:p w14:paraId="0B73CAF7" w14:textId="77777777" w:rsidR="00154216" w:rsidRPr="00154216" w:rsidRDefault="00154216" w:rsidP="00154216">
      <w:pPr>
        <w:pStyle w:val="Bullet1G"/>
        <w:rPr>
          <w:lang w:val="es-ES_tradnl"/>
        </w:rPr>
      </w:pPr>
      <w:r w:rsidRPr="00154216">
        <w:rPr>
          <w:lang w:val="es-ES_tradnl"/>
        </w:rPr>
        <w:t xml:space="preserve">La mitad de los integrantes del </w:t>
      </w:r>
      <w:proofErr w:type="spellStart"/>
      <w:r w:rsidRPr="00154216">
        <w:rPr>
          <w:lang w:val="es-ES_tradnl"/>
        </w:rPr>
        <w:t>Whāia</w:t>
      </w:r>
      <w:proofErr w:type="spellEnd"/>
      <w:r w:rsidRPr="00154216">
        <w:rPr>
          <w:lang w:val="es-ES_tradnl"/>
        </w:rPr>
        <w:t xml:space="preserve"> Te </w:t>
      </w:r>
      <w:proofErr w:type="spellStart"/>
      <w:r w:rsidRPr="00154216">
        <w:rPr>
          <w:lang w:val="es-ES_tradnl"/>
        </w:rPr>
        <w:t>Ao</w:t>
      </w:r>
      <w:proofErr w:type="spellEnd"/>
      <w:r w:rsidRPr="00154216">
        <w:rPr>
          <w:lang w:val="es-ES_tradnl"/>
        </w:rPr>
        <w:t xml:space="preserve"> </w:t>
      </w:r>
      <w:proofErr w:type="spellStart"/>
      <w:r w:rsidRPr="00154216">
        <w:rPr>
          <w:lang w:val="es-ES_tradnl"/>
        </w:rPr>
        <w:t>Mārama</w:t>
      </w:r>
      <w:proofErr w:type="spellEnd"/>
      <w:r w:rsidRPr="00154216">
        <w:rPr>
          <w:rStyle w:val="Refdenotaalfinal"/>
          <w:lang w:val="es-ES_tradnl"/>
        </w:rPr>
        <w:endnoteReference w:id="55"/>
      </w:r>
      <w:r>
        <w:rPr>
          <w:lang w:val="es-ES_tradnl"/>
        </w:rPr>
        <w:t>,</w:t>
      </w:r>
      <w:r w:rsidRPr="00154216">
        <w:rPr>
          <w:lang w:val="es-ES_tradnl"/>
        </w:rPr>
        <w:t xml:space="preserve"> Grupo Asesor Maorí sobre la Discapacidad, del Ministerio de Salud, son mujeres maoríes</w:t>
      </w:r>
      <w:r>
        <w:rPr>
          <w:lang w:val="es-ES_tradnl"/>
        </w:rPr>
        <w:t>.</w:t>
      </w:r>
    </w:p>
    <w:p w14:paraId="743E141C" w14:textId="77777777" w:rsidR="00154216" w:rsidRPr="00154216" w:rsidRDefault="00154216" w:rsidP="00154216">
      <w:pPr>
        <w:pStyle w:val="Bullet1G"/>
        <w:rPr>
          <w:rStyle w:val="Refdenotaalfinal"/>
          <w:lang w:val="es-ES_tradnl"/>
        </w:rPr>
      </w:pPr>
      <w:r w:rsidRPr="00154216">
        <w:rPr>
          <w:lang w:val="es-ES_tradnl"/>
        </w:rPr>
        <w:t>Han participado mujeres con discapacidad, incluidas quienes que se identifican como maoríes o del Pacífico, en grupos de elaboración, dirección, gobernanza y adopción de decisiones en el proceso de diseño colaborativo del prototipo de transformación del sistema de apoyo a la discapacidad</w:t>
      </w:r>
      <w:r w:rsidRPr="00154216">
        <w:rPr>
          <w:rStyle w:val="Refdenotaalfinal"/>
          <w:lang w:val="es-ES_tradnl"/>
        </w:rPr>
        <w:endnoteReference w:id="56"/>
      </w:r>
      <w:r>
        <w:rPr>
          <w:lang w:val="es-ES_tradnl"/>
        </w:rPr>
        <w:t>.</w:t>
      </w:r>
      <w:r w:rsidRPr="00154216">
        <w:rPr>
          <w:rStyle w:val="Refdenotaalfinal"/>
          <w:lang w:val="es-ES_tradnl"/>
        </w:rPr>
        <w:t xml:space="preserve"> </w:t>
      </w:r>
      <w:r w:rsidRPr="00154216">
        <w:rPr>
          <w:lang w:val="es-ES_tradnl"/>
        </w:rPr>
        <w:t>El 10</w:t>
      </w:r>
      <w:r w:rsidR="00D37C06">
        <w:rPr>
          <w:lang w:val="es-ES_tradnl"/>
        </w:rPr>
        <w:t> %</w:t>
      </w:r>
      <w:r w:rsidRPr="00154216">
        <w:rPr>
          <w:lang w:val="es-ES_tradnl"/>
        </w:rPr>
        <w:t xml:space="preserve"> de este grupo de gobernanza son mujeres con discapacidad (el 33</w:t>
      </w:r>
      <w:r w:rsidR="00D37C06">
        <w:rPr>
          <w:lang w:val="es-ES_tradnl"/>
        </w:rPr>
        <w:t> %</w:t>
      </w:r>
      <w:r w:rsidRPr="00154216">
        <w:rPr>
          <w:lang w:val="es-ES_tradnl"/>
        </w:rPr>
        <w:t xml:space="preserve"> de este grupo tiene alguna discapacidad)</w:t>
      </w:r>
      <w:r w:rsidRPr="00154216">
        <w:rPr>
          <w:rStyle w:val="Refdenotaalfinal"/>
          <w:lang w:val="es-ES_tradnl"/>
        </w:rPr>
        <w:endnoteReference w:id="57"/>
      </w:r>
      <w:r>
        <w:rPr>
          <w:lang w:val="es-ES_tradnl"/>
        </w:rPr>
        <w:t>.</w:t>
      </w:r>
    </w:p>
    <w:p w14:paraId="0C9660B9" w14:textId="77777777" w:rsidR="00154216" w:rsidRPr="00154216" w:rsidRDefault="00154216" w:rsidP="00154216">
      <w:pPr>
        <w:pStyle w:val="Bullet1G"/>
        <w:rPr>
          <w:lang w:val="es-ES_tradnl"/>
        </w:rPr>
      </w:pPr>
      <w:r w:rsidRPr="00154216">
        <w:rPr>
          <w:lang w:val="es-ES_tradnl"/>
        </w:rPr>
        <w:t xml:space="preserve">Una mujer preside el Grupo Directivo de </w:t>
      </w:r>
      <w:proofErr w:type="spellStart"/>
      <w:r w:rsidRPr="00154216">
        <w:rPr>
          <w:lang w:val="es-ES_tradnl"/>
        </w:rPr>
        <w:t>Faiva</w:t>
      </w:r>
      <w:proofErr w:type="spellEnd"/>
      <w:r w:rsidRPr="00154216">
        <w:rPr>
          <w:lang w:val="es-ES_tradnl"/>
        </w:rPr>
        <w:t xml:space="preserve"> Ora</w:t>
      </w:r>
      <w:r w:rsidRPr="00154216">
        <w:rPr>
          <w:rStyle w:val="Refdenotaalfinal"/>
          <w:lang w:val="es-ES_tradnl"/>
        </w:rPr>
        <w:endnoteReference w:id="58"/>
      </w:r>
      <w:r>
        <w:rPr>
          <w:lang w:val="es-ES_tradnl"/>
        </w:rPr>
        <w:t>,</w:t>
      </w:r>
      <w:r w:rsidRPr="00154216">
        <w:rPr>
          <w:rStyle w:val="Refdenotaalfinal"/>
          <w:lang w:val="es-ES_tradnl"/>
        </w:rPr>
        <w:t xml:space="preserve"> </w:t>
      </w:r>
      <w:r w:rsidRPr="00154216">
        <w:rPr>
          <w:lang w:val="es-ES_tradnl"/>
        </w:rPr>
        <w:t>que asesora sobre los asuntos de discapacidad del Pacífico</w:t>
      </w:r>
      <w:r>
        <w:rPr>
          <w:lang w:val="es-ES_tradnl"/>
        </w:rPr>
        <w:t>.</w:t>
      </w:r>
    </w:p>
    <w:p w14:paraId="00095813" w14:textId="77777777" w:rsidR="00154216" w:rsidRPr="00154216" w:rsidRDefault="00154216" w:rsidP="00154216">
      <w:pPr>
        <w:pStyle w:val="Bullet1G"/>
        <w:rPr>
          <w:rStyle w:val="Refdenotaalfinal"/>
          <w:lang w:val="es-ES_tradnl"/>
        </w:rPr>
      </w:pPr>
      <w:r w:rsidRPr="00154216">
        <w:rPr>
          <w:lang w:val="es-ES_tradnl"/>
        </w:rPr>
        <w:lastRenderedPageBreak/>
        <w:t>Una mujer maorí con discapacidad forma parte del Grupo Asesor de Expertos en Bienestar Social</w:t>
      </w:r>
      <w:r w:rsidRPr="00154216">
        <w:rPr>
          <w:rStyle w:val="Refdenotaalfinal"/>
          <w:lang w:val="es-ES_tradnl"/>
        </w:rPr>
        <w:endnoteReference w:id="59"/>
      </w:r>
      <w:r w:rsidRPr="00154216">
        <w:rPr>
          <w:rStyle w:val="Refdenotaalfinal"/>
          <w:lang w:val="es-ES_tradnl"/>
        </w:rPr>
        <w:t xml:space="preserve"> </w:t>
      </w:r>
      <w:r w:rsidRPr="00154216">
        <w:rPr>
          <w:lang w:val="es-ES_tradnl"/>
        </w:rPr>
        <w:t>y también de la Junta de la Corporación de la Vivienda de Nueva Zelandia</w:t>
      </w:r>
      <w:r w:rsidRPr="00154216">
        <w:rPr>
          <w:rStyle w:val="Refdenotaalfinal"/>
          <w:lang w:val="es-ES_tradnl"/>
        </w:rPr>
        <w:endnoteReference w:id="60"/>
      </w:r>
      <w:r>
        <w:rPr>
          <w:lang w:val="es-ES_tradnl"/>
        </w:rPr>
        <w:t>.</w:t>
      </w:r>
    </w:p>
    <w:p w14:paraId="01849398" w14:textId="77777777" w:rsidR="00154216" w:rsidRPr="00154216" w:rsidRDefault="00154216" w:rsidP="00154216">
      <w:pPr>
        <w:pStyle w:val="SingleTxtG"/>
        <w:rPr>
          <w:b/>
          <w:lang w:val="es-ES_tradnl"/>
        </w:rPr>
      </w:pPr>
      <w:r w:rsidRPr="00154216">
        <w:rPr>
          <w:lang w:val="es-ES_tradnl"/>
        </w:rPr>
        <w:t>60.</w:t>
      </w:r>
      <w:r w:rsidRPr="00154216">
        <w:rPr>
          <w:lang w:val="es-ES_tradnl"/>
        </w:rPr>
        <w:tab/>
        <w:t>El Gobierno no tiene estrategias específicas de asistencia para el empleo de las mujeres con discapacidad. Las mujeres con discapacidad tienen acceso a una variedad de servicios de empleo y servicios destinados concretamente a las personas con discapacidad para ayudarles a conseguir un empleo y permanecer en él. Se pone especial cuidado en consultar a las mujeres con discapacidad cuando se prevé modificar los servicios destinados a las personas con discapacidad.</w:t>
      </w:r>
    </w:p>
    <w:p w14:paraId="561ED4A8" w14:textId="77777777" w:rsidR="00154216" w:rsidRPr="00154216" w:rsidRDefault="00154216" w:rsidP="00154216">
      <w:pPr>
        <w:pStyle w:val="H23G"/>
        <w:rPr>
          <w:lang w:val="es-ES_tradnl"/>
        </w:rPr>
      </w:pPr>
      <w:r w:rsidRPr="00154216">
        <w:rPr>
          <w:lang w:val="es-ES_tradnl"/>
        </w:rPr>
        <w:tab/>
      </w:r>
      <w:r w:rsidRPr="00154216">
        <w:rPr>
          <w:lang w:val="es-ES_tradnl"/>
        </w:rPr>
        <w:tab/>
        <w:t xml:space="preserve">Respuesta al párrafo 7 a)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77D11F7D" w14:textId="77777777" w:rsidR="00154216" w:rsidRPr="00154216" w:rsidRDefault="00154216" w:rsidP="00154216">
      <w:pPr>
        <w:pStyle w:val="SingleTxtG"/>
        <w:rPr>
          <w:lang w:val="es-ES_tradnl"/>
        </w:rPr>
      </w:pPr>
      <w:r w:rsidRPr="00154216">
        <w:rPr>
          <w:lang w:val="es-ES_tradnl"/>
        </w:rPr>
        <w:t>61.</w:t>
      </w:r>
      <w:r w:rsidRPr="00154216">
        <w:rPr>
          <w:lang w:val="es-ES_tradnl"/>
        </w:rPr>
        <w:tab/>
        <w:t xml:space="preserve">La legislación neozelandesa prevé que se tomen debidamente en consideración las opiniones de los niños en las decisiones que les conciernan en función de su edad y madurez. La misma prueba de edad y madurez se administra por igual a los niños con y sin discapacidad. </w:t>
      </w:r>
    </w:p>
    <w:p w14:paraId="2CB2079B" w14:textId="77777777" w:rsidR="00154216" w:rsidRPr="00154216" w:rsidRDefault="00154216" w:rsidP="00154216">
      <w:pPr>
        <w:pStyle w:val="SingleTxtG"/>
        <w:rPr>
          <w:lang w:val="es-ES_tradnl"/>
        </w:rPr>
      </w:pPr>
      <w:r w:rsidRPr="00154216">
        <w:rPr>
          <w:lang w:val="es-ES_tradnl"/>
        </w:rPr>
        <w:t>62.</w:t>
      </w:r>
      <w:r w:rsidRPr="00154216">
        <w:rPr>
          <w:lang w:val="es-ES_tradnl"/>
        </w:rPr>
        <w:tab/>
        <w:t xml:space="preserve">Por ejemplo, el derecho de los niños vulnerables con discapacidad a que se consideren sus opiniones en las decisiones que les conciernan está previsto en la Ley de </w:t>
      </w:r>
      <w:proofErr w:type="spellStart"/>
      <w:r w:rsidRPr="00154216">
        <w:rPr>
          <w:lang w:val="es-ES_tradnl"/>
        </w:rPr>
        <w:t>Oranga</w:t>
      </w:r>
      <w:proofErr w:type="spellEnd"/>
      <w:r w:rsidRPr="00154216">
        <w:rPr>
          <w:lang w:val="es-ES_tradnl"/>
        </w:rPr>
        <w:t xml:space="preserve"> </w:t>
      </w:r>
      <w:proofErr w:type="spellStart"/>
      <w:r w:rsidRPr="00154216">
        <w:rPr>
          <w:lang w:val="es-ES_tradnl"/>
        </w:rPr>
        <w:t>Tamariki</w:t>
      </w:r>
      <w:proofErr w:type="spellEnd"/>
      <w:r w:rsidRPr="00154216">
        <w:rPr>
          <w:lang w:val="es-ES_tradnl"/>
        </w:rPr>
        <w:t xml:space="preserve"> de 1989</w:t>
      </w:r>
      <w:r w:rsidRPr="00154216">
        <w:rPr>
          <w:rStyle w:val="Refdenotaalfinal"/>
          <w:lang w:val="es-ES_tradnl"/>
        </w:rPr>
        <w:endnoteReference w:id="61"/>
      </w:r>
      <w:r w:rsidR="00114E26">
        <w:rPr>
          <w:lang w:val="es-ES_tradnl"/>
        </w:rPr>
        <w:t>.</w:t>
      </w:r>
      <w:r w:rsidRPr="00154216">
        <w:rPr>
          <w:rStyle w:val="Refdenotaalfinal"/>
          <w:lang w:val="es-ES_tradnl"/>
        </w:rPr>
        <w:t xml:space="preserve"> </w:t>
      </w:r>
      <w:r w:rsidRPr="00154216">
        <w:rPr>
          <w:lang w:val="es-ES_tradnl"/>
        </w:rPr>
        <w:t>Esta dispone que los niños con discapacidad deben recibir el apoyo, por ejemplo, de un asistente o de un proveedor de servicios especializados, de ser necesario, que los ayude a expresar sus opiniones y darse a entender.</w:t>
      </w:r>
    </w:p>
    <w:p w14:paraId="44DA8F43" w14:textId="77777777" w:rsidR="00154216" w:rsidRPr="00154216" w:rsidRDefault="00154216" w:rsidP="00154216">
      <w:pPr>
        <w:pStyle w:val="SingleTxtG"/>
        <w:rPr>
          <w:lang w:val="es-ES_tradnl"/>
        </w:rPr>
      </w:pPr>
      <w:r w:rsidRPr="00154216">
        <w:rPr>
          <w:lang w:val="es-ES_tradnl"/>
        </w:rPr>
        <w:t>63.</w:t>
      </w:r>
      <w:r w:rsidRPr="00154216">
        <w:rPr>
          <w:lang w:val="es-ES_tradnl"/>
        </w:rPr>
        <w:tab/>
        <w:t>En 2018, el Gobierno interactuó con niños y jóvenes con discapacidad a propósito de:</w:t>
      </w:r>
    </w:p>
    <w:p w14:paraId="0FB6E1E6" w14:textId="77777777" w:rsidR="00154216" w:rsidRPr="00154216" w:rsidRDefault="00154216" w:rsidP="00154216">
      <w:pPr>
        <w:pStyle w:val="Bullet1G"/>
        <w:rPr>
          <w:lang w:val="es-ES_tradnl"/>
        </w:rPr>
      </w:pPr>
      <w:r w:rsidRPr="00154216">
        <w:rPr>
          <w:lang w:val="es-ES_tradnl"/>
        </w:rPr>
        <w:t xml:space="preserve">El Diálogo sobre la Educación </w:t>
      </w:r>
      <w:proofErr w:type="spellStart"/>
      <w:r w:rsidRPr="00154216">
        <w:rPr>
          <w:lang w:val="es-ES_tradnl"/>
        </w:rPr>
        <w:t>Kōrero</w:t>
      </w:r>
      <w:proofErr w:type="spellEnd"/>
      <w:r w:rsidRPr="00154216">
        <w:rPr>
          <w:lang w:val="es-ES_tradnl"/>
        </w:rPr>
        <w:t xml:space="preserve"> </w:t>
      </w:r>
      <w:proofErr w:type="spellStart"/>
      <w:r w:rsidRPr="00154216">
        <w:rPr>
          <w:lang w:val="es-ES_tradnl"/>
        </w:rPr>
        <w:t>Mātauranga</w:t>
      </w:r>
      <w:proofErr w:type="spellEnd"/>
      <w:r w:rsidRPr="00154216">
        <w:rPr>
          <w:rStyle w:val="Refdenotaalfinal"/>
          <w:lang w:val="es-ES_tradnl"/>
        </w:rPr>
        <w:endnoteReference w:id="62"/>
      </w:r>
      <w:r>
        <w:rPr>
          <w:lang w:val="es-ES_tradnl"/>
        </w:rPr>
        <w:t>,</w:t>
      </w:r>
      <w:r w:rsidRPr="00154216">
        <w:rPr>
          <w:lang w:val="es-ES_tradnl"/>
        </w:rPr>
        <w:t xml:space="preserve"> para conocer sus puntos de vista sobre la forma de construir el mejor sistema educativo del mundo. El Gobierno veló especialmente por que pudieran participar los niños y jóvenes con discapacidad en el proceso y </w:t>
      </w:r>
      <w:proofErr w:type="spellStart"/>
      <w:r w:rsidRPr="00154216">
        <w:rPr>
          <w:lang w:val="es-ES_tradnl"/>
        </w:rPr>
        <w:t>por que</w:t>
      </w:r>
      <w:proofErr w:type="spellEnd"/>
      <w:r w:rsidRPr="00154216">
        <w:rPr>
          <w:lang w:val="es-ES_tradnl"/>
        </w:rPr>
        <w:t xml:space="preserve"> este fuese accesible para todos</w:t>
      </w:r>
      <w:r>
        <w:rPr>
          <w:lang w:val="es-ES_tradnl"/>
        </w:rPr>
        <w:t>.</w:t>
      </w:r>
    </w:p>
    <w:p w14:paraId="7604DEE3" w14:textId="77777777" w:rsidR="00154216" w:rsidRPr="00154216" w:rsidRDefault="00154216" w:rsidP="00154216">
      <w:pPr>
        <w:pStyle w:val="Bullet1G"/>
        <w:rPr>
          <w:lang w:val="es-ES_tradnl"/>
        </w:rPr>
      </w:pPr>
      <w:r w:rsidRPr="00154216">
        <w:rPr>
          <w:lang w:val="es-ES_tradnl"/>
        </w:rPr>
        <w:t>La Estrategia de Bienestar Infantil y Juvenil (véase la pregunta 26 b)).</w:t>
      </w:r>
    </w:p>
    <w:p w14:paraId="33E79C5B" w14:textId="77777777" w:rsidR="00154216" w:rsidRPr="00154216" w:rsidRDefault="00154216" w:rsidP="00154216">
      <w:pPr>
        <w:pStyle w:val="H23G"/>
        <w:rPr>
          <w:lang w:val="es-ES_tradnl"/>
        </w:rPr>
      </w:pPr>
      <w:r w:rsidRPr="00154216">
        <w:rPr>
          <w:lang w:val="es-ES_tradnl"/>
        </w:rPr>
        <w:tab/>
      </w:r>
      <w:r w:rsidRPr="00154216">
        <w:rPr>
          <w:lang w:val="es-ES_tradnl"/>
        </w:rPr>
        <w:tab/>
        <w:t xml:space="preserve">Respuesta al párrafo 7 b)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57662C7E" w14:textId="77777777" w:rsidR="00154216" w:rsidRPr="00154216" w:rsidRDefault="00154216" w:rsidP="00154216">
      <w:pPr>
        <w:pStyle w:val="SingleTxtG"/>
        <w:rPr>
          <w:lang w:val="es-ES_tradnl"/>
        </w:rPr>
      </w:pPr>
      <w:bookmarkStart w:id="4" w:name="_Hlk512454331"/>
      <w:r w:rsidRPr="00154216">
        <w:rPr>
          <w:lang w:val="es-ES_tradnl"/>
        </w:rPr>
        <w:t>64.</w:t>
      </w:r>
      <w:r w:rsidRPr="00154216">
        <w:rPr>
          <w:lang w:val="es-ES_tradnl"/>
        </w:rPr>
        <w:tab/>
        <w:t>El Instrumento de evaluación del impacto sobre los niños</w:t>
      </w:r>
      <w:r w:rsidRPr="00154216">
        <w:rPr>
          <w:rStyle w:val="Refdenotaalfinal"/>
          <w:lang w:val="es-ES_tradnl"/>
        </w:rPr>
        <w:endnoteReference w:id="63"/>
      </w:r>
      <w:r w:rsidRPr="00154216">
        <w:rPr>
          <w:rStyle w:val="Refdenotaalfinal"/>
          <w:lang w:val="es-ES_tradnl"/>
        </w:rPr>
        <w:t xml:space="preserve"> </w:t>
      </w:r>
      <w:r w:rsidRPr="00154216">
        <w:rPr>
          <w:lang w:val="es-ES_tradnl"/>
        </w:rPr>
        <w:t>puede utilizarse para examinar las repercusiones de las políticas propuestas en los niños y los jóvenes. También sirve para considerar en particular cómo ha de afectar una política o propuesta a los niños y jóvenes con discapacidad. La guía</w:t>
      </w:r>
      <w:r w:rsidRPr="00154216">
        <w:rPr>
          <w:rStyle w:val="Refdenotaalfinal"/>
          <w:lang w:val="es-ES_tradnl"/>
        </w:rPr>
        <w:endnoteReference w:id="64"/>
      </w:r>
      <w:r w:rsidRPr="00154216">
        <w:rPr>
          <w:rStyle w:val="Refdenotaalfinal"/>
          <w:lang w:val="es-ES_tradnl"/>
        </w:rPr>
        <w:t xml:space="preserve"> </w:t>
      </w:r>
      <w:r w:rsidRPr="00154216">
        <w:rPr>
          <w:lang w:val="es-ES_tradnl"/>
        </w:rPr>
        <w:t xml:space="preserve">de uso de este instrumento sugiere a los interesados que se remitan a los tratados de las Naciones Unidas, comprendida la Convención sobre los Derechos las Personas con Discapacidad. </w:t>
      </w:r>
    </w:p>
    <w:p w14:paraId="05C5CB06" w14:textId="77777777" w:rsidR="00154216" w:rsidRPr="00154216" w:rsidRDefault="00154216" w:rsidP="00154216">
      <w:pPr>
        <w:pStyle w:val="SingleTxtG"/>
        <w:rPr>
          <w:rStyle w:val="Refdenotaalfinal"/>
          <w:lang w:val="es-ES_tradnl"/>
        </w:rPr>
      </w:pPr>
      <w:r w:rsidRPr="00154216">
        <w:rPr>
          <w:lang w:val="es-ES_tradnl"/>
        </w:rPr>
        <w:t>65.</w:t>
      </w:r>
      <w:r w:rsidRPr="00154216">
        <w:rPr>
          <w:lang w:val="es-ES_tradnl"/>
        </w:rPr>
        <w:tab/>
        <w:t xml:space="preserve">Las modificaciones introducidas en la Ley de </w:t>
      </w:r>
      <w:proofErr w:type="spellStart"/>
      <w:r w:rsidRPr="00154216">
        <w:rPr>
          <w:lang w:val="es-ES_tradnl"/>
        </w:rPr>
        <w:t>Oranga</w:t>
      </w:r>
      <w:proofErr w:type="spellEnd"/>
      <w:r w:rsidRPr="00154216">
        <w:rPr>
          <w:lang w:val="es-ES_tradnl"/>
        </w:rPr>
        <w:t xml:space="preserve"> </w:t>
      </w:r>
      <w:proofErr w:type="spellStart"/>
      <w:r w:rsidRPr="00154216">
        <w:rPr>
          <w:lang w:val="es-ES_tradnl"/>
        </w:rPr>
        <w:t>Tamariki</w:t>
      </w:r>
      <w:proofErr w:type="spellEnd"/>
      <w:r w:rsidRPr="00154216">
        <w:rPr>
          <w:lang w:val="es-ES_tradnl"/>
        </w:rPr>
        <w:t xml:space="preserve"> de 1989, en vigor a partir del 1 de julio de 2019, hacen referencia explícita a la Convención. La Ley dispone que todo tribunal u otra persona en ejercicio de las facultades conferidas por la Ley debe respetar y defender los derechos de los niños y los jóvenes, en particular los enunciados en la Convención de las Naciones Unidas sobre los Derechos del Niño y la Convención sobre los Derechos de las Personas con Discapacidad</w:t>
      </w:r>
      <w:r w:rsidRPr="00154216">
        <w:rPr>
          <w:rStyle w:val="Refdenotaalfinal"/>
          <w:lang w:val="es-ES_tradnl"/>
        </w:rPr>
        <w:endnoteReference w:id="65"/>
      </w:r>
      <w:r w:rsidR="0085075B">
        <w:rPr>
          <w:lang w:val="es-ES_tradnl"/>
        </w:rPr>
        <w:t>.</w:t>
      </w:r>
    </w:p>
    <w:p w14:paraId="100A5237" w14:textId="77777777" w:rsidR="00154216" w:rsidRPr="00154216" w:rsidRDefault="00154216" w:rsidP="00154216">
      <w:pPr>
        <w:pStyle w:val="SingleTxtG"/>
        <w:rPr>
          <w:lang w:val="es-ES_tradnl"/>
        </w:rPr>
      </w:pPr>
      <w:r w:rsidRPr="00154216">
        <w:rPr>
          <w:lang w:val="es-ES_tradnl"/>
        </w:rPr>
        <w:t>66.</w:t>
      </w:r>
      <w:r w:rsidRPr="00154216">
        <w:rPr>
          <w:lang w:val="es-ES_tradnl"/>
        </w:rPr>
        <w:tab/>
        <w:t xml:space="preserve">El marco de prácticas de </w:t>
      </w:r>
      <w:proofErr w:type="spellStart"/>
      <w:r w:rsidRPr="00154216">
        <w:rPr>
          <w:lang w:val="es-ES_tradnl"/>
        </w:rPr>
        <w:t>Oranga</w:t>
      </w:r>
      <w:proofErr w:type="spellEnd"/>
      <w:r w:rsidRPr="00154216">
        <w:rPr>
          <w:lang w:val="es-ES_tradnl"/>
        </w:rPr>
        <w:t xml:space="preserve"> </w:t>
      </w:r>
      <w:proofErr w:type="spellStart"/>
      <w:r w:rsidRPr="00154216">
        <w:rPr>
          <w:lang w:val="es-ES_tradnl"/>
        </w:rPr>
        <w:t>Tamariki</w:t>
      </w:r>
      <w:proofErr w:type="spellEnd"/>
      <w:r w:rsidRPr="00154216">
        <w:rPr>
          <w:rStyle w:val="Refdenotaalfinal"/>
          <w:lang w:val="es-ES_tradnl"/>
        </w:rPr>
        <w:endnoteReference w:id="66"/>
      </w:r>
      <w:r w:rsidRPr="00154216">
        <w:rPr>
          <w:rStyle w:val="Refdenotaalfinal"/>
          <w:lang w:val="es-ES_tradnl"/>
        </w:rPr>
        <w:t xml:space="preserve"> </w:t>
      </w:r>
      <w:r w:rsidRPr="00154216">
        <w:rPr>
          <w:lang w:val="es-ES_tradnl"/>
        </w:rPr>
        <w:t xml:space="preserve">imparte orientación a los profesionales, incluidos los trabajadores sociales de primera línea, que trabajan con los niños, los jóvenes y sus familias y </w:t>
      </w:r>
      <w:proofErr w:type="spellStart"/>
      <w:r w:rsidRPr="00154216">
        <w:rPr>
          <w:lang w:val="es-ES_tradnl"/>
        </w:rPr>
        <w:t>whānau</w:t>
      </w:r>
      <w:proofErr w:type="spellEnd"/>
      <w:r w:rsidRPr="00154216">
        <w:rPr>
          <w:lang w:val="es-ES_tradnl"/>
        </w:rPr>
        <w:t>. El marco de prácticas contiene orientación sobre:</w:t>
      </w:r>
    </w:p>
    <w:p w14:paraId="7700C1D2" w14:textId="77777777" w:rsidR="00154216" w:rsidRPr="00154216" w:rsidRDefault="00154216" w:rsidP="0085075B">
      <w:pPr>
        <w:pStyle w:val="Bullet1G"/>
        <w:rPr>
          <w:lang w:val="es-ES_tradnl"/>
        </w:rPr>
      </w:pPr>
      <w:r w:rsidRPr="00154216">
        <w:rPr>
          <w:lang w:val="es-ES_tradnl"/>
        </w:rPr>
        <w:t>La promoción y protección de los derechos de los niños con discapacidad</w:t>
      </w:r>
    </w:p>
    <w:p w14:paraId="73189E2E" w14:textId="77777777" w:rsidR="00154216" w:rsidRPr="00154216" w:rsidRDefault="00154216" w:rsidP="0085075B">
      <w:pPr>
        <w:pStyle w:val="Bullet1G"/>
        <w:rPr>
          <w:lang w:val="es-ES_tradnl"/>
        </w:rPr>
      </w:pPr>
      <w:r w:rsidRPr="00154216">
        <w:rPr>
          <w:lang w:val="es-ES_tradnl"/>
        </w:rPr>
        <w:t>La Convención sobre los Derechos del Niño y la Convención sobre los Derechos de las Personas con Discapacidad</w:t>
      </w:r>
    </w:p>
    <w:p w14:paraId="12794586" w14:textId="77777777" w:rsidR="00154216" w:rsidRPr="00154216" w:rsidRDefault="00154216" w:rsidP="0085075B">
      <w:pPr>
        <w:pStyle w:val="Bullet1G"/>
        <w:rPr>
          <w:lang w:val="es-ES_tradnl"/>
        </w:rPr>
      </w:pPr>
      <w:r w:rsidRPr="00154216">
        <w:rPr>
          <w:lang w:val="es-ES_tradnl"/>
        </w:rPr>
        <w:t>La prestación de apoyo a los niños y jóvenes con discapacidad</w:t>
      </w:r>
    </w:p>
    <w:bookmarkEnd w:id="4"/>
    <w:p w14:paraId="516CCE11" w14:textId="77777777" w:rsidR="00154216" w:rsidRPr="00154216" w:rsidRDefault="00154216" w:rsidP="00154216">
      <w:pPr>
        <w:pStyle w:val="SingleTxtG"/>
        <w:rPr>
          <w:lang w:val="es-ES_tradnl"/>
        </w:rPr>
      </w:pPr>
      <w:r w:rsidRPr="00154216">
        <w:rPr>
          <w:lang w:val="es-ES_tradnl"/>
        </w:rPr>
        <w:t>67.</w:t>
      </w:r>
      <w:r w:rsidRPr="00154216">
        <w:rPr>
          <w:lang w:val="es-ES_tradnl"/>
        </w:rPr>
        <w:tab/>
        <w:t xml:space="preserve">Véanse las respuestas a las preguntas 7 a) y 21 a). </w:t>
      </w:r>
    </w:p>
    <w:p w14:paraId="562A3858" w14:textId="77777777" w:rsidR="00154216" w:rsidRPr="00154216" w:rsidRDefault="00154216" w:rsidP="0085075B">
      <w:pPr>
        <w:pStyle w:val="H23G"/>
        <w:rPr>
          <w:lang w:val="es-ES_tradnl"/>
        </w:rPr>
      </w:pPr>
      <w:r w:rsidRPr="00154216">
        <w:rPr>
          <w:lang w:val="es-ES_tradnl"/>
        </w:rPr>
        <w:lastRenderedPageBreak/>
        <w:tab/>
      </w:r>
      <w:r w:rsidRPr="00154216">
        <w:rPr>
          <w:lang w:val="es-ES_tradnl"/>
        </w:rPr>
        <w:tab/>
        <w:t xml:space="preserve">Respuesta al párrafo 7 c)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2CC05D77" w14:textId="77777777" w:rsidR="00154216" w:rsidRPr="00154216" w:rsidRDefault="00154216" w:rsidP="00154216">
      <w:pPr>
        <w:pStyle w:val="SingleTxtG"/>
        <w:rPr>
          <w:lang w:val="es-ES_tradnl"/>
        </w:rPr>
      </w:pPr>
      <w:r w:rsidRPr="00154216">
        <w:rPr>
          <w:lang w:val="es-ES_tradnl"/>
        </w:rPr>
        <w:t>68.</w:t>
      </w:r>
      <w:r w:rsidRPr="00154216">
        <w:rPr>
          <w:lang w:val="es-ES_tradnl"/>
        </w:rPr>
        <w:tab/>
        <w:t xml:space="preserve">Las evaluaciones de entrada permiten al Gobierno identificar y atender a los niños que están sujetos o expuestos a quedar sujetos al régimen de tutela o custodia reglamentaria. Estas evaluaciones ofrecen un cuadro integral de las necesidades sanitarias, educativas, sociales y emocionales de los niños. Seguidamente se establece un plan para atender esas necesidades. Los planes prevén el acceso a toda una gama de medios de apoyo y servicios para los niños y sus familias, </w:t>
      </w:r>
      <w:proofErr w:type="spellStart"/>
      <w:r w:rsidRPr="00154216">
        <w:rPr>
          <w:lang w:val="es-ES_tradnl"/>
        </w:rPr>
        <w:t>whānau</w:t>
      </w:r>
      <w:proofErr w:type="spellEnd"/>
      <w:r w:rsidRPr="00154216">
        <w:rPr>
          <w:lang w:val="es-ES_tradnl"/>
        </w:rPr>
        <w:t xml:space="preserve"> y cuidadores. </w:t>
      </w:r>
    </w:p>
    <w:p w14:paraId="6ACE5B5F" w14:textId="77777777" w:rsidR="00154216" w:rsidRPr="00154216" w:rsidRDefault="00154216" w:rsidP="00154216">
      <w:pPr>
        <w:pStyle w:val="SingleTxtG"/>
        <w:rPr>
          <w:lang w:val="es-ES_tradnl"/>
        </w:rPr>
      </w:pPr>
      <w:r w:rsidRPr="00154216">
        <w:rPr>
          <w:lang w:val="es-ES_tradnl"/>
        </w:rPr>
        <w:t>69.</w:t>
      </w:r>
      <w:r w:rsidRPr="00154216">
        <w:rPr>
          <w:lang w:val="es-ES_tradnl"/>
        </w:rPr>
        <w:tab/>
        <w:t>La Dependencia de Atención de las Necesidades de Gran Magnitud y Complejidad</w:t>
      </w:r>
      <w:r w:rsidRPr="00154216">
        <w:rPr>
          <w:rStyle w:val="Refdenotaalfinal"/>
          <w:lang w:val="es-ES_tradnl"/>
        </w:rPr>
        <w:endnoteReference w:id="67"/>
      </w:r>
      <w:r w:rsidRPr="00154216">
        <w:rPr>
          <w:rStyle w:val="Refdenotaalfinal"/>
          <w:lang w:val="es-ES_tradnl"/>
        </w:rPr>
        <w:t xml:space="preserve"> </w:t>
      </w:r>
      <w:r w:rsidRPr="00154216">
        <w:rPr>
          <w:lang w:val="es-ES_tradnl"/>
        </w:rPr>
        <w:t xml:space="preserve">presta apoyo a las familias y </w:t>
      </w:r>
      <w:proofErr w:type="spellStart"/>
      <w:r w:rsidRPr="00154216">
        <w:rPr>
          <w:lang w:val="es-ES_tradnl"/>
        </w:rPr>
        <w:t>whānau</w:t>
      </w:r>
      <w:proofErr w:type="spellEnd"/>
      <w:r w:rsidRPr="00154216">
        <w:rPr>
          <w:lang w:val="es-ES_tradnl"/>
        </w:rPr>
        <w:t xml:space="preserve"> y a los cuidadores de los niños y los jóvenes con necesidades de ese calibre, que suelen ir asociadas con discapacidades. Este servicio ofrece a los niños y jóvenes acceso a medios de apoyo como logopedia, terapia ocupacional, servicios psicológicos y servicios de apoyo parental intensivo.</w:t>
      </w:r>
    </w:p>
    <w:p w14:paraId="09942DBF" w14:textId="77777777" w:rsidR="00154216" w:rsidRPr="00154216" w:rsidRDefault="00154216" w:rsidP="00154216">
      <w:pPr>
        <w:pStyle w:val="SingleTxtG"/>
        <w:rPr>
          <w:lang w:val="es-ES_tradnl"/>
        </w:rPr>
      </w:pPr>
      <w:r w:rsidRPr="00154216">
        <w:rPr>
          <w:lang w:val="es-ES_tradnl"/>
        </w:rPr>
        <w:t>70.</w:t>
      </w:r>
      <w:r w:rsidRPr="00154216">
        <w:rPr>
          <w:lang w:val="es-ES_tradnl"/>
        </w:rPr>
        <w:tab/>
        <w:t xml:space="preserve">Se está ensayando una nueva modalidad de apoyo al aprendizaje que procura centrarse más en las necesidades de los niños y facilitar el acceso de los padres y </w:t>
      </w:r>
      <w:proofErr w:type="spellStart"/>
      <w:r w:rsidRPr="00154216">
        <w:rPr>
          <w:lang w:val="es-ES_tradnl"/>
        </w:rPr>
        <w:t>whānau</w:t>
      </w:r>
      <w:proofErr w:type="spellEnd"/>
      <w:r w:rsidRPr="00154216">
        <w:rPr>
          <w:lang w:val="es-ES_tradnl"/>
        </w:rPr>
        <w:t xml:space="preserve"> de modo que los niños reciban el apoyo apropiado en el momento oportuno en un sistema de educación inclusiva.</w:t>
      </w:r>
    </w:p>
    <w:p w14:paraId="14ABB0F6" w14:textId="77777777" w:rsidR="00154216" w:rsidRPr="00154216" w:rsidRDefault="00154216" w:rsidP="00154216">
      <w:pPr>
        <w:pStyle w:val="SingleTxtG"/>
        <w:rPr>
          <w:lang w:val="es-ES_tradnl"/>
        </w:rPr>
      </w:pPr>
      <w:r w:rsidRPr="00154216">
        <w:rPr>
          <w:lang w:val="es-ES_tradnl"/>
        </w:rPr>
        <w:t>71.</w:t>
      </w:r>
      <w:r w:rsidRPr="00154216">
        <w:rPr>
          <w:lang w:val="es-ES_tradnl"/>
        </w:rPr>
        <w:tab/>
        <w:t xml:space="preserve">El prototipo de transformación del sistema de apoyo a la discapacidad (Mana </w:t>
      </w:r>
      <w:proofErr w:type="spellStart"/>
      <w:r w:rsidRPr="00154216">
        <w:rPr>
          <w:lang w:val="es-ES_tradnl"/>
        </w:rPr>
        <w:t>Whaikaha</w:t>
      </w:r>
      <w:proofErr w:type="spellEnd"/>
      <w:r w:rsidRPr="00154216">
        <w:rPr>
          <w:rStyle w:val="Refdenotaalfinal"/>
          <w:lang w:val="es-ES_tradnl"/>
        </w:rPr>
        <w:endnoteReference w:id="68"/>
      </w:r>
      <w:r w:rsidR="0085075B">
        <w:rPr>
          <w:lang w:val="es-ES_tradnl"/>
        </w:rPr>
        <w:t>)</w:t>
      </w:r>
      <w:r w:rsidRPr="00154216">
        <w:rPr>
          <w:lang w:val="es-ES_tradnl"/>
        </w:rPr>
        <w:t xml:space="preserve"> permitirá apoyar mejor a los niños con discapacidad y a sus familias. Como parte de Mana </w:t>
      </w:r>
      <w:proofErr w:type="spellStart"/>
      <w:r w:rsidRPr="00154216">
        <w:rPr>
          <w:lang w:val="es-ES_tradnl"/>
        </w:rPr>
        <w:t>Whaikaha</w:t>
      </w:r>
      <w:proofErr w:type="spellEnd"/>
      <w:r w:rsidRPr="00154216">
        <w:rPr>
          <w:lang w:val="es-ES_tradnl"/>
        </w:rPr>
        <w:t xml:space="preserve">, </w:t>
      </w:r>
      <w:proofErr w:type="spellStart"/>
      <w:r w:rsidRPr="00154216">
        <w:rPr>
          <w:lang w:val="es-ES_tradnl"/>
        </w:rPr>
        <w:t>TurboKids</w:t>
      </w:r>
      <w:proofErr w:type="spellEnd"/>
      <w:r w:rsidRPr="00154216">
        <w:rPr>
          <w:lang w:val="es-ES_tradnl"/>
        </w:rPr>
        <w:t xml:space="preserve"> es una modalidad de colaboración interinstitucional para ofrecer opciones de apoyo inmediato planificadas de antemano a los niños, los jóvenes y sus </w:t>
      </w:r>
      <w:proofErr w:type="spellStart"/>
      <w:r w:rsidRPr="00154216">
        <w:rPr>
          <w:lang w:val="es-ES_tradnl"/>
        </w:rPr>
        <w:t>whānau</w:t>
      </w:r>
      <w:proofErr w:type="spellEnd"/>
      <w:r w:rsidRPr="00154216">
        <w:rPr>
          <w:lang w:val="es-ES_tradnl"/>
        </w:rPr>
        <w:t>. El grupo se reúne periódicamente para examinar la situación de los niños con discapacidad que tienen necesidades de gran magnitud y complejidad</w:t>
      </w:r>
      <w:r w:rsidRPr="00154216">
        <w:rPr>
          <w:rStyle w:val="Refdenotaalfinal"/>
          <w:lang w:val="es-ES_tradnl"/>
        </w:rPr>
        <w:endnoteReference w:id="69"/>
      </w:r>
      <w:r w:rsidR="0085075B">
        <w:rPr>
          <w:lang w:val="es-ES_tradnl"/>
        </w:rPr>
        <w:t>.</w:t>
      </w:r>
      <w:r w:rsidRPr="00154216">
        <w:rPr>
          <w:rStyle w:val="Refdenotaalfinal"/>
          <w:lang w:val="es-ES_tradnl"/>
        </w:rPr>
        <w:t xml:space="preserve"> </w:t>
      </w:r>
    </w:p>
    <w:p w14:paraId="19B0862A" w14:textId="77777777" w:rsidR="00154216" w:rsidRPr="00154216" w:rsidRDefault="00154216" w:rsidP="0085075B">
      <w:pPr>
        <w:pStyle w:val="H23G"/>
        <w:rPr>
          <w:lang w:val="es-ES_tradnl"/>
        </w:rPr>
      </w:pPr>
      <w:r w:rsidRPr="00154216">
        <w:rPr>
          <w:lang w:val="es-ES_tradnl"/>
        </w:rPr>
        <w:tab/>
      </w:r>
      <w:r w:rsidRPr="00154216">
        <w:rPr>
          <w:lang w:val="es-ES_tradnl"/>
        </w:rPr>
        <w:tab/>
        <w:t xml:space="preserve">Respuesta al párrafo 7 d)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2417C6F6" w14:textId="77777777" w:rsidR="00154216" w:rsidRPr="00154216" w:rsidRDefault="00154216" w:rsidP="00154216">
      <w:pPr>
        <w:pStyle w:val="SingleTxtG"/>
        <w:rPr>
          <w:b/>
          <w:lang w:val="es-ES_tradnl"/>
        </w:rPr>
      </w:pPr>
      <w:r w:rsidRPr="00154216">
        <w:rPr>
          <w:lang w:val="es-ES_tradnl"/>
        </w:rPr>
        <w:t>72.</w:t>
      </w:r>
      <w:r w:rsidRPr="00154216">
        <w:rPr>
          <w:lang w:val="es-ES_tradnl"/>
        </w:rPr>
        <w:tab/>
        <w:t xml:space="preserve">Nueva Zelandia vivió un proceso de desinstitucionalización en los años ochenta. La última de las grandes instituciones residenciales para personas con discapacidad intelectual cerró sus puertas en 2006. </w:t>
      </w:r>
    </w:p>
    <w:p w14:paraId="3F388CB4" w14:textId="77777777" w:rsidR="00154216" w:rsidRPr="00154216" w:rsidRDefault="00154216" w:rsidP="00154216">
      <w:pPr>
        <w:pStyle w:val="SingleTxtG"/>
        <w:rPr>
          <w:lang w:val="es-ES_tradnl"/>
        </w:rPr>
      </w:pPr>
      <w:r w:rsidRPr="00154216">
        <w:rPr>
          <w:lang w:val="es-ES_tradnl"/>
        </w:rPr>
        <w:t>73.</w:t>
      </w:r>
      <w:r w:rsidRPr="00154216">
        <w:rPr>
          <w:lang w:val="es-ES_tradnl"/>
        </w:rPr>
        <w:tab/>
        <w:t>En noviembre de 2018, tras la celebración de consultas públicas, se estableció en definitiva la Real Comisión de Investigación sobre el Maltrato Histórico bajo la Tutela del Estado y de Instituciones Religiosas</w:t>
      </w:r>
      <w:r w:rsidRPr="00154216">
        <w:rPr>
          <w:rStyle w:val="Refdenotaalfinal"/>
          <w:lang w:val="es-ES_tradnl"/>
        </w:rPr>
        <w:endnoteReference w:id="70"/>
      </w:r>
      <w:r w:rsidR="0085075B">
        <w:rPr>
          <w:lang w:val="es-ES_tradnl"/>
        </w:rPr>
        <w:t>.</w:t>
      </w:r>
      <w:r w:rsidRPr="00154216">
        <w:rPr>
          <w:rStyle w:val="Refdenotaalfinal"/>
          <w:lang w:val="es-ES_tradnl"/>
        </w:rPr>
        <w:t xml:space="preserve"> </w:t>
      </w:r>
      <w:r w:rsidRPr="00154216">
        <w:rPr>
          <w:lang w:val="es-ES_tradnl"/>
        </w:rPr>
        <w:t xml:space="preserve">Se espera recibir un informe provisional de la investigación en 2020 y el informe final en 2023. </w:t>
      </w:r>
    </w:p>
    <w:p w14:paraId="777ABE36" w14:textId="77777777" w:rsidR="00154216" w:rsidRPr="00154216" w:rsidRDefault="00154216" w:rsidP="00154216">
      <w:pPr>
        <w:pStyle w:val="SingleTxtG"/>
        <w:rPr>
          <w:lang w:val="es-ES_tradnl"/>
        </w:rPr>
      </w:pPr>
      <w:r w:rsidRPr="00154216">
        <w:rPr>
          <w:lang w:val="es-ES_tradnl"/>
        </w:rPr>
        <w:t>74.</w:t>
      </w:r>
      <w:r w:rsidRPr="00154216">
        <w:rPr>
          <w:lang w:val="es-ES_tradnl"/>
        </w:rPr>
        <w:tab/>
        <w:t>La investigación se propone:</w:t>
      </w:r>
    </w:p>
    <w:p w14:paraId="3AE0223E" w14:textId="77777777" w:rsidR="00154216" w:rsidRPr="00154216" w:rsidRDefault="00154216" w:rsidP="0085075B">
      <w:pPr>
        <w:pStyle w:val="Bullet1G"/>
        <w:rPr>
          <w:lang w:val="es-ES_tradnl"/>
        </w:rPr>
      </w:pPr>
      <w:r w:rsidRPr="00154216">
        <w:rPr>
          <w:lang w:val="es-ES_tradnl"/>
        </w:rPr>
        <w:t>Examinar los abusos históricos cometidos entre 1950 y 1999 (discrecionalmente más allá de esas fechas) contra niños, adolescentes y adultos vulnerables sujetos a la tutela del Estado y de instituciones religiosas</w:t>
      </w:r>
      <w:r w:rsidR="0085075B">
        <w:rPr>
          <w:lang w:val="es-ES_tradnl"/>
        </w:rPr>
        <w:t>.</w:t>
      </w:r>
    </w:p>
    <w:p w14:paraId="438E6B7B" w14:textId="77777777" w:rsidR="00154216" w:rsidRPr="00154216" w:rsidRDefault="00154216" w:rsidP="0085075B">
      <w:pPr>
        <w:pStyle w:val="Bullet1G"/>
        <w:rPr>
          <w:lang w:val="es-ES_tradnl"/>
        </w:rPr>
      </w:pPr>
      <w:r w:rsidRPr="00154216">
        <w:rPr>
          <w:lang w:val="es-ES_tradnl"/>
        </w:rPr>
        <w:t>Examinar la naturaleza y la magnitud de los abusos que tuvieron lugar en las instituciones tutelares del Estado, incluidos los malos tratos físicos y emocionales y el abuso sexual, la negligencia y la atención deficiente que provocaron graves daños físicos o mentales</w:t>
      </w:r>
      <w:r w:rsidR="0085075B">
        <w:rPr>
          <w:lang w:val="es-ES_tradnl"/>
        </w:rPr>
        <w:t>.</w:t>
      </w:r>
    </w:p>
    <w:p w14:paraId="49BE280C" w14:textId="77777777" w:rsidR="00154216" w:rsidRPr="00154216" w:rsidRDefault="00154216" w:rsidP="0085075B">
      <w:pPr>
        <w:pStyle w:val="Bullet1G"/>
        <w:rPr>
          <w:lang w:val="es-ES_tradnl"/>
        </w:rPr>
      </w:pPr>
      <w:r w:rsidRPr="00154216">
        <w:rPr>
          <w:lang w:val="es-ES_tradnl"/>
        </w:rPr>
        <w:t xml:space="preserve">Tratar de entender las consecuencias particulares de los malos tratos en las instituciones tutelares del Estado para los maoríes y otros grupos en los cuales el impacto diferenciado sea evidente; por ejemplo, el impacto entre los géneros, las personas </w:t>
      </w:r>
      <w:proofErr w:type="spellStart"/>
      <w:r w:rsidRPr="00154216">
        <w:rPr>
          <w:lang w:val="es-ES_tradnl"/>
        </w:rPr>
        <w:t>LGBTQI</w:t>
      </w:r>
      <w:proofErr w:type="spellEnd"/>
      <w:r w:rsidRPr="00154216">
        <w:rPr>
          <w:rStyle w:val="Refdenotaalfinal"/>
          <w:lang w:val="es-ES_tradnl"/>
        </w:rPr>
        <w:endnoteReference w:id="71"/>
      </w:r>
      <w:r w:rsidR="0085075B">
        <w:rPr>
          <w:lang w:val="es-ES_tradnl"/>
        </w:rPr>
        <w:t>,</w:t>
      </w:r>
      <w:r w:rsidRPr="00154216">
        <w:rPr>
          <w:lang w:val="es-ES_tradnl"/>
        </w:rPr>
        <w:t xml:space="preserve"> los pueblos del Pacífico, las personas con discapacidad y las personas con problemas de salud mental.</w:t>
      </w:r>
    </w:p>
    <w:p w14:paraId="1F133073" w14:textId="77777777" w:rsidR="00154216" w:rsidRPr="00154216" w:rsidRDefault="00154216" w:rsidP="00154216">
      <w:pPr>
        <w:pStyle w:val="SingleTxtG"/>
        <w:rPr>
          <w:lang w:val="es-ES_tradnl"/>
        </w:rPr>
      </w:pPr>
      <w:r w:rsidRPr="00154216">
        <w:rPr>
          <w:lang w:val="es-ES_tradnl"/>
        </w:rPr>
        <w:t>75.</w:t>
      </w:r>
      <w:r w:rsidRPr="00154216">
        <w:rPr>
          <w:lang w:val="es-ES_tradnl"/>
        </w:rPr>
        <w:tab/>
        <w:t>Las Normas de Acogimiento Nacionales</w:t>
      </w:r>
      <w:r w:rsidRPr="00154216">
        <w:rPr>
          <w:rStyle w:val="Refdenotaalfinal"/>
          <w:lang w:val="es-ES_tradnl"/>
        </w:rPr>
        <w:endnoteReference w:id="72"/>
      </w:r>
      <w:r w:rsidRPr="00154216">
        <w:rPr>
          <w:rStyle w:val="Refdenotaalfinal"/>
          <w:lang w:val="es-ES_tradnl"/>
        </w:rPr>
        <w:t xml:space="preserve"> </w:t>
      </w:r>
      <w:r w:rsidRPr="00154216">
        <w:rPr>
          <w:lang w:val="es-ES_tradnl"/>
        </w:rPr>
        <w:t>regirán respecto de todo niño o adolescente en régimen de tutela o custodia reglamentaria. Entrarán en vigor el 1 de julio de</w:t>
      </w:r>
      <w:r w:rsidR="0085075B">
        <w:rPr>
          <w:lang w:val="es-ES_tradnl"/>
        </w:rPr>
        <w:t> </w:t>
      </w:r>
      <w:r w:rsidRPr="00154216">
        <w:rPr>
          <w:lang w:val="es-ES_tradnl"/>
        </w:rPr>
        <w:t>2019. La sección 2 de las Normas contiene una declaración de derechos de los niños y los jóvenes.</w:t>
      </w:r>
    </w:p>
    <w:p w14:paraId="3E366852" w14:textId="77777777" w:rsidR="00154216" w:rsidRPr="00154216" w:rsidRDefault="00154216" w:rsidP="0085075B">
      <w:pPr>
        <w:pStyle w:val="H4G"/>
        <w:rPr>
          <w:lang w:val="es-ES_tradnl"/>
        </w:rPr>
      </w:pPr>
      <w:r w:rsidRPr="00154216">
        <w:rPr>
          <w:lang w:val="es-ES_tradnl"/>
        </w:rPr>
        <w:tab/>
      </w:r>
      <w:r w:rsidRPr="00154216">
        <w:rPr>
          <w:lang w:val="es-ES_tradnl"/>
        </w:rPr>
        <w:tab/>
        <w:t>Investigaciones penales</w:t>
      </w:r>
    </w:p>
    <w:p w14:paraId="484CE2A3" w14:textId="77777777" w:rsidR="00154216" w:rsidRPr="00154216" w:rsidRDefault="00154216" w:rsidP="00154216">
      <w:pPr>
        <w:pStyle w:val="SingleTxtG"/>
        <w:rPr>
          <w:lang w:val="es-ES_tradnl"/>
        </w:rPr>
      </w:pPr>
      <w:r w:rsidRPr="00154216">
        <w:rPr>
          <w:lang w:val="es-ES_tradnl"/>
        </w:rPr>
        <w:t>76.</w:t>
      </w:r>
      <w:r w:rsidRPr="00154216">
        <w:rPr>
          <w:lang w:val="es-ES_tradnl"/>
        </w:rPr>
        <w:tab/>
        <w:t xml:space="preserve">Se desconoce el número de investigaciones penales llevadas a cabo en relación con las denuncias de malos tratos y torturas infligidos a personas con discapacidad en las instituciones de acogida, incluidos los centros de atención de la salud. Ello se debe a que </w:t>
      </w:r>
      <w:r w:rsidRPr="00154216">
        <w:rPr>
          <w:lang w:val="es-ES_tradnl"/>
        </w:rPr>
        <w:lastRenderedPageBreak/>
        <w:t>los datos registrados sobre las denuncias de abusos físicos o sexuales históricos no identifican las denuncias contra las instituciones tutelares del Estado por separado de otras denuncias investigadas de abusos físicos o sexuales históricos.</w:t>
      </w:r>
    </w:p>
    <w:p w14:paraId="489F60AE" w14:textId="77777777" w:rsidR="00154216" w:rsidRPr="00154216" w:rsidRDefault="00154216" w:rsidP="00154216">
      <w:pPr>
        <w:pStyle w:val="SingleTxtG"/>
        <w:rPr>
          <w:b/>
          <w:lang w:val="es-ES_tradnl"/>
        </w:rPr>
      </w:pPr>
      <w:r w:rsidRPr="00154216">
        <w:rPr>
          <w:lang w:val="es-ES_tradnl"/>
        </w:rPr>
        <w:t>77.</w:t>
      </w:r>
      <w:r w:rsidRPr="00154216">
        <w:rPr>
          <w:lang w:val="es-ES_tradnl"/>
        </w:rPr>
        <w:tab/>
        <w:t>El Gobierno no tiene conocimiento de ninguna investigación penal por denuncias de abusos históricos en las instituciones psiquiátricas que date de antes de 1993</w:t>
      </w:r>
      <w:r w:rsidRPr="00154216">
        <w:rPr>
          <w:rStyle w:val="Refdenotaalfinal"/>
          <w:lang w:val="es-ES_tradnl"/>
        </w:rPr>
        <w:endnoteReference w:id="73"/>
      </w:r>
      <w:r w:rsidR="00114E26">
        <w:rPr>
          <w:lang w:val="es-ES_tradnl"/>
        </w:rPr>
        <w:t>.</w:t>
      </w:r>
      <w:r w:rsidRPr="00154216">
        <w:rPr>
          <w:rStyle w:val="Refdenotaalfinal"/>
          <w:lang w:val="es-ES_tradnl"/>
        </w:rPr>
        <w:t xml:space="preserve"> </w:t>
      </w:r>
    </w:p>
    <w:p w14:paraId="254CC868" w14:textId="77777777" w:rsidR="00154216" w:rsidRPr="00154216" w:rsidRDefault="00154216" w:rsidP="0085075B">
      <w:pPr>
        <w:pStyle w:val="H4G"/>
        <w:rPr>
          <w:lang w:val="es-ES_tradnl"/>
        </w:rPr>
      </w:pPr>
      <w:r w:rsidRPr="00154216">
        <w:rPr>
          <w:lang w:val="es-ES_tradnl"/>
        </w:rPr>
        <w:tab/>
      </w:r>
      <w:r w:rsidRPr="00154216">
        <w:rPr>
          <w:lang w:val="es-ES_tradnl"/>
        </w:rPr>
        <w:tab/>
        <w:t>Quejas y d</w:t>
      </w:r>
      <w:r w:rsidRPr="00154216">
        <w:rPr>
          <w:iCs/>
          <w:lang w:val="es-ES_tradnl"/>
        </w:rPr>
        <w:t>enuncias</w:t>
      </w:r>
    </w:p>
    <w:p w14:paraId="0DB1056B" w14:textId="77777777" w:rsidR="00154216" w:rsidRPr="00154216" w:rsidRDefault="00154216" w:rsidP="00154216">
      <w:pPr>
        <w:pStyle w:val="SingleTxtG"/>
        <w:rPr>
          <w:rStyle w:val="Refdenotaalfinal"/>
          <w:lang w:val="es-ES_tradnl"/>
        </w:rPr>
      </w:pPr>
      <w:r w:rsidRPr="00154216">
        <w:rPr>
          <w:lang w:val="es-ES_tradnl"/>
        </w:rPr>
        <w:t>78.</w:t>
      </w:r>
      <w:r w:rsidRPr="00154216">
        <w:rPr>
          <w:lang w:val="es-ES_tradnl"/>
        </w:rPr>
        <w:tab/>
        <w:t>La Oficina del Comisionado de Salud y Discapacidad puede ocuparse de las quejas contra los servicios de salud o de apoyo a la discapacidad</w:t>
      </w:r>
      <w:r w:rsidRPr="00154216">
        <w:rPr>
          <w:rStyle w:val="Refdenotaalfinal"/>
          <w:lang w:val="es-ES_tradnl"/>
        </w:rPr>
        <w:endnoteReference w:id="74"/>
      </w:r>
      <w:r w:rsidR="00114E26">
        <w:rPr>
          <w:lang w:val="es-ES_tradnl"/>
        </w:rPr>
        <w:t>.</w:t>
      </w:r>
    </w:p>
    <w:p w14:paraId="5B297FDC" w14:textId="77777777" w:rsidR="00154216" w:rsidRPr="00154216" w:rsidRDefault="00154216" w:rsidP="00154216">
      <w:pPr>
        <w:pStyle w:val="SingleTxtG"/>
        <w:rPr>
          <w:lang w:val="es-ES_tradnl"/>
        </w:rPr>
      </w:pPr>
      <w:r w:rsidRPr="00154216">
        <w:rPr>
          <w:lang w:val="es-ES_tradnl"/>
        </w:rPr>
        <w:t>79.</w:t>
      </w:r>
      <w:r w:rsidRPr="00154216">
        <w:rPr>
          <w:lang w:val="es-ES_tradnl"/>
        </w:rPr>
        <w:tab/>
        <w:t>La Oficina del Ombudsman</w:t>
      </w:r>
      <w:r w:rsidRPr="00154216">
        <w:rPr>
          <w:rStyle w:val="Refdenotaalfinal"/>
          <w:lang w:val="es-ES_tradnl"/>
        </w:rPr>
        <w:endnoteReference w:id="75"/>
      </w:r>
      <w:r w:rsidRPr="00154216">
        <w:rPr>
          <w:rStyle w:val="Refdenotaalfinal"/>
          <w:lang w:val="es-ES_tradnl"/>
        </w:rPr>
        <w:t xml:space="preserve"> </w:t>
      </w:r>
      <w:r w:rsidRPr="00154216">
        <w:rPr>
          <w:lang w:val="es-ES_tradnl"/>
        </w:rPr>
        <w:t xml:space="preserve">puede recibir las quejas contra los organismos del sector estatal. </w:t>
      </w:r>
    </w:p>
    <w:p w14:paraId="621AF848" w14:textId="77777777" w:rsidR="00154216" w:rsidRPr="00154216" w:rsidRDefault="00154216" w:rsidP="00154216">
      <w:pPr>
        <w:pStyle w:val="SingleTxtG"/>
        <w:rPr>
          <w:lang w:val="es-ES_tradnl"/>
        </w:rPr>
      </w:pPr>
      <w:r w:rsidRPr="00154216">
        <w:rPr>
          <w:lang w:val="es-ES_tradnl"/>
        </w:rPr>
        <w:t>80.</w:t>
      </w:r>
      <w:r w:rsidRPr="00154216">
        <w:rPr>
          <w:lang w:val="es-ES_tradnl"/>
        </w:rPr>
        <w:tab/>
        <w:t>La Oficina del Inspector General</w:t>
      </w:r>
      <w:r w:rsidRPr="00154216">
        <w:rPr>
          <w:rStyle w:val="Refdenotaalfinal"/>
          <w:lang w:val="es-ES_tradnl"/>
        </w:rPr>
        <w:endnoteReference w:id="76"/>
      </w:r>
      <w:r w:rsidR="00114E26">
        <w:rPr>
          <w:lang w:val="es-ES_tradnl"/>
        </w:rPr>
        <w:t xml:space="preserve"> </w:t>
      </w:r>
      <w:r w:rsidRPr="00114E26">
        <w:rPr>
          <w:rStyle w:val="Refdenotaalfinal"/>
          <w:vertAlign w:val="baseline"/>
          <w:lang w:val="es-ES_tradnl"/>
        </w:rPr>
        <w:t>p</w:t>
      </w:r>
      <w:r w:rsidRPr="00154216">
        <w:rPr>
          <w:lang w:val="es-ES_tradnl"/>
        </w:rPr>
        <w:t xml:space="preserve">uede recibir las quejas de las personas encarceladas. </w:t>
      </w:r>
    </w:p>
    <w:p w14:paraId="3FB3C86F" w14:textId="77777777" w:rsidR="00154216" w:rsidRPr="00154216" w:rsidRDefault="00154216" w:rsidP="0085075B">
      <w:pPr>
        <w:pStyle w:val="H23G"/>
        <w:rPr>
          <w:lang w:val="es-ES_tradnl"/>
        </w:rPr>
      </w:pPr>
      <w:r w:rsidRPr="00154216">
        <w:rPr>
          <w:lang w:val="es-ES_tradnl"/>
        </w:rPr>
        <w:tab/>
      </w:r>
      <w:r w:rsidRPr="00154216">
        <w:rPr>
          <w:lang w:val="es-ES_tradnl"/>
        </w:rPr>
        <w:tab/>
        <w:t xml:space="preserve">Respuesta al párrafo 7 e)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6F1D21D7" w14:textId="77777777" w:rsidR="00154216" w:rsidRPr="00154216" w:rsidRDefault="00154216" w:rsidP="00154216">
      <w:pPr>
        <w:pStyle w:val="SingleTxtG"/>
        <w:rPr>
          <w:lang w:val="es-ES_tradnl"/>
        </w:rPr>
      </w:pPr>
      <w:r w:rsidRPr="00154216">
        <w:rPr>
          <w:lang w:val="es-ES_tradnl"/>
        </w:rPr>
        <w:t>81.</w:t>
      </w:r>
      <w:r w:rsidRPr="00154216">
        <w:rPr>
          <w:lang w:val="es-ES_tradnl"/>
        </w:rPr>
        <w:tab/>
        <w:t xml:space="preserve">Antes de confiarles la custodia o el cuidado de un niño, el Gobierno investiga los antecedentes de los hogares de acogida o los cuidadores. Este proceso consiste en verificación policial, verificación de referencias, evaluación del hogar y examen de documentos disponibles en el sistema de gestión de casos del Ministerio de la Infancia, </w:t>
      </w:r>
      <w:proofErr w:type="spellStart"/>
      <w:r w:rsidRPr="00154216">
        <w:rPr>
          <w:lang w:val="es-ES_tradnl"/>
        </w:rPr>
        <w:t>Oranga</w:t>
      </w:r>
      <w:proofErr w:type="spellEnd"/>
      <w:r w:rsidRPr="00154216">
        <w:rPr>
          <w:lang w:val="es-ES_tradnl"/>
        </w:rPr>
        <w:t xml:space="preserve"> </w:t>
      </w:r>
      <w:proofErr w:type="spellStart"/>
      <w:r w:rsidRPr="00154216">
        <w:rPr>
          <w:lang w:val="es-ES_tradnl"/>
        </w:rPr>
        <w:t>Tamariki</w:t>
      </w:r>
      <w:proofErr w:type="spellEnd"/>
      <w:r w:rsidRPr="00154216">
        <w:rPr>
          <w:lang w:val="es-ES_tradnl"/>
        </w:rPr>
        <w:t>.</w:t>
      </w:r>
    </w:p>
    <w:p w14:paraId="4BA814F0" w14:textId="77777777" w:rsidR="00154216" w:rsidRPr="00154216" w:rsidRDefault="00154216" w:rsidP="00154216">
      <w:pPr>
        <w:pStyle w:val="SingleTxtG"/>
        <w:rPr>
          <w:lang w:val="es-ES_tradnl"/>
        </w:rPr>
      </w:pPr>
      <w:r w:rsidRPr="00154216">
        <w:rPr>
          <w:lang w:val="es-ES_tradnl"/>
        </w:rPr>
        <w:t>82.</w:t>
      </w:r>
      <w:r w:rsidRPr="00154216">
        <w:rPr>
          <w:lang w:val="es-ES_tradnl"/>
        </w:rPr>
        <w:tab/>
        <w:t>La introducción de un nuevo sistema centralizado de información sobre los cuidadores permitirá racionalizar la investigación de los antecedentes y otros procesos pertinentes a los cuidadores. Por ejemplo, se mantendrá un registro de todas las actividades de formación y desarrollo de los cuidadores.</w:t>
      </w:r>
    </w:p>
    <w:p w14:paraId="0A382152" w14:textId="77777777" w:rsidR="00154216" w:rsidRPr="00154216" w:rsidRDefault="00154216" w:rsidP="00154216">
      <w:pPr>
        <w:pStyle w:val="SingleTxtG"/>
        <w:rPr>
          <w:lang w:val="es-ES_tradnl"/>
        </w:rPr>
      </w:pPr>
      <w:r w:rsidRPr="00154216">
        <w:rPr>
          <w:lang w:val="es-ES_tradnl"/>
        </w:rPr>
        <w:t>83.</w:t>
      </w:r>
      <w:r w:rsidRPr="00154216">
        <w:rPr>
          <w:lang w:val="es-ES_tradnl"/>
        </w:rPr>
        <w:tab/>
        <w:t xml:space="preserve">La Ley de </w:t>
      </w:r>
      <w:proofErr w:type="spellStart"/>
      <w:r w:rsidRPr="00154216">
        <w:rPr>
          <w:lang w:val="es-ES_tradnl"/>
        </w:rPr>
        <w:t>Oranga</w:t>
      </w:r>
      <w:proofErr w:type="spellEnd"/>
      <w:r w:rsidRPr="00154216">
        <w:rPr>
          <w:lang w:val="es-ES_tradnl"/>
        </w:rPr>
        <w:t xml:space="preserve"> </w:t>
      </w:r>
      <w:proofErr w:type="spellStart"/>
      <w:r w:rsidRPr="00154216">
        <w:rPr>
          <w:lang w:val="es-ES_tradnl"/>
        </w:rPr>
        <w:t>Tamariki</w:t>
      </w:r>
      <w:proofErr w:type="spellEnd"/>
      <w:r w:rsidRPr="00154216">
        <w:rPr>
          <w:lang w:val="es-ES_tradnl"/>
        </w:rPr>
        <w:t xml:space="preserve"> de 1989 incluye nuevos principios que requieren la prestación de una asistencia y protección especial a los niños y jóvenes bajo tutela que atienda sus necesidades particulares. </w:t>
      </w:r>
      <w:proofErr w:type="spellStart"/>
      <w:r w:rsidRPr="00154216">
        <w:rPr>
          <w:lang w:val="es-ES_tradnl"/>
        </w:rPr>
        <w:t>Oranga</w:t>
      </w:r>
      <w:proofErr w:type="spellEnd"/>
      <w:r w:rsidRPr="00154216">
        <w:rPr>
          <w:lang w:val="es-ES_tradnl"/>
        </w:rPr>
        <w:t xml:space="preserve"> </w:t>
      </w:r>
      <w:proofErr w:type="spellStart"/>
      <w:r w:rsidRPr="00154216">
        <w:rPr>
          <w:lang w:val="es-ES_tradnl"/>
        </w:rPr>
        <w:t>Tamariki</w:t>
      </w:r>
      <w:proofErr w:type="spellEnd"/>
      <w:r w:rsidRPr="00154216">
        <w:rPr>
          <w:lang w:val="es-ES_tradnl"/>
        </w:rPr>
        <w:t xml:space="preserve"> ha elaborado una normativa nacional de acogimiento</w:t>
      </w:r>
      <w:r w:rsidRPr="00154216">
        <w:rPr>
          <w:rStyle w:val="Refdenotaalfinal"/>
          <w:lang w:val="es-ES_tradnl"/>
        </w:rPr>
        <w:endnoteReference w:id="77"/>
      </w:r>
      <w:r w:rsidRPr="00154216">
        <w:rPr>
          <w:rStyle w:val="Refdenotaalfinal"/>
          <w:lang w:val="es-ES_tradnl"/>
        </w:rPr>
        <w:t xml:space="preserve"> </w:t>
      </w:r>
      <w:r w:rsidRPr="00154216">
        <w:rPr>
          <w:lang w:val="es-ES_tradnl"/>
        </w:rPr>
        <w:t xml:space="preserve">aplicable respecto de todo niño o joven que esté bajo la tutela o custodia del jefe ejecutivo de </w:t>
      </w:r>
      <w:proofErr w:type="spellStart"/>
      <w:r w:rsidRPr="00154216">
        <w:rPr>
          <w:lang w:val="es-ES_tradnl"/>
        </w:rPr>
        <w:t>Oranga</w:t>
      </w:r>
      <w:proofErr w:type="spellEnd"/>
      <w:r w:rsidRPr="00154216">
        <w:rPr>
          <w:lang w:val="es-ES_tradnl"/>
        </w:rPr>
        <w:t xml:space="preserve"> </w:t>
      </w:r>
      <w:proofErr w:type="spellStart"/>
      <w:r w:rsidRPr="00154216">
        <w:rPr>
          <w:lang w:val="es-ES_tradnl"/>
        </w:rPr>
        <w:t>Tamariki</w:t>
      </w:r>
      <w:proofErr w:type="spellEnd"/>
      <w:r w:rsidRPr="00154216">
        <w:rPr>
          <w:lang w:val="es-ES_tradnl"/>
        </w:rPr>
        <w:t xml:space="preserve">. Con arreglo a esta normativa, mediante la evaluación y la planificación se debe determinar el apoyo necesario para atender toda la gama de necesidades de los niños y jóvenes, incluidas las necesidades derivadas de una discapacidad. </w:t>
      </w:r>
    </w:p>
    <w:p w14:paraId="2662EA02" w14:textId="77777777" w:rsidR="00154216" w:rsidRPr="00154216" w:rsidRDefault="00154216" w:rsidP="00154216">
      <w:pPr>
        <w:pStyle w:val="SingleTxtG"/>
        <w:rPr>
          <w:lang w:val="es-ES_tradnl"/>
        </w:rPr>
      </w:pPr>
      <w:r w:rsidRPr="00154216">
        <w:rPr>
          <w:lang w:val="es-ES_tradnl"/>
        </w:rPr>
        <w:t>84.</w:t>
      </w:r>
      <w:r w:rsidRPr="00154216">
        <w:rPr>
          <w:lang w:val="es-ES_tradnl"/>
        </w:rPr>
        <w:tab/>
      </w:r>
      <w:proofErr w:type="spellStart"/>
      <w:r w:rsidRPr="00154216">
        <w:rPr>
          <w:lang w:val="es-ES_tradnl"/>
        </w:rPr>
        <w:t>Oranga</w:t>
      </w:r>
      <w:proofErr w:type="spellEnd"/>
      <w:r w:rsidRPr="00154216">
        <w:rPr>
          <w:lang w:val="es-ES_tradnl"/>
        </w:rPr>
        <w:t xml:space="preserve"> </w:t>
      </w:r>
      <w:proofErr w:type="spellStart"/>
      <w:r w:rsidRPr="00154216">
        <w:rPr>
          <w:lang w:val="es-ES_tradnl"/>
        </w:rPr>
        <w:t>Tamariki</w:t>
      </w:r>
      <w:proofErr w:type="spellEnd"/>
      <w:r w:rsidRPr="00154216">
        <w:rPr>
          <w:lang w:val="es-ES_tradnl"/>
        </w:rPr>
        <w:t xml:space="preserve"> abordará los problemas del cuidado y la protección de un niño o joven en primer lugar trabajando con su familia, </w:t>
      </w:r>
      <w:proofErr w:type="spellStart"/>
      <w:r w:rsidRPr="00154216">
        <w:rPr>
          <w:lang w:val="es-ES_tradnl"/>
        </w:rPr>
        <w:t>whānau</w:t>
      </w:r>
      <w:proofErr w:type="spellEnd"/>
      <w:r w:rsidRPr="00154216">
        <w:rPr>
          <w:lang w:val="es-ES_tradnl"/>
        </w:rPr>
        <w:t xml:space="preserve">, </w:t>
      </w:r>
      <w:proofErr w:type="spellStart"/>
      <w:r w:rsidRPr="00154216">
        <w:rPr>
          <w:lang w:val="es-ES_tradnl"/>
        </w:rPr>
        <w:t>hapū</w:t>
      </w:r>
      <w:proofErr w:type="spellEnd"/>
      <w:r w:rsidRPr="00154216">
        <w:rPr>
          <w:rStyle w:val="Refdenotaalfinal"/>
          <w:lang w:val="es-ES_tradnl"/>
        </w:rPr>
        <w:endnoteReference w:id="78"/>
      </w:r>
      <w:r w:rsidR="00114E26">
        <w:rPr>
          <w:lang w:val="es-ES_tradnl"/>
        </w:rPr>
        <w:t>,</w:t>
      </w:r>
      <w:r w:rsidRPr="00114E26">
        <w:rPr>
          <w:rStyle w:val="Refdenotaalfinal"/>
          <w:vertAlign w:val="baseline"/>
          <w:lang w:val="es-ES_tradnl"/>
        </w:rPr>
        <w:t xml:space="preserve"> </w:t>
      </w:r>
      <w:proofErr w:type="spellStart"/>
      <w:r w:rsidRPr="00154216">
        <w:rPr>
          <w:lang w:val="es-ES_tradnl"/>
        </w:rPr>
        <w:t>iwi</w:t>
      </w:r>
      <w:proofErr w:type="spellEnd"/>
      <w:r w:rsidRPr="00154216">
        <w:rPr>
          <w:rStyle w:val="Refdenotaalfinal"/>
          <w:lang w:val="es-ES_tradnl"/>
        </w:rPr>
        <w:endnoteReference w:id="79"/>
      </w:r>
      <w:r w:rsidRPr="00114E26">
        <w:rPr>
          <w:rStyle w:val="Refdenotaalfinal"/>
          <w:vertAlign w:val="baseline"/>
          <w:lang w:val="es-ES_tradnl"/>
        </w:rPr>
        <w:t xml:space="preserve"> </w:t>
      </w:r>
      <w:r w:rsidRPr="00154216">
        <w:rPr>
          <w:lang w:val="es-ES_tradnl"/>
        </w:rPr>
        <w:t>y grupo familiar para determinar si el niño o joven puede seguir a su cargo. Para que los niños con discapacidad grave puedan ser atendidos en su hogar se requerirá la prestación de apoyo y servicios especializados en la discapacidad que sean aceptables para las familias y satisfagan sus necesidades.</w:t>
      </w:r>
    </w:p>
    <w:p w14:paraId="3BB81070" w14:textId="77777777" w:rsidR="00154216" w:rsidRPr="00154216" w:rsidRDefault="00154216" w:rsidP="0085075B">
      <w:pPr>
        <w:pStyle w:val="H23G"/>
        <w:rPr>
          <w:lang w:val="es-ES_tradnl"/>
        </w:rPr>
      </w:pPr>
      <w:r w:rsidRPr="00154216">
        <w:rPr>
          <w:lang w:val="es-ES_tradnl"/>
        </w:rPr>
        <w:tab/>
      </w:r>
      <w:r w:rsidRPr="00154216">
        <w:rPr>
          <w:lang w:val="es-ES_tradnl"/>
        </w:rPr>
        <w:tab/>
        <w:t xml:space="preserve">Respuesta al párrafo 8 a)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1F5B7DFE" w14:textId="77777777" w:rsidR="00154216" w:rsidRPr="00154216" w:rsidRDefault="00154216" w:rsidP="00154216">
      <w:pPr>
        <w:pStyle w:val="SingleTxtG"/>
        <w:rPr>
          <w:lang w:val="es-ES_tradnl"/>
        </w:rPr>
      </w:pPr>
      <w:r w:rsidRPr="00154216">
        <w:rPr>
          <w:lang w:val="es-ES_tradnl"/>
        </w:rPr>
        <w:t>85.</w:t>
      </w:r>
      <w:r w:rsidRPr="00154216">
        <w:rPr>
          <w:lang w:val="es-ES_tradnl"/>
        </w:rPr>
        <w:tab/>
      </w:r>
      <w:r w:rsidRPr="00154216">
        <w:rPr>
          <w:i/>
          <w:iCs/>
          <w:lang w:val="es-ES_tradnl"/>
        </w:rPr>
        <w:t>Pensar de Manera Diferente</w:t>
      </w:r>
      <w:r w:rsidRPr="00154216">
        <w:rPr>
          <w:lang w:val="es-ES_tradnl"/>
        </w:rPr>
        <w:t xml:space="preserve"> (2010</w:t>
      </w:r>
      <w:r w:rsidR="003742F5">
        <w:rPr>
          <w:lang w:val="es-ES_tradnl"/>
        </w:rPr>
        <w:t>-</w:t>
      </w:r>
      <w:r w:rsidRPr="00154216">
        <w:rPr>
          <w:lang w:val="es-ES_tradnl"/>
        </w:rPr>
        <w:t xml:space="preserve">2015) </w:t>
      </w:r>
      <w:r w:rsidRPr="003742F5">
        <w:rPr>
          <w:i/>
          <w:lang w:val="es-ES_tradnl"/>
        </w:rPr>
        <w:t>(</w:t>
      </w:r>
      <w:proofErr w:type="spellStart"/>
      <w:r w:rsidRPr="003742F5">
        <w:rPr>
          <w:i/>
          <w:iCs/>
          <w:lang w:val="es-ES_tradnl"/>
        </w:rPr>
        <w:t>Think</w:t>
      </w:r>
      <w:proofErr w:type="spellEnd"/>
      <w:r w:rsidRPr="003742F5">
        <w:rPr>
          <w:i/>
          <w:iCs/>
          <w:lang w:val="es-ES_tradnl"/>
        </w:rPr>
        <w:t xml:space="preserve"> </w:t>
      </w:r>
      <w:proofErr w:type="spellStart"/>
      <w:r w:rsidRPr="003742F5">
        <w:rPr>
          <w:i/>
          <w:iCs/>
          <w:lang w:val="es-ES_tradnl"/>
        </w:rPr>
        <w:t>Differently</w:t>
      </w:r>
      <w:proofErr w:type="spellEnd"/>
      <w:r w:rsidRPr="003742F5">
        <w:rPr>
          <w:i/>
          <w:lang w:val="es-ES_tradnl"/>
        </w:rPr>
        <w:t>)</w:t>
      </w:r>
      <w:r w:rsidRPr="00154216">
        <w:rPr>
          <w:lang w:val="es-ES_tradnl"/>
        </w:rPr>
        <w:t xml:space="preserve"> fue una campaña publicitaria social destinada a cambiar las normas sociales y culturales a fin de reducir la exclusión de las personas con discapacidad. Se proponía crear condiciones propicias a un cambio de conducta en lugar de limitarse a una labor de concienciación. Según las evaluaciones de la campaña, los grupos destinatarios asumieron un compromiso que comenzaron a traducir en un cambio de conducta efectivo.</w:t>
      </w:r>
    </w:p>
    <w:p w14:paraId="13FD42EE" w14:textId="77777777" w:rsidR="00154216" w:rsidRPr="00154216" w:rsidRDefault="00154216" w:rsidP="00154216">
      <w:pPr>
        <w:pStyle w:val="SingleTxtG"/>
        <w:rPr>
          <w:lang w:val="es-ES_tradnl"/>
        </w:rPr>
      </w:pPr>
      <w:r w:rsidRPr="00154216">
        <w:rPr>
          <w:lang w:val="es-ES_tradnl"/>
        </w:rPr>
        <w:t>86.</w:t>
      </w:r>
      <w:r w:rsidRPr="00154216">
        <w:rPr>
          <w:lang w:val="es-ES_tradnl"/>
        </w:rPr>
        <w:tab/>
        <w:t xml:space="preserve">La Comisión de Derechos Humanos está elaborando un programa de cambio social para reducir la estigmatización, la discriminación y los estereotipos de la discapacidad. Este programa depende de la provisión de recursos financieros. </w:t>
      </w:r>
    </w:p>
    <w:p w14:paraId="75FD6D23" w14:textId="77777777" w:rsidR="00154216" w:rsidRPr="00154216" w:rsidRDefault="00154216" w:rsidP="00154216">
      <w:pPr>
        <w:pStyle w:val="SingleTxtG"/>
        <w:rPr>
          <w:rStyle w:val="Refdenotaalfinal"/>
          <w:lang w:val="es-ES_tradnl"/>
        </w:rPr>
      </w:pPr>
      <w:r w:rsidRPr="00154216">
        <w:rPr>
          <w:lang w:val="es-ES_tradnl"/>
        </w:rPr>
        <w:t>87.</w:t>
      </w:r>
      <w:r w:rsidRPr="00154216">
        <w:rPr>
          <w:lang w:val="es-ES_tradnl"/>
        </w:rPr>
        <w:tab/>
      </w:r>
      <w:r w:rsidRPr="00154216">
        <w:rPr>
          <w:i/>
          <w:iCs/>
          <w:lang w:val="es-ES_tradnl"/>
        </w:rPr>
        <w:t>Mentes Afines, como la Mía (</w:t>
      </w:r>
      <w:proofErr w:type="spellStart"/>
      <w:r w:rsidRPr="00154216">
        <w:rPr>
          <w:i/>
          <w:iCs/>
          <w:lang w:val="es-ES_tradnl"/>
        </w:rPr>
        <w:t>Like</w:t>
      </w:r>
      <w:proofErr w:type="spellEnd"/>
      <w:r w:rsidRPr="00154216">
        <w:rPr>
          <w:i/>
          <w:iCs/>
          <w:lang w:val="es-ES_tradnl"/>
        </w:rPr>
        <w:t xml:space="preserve"> </w:t>
      </w:r>
      <w:proofErr w:type="spellStart"/>
      <w:r w:rsidRPr="00154216">
        <w:rPr>
          <w:i/>
          <w:iCs/>
          <w:lang w:val="es-ES_tradnl"/>
        </w:rPr>
        <w:t>Minds</w:t>
      </w:r>
      <w:proofErr w:type="spellEnd"/>
      <w:r w:rsidRPr="00154216">
        <w:rPr>
          <w:i/>
          <w:iCs/>
          <w:lang w:val="es-ES_tradnl"/>
        </w:rPr>
        <w:t xml:space="preserve">, </w:t>
      </w:r>
      <w:proofErr w:type="spellStart"/>
      <w:r w:rsidRPr="00154216">
        <w:rPr>
          <w:i/>
          <w:iCs/>
          <w:lang w:val="es-ES_tradnl"/>
        </w:rPr>
        <w:t>Like</w:t>
      </w:r>
      <w:proofErr w:type="spellEnd"/>
      <w:r w:rsidRPr="00154216">
        <w:rPr>
          <w:i/>
          <w:iCs/>
          <w:lang w:val="es-ES_tradnl"/>
        </w:rPr>
        <w:t xml:space="preserve"> Mine)</w:t>
      </w:r>
      <w:r w:rsidRPr="00154216">
        <w:rPr>
          <w:rStyle w:val="Refdenotaalfinal"/>
          <w:lang w:val="es-ES_tradnl"/>
        </w:rPr>
        <w:endnoteReference w:id="80"/>
      </w:r>
      <w:r w:rsidRPr="00154216">
        <w:rPr>
          <w:rStyle w:val="Refdenotaalfinal"/>
          <w:lang w:val="es-ES_tradnl"/>
        </w:rPr>
        <w:t xml:space="preserve"> </w:t>
      </w:r>
      <w:r w:rsidRPr="00154216">
        <w:rPr>
          <w:lang w:val="es-ES_tradnl"/>
        </w:rPr>
        <w:t xml:space="preserve">es </w:t>
      </w:r>
      <w:proofErr w:type="gramStart"/>
      <w:r w:rsidRPr="00154216">
        <w:rPr>
          <w:lang w:val="es-ES_tradnl"/>
        </w:rPr>
        <w:t>un programa nacional destinado a aumentar</w:t>
      </w:r>
      <w:proofErr w:type="gramEnd"/>
      <w:r w:rsidRPr="00154216">
        <w:rPr>
          <w:lang w:val="es-ES_tradnl"/>
        </w:rPr>
        <w:t xml:space="preserve"> la inclusión social y reducir la estigmatización y la discriminación de las personas que han padecido enfermedades mentales. El programa ha conseguido crear mayor conciencia del problema y modificar las actitudes, pero sigue habiendo personas que sufren discriminación</w:t>
      </w:r>
      <w:r w:rsidRPr="00154216">
        <w:rPr>
          <w:rStyle w:val="Refdenotaalfinal"/>
          <w:lang w:val="es-ES_tradnl"/>
        </w:rPr>
        <w:endnoteReference w:id="81"/>
      </w:r>
      <w:r w:rsidR="0085075B">
        <w:rPr>
          <w:lang w:val="es-ES_tradnl"/>
        </w:rPr>
        <w:t>.</w:t>
      </w:r>
    </w:p>
    <w:p w14:paraId="1650DF43" w14:textId="77777777" w:rsidR="00154216" w:rsidRPr="00154216" w:rsidRDefault="00154216" w:rsidP="00154216">
      <w:pPr>
        <w:pStyle w:val="SingleTxtG"/>
        <w:rPr>
          <w:lang w:val="es-ES_tradnl"/>
        </w:rPr>
      </w:pPr>
      <w:r w:rsidRPr="00154216">
        <w:rPr>
          <w:lang w:val="es-ES_tradnl"/>
        </w:rPr>
        <w:lastRenderedPageBreak/>
        <w:t>88.</w:t>
      </w:r>
      <w:r w:rsidRPr="00154216">
        <w:rPr>
          <w:lang w:val="es-ES_tradnl"/>
        </w:rPr>
        <w:tab/>
        <w:t xml:space="preserve">La campaña de </w:t>
      </w:r>
      <w:r w:rsidRPr="00154216">
        <w:rPr>
          <w:i/>
          <w:iCs/>
          <w:lang w:val="es-ES_tradnl"/>
        </w:rPr>
        <w:t>Confianza en la Discapacidad (</w:t>
      </w:r>
      <w:proofErr w:type="spellStart"/>
      <w:r w:rsidRPr="00154216">
        <w:rPr>
          <w:i/>
          <w:iCs/>
          <w:lang w:val="es-ES_tradnl"/>
        </w:rPr>
        <w:t>Disability</w:t>
      </w:r>
      <w:proofErr w:type="spellEnd"/>
      <w:r w:rsidRPr="00154216">
        <w:rPr>
          <w:i/>
          <w:iCs/>
          <w:lang w:val="es-ES_tradnl"/>
        </w:rPr>
        <w:t xml:space="preserve"> </w:t>
      </w:r>
      <w:proofErr w:type="spellStart"/>
      <w:r w:rsidRPr="00154216">
        <w:rPr>
          <w:i/>
          <w:iCs/>
          <w:lang w:val="es-ES_tradnl"/>
        </w:rPr>
        <w:t>Confident</w:t>
      </w:r>
      <w:proofErr w:type="spellEnd"/>
      <w:r w:rsidRPr="00154216">
        <w:rPr>
          <w:i/>
          <w:iCs/>
          <w:lang w:val="es-ES_tradnl"/>
        </w:rPr>
        <w:t>)</w:t>
      </w:r>
      <w:r w:rsidRPr="00154216">
        <w:rPr>
          <w:rStyle w:val="Refdenotaalfinal"/>
          <w:lang w:val="es-ES_tradnl"/>
        </w:rPr>
        <w:endnoteReference w:id="82"/>
      </w:r>
      <w:r w:rsidRPr="00154216">
        <w:rPr>
          <w:rStyle w:val="Refdenotaalfinal"/>
          <w:lang w:val="es-ES_tradnl"/>
        </w:rPr>
        <w:t xml:space="preserve"> </w:t>
      </w:r>
      <w:r w:rsidRPr="00154216">
        <w:rPr>
          <w:lang w:val="es-ES_tradnl"/>
        </w:rPr>
        <w:t>(2016</w:t>
      </w:r>
      <w:r w:rsidR="003742F5">
        <w:rPr>
          <w:lang w:val="es-ES_tradnl"/>
        </w:rPr>
        <w:t>-</w:t>
      </w:r>
      <w:r w:rsidRPr="00154216">
        <w:rPr>
          <w:lang w:val="es-ES_tradnl"/>
        </w:rPr>
        <w:t>2017) promovió las ventajas de emplear a personas con discapacidad y procuró cambiar las actitudes de los empleadores.</w:t>
      </w:r>
    </w:p>
    <w:p w14:paraId="3791D772" w14:textId="77777777" w:rsidR="00154216" w:rsidRPr="00154216" w:rsidRDefault="00154216" w:rsidP="00154216">
      <w:pPr>
        <w:pStyle w:val="SingleTxtG"/>
        <w:rPr>
          <w:lang w:val="es-ES_tradnl"/>
        </w:rPr>
      </w:pPr>
      <w:r w:rsidRPr="00154216">
        <w:rPr>
          <w:lang w:val="es-ES_tradnl"/>
        </w:rPr>
        <w:t>89.</w:t>
      </w:r>
      <w:r w:rsidRPr="00154216">
        <w:rPr>
          <w:lang w:val="es-ES_tradnl"/>
        </w:rPr>
        <w:tab/>
        <w:t>El Gobierno patrocina la semana de la lengua de señas neozelandesa, que ensalza esa lengua y crea conciencia de las cuestiones que conciernen a la comunidad sorda del país.</w:t>
      </w:r>
    </w:p>
    <w:p w14:paraId="7102FC8A" w14:textId="77777777" w:rsidR="00154216" w:rsidRPr="00154216" w:rsidRDefault="00154216" w:rsidP="00154216">
      <w:pPr>
        <w:pStyle w:val="SingleTxtG"/>
        <w:rPr>
          <w:lang w:val="es-ES_tradnl"/>
        </w:rPr>
      </w:pPr>
      <w:r w:rsidRPr="00154216">
        <w:rPr>
          <w:lang w:val="es-ES_tradnl"/>
        </w:rPr>
        <w:t>90.</w:t>
      </w:r>
      <w:r w:rsidRPr="00154216">
        <w:rPr>
          <w:lang w:val="es-ES_tradnl"/>
        </w:rPr>
        <w:tab/>
        <w:t xml:space="preserve">La respuesta a la pregunta 22 e) se refiere a las medidas para prevenir la intimidación. </w:t>
      </w:r>
    </w:p>
    <w:p w14:paraId="1A9F28F4" w14:textId="77777777" w:rsidR="00154216" w:rsidRPr="00154216" w:rsidRDefault="00154216" w:rsidP="0085075B">
      <w:pPr>
        <w:pStyle w:val="H23G"/>
        <w:rPr>
          <w:lang w:val="es-ES_tradnl"/>
        </w:rPr>
      </w:pPr>
      <w:r w:rsidRPr="00154216">
        <w:rPr>
          <w:lang w:val="es-ES_tradnl"/>
        </w:rPr>
        <w:tab/>
      </w:r>
      <w:r w:rsidRPr="00154216">
        <w:rPr>
          <w:lang w:val="es-ES_tradnl"/>
        </w:rPr>
        <w:tab/>
        <w:t xml:space="preserve">Respuesta al párrafo 8 b)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66F2E4FE" w14:textId="77777777" w:rsidR="00154216" w:rsidRPr="00154216" w:rsidRDefault="00154216" w:rsidP="00154216">
      <w:pPr>
        <w:pStyle w:val="SingleTxtG"/>
        <w:rPr>
          <w:lang w:val="es-ES_tradnl"/>
        </w:rPr>
      </w:pPr>
      <w:r w:rsidRPr="00154216">
        <w:rPr>
          <w:lang w:val="es-ES_tradnl"/>
        </w:rPr>
        <w:t>91.</w:t>
      </w:r>
      <w:r w:rsidRPr="00154216">
        <w:rPr>
          <w:lang w:val="es-ES_tradnl"/>
        </w:rPr>
        <w:tab/>
        <w:t>Mediante campañas en los medios de información se ha seguido promoviendo la Iniciativa Nacional contra la Depresión</w:t>
      </w:r>
      <w:r w:rsidR="003742F5" w:rsidRPr="00154216">
        <w:rPr>
          <w:rStyle w:val="Refdenotaalfinal"/>
          <w:lang w:val="es-ES_tradnl"/>
        </w:rPr>
        <w:endnoteReference w:id="83"/>
      </w:r>
      <w:r w:rsidRPr="00154216">
        <w:rPr>
          <w:lang w:val="es-ES_tradnl"/>
        </w:rPr>
        <w:t xml:space="preserve"> y el programa </w:t>
      </w:r>
      <w:r w:rsidRPr="00154216">
        <w:rPr>
          <w:i/>
          <w:iCs/>
          <w:lang w:val="es-ES_tradnl"/>
        </w:rPr>
        <w:t>Mentes Afines, como la Mía</w:t>
      </w:r>
      <w:r w:rsidRPr="00154216">
        <w:rPr>
          <w:lang w:val="es-ES_tradnl"/>
        </w:rPr>
        <w:t xml:space="preserve"> con el fin de acrecentar la inclusión social y reducir la estigmatización y discriminación de las personas que han padecido enfermedades mentales</w:t>
      </w:r>
      <w:r w:rsidR="0085075B">
        <w:rPr>
          <w:lang w:val="es-ES_tradnl"/>
        </w:rPr>
        <w:t>.</w:t>
      </w:r>
      <w:r w:rsidRPr="00154216">
        <w:rPr>
          <w:rStyle w:val="Refdenotaalfinal"/>
          <w:lang w:val="es-ES_tradnl"/>
        </w:rPr>
        <w:t xml:space="preserve"> </w:t>
      </w:r>
    </w:p>
    <w:p w14:paraId="0F47C1A3" w14:textId="77777777" w:rsidR="00154216" w:rsidRPr="00154216" w:rsidRDefault="00154216" w:rsidP="00154216">
      <w:pPr>
        <w:pStyle w:val="SingleTxtG"/>
        <w:rPr>
          <w:lang w:val="es-ES_tradnl"/>
        </w:rPr>
      </w:pPr>
      <w:r w:rsidRPr="00154216">
        <w:rPr>
          <w:lang w:val="es-ES_tradnl"/>
        </w:rPr>
        <w:t>92.</w:t>
      </w:r>
      <w:r w:rsidRPr="00154216">
        <w:rPr>
          <w:lang w:val="es-ES_tradnl"/>
        </w:rPr>
        <w:tab/>
        <w:t xml:space="preserve">Los medios de información presentaron varios artículos en publicaciones regionales sobre la campaña de </w:t>
      </w:r>
      <w:r w:rsidRPr="00154216">
        <w:rPr>
          <w:i/>
          <w:iCs/>
          <w:lang w:val="es-ES_tradnl"/>
        </w:rPr>
        <w:t>Confianza en la Discapacidad</w:t>
      </w:r>
      <w:r w:rsidRPr="00154216">
        <w:rPr>
          <w:lang w:val="es-ES_tradnl"/>
        </w:rPr>
        <w:t xml:space="preserve"> (véase la pregunta 8 a)).</w:t>
      </w:r>
    </w:p>
    <w:p w14:paraId="4EDC4A21" w14:textId="77777777" w:rsidR="00154216" w:rsidRPr="00154216" w:rsidRDefault="00154216" w:rsidP="0085075B">
      <w:pPr>
        <w:pStyle w:val="H23G"/>
        <w:rPr>
          <w:lang w:val="es-ES_tradnl"/>
        </w:rPr>
      </w:pPr>
      <w:r w:rsidRPr="00154216">
        <w:rPr>
          <w:lang w:val="es-ES_tradnl"/>
        </w:rPr>
        <w:tab/>
      </w:r>
      <w:r w:rsidRPr="00154216">
        <w:rPr>
          <w:lang w:val="es-ES_tradnl"/>
        </w:rPr>
        <w:tab/>
        <w:t xml:space="preserve">Respuesta al párrafo 8 c)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7414AB80" w14:textId="77777777" w:rsidR="00154216" w:rsidRPr="00154216" w:rsidRDefault="00154216" w:rsidP="00154216">
      <w:pPr>
        <w:pStyle w:val="SingleTxtG"/>
        <w:rPr>
          <w:lang w:val="es-ES_tradnl"/>
        </w:rPr>
      </w:pPr>
      <w:r w:rsidRPr="00154216">
        <w:rPr>
          <w:lang w:val="es-ES_tradnl"/>
        </w:rPr>
        <w:t>93.</w:t>
      </w:r>
      <w:r w:rsidRPr="00154216">
        <w:rPr>
          <w:lang w:val="es-ES_tradnl"/>
        </w:rPr>
        <w:tab/>
        <w:t xml:space="preserve">La Estrategia sobre la Discapacidad afirma que la vida de las personas con discapacidad tiene el mismo valor que la de las personas sin discapacidad. </w:t>
      </w:r>
    </w:p>
    <w:p w14:paraId="580453B2" w14:textId="77777777" w:rsidR="00154216" w:rsidRPr="00154216" w:rsidRDefault="00154216" w:rsidP="00154216">
      <w:pPr>
        <w:pStyle w:val="SingleTxtG"/>
        <w:rPr>
          <w:lang w:val="es-ES_tradnl"/>
        </w:rPr>
      </w:pPr>
      <w:r w:rsidRPr="00154216">
        <w:rPr>
          <w:lang w:val="es-ES_tradnl"/>
        </w:rPr>
        <w:t>94.</w:t>
      </w:r>
      <w:r w:rsidRPr="00154216">
        <w:rPr>
          <w:lang w:val="es-ES_tradnl"/>
        </w:rPr>
        <w:tab/>
        <w:t>Véase la respuesta a la pregunta 8 a).</w:t>
      </w:r>
    </w:p>
    <w:p w14:paraId="390BB9CB" w14:textId="77777777" w:rsidR="00154216" w:rsidRPr="00154216" w:rsidRDefault="00154216" w:rsidP="0085075B">
      <w:pPr>
        <w:pStyle w:val="H23G"/>
        <w:rPr>
          <w:lang w:val="es-ES_tradnl"/>
        </w:rPr>
      </w:pPr>
      <w:r w:rsidRPr="00154216">
        <w:rPr>
          <w:lang w:val="es-ES_tradnl"/>
        </w:rPr>
        <w:tab/>
      </w:r>
      <w:r w:rsidRPr="00154216">
        <w:rPr>
          <w:lang w:val="es-ES_tradnl"/>
        </w:rPr>
        <w:tab/>
        <w:t xml:space="preserve">Respuesta al párrafo 9 a)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11E36A54" w14:textId="77777777" w:rsidR="00154216" w:rsidRPr="00154216" w:rsidRDefault="00154216" w:rsidP="00154216">
      <w:pPr>
        <w:pStyle w:val="SingleTxtG"/>
        <w:rPr>
          <w:lang w:val="es-ES_tradnl"/>
        </w:rPr>
      </w:pPr>
      <w:r w:rsidRPr="00154216">
        <w:rPr>
          <w:lang w:val="es-ES_tradnl"/>
        </w:rPr>
        <w:t>95.</w:t>
      </w:r>
      <w:r w:rsidRPr="00154216">
        <w:rPr>
          <w:lang w:val="es-ES_tradnl"/>
        </w:rPr>
        <w:tab/>
        <w:t xml:space="preserve">La Ley de la Construcción de 2004 exige que se provea a lo necesario y razonable para que las personas con discapacidad puedan visitar los edificios públicos o trabajar en ellos. También exige la reforma progresiva de los edificios ya existentes. Los requisitos de la construcción figuran en el Código de Construcción de Nueva Zelandia. </w:t>
      </w:r>
    </w:p>
    <w:p w14:paraId="5C72DA3A" w14:textId="77777777" w:rsidR="00154216" w:rsidRPr="00154216" w:rsidRDefault="00154216" w:rsidP="00154216">
      <w:pPr>
        <w:pStyle w:val="SingleTxtG"/>
        <w:rPr>
          <w:lang w:val="es-ES_tradnl"/>
        </w:rPr>
      </w:pPr>
      <w:r w:rsidRPr="00154216">
        <w:rPr>
          <w:lang w:val="es-ES_tradnl"/>
        </w:rPr>
        <w:t>96.</w:t>
      </w:r>
      <w:r w:rsidRPr="00154216">
        <w:rPr>
          <w:lang w:val="es-ES_tradnl"/>
        </w:rPr>
        <w:tab/>
        <w:t xml:space="preserve">Las autoridades territoriales de gobierno local verifican si los edificios satisfacen los requisitos de accesibilidad en el momento de su construcción o reforma. </w:t>
      </w:r>
    </w:p>
    <w:p w14:paraId="3D2AC860" w14:textId="77777777" w:rsidR="00154216" w:rsidRPr="00154216" w:rsidRDefault="00154216" w:rsidP="00154216">
      <w:pPr>
        <w:pStyle w:val="SingleTxtG"/>
        <w:rPr>
          <w:lang w:val="es-ES_tradnl"/>
        </w:rPr>
      </w:pPr>
      <w:r w:rsidRPr="00154216">
        <w:rPr>
          <w:lang w:val="es-ES_tradnl"/>
        </w:rPr>
        <w:t>97.</w:t>
      </w:r>
      <w:r w:rsidRPr="00154216">
        <w:rPr>
          <w:lang w:val="es-ES_tradnl"/>
        </w:rPr>
        <w:tab/>
        <w:t xml:space="preserve">En enero de 2019 se publicó una guía para el diseño de edificios públicos accesibles, </w:t>
      </w:r>
      <w:r w:rsidRPr="00154216">
        <w:rPr>
          <w:i/>
          <w:iCs/>
          <w:lang w:val="es-ES_tradnl"/>
        </w:rPr>
        <w:t>Edificios para todos</w:t>
      </w:r>
      <w:r w:rsidRPr="00154216">
        <w:rPr>
          <w:lang w:val="es-ES_tradnl"/>
        </w:rPr>
        <w:t>, que fue preparada en colaboración con el sector de la discapacidad</w:t>
      </w:r>
      <w:r w:rsidRPr="00154216">
        <w:rPr>
          <w:rStyle w:val="Refdenotaalfinal"/>
          <w:lang w:val="es-ES_tradnl"/>
        </w:rPr>
        <w:endnoteReference w:id="84"/>
      </w:r>
      <w:r w:rsidR="00114E26">
        <w:rPr>
          <w:lang w:val="es-ES_tradnl"/>
        </w:rPr>
        <w:t>.</w:t>
      </w:r>
      <w:r w:rsidRPr="00154216">
        <w:rPr>
          <w:rStyle w:val="Refdenotaalfinal"/>
          <w:lang w:val="es-ES_tradnl"/>
        </w:rPr>
        <w:t xml:space="preserve"> </w:t>
      </w:r>
      <w:r w:rsidRPr="00154216">
        <w:rPr>
          <w:lang w:val="es-ES_tradnl"/>
        </w:rPr>
        <w:t>Véase la introducción.</w:t>
      </w:r>
    </w:p>
    <w:p w14:paraId="2D55D488" w14:textId="77777777" w:rsidR="00154216" w:rsidRPr="00154216" w:rsidRDefault="00154216" w:rsidP="0085075B">
      <w:pPr>
        <w:pStyle w:val="H23G"/>
        <w:rPr>
          <w:lang w:val="es-ES_tradnl"/>
        </w:rPr>
      </w:pPr>
      <w:r w:rsidRPr="00154216">
        <w:rPr>
          <w:lang w:val="es-ES_tradnl"/>
        </w:rPr>
        <w:tab/>
      </w:r>
      <w:r w:rsidRPr="00154216">
        <w:rPr>
          <w:lang w:val="es-ES_tradnl"/>
        </w:rPr>
        <w:tab/>
        <w:t xml:space="preserve">Respuesta al párrafo 9 b)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50C72E16" w14:textId="77777777" w:rsidR="00154216" w:rsidRPr="00154216" w:rsidRDefault="00154216" w:rsidP="00154216">
      <w:pPr>
        <w:pStyle w:val="SingleTxtG"/>
        <w:rPr>
          <w:lang w:val="es-ES_tradnl"/>
        </w:rPr>
      </w:pPr>
      <w:r w:rsidRPr="00154216">
        <w:rPr>
          <w:lang w:val="es-ES_tradnl"/>
        </w:rPr>
        <w:t>98.</w:t>
      </w:r>
      <w:r w:rsidRPr="00154216">
        <w:rPr>
          <w:lang w:val="es-ES_tradnl"/>
        </w:rPr>
        <w:tab/>
        <w:t xml:space="preserve">No se tiene proyectado enmendar la Ley de la Construcción de 2004 para eliminar la disposición vigente desde 1975 que exime de los requisitos de accesibilidad a las fábricas y edificios industriales pequeños. </w:t>
      </w:r>
    </w:p>
    <w:p w14:paraId="043FE32E" w14:textId="77777777" w:rsidR="00154216" w:rsidRPr="00154216" w:rsidRDefault="00154216" w:rsidP="0085075B">
      <w:pPr>
        <w:pStyle w:val="H23G"/>
        <w:rPr>
          <w:lang w:val="es-ES_tradnl"/>
        </w:rPr>
      </w:pPr>
      <w:r w:rsidRPr="00154216">
        <w:rPr>
          <w:lang w:val="es-ES_tradnl"/>
        </w:rPr>
        <w:tab/>
      </w:r>
      <w:r w:rsidRPr="00154216">
        <w:rPr>
          <w:lang w:val="es-ES_tradnl"/>
        </w:rPr>
        <w:tab/>
        <w:t xml:space="preserve">Respuesta al párrafo 9 c)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21FAFF61" w14:textId="77777777" w:rsidR="00154216" w:rsidRPr="00154216" w:rsidRDefault="00154216" w:rsidP="00154216">
      <w:pPr>
        <w:pStyle w:val="SingleTxtG"/>
        <w:rPr>
          <w:lang w:val="es-ES_tradnl"/>
        </w:rPr>
      </w:pPr>
      <w:r w:rsidRPr="00154216">
        <w:rPr>
          <w:lang w:val="es-ES_tradnl"/>
        </w:rPr>
        <w:t>99.</w:t>
      </w:r>
      <w:r w:rsidRPr="00154216">
        <w:rPr>
          <w:lang w:val="es-ES_tradnl"/>
        </w:rPr>
        <w:tab/>
        <w:t>Las autoridades locales poseen o controlan la mayoría de los espacios públicos. No hay ninguna medida específica que garantice a las personas con discapacidad el acceso universal a los espacios públicos.</w:t>
      </w:r>
    </w:p>
    <w:p w14:paraId="3523F166" w14:textId="77777777" w:rsidR="00154216" w:rsidRPr="00154216" w:rsidRDefault="00154216" w:rsidP="00154216">
      <w:pPr>
        <w:pStyle w:val="SingleTxtG"/>
        <w:rPr>
          <w:lang w:val="es-ES_tradnl"/>
        </w:rPr>
      </w:pPr>
      <w:r w:rsidRPr="00154216">
        <w:rPr>
          <w:lang w:val="es-ES_tradnl"/>
        </w:rPr>
        <w:t>100.</w:t>
      </w:r>
      <w:r w:rsidRPr="00154216">
        <w:rPr>
          <w:lang w:val="es-ES_tradnl"/>
        </w:rPr>
        <w:tab/>
        <w:t>La normativa y los recursos actuales para los espacios públicos comprenden:</w:t>
      </w:r>
    </w:p>
    <w:p w14:paraId="3EF0A2A2" w14:textId="77777777" w:rsidR="00154216" w:rsidRPr="00154216" w:rsidRDefault="00154216" w:rsidP="0085075B">
      <w:pPr>
        <w:pStyle w:val="Bullet1G"/>
        <w:rPr>
          <w:lang w:val="es-ES_tradnl"/>
        </w:rPr>
      </w:pPr>
      <w:r w:rsidRPr="00154216">
        <w:rPr>
          <w:lang w:val="es-ES_tradnl"/>
        </w:rPr>
        <w:t>La Ley de Gobierno Local de 2002, que imparte orientación sobre las medidas para garantizar el acceso seguro a los espacios públicos (como bibliotecas, museos, reservas y otras instalaciones de esparcimiento y servicios comunitarios)</w:t>
      </w:r>
      <w:r w:rsidR="0085075B">
        <w:rPr>
          <w:lang w:val="es-ES_tradnl"/>
        </w:rPr>
        <w:t>.</w:t>
      </w:r>
    </w:p>
    <w:p w14:paraId="309BECC1" w14:textId="77777777" w:rsidR="00154216" w:rsidRPr="00154216" w:rsidRDefault="00154216" w:rsidP="0085075B">
      <w:pPr>
        <w:pStyle w:val="Bullet1G"/>
        <w:rPr>
          <w:lang w:val="es-ES_tradnl"/>
        </w:rPr>
      </w:pPr>
      <w:r w:rsidRPr="00154216">
        <w:rPr>
          <w:lang w:val="es-ES_tradnl"/>
        </w:rPr>
        <w:t>La Ley de Gestión de los Recursos de 1991, que prevé que los proyectos de obras en el medio ambiente (incluidos los espacios públicos) acaten las disposiciones de la Ley de la Construcción de 2004 y la Ley de Gobierno Local de 2002</w:t>
      </w:r>
      <w:r w:rsidR="0085075B">
        <w:rPr>
          <w:lang w:val="es-ES_tradnl"/>
        </w:rPr>
        <w:t>.</w:t>
      </w:r>
    </w:p>
    <w:p w14:paraId="68D68206" w14:textId="77777777" w:rsidR="00154216" w:rsidRPr="00154216" w:rsidRDefault="00154216" w:rsidP="0085075B">
      <w:pPr>
        <w:pStyle w:val="Bullet1G"/>
        <w:rPr>
          <w:lang w:val="es-ES_tradnl"/>
        </w:rPr>
      </w:pPr>
      <w:r w:rsidRPr="00154216">
        <w:rPr>
          <w:lang w:val="es-ES_tradnl"/>
        </w:rPr>
        <w:t>El Protocolo de Diseño Urbano de Nueva Zelandia</w:t>
      </w:r>
      <w:r w:rsidRPr="00154216">
        <w:rPr>
          <w:rStyle w:val="Refdenotaalfinal"/>
          <w:lang w:val="es-ES_tradnl"/>
        </w:rPr>
        <w:endnoteReference w:id="85"/>
      </w:r>
      <w:r w:rsidR="0085075B">
        <w:rPr>
          <w:lang w:val="es-ES_tradnl"/>
        </w:rPr>
        <w:t>,</w:t>
      </w:r>
      <w:r w:rsidRPr="00154216">
        <w:rPr>
          <w:rStyle w:val="Refdenotaalfinal"/>
          <w:lang w:val="es-ES_tradnl"/>
        </w:rPr>
        <w:t xml:space="preserve"> </w:t>
      </w:r>
      <w:r w:rsidRPr="00154216">
        <w:rPr>
          <w:lang w:val="es-ES_tradnl"/>
        </w:rPr>
        <w:t>según el cual un trazado urbano de calidad garantiza la accesibilidad de los espacios públicos para todos, incluidas las personas con discapacidad</w:t>
      </w:r>
      <w:r w:rsidR="0085075B">
        <w:rPr>
          <w:lang w:val="es-ES_tradnl"/>
        </w:rPr>
        <w:t>.</w:t>
      </w:r>
    </w:p>
    <w:p w14:paraId="08471F30" w14:textId="77777777" w:rsidR="00154216" w:rsidRPr="00154216" w:rsidRDefault="00154216" w:rsidP="0085075B">
      <w:pPr>
        <w:pStyle w:val="Bullet1G"/>
        <w:rPr>
          <w:lang w:val="es-ES_tradnl"/>
        </w:rPr>
      </w:pPr>
      <w:r w:rsidRPr="00154216">
        <w:rPr>
          <w:lang w:val="es-ES_tradnl"/>
        </w:rPr>
        <w:lastRenderedPageBreak/>
        <w:t xml:space="preserve">Las </w:t>
      </w:r>
      <w:r w:rsidRPr="00154216">
        <w:rPr>
          <w:i/>
          <w:iCs/>
          <w:lang w:val="es-ES_tradnl"/>
        </w:rPr>
        <w:t>Directrices sobre las instalaciones para los peatones ciegos y con deficiencias visuales</w:t>
      </w:r>
      <w:r w:rsidRPr="00154216">
        <w:rPr>
          <w:lang w:val="es-ES_tradnl"/>
        </w:rPr>
        <w:t>, que presentan las mejores prácticas de diseño y los principios de emplazamiento de las instalaciones peatonales que ayudan a las personas ciegas, con escasa visión o con problemas de movilidad</w:t>
      </w:r>
      <w:r w:rsidRPr="00154216">
        <w:rPr>
          <w:rStyle w:val="Refdenotaalfinal"/>
          <w:lang w:val="es-ES_tradnl"/>
        </w:rPr>
        <w:endnoteReference w:id="86"/>
      </w:r>
      <w:r w:rsidR="0085075B">
        <w:rPr>
          <w:lang w:val="es-ES_tradnl"/>
        </w:rPr>
        <w:t>.</w:t>
      </w:r>
      <w:r w:rsidRPr="00154216">
        <w:rPr>
          <w:rStyle w:val="Refdenotaalfinal"/>
          <w:lang w:val="es-ES_tradnl"/>
        </w:rPr>
        <w:t xml:space="preserve"> </w:t>
      </w:r>
      <w:r w:rsidRPr="00154216">
        <w:rPr>
          <w:lang w:val="es-ES_tradnl"/>
        </w:rPr>
        <w:t>Las directrices fueron actualizadas en</w:t>
      </w:r>
      <w:r w:rsidR="003742F5">
        <w:rPr>
          <w:lang w:val="es-ES_tradnl"/>
        </w:rPr>
        <w:t> </w:t>
      </w:r>
      <w:r w:rsidRPr="00154216">
        <w:rPr>
          <w:lang w:val="es-ES_tradnl"/>
        </w:rPr>
        <w:t>2015 y revisadas por el Organismo de Transporte en 2018</w:t>
      </w:r>
      <w:r w:rsidR="0085075B">
        <w:rPr>
          <w:lang w:val="es-ES_tradnl"/>
        </w:rPr>
        <w:t>.</w:t>
      </w:r>
    </w:p>
    <w:p w14:paraId="2B842358" w14:textId="77777777" w:rsidR="00154216" w:rsidRPr="00154216" w:rsidRDefault="00154216" w:rsidP="0085075B">
      <w:pPr>
        <w:pStyle w:val="Bullet1G"/>
        <w:rPr>
          <w:lang w:val="es-ES_tradnl"/>
        </w:rPr>
      </w:pPr>
      <w:r w:rsidRPr="00154216">
        <w:rPr>
          <w:lang w:val="es-ES_tradnl"/>
        </w:rPr>
        <w:t xml:space="preserve">La </w:t>
      </w:r>
      <w:r w:rsidRPr="00154216">
        <w:rPr>
          <w:i/>
          <w:iCs/>
          <w:lang w:val="es-ES_tradnl"/>
        </w:rPr>
        <w:t>Guía de planificación y trazado de vías peatonales</w:t>
      </w:r>
      <w:r w:rsidRPr="00154216">
        <w:rPr>
          <w:rStyle w:val="Refdenotaalfinal"/>
          <w:lang w:val="es-ES_tradnl"/>
        </w:rPr>
        <w:endnoteReference w:id="87"/>
      </w:r>
      <w:r w:rsidR="0085075B">
        <w:rPr>
          <w:iCs/>
          <w:lang w:val="es-ES_tradnl"/>
        </w:rPr>
        <w:t>,</w:t>
      </w:r>
      <w:r w:rsidRPr="00154216">
        <w:rPr>
          <w:rStyle w:val="Refdenotaalfinal"/>
          <w:lang w:val="es-ES_tradnl"/>
        </w:rPr>
        <w:t xml:space="preserve"> </w:t>
      </w:r>
      <w:r w:rsidRPr="00154216">
        <w:rPr>
          <w:lang w:val="es-ES_tradnl"/>
        </w:rPr>
        <w:t>que ofrece orientación y ejemplos de prácticas óptimas en relación con los espacios peatonales para todo tipo de usuarios, incluidos los que tienen problemas de movilidad. La guía se revisó en</w:t>
      </w:r>
      <w:r w:rsidR="0085075B">
        <w:rPr>
          <w:lang w:val="es-ES_tradnl"/>
        </w:rPr>
        <w:t> </w:t>
      </w:r>
      <w:r w:rsidRPr="00154216">
        <w:rPr>
          <w:lang w:val="es-ES_tradnl"/>
        </w:rPr>
        <w:t>2018 y se pondrá al día en 2019/2020 con un curso actualizado de formación peatonal para el sector del transporte.</w:t>
      </w:r>
    </w:p>
    <w:p w14:paraId="074CB593" w14:textId="77777777" w:rsidR="00154216" w:rsidRPr="00154216" w:rsidRDefault="00154216" w:rsidP="0085075B">
      <w:pPr>
        <w:pStyle w:val="H23G"/>
        <w:rPr>
          <w:lang w:val="es-ES_tradnl"/>
        </w:rPr>
      </w:pPr>
      <w:r w:rsidRPr="00154216">
        <w:rPr>
          <w:lang w:val="es-ES_tradnl"/>
        </w:rPr>
        <w:tab/>
      </w:r>
      <w:r w:rsidRPr="00154216">
        <w:rPr>
          <w:lang w:val="es-ES_tradnl"/>
        </w:rPr>
        <w:tab/>
        <w:t xml:space="preserve">Respuesta al párrafo 9 d)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24DE6A46" w14:textId="77777777" w:rsidR="00154216" w:rsidRPr="00154216" w:rsidRDefault="00154216" w:rsidP="00154216">
      <w:pPr>
        <w:pStyle w:val="SingleTxtG"/>
        <w:rPr>
          <w:lang w:val="es-ES_tradnl"/>
        </w:rPr>
      </w:pPr>
      <w:r w:rsidRPr="00154216">
        <w:rPr>
          <w:lang w:val="es-ES_tradnl"/>
        </w:rPr>
        <w:t>101.</w:t>
      </w:r>
      <w:r w:rsidRPr="00154216">
        <w:rPr>
          <w:lang w:val="es-ES_tradnl"/>
        </w:rPr>
        <w:tab/>
        <w:t>La Estrategia sobre la Discapacidad promueve el diseño universal como criterio de aplicación de la Estrategia.</w:t>
      </w:r>
    </w:p>
    <w:p w14:paraId="039FB6CE" w14:textId="77777777" w:rsidR="00154216" w:rsidRPr="00154216" w:rsidRDefault="00154216" w:rsidP="00154216">
      <w:pPr>
        <w:pStyle w:val="SingleTxtG"/>
        <w:rPr>
          <w:lang w:val="es-ES_tradnl"/>
        </w:rPr>
      </w:pPr>
      <w:r w:rsidRPr="00154216">
        <w:rPr>
          <w:lang w:val="es-ES_tradnl"/>
        </w:rPr>
        <w:t>102.</w:t>
      </w:r>
      <w:r w:rsidRPr="00154216">
        <w:rPr>
          <w:lang w:val="es-ES_tradnl"/>
        </w:rPr>
        <w:tab/>
        <w:t>El Ministro de Vivienda y Desarrollo Urbano y Transporte</w:t>
      </w:r>
      <w:r w:rsidRPr="00154216">
        <w:rPr>
          <w:rStyle w:val="Refdenotaalfinal"/>
          <w:lang w:val="es-ES_tradnl"/>
        </w:rPr>
        <w:endnoteReference w:id="88"/>
      </w:r>
      <w:r w:rsidRPr="00154216">
        <w:rPr>
          <w:rStyle w:val="Refdenotaalfinal"/>
          <w:lang w:val="es-ES_tradnl"/>
        </w:rPr>
        <w:t xml:space="preserve"> </w:t>
      </w:r>
      <w:r w:rsidRPr="00154216">
        <w:rPr>
          <w:lang w:val="es-ES_tradnl"/>
        </w:rPr>
        <w:t xml:space="preserve">ha hecho una serie de declaraciones en apoyo del diseño universal en estos ámbitos. </w:t>
      </w:r>
    </w:p>
    <w:p w14:paraId="2134B93B" w14:textId="77777777" w:rsidR="00154216" w:rsidRPr="00154216" w:rsidRDefault="00154216" w:rsidP="00154216">
      <w:pPr>
        <w:pStyle w:val="SingleTxtG"/>
        <w:rPr>
          <w:lang w:val="es-ES_tradnl"/>
        </w:rPr>
      </w:pPr>
      <w:r w:rsidRPr="00154216">
        <w:rPr>
          <w:lang w:val="es-ES_tradnl"/>
        </w:rPr>
        <w:t>103.</w:t>
      </w:r>
      <w:r w:rsidRPr="00154216">
        <w:rPr>
          <w:lang w:val="es-ES_tradnl"/>
        </w:rPr>
        <w:tab/>
        <w:t>Los siguientes son ejemplos de la aplicación gubernamental de los principios de diseño universal:</w:t>
      </w:r>
    </w:p>
    <w:p w14:paraId="7EB2CF57" w14:textId="77777777" w:rsidR="00154216" w:rsidRPr="00154216" w:rsidRDefault="00154216" w:rsidP="0085075B">
      <w:pPr>
        <w:pStyle w:val="Bullet1G"/>
        <w:rPr>
          <w:lang w:val="es-ES_tradnl"/>
        </w:rPr>
      </w:pPr>
      <w:r w:rsidRPr="00154216">
        <w:rPr>
          <w:lang w:val="es-ES_tradnl"/>
        </w:rPr>
        <w:t>La Ley de la Construcción de 2004, que exige que se provea a lo necesario y razonable para que las personas con discapacidad puedan visitar los edificios públicos o trabajar en ellos.</w:t>
      </w:r>
    </w:p>
    <w:p w14:paraId="2CC944AD" w14:textId="77777777" w:rsidR="00154216" w:rsidRPr="00154216" w:rsidRDefault="00154216" w:rsidP="0085075B">
      <w:pPr>
        <w:pStyle w:val="Bullet1G"/>
        <w:rPr>
          <w:lang w:val="es-ES_tradnl"/>
        </w:rPr>
      </w:pPr>
      <w:r w:rsidRPr="00154216">
        <w:rPr>
          <w:lang w:val="es-ES_tradnl"/>
        </w:rPr>
        <w:t>La incorporación de los principios de diseño universal en las normas de construcción para las nuevas edificaciones de la Corporación de la Vivienda de Nueva Zelandia</w:t>
      </w:r>
      <w:r w:rsidRPr="00154216">
        <w:rPr>
          <w:rStyle w:val="Refdenotaalfinal"/>
          <w:lang w:val="es-ES_tradnl"/>
        </w:rPr>
        <w:endnoteReference w:id="89"/>
      </w:r>
      <w:r w:rsidR="0085075B">
        <w:rPr>
          <w:lang w:val="es-ES_tradnl"/>
        </w:rPr>
        <w:t>.</w:t>
      </w:r>
    </w:p>
    <w:p w14:paraId="405C754B" w14:textId="77777777" w:rsidR="00154216" w:rsidRPr="00154216" w:rsidRDefault="00154216" w:rsidP="0085075B">
      <w:pPr>
        <w:pStyle w:val="Bullet1G"/>
        <w:rPr>
          <w:lang w:val="es-ES_tradnl"/>
        </w:rPr>
      </w:pPr>
      <w:r w:rsidRPr="00154216">
        <w:rPr>
          <w:lang w:val="es-ES_tradnl"/>
        </w:rPr>
        <w:t xml:space="preserve">A lo largo del próximo decenio, el Gobierno se propone construir 100.000 viviendas asequibles para compradores de una primera vivienda mediante su programa </w:t>
      </w:r>
      <w:proofErr w:type="spellStart"/>
      <w:r w:rsidRPr="00154216">
        <w:rPr>
          <w:lang w:val="es-ES_tradnl"/>
        </w:rPr>
        <w:t>KiwiBuild</w:t>
      </w:r>
      <w:proofErr w:type="spellEnd"/>
      <w:r w:rsidRPr="00154216">
        <w:rPr>
          <w:rStyle w:val="Refdenotaalfinal"/>
          <w:lang w:val="es-ES_tradnl"/>
        </w:rPr>
        <w:endnoteReference w:id="90"/>
      </w:r>
      <w:r w:rsidR="0085075B">
        <w:rPr>
          <w:lang w:val="es-ES_tradnl"/>
        </w:rPr>
        <w:t>.</w:t>
      </w:r>
      <w:r w:rsidRPr="00154216">
        <w:rPr>
          <w:rStyle w:val="Refdenotaalfinal"/>
          <w:lang w:val="es-ES_tradnl"/>
        </w:rPr>
        <w:t xml:space="preserve"> </w:t>
      </w:r>
      <w:r w:rsidRPr="00154216">
        <w:rPr>
          <w:lang w:val="es-ES_tradnl"/>
        </w:rPr>
        <w:t xml:space="preserve">En el marco de su programa de vivienda general, el Gobierno examinará de qué manera </w:t>
      </w:r>
      <w:proofErr w:type="spellStart"/>
      <w:r w:rsidRPr="00154216">
        <w:rPr>
          <w:lang w:val="es-ES_tradnl"/>
        </w:rPr>
        <w:t>KiwiBuild</w:t>
      </w:r>
      <w:proofErr w:type="spellEnd"/>
      <w:r w:rsidRPr="00154216">
        <w:rPr>
          <w:lang w:val="es-ES_tradnl"/>
        </w:rPr>
        <w:t xml:space="preserve"> puede atender las diferentes necesidades de una variada gama de hogares, incluidos los de personas con discapacidad. Las pautas del diseño universal son uno de los aspectos que han de considerarse a medida que vaya aumentando la escala del programa.</w:t>
      </w:r>
    </w:p>
    <w:p w14:paraId="360C8CEC" w14:textId="77777777" w:rsidR="00154216" w:rsidRPr="00154216" w:rsidRDefault="00154216" w:rsidP="00154216">
      <w:pPr>
        <w:pStyle w:val="SingleTxtG"/>
        <w:rPr>
          <w:b/>
          <w:lang w:val="es-ES_tradnl"/>
        </w:rPr>
      </w:pPr>
      <w:r w:rsidRPr="00154216">
        <w:rPr>
          <w:lang w:val="es-ES_tradnl"/>
        </w:rPr>
        <w:t>104.</w:t>
      </w:r>
      <w:r w:rsidRPr="00154216">
        <w:rPr>
          <w:lang w:val="es-ES_tradnl"/>
        </w:rPr>
        <w:tab/>
        <w:t xml:space="preserve">El Gabinete ha acordado </w:t>
      </w:r>
      <w:r>
        <w:rPr>
          <w:lang w:val="es-ES_tradnl"/>
        </w:rPr>
        <w:t>“</w:t>
      </w:r>
      <w:r w:rsidRPr="00154216">
        <w:rPr>
          <w:lang w:val="es-ES_tradnl"/>
        </w:rPr>
        <w:t>dar inicio a la elaboración de una metodología para lograr la plena accesibilidad en Nueva Zelandia, en colaboración con las partes interesadas</w:t>
      </w:r>
      <w:r>
        <w:rPr>
          <w:lang w:val="es-ES_tradnl"/>
        </w:rPr>
        <w:t>”</w:t>
      </w:r>
      <w:r w:rsidRPr="00154216">
        <w:rPr>
          <w:lang w:val="es-ES_tradnl"/>
        </w:rPr>
        <w:t>.</w:t>
      </w:r>
    </w:p>
    <w:p w14:paraId="1A8708F0" w14:textId="77777777" w:rsidR="00154216" w:rsidRPr="00154216" w:rsidRDefault="00154216" w:rsidP="0085075B">
      <w:pPr>
        <w:pStyle w:val="H23G"/>
        <w:rPr>
          <w:lang w:val="es-ES_tradnl"/>
        </w:rPr>
      </w:pPr>
      <w:r w:rsidRPr="00154216">
        <w:rPr>
          <w:lang w:val="es-ES_tradnl"/>
        </w:rPr>
        <w:tab/>
      </w:r>
      <w:r w:rsidRPr="00154216">
        <w:rPr>
          <w:lang w:val="es-ES_tradnl"/>
        </w:rPr>
        <w:tab/>
        <w:t xml:space="preserve">Respuesta al párrafo 9 e)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496E9270" w14:textId="77777777" w:rsidR="00154216" w:rsidRPr="0085075B" w:rsidRDefault="0085075B" w:rsidP="0085075B">
      <w:pPr>
        <w:pStyle w:val="H23G"/>
        <w:rPr>
          <w:rStyle w:val="Refdenotaalfinal"/>
          <w:lang w:val="es-ES_tradnl"/>
        </w:rPr>
      </w:pPr>
      <w:r>
        <w:rPr>
          <w:lang w:val="es-ES_tradnl"/>
        </w:rPr>
        <w:tab/>
      </w:r>
      <w:r>
        <w:rPr>
          <w:lang w:val="es-ES_tradnl"/>
        </w:rPr>
        <w:tab/>
      </w:r>
      <w:r w:rsidR="00154216" w:rsidRPr="003742F5">
        <w:rPr>
          <w:b w:val="0"/>
          <w:bCs/>
          <w:lang w:val="es-ES_tradnl"/>
        </w:rPr>
        <w:t>Cuadro</w:t>
      </w:r>
      <w:r>
        <w:rPr>
          <w:lang w:val="es-ES_tradnl"/>
        </w:rPr>
        <w:br/>
      </w:r>
      <w:r w:rsidR="00154216" w:rsidRPr="0085075B">
        <w:rPr>
          <w:lang w:val="es-ES_tradnl"/>
        </w:rPr>
        <w:t>Número de taxis con elevadores de sillas de ruedas</w:t>
      </w:r>
      <w:r w:rsidR="00154216" w:rsidRPr="0085075B">
        <w:rPr>
          <w:rStyle w:val="Refdenotaalfinal"/>
          <w:b w:val="0"/>
          <w:bCs/>
          <w:lang w:val="es-ES_tradnl"/>
        </w:rPr>
        <w:endnoteReference w:id="91"/>
      </w:r>
    </w:p>
    <w:tbl>
      <w:tblPr>
        <w:tblStyle w:val="TableGridLight1"/>
        <w:tblW w:w="7370" w:type="dxa"/>
        <w:tblInd w:w="1134" w:type="dxa"/>
        <w:tblBorders>
          <w:top w:val="single" w:sz="4" w:space="0" w:color="auto"/>
          <w:left w:val="none" w:sz="0" w:space="0" w:color="auto"/>
          <w:bottom w:val="single" w:sz="12" w:space="0" w:color="auto"/>
          <w:right w:val="none" w:sz="0" w:space="0" w:color="auto"/>
          <w:insideH w:val="single" w:sz="12" w:space="0" w:color="auto"/>
          <w:insideV w:val="none" w:sz="0" w:space="0" w:color="auto"/>
        </w:tblBorders>
        <w:tblCellMar>
          <w:left w:w="0" w:type="dxa"/>
          <w:right w:w="0" w:type="dxa"/>
        </w:tblCellMar>
        <w:tblLook w:val="04A0" w:firstRow="1" w:lastRow="0" w:firstColumn="1" w:lastColumn="0" w:noHBand="0" w:noVBand="1"/>
      </w:tblPr>
      <w:tblGrid>
        <w:gridCol w:w="2410"/>
        <w:gridCol w:w="992"/>
        <w:gridCol w:w="993"/>
        <w:gridCol w:w="992"/>
        <w:gridCol w:w="992"/>
        <w:gridCol w:w="991"/>
      </w:tblGrid>
      <w:tr w:rsidR="006D3099" w:rsidRPr="00D23BF6" w14:paraId="2D15A495" w14:textId="77777777" w:rsidTr="006D3099">
        <w:trPr>
          <w:trHeight w:val="240"/>
          <w:tblHeader/>
        </w:trPr>
        <w:tc>
          <w:tcPr>
            <w:tcW w:w="2410" w:type="dxa"/>
            <w:shd w:val="clear" w:color="auto" w:fill="auto"/>
            <w:vAlign w:val="bottom"/>
            <w:hideMark/>
          </w:tcPr>
          <w:p w14:paraId="31F4B5D2" w14:textId="77777777" w:rsidR="00154216" w:rsidRPr="00D23BF6" w:rsidRDefault="00154216" w:rsidP="00D23BF6">
            <w:pPr>
              <w:pStyle w:val="SingleTxtG"/>
              <w:spacing w:before="80" w:after="80" w:line="200" w:lineRule="exact"/>
              <w:ind w:left="0" w:right="0"/>
              <w:jc w:val="left"/>
              <w:rPr>
                <w:rFonts w:ascii="Times New Roman" w:hAnsi="Times New Roman" w:cs="Times New Roman"/>
                <w:i/>
                <w:sz w:val="16"/>
                <w:lang w:val="es-ES_tradnl"/>
              </w:rPr>
            </w:pPr>
            <w:r w:rsidRPr="00D23BF6">
              <w:rPr>
                <w:rFonts w:ascii="Times New Roman" w:hAnsi="Times New Roman" w:cs="Times New Roman"/>
                <w:i/>
                <w:iCs/>
                <w:sz w:val="16"/>
                <w:lang w:val="es-ES_tradnl"/>
              </w:rPr>
              <w:t>Año finalizado en junio</w:t>
            </w:r>
          </w:p>
        </w:tc>
        <w:tc>
          <w:tcPr>
            <w:tcW w:w="992" w:type="dxa"/>
            <w:shd w:val="clear" w:color="auto" w:fill="auto"/>
            <w:vAlign w:val="bottom"/>
            <w:hideMark/>
          </w:tcPr>
          <w:p w14:paraId="13EFF8AE" w14:textId="77777777" w:rsidR="00154216" w:rsidRPr="00D23BF6" w:rsidRDefault="00154216" w:rsidP="00D23BF6">
            <w:pPr>
              <w:pStyle w:val="SingleTxtG"/>
              <w:spacing w:before="80" w:after="80" w:line="200" w:lineRule="exact"/>
              <w:ind w:left="113" w:right="0"/>
              <w:jc w:val="right"/>
              <w:rPr>
                <w:rFonts w:ascii="Times New Roman" w:hAnsi="Times New Roman" w:cs="Times New Roman"/>
                <w:i/>
                <w:sz w:val="16"/>
                <w:lang w:val="es-ES_tradnl"/>
              </w:rPr>
            </w:pPr>
            <w:r w:rsidRPr="00D23BF6">
              <w:rPr>
                <w:rFonts w:ascii="Times New Roman" w:hAnsi="Times New Roman" w:cs="Times New Roman"/>
                <w:i/>
                <w:iCs/>
                <w:sz w:val="16"/>
                <w:lang w:val="es-ES_tradnl"/>
              </w:rPr>
              <w:t>2014</w:t>
            </w:r>
          </w:p>
        </w:tc>
        <w:tc>
          <w:tcPr>
            <w:tcW w:w="993" w:type="dxa"/>
            <w:shd w:val="clear" w:color="auto" w:fill="auto"/>
            <w:vAlign w:val="bottom"/>
            <w:hideMark/>
          </w:tcPr>
          <w:p w14:paraId="7823F84F" w14:textId="77777777" w:rsidR="00154216" w:rsidRPr="00D23BF6" w:rsidRDefault="00154216" w:rsidP="00D23BF6">
            <w:pPr>
              <w:pStyle w:val="SingleTxtG"/>
              <w:spacing w:before="80" w:after="80" w:line="200" w:lineRule="exact"/>
              <w:ind w:left="113" w:right="0"/>
              <w:jc w:val="right"/>
              <w:rPr>
                <w:rFonts w:ascii="Times New Roman" w:hAnsi="Times New Roman" w:cs="Times New Roman"/>
                <w:i/>
                <w:sz w:val="16"/>
                <w:lang w:val="es-ES_tradnl"/>
              </w:rPr>
            </w:pPr>
            <w:r w:rsidRPr="00D23BF6">
              <w:rPr>
                <w:rFonts w:ascii="Times New Roman" w:hAnsi="Times New Roman" w:cs="Times New Roman"/>
                <w:i/>
                <w:iCs/>
                <w:sz w:val="16"/>
                <w:lang w:val="es-ES_tradnl"/>
              </w:rPr>
              <w:t>2015</w:t>
            </w:r>
          </w:p>
        </w:tc>
        <w:tc>
          <w:tcPr>
            <w:tcW w:w="992" w:type="dxa"/>
            <w:shd w:val="clear" w:color="auto" w:fill="auto"/>
            <w:vAlign w:val="bottom"/>
            <w:hideMark/>
          </w:tcPr>
          <w:p w14:paraId="16F9EB62" w14:textId="77777777" w:rsidR="00154216" w:rsidRPr="00D23BF6" w:rsidRDefault="00154216" w:rsidP="00D23BF6">
            <w:pPr>
              <w:pStyle w:val="SingleTxtG"/>
              <w:spacing w:before="80" w:after="80" w:line="200" w:lineRule="exact"/>
              <w:ind w:left="113" w:right="0"/>
              <w:jc w:val="right"/>
              <w:rPr>
                <w:rFonts w:ascii="Times New Roman" w:hAnsi="Times New Roman" w:cs="Times New Roman"/>
                <w:i/>
                <w:sz w:val="16"/>
                <w:lang w:val="es-ES_tradnl"/>
              </w:rPr>
            </w:pPr>
            <w:r w:rsidRPr="00D23BF6">
              <w:rPr>
                <w:rFonts w:ascii="Times New Roman" w:hAnsi="Times New Roman" w:cs="Times New Roman"/>
                <w:i/>
                <w:iCs/>
                <w:sz w:val="16"/>
                <w:lang w:val="es-ES_tradnl"/>
              </w:rPr>
              <w:t>2016</w:t>
            </w:r>
          </w:p>
        </w:tc>
        <w:tc>
          <w:tcPr>
            <w:tcW w:w="992" w:type="dxa"/>
            <w:shd w:val="clear" w:color="auto" w:fill="auto"/>
            <w:vAlign w:val="bottom"/>
            <w:hideMark/>
          </w:tcPr>
          <w:p w14:paraId="0CC7CBAC" w14:textId="77777777" w:rsidR="00154216" w:rsidRPr="00D23BF6" w:rsidRDefault="00154216" w:rsidP="00D23BF6">
            <w:pPr>
              <w:pStyle w:val="SingleTxtG"/>
              <w:spacing w:before="80" w:after="80" w:line="200" w:lineRule="exact"/>
              <w:ind w:left="113" w:right="0"/>
              <w:jc w:val="right"/>
              <w:rPr>
                <w:rFonts w:ascii="Times New Roman" w:hAnsi="Times New Roman" w:cs="Times New Roman"/>
                <w:i/>
                <w:sz w:val="16"/>
                <w:lang w:val="es-ES_tradnl"/>
              </w:rPr>
            </w:pPr>
            <w:r w:rsidRPr="00D23BF6">
              <w:rPr>
                <w:rFonts w:ascii="Times New Roman" w:hAnsi="Times New Roman" w:cs="Times New Roman"/>
                <w:i/>
                <w:iCs/>
                <w:sz w:val="16"/>
                <w:lang w:val="es-ES_tradnl"/>
              </w:rPr>
              <w:t>2017</w:t>
            </w:r>
          </w:p>
        </w:tc>
        <w:tc>
          <w:tcPr>
            <w:tcW w:w="991" w:type="dxa"/>
            <w:shd w:val="clear" w:color="auto" w:fill="auto"/>
            <w:vAlign w:val="bottom"/>
            <w:hideMark/>
          </w:tcPr>
          <w:p w14:paraId="67DD3A62" w14:textId="77777777" w:rsidR="00154216" w:rsidRPr="00D23BF6" w:rsidRDefault="00154216" w:rsidP="00D23BF6">
            <w:pPr>
              <w:pStyle w:val="SingleTxtG"/>
              <w:spacing w:before="80" w:after="80" w:line="200" w:lineRule="exact"/>
              <w:ind w:left="113" w:right="0"/>
              <w:jc w:val="right"/>
              <w:rPr>
                <w:rFonts w:ascii="Times New Roman" w:hAnsi="Times New Roman" w:cs="Times New Roman"/>
                <w:i/>
                <w:sz w:val="16"/>
                <w:lang w:val="es-ES_tradnl"/>
              </w:rPr>
            </w:pPr>
            <w:r w:rsidRPr="00D23BF6">
              <w:rPr>
                <w:rFonts w:ascii="Times New Roman" w:hAnsi="Times New Roman" w:cs="Times New Roman"/>
                <w:i/>
                <w:iCs/>
                <w:sz w:val="16"/>
                <w:lang w:val="es-ES_tradnl"/>
              </w:rPr>
              <w:t>2018</w:t>
            </w:r>
          </w:p>
        </w:tc>
      </w:tr>
      <w:tr w:rsidR="006D3099" w:rsidRPr="00D23BF6" w14:paraId="553ED5B3" w14:textId="77777777" w:rsidTr="006D3099">
        <w:trPr>
          <w:trHeight w:val="240"/>
        </w:trPr>
        <w:tc>
          <w:tcPr>
            <w:tcW w:w="2410" w:type="dxa"/>
            <w:shd w:val="clear" w:color="auto" w:fill="auto"/>
            <w:hideMark/>
          </w:tcPr>
          <w:p w14:paraId="3257BFF2" w14:textId="77777777" w:rsidR="00154216" w:rsidRPr="00D23BF6" w:rsidRDefault="00154216" w:rsidP="00D23BF6">
            <w:pPr>
              <w:pStyle w:val="SingleTxtG"/>
              <w:spacing w:before="40" w:after="40" w:line="220" w:lineRule="exact"/>
              <w:ind w:left="0" w:right="0"/>
              <w:jc w:val="left"/>
              <w:rPr>
                <w:rFonts w:ascii="Times New Roman" w:hAnsi="Times New Roman" w:cs="Times New Roman"/>
                <w:sz w:val="18"/>
                <w:lang w:val="es-ES_tradnl"/>
              </w:rPr>
            </w:pPr>
            <w:r w:rsidRPr="00D23BF6">
              <w:rPr>
                <w:rFonts w:ascii="Times New Roman" w:hAnsi="Times New Roman" w:cs="Times New Roman"/>
                <w:sz w:val="18"/>
                <w:lang w:val="es-ES_tradnl"/>
              </w:rPr>
              <w:t>Número de taxis con elevadores de sillas de ruedas</w:t>
            </w:r>
          </w:p>
        </w:tc>
        <w:tc>
          <w:tcPr>
            <w:tcW w:w="992" w:type="dxa"/>
            <w:shd w:val="clear" w:color="auto" w:fill="auto"/>
            <w:vAlign w:val="bottom"/>
            <w:hideMark/>
          </w:tcPr>
          <w:p w14:paraId="6B6B7C41" w14:textId="77777777" w:rsidR="00154216" w:rsidRPr="00D23BF6" w:rsidRDefault="00154216" w:rsidP="00D23BF6">
            <w:pPr>
              <w:pStyle w:val="SingleTxtG"/>
              <w:spacing w:before="40" w:after="40" w:line="220" w:lineRule="exact"/>
              <w:ind w:left="113" w:right="0"/>
              <w:jc w:val="right"/>
              <w:rPr>
                <w:rFonts w:ascii="Times New Roman" w:hAnsi="Times New Roman" w:cs="Times New Roman"/>
                <w:sz w:val="18"/>
                <w:lang w:val="es-ES_tradnl"/>
              </w:rPr>
            </w:pPr>
            <w:r w:rsidRPr="00D23BF6">
              <w:rPr>
                <w:rFonts w:ascii="Times New Roman" w:hAnsi="Times New Roman" w:cs="Times New Roman"/>
                <w:sz w:val="18"/>
                <w:lang w:val="es-ES_tradnl"/>
              </w:rPr>
              <w:t>317</w:t>
            </w:r>
          </w:p>
        </w:tc>
        <w:tc>
          <w:tcPr>
            <w:tcW w:w="993" w:type="dxa"/>
            <w:shd w:val="clear" w:color="auto" w:fill="auto"/>
            <w:vAlign w:val="bottom"/>
            <w:hideMark/>
          </w:tcPr>
          <w:p w14:paraId="158AC58C" w14:textId="77777777" w:rsidR="00154216" w:rsidRPr="00D23BF6" w:rsidRDefault="00154216" w:rsidP="00D23BF6">
            <w:pPr>
              <w:pStyle w:val="SingleTxtG"/>
              <w:spacing w:before="40" w:after="40" w:line="220" w:lineRule="exact"/>
              <w:ind w:left="113" w:right="0"/>
              <w:jc w:val="right"/>
              <w:rPr>
                <w:rFonts w:ascii="Times New Roman" w:hAnsi="Times New Roman" w:cs="Times New Roman"/>
                <w:sz w:val="18"/>
                <w:lang w:val="es-ES_tradnl"/>
              </w:rPr>
            </w:pPr>
            <w:r w:rsidRPr="00D23BF6">
              <w:rPr>
                <w:rFonts w:ascii="Times New Roman" w:hAnsi="Times New Roman" w:cs="Times New Roman"/>
                <w:sz w:val="18"/>
                <w:lang w:val="es-ES_tradnl"/>
              </w:rPr>
              <w:t>326</w:t>
            </w:r>
          </w:p>
        </w:tc>
        <w:tc>
          <w:tcPr>
            <w:tcW w:w="992" w:type="dxa"/>
            <w:shd w:val="clear" w:color="auto" w:fill="auto"/>
            <w:vAlign w:val="bottom"/>
            <w:hideMark/>
          </w:tcPr>
          <w:p w14:paraId="07C9501F" w14:textId="77777777" w:rsidR="00154216" w:rsidRPr="00D23BF6" w:rsidRDefault="00154216" w:rsidP="00D23BF6">
            <w:pPr>
              <w:pStyle w:val="SingleTxtG"/>
              <w:spacing w:before="40" w:after="40" w:line="220" w:lineRule="exact"/>
              <w:ind w:left="113" w:right="0"/>
              <w:jc w:val="right"/>
              <w:rPr>
                <w:rFonts w:ascii="Times New Roman" w:hAnsi="Times New Roman" w:cs="Times New Roman"/>
                <w:sz w:val="18"/>
                <w:lang w:val="es-ES_tradnl"/>
              </w:rPr>
            </w:pPr>
            <w:r w:rsidRPr="00D23BF6">
              <w:rPr>
                <w:rFonts w:ascii="Times New Roman" w:hAnsi="Times New Roman" w:cs="Times New Roman"/>
                <w:sz w:val="18"/>
                <w:lang w:val="es-ES_tradnl"/>
              </w:rPr>
              <w:t>383</w:t>
            </w:r>
          </w:p>
        </w:tc>
        <w:tc>
          <w:tcPr>
            <w:tcW w:w="992" w:type="dxa"/>
            <w:shd w:val="clear" w:color="auto" w:fill="auto"/>
            <w:vAlign w:val="bottom"/>
            <w:hideMark/>
          </w:tcPr>
          <w:p w14:paraId="51137AF2" w14:textId="77777777" w:rsidR="00154216" w:rsidRPr="00D23BF6" w:rsidRDefault="00154216" w:rsidP="00D23BF6">
            <w:pPr>
              <w:pStyle w:val="SingleTxtG"/>
              <w:spacing w:before="40" w:after="40" w:line="220" w:lineRule="exact"/>
              <w:ind w:left="113" w:right="0"/>
              <w:jc w:val="right"/>
              <w:rPr>
                <w:rFonts w:ascii="Times New Roman" w:hAnsi="Times New Roman" w:cs="Times New Roman"/>
                <w:sz w:val="18"/>
                <w:lang w:val="es-ES_tradnl"/>
              </w:rPr>
            </w:pPr>
            <w:r w:rsidRPr="00D23BF6">
              <w:rPr>
                <w:rFonts w:ascii="Times New Roman" w:hAnsi="Times New Roman" w:cs="Times New Roman"/>
                <w:sz w:val="18"/>
                <w:lang w:val="es-ES_tradnl"/>
              </w:rPr>
              <w:t>435</w:t>
            </w:r>
          </w:p>
        </w:tc>
        <w:tc>
          <w:tcPr>
            <w:tcW w:w="991" w:type="dxa"/>
            <w:shd w:val="clear" w:color="auto" w:fill="auto"/>
            <w:vAlign w:val="bottom"/>
            <w:hideMark/>
          </w:tcPr>
          <w:p w14:paraId="73606CE7" w14:textId="77777777" w:rsidR="00154216" w:rsidRPr="00D23BF6" w:rsidRDefault="00154216" w:rsidP="00D23BF6">
            <w:pPr>
              <w:pStyle w:val="SingleTxtG"/>
              <w:spacing w:before="40" w:after="40" w:line="220" w:lineRule="exact"/>
              <w:ind w:left="113" w:right="0"/>
              <w:jc w:val="right"/>
              <w:rPr>
                <w:rFonts w:ascii="Times New Roman" w:hAnsi="Times New Roman" w:cs="Times New Roman"/>
                <w:sz w:val="18"/>
                <w:lang w:val="es-ES_tradnl"/>
              </w:rPr>
            </w:pPr>
            <w:r w:rsidRPr="00D23BF6">
              <w:rPr>
                <w:rFonts w:ascii="Times New Roman" w:hAnsi="Times New Roman" w:cs="Times New Roman"/>
                <w:sz w:val="18"/>
                <w:lang w:val="es-ES_tradnl"/>
              </w:rPr>
              <w:t>345</w:t>
            </w:r>
          </w:p>
        </w:tc>
      </w:tr>
    </w:tbl>
    <w:p w14:paraId="66991090" w14:textId="77777777" w:rsidR="00154216" w:rsidRPr="00154216" w:rsidRDefault="00D23BF6" w:rsidP="00D23BF6">
      <w:pPr>
        <w:pStyle w:val="H23G"/>
        <w:rPr>
          <w:rStyle w:val="Refdenotaalfinal"/>
          <w:lang w:val="es-ES_tradnl"/>
        </w:rPr>
      </w:pPr>
      <w:r>
        <w:rPr>
          <w:lang w:val="es-ES_tradnl"/>
        </w:rPr>
        <w:tab/>
      </w:r>
      <w:r>
        <w:rPr>
          <w:lang w:val="es-ES_tradnl"/>
        </w:rPr>
        <w:tab/>
      </w:r>
      <w:r w:rsidR="00154216" w:rsidRPr="003742F5">
        <w:rPr>
          <w:b w:val="0"/>
          <w:bCs/>
          <w:lang w:val="es-ES_tradnl"/>
        </w:rPr>
        <w:t>Cuadro</w:t>
      </w:r>
      <w:r>
        <w:rPr>
          <w:lang w:val="es-ES_tradnl"/>
        </w:rPr>
        <w:br/>
      </w:r>
      <w:r w:rsidR="00154216" w:rsidRPr="00154216">
        <w:rPr>
          <w:bCs/>
          <w:lang w:val="es-ES_tradnl"/>
        </w:rPr>
        <w:t>Número de autobuses de transporte público accesibles con silla de ruedas</w:t>
      </w:r>
      <w:r w:rsidR="00154216" w:rsidRPr="00D23BF6">
        <w:rPr>
          <w:rStyle w:val="Refdenotaalfinal"/>
          <w:b w:val="0"/>
          <w:bCs/>
          <w:lang w:val="es-ES_tradnl"/>
        </w:rPr>
        <w:endnoteReference w:id="92"/>
      </w:r>
    </w:p>
    <w:tbl>
      <w:tblPr>
        <w:tblStyle w:val="TableGridLight1"/>
        <w:tblW w:w="7370" w:type="dxa"/>
        <w:tblInd w:w="113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0"/>
        <w:gridCol w:w="992"/>
        <w:gridCol w:w="992"/>
        <w:gridCol w:w="992"/>
        <w:gridCol w:w="992"/>
        <w:gridCol w:w="992"/>
      </w:tblGrid>
      <w:tr w:rsidR="006D3099" w:rsidRPr="006D3099" w14:paraId="0AFA23DA" w14:textId="77777777" w:rsidTr="003451B1">
        <w:trPr>
          <w:trHeight w:val="240"/>
          <w:tblHeader/>
        </w:trPr>
        <w:tc>
          <w:tcPr>
            <w:tcW w:w="2410" w:type="dxa"/>
            <w:tcBorders>
              <w:top w:val="single" w:sz="4" w:space="0" w:color="auto"/>
              <w:bottom w:val="single" w:sz="12" w:space="0" w:color="auto"/>
            </w:tcBorders>
            <w:shd w:val="clear" w:color="auto" w:fill="auto"/>
            <w:vAlign w:val="bottom"/>
            <w:hideMark/>
          </w:tcPr>
          <w:p w14:paraId="191D4AAB" w14:textId="77777777" w:rsidR="00154216" w:rsidRPr="006D3099" w:rsidRDefault="00154216" w:rsidP="006D3099">
            <w:pPr>
              <w:pStyle w:val="SingleTxtG"/>
              <w:spacing w:before="80" w:after="80" w:line="200" w:lineRule="exact"/>
              <w:ind w:left="0" w:right="0"/>
              <w:jc w:val="left"/>
              <w:rPr>
                <w:rFonts w:ascii="Times New Roman" w:hAnsi="Times New Roman" w:cs="Times New Roman"/>
                <w:i/>
                <w:sz w:val="16"/>
                <w:lang w:val="es-ES_tradnl"/>
              </w:rPr>
            </w:pPr>
            <w:r w:rsidRPr="006D3099">
              <w:rPr>
                <w:rFonts w:ascii="Times New Roman" w:hAnsi="Times New Roman" w:cs="Times New Roman"/>
                <w:i/>
                <w:iCs/>
                <w:sz w:val="16"/>
                <w:lang w:val="es-ES_tradnl"/>
              </w:rPr>
              <w:t>Año finalizado en junio</w:t>
            </w:r>
          </w:p>
        </w:tc>
        <w:tc>
          <w:tcPr>
            <w:tcW w:w="992" w:type="dxa"/>
            <w:tcBorders>
              <w:top w:val="single" w:sz="4" w:space="0" w:color="auto"/>
              <w:bottom w:val="single" w:sz="12" w:space="0" w:color="auto"/>
            </w:tcBorders>
            <w:shd w:val="clear" w:color="auto" w:fill="auto"/>
            <w:vAlign w:val="bottom"/>
            <w:hideMark/>
          </w:tcPr>
          <w:p w14:paraId="13C63A3F" w14:textId="77777777" w:rsidR="00154216" w:rsidRPr="006D3099" w:rsidRDefault="00154216" w:rsidP="006D3099">
            <w:pPr>
              <w:pStyle w:val="SingleTxtG"/>
              <w:spacing w:before="80" w:after="80" w:line="200" w:lineRule="exact"/>
              <w:ind w:left="113" w:right="0"/>
              <w:jc w:val="right"/>
              <w:rPr>
                <w:rFonts w:ascii="Times New Roman" w:hAnsi="Times New Roman" w:cs="Times New Roman"/>
                <w:i/>
                <w:sz w:val="16"/>
                <w:lang w:val="es-ES_tradnl"/>
              </w:rPr>
            </w:pPr>
            <w:r w:rsidRPr="006D3099">
              <w:rPr>
                <w:rFonts w:ascii="Times New Roman" w:hAnsi="Times New Roman" w:cs="Times New Roman"/>
                <w:i/>
                <w:iCs/>
                <w:sz w:val="16"/>
                <w:lang w:val="es-ES_tradnl"/>
              </w:rPr>
              <w:t>2014</w:t>
            </w:r>
          </w:p>
        </w:tc>
        <w:tc>
          <w:tcPr>
            <w:tcW w:w="992" w:type="dxa"/>
            <w:tcBorders>
              <w:top w:val="single" w:sz="4" w:space="0" w:color="auto"/>
              <w:bottom w:val="single" w:sz="12" w:space="0" w:color="auto"/>
            </w:tcBorders>
            <w:shd w:val="clear" w:color="auto" w:fill="auto"/>
            <w:vAlign w:val="bottom"/>
            <w:hideMark/>
          </w:tcPr>
          <w:p w14:paraId="36B5383D" w14:textId="77777777" w:rsidR="00154216" w:rsidRPr="006D3099" w:rsidRDefault="00154216" w:rsidP="006D3099">
            <w:pPr>
              <w:pStyle w:val="SingleTxtG"/>
              <w:spacing w:before="80" w:after="80" w:line="200" w:lineRule="exact"/>
              <w:ind w:left="113" w:right="0"/>
              <w:jc w:val="right"/>
              <w:rPr>
                <w:rFonts w:ascii="Times New Roman" w:hAnsi="Times New Roman" w:cs="Times New Roman"/>
                <w:i/>
                <w:sz w:val="16"/>
                <w:lang w:val="es-ES_tradnl"/>
              </w:rPr>
            </w:pPr>
            <w:r w:rsidRPr="006D3099">
              <w:rPr>
                <w:rFonts w:ascii="Times New Roman" w:hAnsi="Times New Roman" w:cs="Times New Roman"/>
                <w:i/>
                <w:iCs/>
                <w:sz w:val="16"/>
                <w:lang w:val="es-ES_tradnl"/>
              </w:rPr>
              <w:t>2015</w:t>
            </w:r>
          </w:p>
        </w:tc>
        <w:tc>
          <w:tcPr>
            <w:tcW w:w="992" w:type="dxa"/>
            <w:tcBorders>
              <w:top w:val="single" w:sz="4" w:space="0" w:color="auto"/>
              <w:bottom w:val="single" w:sz="12" w:space="0" w:color="auto"/>
            </w:tcBorders>
            <w:shd w:val="clear" w:color="auto" w:fill="auto"/>
            <w:vAlign w:val="bottom"/>
            <w:hideMark/>
          </w:tcPr>
          <w:p w14:paraId="613B3C39" w14:textId="77777777" w:rsidR="00154216" w:rsidRPr="006D3099" w:rsidRDefault="00154216" w:rsidP="006D3099">
            <w:pPr>
              <w:pStyle w:val="SingleTxtG"/>
              <w:spacing w:before="80" w:after="80" w:line="200" w:lineRule="exact"/>
              <w:ind w:left="113" w:right="0"/>
              <w:jc w:val="right"/>
              <w:rPr>
                <w:rFonts w:ascii="Times New Roman" w:hAnsi="Times New Roman" w:cs="Times New Roman"/>
                <w:i/>
                <w:sz w:val="16"/>
                <w:lang w:val="es-ES_tradnl"/>
              </w:rPr>
            </w:pPr>
            <w:r w:rsidRPr="006D3099">
              <w:rPr>
                <w:rFonts w:ascii="Times New Roman" w:hAnsi="Times New Roman" w:cs="Times New Roman"/>
                <w:i/>
                <w:iCs/>
                <w:sz w:val="16"/>
                <w:lang w:val="es-ES_tradnl"/>
              </w:rPr>
              <w:t>2016</w:t>
            </w:r>
          </w:p>
        </w:tc>
        <w:tc>
          <w:tcPr>
            <w:tcW w:w="992" w:type="dxa"/>
            <w:tcBorders>
              <w:top w:val="single" w:sz="4" w:space="0" w:color="auto"/>
              <w:bottom w:val="single" w:sz="12" w:space="0" w:color="auto"/>
            </w:tcBorders>
            <w:shd w:val="clear" w:color="auto" w:fill="auto"/>
            <w:vAlign w:val="bottom"/>
            <w:hideMark/>
          </w:tcPr>
          <w:p w14:paraId="38823C29" w14:textId="77777777" w:rsidR="00154216" w:rsidRPr="006D3099" w:rsidRDefault="00154216" w:rsidP="006D3099">
            <w:pPr>
              <w:pStyle w:val="SingleTxtG"/>
              <w:spacing w:before="80" w:after="80" w:line="200" w:lineRule="exact"/>
              <w:ind w:left="113" w:right="0"/>
              <w:jc w:val="right"/>
              <w:rPr>
                <w:rFonts w:ascii="Times New Roman" w:hAnsi="Times New Roman" w:cs="Times New Roman"/>
                <w:i/>
                <w:sz w:val="16"/>
                <w:lang w:val="es-ES_tradnl"/>
              </w:rPr>
            </w:pPr>
            <w:r w:rsidRPr="006D3099">
              <w:rPr>
                <w:rFonts w:ascii="Times New Roman" w:hAnsi="Times New Roman" w:cs="Times New Roman"/>
                <w:i/>
                <w:iCs/>
                <w:sz w:val="16"/>
                <w:lang w:val="es-ES_tradnl"/>
              </w:rPr>
              <w:t>2017</w:t>
            </w:r>
          </w:p>
        </w:tc>
        <w:tc>
          <w:tcPr>
            <w:tcW w:w="992" w:type="dxa"/>
            <w:tcBorders>
              <w:top w:val="single" w:sz="4" w:space="0" w:color="auto"/>
              <w:bottom w:val="single" w:sz="12" w:space="0" w:color="auto"/>
            </w:tcBorders>
            <w:shd w:val="clear" w:color="auto" w:fill="auto"/>
            <w:vAlign w:val="bottom"/>
            <w:hideMark/>
          </w:tcPr>
          <w:p w14:paraId="774AC87C" w14:textId="77777777" w:rsidR="00154216" w:rsidRPr="006D3099" w:rsidRDefault="00154216" w:rsidP="006D3099">
            <w:pPr>
              <w:pStyle w:val="SingleTxtG"/>
              <w:spacing w:before="80" w:after="80" w:line="200" w:lineRule="exact"/>
              <w:ind w:left="113" w:right="0"/>
              <w:jc w:val="right"/>
              <w:rPr>
                <w:rFonts w:ascii="Times New Roman" w:hAnsi="Times New Roman" w:cs="Times New Roman"/>
                <w:i/>
                <w:sz w:val="16"/>
                <w:lang w:val="es-ES_tradnl"/>
              </w:rPr>
            </w:pPr>
            <w:r w:rsidRPr="006D3099">
              <w:rPr>
                <w:rFonts w:ascii="Times New Roman" w:hAnsi="Times New Roman" w:cs="Times New Roman"/>
                <w:i/>
                <w:iCs/>
                <w:sz w:val="16"/>
                <w:lang w:val="es-ES_tradnl"/>
              </w:rPr>
              <w:t>2018</w:t>
            </w:r>
          </w:p>
        </w:tc>
      </w:tr>
      <w:tr w:rsidR="006D3099" w:rsidRPr="006D3099" w14:paraId="739BF6B9" w14:textId="77777777" w:rsidTr="003451B1">
        <w:trPr>
          <w:trHeight w:val="240"/>
          <w:tblHeader/>
        </w:trPr>
        <w:tc>
          <w:tcPr>
            <w:tcW w:w="2410" w:type="dxa"/>
            <w:tcBorders>
              <w:top w:val="single" w:sz="12" w:space="0" w:color="auto"/>
            </w:tcBorders>
            <w:shd w:val="clear" w:color="auto" w:fill="auto"/>
            <w:hideMark/>
          </w:tcPr>
          <w:p w14:paraId="393E1DC4" w14:textId="77777777" w:rsidR="00154216" w:rsidRPr="006D3099" w:rsidRDefault="00154216" w:rsidP="006D3099">
            <w:pPr>
              <w:pStyle w:val="SingleTxtG"/>
              <w:spacing w:before="40" w:after="40" w:line="220" w:lineRule="exact"/>
              <w:ind w:left="0" w:right="0"/>
              <w:jc w:val="left"/>
              <w:rPr>
                <w:rFonts w:ascii="Times New Roman" w:hAnsi="Times New Roman" w:cs="Times New Roman"/>
                <w:sz w:val="18"/>
                <w:lang w:val="es-ES_tradnl"/>
              </w:rPr>
            </w:pPr>
            <w:r w:rsidRPr="006D3099">
              <w:rPr>
                <w:rFonts w:ascii="Times New Roman" w:hAnsi="Times New Roman" w:cs="Times New Roman"/>
                <w:sz w:val="18"/>
                <w:lang w:val="es-ES_tradnl"/>
              </w:rPr>
              <w:t xml:space="preserve">Número de autobuses de transporte público accesibles </w:t>
            </w:r>
            <w:r w:rsidR="003742F5">
              <w:rPr>
                <w:rFonts w:ascii="Times New Roman" w:hAnsi="Times New Roman" w:cs="Times New Roman"/>
                <w:sz w:val="18"/>
                <w:lang w:val="es-ES_tradnl"/>
              </w:rPr>
              <w:br/>
            </w:r>
            <w:r w:rsidRPr="006D3099">
              <w:rPr>
                <w:rFonts w:ascii="Times New Roman" w:hAnsi="Times New Roman" w:cs="Times New Roman"/>
                <w:sz w:val="18"/>
                <w:lang w:val="es-ES_tradnl"/>
              </w:rPr>
              <w:t xml:space="preserve">con silla de ruedas </w:t>
            </w:r>
          </w:p>
        </w:tc>
        <w:tc>
          <w:tcPr>
            <w:tcW w:w="992" w:type="dxa"/>
            <w:tcBorders>
              <w:top w:val="single" w:sz="12" w:space="0" w:color="auto"/>
            </w:tcBorders>
            <w:shd w:val="clear" w:color="auto" w:fill="auto"/>
            <w:vAlign w:val="bottom"/>
            <w:hideMark/>
          </w:tcPr>
          <w:p w14:paraId="1F08AB31" w14:textId="77777777" w:rsidR="00154216" w:rsidRPr="006D3099" w:rsidRDefault="00154216" w:rsidP="006D3099">
            <w:pPr>
              <w:pStyle w:val="SingleTxtG"/>
              <w:spacing w:before="40" w:after="40" w:line="220" w:lineRule="exact"/>
              <w:ind w:left="113" w:right="0"/>
              <w:jc w:val="right"/>
              <w:rPr>
                <w:rFonts w:ascii="Times New Roman" w:hAnsi="Times New Roman" w:cs="Times New Roman"/>
                <w:sz w:val="18"/>
                <w:lang w:val="es-ES_tradnl"/>
              </w:rPr>
            </w:pPr>
            <w:r w:rsidRPr="006D3099">
              <w:rPr>
                <w:rFonts w:ascii="Times New Roman" w:hAnsi="Times New Roman" w:cs="Times New Roman"/>
                <w:sz w:val="18"/>
                <w:lang w:val="es-ES_tradnl"/>
              </w:rPr>
              <w:t>1 940</w:t>
            </w:r>
          </w:p>
        </w:tc>
        <w:tc>
          <w:tcPr>
            <w:tcW w:w="992" w:type="dxa"/>
            <w:tcBorders>
              <w:top w:val="single" w:sz="12" w:space="0" w:color="auto"/>
            </w:tcBorders>
            <w:shd w:val="clear" w:color="auto" w:fill="auto"/>
            <w:vAlign w:val="bottom"/>
            <w:hideMark/>
          </w:tcPr>
          <w:p w14:paraId="2A9C391D" w14:textId="77777777" w:rsidR="00154216" w:rsidRPr="006D3099" w:rsidRDefault="00154216" w:rsidP="006D3099">
            <w:pPr>
              <w:pStyle w:val="SingleTxtG"/>
              <w:spacing w:before="40" w:after="40" w:line="220" w:lineRule="exact"/>
              <w:ind w:left="113" w:right="0"/>
              <w:jc w:val="right"/>
              <w:rPr>
                <w:rFonts w:ascii="Times New Roman" w:hAnsi="Times New Roman" w:cs="Times New Roman"/>
                <w:sz w:val="18"/>
                <w:lang w:val="es-ES_tradnl"/>
              </w:rPr>
            </w:pPr>
            <w:r w:rsidRPr="006D3099">
              <w:rPr>
                <w:rFonts w:ascii="Times New Roman" w:hAnsi="Times New Roman" w:cs="Times New Roman"/>
                <w:sz w:val="18"/>
                <w:lang w:val="es-ES_tradnl"/>
              </w:rPr>
              <w:t>2 020</w:t>
            </w:r>
          </w:p>
        </w:tc>
        <w:tc>
          <w:tcPr>
            <w:tcW w:w="992" w:type="dxa"/>
            <w:tcBorders>
              <w:top w:val="single" w:sz="12" w:space="0" w:color="auto"/>
            </w:tcBorders>
            <w:shd w:val="clear" w:color="auto" w:fill="auto"/>
            <w:vAlign w:val="bottom"/>
            <w:hideMark/>
          </w:tcPr>
          <w:p w14:paraId="4647DDDC" w14:textId="77777777" w:rsidR="00154216" w:rsidRPr="006D3099" w:rsidRDefault="00154216" w:rsidP="006D3099">
            <w:pPr>
              <w:pStyle w:val="SingleTxtG"/>
              <w:spacing w:before="40" w:after="40" w:line="220" w:lineRule="exact"/>
              <w:ind w:left="113" w:right="0"/>
              <w:jc w:val="right"/>
              <w:rPr>
                <w:rFonts w:ascii="Times New Roman" w:hAnsi="Times New Roman" w:cs="Times New Roman"/>
                <w:sz w:val="18"/>
                <w:lang w:val="es-ES_tradnl"/>
              </w:rPr>
            </w:pPr>
            <w:r w:rsidRPr="006D3099">
              <w:rPr>
                <w:rFonts w:ascii="Times New Roman" w:hAnsi="Times New Roman" w:cs="Times New Roman"/>
                <w:sz w:val="18"/>
                <w:lang w:val="es-ES_tradnl"/>
              </w:rPr>
              <w:t>2 021</w:t>
            </w:r>
          </w:p>
        </w:tc>
        <w:tc>
          <w:tcPr>
            <w:tcW w:w="992" w:type="dxa"/>
            <w:tcBorders>
              <w:top w:val="single" w:sz="12" w:space="0" w:color="auto"/>
            </w:tcBorders>
            <w:shd w:val="clear" w:color="auto" w:fill="auto"/>
            <w:vAlign w:val="bottom"/>
            <w:hideMark/>
          </w:tcPr>
          <w:p w14:paraId="4E170FF8" w14:textId="77777777" w:rsidR="00154216" w:rsidRPr="006D3099" w:rsidRDefault="00154216" w:rsidP="006D3099">
            <w:pPr>
              <w:pStyle w:val="SingleTxtG"/>
              <w:spacing w:before="40" w:after="40" w:line="220" w:lineRule="exact"/>
              <w:ind w:left="113" w:right="0"/>
              <w:jc w:val="right"/>
              <w:rPr>
                <w:rFonts w:ascii="Times New Roman" w:hAnsi="Times New Roman" w:cs="Times New Roman"/>
                <w:sz w:val="18"/>
                <w:lang w:val="es-ES_tradnl"/>
              </w:rPr>
            </w:pPr>
            <w:r w:rsidRPr="006D3099">
              <w:rPr>
                <w:rFonts w:ascii="Times New Roman" w:hAnsi="Times New Roman" w:cs="Times New Roman"/>
                <w:sz w:val="18"/>
                <w:lang w:val="es-ES_tradnl"/>
              </w:rPr>
              <w:t>2 210</w:t>
            </w:r>
          </w:p>
        </w:tc>
        <w:tc>
          <w:tcPr>
            <w:tcW w:w="992" w:type="dxa"/>
            <w:tcBorders>
              <w:top w:val="single" w:sz="12" w:space="0" w:color="auto"/>
            </w:tcBorders>
            <w:shd w:val="clear" w:color="auto" w:fill="auto"/>
            <w:vAlign w:val="bottom"/>
            <w:hideMark/>
          </w:tcPr>
          <w:p w14:paraId="65CC8F22" w14:textId="77777777" w:rsidR="00154216" w:rsidRPr="006D3099" w:rsidRDefault="00154216" w:rsidP="006D3099">
            <w:pPr>
              <w:pStyle w:val="SingleTxtG"/>
              <w:spacing w:before="40" w:after="40" w:line="220" w:lineRule="exact"/>
              <w:ind w:left="113" w:right="0"/>
              <w:jc w:val="right"/>
              <w:rPr>
                <w:rFonts w:ascii="Times New Roman" w:hAnsi="Times New Roman" w:cs="Times New Roman"/>
                <w:sz w:val="18"/>
                <w:lang w:val="es-ES_tradnl"/>
              </w:rPr>
            </w:pPr>
            <w:r w:rsidRPr="006D3099">
              <w:rPr>
                <w:rFonts w:ascii="Times New Roman" w:hAnsi="Times New Roman" w:cs="Times New Roman"/>
                <w:sz w:val="18"/>
                <w:lang w:val="es-ES_tradnl"/>
              </w:rPr>
              <w:t>2 361</w:t>
            </w:r>
          </w:p>
        </w:tc>
      </w:tr>
      <w:tr w:rsidR="006D3099" w:rsidRPr="006D3099" w14:paraId="05E0C9D7" w14:textId="77777777" w:rsidTr="003451B1">
        <w:trPr>
          <w:trHeight w:val="240"/>
          <w:tblHeader/>
        </w:trPr>
        <w:tc>
          <w:tcPr>
            <w:tcW w:w="2410" w:type="dxa"/>
            <w:tcBorders>
              <w:bottom w:val="single" w:sz="12" w:space="0" w:color="auto"/>
            </w:tcBorders>
            <w:shd w:val="clear" w:color="auto" w:fill="auto"/>
            <w:hideMark/>
          </w:tcPr>
          <w:p w14:paraId="4154FC36" w14:textId="77777777" w:rsidR="00154216" w:rsidRPr="006D3099" w:rsidRDefault="00154216" w:rsidP="006D3099">
            <w:pPr>
              <w:pStyle w:val="SingleTxtG"/>
              <w:spacing w:before="40" w:after="40" w:line="220" w:lineRule="exact"/>
              <w:ind w:left="0" w:right="0"/>
              <w:jc w:val="left"/>
              <w:rPr>
                <w:rFonts w:ascii="Times New Roman" w:hAnsi="Times New Roman" w:cs="Times New Roman"/>
                <w:sz w:val="18"/>
                <w:lang w:val="es-ES_tradnl"/>
              </w:rPr>
            </w:pPr>
            <w:r w:rsidRPr="006D3099">
              <w:rPr>
                <w:rFonts w:ascii="Times New Roman" w:hAnsi="Times New Roman" w:cs="Times New Roman"/>
                <w:sz w:val="18"/>
                <w:lang w:val="es-ES_tradnl"/>
              </w:rPr>
              <w:t>Porcentaje de la flota de autobuses de transporte público</w:t>
            </w:r>
          </w:p>
        </w:tc>
        <w:tc>
          <w:tcPr>
            <w:tcW w:w="992" w:type="dxa"/>
            <w:tcBorders>
              <w:bottom w:val="single" w:sz="12" w:space="0" w:color="auto"/>
            </w:tcBorders>
            <w:shd w:val="clear" w:color="auto" w:fill="auto"/>
            <w:vAlign w:val="bottom"/>
            <w:hideMark/>
          </w:tcPr>
          <w:p w14:paraId="745C77C2" w14:textId="77777777" w:rsidR="00154216" w:rsidRPr="006D3099" w:rsidRDefault="00154216" w:rsidP="006D3099">
            <w:pPr>
              <w:pStyle w:val="SingleTxtG"/>
              <w:spacing w:before="40" w:after="40" w:line="220" w:lineRule="exact"/>
              <w:ind w:left="113" w:right="0"/>
              <w:jc w:val="right"/>
              <w:rPr>
                <w:rFonts w:ascii="Times New Roman" w:hAnsi="Times New Roman" w:cs="Times New Roman"/>
                <w:sz w:val="18"/>
                <w:lang w:val="es-ES_tradnl"/>
              </w:rPr>
            </w:pPr>
            <w:r w:rsidRPr="006D3099">
              <w:rPr>
                <w:rFonts w:ascii="Times New Roman" w:hAnsi="Times New Roman" w:cs="Times New Roman"/>
                <w:sz w:val="18"/>
                <w:lang w:val="es-ES_tradnl"/>
              </w:rPr>
              <w:t>87,8</w:t>
            </w:r>
          </w:p>
        </w:tc>
        <w:tc>
          <w:tcPr>
            <w:tcW w:w="992" w:type="dxa"/>
            <w:tcBorders>
              <w:bottom w:val="single" w:sz="12" w:space="0" w:color="auto"/>
            </w:tcBorders>
            <w:shd w:val="clear" w:color="auto" w:fill="auto"/>
            <w:vAlign w:val="bottom"/>
            <w:hideMark/>
          </w:tcPr>
          <w:p w14:paraId="1A6B4D02" w14:textId="77777777" w:rsidR="00154216" w:rsidRPr="006D3099" w:rsidRDefault="00154216" w:rsidP="006D3099">
            <w:pPr>
              <w:pStyle w:val="SingleTxtG"/>
              <w:spacing w:before="40" w:after="40" w:line="220" w:lineRule="exact"/>
              <w:ind w:left="113" w:right="0"/>
              <w:jc w:val="right"/>
              <w:rPr>
                <w:rFonts w:ascii="Times New Roman" w:hAnsi="Times New Roman" w:cs="Times New Roman"/>
                <w:sz w:val="18"/>
                <w:lang w:val="es-ES_tradnl"/>
              </w:rPr>
            </w:pPr>
            <w:r w:rsidRPr="006D3099">
              <w:rPr>
                <w:rFonts w:ascii="Times New Roman" w:hAnsi="Times New Roman" w:cs="Times New Roman"/>
                <w:sz w:val="18"/>
                <w:lang w:val="es-ES_tradnl"/>
              </w:rPr>
              <w:t>85,0</w:t>
            </w:r>
          </w:p>
        </w:tc>
        <w:tc>
          <w:tcPr>
            <w:tcW w:w="992" w:type="dxa"/>
            <w:tcBorders>
              <w:bottom w:val="single" w:sz="12" w:space="0" w:color="auto"/>
            </w:tcBorders>
            <w:shd w:val="clear" w:color="auto" w:fill="auto"/>
            <w:vAlign w:val="bottom"/>
            <w:hideMark/>
          </w:tcPr>
          <w:p w14:paraId="2175FF33" w14:textId="77777777" w:rsidR="00154216" w:rsidRPr="006D3099" w:rsidRDefault="00154216" w:rsidP="006D3099">
            <w:pPr>
              <w:pStyle w:val="SingleTxtG"/>
              <w:spacing w:before="40" w:after="40" w:line="220" w:lineRule="exact"/>
              <w:ind w:left="113" w:right="0"/>
              <w:jc w:val="right"/>
              <w:rPr>
                <w:rFonts w:ascii="Times New Roman" w:hAnsi="Times New Roman" w:cs="Times New Roman"/>
                <w:sz w:val="18"/>
                <w:lang w:val="es-ES_tradnl"/>
              </w:rPr>
            </w:pPr>
            <w:r w:rsidRPr="006D3099">
              <w:rPr>
                <w:rFonts w:ascii="Times New Roman" w:hAnsi="Times New Roman" w:cs="Times New Roman"/>
                <w:sz w:val="18"/>
                <w:lang w:val="es-ES_tradnl"/>
              </w:rPr>
              <w:t>84,5</w:t>
            </w:r>
          </w:p>
        </w:tc>
        <w:tc>
          <w:tcPr>
            <w:tcW w:w="992" w:type="dxa"/>
            <w:tcBorders>
              <w:bottom w:val="single" w:sz="12" w:space="0" w:color="auto"/>
            </w:tcBorders>
            <w:shd w:val="clear" w:color="auto" w:fill="auto"/>
            <w:vAlign w:val="bottom"/>
            <w:hideMark/>
          </w:tcPr>
          <w:p w14:paraId="46CC0737" w14:textId="77777777" w:rsidR="00154216" w:rsidRPr="006D3099" w:rsidRDefault="00154216" w:rsidP="006D3099">
            <w:pPr>
              <w:pStyle w:val="SingleTxtG"/>
              <w:spacing w:before="40" w:after="40" w:line="220" w:lineRule="exact"/>
              <w:ind w:left="113" w:right="0"/>
              <w:jc w:val="right"/>
              <w:rPr>
                <w:rFonts w:ascii="Times New Roman" w:hAnsi="Times New Roman" w:cs="Times New Roman"/>
                <w:sz w:val="18"/>
                <w:lang w:val="es-ES_tradnl"/>
              </w:rPr>
            </w:pPr>
            <w:r w:rsidRPr="006D3099">
              <w:rPr>
                <w:rFonts w:ascii="Times New Roman" w:hAnsi="Times New Roman" w:cs="Times New Roman"/>
                <w:sz w:val="18"/>
                <w:lang w:val="es-ES_tradnl"/>
              </w:rPr>
              <w:t>86,9</w:t>
            </w:r>
          </w:p>
        </w:tc>
        <w:tc>
          <w:tcPr>
            <w:tcW w:w="992" w:type="dxa"/>
            <w:tcBorders>
              <w:bottom w:val="single" w:sz="12" w:space="0" w:color="auto"/>
            </w:tcBorders>
            <w:shd w:val="clear" w:color="auto" w:fill="auto"/>
            <w:vAlign w:val="bottom"/>
            <w:hideMark/>
          </w:tcPr>
          <w:p w14:paraId="1C3DB1F5" w14:textId="77777777" w:rsidR="00154216" w:rsidRPr="006D3099" w:rsidRDefault="00154216" w:rsidP="006D3099">
            <w:pPr>
              <w:pStyle w:val="SingleTxtG"/>
              <w:spacing w:before="40" w:after="40" w:line="220" w:lineRule="exact"/>
              <w:ind w:left="113" w:right="0"/>
              <w:jc w:val="right"/>
              <w:rPr>
                <w:rFonts w:ascii="Times New Roman" w:hAnsi="Times New Roman" w:cs="Times New Roman"/>
                <w:sz w:val="18"/>
                <w:lang w:val="es-ES_tradnl"/>
              </w:rPr>
            </w:pPr>
            <w:r w:rsidRPr="006D3099">
              <w:rPr>
                <w:rFonts w:ascii="Times New Roman" w:hAnsi="Times New Roman" w:cs="Times New Roman"/>
                <w:sz w:val="18"/>
                <w:lang w:val="es-ES_tradnl"/>
              </w:rPr>
              <w:t>94,5</w:t>
            </w:r>
          </w:p>
        </w:tc>
      </w:tr>
    </w:tbl>
    <w:p w14:paraId="1BABFBAC" w14:textId="77777777" w:rsidR="00154216" w:rsidRPr="00154216" w:rsidRDefault="00154216" w:rsidP="006D3099">
      <w:pPr>
        <w:pStyle w:val="SingleTxtG"/>
        <w:spacing w:before="240"/>
        <w:rPr>
          <w:lang w:val="es-ES_tradnl"/>
        </w:rPr>
      </w:pPr>
      <w:r w:rsidRPr="00154216">
        <w:rPr>
          <w:lang w:val="es-ES_tradnl"/>
        </w:rPr>
        <w:lastRenderedPageBreak/>
        <w:t>105.</w:t>
      </w:r>
      <w:r w:rsidRPr="00154216">
        <w:rPr>
          <w:lang w:val="es-ES_tradnl"/>
        </w:rPr>
        <w:tab/>
        <w:t xml:space="preserve">El Gobierno cofinancia los servicios de transporte público. Los contratos públicos exigen que las flotas de autobuses se vuelvan más accesibles con el tiempo. Ello ha contribuido a aumentar la proporción de los autobuses accesibles. </w:t>
      </w:r>
    </w:p>
    <w:p w14:paraId="2FE2C2A9" w14:textId="77777777" w:rsidR="00154216" w:rsidRPr="00154216" w:rsidRDefault="00154216" w:rsidP="006D3099">
      <w:pPr>
        <w:pStyle w:val="H23G"/>
        <w:rPr>
          <w:lang w:val="es-ES_tradnl"/>
        </w:rPr>
      </w:pPr>
      <w:r w:rsidRPr="00154216">
        <w:rPr>
          <w:lang w:val="es-ES_tradnl"/>
        </w:rPr>
        <w:tab/>
      </w:r>
      <w:r w:rsidRPr="00154216">
        <w:rPr>
          <w:lang w:val="es-ES_tradnl"/>
        </w:rPr>
        <w:tab/>
        <w:t xml:space="preserve">Respuesta al párrafo 9 f)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2952AAAF" w14:textId="77777777" w:rsidR="00154216" w:rsidRPr="00154216" w:rsidRDefault="00154216" w:rsidP="00154216">
      <w:pPr>
        <w:pStyle w:val="SingleTxtG"/>
        <w:rPr>
          <w:lang w:val="es-ES_tradnl"/>
        </w:rPr>
      </w:pPr>
      <w:r w:rsidRPr="00154216">
        <w:rPr>
          <w:lang w:val="es-ES_tradnl"/>
        </w:rPr>
        <w:t>106.</w:t>
      </w:r>
      <w:r w:rsidRPr="00154216">
        <w:rPr>
          <w:lang w:val="es-ES_tradnl"/>
        </w:rPr>
        <w:tab/>
        <w:t>Los actuales sistemas eléctricos de emisión de billetes de transporte público prevén la existencia de puntos de venta accesibles en algunas partes de Nueva Zelandia y funcionan de diferentes maneras. Esperamos que en el futuro:</w:t>
      </w:r>
    </w:p>
    <w:p w14:paraId="636AB485" w14:textId="77777777" w:rsidR="00154216" w:rsidRPr="00154216" w:rsidRDefault="00154216" w:rsidP="006A446E">
      <w:pPr>
        <w:pStyle w:val="Bullet1G"/>
        <w:rPr>
          <w:lang w:val="es-ES_tradnl"/>
        </w:rPr>
      </w:pPr>
      <w:r w:rsidRPr="00154216">
        <w:rPr>
          <w:lang w:val="es-ES_tradnl"/>
        </w:rPr>
        <w:t>La modalidad de pago de los servicios de transporte público sea uniforme en todo el país. De este modo el transporte público será más fácil de utilizar. Por ejemplo, los usuarios del transporte público necesitarán un solo dispositivo (como una tarjeta o teléfono inteligente) para pagar por el uso de todo tipo de transporte público.</w:t>
      </w:r>
    </w:p>
    <w:p w14:paraId="0F9C2DF5" w14:textId="77777777" w:rsidR="00154216" w:rsidRPr="00154216" w:rsidRDefault="00154216" w:rsidP="006A446E">
      <w:pPr>
        <w:pStyle w:val="Bullet1G"/>
        <w:rPr>
          <w:lang w:val="es-ES_tradnl"/>
        </w:rPr>
      </w:pPr>
      <w:r w:rsidRPr="00154216">
        <w:rPr>
          <w:lang w:val="es-ES_tradnl"/>
        </w:rPr>
        <w:t>La infraestructura de emisión de billetes será más accesible. Por ejemplo, habrá puertas más anchas en las estaciones ferroviarias que permitan el acceso de sillas de ruedas y formatos estándar apropiados de visualización en las máquinas de validación de billetes a bordo de los vehículos de transporte público.</w:t>
      </w:r>
    </w:p>
    <w:p w14:paraId="759BC919" w14:textId="77777777" w:rsidR="00154216" w:rsidRPr="00154216" w:rsidRDefault="00154216" w:rsidP="00154216">
      <w:pPr>
        <w:pStyle w:val="SingleTxtG"/>
        <w:rPr>
          <w:lang w:val="es-ES_tradnl"/>
        </w:rPr>
      </w:pPr>
      <w:r w:rsidRPr="00154216">
        <w:rPr>
          <w:lang w:val="es-ES_tradnl"/>
        </w:rPr>
        <w:t>107.</w:t>
      </w:r>
      <w:r w:rsidRPr="00154216">
        <w:rPr>
          <w:lang w:val="es-ES_tradnl"/>
        </w:rPr>
        <w:tab/>
        <w:t xml:space="preserve">El gobierno y los operadores han tomado algunas medidas para asegurar la accesibilidad de la información sobre los recorridos, viajes u horarios (por ejemplo, mediante la señalización auditiva y en braille previa solicitud), pero no se aplica ningún criterio de coordinación. </w:t>
      </w:r>
    </w:p>
    <w:p w14:paraId="747EADA7" w14:textId="77777777" w:rsidR="00154216" w:rsidRPr="00154216" w:rsidRDefault="00154216" w:rsidP="006A446E">
      <w:pPr>
        <w:pStyle w:val="H23G"/>
        <w:rPr>
          <w:lang w:val="es-ES_tradnl"/>
        </w:rPr>
      </w:pPr>
      <w:r w:rsidRPr="00154216">
        <w:rPr>
          <w:lang w:val="es-ES_tradnl"/>
        </w:rPr>
        <w:tab/>
      </w:r>
      <w:r w:rsidRPr="00154216">
        <w:rPr>
          <w:lang w:val="es-ES_tradnl"/>
        </w:rPr>
        <w:tab/>
        <w:t xml:space="preserve">Respuesta al párrafo 10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3AD8DD53" w14:textId="77777777" w:rsidR="00154216" w:rsidRPr="00154216" w:rsidRDefault="00154216" w:rsidP="00154216">
      <w:pPr>
        <w:pStyle w:val="SingleTxtG"/>
        <w:rPr>
          <w:lang w:val="es-ES_tradnl"/>
        </w:rPr>
      </w:pPr>
      <w:r w:rsidRPr="00154216">
        <w:rPr>
          <w:lang w:val="es-ES_tradnl"/>
        </w:rPr>
        <w:t>108.</w:t>
      </w:r>
      <w:r w:rsidRPr="00154216">
        <w:rPr>
          <w:lang w:val="es-ES_tradnl"/>
        </w:rPr>
        <w:tab/>
        <w:t>Algunas de las modificaciones introducidas en el Plan de Gestión de Emergencia de la Defensa Civil (</w:t>
      </w:r>
      <w:proofErr w:type="spellStart"/>
      <w:r w:rsidRPr="00154216">
        <w:rPr>
          <w:lang w:val="es-ES_tradnl"/>
        </w:rPr>
        <w:t>CDEM</w:t>
      </w:r>
      <w:proofErr w:type="spellEnd"/>
      <w:r w:rsidRPr="00154216">
        <w:rPr>
          <w:lang w:val="es-ES_tradnl"/>
        </w:rPr>
        <w:t>) en 2015 tenían por objeto que los planes y estrategias de reducción del riesgo de desastres previeran expresamente la accesibilidad y la inclusión de las personas con discapacidad. Con este fin:</w:t>
      </w:r>
    </w:p>
    <w:p w14:paraId="2CAF8428" w14:textId="77777777" w:rsidR="00154216" w:rsidRPr="00154216" w:rsidRDefault="00154216" w:rsidP="006A446E">
      <w:pPr>
        <w:pStyle w:val="Bullet1G"/>
        <w:rPr>
          <w:lang w:val="es-ES_tradnl"/>
        </w:rPr>
      </w:pPr>
      <w:r w:rsidRPr="00154216">
        <w:rPr>
          <w:lang w:val="es-ES_tradnl"/>
        </w:rPr>
        <w:t xml:space="preserve">La Oficina de Asuntos de Discapacidad pasó a ser un organismo de apoyo a nivel nacional que suministra información y asesoramiento sobre la coordinación de la ayuda a las personas con discapacidad necesitadas de asistencia social en una situación de emergencia. </w:t>
      </w:r>
    </w:p>
    <w:p w14:paraId="646DC58D" w14:textId="77777777" w:rsidR="00154216" w:rsidRPr="00154216" w:rsidRDefault="00154216" w:rsidP="006A446E">
      <w:pPr>
        <w:pStyle w:val="Bullet1G"/>
        <w:rPr>
          <w:lang w:val="es-ES_tradnl"/>
        </w:rPr>
      </w:pPr>
      <w:r w:rsidRPr="00154216">
        <w:rPr>
          <w:lang w:val="es-ES_tradnl"/>
        </w:rPr>
        <w:t>Se amplió el Plan con la inclusión, más allá de los servicios de salud, de servicios de apoyo a la discapacidad en la labor de reducción del riesgo de desastres (por ejemplo, servicios de apoyo auditivo y visual, apoyo al hogar y a la comunidad y apoyo a las personas con trastorno del espectro autista).</w:t>
      </w:r>
    </w:p>
    <w:p w14:paraId="624095F3" w14:textId="77777777" w:rsidR="00154216" w:rsidRPr="00154216" w:rsidRDefault="00154216" w:rsidP="006A446E">
      <w:pPr>
        <w:pStyle w:val="Bullet1G"/>
        <w:rPr>
          <w:lang w:val="es-ES_tradnl"/>
        </w:rPr>
      </w:pPr>
      <w:r w:rsidRPr="00154216">
        <w:rPr>
          <w:lang w:val="es-ES_tradnl"/>
        </w:rPr>
        <w:t xml:space="preserve">Se exigió a los organismos de </w:t>
      </w:r>
      <w:proofErr w:type="spellStart"/>
      <w:r w:rsidRPr="00154216">
        <w:rPr>
          <w:lang w:val="es-ES_tradnl"/>
        </w:rPr>
        <w:t>CDEM</w:t>
      </w:r>
      <w:proofErr w:type="spellEnd"/>
      <w:r w:rsidRPr="00154216">
        <w:rPr>
          <w:rStyle w:val="Refdenotaalfinal"/>
          <w:lang w:val="es-ES_tradnl"/>
        </w:rPr>
        <w:endnoteReference w:id="93"/>
      </w:r>
      <w:r w:rsidRPr="00154216">
        <w:rPr>
          <w:rStyle w:val="Refdenotaalfinal"/>
          <w:lang w:val="es-ES_tradnl"/>
        </w:rPr>
        <w:t xml:space="preserve"> </w:t>
      </w:r>
      <w:r w:rsidRPr="00154216">
        <w:rPr>
          <w:lang w:val="es-ES_tradnl"/>
        </w:rPr>
        <w:t xml:space="preserve">que utilizaran </w:t>
      </w:r>
      <w:r>
        <w:rPr>
          <w:lang w:val="es-ES_tradnl"/>
        </w:rPr>
        <w:t>“</w:t>
      </w:r>
      <w:r w:rsidRPr="00154216">
        <w:rPr>
          <w:lang w:val="es-ES_tradnl"/>
        </w:rPr>
        <w:t>… toda una serie de canales y medios de difusión para llegar al mayor número posible de personas, incluidas ... las personas con discapacidad</w:t>
      </w:r>
      <w:r>
        <w:rPr>
          <w:lang w:val="es-ES_tradnl"/>
        </w:rPr>
        <w:t>”</w:t>
      </w:r>
      <w:r w:rsidRPr="00154216">
        <w:rPr>
          <w:lang w:val="es-ES_tradnl"/>
        </w:rPr>
        <w:t xml:space="preserve"> en sus modalidades de gestión de la información pública en los casos de emergencia.</w:t>
      </w:r>
    </w:p>
    <w:p w14:paraId="62C58269" w14:textId="77777777" w:rsidR="00154216" w:rsidRPr="00154216" w:rsidRDefault="00154216" w:rsidP="006A446E">
      <w:pPr>
        <w:pStyle w:val="Bullet1G"/>
        <w:rPr>
          <w:lang w:val="es-ES_tradnl"/>
        </w:rPr>
      </w:pPr>
      <w:r w:rsidRPr="00154216">
        <w:rPr>
          <w:lang w:val="es-ES_tradnl"/>
        </w:rPr>
        <w:t xml:space="preserve">Se espera que los organismos de </w:t>
      </w:r>
      <w:proofErr w:type="spellStart"/>
      <w:r w:rsidRPr="00154216">
        <w:rPr>
          <w:lang w:val="es-ES_tradnl"/>
        </w:rPr>
        <w:t>CDEM</w:t>
      </w:r>
      <w:proofErr w:type="spellEnd"/>
      <w:r w:rsidRPr="00154216">
        <w:rPr>
          <w:lang w:val="es-ES_tradnl"/>
        </w:rPr>
        <w:t xml:space="preserve"> adopten medidas factibles para asegurar la accesibilidad de su información pública, como el uso de traductores e intérpretes, el subtitulado en directo y/o grandes formatos impresos.</w:t>
      </w:r>
    </w:p>
    <w:p w14:paraId="4E28EF01" w14:textId="77777777" w:rsidR="00154216" w:rsidRPr="00154216" w:rsidRDefault="00154216" w:rsidP="00154216">
      <w:pPr>
        <w:pStyle w:val="SingleTxtG"/>
        <w:rPr>
          <w:lang w:val="es-ES_tradnl"/>
        </w:rPr>
      </w:pPr>
      <w:r w:rsidRPr="00154216">
        <w:rPr>
          <w:lang w:val="es-ES_tradnl"/>
        </w:rPr>
        <w:t>109.</w:t>
      </w:r>
      <w:r w:rsidRPr="00154216">
        <w:rPr>
          <w:lang w:val="es-ES_tradnl"/>
        </w:rPr>
        <w:tab/>
        <w:t xml:space="preserve">El Gobierno tiene lazos oficiales de asociación con la organización </w:t>
      </w:r>
      <w:proofErr w:type="spellStart"/>
      <w:r w:rsidRPr="00154216">
        <w:rPr>
          <w:lang w:val="es-ES_tradnl"/>
        </w:rPr>
        <w:t>Deaf</w:t>
      </w:r>
      <w:proofErr w:type="spellEnd"/>
      <w:r w:rsidRPr="00154216">
        <w:rPr>
          <w:lang w:val="es-ES_tradnl"/>
        </w:rPr>
        <w:t xml:space="preserve"> </w:t>
      </w:r>
      <w:proofErr w:type="spellStart"/>
      <w:r w:rsidRPr="00154216">
        <w:rPr>
          <w:lang w:val="es-ES_tradnl"/>
        </w:rPr>
        <w:t>Aotearoa</w:t>
      </w:r>
      <w:proofErr w:type="spellEnd"/>
      <w:r w:rsidRPr="00154216">
        <w:rPr>
          <w:rStyle w:val="Refdenotaalfinal"/>
          <w:lang w:val="es-ES_tradnl"/>
        </w:rPr>
        <w:endnoteReference w:id="94"/>
      </w:r>
      <w:r w:rsidRPr="00154216">
        <w:rPr>
          <w:rStyle w:val="Refdenotaalfinal"/>
          <w:lang w:val="es-ES_tradnl"/>
        </w:rPr>
        <w:t xml:space="preserve"> </w:t>
      </w:r>
      <w:r w:rsidRPr="00154216">
        <w:rPr>
          <w:lang w:val="es-ES_tradnl"/>
        </w:rPr>
        <w:t xml:space="preserve">(Comunidad Sorda de Nueva Zelandia) para colaborar mejor con las comunidades sordas e indicarles qué hacer en las situaciones de emergencia. El Gobierno está explorando una iniciativa de sufragar el costo de contratación de intérpretes en lengua de señas para las reuniones informativas de los grupos regionales de </w:t>
      </w:r>
      <w:proofErr w:type="spellStart"/>
      <w:r w:rsidRPr="00154216">
        <w:rPr>
          <w:lang w:val="es-ES_tradnl"/>
        </w:rPr>
        <w:t>CDEM</w:t>
      </w:r>
      <w:proofErr w:type="spellEnd"/>
      <w:r w:rsidRPr="00154216">
        <w:rPr>
          <w:lang w:val="es-ES_tradnl"/>
        </w:rPr>
        <w:t xml:space="preserve"> con los medios de difusión en las situaciones de emergencia</w:t>
      </w:r>
      <w:r w:rsidRPr="00154216">
        <w:rPr>
          <w:rStyle w:val="Refdenotaalfinal"/>
          <w:lang w:val="es-ES_tradnl"/>
        </w:rPr>
        <w:endnoteReference w:id="95"/>
      </w:r>
      <w:r w:rsidR="006A446E">
        <w:rPr>
          <w:lang w:val="es-ES_tradnl"/>
        </w:rPr>
        <w:t>.</w:t>
      </w:r>
      <w:r w:rsidRPr="00154216">
        <w:rPr>
          <w:rStyle w:val="Refdenotaalfinal"/>
          <w:lang w:val="es-ES_tradnl"/>
        </w:rPr>
        <w:t xml:space="preserve"> </w:t>
      </w:r>
    </w:p>
    <w:p w14:paraId="1365D2AE" w14:textId="77777777" w:rsidR="00154216" w:rsidRPr="00154216" w:rsidRDefault="00154216" w:rsidP="00154216">
      <w:pPr>
        <w:pStyle w:val="SingleTxtG"/>
        <w:rPr>
          <w:lang w:val="es-ES_tradnl"/>
        </w:rPr>
      </w:pPr>
      <w:r w:rsidRPr="00154216">
        <w:rPr>
          <w:lang w:val="es-ES_tradnl"/>
        </w:rPr>
        <w:t>110.</w:t>
      </w:r>
      <w:r w:rsidRPr="00154216">
        <w:rPr>
          <w:lang w:val="es-ES_tradnl"/>
        </w:rPr>
        <w:tab/>
        <w:t>Una nueva Estrategia Nacional de Resiliencia ante los Desastres trazará el rumbo del progreso hacia las prioridades del Marco de Sendai. El Gobierno ha involucrado a las personas con discapacidad en su elaboración. La Estrategia presta una atención particular a las personas con discapacidad.</w:t>
      </w:r>
    </w:p>
    <w:p w14:paraId="44502478" w14:textId="77777777" w:rsidR="00154216" w:rsidRPr="00154216" w:rsidRDefault="00154216" w:rsidP="006A446E">
      <w:pPr>
        <w:pStyle w:val="H23G"/>
        <w:rPr>
          <w:lang w:val="es-ES_tradnl"/>
        </w:rPr>
      </w:pPr>
      <w:r w:rsidRPr="00154216">
        <w:rPr>
          <w:lang w:val="es-ES_tradnl"/>
        </w:rPr>
        <w:lastRenderedPageBreak/>
        <w:tab/>
      </w:r>
      <w:r w:rsidRPr="00154216">
        <w:rPr>
          <w:lang w:val="es-ES_tradnl"/>
        </w:rPr>
        <w:tab/>
        <w:t xml:space="preserve">Respuesta al párrafo 11 a)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5193DF77" w14:textId="77777777" w:rsidR="00154216" w:rsidRPr="00154216" w:rsidRDefault="00154216" w:rsidP="00154216">
      <w:pPr>
        <w:pStyle w:val="SingleTxtG"/>
        <w:rPr>
          <w:lang w:val="es-ES_tradnl"/>
        </w:rPr>
      </w:pPr>
      <w:r w:rsidRPr="00154216">
        <w:rPr>
          <w:lang w:val="es-ES_tradnl"/>
        </w:rPr>
        <w:t>111.</w:t>
      </w:r>
      <w:r w:rsidRPr="00154216">
        <w:rPr>
          <w:lang w:val="es-ES_tradnl"/>
        </w:rPr>
        <w:tab/>
        <w:t>No hay medidas en curso o previstas para revisar las leyes con el fin de proveer al apoyo a la adopción de decisiones en consonancia con la Convención</w:t>
      </w:r>
      <w:r w:rsidRPr="00154216">
        <w:rPr>
          <w:rStyle w:val="Refdenotaalfinal"/>
          <w:lang w:val="es-ES_tradnl"/>
        </w:rPr>
        <w:endnoteReference w:id="96"/>
      </w:r>
      <w:r w:rsidR="00114E26">
        <w:rPr>
          <w:lang w:val="es-ES_tradnl"/>
        </w:rPr>
        <w:t>.</w:t>
      </w:r>
      <w:r w:rsidRPr="00154216">
        <w:rPr>
          <w:rStyle w:val="Refdenotaalfinal"/>
          <w:lang w:val="es-ES_tradnl"/>
        </w:rPr>
        <w:t xml:space="preserve"> </w:t>
      </w:r>
    </w:p>
    <w:p w14:paraId="30F0CA33" w14:textId="77777777" w:rsidR="00154216" w:rsidRPr="00154216" w:rsidRDefault="00154216" w:rsidP="00706DB1">
      <w:pPr>
        <w:pStyle w:val="H23G"/>
        <w:rPr>
          <w:lang w:val="es-ES_tradnl"/>
        </w:rPr>
      </w:pPr>
      <w:r w:rsidRPr="00154216">
        <w:rPr>
          <w:lang w:val="es-ES_tradnl"/>
        </w:rPr>
        <w:tab/>
      </w:r>
      <w:r w:rsidRPr="00154216">
        <w:rPr>
          <w:lang w:val="es-ES_tradnl"/>
        </w:rPr>
        <w:tab/>
        <w:t xml:space="preserve">Respuesta al párrafo 11 b)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2089C492" w14:textId="77777777" w:rsidR="00154216" w:rsidRPr="00154216" w:rsidRDefault="00154216" w:rsidP="00154216">
      <w:pPr>
        <w:pStyle w:val="SingleTxtG"/>
        <w:rPr>
          <w:lang w:val="es-ES_tradnl"/>
        </w:rPr>
      </w:pPr>
      <w:r w:rsidRPr="00154216">
        <w:rPr>
          <w:lang w:val="es-ES_tradnl"/>
        </w:rPr>
        <w:t>112.</w:t>
      </w:r>
      <w:r w:rsidRPr="00154216">
        <w:rPr>
          <w:lang w:val="es-ES_tradnl"/>
        </w:rPr>
        <w:tab/>
        <w:t>El Código de Derechos de los Usuarios de los Servicios de Salud y de Apoyo a la Discapacidad</w:t>
      </w:r>
      <w:r w:rsidRPr="00154216">
        <w:rPr>
          <w:rStyle w:val="Refdenotaalfinal"/>
          <w:lang w:val="es-ES_tradnl"/>
        </w:rPr>
        <w:endnoteReference w:id="97"/>
      </w:r>
      <w:r w:rsidRPr="00154216">
        <w:rPr>
          <w:rStyle w:val="Refdenotaalfinal"/>
          <w:lang w:val="es-ES_tradnl"/>
        </w:rPr>
        <w:t xml:space="preserve"> </w:t>
      </w:r>
      <w:r w:rsidRPr="00154216">
        <w:rPr>
          <w:lang w:val="es-ES_tradnl"/>
        </w:rPr>
        <w:t>prevé para las personas la posibilidad de adoptar decisiones con conocimiento de causa y de dar su consentimiento informado. Ello incluye el derecho a la comunicación efectiva en una forma, en un lenguaje y de una manera que les permita comprender la información facilitada al acceder a los servicios de salud o de apoyo a la discapacidad</w:t>
      </w:r>
      <w:r w:rsidRPr="00154216">
        <w:rPr>
          <w:rStyle w:val="Refdenotaalfinal"/>
          <w:lang w:val="es-ES_tradnl"/>
        </w:rPr>
        <w:endnoteReference w:id="98"/>
      </w:r>
      <w:r w:rsidR="00706DB1">
        <w:rPr>
          <w:lang w:val="es-ES_tradnl"/>
        </w:rPr>
        <w:t>.</w:t>
      </w:r>
      <w:r w:rsidRPr="00154216">
        <w:rPr>
          <w:rStyle w:val="Refdenotaalfinal"/>
          <w:lang w:val="es-ES_tradnl"/>
        </w:rPr>
        <w:t xml:space="preserve"> </w:t>
      </w:r>
    </w:p>
    <w:p w14:paraId="6046D7CC" w14:textId="77777777" w:rsidR="00154216" w:rsidRPr="00154216" w:rsidRDefault="00154216" w:rsidP="00154216">
      <w:pPr>
        <w:pStyle w:val="SingleTxtG"/>
        <w:rPr>
          <w:lang w:val="es-ES_tradnl"/>
        </w:rPr>
      </w:pPr>
      <w:r w:rsidRPr="00154216">
        <w:rPr>
          <w:lang w:val="es-ES_tradnl"/>
        </w:rPr>
        <w:t>113.</w:t>
      </w:r>
      <w:r w:rsidRPr="00154216">
        <w:rPr>
          <w:lang w:val="es-ES_tradnl"/>
        </w:rPr>
        <w:tab/>
        <w:t>Uno de los principales resultados previstos del prototipo de transformación del sistema de apoyo a la discapacidad es que las personas con discapacidad tengan mayores opciones y poder de decisión en lo que respecta al tipo de asistencia que reciben y a su propia vida. El Gobierno se propone poner el apoyo a la adopción de decisiones a disposición de las personas que accedan a los sistemas de apoyo. Los Servicios de Apoyo a la Discapacidad pueden proveer al acceso de las personas con discapacidad a la gestión presupuestaria. Véanse la introducción y la respuesta a la pregunta 5 f).</w:t>
      </w:r>
    </w:p>
    <w:p w14:paraId="18D1A73F" w14:textId="77777777" w:rsidR="00154216" w:rsidRPr="00154216" w:rsidRDefault="00154216" w:rsidP="00154216">
      <w:pPr>
        <w:pStyle w:val="SingleTxtG"/>
        <w:rPr>
          <w:lang w:val="es-ES_tradnl"/>
        </w:rPr>
      </w:pPr>
      <w:r w:rsidRPr="00154216">
        <w:rPr>
          <w:lang w:val="es-ES_tradnl"/>
        </w:rPr>
        <w:t>114.</w:t>
      </w:r>
      <w:r w:rsidRPr="00154216">
        <w:rPr>
          <w:lang w:val="es-ES_tradnl"/>
        </w:rPr>
        <w:tab/>
        <w:t>La normativa y la política de subvención del cuidado por miembros de la familia (véase la pregunta 5 d)) reconocen la necesidad del apoyo a la adopción de decisiones de quienes se acogen a esta política, y se están considerando en el marco de la revisión del Plan de Subvención del Cuidado por Miembros de la Familia</w:t>
      </w:r>
      <w:r w:rsidRPr="00154216">
        <w:rPr>
          <w:rStyle w:val="Refdenotaalfinal"/>
          <w:lang w:val="es-ES_tradnl"/>
        </w:rPr>
        <w:endnoteReference w:id="99"/>
      </w:r>
      <w:r w:rsidR="00706DB1">
        <w:rPr>
          <w:lang w:val="es-ES_tradnl"/>
        </w:rPr>
        <w:t>.</w:t>
      </w:r>
      <w:r w:rsidRPr="00154216">
        <w:rPr>
          <w:rStyle w:val="Refdenotaalfinal"/>
          <w:lang w:val="es-ES_tradnl"/>
        </w:rPr>
        <w:t xml:space="preserve"> </w:t>
      </w:r>
    </w:p>
    <w:p w14:paraId="3E09D236" w14:textId="77777777" w:rsidR="00154216" w:rsidRPr="00154216" w:rsidRDefault="00154216" w:rsidP="00154216">
      <w:pPr>
        <w:pStyle w:val="SingleTxtG"/>
        <w:rPr>
          <w:lang w:val="es-ES_tradnl"/>
        </w:rPr>
      </w:pPr>
      <w:r w:rsidRPr="00154216">
        <w:rPr>
          <w:lang w:val="es-ES_tradnl"/>
        </w:rPr>
        <w:t>115.</w:t>
      </w:r>
      <w:r w:rsidRPr="00154216">
        <w:rPr>
          <w:lang w:val="es-ES_tradnl"/>
        </w:rPr>
        <w:tab/>
        <w:t xml:space="preserve">En los contratos de servicios residenciales comunitarios se prevé que el proveedor preste apoyo a las personas con discapacidad en el ejercicio de su derecho al control de su propio dinero, a menos que se aplique la Ley de Protección de los Derechos Personales y de Propiedad de 1988 u otra legislación pertinente. En tales circunstancias, las decisiones se rigen por el interés superior de la persona. </w:t>
      </w:r>
    </w:p>
    <w:p w14:paraId="19D22F8C" w14:textId="77777777" w:rsidR="00154216" w:rsidRPr="00154216" w:rsidRDefault="00154216" w:rsidP="00706DB1">
      <w:pPr>
        <w:pStyle w:val="H23G"/>
        <w:rPr>
          <w:lang w:val="es-ES_tradnl"/>
        </w:rPr>
      </w:pPr>
      <w:r w:rsidRPr="00154216">
        <w:rPr>
          <w:lang w:val="es-ES_tradnl"/>
        </w:rPr>
        <w:tab/>
      </w:r>
      <w:r w:rsidRPr="00154216">
        <w:rPr>
          <w:lang w:val="es-ES_tradnl"/>
        </w:rPr>
        <w:tab/>
        <w:t xml:space="preserve">Respuesta al párrafo 11 c)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2F76BDBD" w14:textId="77777777" w:rsidR="00154216" w:rsidRPr="00154216" w:rsidRDefault="00154216" w:rsidP="00154216">
      <w:pPr>
        <w:pStyle w:val="SingleTxtG"/>
        <w:rPr>
          <w:lang w:val="es-ES_tradnl"/>
        </w:rPr>
      </w:pPr>
      <w:r w:rsidRPr="00154216">
        <w:rPr>
          <w:lang w:val="es-ES_tradnl"/>
        </w:rPr>
        <w:t>116.</w:t>
      </w:r>
      <w:r w:rsidRPr="00154216">
        <w:rPr>
          <w:lang w:val="es-ES_tradnl"/>
        </w:rPr>
        <w:tab/>
        <w:t xml:space="preserve">La Ley de Protección de los Derechos Personales y de Propiedad de 1988 establece las normas generales para los regímenes de tutela social. Pueden designarse tutores sociales para las personas que carecen totalmente de la capacidad (o posibilidad) de tomar o comunicar sus propias decisiones en lo que respecta a su bienestar. Se puede designar a un tutor si constituye la única forma de garantizar la adopción de decisiones apropiadas. </w:t>
      </w:r>
    </w:p>
    <w:p w14:paraId="7959D81E" w14:textId="77777777" w:rsidR="00154216" w:rsidRPr="00154216" w:rsidRDefault="00154216" w:rsidP="00154216">
      <w:pPr>
        <w:pStyle w:val="SingleTxtG"/>
        <w:rPr>
          <w:lang w:val="es-ES_tradnl"/>
        </w:rPr>
      </w:pPr>
      <w:r w:rsidRPr="00154216">
        <w:rPr>
          <w:lang w:val="es-ES_tradnl"/>
        </w:rPr>
        <w:t>117.</w:t>
      </w:r>
      <w:r w:rsidRPr="00154216">
        <w:rPr>
          <w:lang w:val="es-ES_tradnl"/>
        </w:rPr>
        <w:tab/>
        <w:t xml:space="preserve">No estamos en condiciones de presentar datos sobre el número de casos de tutela vigentes o el número de personas que han recuperado la capacidad jurídica desde que se ratificó la Convención. </w:t>
      </w:r>
    </w:p>
    <w:p w14:paraId="06C4FCA6" w14:textId="77777777" w:rsidR="00154216" w:rsidRPr="00154216" w:rsidRDefault="00154216" w:rsidP="00154216">
      <w:pPr>
        <w:pStyle w:val="SingleTxtG"/>
        <w:rPr>
          <w:b/>
          <w:lang w:val="es-ES_tradnl"/>
        </w:rPr>
      </w:pPr>
      <w:r w:rsidRPr="00154216">
        <w:rPr>
          <w:lang w:val="es-ES_tradnl"/>
        </w:rPr>
        <w:t>118.</w:t>
      </w:r>
      <w:r w:rsidRPr="00154216">
        <w:rPr>
          <w:lang w:val="es-ES_tradnl"/>
        </w:rPr>
        <w:tab/>
        <w:t>Sí sabemos que el número de solicitudes aprobadas de tutela social aumentó de 743 en 2008 a 1.525 en 2017</w:t>
      </w:r>
      <w:r w:rsidRPr="00154216">
        <w:rPr>
          <w:rStyle w:val="Refdenotaalfinal"/>
          <w:lang w:val="es-ES_tradnl"/>
        </w:rPr>
        <w:endnoteReference w:id="100"/>
      </w:r>
      <w:r w:rsidR="00706DB1">
        <w:rPr>
          <w:lang w:val="es-ES_tradnl"/>
        </w:rPr>
        <w:t>.</w:t>
      </w:r>
      <w:r w:rsidRPr="00154216">
        <w:rPr>
          <w:rStyle w:val="Refdenotaalfinal"/>
          <w:lang w:val="es-ES_tradnl"/>
        </w:rPr>
        <w:t xml:space="preserve"> </w:t>
      </w:r>
      <w:r w:rsidRPr="00154216">
        <w:rPr>
          <w:lang w:val="es-ES_tradnl"/>
        </w:rPr>
        <w:t xml:space="preserve">Los jueces pueden poner fin al régimen de tutela social o modificarlo. No se reúnen datos sobre estos cambios. </w:t>
      </w:r>
    </w:p>
    <w:p w14:paraId="4E1D289F" w14:textId="77777777" w:rsidR="00154216" w:rsidRPr="00154216" w:rsidRDefault="00154216" w:rsidP="00706DB1">
      <w:pPr>
        <w:pStyle w:val="H23G"/>
        <w:rPr>
          <w:lang w:val="es-ES_tradnl"/>
        </w:rPr>
      </w:pPr>
      <w:r w:rsidRPr="00154216">
        <w:rPr>
          <w:lang w:val="es-ES_tradnl"/>
        </w:rPr>
        <w:tab/>
      </w:r>
      <w:r w:rsidRPr="00154216">
        <w:rPr>
          <w:lang w:val="es-ES_tradnl"/>
        </w:rPr>
        <w:tab/>
        <w:t xml:space="preserve">Respuesta al párrafo 12 a)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4FAC3E11" w14:textId="77777777" w:rsidR="00154216" w:rsidRPr="00154216" w:rsidRDefault="00154216" w:rsidP="00154216">
      <w:pPr>
        <w:pStyle w:val="SingleTxtG"/>
        <w:rPr>
          <w:lang w:val="es-ES_tradnl"/>
        </w:rPr>
      </w:pPr>
      <w:r w:rsidRPr="00154216">
        <w:rPr>
          <w:lang w:val="es-ES_tradnl"/>
        </w:rPr>
        <w:t>119.</w:t>
      </w:r>
      <w:r w:rsidRPr="00154216">
        <w:rPr>
          <w:lang w:val="es-ES_tradnl"/>
        </w:rPr>
        <w:tab/>
        <w:t>La Corporación de Indemnización de Accidentes (ACC) brinda cobertura por lesiones personales no culposas a todas las personas en Nueva Zelandia, incluidos los visitantes extranjeros. Las personas renuncian al derecho a entablar demanda por daños y perjuicios a cambio de una cobertura e indemnización integral de accidentes. El plan abarca tres funciones básicas: la prevención de lesiones, la rehabilitación y la indemnización. Nueva Zelandia es el único país que ofrece un plan integral de seguro contra accidentes como el de la ACC.</w:t>
      </w:r>
    </w:p>
    <w:p w14:paraId="1DD5F801" w14:textId="77777777" w:rsidR="00154216" w:rsidRPr="00154216" w:rsidRDefault="00154216" w:rsidP="00154216">
      <w:pPr>
        <w:pStyle w:val="SingleTxtG"/>
        <w:rPr>
          <w:lang w:val="es-ES_tradnl"/>
        </w:rPr>
      </w:pPr>
      <w:r w:rsidRPr="00154216">
        <w:rPr>
          <w:lang w:val="es-ES_tradnl"/>
        </w:rPr>
        <w:t>120.</w:t>
      </w:r>
      <w:r w:rsidRPr="00154216">
        <w:rPr>
          <w:lang w:val="es-ES_tradnl"/>
        </w:rPr>
        <w:tab/>
        <w:t>Todos los reclamantes tienen derecho a solicitar que se revisen las decisiones de la ACC sobre la cobertura y la titularidad de las prestaciones. No se cobra por las solicitudes de revisión de decisiones de la ACC y se pueden resarcir a los reclamantes los gastos del procedimiento</w:t>
      </w:r>
      <w:r w:rsidRPr="00154216">
        <w:rPr>
          <w:rStyle w:val="Refdenotaalfinal"/>
          <w:lang w:val="es-ES_tradnl"/>
        </w:rPr>
        <w:endnoteReference w:id="101"/>
      </w:r>
      <w:r w:rsidR="00706DB1">
        <w:rPr>
          <w:lang w:val="es-ES_tradnl"/>
        </w:rPr>
        <w:t>.</w:t>
      </w:r>
      <w:r w:rsidRPr="00154216">
        <w:rPr>
          <w:rStyle w:val="Refdenotaalfinal"/>
          <w:lang w:val="es-ES_tradnl"/>
        </w:rPr>
        <w:t xml:space="preserve"> </w:t>
      </w:r>
      <w:r w:rsidRPr="00154216">
        <w:rPr>
          <w:lang w:val="es-ES_tradnl"/>
        </w:rPr>
        <w:t xml:space="preserve">En algunos casos se ofrece asistencia letrada, administrada por el Ministerio de Justicia, para los procedimientos de revisión y apelación de las decisiones de </w:t>
      </w:r>
      <w:r w:rsidRPr="00154216">
        <w:rPr>
          <w:lang w:val="es-ES_tradnl"/>
        </w:rPr>
        <w:lastRenderedPageBreak/>
        <w:t>la ACC. No está disponible para presentar las reclamaciones a la ACC, dado que ello no entraña representación ni costas legales.</w:t>
      </w:r>
    </w:p>
    <w:p w14:paraId="3498126F" w14:textId="77777777" w:rsidR="00154216" w:rsidRPr="00154216" w:rsidRDefault="00154216" w:rsidP="00154216">
      <w:pPr>
        <w:pStyle w:val="SingleTxtG"/>
        <w:rPr>
          <w:lang w:val="es-ES_tradnl"/>
        </w:rPr>
      </w:pPr>
      <w:r w:rsidRPr="00154216">
        <w:rPr>
          <w:lang w:val="es-ES_tradnl"/>
        </w:rPr>
        <w:t>121.</w:t>
      </w:r>
      <w:r w:rsidRPr="00154216">
        <w:rPr>
          <w:lang w:val="es-ES_tradnl"/>
        </w:rPr>
        <w:tab/>
        <w:t>La ACC ha modificado su procedimiento de solución de controversias para mejorar el servicio y agilizar la resolución de los asuntos. A mediados de 2019 se tiene programado poner en funcionamiento un servicio de navegación gratuito e independiente para ayudar a los reclamantes a comprender sus derechos legales y el procedimiento para impugnar las decisiones de la ACC. Se prevé que el servicio ayudará a 4.400 clientes por año</w:t>
      </w:r>
      <w:r w:rsidRPr="00154216">
        <w:rPr>
          <w:rStyle w:val="Refdenotaalfinal"/>
          <w:lang w:val="es-ES_tradnl"/>
        </w:rPr>
        <w:endnoteReference w:id="102"/>
      </w:r>
      <w:r w:rsidRPr="00154216">
        <w:rPr>
          <w:rStyle w:val="Refdenotaalfinal"/>
          <w:lang w:val="es-ES_tradnl"/>
        </w:rPr>
        <w:t xml:space="preserve"> </w:t>
      </w:r>
      <w:r w:rsidRPr="00154216">
        <w:rPr>
          <w:lang w:val="es-ES_tradnl"/>
        </w:rPr>
        <w:t>a consultar sus procedimientos cuando deseen impugnar o comprender mejor una decisión</w:t>
      </w:r>
      <w:r w:rsidRPr="00154216">
        <w:rPr>
          <w:rStyle w:val="Refdenotaalfinal"/>
          <w:lang w:val="es-ES_tradnl"/>
        </w:rPr>
        <w:endnoteReference w:id="103"/>
      </w:r>
      <w:r w:rsidR="00706DB1">
        <w:rPr>
          <w:lang w:val="es-ES_tradnl"/>
        </w:rPr>
        <w:t>.</w:t>
      </w:r>
      <w:r w:rsidRPr="00154216">
        <w:rPr>
          <w:rStyle w:val="Refdenotaalfinal"/>
          <w:lang w:val="es-ES_tradnl"/>
        </w:rPr>
        <w:t xml:space="preserve"> </w:t>
      </w:r>
      <w:r w:rsidRPr="00154216">
        <w:rPr>
          <w:lang w:val="es-ES_tradnl"/>
        </w:rPr>
        <w:t>La ACC tiene expectativas claras en cuanto a la accesibilidad de este servicio, en particular para los maoríes, las personas con discapacidad y las personas necesitadas de apoyo lingüístico o de conocimientos básicos.</w:t>
      </w:r>
    </w:p>
    <w:p w14:paraId="4907FE85" w14:textId="77777777" w:rsidR="00154216" w:rsidRPr="00154216" w:rsidRDefault="00154216" w:rsidP="00154216">
      <w:pPr>
        <w:pStyle w:val="SingleTxtG"/>
        <w:rPr>
          <w:lang w:val="es-ES_tradnl"/>
        </w:rPr>
      </w:pPr>
      <w:r w:rsidRPr="00154216">
        <w:rPr>
          <w:lang w:val="es-ES_tradnl"/>
        </w:rPr>
        <w:t>122.</w:t>
      </w:r>
      <w:r w:rsidRPr="00154216">
        <w:rPr>
          <w:lang w:val="es-ES_tradnl"/>
        </w:rPr>
        <w:tab/>
        <w:t>La ACC se adhiere a la Carta de la Accesibilidad (véase la pregunta 20 d)).</w:t>
      </w:r>
    </w:p>
    <w:p w14:paraId="52BC181F" w14:textId="77777777" w:rsidR="00154216" w:rsidRPr="00154216" w:rsidRDefault="00154216" w:rsidP="00154216">
      <w:pPr>
        <w:pStyle w:val="SingleTxtG"/>
        <w:rPr>
          <w:lang w:val="es-ES_tradnl"/>
        </w:rPr>
      </w:pPr>
      <w:r w:rsidRPr="00154216">
        <w:rPr>
          <w:lang w:val="es-ES_tradnl"/>
        </w:rPr>
        <w:t>123.</w:t>
      </w:r>
      <w:r w:rsidRPr="00154216">
        <w:rPr>
          <w:lang w:val="es-ES_tradnl"/>
        </w:rPr>
        <w:tab/>
        <w:t>Los examinadores</w:t>
      </w:r>
      <w:r w:rsidRPr="00154216">
        <w:rPr>
          <w:rStyle w:val="Refdenotaalfinal"/>
          <w:lang w:val="es-ES_tradnl"/>
        </w:rPr>
        <w:endnoteReference w:id="104"/>
      </w:r>
      <w:r w:rsidRPr="00154216">
        <w:rPr>
          <w:rStyle w:val="Refdenotaalfinal"/>
          <w:lang w:val="es-ES_tradnl"/>
        </w:rPr>
        <w:t xml:space="preserve"> </w:t>
      </w:r>
      <w:r w:rsidRPr="00154216">
        <w:rPr>
          <w:lang w:val="es-ES_tradnl"/>
        </w:rPr>
        <w:t>deben actuar con independencia, atenerse a los principios de justicia natural y ejercer la debida diligencia al adoptar las decisiones.</w:t>
      </w:r>
    </w:p>
    <w:p w14:paraId="14F63501" w14:textId="77777777" w:rsidR="00154216" w:rsidRPr="00154216" w:rsidRDefault="00154216" w:rsidP="00706DB1">
      <w:pPr>
        <w:pStyle w:val="H23G"/>
        <w:rPr>
          <w:lang w:val="es-ES_tradnl"/>
        </w:rPr>
      </w:pPr>
      <w:r w:rsidRPr="00154216">
        <w:rPr>
          <w:lang w:val="es-ES_tradnl"/>
        </w:rPr>
        <w:tab/>
      </w:r>
      <w:r w:rsidRPr="00154216">
        <w:rPr>
          <w:lang w:val="es-ES_tradnl"/>
        </w:rPr>
        <w:tab/>
        <w:t xml:space="preserve">Respuesta al párrafo 12 b)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445C35BD" w14:textId="77777777" w:rsidR="00154216" w:rsidRPr="00154216" w:rsidRDefault="00154216" w:rsidP="00154216">
      <w:pPr>
        <w:pStyle w:val="SingleTxtG"/>
        <w:rPr>
          <w:lang w:val="es-ES_tradnl"/>
        </w:rPr>
      </w:pPr>
      <w:r w:rsidRPr="00154216">
        <w:rPr>
          <w:lang w:val="es-ES_tradnl"/>
        </w:rPr>
        <w:t>124.</w:t>
      </w:r>
      <w:r w:rsidRPr="00154216">
        <w:rPr>
          <w:lang w:val="es-ES_tradnl"/>
        </w:rPr>
        <w:tab/>
        <w:t xml:space="preserve">En general, los tribunales pueden admitir como prueba cualquier declaración, documento, información o asunto que pueda ayudarlos en sus deliberaciones (se trate o no de material admisible ante un tribunal de justicia). </w:t>
      </w:r>
    </w:p>
    <w:p w14:paraId="20866D5A" w14:textId="77777777" w:rsidR="00154216" w:rsidRPr="00154216" w:rsidRDefault="00154216" w:rsidP="00154216">
      <w:pPr>
        <w:pStyle w:val="SingleTxtG"/>
        <w:rPr>
          <w:lang w:val="es-ES_tradnl"/>
        </w:rPr>
      </w:pPr>
      <w:r w:rsidRPr="00154216">
        <w:rPr>
          <w:lang w:val="es-ES_tradnl"/>
        </w:rPr>
        <w:t>125.</w:t>
      </w:r>
      <w:r w:rsidRPr="00154216">
        <w:rPr>
          <w:lang w:val="es-ES_tradnl"/>
        </w:rPr>
        <w:tab/>
        <w:t>Recientemente el Parlamento aprobó legislación</w:t>
      </w:r>
      <w:r w:rsidRPr="00154216">
        <w:rPr>
          <w:rStyle w:val="Refdenotaalfinal"/>
          <w:lang w:val="es-ES_tradnl"/>
        </w:rPr>
        <w:endnoteReference w:id="105"/>
      </w:r>
      <w:r w:rsidRPr="00154216">
        <w:rPr>
          <w:rStyle w:val="Refdenotaalfinal"/>
          <w:lang w:val="es-ES_tradnl"/>
        </w:rPr>
        <w:t xml:space="preserve"> </w:t>
      </w:r>
      <w:r w:rsidRPr="00154216">
        <w:rPr>
          <w:lang w:val="es-ES_tradnl"/>
        </w:rPr>
        <w:t>por la que se incrementa el acceso a los tribunales administrados por el Ministerio de Justicia. Los cambios normalizan el uso de medios audiovisuales u otros dispositivos de acceso a distancia y ofrecen la posibilidad, si procede, de examinar los asuntos sin una audiencia presencial. De este modo se reconoce que los gastos de viaje pueden obstaculizar el acceso.</w:t>
      </w:r>
    </w:p>
    <w:p w14:paraId="601DD96E" w14:textId="77777777" w:rsidR="00154216" w:rsidRPr="00154216" w:rsidRDefault="00154216" w:rsidP="00154216">
      <w:pPr>
        <w:pStyle w:val="SingleTxtG"/>
        <w:rPr>
          <w:lang w:val="es-ES_tradnl"/>
        </w:rPr>
      </w:pPr>
      <w:r w:rsidRPr="00154216">
        <w:rPr>
          <w:lang w:val="es-ES_tradnl"/>
        </w:rPr>
        <w:t>126.</w:t>
      </w:r>
      <w:r w:rsidRPr="00154216">
        <w:rPr>
          <w:lang w:val="es-ES_tradnl"/>
        </w:rPr>
        <w:tab/>
        <w:t>En algunos tribunales está disponible la asistencia letrada para los procedimientos</w:t>
      </w:r>
      <w:r w:rsidRPr="00154216">
        <w:rPr>
          <w:rStyle w:val="Refdenotaalfinal"/>
          <w:lang w:val="es-ES_tradnl"/>
        </w:rPr>
        <w:endnoteReference w:id="106"/>
      </w:r>
      <w:r w:rsidR="00706DB1">
        <w:rPr>
          <w:lang w:val="es-ES_tradnl"/>
        </w:rPr>
        <w:t>.</w:t>
      </w:r>
      <w:r w:rsidRPr="00154216">
        <w:rPr>
          <w:rStyle w:val="Refdenotaalfinal"/>
          <w:lang w:val="es-ES_tradnl"/>
        </w:rPr>
        <w:t xml:space="preserve"> </w:t>
      </w:r>
      <w:r w:rsidRPr="00154216">
        <w:rPr>
          <w:lang w:val="es-ES_tradnl"/>
        </w:rPr>
        <w:t xml:space="preserve">En otros tribunales se puede conceder este tipo de asistencia si el Comisionado de Servicios Jurídicos considera que es necesaria la representación legal y que sin asistencia el interesado puede verse enfrentado a dificultades considerables. </w:t>
      </w:r>
    </w:p>
    <w:p w14:paraId="742B3297" w14:textId="77777777" w:rsidR="00154216" w:rsidRPr="00154216" w:rsidRDefault="00154216" w:rsidP="00154216">
      <w:pPr>
        <w:pStyle w:val="SingleTxtG"/>
        <w:rPr>
          <w:lang w:val="es-ES_tradnl"/>
        </w:rPr>
      </w:pPr>
      <w:r w:rsidRPr="00154216">
        <w:rPr>
          <w:lang w:val="es-ES_tradnl"/>
        </w:rPr>
        <w:t>127.</w:t>
      </w:r>
      <w:r w:rsidRPr="00154216">
        <w:rPr>
          <w:lang w:val="es-ES_tradnl"/>
        </w:rPr>
        <w:tab/>
        <w:t xml:space="preserve">La posibilidad de acogerse a la asistencia letrada depende de factores como el ingreso de la persona y el contenido de fondo de su caso. El tipo y la cuantía de la subvención se ajustan a las necesidades de la persona (incluso en el caso de que una discapacidad obstaculice su acceso a la justicia). </w:t>
      </w:r>
    </w:p>
    <w:p w14:paraId="3840BEB2" w14:textId="77777777" w:rsidR="00154216" w:rsidRPr="00154216" w:rsidRDefault="00154216" w:rsidP="00154216">
      <w:pPr>
        <w:pStyle w:val="SingleTxtG"/>
        <w:rPr>
          <w:lang w:val="es-ES_tradnl"/>
        </w:rPr>
      </w:pPr>
      <w:r w:rsidRPr="00154216">
        <w:rPr>
          <w:lang w:val="es-ES_tradnl"/>
        </w:rPr>
        <w:t>128.</w:t>
      </w:r>
      <w:r w:rsidRPr="00154216">
        <w:rPr>
          <w:lang w:val="es-ES_tradnl"/>
        </w:rPr>
        <w:tab/>
        <w:t xml:space="preserve">En 2018, el Gobierno examinó el marco normativo de la asistencia letrada y los efectos de este sobre diferentes grupos de la población, comprendidas las personas con discapacidad. En 2019 se tiene previsto decidir sobre los cambios que quepa introducir. </w:t>
      </w:r>
    </w:p>
    <w:p w14:paraId="26E0859D" w14:textId="77777777" w:rsidR="00154216" w:rsidRPr="00154216" w:rsidRDefault="00154216" w:rsidP="00154216">
      <w:pPr>
        <w:pStyle w:val="SingleTxtG"/>
        <w:rPr>
          <w:lang w:val="es-ES_tradnl"/>
        </w:rPr>
      </w:pPr>
      <w:r w:rsidRPr="00154216">
        <w:rPr>
          <w:lang w:val="es-ES_tradnl"/>
        </w:rPr>
        <w:t>129.</w:t>
      </w:r>
      <w:r w:rsidRPr="00154216">
        <w:rPr>
          <w:lang w:val="es-ES_tradnl"/>
        </w:rPr>
        <w:tab/>
        <w:t>Muchos de los tribunales, como el Tribunal de Examen de los Derechos Humanos, no cobran tasas ni costas conexas por la interposición de las demandas, como medio de garantizar el acceso de las personas a la justicia.</w:t>
      </w:r>
    </w:p>
    <w:p w14:paraId="0E728E70" w14:textId="77777777" w:rsidR="00154216" w:rsidRPr="00154216" w:rsidRDefault="00154216" w:rsidP="00706DB1">
      <w:pPr>
        <w:pStyle w:val="H23G"/>
        <w:rPr>
          <w:lang w:val="es-ES_tradnl"/>
        </w:rPr>
      </w:pPr>
      <w:r w:rsidRPr="00154216">
        <w:rPr>
          <w:lang w:val="es-ES_tradnl"/>
        </w:rPr>
        <w:tab/>
      </w:r>
      <w:r w:rsidRPr="00154216">
        <w:rPr>
          <w:lang w:val="es-ES_tradnl"/>
        </w:rPr>
        <w:tab/>
        <w:t xml:space="preserve">Respuesta al párrafo 12 c)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5BCF0D37" w14:textId="77777777" w:rsidR="00154216" w:rsidRPr="00154216" w:rsidRDefault="00154216" w:rsidP="00154216">
      <w:pPr>
        <w:pStyle w:val="SingleTxtG"/>
        <w:rPr>
          <w:rStyle w:val="Refdenotaalfinal"/>
          <w:lang w:val="es-ES_tradnl"/>
        </w:rPr>
      </w:pPr>
      <w:r w:rsidRPr="00154216">
        <w:rPr>
          <w:lang w:val="es-ES_tradnl"/>
        </w:rPr>
        <w:t>130.</w:t>
      </w:r>
      <w:r w:rsidRPr="00154216">
        <w:rPr>
          <w:lang w:val="es-ES_tradnl"/>
        </w:rPr>
        <w:tab/>
        <w:t>No se reúnen datos sobre la prevalencia de los jóvenes con discapacidad intelectual o psicosocial en el sistema de justicia juvenil</w:t>
      </w:r>
      <w:r w:rsidRPr="00154216">
        <w:rPr>
          <w:rStyle w:val="Refdenotaalfinal"/>
          <w:lang w:val="es-ES_tradnl"/>
        </w:rPr>
        <w:endnoteReference w:id="107"/>
      </w:r>
      <w:r w:rsidR="00706DB1">
        <w:rPr>
          <w:lang w:val="es-ES_tradnl"/>
        </w:rPr>
        <w:t>.</w:t>
      </w:r>
    </w:p>
    <w:p w14:paraId="313AEF77" w14:textId="77777777" w:rsidR="00154216" w:rsidRPr="00154216" w:rsidRDefault="00154216" w:rsidP="00154216">
      <w:pPr>
        <w:pStyle w:val="SingleTxtG"/>
        <w:rPr>
          <w:lang w:val="es-ES_tradnl"/>
        </w:rPr>
      </w:pPr>
      <w:r w:rsidRPr="00154216">
        <w:rPr>
          <w:lang w:val="es-ES_tradnl"/>
        </w:rPr>
        <w:t>131.</w:t>
      </w:r>
      <w:r w:rsidRPr="00154216">
        <w:rPr>
          <w:lang w:val="es-ES_tradnl"/>
        </w:rPr>
        <w:tab/>
        <w:t xml:space="preserve">En cambio, en Nueva Zelandia la práctica se guía por los datos internacionales sobre la prevalencia de los trastornos de salud y discapacidades. Estos datos se utilizaron para el desarrollo, la expansión y la financiación de los servicios forenses de salud mental y adicciones para los jóvenes que se implementaron entre 2011 y 2015. </w:t>
      </w:r>
    </w:p>
    <w:p w14:paraId="3D018511" w14:textId="77777777" w:rsidR="00154216" w:rsidRPr="00154216" w:rsidRDefault="00154216" w:rsidP="00154216">
      <w:pPr>
        <w:pStyle w:val="SingleTxtG"/>
        <w:rPr>
          <w:lang w:val="es-ES_tradnl"/>
        </w:rPr>
      </w:pPr>
      <w:r w:rsidRPr="00154216">
        <w:rPr>
          <w:lang w:val="es-ES_tradnl"/>
        </w:rPr>
        <w:t>132.</w:t>
      </w:r>
      <w:r w:rsidRPr="00154216">
        <w:rPr>
          <w:lang w:val="es-ES_tradnl"/>
        </w:rPr>
        <w:tab/>
        <w:t>Nuestra recopilación nacional de datos registra el número de jóvenes que accedieron a los servicios forenses especializados en salud mental en cada región (con datos demográficos) y el número de contactos que tuvieron, pero no los detalles de la intervención. La información no está completa porque no podemos acceder a los datos de todos los proveedores de servicios.</w:t>
      </w:r>
    </w:p>
    <w:p w14:paraId="7E5AB909" w14:textId="77777777" w:rsidR="00154216" w:rsidRPr="00154216" w:rsidRDefault="00154216" w:rsidP="00154216">
      <w:pPr>
        <w:pStyle w:val="SingleTxtG"/>
        <w:rPr>
          <w:lang w:val="es-ES_tradnl"/>
        </w:rPr>
      </w:pPr>
      <w:r w:rsidRPr="00154216">
        <w:rPr>
          <w:lang w:val="es-ES_tradnl"/>
        </w:rPr>
        <w:t>133.</w:t>
      </w:r>
      <w:r w:rsidRPr="00154216">
        <w:rPr>
          <w:lang w:val="es-ES_tradnl"/>
        </w:rPr>
        <w:tab/>
        <w:t xml:space="preserve">No disponemos de datos sobre la prevalencia de los delincuentes juveniles en el sistema de justicia neozelandés que presentan trastornos del desarrollo neurológico </w:t>
      </w:r>
      <w:r w:rsidRPr="00154216">
        <w:rPr>
          <w:lang w:val="es-ES_tradnl"/>
        </w:rPr>
        <w:lastRenderedPageBreak/>
        <w:t xml:space="preserve">(especialmente el del síndrome de alcoholismo fetal). Actualmente no disponemos de un conjunto integral de servicios de intervención y apoyo para este grupo. </w:t>
      </w:r>
    </w:p>
    <w:p w14:paraId="797982A1" w14:textId="77777777" w:rsidR="00154216" w:rsidRPr="00154216" w:rsidRDefault="00154216" w:rsidP="00154216">
      <w:pPr>
        <w:pStyle w:val="SingleTxtG"/>
        <w:rPr>
          <w:lang w:val="es-ES_tradnl"/>
        </w:rPr>
      </w:pPr>
      <w:r w:rsidRPr="00154216">
        <w:rPr>
          <w:lang w:val="es-ES_tradnl"/>
        </w:rPr>
        <w:t>134.</w:t>
      </w:r>
      <w:r w:rsidRPr="00154216">
        <w:rPr>
          <w:lang w:val="es-ES_tradnl"/>
        </w:rPr>
        <w:tab/>
        <w:t xml:space="preserve">El Gobierno tiene previsto recopilar las tasas locales de prevalencia del trastorno del síndrome de alcoholismo fetal utilizando los datos del estudio longitudinal </w:t>
      </w:r>
      <w:proofErr w:type="spellStart"/>
      <w:r w:rsidRPr="00154216">
        <w:rPr>
          <w:i/>
          <w:iCs/>
          <w:lang w:val="es-ES_tradnl"/>
        </w:rPr>
        <w:t>Growing</w:t>
      </w:r>
      <w:proofErr w:type="spellEnd"/>
      <w:r w:rsidRPr="00154216">
        <w:rPr>
          <w:i/>
          <w:iCs/>
          <w:lang w:val="es-ES_tradnl"/>
        </w:rPr>
        <w:t xml:space="preserve"> up in </w:t>
      </w:r>
      <w:proofErr w:type="spellStart"/>
      <w:r w:rsidRPr="00154216">
        <w:rPr>
          <w:i/>
          <w:iCs/>
          <w:lang w:val="es-ES_tradnl"/>
        </w:rPr>
        <w:t>NZ</w:t>
      </w:r>
      <w:proofErr w:type="spellEnd"/>
      <w:r w:rsidRPr="00154216">
        <w:rPr>
          <w:i/>
          <w:iCs/>
          <w:lang w:val="es-ES_tradnl"/>
        </w:rPr>
        <w:t xml:space="preserve"> </w:t>
      </w:r>
      <w:proofErr w:type="spellStart"/>
      <w:r w:rsidRPr="00154216">
        <w:rPr>
          <w:i/>
          <w:iCs/>
          <w:lang w:val="es-ES_tradnl"/>
        </w:rPr>
        <w:t>Study</w:t>
      </w:r>
      <w:proofErr w:type="spellEnd"/>
      <w:r w:rsidRPr="00154216">
        <w:rPr>
          <w:i/>
          <w:iCs/>
          <w:lang w:val="es-ES_tradnl"/>
        </w:rPr>
        <w:t xml:space="preserve"> </w:t>
      </w:r>
      <w:r w:rsidRPr="00154216">
        <w:rPr>
          <w:lang w:val="es-ES_tradnl"/>
        </w:rPr>
        <w:t>(Crecer en Nueva Zelandia)</w:t>
      </w:r>
      <w:r w:rsidRPr="00154216">
        <w:rPr>
          <w:rStyle w:val="Refdenotaalfinal"/>
          <w:lang w:val="es-ES_tradnl"/>
        </w:rPr>
        <w:endnoteReference w:id="108"/>
      </w:r>
      <w:r w:rsidR="00114E26">
        <w:rPr>
          <w:lang w:val="es-ES_tradnl"/>
        </w:rPr>
        <w:t>.</w:t>
      </w:r>
      <w:r w:rsidRPr="00154216">
        <w:rPr>
          <w:rStyle w:val="Refdenotaalfinal"/>
          <w:lang w:val="es-ES_tradnl"/>
        </w:rPr>
        <w:t xml:space="preserve"> </w:t>
      </w:r>
      <w:r w:rsidRPr="00154216">
        <w:rPr>
          <w:lang w:val="es-ES_tradnl"/>
        </w:rPr>
        <w:t xml:space="preserve">Esto servirá de base para determinar los servicios que se han de ofrecer. </w:t>
      </w:r>
    </w:p>
    <w:p w14:paraId="45955E23" w14:textId="77777777" w:rsidR="00154216" w:rsidRPr="00154216" w:rsidRDefault="00154216" w:rsidP="00706DB1">
      <w:pPr>
        <w:pStyle w:val="H23G"/>
        <w:rPr>
          <w:lang w:val="es-ES_tradnl"/>
        </w:rPr>
      </w:pPr>
      <w:r w:rsidRPr="00154216">
        <w:rPr>
          <w:lang w:val="es-ES_tradnl"/>
        </w:rPr>
        <w:tab/>
      </w:r>
      <w:r w:rsidRPr="00154216">
        <w:rPr>
          <w:lang w:val="es-ES_tradnl"/>
        </w:rPr>
        <w:tab/>
        <w:t xml:space="preserve">Respuesta al párrafo 12 d)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0E49441A" w14:textId="77777777" w:rsidR="00154216" w:rsidRPr="00154216" w:rsidRDefault="00154216" w:rsidP="00154216">
      <w:pPr>
        <w:pStyle w:val="SingleTxtG"/>
        <w:rPr>
          <w:lang w:val="es-ES_tradnl"/>
        </w:rPr>
      </w:pPr>
      <w:r w:rsidRPr="00154216">
        <w:rPr>
          <w:lang w:val="es-ES_tradnl"/>
        </w:rPr>
        <w:t>135.</w:t>
      </w:r>
      <w:r w:rsidRPr="00154216">
        <w:rPr>
          <w:lang w:val="es-ES_tradnl"/>
        </w:rPr>
        <w:tab/>
        <w:t xml:space="preserve">En nuestro primer examen periódico, el Comité recomendó que el Instituto de Estudios Judiciales de la Coalición </w:t>
      </w:r>
      <w:proofErr w:type="spellStart"/>
      <w:r w:rsidRPr="00154216">
        <w:rPr>
          <w:lang w:val="es-ES_tradnl"/>
        </w:rPr>
        <w:t>DPO</w:t>
      </w:r>
      <w:proofErr w:type="spellEnd"/>
      <w:r w:rsidRPr="00154216">
        <w:rPr>
          <w:lang w:val="es-ES_tradnl"/>
        </w:rPr>
        <w:t xml:space="preserve"> organizara programas de formación sobre la Convención y sobre los derechos de las personas con discapacidad que comparecen ante los juzgados y tribunales neozelandeses. </w:t>
      </w:r>
    </w:p>
    <w:p w14:paraId="2BC655B0" w14:textId="77777777" w:rsidR="00154216" w:rsidRPr="00154216" w:rsidRDefault="00154216" w:rsidP="00154216">
      <w:pPr>
        <w:pStyle w:val="SingleTxtG"/>
        <w:rPr>
          <w:lang w:val="es-ES_tradnl"/>
        </w:rPr>
      </w:pPr>
      <w:r w:rsidRPr="00154216">
        <w:rPr>
          <w:lang w:val="es-ES_tradnl"/>
        </w:rPr>
        <w:t>136.</w:t>
      </w:r>
      <w:r w:rsidRPr="00154216">
        <w:rPr>
          <w:lang w:val="es-ES_tradnl"/>
        </w:rPr>
        <w:tab/>
        <w:t>El Gobierno comunicó esta recomendación al Instituto de Estudios Judiciales</w:t>
      </w:r>
      <w:r w:rsidRPr="00154216">
        <w:rPr>
          <w:rStyle w:val="Refdenotaalfinal"/>
          <w:lang w:val="es-ES_tradnl"/>
        </w:rPr>
        <w:endnoteReference w:id="109"/>
      </w:r>
      <w:r w:rsidR="00114E26">
        <w:rPr>
          <w:lang w:val="es-ES_tradnl"/>
        </w:rPr>
        <w:t>.</w:t>
      </w:r>
      <w:r w:rsidRPr="00154216">
        <w:rPr>
          <w:rStyle w:val="Refdenotaalfinal"/>
          <w:lang w:val="es-ES_tradnl"/>
        </w:rPr>
        <w:t xml:space="preserve"> </w:t>
      </w:r>
    </w:p>
    <w:p w14:paraId="72D21C46" w14:textId="77777777" w:rsidR="00154216" w:rsidRPr="00154216" w:rsidRDefault="00154216" w:rsidP="00706DB1">
      <w:pPr>
        <w:pStyle w:val="H23G"/>
        <w:rPr>
          <w:lang w:val="es-ES_tradnl"/>
        </w:rPr>
      </w:pPr>
      <w:r w:rsidRPr="00154216">
        <w:rPr>
          <w:lang w:val="es-ES_tradnl"/>
        </w:rPr>
        <w:tab/>
      </w:r>
      <w:r w:rsidRPr="00154216">
        <w:rPr>
          <w:lang w:val="es-ES_tradnl"/>
        </w:rPr>
        <w:tab/>
        <w:t xml:space="preserve">Respuesta al párrafo 13 a)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01939362" w14:textId="77777777" w:rsidR="00154216" w:rsidRPr="00154216" w:rsidRDefault="00154216" w:rsidP="00154216">
      <w:pPr>
        <w:pStyle w:val="SingleTxtG"/>
        <w:rPr>
          <w:lang w:val="es-ES_tradnl"/>
        </w:rPr>
      </w:pPr>
      <w:r w:rsidRPr="00154216">
        <w:rPr>
          <w:lang w:val="es-ES_tradnl"/>
        </w:rPr>
        <w:t>137.</w:t>
      </w:r>
      <w:r w:rsidRPr="00154216">
        <w:rPr>
          <w:lang w:val="es-ES_tradnl"/>
        </w:rPr>
        <w:tab/>
        <w:t xml:space="preserve">En enero de 2018, el Gobierno dio inicio a la Investigación sobre la Salud Mental y las Adicciones. </w:t>
      </w:r>
    </w:p>
    <w:p w14:paraId="1589C416" w14:textId="77777777" w:rsidR="00154216" w:rsidRPr="00154216" w:rsidRDefault="00154216" w:rsidP="00154216">
      <w:pPr>
        <w:pStyle w:val="SingleTxtG"/>
        <w:rPr>
          <w:lang w:val="es-ES_tradnl"/>
        </w:rPr>
      </w:pPr>
      <w:r w:rsidRPr="00154216">
        <w:rPr>
          <w:lang w:val="es-ES_tradnl"/>
        </w:rPr>
        <w:t>138.</w:t>
      </w:r>
      <w:r w:rsidRPr="00154216">
        <w:rPr>
          <w:lang w:val="es-ES_tradnl"/>
        </w:rPr>
        <w:tab/>
        <w:t xml:space="preserve">En noviembre de 2018 se presentó el informe de la investigación, </w:t>
      </w:r>
      <w:r w:rsidRPr="00154216">
        <w:rPr>
          <w:i/>
          <w:iCs/>
          <w:lang w:val="es-ES_tradnl"/>
        </w:rPr>
        <w:t xml:space="preserve">He Ara </w:t>
      </w:r>
      <w:proofErr w:type="spellStart"/>
      <w:r w:rsidRPr="00154216">
        <w:rPr>
          <w:i/>
          <w:iCs/>
          <w:lang w:val="es-ES_tradnl"/>
        </w:rPr>
        <w:t>Oranga</w:t>
      </w:r>
      <w:proofErr w:type="spellEnd"/>
      <w:r w:rsidRPr="00154216">
        <w:rPr>
          <w:rStyle w:val="Refdenotaalfinal"/>
          <w:lang w:val="es-ES_tradnl"/>
        </w:rPr>
        <w:endnoteReference w:id="110"/>
      </w:r>
      <w:r w:rsidR="00706DB1">
        <w:rPr>
          <w:iCs/>
          <w:lang w:val="es-ES_tradnl"/>
        </w:rPr>
        <w:t>,</w:t>
      </w:r>
      <w:r w:rsidRPr="00154216">
        <w:rPr>
          <w:rStyle w:val="Refdenotaalfinal"/>
          <w:lang w:val="es-ES_tradnl"/>
        </w:rPr>
        <w:t xml:space="preserve"> </w:t>
      </w:r>
      <w:r w:rsidRPr="00154216">
        <w:rPr>
          <w:lang w:val="es-ES_tradnl"/>
        </w:rPr>
        <w:t>al Gobierno</w:t>
      </w:r>
      <w:r w:rsidRPr="00154216">
        <w:rPr>
          <w:rStyle w:val="Refdenotaalfinal"/>
          <w:lang w:val="es-ES_tradnl"/>
        </w:rPr>
        <w:endnoteReference w:id="111"/>
      </w:r>
      <w:r w:rsidR="00706DB1">
        <w:rPr>
          <w:lang w:val="es-ES_tradnl"/>
        </w:rPr>
        <w:t>.</w:t>
      </w:r>
      <w:r w:rsidRPr="00154216">
        <w:rPr>
          <w:rStyle w:val="Refdenotaalfinal"/>
          <w:lang w:val="es-ES_tradnl"/>
        </w:rPr>
        <w:t xml:space="preserve"> </w:t>
      </w:r>
      <w:r w:rsidRPr="00154216">
        <w:rPr>
          <w:lang w:val="es-ES_tradnl"/>
        </w:rPr>
        <w:t xml:space="preserve">En este se recomienda </w:t>
      </w:r>
      <w:r>
        <w:rPr>
          <w:lang w:val="es-ES_tradnl"/>
        </w:rPr>
        <w:t>“</w:t>
      </w:r>
      <w:r w:rsidRPr="00154216">
        <w:rPr>
          <w:lang w:val="es-ES_tradnl"/>
        </w:rPr>
        <w:t>la derogación de la Ley de Reconocimiento y Tratamiento Obligatorios de la Salud Mental de 1992 y su sustitución por otra que refleje un enfoque basado en los derechos humanos, promueva el apoyo a la adopción de decisiones, se ajuste al modelo de salud mental centrado en la recuperación y el bienestar y prevea medidas para reducir al mínimo el tratamiento obligatorio o coercitivo</w:t>
      </w:r>
      <w:r>
        <w:rPr>
          <w:lang w:val="es-ES_tradnl"/>
        </w:rPr>
        <w:t>”</w:t>
      </w:r>
      <w:r w:rsidR="00C615D7">
        <w:rPr>
          <w:lang w:val="es-ES_tradnl"/>
        </w:rPr>
        <w:t>.</w:t>
      </w:r>
      <w:r w:rsidRPr="00154216">
        <w:rPr>
          <w:lang w:val="es-ES_tradnl"/>
        </w:rPr>
        <w:t xml:space="preserve"> El Gobierno se propone dar su respuesta oficial a la investigación en marzo de 2019.</w:t>
      </w:r>
    </w:p>
    <w:p w14:paraId="61343D48" w14:textId="77777777" w:rsidR="00154216" w:rsidRPr="00154216" w:rsidRDefault="00154216" w:rsidP="00154216">
      <w:pPr>
        <w:pStyle w:val="SingleTxtG"/>
        <w:rPr>
          <w:lang w:val="es-ES_tradnl"/>
        </w:rPr>
      </w:pPr>
      <w:r w:rsidRPr="00154216">
        <w:rPr>
          <w:lang w:val="es-ES_tradnl"/>
        </w:rPr>
        <w:t>139.</w:t>
      </w:r>
      <w:r w:rsidRPr="00154216">
        <w:rPr>
          <w:lang w:val="es-ES_tradnl"/>
        </w:rPr>
        <w:tab/>
        <w:t xml:space="preserve">Según la Ley de Salud Mental, una persona puede ser tratada sin su consentimiento durante el período de evaluación y el primer mes de vigencia de una orden de tratamiento obligatorio. Por lo tanto, nadie puede ser sometido a tratamiento sin su consentimiento, a menos que un psiquiatra nombrado por el Tribunal de Examen de la Salud Mental considere que el tratamiento va en interés del paciente. </w:t>
      </w:r>
    </w:p>
    <w:p w14:paraId="2C1FEED4" w14:textId="77777777" w:rsidR="00154216" w:rsidRPr="00154216" w:rsidRDefault="00154216" w:rsidP="00154216">
      <w:pPr>
        <w:pStyle w:val="SingleTxtG"/>
        <w:rPr>
          <w:lang w:val="es-ES_tradnl"/>
        </w:rPr>
      </w:pPr>
      <w:r w:rsidRPr="00154216">
        <w:rPr>
          <w:lang w:val="es-ES_tradnl"/>
        </w:rPr>
        <w:t>140.</w:t>
      </w:r>
      <w:r w:rsidRPr="00154216">
        <w:rPr>
          <w:lang w:val="es-ES_tradnl"/>
        </w:rPr>
        <w:tab/>
        <w:t>En 2019, el Gobierno inició un examen y revisión de las directrices de aplicación de la Ley con el fin de armonizar al máximo posible la aplicación de la legislación vigente con la Convención. Ello comprenderá un examen de los procedimientos para obtener el consentimiento y la segunda opinión previstos por la Ley.</w:t>
      </w:r>
    </w:p>
    <w:p w14:paraId="6019F9F4" w14:textId="77777777" w:rsidR="00154216" w:rsidRPr="00154216" w:rsidRDefault="00154216" w:rsidP="00706DB1">
      <w:pPr>
        <w:pStyle w:val="H23G"/>
        <w:rPr>
          <w:lang w:val="es-ES_tradnl"/>
        </w:rPr>
      </w:pPr>
      <w:r w:rsidRPr="00154216">
        <w:rPr>
          <w:lang w:val="es-ES_tradnl"/>
        </w:rPr>
        <w:tab/>
      </w:r>
      <w:r w:rsidRPr="00154216">
        <w:rPr>
          <w:lang w:val="es-ES_tradnl"/>
        </w:rPr>
        <w:tab/>
        <w:t xml:space="preserve">Respuesta al párrafo 13 b)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5F96F5A8" w14:textId="77777777" w:rsidR="00154216" w:rsidRPr="00154216" w:rsidRDefault="00154216" w:rsidP="00154216">
      <w:pPr>
        <w:pStyle w:val="SingleTxtG"/>
        <w:rPr>
          <w:b/>
          <w:lang w:val="es-ES_tradnl"/>
        </w:rPr>
      </w:pPr>
      <w:r w:rsidRPr="00154216">
        <w:rPr>
          <w:lang w:val="es-ES_tradnl"/>
        </w:rPr>
        <w:t>141.</w:t>
      </w:r>
      <w:r w:rsidRPr="00154216">
        <w:rPr>
          <w:lang w:val="es-ES_tradnl"/>
        </w:rPr>
        <w:tab/>
        <w:t>En 2017, el Gobierno examinó la relación que guardaba la Ley de Salud Mental con la Carta de Derechos de Nueva Zelandia de 1990 y la Convención</w:t>
      </w:r>
      <w:r w:rsidRPr="00154216">
        <w:rPr>
          <w:rStyle w:val="Refdenotaalfinal"/>
          <w:lang w:val="es-ES_tradnl"/>
        </w:rPr>
        <w:endnoteReference w:id="112"/>
      </w:r>
      <w:r w:rsidR="00706DB1">
        <w:rPr>
          <w:lang w:val="es-ES_tradnl"/>
        </w:rPr>
        <w:t>.</w:t>
      </w:r>
      <w:r w:rsidRPr="00154216">
        <w:rPr>
          <w:rStyle w:val="Refdenotaalfinal"/>
          <w:lang w:val="es-ES_tradnl"/>
        </w:rPr>
        <w:t xml:space="preserve"> </w:t>
      </w:r>
      <w:r w:rsidRPr="00154216">
        <w:rPr>
          <w:lang w:val="es-ES_tradnl"/>
        </w:rPr>
        <w:t xml:space="preserve">Véase en la respuesta a la pregunta 13 a) lo referente a la recomendación de sustituir la Ley de Salud Mental. </w:t>
      </w:r>
    </w:p>
    <w:p w14:paraId="3D5B1D13" w14:textId="77777777" w:rsidR="00154216" w:rsidRPr="00154216" w:rsidRDefault="00154216" w:rsidP="00154216">
      <w:pPr>
        <w:pStyle w:val="SingleTxtG"/>
        <w:rPr>
          <w:lang w:val="es-ES_tradnl"/>
        </w:rPr>
      </w:pPr>
      <w:r w:rsidRPr="00154216">
        <w:rPr>
          <w:lang w:val="es-ES_tradnl"/>
        </w:rPr>
        <w:t>142.</w:t>
      </w:r>
      <w:r w:rsidRPr="00154216">
        <w:rPr>
          <w:lang w:val="es-ES_tradnl"/>
        </w:rPr>
        <w:tab/>
        <w:t>La Ley contiene disposiciones que permiten al interesado solicitar una evaluación de la legalidad de su internamiento. Véase la pregunta 13 c).</w:t>
      </w:r>
    </w:p>
    <w:p w14:paraId="6B774315" w14:textId="77777777" w:rsidR="00154216" w:rsidRPr="00154216" w:rsidRDefault="00154216" w:rsidP="00706DB1">
      <w:pPr>
        <w:pStyle w:val="H23G"/>
        <w:rPr>
          <w:lang w:val="es-ES_tradnl"/>
        </w:rPr>
      </w:pPr>
      <w:r w:rsidRPr="00154216">
        <w:rPr>
          <w:lang w:val="es-ES_tradnl"/>
        </w:rPr>
        <w:tab/>
      </w:r>
      <w:r w:rsidRPr="00154216">
        <w:rPr>
          <w:lang w:val="es-ES_tradnl"/>
        </w:rPr>
        <w:tab/>
        <w:t xml:space="preserve">Respuesta al párrafo 13 c)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59556D05" w14:textId="77777777" w:rsidR="00154216" w:rsidRPr="00154216" w:rsidRDefault="00154216" w:rsidP="00154216">
      <w:pPr>
        <w:pStyle w:val="SingleTxtG"/>
        <w:rPr>
          <w:lang w:val="es-ES_tradnl"/>
        </w:rPr>
      </w:pPr>
      <w:r w:rsidRPr="00154216">
        <w:rPr>
          <w:lang w:val="es-ES_tradnl"/>
        </w:rPr>
        <w:t>143.</w:t>
      </w:r>
      <w:r w:rsidRPr="00154216">
        <w:rPr>
          <w:lang w:val="es-ES_tradnl"/>
        </w:rPr>
        <w:tab/>
        <w:t xml:space="preserve">En Nueva Zelandia, una persona puede ser privada de su libertad si debe someterse a un tratamiento obligatorio de salud mental o si ha sido declarada culpable de un delito. Las restricciones a la libertad deben ser el mínimo necesario para asegurar un tratamiento eficaz y proteger la seguridad de la persona y de terceros. </w:t>
      </w:r>
    </w:p>
    <w:p w14:paraId="3D444457" w14:textId="77777777" w:rsidR="00154216" w:rsidRPr="00154216" w:rsidRDefault="00154216" w:rsidP="00154216">
      <w:pPr>
        <w:pStyle w:val="SingleTxtG"/>
        <w:rPr>
          <w:lang w:val="es-ES_tradnl"/>
        </w:rPr>
      </w:pPr>
      <w:r w:rsidRPr="00154216">
        <w:rPr>
          <w:lang w:val="es-ES_tradnl"/>
        </w:rPr>
        <w:t>144.</w:t>
      </w:r>
      <w:r w:rsidRPr="00154216">
        <w:rPr>
          <w:lang w:val="es-ES_tradnl"/>
        </w:rPr>
        <w:tab/>
        <w:t>Toda persona puede interponer el recurso de hábeas corpus al ser detenida por la policía o los órganos penitenciarios a fin de verificar la legalidad de su detención.</w:t>
      </w:r>
    </w:p>
    <w:p w14:paraId="7EFE8A2E" w14:textId="77777777" w:rsidR="00154216" w:rsidRPr="00154216" w:rsidRDefault="00154216" w:rsidP="00154216">
      <w:pPr>
        <w:pStyle w:val="SingleTxtG"/>
        <w:rPr>
          <w:rStyle w:val="Refdenotaalfinal"/>
          <w:lang w:val="es-ES_tradnl"/>
        </w:rPr>
      </w:pPr>
      <w:r w:rsidRPr="00154216">
        <w:rPr>
          <w:lang w:val="es-ES_tradnl"/>
        </w:rPr>
        <w:t>145.</w:t>
      </w:r>
      <w:r w:rsidRPr="00154216">
        <w:rPr>
          <w:lang w:val="es-ES_tradnl"/>
        </w:rPr>
        <w:tab/>
        <w:t>Las personas internadas en virtud de la Ley de Reconocimiento y Tratamiento Obligatorios de la Salud Mental de 1992 pueden recurrir ante el Tribunal de Examen de la Salud Mental para que revise su estado de salud mental</w:t>
      </w:r>
      <w:r w:rsidRPr="00154216">
        <w:rPr>
          <w:rStyle w:val="Refdenotaalfinal"/>
          <w:lang w:val="es-ES_tradnl"/>
        </w:rPr>
        <w:endnoteReference w:id="113"/>
      </w:r>
      <w:r w:rsidR="00706DB1">
        <w:rPr>
          <w:lang w:val="es-ES_tradnl"/>
        </w:rPr>
        <w:t>.</w:t>
      </w:r>
    </w:p>
    <w:p w14:paraId="0607F8FB" w14:textId="77777777" w:rsidR="00154216" w:rsidRPr="00154216" w:rsidRDefault="00706DB1" w:rsidP="00706DB1">
      <w:pPr>
        <w:pStyle w:val="H23G"/>
        <w:rPr>
          <w:lang w:val="es-ES_tradnl"/>
        </w:rPr>
      </w:pPr>
      <w:r>
        <w:rPr>
          <w:lang w:val="es-ES_tradnl"/>
        </w:rPr>
        <w:lastRenderedPageBreak/>
        <w:tab/>
      </w:r>
      <w:r>
        <w:rPr>
          <w:lang w:val="es-ES_tradnl"/>
        </w:rPr>
        <w:tab/>
      </w:r>
      <w:r w:rsidR="00154216" w:rsidRPr="00C615D7">
        <w:rPr>
          <w:b w:val="0"/>
          <w:bCs/>
          <w:lang w:val="es-ES_tradnl"/>
        </w:rPr>
        <w:t>Cuadro</w:t>
      </w:r>
      <w:r>
        <w:rPr>
          <w:lang w:val="es-ES_tradnl"/>
        </w:rPr>
        <w:br/>
      </w:r>
      <w:r w:rsidR="00154216" w:rsidRPr="00154216">
        <w:rPr>
          <w:lang w:val="es-ES_tradnl"/>
        </w:rPr>
        <w:t>Datos relativos a las decisiones del Tribunal de Examen de la Salud Mental</w:t>
      </w:r>
      <w:r w:rsidR="00154216" w:rsidRPr="00706DB1">
        <w:rPr>
          <w:rStyle w:val="Refdenotaalfinal"/>
          <w:b w:val="0"/>
          <w:bCs/>
          <w:lang w:val="es-ES_tradnl"/>
        </w:rPr>
        <w:endnoteReference w:id="114"/>
      </w:r>
      <w:r w:rsidR="00154216" w:rsidRPr="00706DB1">
        <w:rPr>
          <w:rStyle w:val="Refdenotaalfinal"/>
          <w:b w:val="0"/>
          <w:bCs/>
          <w:lang w:val="es-ES_tradnl"/>
        </w:rPr>
        <w:t xml:space="preserve"> </w:t>
      </w:r>
    </w:p>
    <w:tbl>
      <w:tblPr>
        <w:tblStyle w:val="TableGridLight1"/>
        <w:tblW w:w="7370" w:type="dxa"/>
        <w:tblInd w:w="113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48"/>
        <w:gridCol w:w="1030"/>
        <w:gridCol w:w="1029"/>
        <w:gridCol w:w="1030"/>
        <w:gridCol w:w="933"/>
      </w:tblGrid>
      <w:tr w:rsidR="00154216" w:rsidRPr="00194A66" w14:paraId="33243B04" w14:textId="77777777" w:rsidTr="00194A66">
        <w:trPr>
          <w:trHeight w:val="240"/>
          <w:tblHeader/>
        </w:trPr>
        <w:tc>
          <w:tcPr>
            <w:tcW w:w="2271" w:type="pct"/>
            <w:tcBorders>
              <w:top w:val="single" w:sz="4" w:space="0" w:color="auto"/>
              <w:bottom w:val="single" w:sz="12" w:space="0" w:color="auto"/>
            </w:tcBorders>
            <w:shd w:val="clear" w:color="auto" w:fill="auto"/>
            <w:vAlign w:val="bottom"/>
            <w:hideMark/>
          </w:tcPr>
          <w:p w14:paraId="7AE768CE" w14:textId="77777777" w:rsidR="00154216" w:rsidRPr="00194A66" w:rsidRDefault="00154216" w:rsidP="00194A66">
            <w:pPr>
              <w:pStyle w:val="SingleTxtG"/>
              <w:spacing w:before="80" w:after="80" w:line="200" w:lineRule="exact"/>
              <w:ind w:left="0" w:right="0"/>
              <w:jc w:val="left"/>
              <w:rPr>
                <w:rFonts w:ascii="Times New Roman" w:hAnsi="Times New Roman" w:cs="Times New Roman"/>
                <w:i/>
                <w:sz w:val="16"/>
                <w:lang w:val="es-ES_tradnl"/>
              </w:rPr>
            </w:pPr>
            <w:r w:rsidRPr="00194A66">
              <w:rPr>
                <w:rFonts w:ascii="Times New Roman" w:hAnsi="Times New Roman" w:cs="Times New Roman"/>
                <w:i/>
                <w:iCs/>
                <w:sz w:val="16"/>
                <w:lang w:val="es-ES_tradnl"/>
              </w:rPr>
              <w:t>Año</w:t>
            </w:r>
          </w:p>
        </w:tc>
        <w:tc>
          <w:tcPr>
            <w:tcW w:w="699" w:type="pct"/>
            <w:tcBorders>
              <w:top w:val="single" w:sz="4" w:space="0" w:color="auto"/>
              <w:bottom w:val="single" w:sz="12" w:space="0" w:color="auto"/>
            </w:tcBorders>
            <w:shd w:val="clear" w:color="auto" w:fill="auto"/>
            <w:vAlign w:val="bottom"/>
            <w:hideMark/>
          </w:tcPr>
          <w:p w14:paraId="1AACACCF" w14:textId="77777777" w:rsidR="00154216" w:rsidRPr="00194A66" w:rsidRDefault="00154216" w:rsidP="00194A66">
            <w:pPr>
              <w:pStyle w:val="SingleTxtG"/>
              <w:spacing w:before="80" w:after="80" w:line="200" w:lineRule="exact"/>
              <w:ind w:left="113" w:right="0"/>
              <w:jc w:val="right"/>
              <w:rPr>
                <w:rFonts w:ascii="Times New Roman" w:hAnsi="Times New Roman" w:cs="Times New Roman"/>
                <w:i/>
                <w:sz w:val="16"/>
                <w:lang w:val="es-ES_tradnl"/>
              </w:rPr>
            </w:pPr>
            <w:r w:rsidRPr="00194A66">
              <w:rPr>
                <w:rFonts w:ascii="Times New Roman" w:hAnsi="Times New Roman" w:cs="Times New Roman"/>
                <w:i/>
                <w:iCs/>
                <w:sz w:val="16"/>
                <w:lang w:val="es-ES_tradnl"/>
              </w:rPr>
              <w:t>2014/15</w:t>
            </w:r>
          </w:p>
        </w:tc>
        <w:tc>
          <w:tcPr>
            <w:tcW w:w="698" w:type="pct"/>
            <w:tcBorders>
              <w:top w:val="single" w:sz="4" w:space="0" w:color="auto"/>
              <w:bottom w:val="single" w:sz="12" w:space="0" w:color="auto"/>
            </w:tcBorders>
            <w:shd w:val="clear" w:color="auto" w:fill="auto"/>
            <w:vAlign w:val="bottom"/>
            <w:hideMark/>
          </w:tcPr>
          <w:p w14:paraId="6D6E5258" w14:textId="77777777" w:rsidR="00154216" w:rsidRPr="00194A66" w:rsidRDefault="00154216" w:rsidP="00194A66">
            <w:pPr>
              <w:pStyle w:val="SingleTxtG"/>
              <w:spacing w:before="80" w:after="80" w:line="200" w:lineRule="exact"/>
              <w:ind w:left="113" w:right="0"/>
              <w:jc w:val="right"/>
              <w:rPr>
                <w:rFonts w:ascii="Times New Roman" w:hAnsi="Times New Roman" w:cs="Times New Roman"/>
                <w:i/>
                <w:sz w:val="16"/>
                <w:lang w:val="es-ES_tradnl"/>
              </w:rPr>
            </w:pPr>
            <w:r w:rsidRPr="00194A66">
              <w:rPr>
                <w:rFonts w:ascii="Times New Roman" w:hAnsi="Times New Roman" w:cs="Times New Roman"/>
                <w:i/>
                <w:iCs/>
                <w:sz w:val="16"/>
                <w:lang w:val="es-ES_tradnl"/>
              </w:rPr>
              <w:t>2015/16</w:t>
            </w:r>
          </w:p>
        </w:tc>
        <w:tc>
          <w:tcPr>
            <w:tcW w:w="699" w:type="pct"/>
            <w:tcBorders>
              <w:top w:val="single" w:sz="4" w:space="0" w:color="auto"/>
              <w:bottom w:val="single" w:sz="12" w:space="0" w:color="auto"/>
            </w:tcBorders>
            <w:shd w:val="clear" w:color="auto" w:fill="auto"/>
            <w:vAlign w:val="bottom"/>
            <w:hideMark/>
          </w:tcPr>
          <w:p w14:paraId="3C59EF4F" w14:textId="77777777" w:rsidR="00154216" w:rsidRPr="00194A66" w:rsidRDefault="00154216" w:rsidP="00194A66">
            <w:pPr>
              <w:pStyle w:val="SingleTxtG"/>
              <w:spacing w:before="80" w:after="80" w:line="200" w:lineRule="exact"/>
              <w:ind w:left="113" w:right="0"/>
              <w:jc w:val="right"/>
              <w:rPr>
                <w:rFonts w:ascii="Times New Roman" w:hAnsi="Times New Roman" w:cs="Times New Roman"/>
                <w:i/>
                <w:sz w:val="16"/>
                <w:lang w:val="es-ES_tradnl"/>
              </w:rPr>
            </w:pPr>
            <w:r w:rsidRPr="00194A66">
              <w:rPr>
                <w:rFonts w:ascii="Times New Roman" w:hAnsi="Times New Roman" w:cs="Times New Roman"/>
                <w:i/>
                <w:iCs/>
                <w:sz w:val="16"/>
                <w:lang w:val="es-ES_tradnl"/>
              </w:rPr>
              <w:t>2016/17</w:t>
            </w:r>
          </w:p>
        </w:tc>
        <w:tc>
          <w:tcPr>
            <w:tcW w:w="633" w:type="pct"/>
            <w:tcBorders>
              <w:top w:val="single" w:sz="4" w:space="0" w:color="auto"/>
              <w:bottom w:val="single" w:sz="12" w:space="0" w:color="auto"/>
            </w:tcBorders>
            <w:shd w:val="clear" w:color="auto" w:fill="auto"/>
            <w:vAlign w:val="bottom"/>
            <w:hideMark/>
          </w:tcPr>
          <w:p w14:paraId="613E6E8E" w14:textId="77777777" w:rsidR="00154216" w:rsidRPr="00194A66" w:rsidRDefault="00154216" w:rsidP="00194A66">
            <w:pPr>
              <w:pStyle w:val="SingleTxtG"/>
              <w:spacing w:before="80" w:after="80" w:line="200" w:lineRule="exact"/>
              <w:ind w:left="113" w:right="0"/>
              <w:jc w:val="right"/>
              <w:rPr>
                <w:rFonts w:ascii="Times New Roman" w:hAnsi="Times New Roman" w:cs="Times New Roman"/>
                <w:i/>
                <w:sz w:val="16"/>
                <w:lang w:val="es-ES_tradnl"/>
              </w:rPr>
            </w:pPr>
            <w:r w:rsidRPr="00194A66">
              <w:rPr>
                <w:rFonts w:ascii="Times New Roman" w:hAnsi="Times New Roman" w:cs="Times New Roman"/>
                <w:i/>
                <w:iCs/>
                <w:sz w:val="16"/>
                <w:lang w:val="es-ES_tradnl"/>
              </w:rPr>
              <w:t>2017/18</w:t>
            </w:r>
          </w:p>
        </w:tc>
      </w:tr>
      <w:tr w:rsidR="00154216" w:rsidRPr="00194A66" w14:paraId="64836B41" w14:textId="77777777" w:rsidTr="00194A66">
        <w:trPr>
          <w:trHeight w:val="240"/>
        </w:trPr>
        <w:tc>
          <w:tcPr>
            <w:tcW w:w="2271" w:type="pct"/>
            <w:tcBorders>
              <w:top w:val="single" w:sz="12" w:space="0" w:color="auto"/>
            </w:tcBorders>
            <w:shd w:val="clear" w:color="auto" w:fill="auto"/>
            <w:hideMark/>
          </w:tcPr>
          <w:p w14:paraId="0FF8E4D8" w14:textId="77777777" w:rsidR="00154216" w:rsidRPr="00194A66" w:rsidRDefault="00154216" w:rsidP="00194A66">
            <w:pPr>
              <w:pStyle w:val="SingleTxtG"/>
              <w:spacing w:before="40" w:after="40" w:line="220" w:lineRule="exact"/>
              <w:ind w:left="0" w:right="0"/>
              <w:jc w:val="left"/>
              <w:rPr>
                <w:rFonts w:ascii="Times New Roman" w:hAnsi="Times New Roman" w:cs="Times New Roman"/>
                <w:sz w:val="18"/>
                <w:lang w:val="es-ES_tradnl"/>
              </w:rPr>
            </w:pPr>
            <w:r w:rsidRPr="00194A66">
              <w:rPr>
                <w:rFonts w:ascii="Times New Roman" w:hAnsi="Times New Roman" w:cs="Times New Roman"/>
                <w:sz w:val="18"/>
                <w:lang w:val="es-ES_tradnl"/>
              </w:rPr>
              <w:t>Número de recursos examinados en que se solicitaba la revisión del estado de salud mental (art. 79 de la Ley de Salud Mental)</w:t>
            </w:r>
          </w:p>
        </w:tc>
        <w:tc>
          <w:tcPr>
            <w:tcW w:w="699" w:type="pct"/>
            <w:tcBorders>
              <w:top w:val="single" w:sz="12" w:space="0" w:color="auto"/>
            </w:tcBorders>
            <w:shd w:val="clear" w:color="auto" w:fill="auto"/>
            <w:vAlign w:val="bottom"/>
            <w:hideMark/>
          </w:tcPr>
          <w:p w14:paraId="5A6FE485" w14:textId="77777777" w:rsidR="00154216" w:rsidRPr="00194A66" w:rsidRDefault="00154216" w:rsidP="00194A66">
            <w:pPr>
              <w:pStyle w:val="SingleTxtG"/>
              <w:spacing w:before="40" w:after="40" w:line="220" w:lineRule="exact"/>
              <w:ind w:left="113" w:right="0"/>
              <w:jc w:val="right"/>
              <w:rPr>
                <w:rFonts w:ascii="Times New Roman" w:hAnsi="Times New Roman" w:cs="Times New Roman"/>
                <w:sz w:val="18"/>
                <w:lang w:val="es-ES_tradnl"/>
              </w:rPr>
            </w:pPr>
            <w:r w:rsidRPr="00194A66">
              <w:rPr>
                <w:rFonts w:ascii="Times New Roman" w:hAnsi="Times New Roman" w:cs="Times New Roman"/>
                <w:sz w:val="18"/>
                <w:lang w:val="es-ES_tradnl"/>
              </w:rPr>
              <w:t>62</w:t>
            </w:r>
          </w:p>
        </w:tc>
        <w:tc>
          <w:tcPr>
            <w:tcW w:w="698" w:type="pct"/>
            <w:tcBorders>
              <w:top w:val="single" w:sz="12" w:space="0" w:color="auto"/>
            </w:tcBorders>
            <w:shd w:val="clear" w:color="auto" w:fill="auto"/>
            <w:vAlign w:val="bottom"/>
            <w:hideMark/>
          </w:tcPr>
          <w:p w14:paraId="119EA90C" w14:textId="77777777" w:rsidR="00154216" w:rsidRPr="00194A66" w:rsidRDefault="00154216" w:rsidP="00194A66">
            <w:pPr>
              <w:pStyle w:val="SingleTxtG"/>
              <w:spacing w:before="40" w:after="40" w:line="220" w:lineRule="exact"/>
              <w:ind w:left="113" w:right="0"/>
              <w:jc w:val="right"/>
              <w:rPr>
                <w:rFonts w:ascii="Times New Roman" w:hAnsi="Times New Roman" w:cs="Times New Roman"/>
                <w:sz w:val="18"/>
                <w:lang w:val="es-ES_tradnl"/>
              </w:rPr>
            </w:pPr>
            <w:r w:rsidRPr="00194A66">
              <w:rPr>
                <w:rFonts w:ascii="Times New Roman" w:hAnsi="Times New Roman" w:cs="Times New Roman"/>
                <w:sz w:val="18"/>
                <w:lang w:val="es-ES_tradnl"/>
              </w:rPr>
              <w:t>62</w:t>
            </w:r>
          </w:p>
        </w:tc>
        <w:tc>
          <w:tcPr>
            <w:tcW w:w="699" w:type="pct"/>
            <w:tcBorders>
              <w:top w:val="single" w:sz="12" w:space="0" w:color="auto"/>
            </w:tcBorders>
            <w:shd w:val="clear" w:color="auto" w:fill="auto"/>
            <w:vAlign w:val="bottom"/>
            <w:hideMark/>
          </w:tcPr>
          <w:p w14:paraId="0EC7E5F6" w14:textId="77777777" w:rsidR="00154216" w:rsidRPr="00194A66" w:rsidRDefault="00154216" w:rsidP="00194A66">
            <w:pPr>
              <w:pStyle w:val="SingleTxtG"/>
              <w:spacing w:before="40" w:after="40" w:line="220" w:lineRule="exact"/>
              <w:ind w:left="113" w:right="0"/>
              <w:jc w:val="right"/>
              <w:rPr>
                <w:rFonts w:ascii="Times New Roman" w:hAnsi="Times New Roman" w:cs="Times New Roman"/>
                <w:sz w:val="18"/>
                <w:lang w:val="es-ES_tradnl"/>
              </w:rPr>
            </w:pPr>
            <w:r w:rsidRPr="00194A66">
              <w:rPr>
                <w:rFonts w:ascii="Times New Roman" w:hAnsi="Times New Roman" w:cs="Times New Roman"/>
                <w:sz w:val="18"/>
                <w:lang w:val="es-ES_tradnl"/>
              </w:rPr>
              <w:t>69</w:t>
            </w:r>
          </w:p>
        </w:tc>
        <w:tc>
          <w:tcPr>
            <w:tcW w:w="633" w:type="pct"/>
            <w:tcBorders>
              <w:top w:val="single" w:sz="12" w:space="0" w:color="auto"/>
            </w:tcBorders>
            <w:shd w:val="clear" w:color="auto" w:fill="auto"/>
            <w:vAlign w:val="bottom"/>
            <w:hideMark/>
          </w:tcPr>
          <w:p w14:paraId="25CDD57A" w14:textId="77777777" w:rsidR="00154216" w:rsidRPr="00194A66" w:rsidRDefault="00154216" w:rsidP="00194A66">
            <w:pPr>
              <w:pStyle w:val="SingleTxtG"/>
              <w:spacing w:before="40" w:after="40" w:line="220" w:lineRule="exact"/>
              <w:ind w:left="113" w:right="0"/>
              <w:jc w:val="right"/>
              <w:rPr>
                <w:rFonts w:ascii="Times New Roman" w:hAnsi="Times New Roman" w:cs="Times New Roman"/>
                <w:sz w:val="18"/>
                <w:lang w:val="es-ES_tradnl"/>
              </w:rPr>
            </w:pPr>
            <w:r w:rsidRPr="00194A66">
              <w:rPr>
                <w:rFonts w:ascii="Times New Roman" w:hAnsi="Times New Roman" w:cs="Times New Roman"/>
                <w:sz w:val="18"/>
                <w:lang w:val="es-ES_tradnl"/>
              </w:rPr>
              <w:t>63</w:t>
            </w:r>
          </w:p>
        </w:tc>
      </w:tr>
      <w:tr w:rsidR="00154216" w:rsidRPr="00194A66" w14:paraId="48ADB5FA" w14:textId="77777777" w:rsidTr="00194A66">
        <w:trPr>
          <w:trHeight w:val="240"/>
        </w:trPr>
        <w:tc>
          <w:tcPr>
            <w:tcW w:w="2271" w:type="pct"/>
            <w:shd w:val="clear" w:color="auto" w:fill="auto"/>
            <w:hideMark/>
          </w:tcPr>
          <w:p w14:paraId="20B696D3" w14:textId="77777777" w:rsidR="00154216" w:rsidRPr="00194A66" w:rsidRDefault="00154216" w:rsidP="00194A66">
            <w:pPr>
              <w:pStyle w:val="SingleTxtG"/>
              <w:spacing w:before="40" w:after="40" w:line="220" w:lineRule="exact"/>
              <w:ind w:left="0" w:right="0"/>
              <w:jc w:val="left"/>
              <w:rPr>
                <w:rFonts w:ascii="Times New Roman" w:hAnsi="Times New Roman" w:cs="Times New Roman"/>
                <w:sz w:val="18"/>
                <w:lang w:val="es-ES_tradnl"/>
              </w:rPr>
            </w:pPr>
            <w:r w:rsidRPr="00194A66">
              <w:rPr>
                <w:rFonts w:ascii="Times New Roman" w:hAnsi="Times New Roman" w:cs="Times New Roman"/>
                <w:sz w:val="18"/>
                <w:lang w:val="es-ES_tradnl"/>
              </w:rPr>
              <w:t>Número de recursos en que se dictaminó que las personas “no estaban en condiciones de ser liberadas del tratamiento obligatorio”</w:t>
            </w:r>
          </w:p>
        </w:tc>
        <w:tc>
          <w:tcPr>
            <w:tcW w:w="699" w:type="pct"/>
            <w:shd w:val="clear" w:color="auto" w:fill="auto"/>
            <w:vAlign w:val="bottom"/>
            <w:hideMark/>
          </w:tcPr>
          <w:p w14:paraId="17C4D9F2" w14:textId="77777777" w:rsidR="00154216" w:rsidRPr="00194A66" w:rsidRDefault="00154216" w:rsidP="00194A66">
            <w:pPr>
              <w:pStyle w:val="SingleTxtG"/>
              <w:spacing w:before="40" w:after="40" w:line="220" w:lineRule="exact"/>
              <w:ind w:left="113" w:right="0"/>
              <w:jc w:val="right"/>
              <w:rPr>
                <w:rFonts w:ascii="Times New Roman" w:hAnsi="Times New Roman" w:cs="Times New Roman"/>
                <w:sz w:val="18"/>
                <w:lang w:val="es-ES_tradnl"/>
              </w:rPr>
            </w:pPr>
            <w:r w:rsidRPr="00194A66">
              <w:rPr>
                <w:rFonts w:ascii="Times New Roman" w:hAnsi="Times New Roman" w:cs="Times New Roman"/>
                <w:sz w:val="18"/>
                <w:lang w:val="es-ES_tradnl"/>
              </w:rPr>
              <w:t>57</w:t>
            </w:r>
          </w:p>
        </w:tc>
        <w:tc>
          <w:tcPr>
            <w:tcW w:w="698" w:type="pct"/>
            <w:shd w:val="clear" w:color="auto" w:fill="auto"/>
            <w:vAlign w:val="bottom"/>
            <w:hideMark/>
          </w:tcPr>
          <w:p w14:paraId="75E9E2B7" w14:textId="77777777" w:rsidR="00154216" w:rsidRPr="00194A66" w:rsidRDefault="00154216" w:rsidP="00194A66">
            <w:pPr>
              <w:pStyle w:val="SingleTxtG"/>
              <w:spacing w:before="40" w:after="40" w:line="220" w:lineRule="exact"/>
              <w:ind w:left="113" w:right="0"/>
              <w:jc w:val="right"/>
              <w:rPr>
                <w:rFonts w:ascii="Times New Roman" w:hAnsi="Times New Roman" w:cs="Times New Roman"/>
                <w:sz w:val="18"/>
                <w:lang w:val="es-ES_tradnl"/>
              </w:rPr>
            </w:pPr>
            <w:r w:rsidRPr="00194A66">
              <w:rPr>
                <w:rFonts w:ascii="Times New Roman" w:hAnsi="Times New Roman" w:cs="Times New Roman"/>
                <w:sz w:val="18"/>
                <w:lang w:val="es-ES_tradnl"/>
              </w:rPr>
              <w:t>56</w:t>
            </w:r>
          </w:p>
        </w:tc>
        <w:tc>
          <w:tcPr>
            <w:tcW w:w="699" w:type="pct"/>
            <w:shd w:val="clear" w:color="auto" w:fill="auto"/>
            <w:vAlign w:val="bottom"/>
            <w:hideMark/>
          </w:tcPr>
          <w:p w14:paraId="28AB8376" w14:textId="77777777" w:rsidR="00154216" w:rsidRPr="00194A66" w:rsidRDefault="00154216" w:rsidP="00194A66">
            <w:pPr>
              <w:pStyle w:val="SingleTxtG"/>
              <w:spacing w:before="40" w:after="40" w:line="220" w:lineRule="exact"/>
              <w:ind w:left="113" w:right="0"/>
              <w:jc w:val="right"/>
              <w:rPr>
                <w:rFonts w:ascii="Times New Roman" w:hAnsi="Times New Roman" w:cs="Times New Roman"/>
                <w:sz w:val="18"/>
                <w:lang w:val="es-ES_tradnl"/>
              </w:rPr>
            </w:pPr>
            <w:r w:rsidRPr="00194A66">
              <w:rPr>
                <w:rFonts w:ascii="Times New Roman" w:hAnsi="Times New Roman" w:cs="Times New Roman"/>
                <w:sz w:val="18"/>
                <w:lang w:val="es-ES_tradnl"/>
              </w:rPr>
              <w:t>63</w:t>
            </w:r>
          </w:p>
        </w:tc>
        <w:tc>
          <w:tcPr>
            <w:tcW w:w="633" w:type="pct"/>
            <w:shd w:val="clear" w:color="auto" w:fill="auto"/>
            <w:vAlign w:val="bottom"/>
            <w:hideMark/>
          </w:tcPr>
          <w:p w14:paraId="56DF1ECE" w14:textId="77777777" w:rsidR="00154216" w:rsidRPr="00194A66" w:rsidRDefault="00154216" w:rsidP="00194A66">
            <w:pPr>
              <w:pStyle w:val="SingleTxtG"/>
              <w:spacing w:before="40" w:after="40" w:line="220" w:lineRule="exact"/>
              <w:ind w:left="113" w:right="0"/>
              <w:jc w:val="right"/>
              <w:rPr>
                <w:rFonts w:ascii="Times New Roman" w:hAnsi="Times New Roman" w:cs="Times New Roman"/>
                <w:sz w:val="18"/>
                <w:lang w:val="es-ES_tradnl"/>
              </w:rPr>
            </w:pPr>
            <w:r w:rsidRPr="00194A66">
              <w:rPr>
                <w:rFonts w:ascii="Times New Roman" w:hAnsi="Times New Roman" w:cs="Times New Roman"/>
                <w:sz w:val="18"/>
                <w:lang w:val="es-ES_tradnl"/>
              </w:rPr>
              <w:t>58</w:t>
            </w:r>
          </w:p>
        </w:tc>
      </w:tr>
      <w:tr w:rsidR="00154216" w:rsidRPr="00194A66" w14:paraId="27CA872E" w14:textId="77777777" w:rsidTr="00194A66">
        <w:trPr>
          <w:trHeight w:val="240"/>
        </w:trPr>
        <w:tc>
          <w:tcPr>
            <w:tcW w:w="2271" w:type="pct"/>
            <w:tcBorders>
              <w:bottom w:val="single" w:sz="12" w:space="0" w:color="auto"/>
            </w:tcBorders>
            <w:shd w:val="clear" w:color="auto" w:fill="auto"/>
            <w:hideMark/>
          </w:tcPr>
          <w:p w14:paraId="4B2B1C4C" w14:textId="77777777" w:rsidR="00154216" w:rsidRPr="00194A66" w:rsidRDefault="00154216" w:rsidP="00194A66">
            <w:pPr>
              <w:pStyle w:val="SingleTxtG"/>
              <w:spacing w:before="40" w:after="40" w:line="220" w:lineRule="exact"/>
              <w:ind w:left="0" w:right="0"/>
              <w:jc w:val="left"/>
              <w:rPr>
                <w:rFonts w:ascii="Times New Roman" w:hAnsi="Times New Roman" w:cs="Times New Roman"/>
                <w:sz w:val="18"/>
                <w:lang w:val="es-ES_tradnl"/>
              </w:rPr>
            </w:pPr>
            <w:r w:rsidRPr="00194A66">
              <w:rPr>
                <w:rFonts w:ascii="Times New Roman" w:hAnsi="Times New Roman" w:cs="Times New Roman"/>
                <w:sz w:val="18"/>
                <w:lang w:val="es-ES_tradnl"/>
              </w:rPr>
              <w:t>Número de recursos en que se dictaminó que las personas “estaban en condiciones de ser liberadas del tratamiento obligatorio”</w:t>
            </w:r>
          </w:p>
        </w:tc>
        <w:tc>
          <w:tcPr>
            <w:tcW w:w="699" w:type="pct"/>
            <w:tcBorders>
              <w:bottom w:val="single" w:sz="12" w:space="0" w:color="auto"/>
            </w:tcBorders>
            <w:shd w:val="clear" w:color="auto" w:fill="auto"/>
            <w:vAlign w:val="bottom"/>
            <w:hideMark/>
          </w:tcPr>
          <w:p w14:paraId="4FE97FB4" w14:textId="77777777" w:rsidR="00154216" w:rsidRPr="00194A66" w:rsidRDefault="00154216" w:rsidP="00194A66">
            <w:pPr>
              <w:pStyle w:val="SingleTxtG"/>
              <w:spacing w:before="40" w:after="40" w:line="220" w:lineRule="exact"/>
              <w:ind w:left="113" w:right="0"/>
              <w:jc w:val="right"/>
              <w:rPr>
                <w:rFonts w:ascii="Times New Roman" w:hAnsi="Times New Roman" w:cs="Times New Roman"/>
                <w:sz w:val="18"/>
                <w:lang w:val="es-ES_tradnl"/>
              </w:rPr>
            </w:pPr>
            <w:r w:rsidRPr="00194A66">
              <w:rPr>
                <w:rFonts w:ascii="Times New Roman" w:hAnsi="Times New Roman" w:cs="Times New Roman"/>
                <w:sz w:val="18"/>
                <w:lang w:val="es-ES_tradnl"/>
              </w:rPr>
              <w:t>5</w:t>
            </w:r>
          </w:p>
        </w:tc>
        <w:tc>
          <w:tcPr>
            <w:tcW w:w="698" w:type="pct"/>
            <w:tcBorders>
              <w:bottom w:val="single" w:sz="12" w:space="0" w:color="auto"/>
            </w:tcBorders>
            <w:shd w:val="clear" w:color="auto" w:fill="auto"/>
            <w:vAlign w:val="bottom"/>
            <w:hideMark/>
          </w:tcPr>
          <w:p w14:paraId="4BD4EC0A" w14:textId="77777777" w:rsidR="00154216" w:rsidRPr="00194A66" w:rsidRDefault="00154216" w:rsidP="00194A66">
            <w:pPr>
              <w:pStyle w:val="SingleTxtG"/>
              <w:spacing w:before="40" w:after="40" w:line="220" w:lineRule="exact"/>
              <w:ind w:left="113" w:right="0"/>
              <w:jc w:val="right"/>
              <w:rPr>
                <w:rFonts w:ascii="Times New Roman" w:hAnsi="Times New Roman" w:cs="Times New Roman"/>
                <w:sz w:val="18"/>
                <w:lang w:val="es-ES_tradnl"/>
              </w:rPr>
            </w:pPr>
            <w:r w:rsidRPr="00194A66">
              <w:rPr>
                <w:rFonts w:ascii="Times New Roman" w:hAnsi="Times New Roman" w:cs="Times New Roman"/>
                <w:sz w:val="18"/>
                <w:lang w:val="es-ES_tradnl"/>
              </w:rPr>
              <w:t>6</w:t>
            </w:r>
          </w:p>
        </w:tc>
        <w:tc>
          <w:tcPr>
            <w:tcW w:w="699" w:type="pct"/>
            <w:tcBorders>
              <w:bottom w:val="single" w:sz="12" w:space="0" w:color="auto"/>
            </w:tcBorders>
            <w:shd w:val="clear" w:color="auto" w:fill="auto"/>
            <w:vAlign w:val="bottom"/>
            <w:hideMark/>
          </w:tcPr>
          <w:p w14:paraId="427018B2" w14:textId="77777777" w:rsidR="00154216" w:rsidRPr="00194A66" w:rsidRDefault="00154216" w:rsidP="00194A66">
            <w:pPr>
              <w:pStyle w:val="SingleTxtG"/>
              <w:spacing w:before="40" w:after="40" w:line="220" w:lineRule="exact"/>
              <w:ind w:left="113" w:right="0"/>
              <w:jc w:val="right"/>
              <w:rPr>
                <w:rFonts w:ascii="Times New Roman" w:hAnsi="Times New Roman" w:cs="Times New Roman"/>
                <w:sz w:val="18"/>
                <w:lang w:val="es-ES_tradnl"/>
              </w:rPr>
            </w:pPr>
            <w:r w:rsidRPr="00194A66">
              <w:rPr>
                <w:rFonts w:ascii="Times New Roman" w:hAnsi="Times New Roman" w:cs="Times New Roman"/>
                <w:sz w:val="18"/>
                <w:lang w:val="es-ES_tradnl"/>
              </w:rPr>
              <w:t>6</w:t>
            </w:r>
          </w:p>
        </w:tc>
        <w:tc>
          <w:tcPr>
            <w:tcW w:w="633" w:type="pct"/>
            <w:tcBorders>
              <w:bottom w:val="single" w:sz="12" w:space="0" w:color="auto"/>
            </w:tcBorders>
            <w:shd w:val="clear" w:color="auto" w:fill="auto"/>
            <w:vAlign w:val="bottom"/>
            <w:hideMark/>
          </w:tcPr>
          <w:p w14:paraId="61702F11" w14:textId="77777777" w:rsidR="00154216" w:rsidRPr="00194A66" w:rsidRDefault="00154216" w:rsidP="00194A66">
            <w:pPr>
              <w:pStyle w:val="SingleTxtG"/>
              <w:spacing w:before="40" w:after="40" w:line="220" w:lineRule="exact"/>
              <w:ind w:left="113" w:right="0"/>
              <w:jc w:val="right"/>
              <w:rPr>
                <w:rFonts w:ascii="Times New Roman" w:hAnsi="Times New Roman" w:cs="Times New Roman"/>
                <w:sz w:val="18"/>
                <w:lang w:val="es-ES_tradnl"/>
              </w:rPr>
            </w:pPr>
            <w:r w:rsidRPr="00194A66">
              <w:rPr>
                <w:rFonts w:ascii="Times New Roman" w:hAnsi="Times New Roman" w:cs="Times New Roman"/>
                <w:sz w:val="18"/>
                <w:lang w:val="es-ES_tradnl"/>
              </w:rPr>
              <w:t>5</w:t>
            </w:r>
          </w:p>
        </w:tc>
      </w:tr>
    </w:tbl>
    <w:p w14:paraId="1FB0A7AF" w14:textId="77777777" w:rsidR="00154216" w:rsidRPr="00154216" w:rsidRDefault="00154216" w:rsidP="00E060FE">
      <w:pPr>
        <w:pStyle w:val="SingleTxtG"/>
        <w:spacing w:before="240"/>
        <w:rPr>
          <w:lang w:val="es-ES_tradnl"/>
        </w:rPr>
      </w:pPr>
      <w:r w:rsidRPr="00154216">
        <w:rPr>
          <w:lang w:val="es-ES_tradnl"/>
        </w:rPr>
        <w:t>146.</w:t>
      </w:r>
      <w:r w:rsidRPr="00154216">
        <w:rPr>
          <w:lang w:val="es-ES_tradnl"/>
        </w:rPr>
        <w:tab/>
        <w:t>También pueden solicitar:</w:t>
      </w:r>
    </w:p>
    <w:p w14:paraId="571DB259" w14:textId="77777777" w:rsidR="00154216" w:rsidRPr="00154216" w:rsidRDefault="00154216" w:rsidP="00E060FE">
      <w:pPr>
        <w:pStyle w:val="Bullet1G"/>
        <w:rPr>
          <w:lang w:val="es-ES_tradnl"/>
        </w:rPr>
      </w:pPr>
      <w:r w:rsidRPr="00154216">
        <w:rPr>
          <w:lang w:val="es-ES_tradnl"/>
        </w:rPr>
        <w:t>Un reconocimiento psiquiátrico independiente para obtener una segunda opinión sobre su estado de salud mental</w:t>
      </w:r>
      <w:r w:rsidR="00E060FE">
        <w:rPr>
          <w:lang w:val="es-ES_tradnl"/>
        </w:rPr>
        <w:t>.</w:t>
      </w:r>
    </w:p>
    <w:p w14:paraId="294FEF01" w14:textId="77777777" w:rsidR="00154216" w:rsidRPr="00154216" w:rsidRDefault="00154216" w:rsidP="00E060FE">
      <w:pPr>
        <w:pStyle w:val="Bullet1G"/>
        <w:rPr>
          <w:lang w:val="es-ES_tradnl"/>
        </w:rPr>
      </w:pPr>
      <w:r w:rsidRPr="00154216">
        <w:rPr>
          <w:lang w:val="es-ES_tradnl"/>
        </w:rPr>
        <w:t>Los servicios gratuitos de un inspector de distrito</w:t>
      </w:r>
      <w:r w:rsidRPr="00154216">
        <w:rPr>
          <w:rStyle w:val="Refdenotaalfinal"/>
          <w:lang w:val="es-ES_tradnl"/>
        </w:rPr>
        <w:endnoteReference w:id="115"/>
      </w:r>
      <w:r w:rsidRPr="00154216">
        <w:rPr>
          <w:rStyle w:val="Refdenotaalfinal"/>
          <w:lang w:val="es-ES_tradnl"/>
        </w:rPr>
        <w:t xml:space="preserve"> </w:t>
      </w:r>
      <w:r w:rsidRPr="00154216">
        <w:rPr>
          <w:lang w:val="es-ES_tradnl"/>
        </w:rPr>
        <w:t>que investigue las quejas de las personas sujetas a la Ley de Salud Mental.</w:t>
      </w:r>
    </w:p>
    <w:p w14:paraId="7A90B7B3" w14:textId="77777777" w:rsidR="00154216" w:rsidRPr="00154216" w:rsidRDefault="00154216" w:rsidP="00154216">
      <w:pPr>
        <w:pStyle w:val="SingleTxtG"/>
        <w:rPr>
          <w:lang w:val="es-ES_tradnl"/>
        </w:rPr>
      </w:pPr>
      <w:r w:rsidRPr="00154216">
        <w:rPr>
          <w:lang w:val="es-ES_tradnl"/>
        </w:rPr>
        <w:t>147.</w:t>
      </w:r>
      <w:r w:rsidRPr="00154216">
        <w:rPr>
          <w:lang w:val="es-ES_tradnl"/>
        </w:rPr>
        <w:tab/>
        <w:t>Otras salvaguardias son las siguientes:</w:t>
      </w:r>
    </w:p>
    <w:p w14:paraId="1CE45307" w14:textId="77777777" w:rsidR="00154216" w:rsidRPr="00154216" w:rsidRDefault="00154216" w:rsidP="00E060FE">
      <w:pPr>
        <w:pStyle w:val="Bullet1G"/>
        <w:rPr>
          <w:lang w:val="es-ES_tradnl"/>
        </w:rPr>
      </w:pPr>
      <w:r w:rsidRPr="00154216">
        <w:rPr>
          <w:lang w:val="es-ES_tradnl"/>
        </w:rPr>
        <w:t>Un juez debe dar su visto bueno a toda evaluación o tratamiento que vaya más allá de los períodos de internamiento iniciales</w:t>
      </w:r>
      <w:r w:rsidR="00E060FE">
        <w:rPr>
          <w:lang w:val="es-ES_tradnl"/>
        </w:rPr>
        <w:t>.</w:t>
      </w:r>
    </w:p>
    <w:p w14:paraId="7E51F6E6" w14:textId="77777777" w:rsidR="00154216" w:rsidRPr="00154216" w:rsidRDefault="00154216" w:rsidP="00E060FE">
      <w:pPr>
        <w:pStyle w:val="Bullet1G"/>
        <w:rPr>
          <w:lang w:val="es-ES_tradnl"/>
        </w:rPr>
      </w:pPr>
      <w:r w:rsidRPr="00154216">
        <w:rPr>
          <w:lang w:val="es-ES_tradnl"/>
        </w:rPr>
        <w:t>Un médico responsable puede convertir una orden de tratamiento hospitalario en una orden de tratamiento comunitario en cualquier momento. El médico responsable debe examinar el estado de salud mental de la persona cada seis meses</w:t>
      </w:r>
      <w:r w:rsidR="00E060FE">
        <w:rPr>
          <w:lang w:val="es-ES_tradnl"/>
        </w:rPr>
        <w:t>.</w:t>
      </w:r>
    </w:p>
    <w:p w14:paraId="2979E113" w14:textId="77777777" w:rsidR="00154216" w:rsidRPr="00154216" w:rsidRDefault="00154216" w:rsidP="00E060FE">
      <w:pPr>
        <w:pStyle w:val="Bullet1G"/>
        <w:rPr>
          <w:lang w:val="es-ES_tradnl"/>
        </w:rPr>
      </w:pPr>
      <w:r w:rsidRPr="00154216">
        <w:rPr>
          <w:lang w:val="es-ES_tradnl"/>
        </w:rPr>
        <w:t>La persona será puesta en libertad si la considera en condiciones apropiadas el juez, el Tribunal de Examen de la Salud Mental o el médico responsable.</w:t>
      </w:r>
    </w:p>
    <w:p w14:paraId="43BC51C5" w14:textId="77777777" w:rsidR="00154216" w:rsidRPr="00154216" w:rsidRDefault="00154216" w:rsidP="00154216">
      <w:pPr>
        <w:pStyle w:val="SingleTxtG"/>
        <w:rPr>
          <w:lang w:val="es-ES_tradnl"/>
        </w:rPr>
      </w:pPr>
      <w:r w:rsidRPr="00154216">
        <w:rPr>
          <w:lang w:val="es-ES_tradnl"/>
        </w:rPr>
        <w:t>148.</w:t>
      </w:r>
      <w:r w:rsidRPr="00154216">
        <w:rPr>
          <w:lang w:val="es-ES_tradnl"/>
        </w:rPr>
        <w:tab/>
        <w:t>Una persona con discapacidad intelectual en el sistema de justicia penal que esté sujeta a la Ley de Atención y Rehabilitación Obligatorias de la Discapacidad Intelectual de</w:t>
      </w:r>
      <w:r w:rsidR="00E060FE">
        <w:rPr>
          <w:lang w:val="es-ES_tradnl"/>
        </w:rPr>
        <w:t> </w:t>
      </w:r>
      <w:r w:rsidRPr="00154216">
        <w:rPr>
          <w:lang w:val="es-ES_tradnl"/>
        </w:rPr>
        <w:t>2003:</w:t>
      </w:r>
    </w:p>
    <w:p w14:paraId="2A99D16D" w14:textId="77777777" w:rsidR="00154216" w:rsidRPr="00154216" w:rsidRDefault="00154216" w:rsidP="00E060FE">
      <w:pPr>
        <w:pStyle w:val="Bullet1G"/>
        <w:rPr>
          <w:lang w:val="es-ES_tradnl"/>
        </w:rPr>
      </w:pPr>
      <w:r w:rsidRPr="00154216">
        <w:rPr>
          <w:lang w:val="es-ES_tradnl"/>
        </w:rPr>
        <w:t>Puede recurrir la orden de internamiento con representación legal</w:t>
      </w:r>
      <w:r w:rsidR="00E060FE">
        <w:rPr>
          <w:lang w:val="es-ES_tradnl"/>
        </w:rPr>
        <w:t>.</w:t>
      </w:r>
    </w:p>
    <w:p w14:paraId="6A041AC9" w14:textId="77777777" w:rsidR="00154216" w:rsidRPr="00154216" w:rsidRDefault="00154216" w:rsidP="00E060FE">
      <w:pPr>
        <w:pStyle w:val="Bullet1G"/>
        <w:rPr>
          <w:lang w:val="es-ES_tradnl"/>
        </w:rPr>
      </w:pPr>
      <w:r w:rsidRPr="00154216">
        <w:rPr>
          <w:lang w:val="es-ES_tradnl"/>
        </w:rPr>
        <w:t>Puede solicitar una segunda opinión sobre el uso de medicamentos mientras esté en régimen de atención obligatoria</w:t>
      </w:r>
      <w:r w:rsidR="00E060FE">
        <w:rPr>
          <w:lang w:val="es-ES_tradnl"/>
        </w:rPr>
        <w:t>.</w:t>
      </w:r>
    </w:p>
    <w:p w14:paraId="3A848935" w14:textId="77777777" w:rsidR="00154216" w:rsidRPr="00154216" w:rsidRDefault="00154216" w:rsidP="00E060FE">
      <w:pPr>
        <w:pStyle w:val="Bullet1G"/>
        <w:rPr>
          <w:rStyle w:val="Refdenotaalfinal"/>
          <w:lang w:val="es-ES_tradnl"/>
        </w:rPr>
      </w:pPr>
      <w:r w:rsidRPr="00154216">
        <w:rPr>
          <w:lang w:val="es-ES_tradnl"/>
        </w:rPr>
        <w:t>Goza de otras salvaguardias, como el examen cada seis meses de la necesidad de continuar el tratamiento o la rehabilitación, los informes obligatorios del coordinador de la atención al tribunal de familia</w:t>
      </w:r>
      <w:r w:rsidRPr="00154216">
        <w:rPr>
          <w:rStyle w:val="Refdenotaalfinal"/>
          <w:lang w:val="es-ES_tradnl"/>
        </w:rPr>
        <w:endnoteReference w:id="116"/>
      </w:r>
      <w:r w:rsidR="00E060FE">
        <w:rPr>
          <w:lang w:val="es-ES_tradnl"/>
        </w:rPr>
        <w:t>,</w:t>
      </w:r>
      <w:r w:rsidRPr="00154216">
        <w:rPr>
          <w:rStyle w:val="Refdenotaalfinal"/>
          <w:lang w:val="es-ES_tradnl"/>
        </w:rPr>
        <w:t xml:space="preserve"> </w:t>
      </w:r>
      <w:r w:rsidRPr="00154216">
        <w:rPr>
          <w:lang w:val="es-ES_tradnl"/>
        </w:rPr>
        <w:t>los exámenes del tribunal de familia</w:t>
      </w:r>
      <w:r w:rsidRPr="00154216">
        <w:rPr>
          <w:rStyle w:val="Refdenotaalfinal"/>
          <w:lang w:val="es-ES_tradnl"/>
        </w:rPr>
        <w:endnoteReference w:id="117"/>
      </w:r>
      <w:r w:rsidR="00114E26">
        <w:rPr>
          <w:lang w:val="es-ES_tradnl"/>
        </w:rPr>
        <w:t>,</w:t>
      </w:r>
      <w:r w:rsidRPr="00154216">
        <w:rPr>
          <w:rStyle w:val="Refdenotaalfinal"/>
          <w:lang w:val="es-ES_tradnl"/>
        </w:rPr>
        <w:t xml:space="preserve"> </w:t>
      </w:r>
      <w:r w:rsidRPr="00154216">
        <w:rPr>
          <w:lang w:val="es-ES_tradnl"/>
        </w:rPr>
        <w:t>los exámenes médicos periódicos</w:t>
      </w:r>
      <w:r w:rsidRPr="00154216">
        <w:rPr>
          <w:rStyle w:val="Refdenotaalfinal"/>
          <w:lang w:val="es-ES_tradnl"/>
        </w:rPr>
        <w:endnoteReference w:id="118"/>
      </w:r>
      <w:r w:rsidR="00E060FE">
        <w:rPr>
          <w:lang w:val="es-ES_tradnl"/>
        </w:rPr>
        <w:t>,</w:t>
      </w:r>
      <w:r w:rsidRPr="00154216">
        <w:rPr>
          <w:rStyle w:val="Refdenotaalfinal"/>
          <w:lang w:val="es-ES_tradnl"/>
        </w:rPr>
        <w:t xml:space="preserve"> </w:t>
      </w:r>
      <w:r w:rsidRPr="00154216">
        <w:rPr>
          <w:lang w:val="es-ES_tradnl"/>
        </w:rPr>
        <w:t>las investigaciones de los jueces (a instancia de parte o por propia iniciativa)</w:t>
      </w:r>
      <w:r w:rsidRPr="00154216">
        <w:rPr>
          <w:rStyle w:val="Refdenotaalfinal"/>
          <w:lang w:val="es-ES_tradnl"/>
        </w:rPr>
        <w:endnoteReference w:id="119"/>
      </w:r>
      <w:r w:rsidR="00E060FE">
        <w:rPr>
          <w:lang w:val="es-ES_tradnl"/>
        </w:rPr>
        <w:t>.</w:t>
      </w:r>
    </w:p>
    <w:p w14:paraId="09907738" w14:textId="77777777" w:rsidR="00154216" w:rsidRPr="00154216" w:rsidRDefault="00154216" w:rsidP="00E060FE">
      <w:pPr>
        <w:pStyle w:val="H23G"/>
        <w:rPr>
          <w:lang w:val="es-ES_tradnl"/>
        </w:rPr>
      </w:pPr>
      <w:r w:rsidRPr="00154216">
        <w:rPr>
          <w:lang w:val="es-ES_tradnl"/>
        </w:rPr>
        <w:tab/>
      </w:r>
      <w:r w:rsidRPr="00154216">
        <w:rPr>
          <w:lang w:val="es-ES_tradnl"/>
        </w:rPr>
        <w:tab/>
        <w:t xml:space="preserve">Respuesta al párrafo 13 d)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063A6555" w14:textId="77777777" w:rsidR="00154216" w:rsidRPr="00154216" w:rsidRDefault="00154216" w:rsidP="00154216">
      <w:pPr>
        <w:pStyle w:val="SingleTxtG"/>
        <w:rPr>
          <w:lang w:val="es-ES_tradnl"/>
        </w:rPr>
      </w:pPr>
      <w:r w:rsidRPr="00154216">
        <w:rPr>
          <w:lang w:val="es-ES_tradnl"/>
        </w:rPr>
        <w:t>149.</w:t>
      </w:r>
      <w:r w:rsidRPr="00154216">
        <w:rPr>
          <w:lang w:val="es-ES_tradnl"/>
        </w:rPr>
        <w:tab/>
        <w:t xml:space="preserve">No ha habido ninguna revisión del sistema de justicia penal con este propósito. </w:t>
      </w:r>
    </w:p>
    <w:p w14:paraId="094E1405" w14:textId="77777777" w:rsidR="00154216" w:rsidRPr="00154216" w:rsidRDefault="00154216" w:rsidP="00154216">
      <w:pPr>
        <w:pStyle w:val="SingleTxtG"/>
        <w:rPr>
          <w:lang w:val="es-ES_tradnl"/>
        </w:rPr>
      </w:pPr>
      <w:r w:rsidRPr="00154216">
        <w:rPr>
          <w:lang w:val="es-ES_tradnl"/>
        </w:rPr>
        <w:t>150.</w:t>
      </w:r>
      <w:r w:rsidRPr="00154216">
        <w:rPr>
          <w:lang w:val="es-ES_tradnl"/>
        </w:rPr>
        <w:tab/>
        <w:t xml:space="preserve">La Ley de Procedimiento Penal (Personas con Deficiencia Mental) de 2003 exige </w:t>
      </w:r>
      <w:r w:rsidR="007003AC">
        <w:rPr>
          <w:lang w:val="es-ES_tradnl"/>
        </w:rPr>
        <w:t xml:space="preserve">que </w:t>
      </w:r>
      <w:r w:rsidRPr="00154216">
        <w:rPr>
          <w:lang w:val="es-ES_tradnl"/>
        </w:rPr>
        <w:t>antes de aplicarles las órdenes previstas en esta Ley, las personas que no estén en condiciones de someterse a juicio hayan sido consideradas responsables del acto constitutivo del delito</w:t>
      </w:r>
      <w:r w:rsidRPr="00154216">
        <w:rPr>
          <w:rStyle w:val="Refdenotaalfinal"/>
          <w:lang w:val="es-ES_tradnl"/>
        </w:rPr>
        <w:endnoteReference w:id="120"/>
      </w:r>
      <w:r w:rsidR="00E060FE">
        <w:rPr>
          <w:lang w:val="es-ES_tradnl"/>
        </w:rPr>
        <w:t>.</w:t>
      </w:r>
      <w:r w:rsidRPr="00154216">
        <w:rPr>
          <w:lang w:val="es-ES_tradnl"/>
        </w:rPr>
        <w:t xml:space="preserve"> Las personas declaradas incapaces de someterse a juicio o no culpables por razón de demencia pueden ser detenidas solo si el tribunal lo considera necesario en bien del interés público o en interés de cualquier persona o categoría de personas</w:t>
      </w:r>
      <w:r w:rsidRPr="00154216">
        <w:rPr>
          <w:rStyle w:val="Refdenotaalfinal"/>
          <w:lang w:val="es-ES_tradnl"/>
        </w:rPr>
        <w:endnoteReference w:id="121"/>
      </w:r>
      <w:r w:rsidR="00E060FE">
        <w:rPr>
          <w:lang w:val="es-ES_tradnl"/>
        </w:rPr>
        <w:t>.</w:t>
      </w:r>
      <w:r w:rsidRPr="00154216">
        <w:rPr>
          <w:rStyle w:val="Refdenotaalfinal"/>
          <w:lang w:val="es-ES_tradnl"/>
        </w:rPr>
        <w:t xml:space="preserve"> </w:t>
      </w:r>
    </w:p>
    <w:p w14:paraId="1362C8C1" w14:textId="77777777" w:rsidR="00154216" w:rsidRPr="00154216" w:rsidRDefault="00154216" w:rsidP="00154216">
      <w:pPr>
        <w:pStyle w:val="SingleTxtG"/>
        <w:rPr>
          <w:lang w:val="es-ES_tradnl"/>
        </w:rPr>
      </w:pPr>
      <w:r w:rsidRPr="00154216">
        <w:rPr>
          <w:lang w:val="es-ES_tradnl"/>
        </w:rPr>
        <w:t>151.</w:t>
      </w:r>
      <w:r w:rsidRPr="00154216">
        <w:rPr>
          <w:lang w:val="es-ES_tradnl"/>
        </w:rPr>
        <w:tab/>
        <w:t xml:space="preserve">No sería apropiado entablar un juicio pleno contra alguien que no estuviera en condiciones de asegurarse una defensa adecuada. A juicio del Gobierno, esta Ley contiene las debidas salvaguardias y asegura el justo equilibrio. </w:t>
      </w:r>
    </w:p>
    <w:p w14:paraId="4FBC4BC9" w14:textId="77777777" w:rsidR="00154216" w:rsidRPr="00154216" w:rsidRDefault="00154216" w:rsidP="00154216">
      <w:pPr>
        <w:pStyle w:val="SingleTxtG"/>
        <w:rPr>
          <w:lang w:val="es-ES_tradnl"/>
        </w:rPr>
      </w:pPr>
      <w:r w:rsidRPr="00154216">
        <w:rPr>
          <w:lang w:val="es-ES_tradnl"/>
        </w:rPr>
        <w:lastRenderedPageBreak/>
        <w:t>152.</w:t>
      </w:r>
      <w:r w:rsidRPr="00154216">
        <w:rPr>
          <w:lang w:val="es-ES_tradnl"/>
        </w:rPr>
        <w:tab/>
        <w:t xml:space="preserve">En virtud de la Ley de Reconocimiento y Tratamiento Obligatorios de la Salud Mental de 1992, cualquier persona puede ser objeto de órdenes de este tipo, independientemente de que haya sido o no acusada de un delito. </w:t>
      </w:r>
    </w:p>
    <w:p w14:paraId="05B4364A" w14:textId="77777777" w:rsidR="00154216" w:rsidRPr="00154216" w:rsidRDefault="00154216" w:rsidP="00E060FE">
      <w:pPr>
        <w:pStyle w:val="H23G"/>
        <w:rPr>
          <w:lang w:val="es-ES_tradnl"/>
        </w:rPr>
      </w:pPr>
      <w:r w:rsidRPr="00154216">
        <w:rPr>
          <w:lang w:val="es-ES_tradnl"/>
        </w:rPr>
        <w:tab/>
      </w:r>
      <w:r w:rsidRPr="00154216">
        <w:rPr>
          <w:lang w:val="es-ES_tradnl"/>
        </w:rPr>
        <w:tab/>
        <w:t xml:space="preserve">Respuesta al párrafo 14 a)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6D93674F" w14:textId="77777777" w:rsidR="00154216" w:rsidRPr="00154216" w:rsidRDefault="00154216" w:rsidP="00154216">
      <w:pPr>
        <w:pStyle w:val="SingleTxtG"/>
        <w:rPr>
          <w:lang w:val="es-ES_tradnl"/>
        </w:rPr>
      </w:pPr>
      <w:r w:rsidRPr="00154216">
        <w:rPr>
          <w:lang w:val="es-ES_tradnl"/>
        </w:rPr>
        <w:t>153.</w:t>
      </w:r>
      <w:r w:rsidRPr="00154216">
        <w:rPr>
          <w:lang w:val="es-ES_tradnl"/>
        </w:rPr>
        <w:tab/>
        <w:t>No se han adoptado disposiciones jurídicas para eliminar estas prácticas. Sin embargo, el Gobierno pone gran empeño en reducir el uso del aislamiento, la contención física y otras medidas similares.</w:t>
      </w:r>
    </w:p>
    <w:p w14:paraId="4AEF24E7" w14:textId="77777777" w:rsidR="00154216" w:rsidRPr="00154216" w:rsidRDefault="00154216" w:rsidP="00154216">
      <w:pPr>
        <w:pStyle w:val="SingleTxtG"/>
        <w:rPr>
          <w:lang w:val="es-ES_tradnl"/>
        </w:rPr>
      </w:pPr>
      <w:r w:rsidRPr="00154216">
        <w:rPr>
          <w:lang w:val="es-ES_tradnl"/>
        </w:rPr>
        <w:t>154.</w:t>
      </w:r>
      <w:r w:rsidRPr="00154216">
        <w:rPr>
          <w:lang w:val="es-ES_tradnl"/>
        </w:rPr>
        <w:tab/>
        <w:t>En 2009 entraron en vigor las normas revisadas para reducir el aislamiento y las medidas de inmovilización en los centros de salud mental, y desde entonces se ha reducido en un 28</w:t>
      </w:r>
      <w:r w:rsidR="00D37C06">
        <w:rPr>
          <w:lang w:val="es-ES_tradnl"/>
        </w:rPr>
        <w:t> %</w:t>
      </w:r>
      <w:r w:rsidRPr="00154216">
        <w:rPr>
          <w:lang w:val="es-ES_tradnl"/>
        </w:rPr>
        <w:t xml:space="preserve"> el número total de personas aisladas en los servicios hospitalarios para adultos de todo el país</w:t>
      </w:r>
      <w:r w:rsidRPr="00154216">
        <w:rPr>
          <w:rStyle w:val="Refdenotaalfinal"/>
          <w:lang w:val="es-ES_tradnl"/>
        </w:rPr>
        <w:endnoteReference w:id="122"/>
      </w:r>
      <w:r w:rsidR="00E060FE">
        <w:rPr>
          <w:lang w:val="es-ES_tradnl"/>
        </w:rPr>
        <w:t>.</w:t>
      </w:r>
      <w:r w:rsidRPr="00154216">
        <w:rPr>
          <w:rStyle w:val="Refdenotaalfinal"/>
          <w:lang w:val="es-ES_tradnl"/>
        </w:rPr>
        <w:t xml:space="preserve"> </w:t>
      </w:r>
    </w:p>
    <w:p w14:paraId="53679EA3" w14:textId="77777777" w:rsidR="00154216" w:rsidRPr="00154216" w:rsidRDefault="00154216" w:rsidP="00154216">
      <w:pPr>
        <w:pStyle w:val="SingleTxtG"/>
        <w:rPr>
          <w:lang w:val="es-ES_tradnl"/>
        </w:rPr>
      </w:pPr>
      <w:r w:rsidRPr="00154216">
        <w:rPr>
          <w:lang w:val="es-ES_tradnl"/>
        </w:rPr>
        <w:t>155.</w:t>
      </w:r>
      <w:r w:rsidRPr="00154216">
        <w:rPr>
          <w:lang w:val="es-ES_tradnl"/>
        </w:rPr>
        <w:tab/>
        <w:t>En 2017 se modificó la política para circunscribir el uso de las camas con sujeciones a cuatro cárceles, y únicamente a las situaciones en que resultaran ineficaces los demás medios para prevenir lesiones y garantizar la seguridad. El Gobierno está considerando la posibilidad de poner fin al uso de las camas con sujeciones en las cárceles.</w:t>
      </w:r>
    </w:p>
    <w:p w14:paraId="493DC28F" w14:textId="77777777" w:rsidR="00154216" w:rsidRPr="00154216" w:rsidRDefault="00154216" w:rsidP="00154216">
      <w:pPr>
        <w:pStyle w:val="SingleTxtG"/>
        <w:rPr>
          <w:rStyle w:val="Refdenotaalfinal"/>
          <w:lang w:val="es-ES_tradnl"/>
        </w:rPr>
      </w:pPr>
      <w:r w:rsidRPr="00154216">
        <w:rPr>
          <w:lang w:val="es-ES_tradnl"/>
        </w:rPr>
        <w:t>156.</w:t>
      </w:r>
      <w:r w:rsidRPr="00154216">
        <w:rPr>
          <w:lang w:val="es-ES_tradnl"/>
        </w:rPr>
        <w:tab/>
        <w:t>En marzo de 2018 se puso en marcha el programa Aislamiento Cero: Hacia la Eliminación Completa del Aislamiento para 2020</w:t>
      </w:r>
      <w:r w:rsidRPr="00154216">
        <w:rPr>
          <w:rStyle w:val="Refdenotaalfinal"/>
          <w:lang w:val="es-ES_tradnl"/>
        </w:rPr>
        <w:endnoteReference w:id="123"/>
      </w:r>
      <w:r w:rsidR="00E060FE">
        <w:rPr>
          <w:lang w:val="es-ES_tradnl"/>
        </w:rPr>
        <w:t>.</w:t>
      </w:r>
      <w:r w:rsidRPr="00154216">
        <w:rPr>
          <w:rStyle w:val="Refdenotaalfinal"/>
          <w:lang w:val="es-ES_tradnl"/>
        </w:rPr>
        <w:t xml:space="preserve"> </w:t>
      </w:r>
      <w:r w:rsidRPr="00154216">
        <w:rPr>
          <w:lang w:val="es-ES_tradnl"/>
        </w:rPr>
        <w:t xml:space="preserve">Su implementación, nutrida de una fase de diseño colaborativo, presta gran atención al papel de los clientes y sus familias y </w:t>
      </w:r>
      <w:proofErr w:type="spellStart"/>
      <w:r w:rsidRPr="00154216">
        <w:rPr>
          <w:lang w:val="es-ES_tradnl"/>
        </w:rPr>
        <w:t>whānau</w:t>
      </w:r>
      <w:proofErr w:type="spellEnd"/>
      <w:r w:rsidRPr="00154216">
        <w:rPr>
          <w:lang w:val="es-ES_tradnl"/>
        </w:rPr>
        <w:t xml:space="preserve"> de contribuir a una transformación a largo plazo. El programa hace hincapié en la aplicación de enfoques culturalmente apropiados con los clientes maoríes y sus </w:t>
      </w:r>
      <w:proofErr w:type="spellStart"/>
      <w:r w:rsidRPr="00154216">
        <w:rPr>
          <w:lang w:val="es-ES_tradnl"/>
        </w:rPr>
        <w:t>whānau</w:t>
      </w:r>
      <w:proofErr w:type="spellEnd"/>
      <w:r w:rsidRPr="00154216">
        <w:rPr>
          <w:lang w:val="es-ES_tradnl"/>
        </w:rPr>
        <w:t xml:space="preserve"> en el plano de la salud mental</w:t>
      </w:r>
      <w:r w:rsidRPr="00154216">
        <w:rPr>
          <w:rStyle w:val="Refdenotaalfinal"/>
          <w:lang w:val="es-ES_tradnl"/>
        </w:rPr>
        <w:endnoteReference w:id="124"/>
      </w:r>
      <w:r w:rsidR="00E060FE">
        <w:rPr>
          <w:lang w:val="es-ES_tradnl"/>
        </w:rPr>
        <w:t>.</w:t>
      </w:r>
    </w:p>
    <w:p w14:paraId="615DBEA4" w14:textId="77777777" w:rsidR="00154216" w:rsidRPr="00154216" w:rsidRDefault="00154216" w:rsidP="00154216">
      <w:pPr>
        <w:pStyle w:val="SingleTxtG"/>
        <w:rPr>
          <w:lang w:val="es-ES_tradnl"/>
        </w:rPr>
      </w:pPr>
      <w:r w:rsidRPr="00154216">
        <w:rPr>
          <w:lang w:val="es-ES_tradnl"/>
        </w:rPr>
        <w:t>157.</w:t>
      </w:r>
      <w:r w:rsidRPr="00154216">
        <w:rPr>
          <w:lang w:val="es-ES_tradnl"/>
        </w:rPr>
        <w:tab/>
        <w:t>El Programa de Comunicación Efectiva de las Prácticas Seguras</w:t>
      </w:r>
      <w:r w:rsidRPr="00154216">
        <w:rPr>
          <w:rStyle w:val="Refdenotaalfinal"/>
          <w:lang w:val="es-ES_tradnl"/>
        </w:rPr>
        <w:endnoteReference w:id="125"/>
      </w:r>
      <w:r w:rsidR="00E060FE">
        <w:rPr>
          <w:lang w:val="es-ES_tradnl"/>
        </w:rPr>
        <w:t>,</w:t>
      </w:r>
      <w:r w:rsidRPr="00154216">
        <w:rPr>
          <w:rStyle w:val="Refdenotaalfinal"/>
          <w:lang w:val="es-ES_tradnl"/>
        </w:rPr>
        <w:t xml:space="preserve"> </w:t>
      </w:r>
      <w:r w:rsidRPr="00154216">
        <w:rPr>
          <w:lang w:val="es-ES_tradnl"/>
        </w:rPr>
        <w:t>iniciado en 2016, proporciona información con base empírica sobre la forma de reducir la aplicación de medidas de inmovilización y aislamiento en las unidades hospitalarias de salud mental.</w:t>
      </w:r>
    </w:p>
    <w:p w14:paraId="6467797C" w14:textId="77777777" w:rsidR="00154216" w:rsidRPr="00154216" w:rsidRDefault="00154216" w:rsidP="00154216">
      <w:pPr>
        <w:pStyle w:val="SingleTxtG"/>
        <w:rPr>
          <w:lang w:val="es-ES_tradnl"/>
        </w:rPr>
      </w:pPr>
      <w:r w:rsidRPr="00154216">
        <w:rPr>
          <w:lang w:val="es-ES_tradnl"/>
        </w:rPr>
        <w:t>158.</w:t>
      </w:r>
      <w:r w:rsidRPr="00154216">
        <w:rPr>
          <w:lang w:val="es-ES_tradnl"/>
        </w:rPr>
        <w:tab/>
        <w:t>En febrero de 2018, el Gobierno publicó unas directrices de transición para que los servicios de salud mental eliminaran en definitiva los procedimientos de seguridad nocturna a más tardar en diciembre de 2022</w:t>
      </w:r>
      <w:r w:rsidRPr="00154216">
        <w:rPr>
          <w:rStyle w:val="Refdenotaalfinal"/>
          <w:lang w:val="es-ES_tradnl"/>
        </w:rPr>
        <w:endnoteReference w:id="126"/>
      </w:r>
      <w:r w:rsidR="00E060FE">
        <w:rPr>
          <w:lang w:val="es-ES_tradnl"/>
        </w:rPr>
        <w:t>.</w:t>
      </w:r>
      <w:r w:rsidRPr="00154216">
        <w:rPr>
          <w:rStyle w:val="Refdenotaalfinal"/>
          <w:lang w:val="es-ES_tradnl"/>
        </w:rPr>
        <w:t xml:space="preserve"> </w:t>
      </w:r>
    </w:p>
    <w:p w14:paraId="70AC7711" w14:textId="77777777" w:rsidR="00154216" w:rsidRPr="00154216" w:rsidRDefault="00154216" w:rsidP="00154216">
      <w:pPr>
        <w:pStyle w:val="SingleTxtG"/>
        <w:rPr>
          <w:lang w:val="es-ES_tradnl"/>
        </w:rPr>
      </w:pPr>
      <w:r w:rsidRPr="00154216">
        <w:rPr>
          <w:lang w:val="es-ES_tradnl"/>
        </w:rPr>
        <w:t>159.</w:t>
      </w:r>
      <w:r w:rsidRPr="00154216">
        <w:rPr>
          <w:lang w:val="es-ES_tradnl"/>
        </w:rPr>
        <w:tab/>
        <w:t xml:space="preserve">El Gobierno ha mejorado los métodos de reunión y comunicación de datos sobre los casos de aislamiento de personas con discapacidad intelectual. A partir de 2019, estos datos se pondrán a disposición del público. </w:t>
      </w:r>
    </w:p>
    <w:p w14:paraId="2360AC08" w14:textId="77777777" w:rsidR="00154216" w:rsidRPr="00154216" w:rsidRDefault="00154216" w:rsidP="00E060FE">
      <w:pPr>
        <w:pStyle w:val="H23G"/>
        <w:rPr>
          <w:lang w:val="es-ES_tradnl"/>
        </w:rPr>
      </w:pPr>
      <w:r w:rsidRPr="00154216">
        <w:rPr>
          <w:lang w:val="es-ES_tradnl"/>
        </w:rPr>
        <w:tab/>
      </w:r>
      <w:r w:rsidRPr="00154216">
        <w:rPr>
          <w:lang w:val="es-ES_tradnl"/>
        </w:rPr>
        <w:tab/>
        <w:t xml:space="preserve">Respuesta al párrafo 14 b)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4EB47543" w14:textId="77777777" w:rsidR="00154216" w:rsidRPr="00154216" w:rsidRDefault="00154216" w:rsidP="00154216">
      <w:pPr>
        <w:pStyle w:val="SingleTxtG"/>
        <w:rPr>
          <w:lang w:val="es-ES_tradnl"/>
        </w:rPr>
      </w:pPr>
      <w:r w:rsidRPr="00154216">
        <w:rPr>
          <w:lang w:val="es-ES_tradnl"/>
        </w:rPr>
        <w:t>160.</w:t>
      </w:r>
      <w:r w:rsidRPr="00154216">
        <w:rPr>
          <w:lang w:val="es-ES_tradnl"/>
        </w:rPr>
        <w:tab/>
        <w:t xml:space="preserve">El Gobierno no dispone de datos que indiquen si los reclusos tienen alguna discapacidad o problema de salud mental. Todos los presos tienen derecho a recibir apoyo, tratamiento y atención por cualquier trastorno o discapacidad que presenten. </w:t>
      </w:r>
    </w:p>
    <w:p w14:paraId="7C037AAE" w14:textId="77777777" w:rsidR="00154216" w:rsidRPr="00154216" w:rsidRDefault="00154216" w:rsidP="00154216">
      <w:pPr>
        <w:pStyle w:val="SingleTxtG"/>
        <w:rPr>
          <w:lang w:val="es-ES_tradnl"/>
        </w:rPr>
      </w:pPr>
      <w:r w:rsidRPr="00154216">
        <w:rPr>
          <w:lang w:val="es-ES_tradnl"/>
        </w:rPr>
        <w:t>161.</w:t>
      </w:r>
      <w:r w:rsidRPr="00154216">
        <w:rPr>
          <w:lang w:val="es-ES_tradnl"/>
        </w:rPr>
        <w:tab/>
        <w:t>Sabemos, sin embargo, que:</w:t>
      </w:r>
    </w:p>
    <w:p w14:paraId="2C866245" w14:textId="77777777" w:rsidR="00154216" w:rsidRPr="00154216" w:rsidRDefault="00154216" w:rsidP="00E060FE">
      <w:pPr>
        <w:pStyle w:val="Bullet1G"/>
        <w:rPr>
          <w:lang w:val="es-ES_tradnl"/>
        </w:rPr>
      </w:pPr>
      <w:r w:rsidRPr="00154216">
        <w:rPr>
          <w:lang w:val="es-ES_tradnl"/>
        </w:rPr>
        <w:t>El 91</w:t>
      </w:r>
      <w:r w:rsidR="00D37C06">
        <w:rPr>
          <w:lang w:val="es-ES_tradnl"/>
        </w:rPr>
        <w:t> %</w:t>
      </w:r>
      <w:r w:rsidRPr="00154216">
        <w:rPr>
          <w:lang w:val="es-ES_tradnl"/>
        </w:rPr>
        <w:t xml:space="preserve"> de los reclusos ha tenido alguna vez en la vida un diagnóstico de trastorno de salud mental o toxicomanía</w:t>
      </w:r>
      <w:r w:rsidR="00D6447D">
        <w:rPr>
          <w:lang w:val="es-ES_tradnl"/>
        </w:rPr>
        <w:t>.</w:t>
      </w:r>
    </w:p>
    <w:p w14:paraId="3A74AAB0" w14:textId="77777777" w:rsidR="00154216" w:rsidRPr="00154216" w:rsidRDefault="00154216" w:rsidP="00E060FE">
      <w:pPr>
        <w:pStyle w:val="Bullet1G"/>
        <w:rPr>
          <w:lang w:val="es-ES_tradnl"/>
        </w:rPr>
      </w:pPr>
      <w:r w:rsidRPr="00154216">
        <w:rPr>
          <w:lang w:val="es-ES_tradnl"/>
        </w:rPr>
        <w:t>En 2017/18, el 99</w:t>
      </w:r>
      <w:r w:rsidR="00D37C06">
        <w:rPr>
          <w:lang w:val="es-ES_tradnl"/>
        </w:rPr>
        <w:t> %</w:t>
      </w:r>
      <w:r w:rsidRPr="00154216">
        <w:rPr>
          <w:lang w:val="es-ES_tradnl"/>
        </w:rPr>
        <w:t xml:space="preserve"> de los reclusos fue objeto de un reconocimiento médico el primer día de su ingreso en prisión (en que se evaluaron las necesidades de salud general y de salud mental, el riesgo de autolesión o suicidio y la eventual necesidad de derivación a otros servicios)</w:t>
      </w:r>
      <w:r w:rsidR="00E060FE">
        <w:rPr>
          <w:lang w:val="es-ES_tradnl"/>
        </w:rPr>
        <w:t>.</w:t>
      </w:r>
    </w:p>
    <w:p w14:paraId="28C4EF91" w14:textId="77777777" w:rsidR="00154216" w:rsidRPr="00154216" w:rsidRDefault="00154216" w:rsidP="00E060FE">
      <w:pPr>
        <w:pStyle w:val="Bullet1G"/>
        <w:rPr>
          <w:lang w:val="es-ES_tradnl"/>
        </w:rPr>
      </w:pPr>
      <w:r w:rsidRPr="00154216">
        <w:rPr>
          <w:lang w:val="es-ES_tradnl"/>
        </w:rPr>
        <w:t>De abril de 2017 a diciembre de 2018 hubo en las prisiones 4.247 casos de personas derivadas a profesionales de salud mental</w:t>
      </w:r>
      <w:r w:rsidR="00E060FE">
        <w:rPr>
          <w:lang w:val="es-ES_tradnl"/>
        </w:rPr>
        <w:t>.</w:t>
      </w:r>
    </w:p>
    <w:p w14:paraId="2627480C" w14:textId="77777777" w:rsidR="00154216" w:rsidRPr="00154216" w:rsidRDefault="00154216" w:rsidP="00E060FE">
      <w:pPr>
        <w:pStyle w:val="Bullet1G"/>
        <w:rPr>
          <w:lang w:val="es-ES_tradnl"/>
        </w:rPr>
      </w:pPr>
      <w:r w:rsidRPr="00154216">
        <w:rPr>
          <w:lang w:val="es-ES_tradnl"/>
        </w:rPr>
        <w:t>En 2017 se trasladó a 254 pacientes de la cárcel a un servicio forense de salud mental para un reconocimiento y tratamiento obligatorio de salud mental</w:t>
      </w:r>
      <w:r w:rsidRPr="00154216">
        <w:rPr>
          <w:rStyle w:val="Refdenotaalfinal"/>
          <w:lang w:val="es-ES_tradnl"/>
        </w:rPr>
        <w:endnoteReference w:id="127"/>
      </w:r>
      <w:r w:rsidR="00E060FE">
        <w:rPr>
          <w:lang w:val="es-ES_tradnl"/>
        </w:rPr>
        <w:t>.</w:t>
      </w:r>
      <w:r w:rsidRPr="00154216">
        <w:rPr>
          <w:rStyle w:val="Refdenotaalfinal"/>
          <w:lang w:val="es-ES_tradnl"/>
        </w:rPr>
        <w:t xml:space="preserve"> </w:t>
      </w:r>
    </w:p>
    <w:p w14:paraId="4C03BAF1" w14:textId="77777777" w:rsidR="00154216" w:rsidRPr="00154216" w:rsidRDefault="00E060FE" w:rsidP="00E060FE">
      <w:pPr>
        <w:pStyle w:val="H23G"/>
        <w:rPr>
          <w:rStyle w:val="Refdenotaalfinal"/>
          <w:lang w:val="es-ES_tradnl"/>
        </w:rPr>
      </w:pPr>
      <w:r>
        <w:rPr>
          <w:lang w:val="es-ES_tradnl"/>
        </w:rPr>
        <w:lastRenderedPageBreak/>
        <w:tab/>
      </w:r>
      <w:r>
        <w:rPr>
          <w:lang w:val="es-ES_tradnl"/>
        </w:rPr>
        <w:tab/>
      </w:r>
      <w:r w:rsidR="00154216" w:rsidRPr="00D6447D">
        <w:rPr>
          <w:b w:val="0"/>
          <w:bCs/>
          <w:lang w:val="es-ES_tradnl"/>
        </w:rPr>
        <w:t>Cuadro</w:t>
      </w:r>
      <w:r>
        <w:rPr>
          <w:lang w:val="es-ES_tradnl"/>
        </w:rPr>
        <w:br/>
      </w:r>
      <w:r w:rsidR="00154216" w:rsidRPr="00154216">
        <w:rPr>
          <w:lang w:val="es-ES_tradnl"/>
        </w:rPr>
        <w:t>Número de reclusos examinados por equipos forenses de salud mental en un entorno penitenciario</w:t>
      </w:r>
      <w:r w:rsidR="00154216" w:rsidRPr="00E060FE">
        <w:rPr>
          <w:rStyle w:val="Refdenotaalfinal"/>
          <w:b w:val="0"/>
          <w:bCs/>
          <w:lang w:val="es-ES_tradnl"/>
        </w:rPr>
        <w:endnoteReference w:id="128"/>
      </w:r>
    </w:p>
    <w:tbl>
      <w:tblPr>
        <w:tblStyle w:val="TableGridLight1"/>
        <w:tblW w:w="7370" w:type="dxa"/>
        <w:tblInd w:w="1134" w:type="dxa"/>
        <w:tblBorders>
          <w:top w:val="single" w:sz="4" w:space="0" w:color="auto"/>
          <w:left w:val="none" w:sz="0" w:space="0" w:color="auto"/>
          <w:bottom w:val="single" w:sz="12" w:space="0" w:color="auto"/>
          <w:right w:val="none" w:sz="0" w:space="0" w:color="auto"/>
          <w:insideH w:val="single" w:sz="12" w:space="0" w:color="auto"/>
          <w:insideV w:val="none" w:sz="0" w:space="0" w:color="auto"/>
        </w:tblBorders>
        <w:tblCellMar>
          <w:left w:w="0" w:type="dxa"/>
          <w:right w:w="0" w:type="dxa"/>
        </w:tblCellMar>
        <w:tblLook w:val="04A0" w:firstRow="1" w:lastRow="0" w:firstColumn="1" w:lastColumn="0" w:noHBand="0" w:noVBand="1"/>
      </w:tblPr>
      <w:tblGrid>
        <w:gridCol w:w="1694"/>
        <w:gridCol w:w="1419"/>
        <w:gridCol w:w="1419"/>
        <w:gridCol w:w="1419"/>
        <w:gridCol w:w="1419"/>
      </w:tblGrid>
      <w:tr w:rsidR="00154216" w:rsidRPr="001E0575" w14:paraId="52AC1D6C" w14:textId="77777777" w:rsidTr="003451B1">
        <w:trPr>
          <w:trHeight w:val="240"/>
          <w:tblHeader/>
        </w:trPr>
        <w:tc>
          <w:tcPr>
            <w:tcW w:w="1694" w:type="dxa"/>
            <w:shd w:val="clear" w:color="auto" w:fill="auto"/>
            <w:vAlign w:val="bottom"/>
            <w:hideMark/>
          </w:tcPr>
          <w:p w14:paraId="46278D70" w14:textId="77777777" w:rsidR="00154216" w:rsidRPr="001E0575" w:rsidRDefault="00154216" w:rsidP="001E0575">
            <w:pPr>
              <w:pStyle w:val="SingleTxtG"/>
              <w:spacing w:before="80" w:after="80" w:line="200" w:lineRule="exact"/>
              <w:ind w:left="0" w:right="0"/>
              <w:jc w:val="left"/>
              <w:rPr>
                <w:rFonts w:ascii="Times New Roman" w:hAnsi="Times New Roman" w:cs="Times New Roman"/>
                <w:i/>
                <w:sz w:val="16"/>
                <w:lang w:val="es-ES_tradnl"/>
              </w:rPr>
            </w:pPr>
            <w:r w:rsidRPr="001E0575">
              <w:rPr>
                <w:rFonts w:ascii="Times New Roman" w:hAnsi="Times New Roman" w:cs="Times New Roman"/>
                <w:i/>
                <w:iCs/>
                <w:sz w:val="16"/>
                <w:lang w:val="es-ES_tradnl"/>
              </w:rPr>
              <w:t>Año finalizado en junio</w:t>
            </w:r>
          </w:p>
        </w:tc>
        <w:tc>
          <w:tcPr>
            <w:tcW w:w="1419" w:type="dxa"/>
            <w:shd w:val="clear" w:color="auto" w:fill="auto"/>
            <w:vAlign w:val="bottom"/>
            <w:hideMark/>
          </w:tcPr>
          <w:p w14:paraId="7669CC03" w14:textId="77777777" w:rsidR="00154216" w:rsidRPr="001E0575" w:rsidRDefault="00154216" w:rsidP="001E0575">
            <w:pPr>
              <w:pStyle w:val="SingleTxtG"/>
              <w:spacing w:before="80" w:after="80" w:line="200" w:lineRule="exact"/>
              <w:ind w:left="113" w:right="0"/>
              <w:jc w:val="right"/>
              <w:rPr>
                <w:rFonts w:ascii="Times New Roman" w:hAnsi="Times New Roman" w:cs="Times New Roman"/>
                <w:i/>
                <w:sz w:val="16"/>
                <w:lang w:val="es-ES_tradnl"/>
              </w:rPr>
            </w:pPr>
            <w:r w:rsidRPr="001E0575">
              <w:rPr>
                <w:rFonts w:ascii="Times New Roman" w:hAnsi="Times New Roman" w:cs="Times New Roman"/>
                <w:i/>
                <w:iCs/>
                <w:sz w:val="16"/>
                <w:lang w:val="es-ES_tradnl"/>
              </w:rPr>
              <w:t>2014</w:t>
            </w:r>
          </w:p>
        </w:tc>
        <w:tc>
          <w:tcPr>
            <w:tcW w:w="1419" w:type="dxa"/>
            <w:shd w:val="clear" w:color="auto" w:fill="auto"/>
            <w:vAlign w:val="bottom"/>
            <w:hideMark/>
          </w:tcPr>
          <w:p w14:paraId="53C4967C" w14:textId="77777777" w:rsidR="00154216" w:rsidRPr="001E0575" w:rsidRDefault="00154216" w:rsidP="001E0575">
            <w:pPr>
              <w:pStyle w:val="SingleTxtG"/>
              <w:spacing w:before="80" w:after="80" w:line="200" w:lineRule="exact"/>
              <w:ind w:left="113" w:right="0"/>
              <w:jc w:val="right"/>
              <w:rPr>
                <w:rFonts w:ascii="Times New Roman" w:hAnsi="Times New Roman" w:cs="Times New Roman"/>
                <w:i/>
                <w:sz w:val="16"/>
                <w:lang w:val="es-ES_tradnl"/>
              </w:rPr>
            </w:pPr>
            <w:r w:rsidRPr="001E0575">
              <w:rPr>
                <w:rFonts w:ascii="Times New Roman" w:hAnsi="Times New Roman" w:cs="Times New Roman"/>
                <w:i/>
                <w:iCs/>
                <w:sz w:val="16"/>
                <w:lang w:val="es-ES_tradnl"/>
              </w:rPr>
              <w:t>2015</w:t>
            </w:r>
          </w:p>
        </w:tc>
        <w:tc>
          <w:tcPr>
            <w:tcW w:w="1419" w:type="dxa"/>
            <w:shd w:val="clear" w:color="auto" w:fill="auto"/>
            <w:vAlign w:val="bottom"/>
            <w:hideMark/>
          </w:tcPr>
          <w:p w14:paraId="37CDF594" w14:textId="77777777" w:rsidR="00154216" w:rsidRPr="001E0575" w:rsidRDefault="00154216" w:rsidP="001E0575">
            <w:pPr>
              <w:pStyle w:val="SingleTxtG"/>
              <w:spacing w:before="80" w:after="80" w:line="200" w:lineRule="exact"/>
              <w:ind w:left="113" w:right="0"/>
              <w:jc w:val="right"/>
              <w:rPr>
                <w:rFonts w:ascii="Times New Roman" w:hAnsi="Times New Roman" w:cs="Times New Roman"/>
                <w:i/>
                <w:sz w:val="16"/>
                <w:lang w:val="es-ES_tradnl"/>
              </w:rPr>
            </w:pPr>
            <w:r w:rsidRPr="001E0575">
              <w:rPr>
                <w:rFonts w:ascii="Times New Roman" w:hAnsi="Times New Roman" w:cs="Times New Roman"/>
                <w:i/>
                <w:iCs/>
                <w:sz w:val="16"/>
                <w:lang w:val="es-ES_tradnl"/>
              </w:rPr>
              <w:t>2016</w:t>
            </w:r>
          </w:p>
        </w:tc>
        <w:tc>
          <w:tcPr>
            <w:tcW w:w="1419" w:type="dxa"/>
            <w:shd w:val="clear" w:color="auto" w:fill="auto"/>
            <w:vAlign w:val="bottom"/>
            <w:hideMark/>
          </w:tcPr>
          <w:p w14:paraId="73530322" w14:textId="77777777" w:rsidR="00154216" w:rsidRPr="001E0575" w:rsidRDefault="00154216" w:rsidP="001E0575">
            <w:pPr>
              <w:pStyle w:val="SingleTxtG"/>
              <w:spacing w:before="80" w:after="80" w:line="200" w:lineRule="exact"/>
              <w:ind w:left="113" w:right="0"/>
              <w:jc w:val="right"/>
              <w:rPr>
                <w:rFonts w:ascii="Times New Roman" w:hAnsi="Times New Roman" w:cs="Times New Roman"/>
                <w:i/>
                <w:sz w:val="16"/>
                <w:lang w:val="es-ES_tradnl"/>
              </w:rPr>
            </w:pPr>
            <w:r w:rsidRPr="001E0575">
              <w:rPr>
                <w:rFonts w:ascii="Times New Roman" w:hAnsi="Times New Roman" w:cs="Times New Roman"/>
                <w:i/>
                <w:iCs/>
                <w:sz w:val="16"/>
                <w:lang w:val="es-ES_tradnl"/>
              </w:rPr>
              <w:t>2017</w:t>
            </w:r>
          </w:p>
        </w:tc>
      </w:tr>
      <w:tr w:rsidR="00154216" w:rsidRPr="001E0575" w14:paraId="70D5AAA3" w14:textId="77777777" w:rsidTr="003451B1">
        <w:trPr>
          <w:trHeight w:val="240"/>
        </w:trPr>
        <w:tc>
          <w:tcPr>
            <w:tcW w:w="1694" w:type="dxa"/>
            <w:shd w:val="clear" w:color="auto" w:fill="auto"/>
            <w:hideMark/>
          </w:tcPr>
          <w:p w14:paraId="2FF18BA2" w14:textId="77777777" w:rsidR="00154216" w:rsidRPr="001E0575" w:rsidRDefault="00154216" w:rsidP="001E0575">
            <w:pPr>
              <w:pStyle w:val="SingleTxtG"/>
              <w:spacing w:before="40" w:after="40" w:line="220" w:lineRule="exact"/>
              <w:ind w:left="0" w:right="0"/>
              <w:jc w:val="left"/>
              <w:rPr>
                <w:rFonts w:ascii="Times New Roman" w:hAnsi="Times New Roman" w:cs="Times New Roman"/>
                <w:sz w:val="18"/>
                <w:lang w:val="es-ES_tradnl"/>
              </w:rPr>
            </w:pPr>
            <w:r w:rsidRPr="001E0575">
              <w:rPr>
                <w:rFonts w:ascii="Times New Roman" w:hAnsi="Times New Roman" w:cs="Times New Roman"/>
                <w:sz w:val="18"/>
                <w:lang w:val="es-ES_tradnl"/>
              </w:rPr>
              <w:t>Número de presos</w:t>
            </w:r>
          </w:p>
        </w:tc>
        <w:tc>
          <w:tcPr>
            <w:tcW w:w="1419" w:type="dxa"/>
            <w:shd w:val="clear" w:color="auto" w:fill="auto"/>
            <w:vAlign w:val="bottom"/>
            <w:hideMark/>
          </w:tcPr>
          <w:p w14:paraId="60867FB2" w14:textId="77777777" w:rsidR="00154216" w:rsidRPr="001E0575" w:rsidRDefault="00154216" w:rsidP="001E0575">
            <w:pPr>
              <w:pStyle w:val="SingleTxtG"/>
              <w:spacing w:before="40" w:after="40" w:line="220" w:lineRule="exact"/>
              <w:ind w:left="113" w:right="0"/>
              <w:jc w:val="right"/>
              <w:rPr>
                <w:rFonts w:ascii="Times New Roman" w:hAnsi="Times New Roman" w:cs="Times New Roman"/>
                <w:sz w:val="18"/>
                <w:lang w:val="es-ES_tradnl"/>
              </w:rPr>
            </w:pPr>
            <w:r w:rsidRPr="001E0575">
              <w:rPr>
                <w:rFonts w:ascii="Times New Roman" w:hAnsi="Times New Roman" w:cs="Times New Roman"/>
                <w:sz w:val="18"/>
                <w:lang w:val="es-ES_tradnl"/>
              </w:rPr>
              <w:t>3 280</w:t>
            </w:r>
          </w:p>
        </w:tc>
        <w:tc>
          <w:tcPr>
            <w:tcW w:w="1419" w:type="dxa"/>
            <w:shd w:val="clear" w:color="auto" w:fill="auto"/>
            <w:vAlign w:val="bottom"/>
            <w:hideMark/>
          </w:tcPr>
          <w:p w14:paraId="22DDB232" w14:textId="77777777" w:rsidR="00154216" w:rsidRPr="001E0575" w:rsidRDefault="00154216" w:rsidP="001E0575">
            <w:pPr>
              <w:pStyle w:val="SingleTxtG"/>
              <w:spacing w:before="40" w:after="40" w:line="220" w:lineRule="exact"/>
              <w:ind w:left="113" w:right="0"/>
              <w:jc w:val="right"/>
              <w:rPr>
                <w:rFonts w:ascii="Times New Roman" w:hAnsi="Times New Roman" w:cs="Times New Roman"/>
                <w:sz w:val="18"/>
                <w:lang w:val="es-ES_tradnl"/>
              </w:rPr>
            </w:pPr>
            <w:r w:rsidRPr="001E0575">
              <w:rPr>
                <w:rFonts w:ascii="Times New Roman" w:hAnsi="Times New Roman" w:cs="Times New Roman"/>
                <w:sz w:val="18"/>
                <w:lang w:val="es-ES_tradnl"/>
              </w:rPr>
              <w:t>3 440</w:t>
            </w:r>
          </w:p>
        </w:tc>
        <w:tc>
          <w:tcPr>
            <w:tcW w:w="1419" w:type="dxa"/>
            <w:shd w:val="clear" w:color="auto" w:fill="auto"/>
            <w:vAlign w:val="bottom"/>
            <w:hideMark/>
          </w:tcPr>
          <w:p w14:paraId="2E09FC89" w14:textId="77777777" w:rsidR="00154216" w:rsidRPr="001E0575" w:rsidRDefault="00154216" w:rsidP="001E0575">
            <w:pPr>
              <w:pStyle w:val="SingleTxtG"/>
              <w:spacing w:before="40" w:after="40" w:line="220" w:lineRule="exact"/>
              <w:ind w:left="113" w:right="0"/>
              <w:jc w:val="right"/>
              <w:rPr>
                <w:rFonts w:ascii="Times New Roman" w:hAnsi="Times New Roman" w:cs="Times New Roman"/>
                <w:sz w:val="18"/>
                <w:lang w:val="es-ES_tradnl"/>
              </w:rPr>
            </w:pPr>
            <w:r w:rsidRPr="001E0575">
              <w:rPr>
                <w:rFonts w:ascii="Times New Roman" w:hAnsi="Times New Roman" w:cs="Times New Roman"/>
                <w:sz w:val="18"/>
                <w:lang w:val="es-ES_tradnl"/>
              </w:rPr>
              <w:t>3 690</w:t>
            </w:r>
          </w:p>
        </w:tc>
        <w:tc>
          <w:tcPr>
            <w:tcW w:w="1419" w:type="dxa"/>
            <w:shd w:val="clear" w:color="auto" w:fill="auto"/>
            <w:vAlign w:val="bottom"/>
            <w:hideMark/>
          </w:tcPr>
          <w:p w14:paraId="5029DB7A" w14:textId="77777777" w:rsidR="00154216" w:rsidRPr="001E0575" w:rsidRDefault="00154216" w:rsidP="001E0575">
            <w:pPr>
              <w:pStyle w:val="SingleTxtG"/>
              <w:spacing w:before="40" w:after="40" w:line="220" w:lineRule="exact"/>
              <w:ind w:left="113" w:right="0"/>
              <w:jc w:val="right"/>
              <w:rPr>
                <w:rFonts w:ascii="Times New Roman" w:hAnsi="Times New Roman" w:cs="Times New Roman"/>
                <w:sz w:val="18"/>
                <w:lang w:val="es-ES_tradnl"/>
              </w:rPr>
            </w:pPr>
            <w:r w:rsidRPr="001E0575">
              <w:rPr>
                <w:rFonts w:ascii="Times New Roman" w:hAnsi="Times New Roman" w:cs="Times New Roman"/>
                <w:sz w:val="18"/>
                <w:lang w:val="es-ES_tradnl"/>
              </w:rPr>
              <w:t>3 890</w:t>
            </w:r>
          </w:p>
        </w:tc>
      </w:tr>
    </w:tbl>
    <w:p w14:paraId="50002ED1" w14:textId="77777777" w:rsidR="00154216" w:rsidRPr="00154216" w:rsidRDefault="00154216" w:rsidP="001E0575">
      <w:pPr>
        <w:pStyle w:val="SingleTxtG"/>
        <w:spacing w:before="240"/>
        <w:rPr>
          <w:lang w:val="es-ES_tradnl"/>
        </w:rPr>
      </w:pPr>
      <w:r w:rsidRPr="00154216">
        <w:rPr>
          <w:lang w:val="es-ES_tradnl"/>
        </w:rPr>
        <w:t>162.</w:t>
      </w:r>
      <w:r w:rsidRPr="00154216">
        <w:rPr>
          <w:lang w:val="es-ES_tradnl"/>
        </w:rPr>
        <w:tab/>
        <w:t xml:space="preserve">Para los servicios de salud mental en las cárceles, el Gobierno: </w:t>
      </w:r>
    </w:p>
    <w:p w14:paraId="3210EEA7" w14:textId="77777777" w:rsidR="00154216" w:rsidRPr="00154216" w:rsidRDefault="00154216" w:rsidP="001E0575">
      <w:pPr>
        <w:pStyle w:val="Bullet1G"/>
        <w:rPr>
          <w:lang w:val="es-ES_tradnl"/>
        </w:rPr>
      </w:pPr>
      <w:r w:rsidRPr="00154216">
        <w:rPr>
          <w:lang w:val="es-ES_tradnl"/>
        </w:rPr>
        <w:t>Está elaborando un marco para la planificación, el diseño y el aprovisionamiento de recursos de los servicios forenses de salud mental. Ese marco se utiliza con los proveedores, los usuarios y los académicos</w:t>
      </w:r>
      <w:r w:rsidR="00D6447D">
        <w:rPr>
          <w:lang w:val="es-ES_tradnl"/>
        </w:rPr>
        <w:t>.</w:t>
      </w:r>
    </w:p>
    <w:p w14:paraId="4EA057A1" w14:textId="77777777" w:rsidR="00154216" w:rsidRPr="00154216" w:rsidRDefault="00154216" w:rsidP="001E0575">
      <w:pPr>
        <w:pStyle w:val="Bullet1G"/>
        <w:rPr>
          <w:lang w:val="es-ES_tradnl"/>
        </w:rPr>
      </w:pPr>
      <w:r w:rsidRPr="00154216">
        <w:rPr>
          <w:lang w:val="es-ES_tradnl"/>
        </w:rPr>
        <w:t>En 2017 estableció un servicio de salud mental para las personas con necesidades leves o moderadas de atención de la salud mental en 16 prisiones y cuatro centros correccionales comunitarios. El servicio contrata a médicos para que trabajen directamente con las personas encarceladas o sujetas a penas en un entorno comunitario. De abril de 2017 a diciembre de 2018 fueron derivadas al servicio 5.856 personas</w:t>
      </w:r>
      <w:r w:rsidR="00D6447D">
        <w:rPr>
          <w:lang w:val="es-ES_tradnl"/>
        </w:rPr>
        <w:t>.</w:t>
      </w:r>
    </w:p>
    <w:p w14:paraId="784EA8F5" w14:textId="77777777" w:rsidR="00154216" w:rsidRPr="00154216" w:rsidRDefault="00154216" w:rsidP="001E0575">
      <w:pPr>
        <w:pStyle w:val="Bullet1G"/>
        <w:rPr>
          <w:b/>
          <w:lang w:val="es-ES_tradnl"/>
        </w:rPr>
      </w:pPr>
      <w:r w:rsidRPr="00154216">
        <w:rPr>
          <w:lang w:val="es-ES_tradnl"/>
        </w:rPr>
        <w:t xml:space="preserve">En 2017 puso en marcha un proyecto para identificar y apoyar mejor a las personas en riesgo de autolesión o suicidio. En tres prisiones se pondrá a prueba un modelo de atención a nivel de todo el establecimiento. Se han introducido elementos del modelo de atención en todos los establecimientos penitenciarios, entre ellos un marco de apoyo a la adopción de decisiones para asegurar una gestión humana y segura de las personas en las unidades de intervención y de apoyo. </w:t>
      </w:r>
    </w:p>
    <w:p w14:paraId="7CB4A74D" w14:textId="77777777" w:rsidR="00154216" w:rsidRPr="00154216" w:rsidRDefault="00154216" w:rsidP="001E0575">
      <w:pPr>
        <w:pStyle w:val="H23G"/>
        <w:rPr>
          <w:lang w:val="es-ES_tradnl"/>
        </w:rPr>
      </w:pPr>
      <w:r w:rsidRPr="00154216">
        <w:rPr>
          <w:lang w:val="es-ES_tradnl"/>
        </w:rPr>
        <w:tab/>
      </w:r>
      <w:r w:rsidRPr="00154216">
        <w:rPr>
          <w:lang w:val="es-ES_tradnl"/>
        </w:rPr>
        <w:tab/>
        <w:t xml:space="preserve">Respuesta al párrafo 14 c)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39832F2E" w14:textId="77777777" w:rsidR="00154216" w:rsidRPr="00154216" w:rsidRDefault="00154216" w:rsidP="00154216">
      <w:pPr>
        <w:pStyle w:val="SingleTxtG"/>
        <w:rPr>
          <w:lang w:val="es-ES_tradnl"/>
        </w:rPr>
      </w:pPr>
      <w:r w:rsidRPr="00154216">
        <w:rPr>
          <w:lang w:val="es-ES_tradnl"/>
        </w:rPr>
        <w:t>163.</w:t>
      </w:r>
      <w:r w:rsidRPr="00154216">
        <w:rPr>
          <w:lang w:val="es-ES_tradnl"/>
        </w:rPr>
        <w:tab/>
        <w:t>La Oficina del Ombudsman</w:t>
      </w:r>
      <w:r w:rsidRPr="00154216">
        <w:rPr>
          <w:rStyle w:val="Refdenotaalfinal"/>
          <w:lang w:val="es-ES_tradnl"/>
        </w:rPr>
        <w:endnoteReference w:id="129"/>
      </w:r>
      <w:r w:rsidRPr="00154216">
        <w:rPr>
          <w:rStyle w:val="Refdenotaalfinal"/>
          <w:lang w:val="es-ES_tradnl"/>
        </w:rPr>
        <w:t xml:space="preserve"> </w:t>
      </w:r>
      <w:r w:rsidRPr="00154216">
        <w:rPr>
          <w:lang w:val="es-ES_tradnl"/>
        </w:rPr>
        <w:t>visita regularmente los centros de internamiento de las personas con problemas de salud mental y con discapacidad intelectual. Identifica los problemas y formula recomendaciones para reforzar las medidas de protección o mejorar el trato y las condiciones de las personas con discapacidad. Desde junio de 2018, una de las funciones del Ombudsman es supervisar el trato dado a las personas internadas en las residencias privadas de ancianos</w:t>
      </w:r>
      <w:r w:rsidRPr="00154216">
        <w:rPr>
          <w:rStyle w:val="Refdenotaalfinal"/>
          <w:lang w:val="es-ES_tradnl"/>
        </w:rPr>
        <w:endnoteReference w:id="130"/>
      </w:r>
      <w:r w:rsidR="001E0575">
        <w:rPr>
          <w:lang w:val="es-ES_tradnl"/>
        </w:rPr>
        <w:t>.</w:t>
      </w:r>
      <w:r w:rsidRPr="00154216">
        <w:rPr>
          <w:rStyle w:val="Refdenotaalfinal"/>
          <w:lang w:val="es-ES_tradnl"/>
        </w:rPr>
        <w:t xml:space="preserve"> </w:t>
      </w:r>
      <w:r w:rsidRPr="00154216">
        <w:rPr>
          <w:lang w:val="es-ES_tradnl"/>
        </w:rPr>
        <w:t xml:space="preserve">Con ello aumentará la supervisión de los servicios que atienden a las personas con demencia. Véase la respuesta a la pregunta 23 c). </w:t>
      </w:r>
    </w:p>
    <w:p w14:paraId="78B5DB70" w14:textId="77777777" w:rsidR="00154216" w:rsidRPr="00154216" w:rsidRDefault="00154216" w:rsidP="00154216">
      <w:pPr>
        <w:pStyle w:val="SingleTxtG"/>
        <w:rPr>
          <w:lang w:val="es-ES_tradnl"/>
        </w:rPr>
      </w:pPr>
      <w:r w:rsidRPr="00154216">
        <w:rPr>
          <w:lang w:val="es-ES_tradnl"/>
        </w:rPr>
        <w:t>164.</w:t>
      </w:r>
      <w:r w:rsidRPr="00154216">
        <w:rPr>
          <w:lang w:val="es-ES_tradnl"/>
        </w:rPr>
        <w:tab/>
        <w:t>El Gobierno supervisa los servicios residenciales para las personas con discapacidad como parte de la rendición de cuentas regular sobre los contratos con los proveedores de servicios verificando el cumplimiento de las Normas de Seguridad de los Servicios de Salud y de Apoyo a la Discapacidad de 2008</w:t>
      </w:r>
      <w:r w:rsidRPr="00154216">
        <w:rPr>
          <w:rStyle w:val="Refdenotaalfinal"/>
          <w:lang w:val="es-ES_tradnl"/>
        </w:rPr>
        <w:endnoteReference w:id="131"/>
      </w:r>
      <w:r w:rsidRPr="00154216">
        <w:rPr>
          <w:rStyle w:val="Refdenotaalfinal"/>
          <w:lang w:val="es-ES_tradnl"/>
        </w:rPr>
        <w:t xml:space="preserve"> </w:t>
      </w:r>
      <w:r w:rsidRPr="00154216">
        <w:rPr>
          <w:lang w:val="es-ES_tradnl"/>
        </w:rPr>
        <w:t>(que son objeto de revisión desde 2018). El Gobierno informa de los incidentes críticos y las defunciones y ofrece un mecanismo de denuncia.</w:t>
      </w:r>
    </w:p>
    <w:p w14:paraId="73B04ED2" w14:textId="77777777" w:rsidR="00154216" w:rsidRPr="00154216" w:rsidRDefault="00154216" w:rsidP="00154216">
      <w:pPr>
        <w:pStyle w:val="SingleTxtG"/>
        <w:rPr>
          <w:lang w:val="es-ES_tradnl"/>
        </w:rPr>
      </w:pPr>
      <w:r w:rsidRPr="00154216">
        <w:rPr>
          <w:lang w:val="es-ES_tradnl"/>
        </w:rPr>
        <w:t>165.</w:t>
      </w:r>
      <w:r w:rsidRPr="00154216">
        <w:rPr>
          <w:lang w:val="es-ES_tradnl"/>
        </w:rPr>
        <w:tab/>
        <w:t>La Ley de Atención y Rehabilitación Obligatorias de Personas con Discapacidad Intelectual de 2003 y la Ley de Salud Mental son supervisadas a nivel nacional por los directores del Ministerio de Salud y a nivel local por los funcionarios reglamentarios</w:t>
      </w:r>
      <w:r w:rsidRPr="00154216">
        <w:rPr>
          <w:rStyle w:val="Refdenotaalfinal"/>
          <w:lang w:val="es-ES_tradnl"/>
        </w:rPr>
        <w:endnoteReference w:id="132"/>
      </w:r>
      <w:r w:rsidRPr="00D6447D">
        <w:rPr>
          <w:rStyle w:val="Refdenotaalfinal"/>
          <w:vertAlign w:val="baseline"/>
          <w:lang w:val="es-ES_tradnl"/>
        </w:rPr>
        <w:t xml:space="preserve"> </w:t>
      </w:r>
      <w:r w:rsidRPr="00154216">
        <w:rPr>
          <w:lang w:val="es-ES_tradnl"/>
        </w:rPr>
        <w:t>y los inspectores de distrito (véase la pregunta 13 c)).</w:t>
      </w:r>
    </w:p>
    <w:p w14:paraId="4DCCC74C" w14:textId="77777777" w:rsidR="00154216" w:rsidRPr="00154216" w:rsidRDefault="00154216" w:rsidP="00154216">
      <w:pPr>
        <w:pStyle w:val="SingleTxtG"/>
        <w:rPr>
          <w:rStyle w:val="Refdenotaalfinal"/>
          <w:lang w:val="es-ES_tradnl"/>
        </w:rPr>
      </w:pPr>
      <w:r w:rsidRPr="00154216">
        <w:rPr>
          <w:lang w:val="es-ES_tradnl"/>
        </w:rPr>
        <w:t>166.</w:t>
      </w:r>
      <w:r w:rsidRPr="00154216">
        <w:rPr>
          <w:lang w:val="es-ES_tradnl"/>
        </w:rPr>
        <w:tab/>
        <w:t>El Gobierno publica desde 2005 las estadísticas relacionadas con la Ley de Salud Mental</w:t>
      </w:r>
      <w:r w:rsidRPr="00154216">
        <w:rPr>
          <w:rStyle w:val="Refdenotaalfinal"/>
          <w:lang w:val="es-ES_tradnl"/>
        </w:rPr>
        <w:endnoteReference w:id="133"/>
      </w:r>
      <w:r w:rsidR="001E0575">
        <w:rPr>
          <w:lang w:val="es-ES_tradnl"/>
        </w:rPr>
        <w:t>.</w:t>
      </w:r>
    </w:p>
    <w:p w14:paraId="440695F0" w14:textId="77777777" w:rsidR="00154216" w:rsidRPr="00154216" w:rsidRDefault="001E0575" w:rsidP="001E0575">
      <w:pPr>
        <w:pStyle w:val="H23G"/>
        <w:rPr>
          <w:lang w:val="es-ES_tradnl"/>
        </w:rPr>
      </w:pPr>
      <w:r>
        <w:rPr>
          <w:lang w:val="es-ES_tradnl"/>
        </w:rPr>
        <w:tab/>
      </w:r>
      <w:r>
        <w:rPr>
          <w:lang w:val="es-ES_tradnl"/>
        </w:rPr>
        <w:tab/>
      </w:r>
      <w:r w:rsidR="00154216" w:rsidRPr="00D6447D">
        <w:rPr>
          <w:b w:val="0"/>
          <w:bCs/>
          <w:lang w:val="es-ES_tradnl"/>
        </w:rPr>
        <w:t>Cuadro</w:t>
      </w:r>
      <w:r>
        <w:rPr>
          <w:lang w:val="es-ES_tradnl"/>
        </w:rPr>
        <w:br/>
      </w:r>
      <w:r w:rsidR="00154216" w:rsidRPr="00154216">
        <w:rPr>
          <w:lang w:val="es-ES_tradnl"/>
        </w:rPr>
        <w:t>Órdenes de internamiento obligatorio dictadas entre 2014 y 2017</w:t>
      </w:r>
    </w:p>
    <w:tbl>
      <w:tblPr>
        <w:tblStyle w:val="TableGridLight1"/>
        <w:tblW w:w="7370" w:type="dxa"/>
        <w:tblInd w:w="113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44"/>
        <w:gridCol w:w="956"/>
        <w:gridCol w:w="957"/>
        <w:gridCol w:w="956"/>
        <w:gridCol w:w="957"/>
      </w:tblGrid>
      <w:tr w:rsidR="00154216" w:rsidRPr="00D128D6" w14:paraId="31ACC726" w14:textId="77777777" w:rsidTr="003451B1">
        <w:trPr>
          <w:trHeight w:val="240"/>
          <w:tblHeader/>
        </w:trPr>
        <w:tc>
          <w:tcPr>
            <w:tcW w:w="3544" w:type="dxa"/>
            <w:tcBorders>
              <w:top w:val="single" w:sz="4" w:space="0" w:color="auto"/>
              <w:bottom w:val="single" w:sz="12" w:space="0" w:color="auto"/>
            </w:tcBorders>
            <w:shd w:val="clear" w:color="auto" w:fill="auto"/>
            <w:vAlign w:val="bottom"/>
            <w:hideMark/>
          </w:tcPr>
          <w:p w14:paraId="4BB2DE2C" w14:textId="77777777" w:rsidR="00154216" w:rsidRPr="00D128D6" w:rsidRDefault="00154216" w:rsidP="00D128D6">
            <w:pPr>
              <w:pStyle w:val="SingleTxtG"/>
              <w:spacing w:before="80" w:after="80" w:line="200" w:lineRule="exact"/>
              <w:ind w:left="0" w:right="0"/>
              <w:jc w:val="left"/>
              <w:rPr>
                <w:rFonts w:ascii="Times New Roman" w:hAnsi="Times New Roman" w:cs="Times New Roman"/>
                <w:i/>
                <w:sz w:val="16"/>
                <w:lang w:val="es-ES_tradnl"/>
              </w:rPr>
            </w:pPr>
            <w:r w:rsidRPr="00D128D6">
              <w:rPr>
                <w:rFonts w:ascii="Times New Roman" w:hAnsi="Times New Roman" w:cs="Times New Roman"/>
                <w:i/>
                <w:iCs/>
                <w:sz w:val="16"/>
                <w:lang w:val="es-ES_tradnl"/>
              </w:rPr>
              <w:t>Año finalizado en junio</w:t>
            </w:r>
          </w:p>
        </w:tc>
        <w:tc>
          <w:tcPr>
            <w:tcW w:w="956" w:type="dxa"/>
            <w:tcBorders>
              <w:top w:val="single" w:sz="4" w:space="0" w:color="auto"/>
              <w:bottom w:val="single" w:sz="12" w:space="0" w:color="auto"/>
            </w:tcBorders>
            <w:shd w:val="clear" w:color="auto" w:fill="auto"/>
            <w:vAlign w:val="bottom"/>
            <w:hideMark/>
          </w:tcPr>
          <w:p w14:paraId="28020A7D" w14:textId="77777777" w:rsidR="00154216" w:rsidRPr="00D128D6" w:rsidRDefault="00154216" w:rsidP="00D128D6">
            <w:pPr>
              <w:pStyle w:val="SingleTxtG"/>
              <w:spacing w:before="80" w:after="80" w:line="200" w:lineRule="exact"/>
              <w:ind w:left="113" w:right="0"/>
              <w:jc w:val="right"/>
              <w:rPr>
                <w:rFonts w:ascii="Times New Roman" w:hAnsi="Times New Roman" w:cs="Times New Roman"/>
                <w:i/>
                <w:sz w:val="16"/>
                <w:lang w:val="es-ES_tradnl"/>
              </w:rPr>
            </w:pPr>
            <w:r w:rsidRPr="00D128D6">
              <w:rPr>
                <w:rFonts w:ascii="Times New Roman" w:hAnsi="Times New Roman" w:cs="Times New Roman"/>
                <w:i/>
                <w:iCs/>
                <w:sz w:val="16"/>
                <w:lang w:val="es-ES_tradnl"/>
              </w:rPr>
              <w:t>2014</w:t>
            </w:r>
          </w:p>
        </w:tc>
        <w:tc>
          <w:tcPr>
            <w:tcW w:w="957" w:type="dxa"/>
            <w:tcBorders>
              <w:top w:val="single" w:sz="4" w:space="0" w:color="auto"/>
              <w:bottom w:val="single" w:sz="12" w:space="0" w:color="auto"/>
            </w:tcBorders>
            <w:shd w:val="clear" w:color="auto" w:fill="auto"/>
            <w:vAlign w:val="bottom"/>
            <w:hideMark/>
          </w:tcPr>
          <w:p w14:paraId="71592257" w14:textId="77777777" w:rsidR="00154216" w:rsidRPr="00D128D6" w:rsidRDefault="00154216" w:rsidP="00D128D6">
            <w:pPr>
              <w:pStyle w:val="SingleTxtG"/>
              <w:spacing w:before="80" w:after="80" w:line="200" w:lineRule="exact"/>
              <w:ind w:left="113" w:right="0"/>
              <w:jc w:val="right"/>
              <w:rPr>
                <w:rFonts w:ascii="Times New Roman" w:hAnsi="Times New Roman" w:cs="Times New Roman"/>
                <w:i/>
                <w:sz w:val="16"/>
                <w:lang w:val="es-ES_tradnl"/>
              </w:rPr>
            </w:pPr>
            <w:r w:rsidRPr="00D128D6">
              <w:rPr>
                <w:rFonts w:ascii="Times New Roman" w:hAnsi="Times New Roman" w:cs="Times New Roman"/>
                <w:i/>
                <w:iCs/>
                <w:sz w:val="16"/>
                <w:lang w:val="es-ES_tradnl"/>
              </w:rPr>
              <w:t>2015</w:t>
            </w:r>
          </w:p>
        </w:tc>
        <w:tc>
          <w:tcPr>
            <w:tcW w:w="956" w:type="dxa"/>
            <w:tcBorders>
              <w:top w:val="single" w:sz="4" w:space="0" w:color="auto"/>
              <w:bottom w:val="single" w:sz="12" w:space="0" w:color="auto"/>
            </w:tcBorders>
            <w:shd w:val="clear" w:color="auto" w:fill="auto"/>
            <w:vAlign w:val="bottom"/>
            <w:hideMark/>
          </w:tcPr>
          <w:p w14:paraId="03876802" w14:textId="77777777" w:rsidR="00154216" w:rsidRPr="00D128D6" w:rsidRDefault="00154216" w:rsidP="00D128D6">
            <w:pPr>
              <w:pStyle w:val="SingleTxtG"/>
              <w:spacing w:before="80" w:after="80" w:line="200" w:lineRule="exact"/>
              <w:ind w:left="113" w:right="0"/>
              <w:jc w:val="right"/>
              <w:rPr>
                <w:rFonts w:ascii="Times New Roman" w:hAnsi="Times New Roman" w:cs="Times New Roman"/>
                <w:i/>
                <w:sz w:val="16"/>
                <w:lang w:val="es-ES_tradnl"/>
              </w:rPr>
            </w:pPr>
            <w:r w:rsidRPr="00D128D6">
              <w:rPr>
                <w:rFonts w:ascii="Times New Roman" w:hAnsi="Times New Roman" w:cs="Times New Roman"/>
                <w:i/>
                <w:iCs/>
                <w:sz w:val="16"/>
                <w:lang w:val="es-ES_tradnl"/>
              </w:rPr>
              <w:t>2016</w:t>
            </w:r>
          </w:p>
        </w:tc>
        <w:tc>
          <w:tcPr>
            <w:tcW w:w="957" w:type="dxa"/>
            <w:tcBorders>
              <w:top w:val="single" w:sz="4" w:space="0" w:color="auto"/>
              <w:bottom w:val="single" w:sz="12" w:space="0" w:color="auto"/>
            </w:tcBorders>
            <w:shd w:val="clear" w:color="auto" w:fill="auto"/>
            <w:vAlign w:val="bottom"/>
            <w:hideMark/>
          </w:tcPr>
          <w:p w14:paraId="7CADC6B3" w14:textId="77777777" w:rsidR="00154216" w:rsidRPr="00D128D6" w:rsidRDefault="00154216" w:rsidP="00D128D6">
            <w:pPr>
              <w:pStyle w:val="SingleTxtG"/>
              <w:spacing w:before="80" w:after="80" w:line="200" w:lineRule="exact"/>
              <w:ind w:left="113" w:right="0"/>
              <w:jc w:val="right"/>
              <w:rPr>
                <w:rFonts w:ascii="Times New Roman" w:hAnsi="Times New Roman" w:cs="Times New Roman"/>
                <w:i/>
                <w:sz w:val="16"/>
                <w:lang w:val="es-ES_tradnl"/>
              </w:rPr>
            </w:pPr>
            <w:r w:rsidRPr="00D128D6">
              <w:rPr>
                <w:rFonts w:ascii="Times New Roman" w:hAnsi="Times New Roman" w:cs="Times New Roman"/>
                <w:i/>
                <w:iCs/>
                <w:sz w:val="16"/>
                <w:lang w:val="es-ES_tradnl"/>
              </w:rPr>
              <w:t>2017</w:t>
            </w:r>
          </w:p>
        </w:tc>
      </w:tr>
      <w:tr w:rsidR="00154216" w:rsidRPr="00D128D6" w14:paraId="568CA905" w14:textId="77777777" w:rsidTr="003451B1">
        <w:trPr>
          <w:trHeight w:val="240"/>
        </w:trPr>
        <w:tc>
          <w:tcPr>
            <w:tcW w:w="3544" w:type="dxa"/>
            <w:tcBorders>
              <w:top w:val="single" w:sz="12" w:space="0" w:color="auto"/>
            </w:tcBorders>
            <w:shd w:val="clear" w:color="auto" w:fill="auto"/>
            <w:hideMark/>
          </w:tcPr>
          <w:p w14:paraId="4C60DC0A" w14:textId="77777777" w:rsidR="00154216" w:rsidRPr="00D128D6" w:rsidRDefault="00154216" w:rsidP="00D128D6">
            <w:pPr>
              <w:pStyle w:val="SingleTxtG"/>
              <w:spacing w:before="40" w:after="40" w:line="220" w:lineRule="exact"/>
              <w:ind w:left="0" w:right="0"/>
              <w:jc w:val="left"/>
              <w:rPr>
                <w:rFonts w:ascii="Times New Roman" w:hAnsi="Times New Roman" w:cs="Times New Roman"/>
                <w:sz w:val="18"/>
                <w:lang w:val="es-ES_tradnl"/>
              </w:rPr>
            </w:pPr>
            <w:r w:rsidRPr="00D128D6">
              <w:rPr>
                <w:rFonts w:ascii="Times New Roman" w:hAnsi="Times New Roman" w:cs="Times New Roman"/>
                <w:sz w:val="18"/>
                <w:lang w:val="es-ES_tradnl"/>
              </w:rPr>
              <w:t>Número de órdenes de tratamiento en régimen de internamiento (o prórrogas de estas)</w:t>
            </w:r>
          </w:p>
        </w:tc>
        <w:tc>
          <w:tcPr>
            <w:tcW w:w="956" w:type="dxa"/>
            <w:tcBorders>
              <w:top w:val="single" w:sz="12" w:space="0" w:color="auto"/>
            </w:tcBorders>
            <w:shd w:val="clear" w:color="auto" w:fill="auto"/>
            <w:vAlign w:val="bottom"/>
            <w:hideMark/>
          </w:tcPr>
          <w:p w14:paraId="3AE6404D" w14:textId="77777777" w:rsidR="00154216" w:rsidRPr="00D128D6" w:rsidRDefault="00154216" w:rsidP="00D128D6">
            <w:pPr>
              <w:pStyle w:val="SingleTxtG"/>
              <w:spacing w:before="40" w:after="40" w:line="220" w:lineRule="exact"/>
              <w:ind w:left="113" w:right="0"/>
              <w:jc w:val="right"/>
              <w:rPr>
                <w:rFonts w:ascii="Times New Roman" w:hAnsi="Times New Roman" w:cs="Times New Roman"/>
                <w:sz w:val="18"/>
                <w:lang w:val="es-ES_tradnl"/>
              </w:rPr>
            </w:pPr>
            <w:r w:rsidRPr="00D128D6">
              <w:rPr>
                <w:rFonts w:ascii="Times New Roman" w:hAnsi="Times New Roman" w:cs="Times New Roman"/>
                <w:sz w:val="18"/>
                <w:lang w:val="es-ES_tradnl"/>
              </w:rPr>
              <w:t>1 784</w:t>
            </w:r>
          </w:p>
        </w:tc>
        <w:tc>
          <w:tcPr>
            <w:tcW w:w="957" w:type="dxa"/>
            <w:tcBorders>
              <w:top w:val="single" w:sz="12" w:space="0" w:color="auto"/>
            </w:tcBorders>
            <w:shd w:val="clear" w:color="auto" w:fill="auto"/>
            <w:vAlign w:val="bottom"/>
            <w:hideMark/>
          </w:tcPr>
          <w:p w14:paraId="2E3DAD8E" w14:textId="77777777" w:rsidR="00154216" w:rsidRPr="00D128D6" w:rsidRDefault="00154216" w:rsidP="00D128D6">
            <w:pPr>
              <w:pStyle w:val="SingleTxtG"/>
              <w:spacing w:before="40" w:after="40" w:line="220" w:lineRule="exact"/>
              <w:ind w:left="113" w:right="0"/>
              <w:jc w:val="right"/>
              <w:rPr>
                <w:rFonts w:ascii="Times New Roman" w:hAnsi="Times New Roman" w:cs="Times New Roman"/>
                <w:sz w:val="18"/>
                <w:lang w:val="es-ES_tradnl"/>
              </w:rPr>
            </w:pPr>
            <w:r w:rsidRPr="00D128D6">
              <w:rPr>
                <w:rFonts w:ascii="Times New Roman" w:hAnsi="Times New Roman" w:cs="Times New Roman"/>
                <w:sz w:val="18"/>
                <w:lang w:val="es-ES_tradnl"/>
              </w:rPr>
              <w:t>1 791</w:t>
            </w:r>
          </w:p>
        </w:tc>
        <w:tc>
          <w:tcPr>
            <w:tcW w:w="956" w:type="dxa"/>
            <w:tcBorders>
              <w:top w:val="single" w:sz="12" w:space="0" w:color="auto"/>
            </w:tcBorders>
            <w:shd w:val="clear" w:color="auto" w:fill="auto"/>
            <w:vAlign w:val="bottom"/>
            <w:hideMark/>
          </w:tcPr>
          <w:p w14:paraId="0F37E36D" w14:textId="77777777" w:rsidR="00154216" w:rsidRPr="00D128D6" w:rsidRDefault="00154216" w:rsidP="00D128D6">
            <w:pPr>
              <w:pStyle w:val="SingleTxtG"/>
              <w:spacing w:before="40" w:after="40" w:line="220" w:lineRule="exact"/>
              <w:ind w:left="113" w:right="0"/>
              <w:jc w:val="right"/>
              <w:rPr>
                <w:rFonts w:ascii="Times New Roman" w:hAnsi="Times New Roman" w:cs="Times New Roman"/>
                <w:sz w:val="18"/>
                <w:lang w:val="es-ES_tradnl"/>
              </w:rPr>
            </w:pPr>
            <w:r w:rsidRPr="00D128D6">
              <w:rPr>
                <w:rFonts w:ascii="Times New Roman" w:hAnsi="Times New Roman" w:cs="Times New Roman"/>
                <w:sz w:val="18"/>
                <w:lang w:val="es-ES_tradnl"/>
              </w:rPr>
              <w:t>1 722</w:t>
            </w:r>
          </w:p>
        </w:tc>
        <w:tc>
          <w:tcPr>
            <w:tcW w:w="957" w:type="dxa"/>
            <w:tcBorders>
              <w:top w:val="single" w:sz="12" w:space="0" w:color="auto"/>
            </w:tcBorders>
            <w:shd w:val="clear" w:color="auto" w:fill="auto"/>
            <w:vAlign w:val="bottom"/>
            <w:hideMark/>
          </w:tcPr>
          <w:p w14:paraId="6E1C80F8" w14:textId="77777777" w:rsidR="00154216" w:rsidRPr="00D128D6" w:rsidRDefault="00154216" w:rsidP="00D128D6">
            <w:pPr>
              <w:pStyle w:val="SingleTxtG"/>
              <w:spacing w:before="40" w:after="40" w:line="220" w:lineRule="exact"/>
              <w:ind w:left="113" w:right="0"/>
              <w:jc w:val="right"/>
              <w:rPr>
                <w:rFonts w:ascii="Times New Roman" w:hAnsi="Times New Roman" w:cs="Times New Roman"/>
                <w:sz w:val="18"/>
                <w:lang w:val="es-ES_tradnl"/>
              </w:rPr>
            </w:pPr>
            <w:r w:rsidRPr="00D128D6">
              <w:rPr>
                <w:rFonts w:ascii="Times New Roman" w:hAnsi="Times New Roman" w:cs="Times New Roman"/>
                <w:sz w:val="18"/>
                <w:lang w:val="es-ES_tradnl"/>
              </w:rPr>
              <w:t>1 690</w:t>
            </w:r>
          </w:p>
        </w:tc>
      </w:tr>
      <w:tr w:rsidR="00154216" w:rsidRPr="00D128D6" w14:paraId="5E738D00" w14:textId="77777777" w:rsidTr="003451B1">
        <w:trPr>
          <w:trHeight w:val="240"/>
        </w:trPr>
        <w:tc>
          <w:tcPr>
            <w:tcW w:w="3544" w:type="dxa"/>
            <w:shd w:val="clear" w:color="auto" w:fill="auto"/>
            <w:hideMark/>
          </w:tcPr>
          <w:p w14:paraId="6D3D19A1" w14:textId="77777777" w:rsidR="00154216" w:rsidRPr="00D128D6" w:rsidRDefault="00154216" w:rsidP="00D128D6">
            <w:pPr>
              <w:pStyle w:val="SingleTxtG"/>
              <w:spacing w:before="40" w:after="40" w:line="220" w:lineRule="exact"/>
              <w:ind w:left="0" w:right="0"/>
              <w:jc w:val="left"/>
              <w:rPr>
                <w:rFonts w:ascii="Times New Roman" w:hAnsi="Times New Roman" w:cs="Times New Roman"/>
                <w:sz w:val="18"/>
                <w:lang w:val="es-ES_tradnl"/>
              </w:rPr>
            </w:pPr>
            <w:r w:rsidRPr="00D128D6">
              <w:rPr>
                <w:rFonts w:ascii="Times New Roman" w:hAnsi="Times New Roman" w:cs="Times New Roman"/>
                <w:sz w:val="18"/>
                <w:lang w:val="es-ES_tradnl"/>
              </w:rPr>
              <w:t>Número medio de pacientes sujetos a órdenes de internamiento (art. 30) en un día determinado</w:t>
            </w:r>
          </w:p>
        </w:tc>
        <w:tc>
          <w:tcPr>
            <w:tcW w:w="956" w:type="dxa"/>
            <w:shd w:val="clear" w:color="auto" w:fill="auto"/>
            <w:vAlign w:val="bottom"/>
            <w:hideMark/>
          </w:tcPr>
          <w:p w14:paraId="5C0D1625" w14:textId="77777777" w:rsidR="00154216" w:rsidRPr="00D128D6" w:rsidRDefault="00154216" w:rsidP="00D128D6">
            <w:pPr>
              <w:pStyle w:val="SingleTxtG"/>
              <w:spacing w:before="40" w:after="40" w:line="220" w:lineRule="exact"/>
              <w:ind w:left="113" w:right="0"/>
              <w:jc w:val="right"/>
              <w:rPr>
                <w:rFonts w:ascii="Times New Roman" w:hAnsi="Times New Roman" w:cs="Times New Roman"/>
                <w:sz w:val="18"/>
                <w:lang w:val="es-ES_tradnl"/>
              </w:rPr>
            </w:pPr>
            <w:r w:rsidRPr="00D128D6">
              <w:rPr>
                <w:rFonts w:ascii="Times New Roman" w:hAnsi="Times New Roman" w:cs="Times New Roman"/>
                <w:sz w:val="18"/>
                <w:lang w:val="es-ES_tradnl"/>
              </w:rPr>
              <w:t>619</w:t>
            </w:r>
          </w:p>
        </w:tc>
        <w:tc>
          <w:tcPr>
            <w:tcW w:w="957" w:type="dxa"/>
            <w:shd w:val="clear" w:color="auto" w:fill="auto"/>
            <w:vAlign w:val="bottom"/>
            <w:hideMark/>
          </w:tcPr>
          <w:p w14:paraId="7D176F91" w14:textId="77777777" w:rsidR="00154216" w:rsidRPr="00D128D6" w:rsidRDefault="00154216" w:rsidP="00D128D6">
            <w:pPr>
              <w:pStyle w:val="SingleTxtG"/>
              <w:spacing w:before="40" w:after="40" w:line="220" w:lineRule="exact"/>
              <w:ind w:left="113" w:right="0"/>
              <w:jc w:val="right"/>
              <w:rPr>
                <w:rFonts w:ascii="Times New Roman" w:hAnsi="Times New Roman" w:cs="Times New Roman"/>
                <w:sz w:val="18"/>
                <w:lang w:val="es-ES_tradnl"/>
              </w:rPr>
            </w:pPr>
            <w:r w:rsidRPr="00D128D6">
              <w:rPr>
                <w:rFonts w:ascii="Times New Roman" w:hAnsi="Times New Roman" w:cs="Times New Roman"/>
                <w:sz w:val="18"/>
                <w:lang w:val="es-ES_tradnl"/>
              </w:rPr>
              <w:t>654</w:t>
            </w:r>
          </w:p>
        </w:tc>
        <w:tc>
          <w:tcPr>
            <w:tcW w:w="956" w:type="dxa"/>
            <w:shd w:val="clear" w:color="auto" w:fill="auto"/>
            <w:vAlign w:val="bottom"/>
            <w:hideMark/>
          </w:tcPr>
          <w:p w14:paraId="071FFD9F" w14:textId="77777777" w:rsidR="00154216" w:rsidRPr="00D128D6" w:rsidRDefault="00154216" w:rsidP="00D128D6">
            <w:pPr>
              <w:pStyle w:val="SingleTxtG"/>
              <w:spacing w:before="40" w:after="40" w:line="220" w:lineRule="exact"/>
              <w:ind w:left="113" w:right="0"/>
              <w:jc w:val="right"/>
              <w:rPr>
                <w:rFonts w:ascii="Times New Roman" w:hAnsi="Times New Roman" w:cs="Times New Roman"/>
                <w:sz w:val="18"/>
                <w:lang w:val="es-ES_tradnl"/>
              </w:rPr>
            </w:pPr>
            <w:r w:rsidRPr="00D128D6">
              <w:rPr>
                <w:rFonts w:ascii="Times New Roman" w:hAnsi="Times New Roman" w:cs="Times New Roman"/>
                <w:sz w:val="18"/>
                <w:lang w:val="es-ES_tradnl"/>
              </w:rPr>
              <w:t>589</w:t>
            </w:r>
          </w:p>
        </w:tc>
        <w:tc>
          <w:tcPr>
            <w:tcW w:w="957" w:type="dxa"/>
            <w:shd w:val="clear" w:color="auto" w:fill="auto"/>
            <w:vAlign w:val="bottom"/>
            <w:hideMark/>
          </w:tcPr>
          <w:p w14:paraId="71517E9F" w14:textId="77777777" w:rsidR="00154216" w:rsidRPr="00D128D6" w:rsidRDefault="00154216" w:rsidP="00D128D6">
            <w:pPr>
              <w:pStyle w:val="SingleTxtG"/>
              <w:spacing w:before="40" w:after="40" w:line="220" w:lineRule="exact"/>
              <w:ind w:left="113" w:right="0"/>
              <w:jc w:val="right"/>
              <w:rPr>
                <w:rFonts w:ascii="Times New Roman" w:hAnsi="Times New Roman" w:cs="Times New Roman"/>
                <w:sz w:val="18"/>
                <w:lang w:val="es-ES_tradnl"/>
              </w:rPr>
            </w:pPr>
            <w:r w:rsidRPr="00D128D6">
              <w:rPr>
                <w:rFonts w:ascii="Times New Roman" w:hAnsi="Times New Roman" w:cs="Times New Roman"/>
                <w:sz w:val="18"/>
                <w:lang w:val="es-ES_tradnl"/>
              </w:rPr>
              <w:t>651</w:t>
            </w:r>
          </w:p>
        </w:tc>
      </w:tr>
      <w:tr w:rsidR="00154216" w:rsidRPr="00D128D6" w14:paraId="074F6C76" w14:textId="77777777" w:rsidTr="003451B1">
        <w:trPr>
          <w:trHeight w:val="240"/>
        </w:trPr>
        <w:tc>
          <w:tcPr>
            <w:tcW w:w="3544" w:type="dxa"/>
            <w:tcBorders>
              <w:bottom w:val="single" w:sz="12" w:space="0" w:color="auto"/>
            </w:tcBorders>
            <w:shd w:val="clear" w:color="auto" w:fill="auto"/>
            <w:hideMark/>
          </w:tcPr>
          <w:p w14:paraId="11F520EE" w14:textId="77777777" w:rsidR="00154216" w:rsidRPr="00D128D6" w:rsidRDefault="00154216" w:rsidP="003451B1">
            <w:pPr>
              <w:pStyle w:val="SingleTxtG"/>
              <w:keepNext/>
              <w:keepLines/>
              <w:spacing w:before="40" w:after="40" w:line="220" w:lineRule="exact"/>
              <w:ind w:left="0" w:right="0"/>
              <w:jc w:val="left"/>
              <w:rPr>
                <w:rFonts w:ascii="Times New Roman" w:hAnsi="Times New Roman" w:cs="Times New Roman"/>
                <w:sz w:val="18"/>
                <w:lang w:val="es-ES_tradnl"/>
              </w:rPr>
            </w:pPr>
            <w:r w:rsidRPr="00D128D6">
              <w:rPr>
                <w:rFonts w:ascii="Times New Roman" w:hAnsi="Times New Roman" w:cs="Times New Roman"/>
                <w:sz w:val="18"/>
                <w:lang w:val="es-ES_tradnl"/>
              </w:rPr>
              <w:lastRenderedPageBreak/>
              <w:t>Número de pacientes por cada 100.000 en un día determinado</w:t>
            </w:r>
          </w:p>
        </w:tc>
        <w:tc>
          <w:tcPr>
            <w:tcW w:w="956" w:type="dxa"/>
            <w:tcBorders>
              <w:bottom w:val="single" w:sz="12" w:space="0" w:color="auto"/>
            </w:tcBorders>
            <w:shd w:val="clear" w:color="auto" w:fill="auto"/>
            <w:vAlign w:val="bottom"/>
            <w:hideMark/>
          </w:tcPr>
          <w:p w14:paraId="03FCFB78" w14:textId="77777777" w:rsidR="00154216" w:rsidRPr="00D128D6" w:rsidRDefault="00154216" w:rsidP="003451B1">
            <w:pPr>
              <w:pStyle w:val="SingleTxtG"/>
              <w:keepNext/>
              <w:keepLines/>
              <w:spacing w:before="40" w:after="40" w:line="220" w:lineRule="exact"/>
              <w:ind w:left="113" w:right="0"/>
              <w:jc w:val="right"/>
              <w:rPr>
                <w:rFonts w:ascii="Times New Roman" w:hAnsi="Times New Roman" w:cs="Times New Roman"/>
                <w:sz w:val="18"/>
                <w:lang w:val="es-ES_tradnl"/>
              </w:rPr>
            </w:pPr>
            <w:r w:rsidRPr="00D128D6">
              <w:rPr>
                <w:rFonts w:ascii="Times New Roman" w:hAnsi="Times New Roman" w:cs="Times New Roman"/>
                <w:sz w:val="18"/>
                <w:lang w:val="es-ES_tradnl"/>
              </w:rPr>
              <w:t>14</w:t>
            </w:r>
          </w:p>
        </w:tc>
        <w:tc>
          <w:tcPr>
            <w:tcW w:w="957" w:type="dxa"/>
            <w:tcBorders>
              <w:bottom w:val="single" w:sz="12" w:space="0" w:color="auto"/>
            </w:tcBorders>
            <w:shd w:val="clear" w:color="auto" w:fill="auto"/>
            <w:vAlign w:val="bottom"/>
            <w:hideMark/>
          </w:tcPr>
          <w:p w14:paraId="1B47D621" w14:textId="77777777" w:rsidR="00154216" w:rsidRPr="00D128D6" w:rsidRDefault="00154216" w:rsidP="003451B1">
            <w:pPr>
              <w:pStyle w:val="SingleTxtG"/>
              <w:keepNext/>
              <w:keepLines/>
              <w:spacing w:before="40" w:after="40" w:line="220" w:lineRule="exact"/>
              <w:ind w:left="113" w:right="0"/>
              <w:jc w:val="right"/>
              <w:rPr>
                <w:rFonts w:ascii="Times New Roman" w:hAnsi="Times New Roman" w:cs="Times New Roman"/>
                <w:sz w:val="18"/>
                <w:lang w:val="es-ES_tradnl"/>
              </w:rPr>
            </w:pPr>
            <w:r w:rsidRPr="00D128D6">
              <w:rPr>
                <w:rFonts w:ascii="Times New Roman" w:hAnsi="Times New Roman" w:cs="Times New Roman"/>
                <w:sz w:val="18"/>
                <w:lang w:val="es-ES_tradnl"/>
              </w:rPr>
              <w:t>14</w:t>
            </w:r>
          </w:p>
        </w:tc>
        <w:tc>
          <w:tcPr>
            <w:tcW w:w="956" w:type="dxa"/>
            <w:tcBorders>
              <w:bottom w:val="single" w:sz="12" w:space="0" w:color="auto"/>
            </w:tcBorders>
            <w:shd w:val="clear" w:color="auto" w:fill="auto"/>
            <w:vAlign w:val="bottom"/>
            <w:hideMark/>
          </w:tcPr>
          <w:p w14:paraId="2DEE77EC" w14:textId="77777777" w:rsidR="00154216" w:rsidRPr="00D128D6" w:rsidRDefault="00154216" w:rsidP="003451B1">
            <w:pPr>
              <w:pStyle w:val="SingleTxtG"/>
              <w:keepNext/>
              <w:keepLines/>
              <w:spacing w:before="40" w:after="40" w:line="220" w:lineRule="exact"/>
              <w:ind w:left="113" w:right="0"/>
              <w:jc w:val="right"/>
              <w:rPr>
                <w:rFonts w:ascii="Times New Roman" w:hAnsi="Times New Roman" w:cs="Times New Roman"/>
                <w:sz w:val="18"/>
                <w:lang w:val="es-ES_tradnl"/>
              </w:rPr>
            </w:pPr>
            <w:r w:rsidRPr="00D128D6">
              <w:rPr>
                <w:rFonts w:ascii="Times New Roman" w:hAnsi="Times New Roman" w:cs="Times New Roman"/>
                <w:sz w:val="18"/>
                <w:lang w:val="es-ES_tradnl"/>
              </w:rPr>
              <w:t>12</w:t>
            </w:r>
          </w:p>
        </w:tc>
        <w:tc>
          <w:tcPr>
            <w:tcW w:w="957" w:type="dxa"/>
            <w:tcBorders>
              <w:bottom w:val="single" w:sz="12" w:space="0" w:color="auto"/>
            </w:tcBorders>
            <w:shd w:val="clear" w:color="auto" w:fill="auto"/>
            <w:vAlign w:val="bottom"/>
            <w:hideMark/>
          </w:tcPr>
          <w:p w14:paraId="307B5A99" w14:textId="77777777" w:rsidR="00154216" w:rsidRPr="00D128D6" w:rsidRDefault="00154216" w:rsidP="003451B1">
            <w:pPr>
              <w:pStyle w:val="SingleTxtG"/>
              <w:keepNext/>
              <w:keepLines/>
              <w:spacing w:before="40" w:after="40" w:line="220" w:lineRule="exact"/>
              <w:ind w:left="113" w:right="0"/>
              <w:jc w:val="right"/>
              <w:rPr>
                <w:rFonts w:ascii="Times New Roman" w:hAnsi="Times New Roman" w:cs="Times New Roman"/>
                <w:sz w:val="18"/>
                <w:lang w:val="es-ES_tradnl"/>
              </w:rPr>
            </w:pPr>
            <w:r w:rsidRPr="00D128D6">
              <w:rPr>
                <w:rFonts w:ascii="Times New Roman" w:hAnsi="Times New Roman" w:cs="Times New Roman"/>
                <w:sz w:val="18"/>
                <w:lang w:val="es-ES_tradnl"/>
              </w:rPr>
              <w:t>13</w:t>
            </w:r>
          </w:p>
        </w:tc>
      </w:tr>
    </w:tbl>
    <w:p w14:paraId="0D00AC48" w14:textId="77777777" w:rsidR="00154216" w:rsidRPr="00154216" w:rsidRDefault="00154216" w:rsidP="001762F4">
      <w:pPr>
        <w:pStyle w:val="SingleTxtG"/>
        <w:spacing w:before="240"/>
        <w:rPr>
          <w:rStyle w:val="Refdenotaalfinal"/>
          <w:lang w:val="es-ES_tradnl"/>
        </w:rPr>
      </w:pPr>
      <w:r w:rsidRPr="00154216">
        <w:rPr>
          <w:lang w:val="es-ES_tradnl"/>
        </w:rPr>
        <w:t>167.</w:t>
      </w:r>
      <w:r w:rsidRPr="00154216">
        <w:rPr>
          <w:lang w:val="es-ES_tradnl"/>
        </w:rPr>
        <w:tab/>
        <w:t>El Gobierno no recopila estadísticas sobre las denuncias de tortura o malos tratos en los centros de salud. Hay varias vías de denuncia, como el Comisionado de Salud y Discapacidades</w:t>
      </w:r>
      <w:r w:rsidRPr="00154216">
        <w:rPr>
          <w:rStyle w:val="Refdenotaalfinal"/>
          <w:lang w:val="es-ES_tradnl"/>
        </w:rPr>
        <w:endnoteReference w:id="134"/>
      </w:r>
      <w:r w:rsidR="001762F4">
        <w:rPr>
          <w:lang w:val="es-ES_tradnl"/>
        </w:rPr>
        <w:t>,</w:t>
      </w:r>
      <w:r w:rsidRPr="00154216">
        <w:rPr>
          <w:rStyle w:val="Refdenotaalfinal"/>
          <w:lang w:val="es-ES_tradnl"/>
        </w:rPr>
        <w:t xml:space="preserve"> </w:t>
      </w:r>
      <w:r w:rsidRPr="00154216">
        <w:rPr>
          <w:lang w:val="es-ES_tradnl"/>
        </w:rPr>
        <w:t>los inspectores distritales de la Ley de Salud Mental y la Ley de Discapacidad Intelectual, el Tribunal de Examen de la Salud Mental y el mecanismo nacional de prevención establecido en virtud del Protocolo Facultativo de la Convención contra la Tortura</w:t>
      </w:r>
      <w:r w:rsidRPr="00154216">
        <w:rPr>
          <w:rStyle w:val="Refdenotaalfinal"/>
          <w:lang w:val="es-ES_tradnl"/>
        </w:rPr>
        <w:endnoteReference w:id="135"/>
      </w:r>
      <w:r w:rsidR="001762F4">
        <w:rPr>
          <w:lang w:val="es-ES_tradnl"/>
        </w:rPr>
        <w:t>.</w:t>
      </w:r>
    </w:p>
    <w:p w14:paraId="6DDE0F95" w14:textId="77777777" w:rsidR="00154216" w:rsidRPr="00154216" w:rsidRDefault="00154216" w:rsidP="001762F4">
      <w:pPr>
        <w:pStyle w:val="H23G"/>
        <w:rPr>
          <w:lang w:val="es-ES_tradnl"/>
        </w:rPr>
      </w:pPr>
      <w:r w:rsidRPr="00154216">
        <w:rPr>
          <w:lang w:val="es-ES_tradnl"/>
        </w:rPr>
        <w:tab/>
      </w:r>
      <w:r w:rsidRPr="00154216">
        <w:rPr>
          <w:lang w:val="es-ES_tradnl"/>
        </w:rPr>
        <w:tab/>
        <w:t xml:space="preserve">Respuesta al párrafo 14 d)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7B08C7A1" w14:textId="77777777" w:rsidR="00154216" w:rsidRPr="00154216" w:rsidRDefault="00154216" w:rsidP="00154216">
      <w:pPr>
        <w:pStyle w:val="SingleTxtG"/>
        <w:rPr>
          <w:lang w:val="es-ES_tradnl"/>
        </w:rPr>
      </w:pPr>
      <w:r w:rsidRPr="00154216">
        <w:rPr>
          <w:lang w:val="es-ES_tradnl"/>
        </w:rPr>
        <w:t>168.</w:t>
      </w:r>
      <w:r w:rsidRPr="00154216">
        <w:rPr>
          <w:lang w:val="es-ES_tradnl"/>
        </w:rPr>
        <w:tab/>
        <w:t>La Ley de Enmienda de la Ley de Educación (Actualización) de 2017</w:t>
      </w:r>
      <w:r w:rsidRPr="00154216">
        <w:rPr>
          <w:rStyle w:val="Refdenotaalfinal"/>
          <w:lang w:val="es-ES_tradnl"/>
        </w:rPr>
        <w:endnoteReference w:id="136"/>
      </w:r>
      <w:r w:rsidRPr="00154216">
        <w:rPr>
          <w:rStyle w:val="Refdenotaalfinal"/>
          <w:lang w:val="es-ES_tradnl"/>
        </w:rPr>
        <w:t xml:space="preserve"> </w:t>
      </w:r>
      <w:r w:rsidRPr="00154216">
        <w:rPr>
          <w:lang w:val="es-ES_tradnl"/>
        </w:rPr>
        <w:t>prohíbe el confinamiento y regula el uso de los medios de contención física en las escuelas.</w:t>
      </w:r>
    </w:p>
    <w:p w14:paraId="1ADF591C" w14:textId="77777777" w:rsidR="00154216" w:rsidRPr="00154216" w:rsidRDefault="00154216" w:rsidP="00154216">
      <w:pPr>
        <w:pStyle w:val="SingleTxtG"/>
        <w:rPr>
          <w:lang w:val="es-ES_tradnl"/>
        </w:rPr>
      </w:pPr>
      <w:r w:rsidRPr="00154216">
        <w:rPr>
          <w:lang w:val="es-ES_tradnl"/>
        </w:rPr>
        <w:t>169.</w:t>
      </w:r>
      <w:r w:rsidRPr="00154216">
        <w:rPr>
          <w:lang w:val="es-ES_tradnl"/>
        </w:rPr>
        <w:tab/>
        <w:t xml:space="preserve">Este cambio significa que ninguna escuela debe recurrir al confinamiento o aislamiento. Los Directores de Educación del Ministerio de Educación reciben las notificaciones sobre los casos de confinamiento o aislamiento. </w:t>
      </w:r>
    </w:p>
    <w:p w14:paraId="056A5720" w14:textId="77777777" w:rsidR="00154216" w:rsidRPr="00154216" w:rsidRDefault="00154216" w:rsidP="001762F4">
      <w:pPr>
        <w:pStyle w:val="H23G"/>
        <w:rPr>
          <w:lang w:val="es-ES_tradnl"/>
        </w:rPr>
      </w:pPr>
      <w:r w:rsidRPr="00154216">
        <w:rPr>
          <w:lang w:val="es-ES_tradnl"/>
        </w:rPr>
        <w:tab/>
      </w:r>
      <w:r w:rsidRPr="00154216">
        <w:rPr>
          <w:lang w:val="es-ES_tradnl"/>
        </w:rPr>
        <w:tab/>
        <w:t xml:space="preserve">Respuesta al párrafo 14 e)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5B9D12D5" w14:textId="77777777" w:rsidR="00154216" w:rsidRPr="00154216" w:rsidRDefault="00154216" w:rsidP="00154216">
      <w:pPr>
        <w:pStyle w:val="SingleTxtG"/>
        <w:rPr>
          <w:lang w:val="es-ES_tradnl"/>
        </w:rPr>
      </w:pPr>
      <w:r w:rsidRPr="00154216">
        <w:rPr>
          <w:lang w:val="es-ES_tradnl"/>
        </w:rPr>
        <w:t>170.</w:t>
      </w:r>
      <w:r w:rsidRPr="00154216">
        <w:rPr>
          <w:lang w:val="es-ES_tradnl"/>
        </w:rPr>
        <w:tab/>
        <w:t>Las enmiendas a la Ley de Educación aprobadas en 2017 prohíben la práctica del confinamiento en las escuelas, pero no el uso de los medios de contención física. Circunscriben el empleo de estos medios a las circunstancias de inminencia evidente de un daño grave, e imponen a las escuelas la obligación de notificar los casos en que se recurre a ellos.</w:t>
      </w:r>
    </w:p>
    <w:p w14:paraId="33E855AA" w14:textId="77777777" w:rsidR="00154216" w:rsidRPr="00154216" w:rsidRDefault="00154216" w:rsidP="00154216">
      <w:pPr>
        <w:pStyle w:val="SingleTxtG"/>
        <w:rPr>
          <w:lang w:val="es-ES_tradnl"/>
        </w:rPr>
      </w:pPr>
      <w:r w:rsidRPr="00154216">
        <w:rPr>
          <w:lang w:val="es-ES_tradnl"/>
        </w:rPr>
        <w:t>171.</w:t>
      </w:r>
      <w:r w:rsidRPr="00154216">
        <w:rPr>
          <w:lang w:val="es-ES_tradnl"/>
        </w:rPr>
        <w:tab/>
        <w:t>La Reglamentación de Educación de 2017</w:t>
      </w:r>
      <w:r w:rsidRPr="00154216">
        <w:rPr>
          <w:rStyle w:val="Refdenotaalfinal"/>
          <w:lang w:val="es-ES_tradnl"/>
        </w:rPr>
        <w:endnoteReference w:id="137"/>
      </w:r>
      <w:r w:rsidRPr="00154216">
        <w:rPr>
          <w:rStyle w:val="Refdenotaalfinal"/>
          <w:lang w:val="es-ES_tradnl"/>
        </w:rPr>
        <w:t xml:space="preserve"> </w:t>
      </w:r>
      <w:r w:rsidRPr="00154216">
        <w:rPr>
          <w:lang w:val="es-ES_tradnl"/>
        </w:rPr>
        <w:t xml:space="preserve">y las </w:t>
      </w:r>
      <w:r w:rsidRPr="00154216">
        <w:rPr>
          <w:i/>
          <w:iCs/>
          <w:lang w:val="es-ES_tradnl"/>
        </w:rPr>
        <w:t>Directrices reglamentarias para las escuelas registradas en Nueva Zelandia sobre el uso de los medios de contención física</w:t>
      </w:r>
      <w:r w:rsidR="00D6447D" w:rsidRPr="00154216">
        <w:rPr>
          <w:rStyle w:val="Refdenotaalfinal"/>
          <w:lang w:val="es-ES_tradnl"/>
        </w:rPr>
        <w:endnoteReference w:id="138"/>
      </w:r>
      <w:r w:rsidRPr="00154216">
        <w:rPr>
          <w:i/>
          <w:iCs/>
          <w:lang w:val="es-ES_tradnl"/>
        </w:rPr>
        <w:t xml:space="preserve"> </w:t>
      </w:r>
      <w:r w:rsidRPr="00154216">
        <w:rPr>
          <w:lang w:val="es-ES_tradnl"/>
        </w:rPr>
        <w:t>tienen por objeto impartir orientación sobre el uso de la coerción física</w:t>
      </w:r>
      <w:r w:rsidR="00114E26">
        <w:rPr>
          <w:lang w:val="es-ES_tradnl"/>
        </w:rPr>
        <w:t>.</w:t>
      </w:r>
      <w:r w:rsidRPr="00154216">
        <w:rPr>
          <w:rStyle w:val="Refdenotaalfinal"/>
          <w:lang w:val="es-ES_tradnl"/>
        </w:rPr>
        <w:t xml:space="preserve"> </w:t>
      </w:r>
    </w:p>
    <w:p w14:paraId="732B1DE4" w14:textId="77777777" w:rsidR="00154216" w:rsidRPr="00154216" w:rsidRDefault="00154216" w:rsidP="00154216">
      <w:pPr>
        <w:pStyle w:val="SingleTxtG"/>
        <w:rPr>
          <w:lang w:val="es-ES_tradnl"/>
        </w:rPr>
      </w:pPr>
      <w:r w:rsidRPr="00154216">
        <w:rPr>
          <w:lang w:val="es-ES_tradnl"/>
        </w:rPr>
        <w:t>172.</w:t>
      </w:r>
      <w:r w:rsidRPr="00154216">
        <w:rPr>
          <w:lang w:val="es-ES_tradnl"/>
        </w:rPr>
        <w:tab/>
        <w:t xml:space="preserve">El Ministerio de Educación ha revisado las directrices al cabo de un año con el fin de asegurar su claridad y utilidad organizándolas por grupos de usuarios, esclareciendo lo que se entiende por contacto físico aceptable, informando sobre la forma de impedir que las situaciones se agraven e incorporando principios y valores para orientar al personal docente en sus acciones. </w:t>
      </w:r>
    </w:p>
    <w:p w14:paraId="5826AA70" w14:textId="77777777" w:rsidR="00154216" w:rsidRPr="00154216" w:rsidRDefault="00154216" w:rsidP="00154216">
      <w:pPr>
        <w:pStyle w:val="SingleTxtG"/>
        <w:rPr>
          <w:lang w:val="es-ES_tradnl"/>
        </w:rPr>
      </w:pPr>
      <w:r w:rsidRPr="00154216">
        <w:rPr>
          <w:lang w:val="es-ES_tradnl"/>
        </w:rPr>
        <w:t>173.</w:t>
      </w:r>
      <w:r w:rsidRPr="00154216">
        <w:rPr>
          <w:lang w:val="es-ES_tradnl"/>
        </w:rPr>
        <w:tab/>
        <w:t>Esta normativa exige a las escuelas que notifiquen al Ministerio de Educación todos los casos en que se apliquen medidas de contención física. Hasta la fecha se han notificado 3.559 casos, que conciernen al 0,2</w:t>
      </w:r>
      <w:r w:rsidR="00D37C06">
        <w:rPr>
          <w:lang w:val="es-ES_tradnl"/>
        </w:rPr>
        <w:t> %</w:t>
      </w:r>
      <w:r w:rsidRPr="00154216">
        <w:rPr>
          <w:lang w:val="es-ES_tradnl"/>
        </w:rPr>
        <w:t xml:space="preserve"> de los 800.000 niños y jóvenes en las escuelas. Casi todos los casos notificados se han registrado en las escuelas primarias (el 72</w:t>
      </w:r>
      <w:r w:rsidR="00D37C06">
        <w:rPr>
          <w:lang w:val="es-ES_tradnl"/>
        </w:rPr>
        <w:t> %</w:t>
      </w:r>
      <w:r w:rsidRPr="00154216">
        <w:rPr>
          <w:lang w:val="es-ES_tradnl"/>
        </w:rPr>
        <w:t>) y en las escuelas especiales (el 22</w:t>
      </w:r>
      <w:r w:rsidR="00D37C06">
        <w:rPr>
          <w:lang w:val="es-ES_tradnl"/>
        </w:rPr>
        <w:t> %</w:t>
      </w:r>
      <w:r w:rsidRPr="00154216">
        <w:rPr>
          <w:lang w:val="es-ES_tradnl"/>
        </w:rPr>
        <w:t>).</w:t>
      </w:r>
    </w:p>
    <w:p w14:paraId="5E657935" w14:textId="77777777" w:rsidR="00154216" w:rsidRPr="00154216" w:rsidRDefault="00154216" w:rsidP="00154216">
      <w:pPr>
        <w:pStyle w:val="SingleTxtG"/>
        <w:rPr>
          <w:lang w:val="es-ES_tradnl"/>
        </w:rPr>
      </w:pPr>
      <w:r w:rsidRPr="00154216">
        <w:rPr>
          <w:lang w:val="es-ES_tradnl"/>
        </w:rPr>
        <w:t>174.</w:t>
      </w:r>
      <w:r w:rsidRPr="00154216">
        <w:rPr>
          <w:lang w:val="es-ES_tradnl"/>
        </w:rPr>
        <w:tab/>
        <w:t>Hay una serie de medios de apoyo a la conducta positiva a disposición de las escuelas para ayudar a reducir al mínimo las medidas de contención física. Estos recursos y marcos de prevención contribuyen a mejorar las aptitudes del personal docente en materia de gestión del comportamiento positivo, lo cual reduce la necesidad de la coerción física. Contribuyen a ello soportes como los siguientes: Comportamiento positivo para el aprendizaje (</w:t>
      </w:r>
      <w:proofErr w:type="spellStart"/>
      <w:r w:rsidRPr="00154216">
        <w:rPr>
          <w:lang w:val="es-ES_tradnl"/>
        </w:rPr>
        <w:t>PB4L</w:t>
      </w:r>
      <w:proofErr w:type="spellEnd"/>
      <w:r w:rsidRPr="00154216">
        <w:rPr>
          <w:lang w:val="es-ES_tradnl"/>
        </w:rPr>
        <w:t>) en toda la escuela, Enseñanza conducente al comportamiento positivo, Prácticas restauradoras del comportamiento positivo para el aprendizaje, y Los Años Increíbles para los maestros.</w:t>
      </w:r>
    </w:p>
    <w:p w14:paraId="75E7BD05" w14:textId="77777777" w:rsidR="00154216" w:rsidRPr="00154216" w:rsidRDefault="00154216" w:rsidP="00154216">
      <w:pPr>
        <w:pStyle w:val="SingleTxtG"/>
        <w:rPr>
          <w:lang w:val="es-ES_tradnl"/>
        </w:rPr>
      </w:pPr>
      <w:r w:rsidRPr="00154216">
        <w:rPr>
          <w:lang w:val="es-ES_tradnl"/>
        </w:rPr>
        <w:t>175.</w:t>
      </w:r>
      <w:r w:rsidRPr="00154216">
        <w:rPr>
          <w:lang w:val="es-ES_tradnl"/>
        </w:rPr>
        <w:tab/>
        <w:t xml:space="preserve">El Ministerio de Educación imparte formación en el marco del programa </w:t>
      </w:r>
      <w:proofErr w:type="spellStart"/>
      <w:r w:rsidRPr="00154216">
        <w:rPr>
          <w:lang w:val="es-ES_tradnl"/>
        </w:rPr>
        <w:t>UBRS</w:t>
      </w:r>
      <w:proofErr w:type="spellEnd"/>
      <w:r w:rsidRPr="00154216">
        <w:rPr>
          <w:lang w:val="es-ES_tradnl"/>
        </w:rPr>
        <w:t xml:space="preserve"> (Comprender el Comportamiento y Responder en Condiciones de Seguridad) a grupos del personal de toda la escuela. El programa </w:t>
      </w:r>
      <w:proofErr w:type="spellStart"/>
      <w:r w:rsidRPr="00154216">
        <w:rPr>
          <w:lang w:val="es-ES_tradnl"/>
        </w:rPr>
        <w:t>UBRS</w:t>
      </w:r>
      <w:proofErr w:type="spellEnd"/>
      <w:r w:rsidRPr="00154216">
        <w:rPr>
          <w:lang w:val="es-ES_tradnl"/>
        </w:rPr>
        <w:t xml:space="preserve"> se centra en estrategias de prevención y distensión y ofrece la oportunidad de vincular el marco jurídico con la práctica. Al 15 de febrero de 2019 sumaban 361 las escuelas que habían concluido o se aprestaban a concluir la formación. </w:t>
      </w:r>
    </w:p>
    <w:p w14:paraId="564B4FB1" w14:textId="77777777" w:rsidR="00154216" w:rsidRPr="00154216" w:rsidRDefault="00154216" w:rsidP="00686B09">
      <w:pPr>
        <w:pStyle w:val="H23G"/>
        <w:rPr>
          <w:lang w:val="es-ES_tradnl"/>
        </w:rPr>
      </w:pPr>
      <w:r w:rsidRPr="00154216">
        <w:rPr>
          <w:lang w:val="es-ES_tradnl"/>
        </w:rPr>
        <w:tab/>
      </w:r>
      <w:r w:rsidRPr="00154216">
        <w:rPr>
          <w:lang w:val="es-ES_tradnl"/>
        </w:rPr>
        <w:tab/>
        <w:t xml:space="preserve">Respuesta al párrafo 15 a)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223D2247" w14:textId="77777777" w:rsidR="00154216" w:rsidRPr="00154216" w:rsidRDefault="00154216" w:rsidP="00154216">
      <w:pPr>
        <w:pStyle w:val="SingleTxtG"/>
        <w:rPr>
          <w:lang w:val="es-ES_tradnl"/>
        </w:rPr>
      </w:pPr>
      <w:r w:rsidRPr="00154216">
        <w:rPr>
          <w:lang w:val="es-ES_tradnl"/>
        </w:rPr>
        <w:t>176.</w:t>
      </w:r>
      <w:r w:rsidRPr="00154216">
        <w:rPr>
          <w:lang w:val="es-ES_tradnl"/>
        </w:rPr>
        <w:tab/>
        <w:t>La policía de Nueva Zelandia investiga las denuncias de conducta delictiva.</w:t>
      </w:r>
    </w:p>
    <w:p w14:paraId="1E58C3A1" w14:textId="77777777" w:rsidR="00154216" w:rsidRPr="00154216" w:rsidRDefault="00154216" w:rsidP="00154216">
      <w:pPr>
        <w:pStyle w:val="SingleTxtG"/>
        <w:rPr>
          <w:lang w:val="es-ES_tradnl"/>
        </w:rPr>
      </w:pPr>
      <w:r w:rsidRPr="00154216">
        <w:rPr>
          <w:lang w:val="es-ES_tradnl"/>
        </w:rPr>
        <w:lastRenderedPageBreak/>
        <w:t>177.</w:t>
      </w:r>
      <w:r w:rsidRPr="00154216">
        <w:rPr>
          <w:lang w:val="es-ES_tradnl"/>
        </w:rPr>
        <w:tab/>
        <w:t xml:space="preserve">No existen disposiciones específicas para reducir la violencia y los daños infligidos a las personas con discapacidad psicosocial o intelectual ni a las mujeres con discapacidad. </w:t>
      </w:r>
    </w:p>
    <w:p w14:paraId="4E55B60E" w14:textId="77777777" w:rsidR="00154216" w:rsidRPr="00154216" w:rsidRDefault="00154216" w:rsidP="00154216">
      <w:pPr>
        <w:pStyle w:val="SingleTxtG"/>
        <w:rPr>
          <w:lang w:val="es-ES_tradnl"/>
        </w:rPr>
      </w:pPr>
      <w:r w:rsidRPr="00154216">
        <w:rPr>
          <w:lang w:val="es-ES_tradnl"/>
        </w:rPr>
        <w:t>178.</w:t>
      </w:r>
      <w:r w:rsidRPr="00154216">
        <w:rPr>
          <w:lang w:val="es-ES_tradnl"/>
        </w:rPr>
        <w:tab/>
        <w:t>Las siguientes son medidas destinadas a reducir el riesgo de que cualquier persona sea víctima de explotación, daños, violencia o abusos:</w:t>
      </w:r>
    </w:p>
    <w:p w14:paraId="49360443" w14:textId="77777777" w:rsidR="00154216" w:rsidRPr="00154216" w:rsidRDefault="00154216" w:rsidP="00686B09">
      <w:pPr>
        <w:pStyle w:val="Bullet1G"/>
        <w:rPr>
          <w:lang w:val="es-ES_tradnl"/>
        </w:rPr>
      </w:pPr>
      <w:r w:rsidRPr="00154216">
        <w:rPr>
          <w:lang w:val="es-ES_tradnl"/>
        </w:rPr>
        <w:t>Las estrategias de lucha contra el acoso escolar</w:t>
      </w:r>
      <w:r w:rsidR="00686B09">
        <w:rPr>
          <w:lang w:val="es-ES_tradnl"/>
        </w:rPr>
        <w:t>.</w:t>
      </w:r>
    </w:p>
    <w:p w14:paraId="384E5BA0" w14:textId="77777777" w:rsidR="00154216" w:rsidRPr="00154216" w:rsidRDefault="00154216" w:rsidP="00686B09">
      <w:pPr>
        <w:pStyle w:val="Bullet1G"/>
        <w:rPr>
          <w:lang w:val="es-ES_tradnl"/>
        </w:rPr>
      </w:pPr>
      <w:r w:rsidRPr="00154216">
        <w:rPr>
          <w:lang w:val="es-ES_tradnl"/>
        </w:rPr>
        <w:t>La labor destinada a reducir el riesgo de maltrato y descuido de los ancianos</w:t>
      </w:r>
      <w:r w:rsidR="00686B09">
        <w:rPr>
          <w:lang w:val="es-ES_tradnl"/>
        </w:rPr>
        <w:t>.</w:t>
      </w:r>
    </w:p>
    <w:p w14:paraId="311DE86F" w14:textId="77777777" w:rsidR="00154216" w:rsidRPr="00154216" w:rsidRDefault="00154216" w:rsidP="00686B09">
      <w:pPr>
        <w:pStyle w:val="Bullet1G"/>
        <w:rPr>
          <w:lang w:val="es-ES_tradnl"/>
        </w:rPr>
      </w:pPr>
      <w:r w:rsidRPr="00154216">
        <w:rPr>
          <w:lang w:val="es-ES_tradnl"/>
        </w:rPr>
        <w:t>El inicio de dos investigaciones: la de la Real Comisión de Investigación sobre el Maltrato Histórico bajo la Tutela del Estado y de Instituciones Religiosas (véase la pregunta 7 d))</w:t>
      </w:r>
      <w:r w:rsidRPr="00154216">
        <w:rPr>
          <w:rStyle w:val="Refdenotaalfinal"/>
          <w:lang w:val="es-ES_tradnl"/>
        </w:rPr>
        <w:endnoteReference w:id="139"/>
      </w:r>
      <w:r w:rsidRPr="00154216">
        <w:rPr>
          <w:rStyle w:val="Refdenotaalfinal"/>
          <w:lang w:val="es-ES_tradnl"/>
        </w:rPr>
        <w:t xml:space="preserve"> </w:t>
      </w:r>
      <w:r w:rsidRPr="00154216">
        <w:rPr>
          <w:lang w:val="es-ES_tradnl"/>
        </w:rPr>
        <w:t>y la Investigación del Gobierno sobre la Salud Mental y las Adicciones (véase la pregunta 13 a))</w:t>
      </w:r>
      <w:r w:rsidR="00686B09">
        <w:rPr>
          <w:lang w:val="es-ES_tradnl"/>
        </w:rPr>
        <w:t>.</w:t>
      </w:r>
    </w:p>
    <w:p w14:paraId="636AC5F6" w14:textId="77777777" w:rsidR="00154216" w:rsidRPr="00154216" w:rsidRDefault="00154216" w:rsidP="00686B09">
      <w:pPr>
        <w:pStyle w:val="Bullet1G"/>
        <w:rPr>
          <w:lang w:val="es-ES_tradnl"/>
        </w:rPr>
      </w:pPr>
      <w:r w:rsidRPr="00154216">
        <w:rPr>
          <w:lang w:val="es-ES_tradnl"/>
        </w:rPr>
        <w:t xml:space="preserve">La organización no gubernamental </w:t>
      </w:r>
      <w:proofErr w:type="spellStart"/>
      <w:r w:rsidRPr="00154216">
        <w:rPr>
          <w:lang w:val="es-ES_tradnl"/>
        </w:rPr>
        <w:t>NetSafe</w:t>
      </w:r>
      <w:proofErr w:type="spellEnd"/>
      <w:r w:rsidRPr="00154216">
        <w:rPr>
          <w:rStyle w:val="Refdenotaalfinal"/>
          <w:lang w:val="es-ES_tradnl"/>
        </w:rPr>
        <w:endnoteReference w:id="140"/>
      </w:r>
      <w:r w:rsidR="00686B09">
        <w:rPr>
          <w:lang w:val="es-ES_tradnl"/>
        </w:rPr>
        <w:t>,</w:t>
      </w:r>
      <w:r w:rsidRPr="00154216">
        <w:rPr>
          <w:rStyle w:val="Refdenotaalfinal"/>
          <w:lang w:val="es-ES_tradnl"/>
        </w:rPr>
        <w:t xml:space="preserve"> </w:t>
      </w:r>
      <w:r w:rsidRPr="00154216">
        <w:rPr>
          <w:lang w:val="es-ES_tradnl"/>
        </w:rPr>
        <w:t>recibe y resuelve las denuncias sobre comunicaciones digitales perjudiciales (incluidos el acoso y el abuso en línea). Si no se resuelven, pueden ser remitidas al tribunal de distrito</w:t>
      </w:r>
      <w:r w:rsidR="00686B09">
        <w:rPr>
          <w:lang w:val="es-ES_tradnl"/>
        </w:rPr>
        <w:t>.</w:t>
      </w:r>
    </w:p>
    <w:p w14:paraId="12394DD4" w14:textId="77777777" w:rsidR="00154216" w:rsidRPr="00154216" w:rsidRDefault="00154216" w:rsidP="00686B09">
      <w:pPr>
        <w:pStyle w:val="Bullet1G"/>
        <w:rPr>
          <w:lang w:val="es-ES_tradnl"/>
        </w:rPr>
      </w:pPr>
      <w:r w:rsidRPr="00154216">
        <w:rPr>
          <w:lang w:val="es-ES_tradnl"/>
        </w:rPr>
        <w:t xml:space="preserve">La campaña </w:t>
      </w:r>
      <w:r w:rsidRPr="003451B1">
        <w:rPr>
          <w:i/>
          <w:lang w:val="es-ES_tradnl"/>
        </w:rPr>
        <w:t>“</w:t>
      </w:r>
      <w:proofErr w:type="spellStart"/>
      <w:r w:rsidRPr="003451B1">
        <w:rPr>
          <w:i/>
          <w:iCs/>
          <w:lang w:val="es-ES_tradnl"/>
        </w:rPr>
        <w:t>It</w:t>
      </w:r>
      <w:r w:rsidR="00D6447D" w:rsidRPr="003451B1">
        <w:rPr>
          <w:i/>
          <w:iCs/>
          <w:lang w:val="es-ES_tradnl"/>
        </w:rPr>
        <w:t>’</w:t>
      </w:r>
      <w:r w:rsidRPr="003451B1">
        <w:rPr>
          <w:i/>
          <w:iCs/>
          <w:lang w:val="es-ES_tradnl"/>
        </w:rPr>
        <w:t>s</w:t>
      </w:r>
      <w:proofErr w:type="spellEnd"/>
      <w:r w:rsidRPr="003451B1">
        <w:rPr>
          <w:i/>
          <w:iCs/>
          <w:lang w:val="es-ES_tradnl"/>
        </w:rPr>
        <w:t xml:space="preserve"> </w:t>
      </w:r>
      <w:proofErr w:type="spellStart"/>
      <w:r w:rsidRPr="003451B1">
        <w:rPr>
          <w:i/>
          <w:iCs/>
          <w:lang w:val="es-ES_tradnl"/>
        </w:rPr>
        <w:t>not</w:t>
      </w:r>
      <w:proofErr w:type="spellEnd"/>
      <w:r w:rsidRPr="003451B1">
        <w:rPr>
          <w:i/>
          <w:iCs/>
          <w:lang w:val="es-ES_tradnl"/>
        </w:rPr>
        <w:t xml:space="preserve"> OK</w:t>
      </w:r>
      <w:r w:rsidRPr="003451B1">
        <w:rPr>
          <w:i/>
          <w:lang w:val="es-ES_tradnl"/>
        </w:rPr>
        <w:t>”</w:t>
      </w:r>
      <w:r w:rsidRPr="00154216">
        <w:rPr>
          <w:rStyle w:val="Refdenotaalfinal"/>
          <w:lang w:val="es-ES_tradnl"/>
        </w:rPr>
        <w:endnoteReference w:id="141"/>
      </w:r>
      <w:r w:rsidRPr="00154216">
        <w:rPr>
          <w:rStyle w:val="Refdenotaalfinal"/>
          <w:lang w:val="es-ES_tradnl"/>
        </w:rPr>
        <w:t xml:space="preserve"> </w:t>
      </w:r>
      <w:r w:rsidRPr="00154216">
        <w:rPr>
          <w:lang w:val="es-ES_tradnl"/>
        </w:rPr>
        <w:t>(No está bien), financiada por el Gobierno, tiene por finalidad reducir la violencia en la familia</w:t>
      </w:r>
      <w:r w:rsidR="00686B09">
        <w:rPr>
          <w:lang w:val="es-ES_tradnl"/>
        </w:rPr>
        <w:t>.</w:t>
      </w:r>
    </w:p>
    <w:p w14:paraId="3B6B813A" w14:textId="77777777" w:rsidR="00154216" w:rsidRPr="00154216" w:rsidRDefault="00154216" w:rsidP="00686B09">
      <w:pPr>
        <w:pStyle w:val="Bullet1G"/>
        <w:rPr>
          <w:lang w:val="es-ES_tradnl"/>
        </w:rPr>
      </w:pPr>
      <w:r w:rsidRPr="00154216">
        <w:rPr>
          <w:lang w:val="es-ES_tradnl"/>
        </w:rPr>
        <w:t xml:space="preserve">La campaña </w:t>
      </w:r>
      <w:r w:rsidRPr="003451B1">
        <w:rPr>
          <w:i/>
          <w:lang w:val="es-ES_tradnl"/>
        </w:rPr>
        <w:t>“</w:t>
      </w:r>
      <w:proofErr w:type="spellStart"/>
      <w:r w:rsidRPr="003451B1">
        <w:rPr>
          <w:i/>
          <w:iCs/>
          <w:lang w:val="es-ES_tradnl"/>
        </w:rPr>
        <w:t>Pasefika</w:t>
      </w:r>
      <w:proofErr w:type="spellEnd"/>
      <w:r w:rsidRPr="003451B1">
        <w:rPr>
          <w:i/>
          <w:iCs/>
          <w:lang w:val="es-ES_tradnl"/>
        </w:rPr>
        <w:t xml:space="preserve"> </w:t>
      </w:r>
      <w:proofErr w:type="spellStart"/>
      <w:r w:rsidRPr="003451B1">
        <w:rPr>
          <w:i/>
          <w:iCs/>
          <w:lang w:val="es-ES_tradnl"/>
        </w:rPr>
        <w:t>Proud</w:t>
      </w:r>
      <w:proofErr w:type="spellEnd"/>
      <w:r w:rsidRPr="003451B1">
        <w:rPr>
          <w:i/>
          <w:lang w:val="es-ES_tradnl"/>
        </w:rPr>
        <w:t>”</w:t>
      </w:r>
      <w:r w:rsidRPr="00154216">
        <w:rPr>
          <w:rStyle w:val="Refdenotaalfinal"/>
          <w:lang w:val="es-ES_tradnl"/>
        </w:rPr>
        <w:endnoteReference w:id="142"/>
      </w:r>
      <w:r w:rsidRPr="00154216">
        <w:rPr>
          <w:rStyle w:val="Refdenotaalfinal"/>
          <w:lang w:val="es-ES_tradnl"/>
        </w:rPr>
        <w:t>(</w:t>
      </w:r>
      <w:r w:rsidRPr="00154216">
        <w:rPr>
          <w:lang w:val="es-ES_tradnl"/>
        </w:rPr>
        <w:t>Orgullo del Pacífico) aborda el problema de la violencia en las familias del Pacífic</w:t>
      </w:r>
      <w:r w:rsidR="00D6447D">
        <w:rPr>
          <w:lang w:val="es-ES_tradnl"/>
        </w:rPr>
        <w:t>o.</w:t>
      </w:r>
    </w:p>
    <w:p w14:paraId="2649654A" w14:textId="77777777" w:rsidR="00154216" w:rsidRPr="00154216" w:rsidRDefault="00154216" w:rsidP="00686B09">
      <w:pPr>
        <w:pStyle w:val="Bullet1G"/>
        <w:rPr>
          <w:lang w:val="es-ES_tradnl"/>
        </w:rPr>
      </w:pPr>
      <w:r w:rsidRPr="003451B1">
        <w:rPr>
          <w:i/>
          <w:lang w:val="es-ES_tradnl"/>
        </w:rPr>
        <w:t>“</w:t>
      </w:r>
      <w:r w:rsidRPr="003451B1">
        <w:rPr>
          <w:i/>
          <w:iCs/>
          <w:lang w:val="es-ES_tradnl"/>
        </w:rPr>
        <w:t xml:space="preserve">E </w:t>
      </w:r>
      <w:proofErr w:type="spellStart"/>
      <w:r w:rsidRPr="003451B1">
        <w:rPr>
          <w:i/>
          <w:iCs/>
          <w:lang w:val="es-ES_tradnl"/>
        </w:rPr>
        <w:t>Tū</w:t>
      </w:r>
      <w:proofErr w:type="spellEnd"/>
      <w:r w:rsidRPr="003451B1">
        <w:rPr>
          <w:i/>
          <w:iCs/>
          <w:lang w:val="es-ES_tradnl"/>
        </w:rPr>
        <w:t xml:space="preserve"> </w:t>
      </w:r>
      <w:proofErr w:type="spellStart"/>
      <w:r w:rsidRPr="003451B1">
        <w:rPr>
          <w:i/>
          <w:iCs/>
          <w:lang w:val="es-ES_tradnl"/>
        </w:rPr>
        <w:t>Whānau</w:t>
      </w:r>
      <w:proofErr w:type="spellEnd"/>
      <w:r w:rsidRPr="003451B1">
        <w:rPr>
          <w:i/>
          <w:lang w:val="es-ES_tradnl"/>
        </w:rPr>
        <w:t>”</w:t>
      </w:r>
      <w:r w:rsidRPr="00154216">
        <w:rPr>
          <w:rStyle w:val="Refdenotaalfinal"/>
          <w:lang w:val="es-ES_tradnl"/>
        </w:rPr>
        <w:endnoteReference w:id="143"/>
      </w:r>
      <w:r w:rsidRPr="00154216">
        <w:rPr>
          <w:rStyle w:val="Refdenotaalfinal"/>
          <w:lang w:val="es-ES_tradnl"/>
        </w:rPr>
        <w:t xml:space="preserve"> </w:t>
      </w:r>
      <w:r w:rsidRPr="00154216">
        <w:rPr>
          <w:lang w:val="es-ES_tradnl"/>
        </w:rPr>
        <w:t xml:space="preserve">es un movimiento de cambio positivo en pro de unas </w:t>
      </w:r>
      <w:proofErr w:type="spellStart"/>
      <w:r w:rsidRPr="00154216">
        <w:rPr>
          <w:lang w:val="es-ES_tradnl"/>
        </w:rPr>
        <w:t>whānau</w:t>
      </w:r>
      <w:proofErr w:type="spellEnd"/>
      <w:r w:rsidRPr="00154216">
        <w:rPr>
          <w:lang w:val="es-ES_tradnl"/>
        </w:rPr>
        <w:t xml:space="preserve"> resilientes y libres de la violencia</w:t>
      </w:r>
      <w:r w:rsidR="00686B09">
        <w:rPr>
          <w:lang w:val="es-ES_tradnl"/>
        </w:rPr>
        <w:t>.</w:t>
      </w:r>
    </w:p>
    <w:p w14:paraId="68BF8BD7" w14:textId="77777777" w:rsidR="00154216" w:rsidRPr="00154216" w:rsidRDefault="00154216" w:rsidP="00686B09">
      <w:pPr>
        <w:pStyle w:val="Bullet1G"/>
        <w:rPr>
          <w:lang w:val="es-ES_tradnl"/>
        </w:rPr>
      </w:pPr>
      <w:r w:rsidRPr="00154216">
        <w:rPr>
          <w:lang w:val="es-ES_tradnl"/>
        </w:rPr>
        <w:t xml:space="preserve">El servicio </w:t>
      </w:r>
      <w:r w:rsidRPr="003451B1">
        <w:rPr>
          <w:i/>
          <w:lang w:val="es-ES_tradnl"/>
        </w:rPr>
        <w:t>“</w:t>
      </w:r>
      <w:proofErr w:type="spellStart"/>
      <w:r w:rsidRPr="003451B1">
        <w:rPr>
          <w:i/>
          <w:iCs/>
          <w:lang w:val="es-ES_tradnl"/>
        </w:rPr>
        <w:t>Safe</w:t>
      </w:r>
      <w:proofErr w:type="spellEnd"/>
      <w:r w:rsidRPr="003451B1">
        <w:rPr>
          <w:i/>
          <w:iCs/>
          <w:lang w:val="es-ES_tradnl"/>
        </w:rPr>
        <w:t xml:space="preserve"> </w:t>
      </w:r>
      <w:proofErr w:type="spellStart"/>
      <w:r w:rsidRPr="003451B1">
        <w:rPr>
          <w:i/>
          <w:iCs/>
          <w:lang w:val="es-ES_tradnl"/>
        </w:rPr>
        <w:t>to</w:t>
      </w:r>
      <w:proofErr w:type="spellEnd"/>
      <w:r w:rsidRPr="003451B1">
        <w:rPr>
          <w:i/>
          <w:iCs/>
          <w:lang w:val="es-ES_tradnl"/>
        </w:rPr>
        <w:t xml:space="preserve"> </w:t>
      </w:r>
      <w:proofErr w:type="spellStart"/>
      <w:r w:rsidRPr="003451B1">
        <w:rPr>
          <w:i/>
          <w:iCs/>
          <w:lang w:val="es-ES_tradnl"/>
        </w:rPr>
        <w:t>Talk</w:t>
      </w:r>
      <w:proofErr w:type="spellEnd"/>
      <w:r w:rsidRPr="003451B1">
        <w:rPr>
          <w:i/>
          <w:lang w:val="es-ES_tradnl"/>
        </w:rPr>
        <w:t>”</w:t>
      </w:r>
      <w:r w:rsidRPr="00154216">
        <w:rPr>
          <w:rStyle w:val="Refdenotaalfinal"/>
          <w:lang w:val="es-ES_tradnl"/>
        </w:rPr>
        <w:endnoteReference w:id="144"/>
      </w:r>
      <w:r w:rsidRPr="00154216">
        <w:rPr>
          <w:rStyle w:val="Refdenotaalfinal"/>
          <w:lang w:val="es-ES_tradnl"/>
        </w:rPr>
        <w:t xml:space="preserve"> </w:t>
      </w:r>
      <w:r w:rsidRPr="00154216">
        <w:rPr>
          <w:lang w:val="es-ES_tradnl"/>
        </w:rPr>
        <w:t>(Puedes hablar sin temor) es una línea telefónica confidencial de socorro a las víctimas de agresión sexual.</w:t>
      </w:r>
    </w:p>
    <w:p w14:paraId="1764ADA5" w14:textId="77777777" w:rsidR="00154216" w:rsidRPr="00154216" w:rsidRDefault="00154216" w:rsidP="00686B09">
      <w:pPr>
        <w:pStyle w:val="H23G"/>
        <w:rPr>
          <w:lang w:val="es-ES_tradnl"/>
        </w:rPr>
      </w:pPr>
      <w:r w:rsidRPr="00154216">
        <w:rPr>
          <w:lang w:val="es-ES_tradnl"/>
        </w:rPr>
        <w:tab/>
      </w:r>
      <w:r w:rsidRPr="00154216">
        <w:rPr>
          <w:lang w:val="es-ES_tradnl"/>
        </w:rPr>
        <w:tab/>
        <w:t xml:space="preserve">Respuesta al párrafo 15 b)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0C66540F" w14:textId="77777777" w:rsidR="00154216" w:rsidRPr="00154216" w:rsidRDefault="00154216" w:rsidP="00154216">
      <w:pPr>
        <w:pStyle w:val="SingleTxtG"/>
        <w:rPr>
          <w:lang w:val="es-ES_tradnl"/>
        </w:rPr>
      </w:pPr>
      <w:r w:rsidRPr="00154216">
        <w:rPr>
          <w:lang w:val="es-ES_tradnl"/>
        </w:rPr>
        <w:t>179.</w:t>
      </w:r>
      <w:r w:rsidRPr="00154216">
        <w:rPr>
          <w:lang w:val="es-ES_tradnl"/>
        </w:rPr>
        <w:tab/>
        <w:t xml:space="preserve">En noviembre de 2018, el Parlamento aprobó la Ley de la Violencia Familiar y la Ley de Enmienda de dicha legislación. Estas Leyes modifican el derecho penal y el derecho civil con el objeto de romper los patrones de la violencia doméstica. </w:t>
      </w:r>
    </w:p>
    <w:p w14:paraId="4CB37101" w14:textId="77777777" w:rsidR="00154216" w:rsidRPr="00154216" w:rsidRDefault="00154216" w:rsidP="00154216">
      <w:pPr>
        <w:pStyle w:val="SingleTxtG"/>
        <w:rPr>
          <w:lang w:val="es-ES_tradnl"/>
        </w:rPr>
      </w:pPr>
      <w:r w:rsidRPr="00154216">
        <w:rPr>
          <w:lang w:val="es-ES_tradnl"/>
        </w:rPr>
        <w:t>180.</w:t>
      </w:r>
      <w:r w:rsidRPr="00154216">
        <w:rPr>
          <w:lang w:val="es-ES_tradnl"/>
        </w:rPr>
        <w:tab/>
        <w:t>Ambas leyes se aplican por igual a las personas con y sin discapacidad. Sin embargo, la Ley de la Violencia Familiar de 2018 incorpora disposiciones que reconocen específicamente las posibles vulnerabilidades de las personas con discapacidad ante una situación de violencia familiar</w:t>
      </w:r>
      <w:r w:rsidRPr="00154216">
        <w:rPr>
          <w:rStyle w:val="Refdenotaalfinal"/>
          <w:lang w:val="es-ES_tradnl"/>
        </w:rPr>
        <w:endnoteReference w:id="145"/>
      </w:r>
      <w:r w:rsidR="00686B09">
        <w:rPr>
          <w:lang w:val="es-ES_tradnl"/>
        </w:rPr>
        <w:t>.</w:t>
      </w:r>
      <w:r w:rsidRPr="00154216">
        <w:rPr>
          <w:rStyle w:val="Refdenotaalfinal"/>
          <w:lang w:val="es-ES_tradnl"/>
        </w:rPr>
        <w:t xml:space="preserve"> </w:t>
      </w:r>
      <w:r w:rsidRPr="00154216">
        <w:rPr>
          <w:lang w:val="es-ES_tradnl"/>
        </w:rPr>
        <w:t>Véase la respuesta a la pregunta 6 c).</w:t>
      </w:r>
    </w:p>
    <w:p w14:paraId="1B031DFD" w14:textId="77777777" w:rsidR="00154216" w:rsidRPr="00154216" w:rsidRDefault="00154216" w:rsidP="00154216">
      <w:pPr>
        <w:pStyle w:val="SingleTxtG"/>
        <w:rPr>
          <w:lang w:val="es-ES_tradnl"/>
        </w:rPr>
      </w:pPr>
      <w:r w:rsidRPr="00154216">
        <w:rPr>
          <w:lang w:val="es-ES_tradnl"/>
        </w:rPr>
        <w:t>181.</w:t>
      </w:r>
      <w:r w:rsidRPr="00154216">
        <w:rPr>
          <w:lang w:val="es-ES_tradnl"/>
        </w:rPr>
        <w:tab/>
        <w:t>En 2016, el Gobierno publicó directrices para proteger a las personas con discapacidad que reciben asistencia financiada por los Servicios de Apoyo a la Discapacidad</w:t>
      </w:r>
      <w:r w:rsidRPr="00154216">
        <w:rPr>
          <w:rStyle w:val="Refdenotaalfinal"/>
          <w:lang w:val="es-ES_tradnl"/>
        </w:rPr>
        <w:endnoteReference w:id="146"/>
      </w:r>
      <w:r w:rsidR="00686B09">
        <w:rPr>
          <w:lang w:val="es-ES_tradnl"/>
        </w:rPr>
        <w:t>.</w:t>
      </w:r>
      <w:r w:rsidRPr="00154216">
        <w:rPr>
          <w:rStyle w:val="Refdenotaalfinal"/>
          <w:lang w:val="es-ES_tradnl"/>
        </w:rPr>
        <w:t xml:space="preserve"> </w:t>
      </w:r>
    </w:p>
    <w:p w14:paraId="61A23897" w14:textId="77777777" w:rsidR="00154216" w:rsidRPr="00154216" w:rsidRDefault="00154216" w:rsidP="00686B09">
      <w:pPr>
        <w:pStyle w:val="H23G"/>
        <w:rPr>
          <w:lang w:val="es-ES_tradnl"/>
        </w:rPr>
      </w:pPr>
      <w:r w:rsidRPr="00154216">
        <w:rPr>
          <w:lang w:val="es-ES_tradnl"/>
        </w:rPr>
        <w:tab/>
      </w:r>
      <w:r w:rsidRPr="00154216">
        <w:rPr>
          <w:lang w:val="es-ES_tradnl"/>
        </w:rPr>
        <w:tab/>
        <w:t xml:space="preserve">Respuesta al párrafo 15 c)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2761F636" w14:textId="77777777" w:rsidR="00154216" w:rsidRPr="00154216" w:rsidRDefault="00154216" w:rsidP="00154216">
      <w:pPr>
        <w:pStyle w:val="SingleTxtG"/>
        <w:rPr>
          <w:lang w:val="es-ES_tradnl"/>
        </w:rPr>
      </w:pPr>
      <w:r w:rsidRPr="00154216">
        <w:rPr>
          <w:lang w:val="es-ES_tradnl"/>
        </w:rPr>
        <w:t>182.</w:t>
      </w:r>
      <w:r w:rsidRPr="00154216">
        <w:rPr>
          <w:lang w:val="es-ES_tradnl"/>
        </w:rPr>
        <w:tab/>
        <w:t>Véase en la respuesta a la pregunta 7 d) lo relativo a la Real Comisión de Investigación del Maltrato Histórico bajo la Tutela del Estado y de Instituciones Religiosas.</w:t>
      </w:r>
    </w:p>
    <w:p w14:paraId="742F4B08" w14:textId="77777777" w:rsidR="00154216" w:rsidRPr="00154216" w:rsidRDefault="00154216" w:rsidP="00154216">
      <w:pPr>
        <w:pStyle w:val="SingleTxtG"/>
        <w:rPr>
          <w:lang w:val="es-ES_tradnl"/>
        </w:rPr>
      </w:pPr>
      <w:r w:rsidRPr="00154216">
        <w:rPr>
          <w:lang w:val="es-ES_tradnl"/>
        </w:rPr>
        <w:t>183.</w:t>
      </w:r>
      <w:r w:rsidRPr="00154216">
        <w:rPr>
          <w:lang w:val="es-ES_tradnl"/>
        </w:rPr>
        <w:tab/>
        <w:t xml:space="preserve">El Servicio Confidencial de Escucha y Asistencia (2008 a 2015) financió no menos de 12 sesiones de apoyo psicosocial para 687 personas que habían tenido problemas o sido objeto de presuntos abusos o negligencias estando bajo la tutela del Estado. </w:t>
      </w:r>
    </w:p>
    <w:p w14:paraId="555E74CE" w14:textId="77777777" w:rsidR="00154216" w:rsidRPr="00154216" w:rsidRDefault="00154216" w:rsidP="00154216">
      <w:pPr>
        <w:pStyle w:val="SingleTxtG"/>
        <w:rPr>
          <w:lang w:val="es-ES_tradnl"/>
        </w:rPr>
      </w:pPr>
      <w:r w:rsidRPr="00154216">
        <w:rPr>
          <w:lang w:val="es-ES_tradnl"/>
        </w:rPr>
        <w:t>184.</w:t>
      </w:r>
      <w:r w:rsidRPr="00154216">
        <w:rPr>
          <w:lang w:val="es-ES_tradnl"/>
        </w:rPr>
        <w:tab/>
        <w:t>La ACC financia el apoyo a las personas que han sufrido daño psicológico</w:t>
      </w:r>
      <w:r w:rsidRPr="00154216">
        <w:rPr>
          <w:rStyle w:val="Refdenotaalfinal"/>
          <w:lang w:val="es-ES_tradnl"/>
        </w:rPr>
        <w:endnoteReference w:id="147"/>
      </w:r>
      <w:r w:rsidRPr="00154216">
        <w:rPr>
          <w:rStyle w:val="Refdenotaalfinal"/>
          <w:lang w:val="es-ES_tradnl"/>
        </w:rPr>
        <w:t xml:space="preserve"> </w:t>
      </w:r>
      <w:r w:rsidRPr="00154216">
        <w:rPr>
          <w:lang w:val="es-ES_tradnl"/>
        </w:rPr>
        <w:t xml:space="preserve">o presentan lesiones físicas indemnizables que son resultado del maltrato físico y la violencia o han experimentado problemas de orden cognitivo, emocional o conductual. Estos servicios comprenden sesiones de apoyo psicológico, asistencia social que se extiende a las familias y </w:t>
      </w:r>
      <w:proofErr w:type="spellStart"/>
      <w:r w:rsidRPr="00154216">
        <w:rPr>
          <w:lang w:val="es-ES_tradnl"/>
        </w:rPr>
        <w:t>whānau</w:t>
      </w:r>
      <w:proofErr w:type="spellEnd"/>
      <w:r w:rsidRPr="00154216">
        <w:rPr>
          <w:lang w:val="es-ES_tradnl"/>
        </w:rPr>
        <w:t xml:space="preserve">, orientación cultural, terapia de grupo y derivación a otros servicios públicos de salud mental. </w:t>
      </w:r>
    </w:p>
    <w:p w14:paraId="23B3E944" w14:textId="77777777" w:rsidR="00154216" w:rsidRPr="00154216" w:rsidRDefault="00154216" w:rsidP="00154216">
      <w:pPr>
        <w:pStyle w:val="SingleTxtG"/>
        <w:rPr>
          <w:lang w:val="es-ES_tradnl"/>
        </w:rPr>
      </w:pPr>
      <w:r w:rsidRPr="00154216">
        <w:rPr>
          <w:lang w:val="es-ES_tradnl"/>
        </w:rPr>
        <w:t>185.</w:t>
      </w:r>
      <w:r w:rsidRPr="00154216">
        <w:rPr>
          <w:lang w:val="es-ES_tradnl"/>
        </w:rPr>
        <w:tab/>
        <w:t xml:space="preserve">La ACC brinda un apoyo inmediato a los </w:t>
      </w:r>
      <w:r>
        <w:rPr>
          <w:lang w:val="es-ES_tradnl"/>
        </w:rPr>
        <w:t>“</w:t>
      </w:r>
      <w:r w:rsidRPr="00154216">
        <w:rPr>
          <w:lang w:val="es-ES_tradnl"/>
        </w:rPr>
        <w:t>clientes con reclamaciones sensibles</w:t>
      </w:r>
      <w:r>
        <w:rPr>
          <w:lang w:val="es-ES_tradnl"/>
        </w:rPr>
        <w:t>”</w:t>
      </w:r>
      <w:r w:rsidRPr="00154216">
        <w:rPr>
          <w:lang w:val="es-ES_tradnl"/>
        </w:rPr>
        <w:t xml:space="preserve"> para que no tengan que esperar a que estas sean aceptadas. Este puede consistir en asistencia psicológica o social y apoyo a las familias y </w:t>
      </w:r>
      <w:proofErr w:type="spellStart"/>
      <w:r w:rsidRPr="00154216">
        <w:rPr>
          <w:lang w:val="es-ES_tradnl"/>
        </w:rPr>
        <w:t>whānau</w:t>
      </w:r>
      <w:proofErr w:type="spellEnd"/>
      <w:r w:rsidRPr="00154216">
        <w:rPr>
          <w:lang w:val="es-ES_tradnl"/>
        </w:rPr>
        <w:t>.</w:t>
      </w:r>
    </w:p>
    <w:p w14:paraId="480894CB" w14:textId="77777777" w:rsidR="00154216" w:rsidRPr="00154216" w:rsidRDefault="00154216" w:rsidP="00154216">
      <w:pPr>
        <w:pStyle w:val="SingleTxtG"/>
        <w:rPr>
          <w:lang w:val="es-ES_tradnl"/>
        </w:rPr>
      </w:pPr>
      <w:r w:rsidRPr="00154216">
        <w:rPr>
          <w:lang w:val="es-ES_tradnl"/>
        </w:rPr>
        <w:lastRenderedPageBreak/>
        <w:t>186.</w:t>
      </w:r>
      <w:r w:rsidRPr="00154216">
        <w:rPr>
          <w:lang w:val="es-ES_tradnl"/>
        </w:rPr>
        <w:tab/>
        <w:t>Si un cliente no reúne los requisitos para la indemnización del daño psicológico, la ACC aún puede prestarle apoyo, incluso asistencia psicológica, si tiene problemas de salud mental que obstaculizan su rehabilitación.</w:t>
      </w:r>
    </w:p>
    <w:p w14:paraId="0C410757" w14:textId="77777777" w:rsidR="00154216" w:rsidRPr="00154216" w:rsidRDefault="00154216" w:rsidP="00154216">
      <w:pPr>
        <w:pStyle w:val="SingleTxtG"/>
        <w:rPr>
          <w:lang w:val="es-ES_tradnl"/>
        </w:rPr>
      </w:pPr>
      <w:r w:rsidRPr="00154216">
        <w:rPr>
          <w:lang w:val="es-ES_tradnl"/>
        </w:rPr>
        <w:t>187.</w:t>
      </w:r>
      <w:r w:rsidRPr="00154216">
        <w:rPr>
          <w:lang w:val="es-ES_tradnl"/>
        </w:rPr>
        <w:tab/>
        <w:t>El Gobierno presta asistencia a las personas con discapacidad acogidas a prestaciones sociales o de bajos ingresos para sufragar los gastos de apoyo psicosocial mediante la asignación por discapacidad</w:t>
      </w:r>
      <w:r w:rsidRPr="00154216">
        <w:rPr>
          <w:rStyle w:val="Refdenotaalfinal"/>
          <w:lang w:val="es-ES_tradnl"/>
        </w:rPr>
        <w:endnoteReference w:id="148"/>
      </w:r>
      <w:r w:rsidR="00114E26">
        <w:rPr>
          <w:lang w:val="es-ES_tradnl"/>
        </w:rPr>
        <w:t>.</w:t>
      </w:r>
      <w:r w:rsidRPr="00154216">
        <w:rPr>
          <w:rStyle w:val="Refdenotaalfinal"/>
          <w:lang w:val="es-ES_tradnl"/>
        </w:rPr>
        <w:t xml:space="preserve"> </w:t>
      </w:r>
    </w:p>
    <w:p w14:paraId="35C3550B" w14:textId="77777777" w:rsidR="00154216" w:rsidRPr="00154216" w:rsidRDefault="00154216" w:rsidP="0066164E">
      <w:pPr>
        <w:pStyle w:val="H23G"/>
        <w:rPr>
          <w:lang w:val="es-ES_tradnl"/>
        </w:rPr>
      </w:pPr>
      <w:r w:rsidRPr="00154216">
        <w:rPr>
          <w:lang w:val="es-ES_tradnl"/>
        </w:rPr>
        <w:tab/>
      </w:r>
      <w:r w:rsidRPr="00154216">
        <w:rPr>
          <w:lang w:val="es-ES_tradnl"/>
        </w:rPr>
        <w:tab/>
        <w:t xml:space="preserve">Respuesta al párrafo 16 a)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21A268EE" w14:textId="77777777" w:rsidR="00154216" w:rsidRPr="00154216" w:rsidRDefault="00154216" w:rsidP="00154216">
      <w:pPr>
        <w:pStyle w:val="SingleTxtG"/>
        <w:rPr>
          <w:lang w:val="es-ES_tradnl"/>
        </w:rPr>
      </w:pPr>
      <w:r w:rsidRPr="00154216">
        <w:rPr>
          <w:lang w:val="es-ES_tradnl"/>
        </w:rPr>
        <w:t>188.</w:t>
      </w:r>
      <w:r w:rsidRPr="00154216">
        <w:rPr>
          <w:lang w:val="es-ES_tradnl"/>
        </w:rPr>
        <w:tab/>
        <w:t>No se ha procurado legislar para prevenir las intervenciones quirúrgicas de conversión de las personas intersexuales. La mutilación genital femenina es un delito, a menos que la practique un médico en beneficio de la salud física o mental de la persona. Al determinar las prestaciones no deben tenerse en cuenta las costumbres o prácticas culturales, religiosas o de otra índole. El consentimiento de la persona no es un eximente de responsabilidad por este delito.</w:t>
      </w:r>
    </w:p>
    <w:p w14:paraId="6EA03572" w14:textId="77777777" w:rsidR="00154216" w:rsidRPr="00154216" w:rsidRDefault="00154216" w:rsidP="00154216">
      <w:pPr>
        <w:pStyle w:val="SingleTxtG"/>
        <w:rPr>
          <w:rStyle w:val="Refdenotaalfinal"/>
          <w:lang w:val="es-ES_tradnl"/>
        </w:rPr>
      </w:pPr>
      <w:r w:rsidRPr="00154216">
        <w:rPr>
          <w:lang w:val="es-ES_tradnl"/>
        </w:rPr>
        <w:t>189.</w:t>
      </w:r>
      <w:r w:rsidRPr="00154216">
        <w:rPr>
          <w:lang w:val="es-ES_tradnl"/>
        </w:rPr>
        <w:tab/>
        <w:t xml:space="preserve">El Gobierno está colaborando con la Coalición </w:t>
      </w:r>
      <w:proofErr w:type="spellStart"/>
      <w:r w:rsidRPr="00154216">
        <w:rPr>
          <w:lang w:val="es-ES_tradnl"/>
        </w:rPr>
        <w:t>DPO</w:t>
      </w:r>
      <w:proofErr w:type="spellEnd"/>
      <w:r w:rsidRPr="00154216">
        <w:rPr>
          <w:lang w:val="es-ES_tradnl"/>
        </w:rPr>
        <w:t xml:space="preserve"> y los grupos del sector de la discapacidad con el fin de mejorar las salvaguardias contra la esterilización no terapéutica de las personas con discapacidad, en particular en el examen de posibles disposiciones legislativas de protección</w:t>
      </w:r>
      <w:r w:rsidRPr="00154216">
        <w:rPr>
          <w:rStyle w:val="Refdenotaalfinal"/>
          <w:lang w:val="es-ES_tradnl"/>
        </w:rPr>
        <w:endnoteReference w:id="149"/>
      </w:r>
      <w:r w:rsidR="00114E26">
        <w:rPr>
          <w:lang w:val="es-ES_tradnl"/>
        </w:rPr>
        <w:t>.</w:t>
      </w:r>
    </w:p>
    <w:p w14:paraId="132F3F18" w14:textId="77777777" w:rsidR="00154216" w:rsidRPr="00154216" w:rsidRDefault="00154216" w:rsidP="00154216">
      <w:pPr>
        <w:pStyle w:val="SingleTxtG"/>
        <w:rPr>
          <w:lang w:val="es-ES_tradnl"/>
        </w:rPr>
      </w:pPr>
      <w:r w:rsidRPr="00154216">
        <w:rPr>
          <w:lang w:val="es-ES_tradnl"/>
        </w:rPr>
        <w:t>190.</w:t>
      </w:r>
      <w:r w:rsidRPr="00154216">
        <w:rPr>
          <w:lang w:val="es-ES_tradnl"/>
        </w:rPr>
        <w:tab/>
        <w:t xml:space="preserve">En julio de 2018 celebró su primera reunión un grupo de consulta para la elaboración de un proyecto en esta materia. En marzo de 2019 se presentará a los ministros un primer informe. Se prevé que este señalará la necesidad de seguir explorando y definiendo las cuestiones más amplias que guardan relación con el tema de los tratamientos no consensuados (véase la pregunta 16 b)). </w:t>
      </w:r>
    </w:p>
    <w:p w14:paraId="169425C2" w14:textId="77777777" w:rsidR="00154216" w:rsidRDefault="00154216" w:rsidP="00154216">
      <w:pPr>
        <w:pStyle w:val="SingleTxtG"/>
        <w:rPr>
          <w:lang w:val="es-ES_tradnl"/>
        </w:rPr>
      </w:pPr>
      <w:r w:rsidRPr="00154216">
        <w:rPr>
          <w:lang w:val="es-ES_tradnl"/>
        </w:rPr>
        <w:t>191.</w:t>
      </w:r>
      <w:r w:rsidRPr="00154216">
        <w:rPr>
          <w:lang w:val="es-ES_tradnl"/>
        </w:rPr>
        <w:tab/>
        <w:t>Con arreglo a la legislación actual</w:t>
      </w:r>
      <w:r w:rsidRPr="00154216">
        <w:rPr>
          <w:rStyle w:val="Refdenotaalfinal"/>
          <w:lang w:val="es-ES_tradnl"/>
        </w:rPr>
        <w:endnoteReference w:id="150"/>
      </w:r>
      <w:r w:rsidR="0066164E">
        <w:rPr>
          <w:lang w:val="es-ES_tradnl"/>
        </w:rPr>
        <w:t>,</w:t>
      </w:r>
      <w:r w:rsidRPr="00154216">
        <w:rPr>
          <w:rStyle w:val="Refdenotaalfinal"/>
          <w:lang w:val="es-ES_tradnl"/>
        </w:rPr>
        <w:t xml:space="preserve"> </w:t>
      </w:r>
      <w:r w:rsidRPr="00154216">
        <w:rPr>
          <w:lang w:val="es-ES_tradnl"/>
        </w:rPr>
        <w:t>la esterilización no consensuada de las personas con discapacidad es legal en Nueva Zelandia siempre que:</w:t>
      </w:r>
    </w:p>
    <w:p w14:paraId="4C793321" w14:textId="77777777" w:rsidR="0057067F" w:rsidRPr="00154216" w:rsidRDefault="0057067F" w:rsidP="0057067F">
      <w:pPr>
        <w:pStyle w:val="Bullet1G"/>
        <w:rPr>
          <w:lang w:val="es-ES_tradnl"/>
        </w:rPr>
      </w:pPr>
      <w:r>
        <w:rPr>
          <w:lang w:val="es-ES_tradnl"/>
        </w:rPr>
        <w:t>Sea necesaria desde el punto de vista médico.</w:t>
      </w:r>
    </w:p>
    <w:p w14:paraId="60AB66E8" w14:textId="77777777" w:rsidR="00154216" w:rsidRPr="00114E26" w:rsidRDefault="00154216" w:rsidP="00114E26">
      <w:pPr>
        <w:pStyle w:val="Bullet1G"/>
      </w:pPr>
      <w:r w:rsidRPr="00114E26">
        <w:t>La persona sea incapaz de dar su consentimiento informado a ese procedimiento</w:t>
      </w:r>
      <w:r w:rsidR="00D6447D">
        <w:t>.</w:t>
      </w:r>
    </w:p>
    <w:p w14:paraId="2A97BE08" w14:textId="77777777" w:rsidR="00154216" w:rsidRPr="00114E26" w:rsidRDefault="00154216" w:rsidP="00114E26">
      <w:pPr>
        <w:pStyle w:val="Bullet1G"/>
      </w:pPr>
      <w:r w:rsidRPr="00114E26">
        <w:t xml:space="preserve">Las necesidades médicas y el bienestar de la persona no puedan atenderse debidamente por otros medios. </w:t>
      </w:r>
    </w:p>
    <w:p w14:paraId="1A61F407" w14:textId="77777777" w:rsidR="00154216" w:rsidRPr="00154216" w:rsidRDefault="00154216" w:rsidP="00154216">
      <w:pPr>
        <w:pStyle w:val="SingleTxtG"/>
        <w:rPr>
          <w:lang w:val="es-ES_tradnl"/>
        </w:rPr>
      </w:pPr>
      <w:r w:rsidRPr="00154216">
        <w:rPr>
          <w:lang w:val="es-ES_tradnl"/>
        </w:rPr>
        <w:t>192.</w:t>
      </w:r>
      <w:r w:rsidRPr="00154216">
        <w:rPr>
          <w:lang w:val="es-ES_tradnl"/>
        </w:rPr>
        <w:tab/>
        <w:t xml:space="preserve">La esterilización puede ser consecuencia inevitable de algunos procedimientos médicos esenciales. El Gobierno considera que es injusto denegar una atención médica efectiva a las personas con discapacidad cuando es necesaria desde el punto de vista médico. </w:t>
      </w:r>
    </w:p>
    <w:p w14:paraId="3ADB7015" w14:textId="77777777" w:rsidR="00154216" w:rsidRPr="00154216" w:rsidRDefault="00154216" w:rsidP="00154216">
      <w:pPr>
        <w:pStyle w:val="SingleTxtG"/>
        <w:rPr>
          <w:lang w:val="es-ES_tradnl"/>
        </w:rPr>
      </w:pPr>
      <w:r w:rsidRPr="00154216">
        <w:rPr>
          <w:lang w:val="es-ES_tradnl"/>
        </w:rPr>
        <w:t>193.</w:t>
      </w:r>
      <w:r w:rsidRPr="00154216">
        <w:rPr>
          <w:lang w:val="es-ES_tradnl"/>
        </w:rPr>
        <w:tab/>
        <w:t xml:space="preserve">Los tribunales neozelandeses han dictaminado que puede procederse a la esterilización no consensuada en las siguientes condiciones: </w:t>
      </w:r>
    </w:p>
    <w:p w14:paraId="0F67B0AC" w14:textId="77777777" w:rsidR="00154216" w:rsidRPr="00154216" w:rsidRDefault="00154216" w:rsidP="0066164E">
      <w:pPr>
        <w:pStyle w:val="Bullet1G"/>
        <w:rPr>
          <w:lang w:val="es-ES_tradnl"/>
        </w:rPr>
      </w:pPr>
      <w:r w:rsidRPr="00154216">
        <w:rPr>
          <w:lang w:val="es-ES_tradnl"/>
        </w:rPr>
        <w:t>Con el consentimiento del tribunal</w:t>
      </w:r>
      <w:r w:rsidR="0066164E">
        <w:rPr>
          <w:lang w:val="es-ES_tradnl"/>
        </w:rPr>
        <w:t>.</w:t>
      </w:r>
    </w:p>
    <w:p w14:paraId="17F15E33" w14:textId="77777777" w:rsidR="00154216" w:rsidRPr="00154216" w:rsidRDefault="00154216" w:rsidP="0066164E">
      <w:pPr>
        <w:pStyle w:val="Bullet1G"/>
        <w:rPr>
          <w:lang w:val="es-ES_tradnl"/>
        </w:rPr>
      </w:pPr>
      <w:r w:rsidRPr="00154216">
        <w:rPr>
          <w:lang w:val="es-ES_tradnl"/>
        </w:rPr>
        <w:t>Sin consentimiento en una emergencia médica</w:t>
      </w:r>
      <w:r w:rsidR="00D6447D">
        <w:rPr>
          <w:lang w:val="es-ES_tradnl"/>
        </w:rPr>
        <w:t>.</w:t>
      </w:r>
    </w:p>
    <w:p w14:paraId="21B78858" w14:textId="77777777" w:rsidR="00154216" w:rsidRPr="00154216" w:rsidRDefault="00154216" w:rsidP="0066164E">
      <w:pPr>
        <w:pStyle w:val="Bullet1G"/>
        <w:rPr>
          <w:lang w:val="es-ES_tradnl"/>
        </w:rPr>
      </w:pPr>
      <w:r w:rsidRPr="00154216">
        <w:rPr>
          <w:lang w:val="es-ES_tradnl"/>
        </w:rPr>
        <w:t>Con el consentimiento del tutor social de la persona para salvarle la vida o evitar un grave daño a su salud</w:t>
      </w:r>
      <w:r w:rsidRPr="00154216">
        <w:rPr>
          <w:rStyle w:val="Refdenotaalfinal"/>
          <w:lang w:val="es-ES_tradnl"/>
        </w:rPr>
        <w:endnoteReference w:id="151"/>
      </w:r>
      <w:r w:rsidR="0066164E">
        <w:rPr>
          <w:lang w:val="es-ES_tradnl"/>
        </w:rPr>
        <w:t>.</w:t>
      </w:r>
      <w:r w:rsidRPr="00154216">
        <w:rPr>
          <w:rStyle w:val="Refdenotaalfinal"/>
          <w:lang w:val="es-ES_tradnl"/>
        </w:rPr>
        <w:t xml:space="preserve"> </w:t>
      </w:r>
    </w:p>
    <w:p w14:paraId="18F66C31" w14:textId="77777777" w:rsidR="00154216" w:rsidRPr="00154216" w:rsidRDefault="00154216" w:rsidP="00154216">
      <w:pPr>
        <w:pStyle w:val="SingleTxtG"/>
        <w:rPr>
          <w:lang w:val="es-ES_tradnl"/>
        </w:rPr>
      </w:pPr>
      <w:r w:rsidRPr="00154216">
        <w:rPr>
          <w:lang w:val="es-ES_tradnl"/>
        </w:rPr>
        <w:t>194.</w:t>
      </w:r>
      <w:r w:rsidRPr="00154216">
        <w:rPr>
          <w:lang w:val="es-ES_tradnl"/>
        </w:rPr>
        <w:tab/>
        <w:t xml:space="preserve">Si una persona tiene capacidad para dar o denegar su consentimiento, luego tiene derecho a: </w:t>
      </w:r>
    </w:p>
    <w:p w14:paraId="40A14D92" w14:textId="77777777" w:rsidR="00154216" w:rsidRPr="00154216" w:rsidRDefault="00154216" w:rsidP="00602D6A">
      <w:pPr>
        <w:pStyle w:val="Bullet1G"/>
        <w:rPr>
          <w:lang w:val="es-ES_tradnl"/>
        </w:rPr>
      </w:pPr>
      <w:r w:rsidRPr="00154216">
        <w:rPr>
          <w:lang w:val="es-ES_tradnl"/>
        </w:rPr>
        <w:t>Negarse a recibir tratamiento médico</w:t>
      </w:r>
      <w:r w:rsidRPr="00154216">
        <w:rPr>
          <w:rStyle w:val="Refdenotaalfinal"/>
          <w:lang w:val="es-ES_tradnl"/>
        </w:rPr>
        <w:endnoteReference w:id="152"/>
      </w:r>
      <w:r w:rsidR="00602D6A">
        <w:rPr>
          <w:lang w:val="es-ES_tradnl"/>
        </w:rPr>
        <w:t>.</w:t>
      </w:r>
      <w:r w:rsidRPr="00154216">
        <w:rPr>
          <w:rStyle w:val="Refdenotaalfinal"/>
          <w:lang w:val="es-ES_tradnl"/>
        </w:rPr>
        <w:t xml:space="preserve"> </w:t>
      </w:r>
    </w:p>
    <w:p w14:paraId="0729B59B" w14:textId="77777777" w:rsidR="00154216" w:rsidRPr="00154216" w:rsidRDefault="00154216" w:rsidP="00602D6A">
      <w:pPr>
        <w:pStyle w:val="Bullet1G"/>
        <w:rPr>
          <w:lang w:val="es-ES_tradnl"/>
        </w:rPr>
      </w:pPr>
      <w:r w:rsidRPr="00154216">
        <w:rPr>
          <w:lang w:val="es-ES_tradnl"/>
        </w:rPr>
        <w:t>Ser informada de sus derechos antes del tratamiento</w:t>
      </w:r>
      <w:r w:rsidRPr="00154216">
        <w:rPr>
          <w:rStyle w:val="Refdenotaalfinal"/>
          <w:lang w:val="es-ES_tradnl"/>
        </w:rPr>
        <w:endnoteReference w:id="153"/>
      </w:r>
      <w:r w:rsidR="00602D6A">
        <w:rPr>
          <w:lang w:val="es-ES_tradnl"/>
        </w:rPr>
        <w:t>.</w:t>
      </w:r>
      <w:r w:rsidRPr="00154216">
        <w:rPr>
          <w:rStyle w:val="Refdenotaalfinal"/>
          <w:lang w:val="es-ES_tradnl"/>
        </w:rPr>
        <w:t xml:space="preserve"> </w:t>
      </w:r>
    </w:p>
    <w:p w14:paraId="6628AD6F" w14:textId="77777777" w:rsidR="00154216" w:rsidRPr="00154216" w:rsidRDefault="00154216" w:rsidP="00602D6A">
      <w:pPr>
        <w:pStyle w:val="H23G"/>
        <w:rPr>
          <w:lang w:val="es-ES_tradnl"/>
        </w:rPr>
      </w:pPr>
      <w:r w:rsidRPr="00154216">
        <w:rPr>
          <w:lang w:val="es-ES_tradnl"/>
        </w:rPr>
        <w:tab/>
      </w:r>
      <w:r w:rsidRPr="00154216">
        <w:rPr>
          <w:lang w:val="es-ES_tradnl"/>
        </w:rPr>
        <w:tab/>
        <w:t xml:space="preserve">Respuesta al párrafo 16 b)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41926905" w14:textId="77777777" w:rsidR="00154216" w:rsidRPr="00154216" w:rsidRDefault="00154216" w:rsidP="00154216">
      <w:pPr>
        <w:pStyle w:val="SingleTxtG"/>
        <w:rPr>
          <w:lang w:val="es-ES_tradnl"/>
        </w:rPr>
      </w:pPr>
      <w:r w:rsidRPr="00154216">
        <w:rPr>
          <w:lang w:val="es-ES_tradnl"/>
        </w:rPr>
        <w:t>195.</w:t>
      </w:r>
      <w:r w:rsidRPr="00154216">
        <w:rPr>
          <w:lang w:val="es-ES_tradnl"/>
        </w:rPr>
        <w:tab/>
        <w:t>El tratamiento de Ashley</w:t>
      </w:r>
      <w:r w:rsidRPr="00154216">
        <w:rPr>
          <w:rStyle w:val="Refdenotaalfinal"/>
          <w:lang w:val="es-ES_tradnl"/>
        </w:rPr>
        <w:endnoteReference w:id="154"/>
      </w:r>
      <w:r w:rsidRPr="00154216">
        <w:rPr>
          <w:rStyle w:val="Refdenotaalfinal"/>
          <w:lang w:val="es-ES_tradnl"/>
        </w:rPr>
        <w:t xml:space="preserve"> </w:t>
      </w:r>
      <w:r w:rsidRPr="00154216">
        <w:rPr>
          <w:lang w:val="es-ES_tradnl"/>
        </w:rPr>
        <w:t xml:space="preserve">puede incluir varios procedimientos, como el tratamiento para atenuar el crecimiento, la esterilización y la eliminación de brotes mamarios. </w:t>
      </w:r>
    </w:p>
    <w:p w14:paraId="28D3BBA9" w14:textId="77777777" w:rsidR="00154216" w:rsidRPr="00154216" w:rsidRDefault="00154216" w:rsidP="00154216">
      <w:pPr>
        <w:pStyle w:val="SingleTxtG"/>
        <w:rPr>
          <w:lang w:val="es-ES_tradnl"/>
        </w:rPr>
      </w:pPr>
      <w:r w:rsidRPr="00154216">
        <w:rPr>
          <w:lang w:val="es-ES_tradnl"/>
        </w:rPr>
        <w:t>196.</w:t>
      </w:r>
      <w:r w:rsidRPr="00154216">
        <w:rPr>
          <w:lang w:val="es-ES_tradnl"/>
        </w:rPr>
        <w:tab/>
        <w:t>La medida 7 b) del Plan de Acción sobre la Discapacidad para 2014</w:t>
      </w:r>
      <w:r w:rsidR="00602D6A">
        <w:rPr>
          <w:lang w:val="es-ES_tradnl"/>
        </w:rPr>
        <w:t>-</w:t>
      </w:r>
      <w:r w:rsidRPr="00154216">
        <w:rPr>
          <w:lang w:val="es-ES_tradnl"/>
        </w:rPr>
        <w:t>2018 puede entrañar una labor con respecto al tratamiento de Ashley. Esta labor aún no ha comenzado (véase la pregunta 16 a)).</w:t>
      </w:r>
    </w:p>
    <w:p w14:paraId="5DD309E0" w14:textId="77777777" w:rsidR="00154216" w:rsidRPr="00154216" w:rsidRDefault="00154216" w:rsidP="00154216">
      <w:pPr>
        <w:pStyle w:val="SingleTxtG"/>
        <w:rPr>
          <w:rStyle w:val="Refdenotaalfinal"/>
          <w:lang w:val="es-ES_tradnl"/>
        </w:rPr>
      </w:pPr>
      <w:r w:rsidRPr="00154216">
        <w:rPr>
          <w:lang w:val="es-ES_tradnl"/>
        </w:rPr>
        <w:lastRenderedPageBreak/>
        <w:t>197.</w:t>
      </w:r>
      <w:r w:rsidRPr="00154216">
        <w:rPr>
          <w:lang w:val="es-ES_tradnl"/>
        </w:rPr>
        <w:tab/>
        <w:t>No está claro si es ilegal en Nueva Zelandia el tratamiento de atenuación del crecimiento para impedir que el niño llegue a tener la estatura de un adulto. La cuestión no se ha sometido a prueba en los tribunales de familia neozelandeses. Se ignora si los comités de ética hospitalaria han aprobado algún tratamiento para atenuar el crecimiento de niños con discapacidad en Nueva Zelandia. Hay un informe periodístico sobre la administración de un tratamiento de este tipo a un niño con discapacidad con la aprobación de dos especialistas en ética independientes desde 2012 en Nueva Zelandia</w:t>
      </w:r>
      <w:r w:rsidRPr="00154216">
        <w:rPr>
          <w:rStyle w:val="Refdenotaalfinal"/>
          <w:lang w:val="es-ES_tradnl"/>
        </w:rPr>
        <w:endnoteReference w:id="155"/>
      </w:r>
      <w:r w:rsidR="00046E43">
        <w:rPr>
          <w:lang w:val="es-ES_tradnl"/>
        </w:rPr>
        <w:t>.</w:t>
      </w:r>
    </w:p>
    <w:p w14:paraId="042EBB28" w14:textId="77777777" w:rsidR="00154216" w:rsidRPr="00154216" w:rsidRDefault="00154216" w:rsidP="00154216">
      <w:pPr>
        <w:pStyle w:val="SingleTxtG"/>
        <w:rPr>
          <w:lang w:val="es-ES_tradnl"/>
        </w:rPr>
      </w:pPr>
      <w:r w:rsidRPr="00154216">
        <w:rPr>
          <w:lang w:val="es-ES_tradnl"/>
        </w:rPr>
        <w:t>198.</w:t>
      </w:r>
      <w:r w:rsidRPr="00154216">
        <w:rPr>
          <w:lang w:val="es-ES_tradnl"/>
        </w:rPr>
        <w:tab/>
        <w:t xml:space="preserve">Anteriormente se utilizó este tratamiento sin grandes dilemas éticos para evitar el crecimiento excesivo de niños. No se dispone de datos de aplicación del tratamiento, pero se tiene entendido que rara vez se administra hoy en día. </w:t>
      </w:r>
    </w:p>
    <w:p w14:paraId="0FCEACC6" w14:textId="77777777" w:rsidR="00154216" w:rsidRPr="00154216" w:rsidRDefault="00154216" w:rsidP="00154216">
      <w:pPr>
        <w:pStyle w:val="SingleTxtG"/>
        <w:rPr>
          <w:lang w:val="es-ES_tradnl"/>
        </w:rPr>
      </w:pPr>
      <w:r w:rsidRPr="00154216">
        <w:rPr>
          <w:lang w:val="es-ES_tradnl"/>
        </w:rPr>
        <w:t>199.</w:t>
      </w:r>
      <w:r w:rsidRPr="00154216">
        <w:rPr>
          <w:lang w:val="es-ES_tradnl"/>
        </w:rPr>
        <w:tab/>
        <w:t xml:space="preserve">El último caso conocido de esterilización de un niño con discapacidad en Nueva Zelandia ocurrió en 2012, con el consentimiento de un tribunal. El niño había sido sometido en el extranjero a un tratamiento para atenuar su crecimiento. </w:t>
      </w:r>
    </w:p>
    <w:p w14:paraId="06C6E719" w14:textId="77777777" w:rsidR="00154216" w:rsidRPr="00154216" w:rsidRDefault="00154216" w:rsidP="00154216">
      <w:pPr>
        <w:pStyle w:val="SingleTxtG"/>
        <w:rPr>
          <w:lang w:val="es-ES_tradnl"/>
        </w:rPr>
      </w:pPr>
      <w:r w:rsidRPr="00154216">
        <w:rPr>
          <w:lang w:val="es-ES_tradnl"/>
        </w:rPr>
        <w:t>200.</w:t>
      </w:r>
      <w:r w:rsidRPr="00154216">
        <w:rPr>
          <w:lang w:val="es-ES_tradnl"/>
        </w:rPr>
        <w:tab/>
        <w:t>Los niños con discapacidad no son privados de acceso a los servicios de salud y apoyo a la discapacidad si han recibido tratamiento para atenuar su crecimiento en el extranjero.</w:t>
      </w:r>
    </w:p>
    <w:p w14:paraId="179C6248" w14:textId="77777777" w:rsidR="00154216" w:rsidRPr="00154216" w:rsidRDefault="00154216" w:rsidP="00602D6A">
      <w:pPr>
        <w:pStyle w:val="H23G"/>
        <w:rPr>
          <w:lang w:val="es-ES_tradnl"/>
        </w:rPr>
      </w:pPr>
      <w:r w:rsidRPr="00154216">
        <w:rPr>
          <w:lang w:val="es-ES_tradnl"/>
        </w:rPr>
        <w:tab/>
      </w:r>
      <w:r w:rsidRPr="00154216">
        <w:rPr>
          <w:lang w:val="es-ES_tradnl"/>
        </w:rPr>
        <w:tab/>
        <w:t xml:space="preserve">Respuesta al párrafo 17 a)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65732079" w14:textId="77777777" w:rsidR="00154216" w:rsidRPr="00154216" w:rsidRDefault="00154216" w:rsidP="00154216">
      <w:pPr>
        <w:pStyle w:val="SingleTxtG"/>
        <w:rPr>
          <w:lang w:val="es-ES_tradnl"/>
        </w:rPr>
      </w:pPr>
      <w:r w:rsidRPr="00154216">
        <w:rPr>
          <w:lang w:val="es-ES_tradnl"/>
        </w:rPr>
        <w:t>201.</w:t>
      </w:r>
      <w:r w:rsidRPr="00154216">
        <w:rPr>
          <w:lang w:val="es-ES_tradnl"/>
        </w:rPr>
        <w:tab/>
        <w:t xml:space="preserve">La Oficina de Inmigración de Nueva Zelandia no registra que la denegación de las solicitudes de residencia y ulteriores apelaciones se deba o no a razones de salud o discapacidad. </w:t>
      </w:r>
    </w:p>
    <w:p w14:paraId="0CB1A444" w14:textId="77777777" w:rsidR="00154216" w:rsidRPr="00154216" w:rsidRDefault="00154216" w:rsidP="00154216">
      <w:pPr>
        <w:pStyle w:val="SingleTxtG"/>
        <w:rPr>
          <w:lang w:val="es-ES_tradnl"/>
        </w:rPr>
      </w:pPr>
      <w:r w:rsidRPr="00154216">
        <w:rPr>
          <w:lang w:val="es-ES_tradnl"/>
        </w:rPr>
        <w:t>202.</w:t>
      </w:r>
      <w:r w:rsidRPr="00154216">
        <w:rPr>
          <w:lang w:val="es-ES_tradnl"/>
        </w:rPr>
        <w:tab/>
        <w:t xml:space="preserve">Al evaluar una solicitud de visado, la Oficina de Inmigración debe determinar si el interesado goza de un estado de salud aceptable. </w:t>
      </w:r>
    </w:p>
    <w:p w14:paraId="15F7842C" w14:textId="77777777" w:rsidR="00154216" w:rsidRPr="00154216" w:rsidRDefault="00154216" w:rsidP="00154216">
      <w:pPr>
        <w:pStyle w:val="SingleTxtG"/>
        <w:rPr>
          <w:lang w:val="es-ES_tradnl"/>
        </w:rPr>
      </w:pPr>
      <w:r w:rsidRPr="00154216">
        <w:rPr>
          <w:lang w:val="es-ES_tradnl"/>
        </w:rPr>
        <w:t>203.</w:t>
      </w:r>
      <w:r w:rsidRPr="00154216">
        <w:rPr>
          <w:lang w:val="es-ES_tradnl"/>
        </w:rPr>
        <w:tab/>
        <w:t>En esta evaluación se considera si la persona:</w:t>
      </w:r>
    </w:p>
    <w:p w14:paraId="539639B1" w14:textId="77777777" w:rsidR="00154216" w:rsidRPr="00154216" w:rsidRDefault="00154216" w:rsidP="0079341B">
      <w:pPr>
        <w:pStyle w:val="Bullet1G"/>
        <w:rPr>
          <w:lang w:val="es-ES_tradnl"/>
        </w:rPr>
      </w:pPr>
      <w:r w:rsidRPr="00154216">
        <w:rPr>
          <w:lang w:val="es-ES_tradnl"/>
        </w:rPr>
        <w:t>Puede representar un peligro para la salud pública</w:t>
      </w:r>
      <w:r w:rsidR="0079341B">
        <w:rPr>
          <w:lang w:val="es-ES_tradnl"/>
        </w:rPr>
        <w:t>.</w:t>
      </w:r>
    </w:p>
    <w:p w14:paraId="45300D7F" w14:textId="77777777" w:rsidR="00154216" w:rsidRPr="00154216" w:rsidRDefault="00154216" w:rsidP="0079341B">
      <w:pPr>
        <w:pStyle w:val="Bullet1G"/>
        <w:rPr>
          <w:lang w:val="es-ES_tradnl"/>
        </w:rPr>
      </w:pPr>
      <w:r w:rsidRPr="00154216">
        <w:rPr>
          <w:lang w:val="es-ES_tradnl"/>
        </w:rPr>
        <w:t>Ha de imponer gastos y demandas considerables a los servicios de salud y educación</w:t>
      </w:r>
      <w:r w:rsidR="00D6447D">
        <w:rPr>
          <w:lang w:val="es-ES_tradnl"/>
        </w:rPr>
        <w:t>.</w:t>
      </w:r>
      <w:r w:rsidRPr="00154216">
        <w:rPr>
          <w:lang w:val="es-ES_tradnl"/>
        </w:rPr>
        <w:t xml:space="preserve"> </w:t>
      </w:r>
    </w:p>
    <w:p w14:paraId="5F82A4F1" w14:textId="77777777" w:rsidR="00154216" w:rsidRPr="00154216" w:rsidRDefault="00154216" w:rsidP="0079341B">
      <w:pPr>
        <w:pStyle w:val="Bullet1G"/>
        <w:rPr>
          <w:lang w:val="es-ES_tradnl"/>
        </w:rPr>
      </w:pPr>
      <w:r w:rsidRPr="00154216">
        <w:rPr>
          <w:lang w:val="es-ES_tradnl"/>
        </w:rPr>
        <w:t xml:space="preserve">Es capaz de realizar el trabajo o los estudios en que se basa su solicitud de visado. </w:t>
      </w:r>
    </w:p>
    <w:p w14:paraId="31FE894B" w14:textId="77777777" w:rsidR="00154216" w:rsidRPr="00154216" w:rsidRDefault="00154216" w:rsidP="00154216">
      <w:pPr>
        <w:pStyle w:val="SingleTxtG"/>
        <w:rPr>
          <w:lang w:val="es-ES_tradnl"/>
        </w:rPr>
      </w:pPr>
      <w:r w:rsidRPr="00154216">
        <w:rPr>
          <w:lang w:val="es-ES_tradnl"/>
        </w:rPr>
        <w:t>204.</w:t>
      </w:r>
      <w:r w:rsidRPr="00154216">
        <w:rPr>
          <w:lang w:val="es-ES_tradnl"/>
        </w:rPr>
        <w:tab/>
        <w:t xml:space="preserve">El hecho de que tenga una discapacidad no determina de antemano que la persona goce o no de un estado de salud aceptable. </w:t>
      </w:r>
    </w:p>
    <w:p w14:paraId="0CE5D0A0" w14:textId="77777777" w:rsidR="00154216" w:rsidRPr="00154216" w:rsidRDefault="00154216" w:rsidP="00154216">
      <w:pPr>
        <w:pStyle w:val="SingleTxtG"/>
        <w:rPr>
          <w:lang w:val="es-ES_tradnl"/>
        </w:rPr>
      </w:pPr>
      <w:r w:rsidRPr="00154216">
        <w:rPr>
          <w:lang w:val="es-ES_tradnl"/>
        </w:rPr>
        <w:t>205.</w:t>
      </w:r>
      <w:r w:rsidRPr="00154216">
        <w:rPr>
          <w:lang w:val="es-ES_tradnl"/>
        </w:rPr>
        <w:tab/>
        <w:t xml:space="preserve">La Oficina de Inmigración puede exonerar a las personas de los requisitos médicos en determinadas circunstancias. Tiene en cuenta las circunstancias de cada persona, incluidos los gastos previsibles y la capacidad de la familia de contribuir a los gastos en que probablemente hayan de incurrir los servicios de salud o de educación especial de Nueva Zelandia. </w:t>
      </w:r>
    </w:p>
    <w:p w14:paraId="67813D73" w14:textId="77777777" w:rsidR="00154216" w:rsidRPr="00154216" w:rsidRDefault="00154216" w:rsidP="00154216">
      <w:pPr>
        <w:pStyle w:val="SingleTxtG"/>
        <w:rPr>
          <w:lang w:val="es-ES_tradnl"/>
        </w:rPr>
      </w:pPr>
      <w:r w:rsidRPr="00154216">
        <w:rPr>
          <w:lang w:val="es-ES_tradnl"/>
        </w:rPr>
        <w:t>206.</w:t>
      </w:r>
      <w:r w:rsidRPr="00154216">
        <w:rPr>
          <w:lang w:val="es-ES_tradnl"/>
        </w:rPr>
        <w:tab/>
        <w:t>Los solicitantes con discapacidad pueden tener derecho a esa exoneración aun cuando se considere importante la carga o el gasto que han de imponer a los servicios de salud y educación.</w:t>
      </w:r>
    </w:p>
    <w:p w14:paraId="641F4EE0" w14:textId="77777777" w:rsidR="00154216" w:rsidRPr="00154216" w:rsidRDefault="00154216" w:rsidP="0079341B">
      <w:pPr>
        <w:pStyle w:val="H23G"/>
        <w:rPr>
          <w:lang w:val="es-ES_tradnl"/>
        </w:rPr>
      </w:pPr>
      <w:r w:rsidRPr="00154216">
        <w:rPr>
          <w:lang w:val="es-ES_tradnl"/>
        </w:rPr>
        <w:tab/>
      </w:r>
      <w:r w:rsidRPr="00154216">
        <w:rPr>
          <w:lang w:val="es-ES_tradnl"/>
        </w:rPr>
        <w:tab/>
        <w:t xml:space="preserve">Respuesta al párrafo 17 b)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2021C902" w14:textId="77777777" w:rsidR="00154216" w:rsidRPr="00154216" w:rsidRDefault="00154216" w:rsidP="00154216">
      <w:pPr>
        <w:pStyle w:val="SingleTxtG"/>
        <w:rPr>
          <w:lang w:val="es-ES_tradnl"/>
        </w:rPr>
      </w:pPr>
      <w:r w:rsidRPr="00154216">
        <w:rPr>
          <w:lang w:val="es-ES_tradnl"/>
        </w:rPr>
        <w:t>207.</w:t>
      </w:r>
      <w:r w:rsidRPr="00154216">
        <w:rPr>
          <w:lang w:val="es-ES_tradnl"/>
        </w:rPr>
        <w:tab/>
        <w:t>La legislación de Nueva Zelandia reconoce que las cuestiones de inmigración son intrínsecamente discriminatorias, ya que las personas reciben un trato diferente según sus características personales. El artículo 392 de la Ley de Inmigración de 2009 explica la relación existente entre esta ley y la Ley de Derechos Humanos de 1993.</w:t>
      </w:r>
    </w:p>
    <w:p w14:paraId="4B291F34" w14:textId="77777777" w:rsidR="00154216" w:rsidRPr="00154216" w:rsidRDefault="00154216" w:rsidP="00154216">
      <w:pPr>
        <w:pStyle w:val="SingleTxtG"/>
        <w:rPr>
          <w:lang w:val="es-ES_tradnl"/>
        </w:rPr>
      </w:pPr>
      <w:r w:rsidRPr="00154216">
        <w:rPr>
          <w:lang w:val="es-ES_tradnl"/>
        </w:rPr>
        <w:t>208.</w:t>
      </w:r>
      <w:r w:rsidRPr="00154216">
        <w:rPr>
          <w:lang w:val="es-ES_tradnl"/>
        </w:rPr>
        <w:tab/>
        <w:t xml:space="preserve">En cualquier caso, la Oficina de Inmigración procura cumplir la legislación de derechos humanos. Si ocurre un desconocimiento aparente de esta legislación, debe haber razones que lo justifiquen. </w:t>
      </w:r>
    </w:p>
    <w:p w14:paraId="039EE0B1" w14:textId="77777777" w:rsidR="00154216" w:rsidRPr="00154216" w:rsidRDefault="00154216" w:rsidP="00154216">
      <w:pPr>
        <w:pStyle w:val="SingleTxtG"/>
        <w:rPr>
          <w:lang w:val="es-ES_tradnl"/>
        </w:rPr>
      </w:pPr>
      <w:r w:rsidRPr="00154216">
        <w:rPr>
          <w:lang w:val="es-ES_tradnl"/>
        </w:rPr>
        <w:t>209.</w:t>
      </w:r>
      <w:r w:rsidRPr="00154216">
        <w:rPr>
          <w:lang w:val="es-ES_tradnl"/>
        </w:rPr>
        <w:tab/>
        <w:t xml:space="preserve">A juicio del Gobierno, su política de salud de la inmigración es consonante con la Convención debido a los riesgos para la salud pública derivados de la importación de enfermedades y a la necesidad de gestionar la carga y los gastos excesivos impuestos al sistema de salud pública. </w:t>
      </w:r>
    </w:p>
    <w:p w14:paraId="011E8EC4" w14:textId="77777777" w:rsidR="00154216" w:rsidRPr="00154216" w:rsidRDefault="00154216" w:rsidP="0079341B">
      <w:pPr>
        <w:pStyle w:val="H23G"/>
        <w:rPr>
          <w:lang w:val="es-ES_tradnl"/>
        </w:rPr>
      </w:pPr>
      <w:r w:rsidRPr="00154216">
        <w:rPr>
          <w:lang w:val="es-ES_tradnl"/>
        </w:rPr>
        <w:lastRenderedPageBreak/>
        <w:tab/>
      </w:r>
      <w:r w:rsidRPr="00154216">
        <w:rPr>
          <w:lang w:val="es-ES_tradnl"/>
        </w:rPr>
        <w:tab/>
        <w:t xml:space="preserve">Respuesta al párrafo 18 a)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0C57ABFB" w14:textId="77777777" w:rsidR="00154216" w:rsidRPr="00154216" w:rsidRDefault="00154216" w:rsidP="00154216">
      <w:pPr>
        <w:pStyle w:val="SingleTxtG"/>
        <w:rPr>
          <w:lang w:val="es-ES_tradnl"/>
        </w:rPr>
      </w:pPr>
      <w:r w:rsidRPr="00154216">
        <w:rPr>
          <w:lang w:val="es-ES_tradnl"/>
        </w:rPr>
        <w:t>210.</w:t>
      </w:r>
      <w:r w:rsidRPr="00154216">
        <w:rPr>
          <w:lang w:val="es-ES_tradnl"/>
        </w:rPr>
        <w:tab/>
        <w:t xml:space="preserve">Se ha prorrogado el programa de Promoción de una Vida Adecuada. Véase la introducción. </w:t>
      </w:r>
    </w:p>
    <w:p w14:paraId="1A6D6732" w14:textId="77777777" w:rsidR="00154216" w:rsidRPr="00D6447D" w:rsidRDefault="0079341B" w:rsidP="0079341B">
      <w:pPr>
        <w:pStyle w:val="H23G"/>
        <w:rPr>
          <w:b w:val="0"/>
          <w:lang w:val="es-ES_tradnl"/>
        </w:rPr>
      </w:pPr>
      <w:r>
        <w:rPr>
          <w:lang w:val="es-ES_tradnl"/>
        </w:rPr>
        <w:tab/>
      </w:r>
      <w:r>
        <w:rPr>
          <w:lang w:val="es-ES_tradnl"/>
        </w:rPr>
        <w:tab/>
      </w:r>
      <w:r w:rsidR="00154216" w:rsidRPr="00D6447D">
        <w:rPr>
          <w:b w:val="0"/>
          <w:bCs/>
          <w:lang w:val="es-ES_tradnl"/>
        </w:rPr>
        <w:t>Cuadro</w:t>
      </w:r>
      <w:r>
        <w:rPr>
          <w:lang w:val="es-ES_tradnl"/>
        </w:rPr>
        <w:br/>
      </w:r>
      <w:r w:rsidR="00154216" w:rsidRPr="00154216">
        <w:rPr>
          <w:lang w:val="es-ES_tradnl"/>
        </w:rPr>
        <w:t xml:space="preserve">Fuentes de financiación correspondientes a las asignaciones presupuestarias </w:t>
      </w:r>
      <w:r w:rsidR="00D6447D">
        <w:rPr>
          <w:lang w:val="es-ES_tradnl"/>
        </w:rPr>
        <w:br/>
      </w:r>
      <w:r w:rsidR="00154216" w:rsidRPr="00154216">
        <w:rPr>
          <w:lang w:val="es-ES_tradnl"/>
        </w:rPr>
        <w:t>para el prototipo de transformación del sistema de apoyo a la discapacidad</w:t>
      </w:r>
      <w:r w:rsidR="00D6447D">
        <w:rPr>
          <w:lang w:val="es-ES_tradnl"/>
        </w:rPr>
        <w:br/>
      </w:r>
      <w:r w:rsidR="00D6447D" w:rsidRPr="00D6447D">
        <w:rPr>
          <w:b w:val="0"/>
          <w:sz w:val="16"/>
          <w:lang w:val="es-ES_tradnl"/>
        </w:rPr>
        <w:t>(</w:t>
      </w:r>
      <w:r w:rsidR="003451B1">
        <w:rPr>
          <w:b w:val="0"/>
          <w:sz w:val="16"/>
          <w:lang w:val="es-ES_tradnl"/>
        </w:rPr>
        <w:t>E</w:t>
      </w:r>
      <w:r w:rsidR="00D6447D" w:rsidRPr="00D6447D">
        <w:rPr>
          <w:b w:val="0"/>
          <w:sz w:val="16"/>
          <w:lang w:val="es-ES_tradnl"/>
        </w:rPr>
        <w:t>n millones de dólares neozelandeses)</w:t>
      </w:r>
    </w:p>
    <w:tbl>
      <w:tblPr>
        <w:tblStyle w:val="TableGridLight1"/>
        <w:tblW w:w="8504" w:type="dxa"/>
        <w:tblInd w:w="113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96"/>
        <w:gridCol w:w="1204"/>
        <w:gridCol w:w="1204"/>
      </w:tblGrid>
      <w:tr w:rsidR="00154216" w:rsidRPr="00507847" w14:paraId="2A7DED09" w14:textId="77777777" w:rsidTr="00A3689F">
        <w:trPr>
          <w:trHeight w:val="240"/>
          <w:tblHeader/>
        </w:trPr>
        <w:tc>
          <w:tcPr>
            <w:tcW w:w="3584" w:type="pct"/>
            <w:tcBorders>
              <w:top w:val="single" w:sz="4" w:space="0" w:color="auto"/>
              <w:bottom w:val="single" w:sz="12" w:space="0" w:color="auto"/>
            </w:tcBorders>
            <w:shd w:val="clear" w:color="auto" w:fill="auto"/>
            <w:noWrap/>
            <w:vAlign w:val="bottom"/>
            <w:hideMark/>
          </w:tcPr>
          <w:p w14:paraId="721CB22E" w14:textId="77777777" w:rsidR="00154216" w:rsidRPr="00D6447D" w:rsidRDefault="00154216" w:rsidP="00507847">
            <w:pPr>
              <w:pStyle w:val="SingleTxtG"/>
              <w:spacing w:before="80" w:after="80" w:line="200" w:lineRule="exact"/>
              <w:ind w:left="0" w:right="0"/>
              <w:jc w:val="left"/>
              <w:rPr>
                <w:rFonts w:ascii="Times New Roman" w:hAnsi="Times New Roman" w:cs="Times New Roman"/>
                <w:bCs/>
                <w:sz w:val="16"/>
                <w:lang w:val="es-ES_tradnl"/>
              </w:rPr>
            </w:pPr>
          </w:p>
        </w:tc>
        <w:tc>
          <w:tcPr>
            <w:tcW w:w="708" w:type="pct"/>
            <w:tcBorders>
              <w:top w:val="single" w:sz="4" w:space="0" w:color="auto"/>
              <w:bottom w:val="single" w:sz="12" w:space="0" w:color="auto"/>
            </w:tcBorders>
            <w:shd w:val="clear" w:color="auto" w:fill="auto"/>
            <w:vAlign w:val="bottom"/>
            <w:hideMark/>
          </w:tcPr>
          <w:p w14:paraId="51EC7C11" w14:textId="77777777" w:rsidR="00154216" w:rsidRPr="00507847" w:rsidRDefault="00154216" w:rsidP="00507847">
            <w:pPr>
              <w:pStyle w:val="SingleTxtG"/>
              <w:spacing w:before="80" w:after="80" w:line="200" w:lineRule="exact"/>
              <w:ind w:left="113" w:right="0"/>
              <w:jc w:val="right"/>
              <w:rPr>
                <w:rFonts w:ascii="Times New Roman" w:hAnsi="Times New Roman" w:cs="Times New Roman"/>
                <w:bCs/>
                <w:i/>
                <w:sz w:val="16"/>
                <w:lang w:val="es-ES_tradnl"/>
              </w:rPr>
            </w:pPr>
            <w:r w:rsidRPr="00507847">
              <w:rPr>
                <w:rFonts w:ascii="Times New Roman" w:hAnsi="Times New Roman" w:cs="Times New Roman"/>
                <w:i/>
                <w:iCs/>
                <w:sz w:val="16"/>
                <w:lang w:val="es-ES_tradnl"/>
              </w:rPr>
              <w:t>2018/19</w:t>
            </w:r>
          </w:p>
        </w:tc>
        <w:tc>
          <w:tcPr>
            <w:tcW w:w="708" w:type="pct"/>
            <w:tcBorders>
              <w:top w:val="single" w:sz="4" w:space="0" w:color="auto"/>
              <w:bottom w:val="single" w:sz="12" w:space="0" w:color="auto"/>
            </w:tcBorders>
            <w:shd w:val="clear" w:color="auto" w:fill="auto"/>
            <w:vAlign w:val="bottom"/>
            <w:hideMark/>
          </w:tcPr>
          <w:p w14:paraId="7860893D" w14:textId="77777777" w:rsidR="00154216" w:rsidRPr="00507847" w:rsidRDefault="00154216" w:rsidP="00507847">
            <w:pPr>
              <w:pStyle w:val="SingleTxtG"/>
              <w:spacing w:before="80" w:after="80" w:line="200" w:lineRule="exact"/>
              <w:ind w:left="113" w:right="0"/>
              <w:jc w:val="right"/>
              <w:rPr>
                <w:rFonts w:ascii="Times New Roman" w:hAnsi="Times New Roman" w:cs="Times New Roman"/>
                <w:bCs/>
                <w:i/>
                <w:sz w:val="16"/>
                <w:lang w:val="es-ES_tradnl"/>
              </w:rPr>
            </w:pPr>
            <w:r w:rsidRPr="00507847">
              <w:rPr>
                <w:rFonts w:ascii="Times New Roman" w:hAnsi="Times New Roman" w:cs="Times New Roman"/>
                <w:i/>
                <w:iCs/>
                <w:sz w:val="16"/>
                <w:lang w:val="es-ES_tradnl"/>
              </w:rPr>
              <w:t>2019/20</w:t>
            </w:r>
          </w:p>
        </w:tc>
      </w:tr>
      <w:tr w:rsidR="00154216" w:rsidRPr="00507847" w14:paraId="50ED77B4" w14:textId="77777777" w:rsidTr="00A3689F">
        <w:trPr>
          <w:trHeight w:val="240"/>
        </w:trPr>
        <w:tc>
          <w:tcPr>
            <w:tcW w:w="3584" w:type="pct"/>
            <w:tcBorders>
              <w:top w:val="single" w:sz="12" w:space="0" w:color="auto"/>
            </w:tcBorders>
            <w:shd w:val="clear" w:color="auto" w:fill="auto"/>
            <w:noWrap/>
            <w:hideMark/>
          </w:tcPr>
          <w:p w14:paraId="3BFB401F" w14:textId="77777777" w:rsidR="00154216" w:rsidRPr="00507847" w:rsidRDefault="00154216" w:rsidP="00507847">
            <w:pPr>
              <w:pStyle w:val="SingleTxtG"/>
              <w:spacing w:before="40" w:after="40" w:line="220" w:lineRule="exact"/>
              <w:ind w:left="0" w:right="0"/>
              <w:jc w:val="left"/>
              <w:rPr>
                <w:rFonts w:ascii="Times New Roman" w:hAnsi="Times New Roman" w:cs="Times New Roman"/>
                <w:sz w:val="18"/>
                <w:lang w:val="es-ES_tradnl"/>
              </w:rPr>
            </w:pPr>
            <w:r w:rsidRPr="00507847">
              <w:rPr>
                <w:rFonts w:ascii="Times New Roman" w:hAnsi="Times New Roman" w:cs="Times New Roman"/>
                <w:sz w:val="18"/>
                <w:lang w:val="es-ES_tradnl"/>
              </w:rPr>
              <w:t xml:space="preserve">Proporción equitativa de los fondos de apoyo a la discapacidad </w:t>
            </w:r>
            <w:r w:rsidR="00D6447D">
              <w:rPr>
                <w:rFonts w:ascii="Times New Roman" w:hAnsi="Times New Roman" w:cs="Times New Roman"/>
                <w:sz w:val="18"/>
                <w:lang w:val="es-ES_tradnl"/>
              </w:rPr>
              <w:br/>
            </w:r>
            <w:r w:rsidRPr="00507847">
              <w:rPr>
                <w:rFonts w:ascii="Times New Roman" w:hAnsi="Times New Roman" w:cs="Times New Roman"/>
                <w:sz w:val="18"/>
                <w:lang w:val="es-ES_tradnl"/>
              </w:rPr>
              <w:t xml:space="preserve">en la consignación presupuestaria de salud </w:t>
            </w:r>
          </w:p>
        </w:tc>
        <w:tc>
          <w:tcPr>
            <w:tcW w:w="708" w:type="pct"/>
            <w:tcBorders>
              <w:top w:val="single" w:sz="12" w:space="0" w:color="auto"/>
            </w:tcBorders>
            <w:shd w:val="clear" w:color="auto" w:fill="auto"/>
            <w:vAlign w:val="bottom"/>
            <w:hideMark/>
          </w:tcPr>
          <w:p w14:paraId="30D7B489" w14:textId="77777777" w:rsidR="00154216" w:rsidRPr="00507847" w:rsidRDefault="00154216" w:rsidP="00507847">
            <w:pPr>
              <w:pStyle w:val="SingleTxtG"/>
              <w:spacing w:before="40" w:after="40" w:line="220" w:lineRule="exact"/>
              <w:ind w:left="113" w:right="0"/>
              <w:jc w:val="right"/>
              <w:rPr>
                <w:rFonts w:ascii="Times New Roman" w:hAnsi="Times New Roman" w:cs="Times New Roman"/>
                <w:sz w:val="18"/>
                <w:lang w:val="es-ES_tradnl"/>
              </w:rPr>
            </w:pPr>
            <w:r w:rsidRPr="00507847">
              <w:rPr>
                <w:rFonts w:ascii="Times New Roman" w:hAnsi="Times New Roman" w:cs="Times New Roman"/>
                <w:sz w:val="18"/>
                <w:lang w:val="es-ES_tradnl"/>
              </w:rPr>
              <w:t xml:space="preserve">71,79 </w:t>
            </w:r>
          </w:p>
        </w:tc>
        <w:tc>
          <w:tcPr>
            <w:tcW w:w="708" w:type="pct"/>
            <w:tcBorders>
              <w:top w:val="single" w:sz="12" w:space="0" w:color="auto"/>
            </w:tcBorders>
            <w:shd w:val="clear" w:color="auto" w:fill="auto"/>
            <w:noWrap/>
            <w:vAlign w:val="bottom"/>
            <w:hideMark/>
          </w:tcPr>
          <w:p w14:paraId="5E35CC5A" w14:textId="77777777" w:rsidR="00154216" w:rsidRPr="00507847" w:rsidRDefault="00154216" w:rsidP="00507847">
            <w:pPr>
              <w:pStyle w:val="SingleTxtG"/>
              <w:spacing w:before="40" w:after="40" w:line="220" w:lineRule="exact"/>
              <w:ind w:left="113" w:right="0"/>
              <w:jc w:val="right"/>
              <w:rPr>
                <w:rFonts w:ascii="Times New Roman" w:hAnsi="Times New Roman" w:cs="Times New Roman"/>
                <w:sz w:val="18"/>
                <w:lang w:val="es-ES_tradnl"/>
              </w:rPr>
            </w:pPr>
            <w:r w:rsidRPr="00507847">
              <w:rPr>
                <w:rFonts w:ascii="Times New Roman" w:hAnsi="Times New Roman" w:cs="Times New Roman"/>
                <w:sz w:val="18"/>
                <w:lang w:val="es-ES_tradnl"/>
              </w:rPr>
              <w:t xml:space="preserve">71,51 </w:t>
            </w:r>
          </w:p>
        </w:tc>
      </w:tr>
      <w:tr w:rsidR="00154216" w:rsidRPr="00507847" w14:paraId="723DFC01" w14:textId="77777777" w:rsidTr="00A3689F">
        <w:trPr>
          <w:trHeight w:val="240"/>
        </w:trPr>
        <w:tc>
          <w:tcPr>
            <w:tcW w:w="3584" w:type="pct"/>
            <w:tcBorders>
              <w:bottom w:val="single" w:sz="4" w:space="0" w:color="auto"/>
            </w:tcBorders>
            <w:shd w:val="clear" w:color="auto" w:fill="auto"/>
            <w:noWrap/>
            <w:hideMark/>
          </w:tcPr>
          <w:p w14:paraId="41161A85" w14:textId="77777777" w:rsidR="00154216" w:rsidRPr="00507847" w:rsidRDefault="00154216" w:rsidP="00507847">
            <w:pPr>
              <w:pStyle w:val="SingleTxtG"/>
              <w:spacing w:before="40" w:after="40" w:line="220" w:lineRule="exact"/>
              <w:ind w:left="0" w:right="0"/>
              <w:jc w:val="left"/>
              <w:rPr>
                <w:rFonts w:ascii="Times New Roman" w:hAnsi="Times New Roman" w:cs="Times New Roman"/>
                <w:sz w:val="18"/>
                <w:lang w:val="es-ES_tradnl"/>
              </w:rPr>
            </w:pPr>
            <w:r w:rsidRPr="00507847">
              <w:rPr>
                <w:rFonts w:ascii="Times New Roman" w:hAnsi="Times New Roman" w:cs="Times New Roman"/>
                <w:sz w:val="18"/>
                <w:lang w:val="es-ES_tradnl"/>
              </w:rPr>
              <w:t xml:space="preserve">Presupuesto de 2017, Fondos para imprevistos </w:t>
            </w:r>
          </w:p>
        </w:tc>
        <w:tc>
          <w:tcPr>
            <w:tcW w:w="708" w:type="pct"/>
            <w:tcBorders>
              <w:bottom w:val="single" w:sz="4" w:space="0" w:color="auto"/>
            </w:tcBorders>
            <w:shd w:val="clear" w:color="auto" w:fill="auto"/>
            <w:vAlign w:val="bottom"/>
            <w:hideMark/>
          </w:tcPr>
          <w:p w14:paraId="080429E6" w14:textId="77777777" w:rsidR="00154216" w:rsidRPr="00507847" w:rsidRDefault="00154216" w:rsidP="00507847">
            <w:pPr>
              <w:pStyle w:val="SingleTxtG"/>
              <w:spacing w:before="40" w:after="40" w:line="220" w:lineRule="exact"/>
              <w:ind w:left="113" w:right="0"/>
              <w:jc w:val="right"/>
              <w:rPr>
                <w:rFonts w:ascii="Times New Roman" w:hAnsi="Times New Roman" w:cs="Times New Roman"/>
                <w:sz w:val="18"/>
                <w:lang w:val="es-ES_tradnl"/>
              </w:rPr>
            </w:pPr>
            <w:r w:rsidRPr="00507847">
              <w:rPr>
                <w:rFonts w:ascii="Times New Roman" w:hAnsi="Times New Roman" w:cs="Times New Roman"/>
                <w:sz w:val="18"/>
                <w:lang w:val="es-ES_tradnl"/>
              </w:rPr>
              <w:t xml:space="preserve">11,29 </w:t>
            </w:r>
          </w:p>
        </w:tc>
        <w:tc>
          <w:tcPr>
            <w:tcW w:w="708" w:type="pct"/>
            <w:tcBorders>
              <w:bottom w:val="single" w:sz="4" w:space="0" w:color="auto"/>
            </w:tcBorders>
            <w:shd w:val="clear" w:color="auto" w:fill="auto"/>
            <w:noWrap/>
            <w:vAlign w:val="bottom"/>
            <w:hideMark/>
          </w:tcPr>
          <w:p w14:paraId="22C81E45" w14:textId="77777777" w:rsidR="00154216" w:rsidRPr="00507847" w:rsidRDefault="00154216" w:rsidP="00507847">
            <w:pPr>
              <w:pStyle w:val="SingleTxtG"/>
              <w:spacing w:before="40" w:after="40" w:line="220" w:lineRule="exact"/>
              <w:ind w:left="113" w:right="0"/>
              <w:jc w:val="right"/>
              <w:rPr>
                <w:rFonts w:ascii="Times New Roman" w:hAnsi="Times New Roman" w:cs="Times New Roman"/>
                <w:sz w:val="18"/>
                <w:lang w:val="es-ES_tradnl"/>
              </w:rPr>
            </w:pPr>
            <w:r w:rsidRPr="00507847">
              <w:rPr>
                <w:rFonts w:ascii="Times New Roman" w:hAnsi="Times New Roman" w:cs="Times New Roman"/>
                <w:sz w:val="18"/>
                <w:lang w:val="es-ES_tradnl"/>
              </w:rPr>
              <w:t>9,95</w:t>
            </w:r>
          </w:p>
        </w:tc>
      </w:tr>
      <w:tr w:rsidR="00154216" w:rsidRPr="00A3689F" w14:paraId="13F4BE87" w14:textId="77777777" w:rsidTr="00A3689F">
        <w:trPr>
          <w:trHeight w:val="240"/>
        </w:trPr>
        <w:tc>
          <w:tcPr>
            <w:tcW w:w="3584" w:type="pct"/>
            <w:tcBorders>
              <w:top w:val="single" w:sz="4" w:space="0" w:color="auto"/>
              <w:bottom w:val="single" w:sz="4" w:space="0" w:color="auto"/>
            </w:tcBorders>
            <w:shd w:val="clear" w:color="auto" w:fill="auto"/>
            <w:noWrap/>
            <w:hideMark/>
          </w:tcPr>
          <w:p w14:paraId="4EF9A261" w14:textId="77777777" w:rsidR="00154216" w:rsidRPr="00A3689F" w:rsidRDefault="00154216" w:rsidP="00A3689F">
            <w:pPr>
              <w:pStyle w:val="SingleTxtG"/>
              <w:spacing w:before="80" w:after="80" w:line="220" w:lineRule="exact"/>
              <w:ind w:left="283" w:right="0"/>
              <w:jc w:val="left"/>
              <w:rPr>
                <w:rFonts w:ascii="Times New Roman" w:hAnsi="Times New Roman" w:cs="Times New Roman"/>
                <w:b/>
                <w:bCs/>
                <w:sz w:val="18"/>
                <w:lang w:val="es-ES_tradnl"/>
              </w:rPr>
            </w:pPr>
            <w:proofErr w:type="gramStart"/>
            <w:r w:rsidRPr="00A3689F">
              <w:rPr>
                <w:rFonts w:ascii="Times New Roman" w:hAnsi="Times New Roman" w:cs="Times New Roman"/>
                <w:b/>
                <w:bCs/>
                <w:sz w:val="18"/>
                <w:lang w:val="es-ES_tradnl"/>
              </w:rPr>
              <w:t>Total</w:t>
            </w:r>
            <w:proofErr w:type="gramEnd"/>
            <w:r w:rsidRPr="00A3689F">
              <w:rPr>
                <w:rFonts w:ascii="Times New Roman" w:hAnsi="Times New Roman" w:cs="Times New Roman"/>
                <w:b/>
                <w:bCs/>
                <w:sz w:val="18"/>
                <w:lang w:val="es-ES_tradnl"/>
              </w:rPr>
              <w:t xml:space="preserve"> de fondos disponibles</w:t>
            </w:r>
            <w:r w:rsidRPr="00A3689F">
              <w:rPr>
                <w:rFonts w:ascii="Times New Roman" w:hAnsi="Times New Roman" w:cs="Times New Roman"/>
                <w:b/>
                <w:sz w:val="18"/>
                <w:lang w:val="es-ES_tradnl"/>
              </w:rPr>
              <w:t xml:space="preserve"> </w:t>
            </w:r>
          </w:p>
        </w:tc>
        <w:tc>
          <w:tcPr>
            <w:tcW w:w="708" w:type="pct"/>
            <w:tcBorders>
              <w:top w:val="single" w:sz="4" w:space="0" w:color="auto"/>
              <w:bottom w:val="single" w:sz="4" w:space="0" w:color="auto"/>
            </w:tcBorders>
            <w:shd w:val="clear" w:color="auto" w:fill="auto"/>
            <w:vAlign w:val="bottom"/>
            <w:hideMark/>
          </w:tcPr>
          <w:p w14:paraId="59D7525B" w14:textId="77777777" w:rsidR="00154216" w:rsidRPr="00A3689F" w:rsidRDefault="00154216" w:rsidP="00A3689F">
            <w:pPr>
              <w:pStyle w:val="SingleTxtG"/>
              <w:spacing w:before="80" w:after="80" w:line="220" w:lineRule="exact"/>
              <w:ind w:left="0" w:right="0"/>
              <w:jc w:val="right"/>
              <w:rPr>
                <w:rFonts w:ascii="Times New Roman" w:hAnsi="Times New Roman" w:cs="Times New Roman"/>
                <w:b/>
                <w:sz w:val="18"/>
                <w:lang w:val="es-ES_tradnl"/>
              </w:rPr>
            </w:pPr>
            <w:r w:rsidRPr="00A3689F">
              <w:rPr>
                <w:rFonts w:ascii="Times New Roman" w:hAnsi="Times New Roman" w:cs="Times New Roman"/>
                <w:b/>
                <w:bCs/>
                <w:sz w:val="18"/>
                <w:lang w:val="es-ES_tradnl"/>
              </w:rPr>
              <w:t xml:space="preserve">83,08 </w:t>
            </w:r>
          </w:p>
        </w:tc>
        <w:tc>
          <w:tcPr>
            <w:tcW w:w="708" w:type="pct"/>
            <w:tcBorders>
              <w:top w:val="single" w:sz="4" w:space="0" w:color="auto"/>
              <w:bottom w:val="single" w:sz="4" w:space="0" w:color="auto"/>
            </w:tcBorders>
            <w:shd w:val="clear" w:color="auto" w:fill="auto"/>
            <w:noWrap/>
            <w:vAlign w:val="bottom"/>
            <w:hideMark/>
          </w:tcPr>
          <w:p w14:paraId="347F5536" w14:textId="77777777" w:rsidR="00154216" w:rsidRPr="00A3689F" w:rsidRDefault="00154216" w:rsidP="00A3689F">
            <w:pPr>
              <w:pStyle w:val="SingleTxtG"/>
              <w:spacing w:before="80" w:after="80" w:line="220" w:lineRule="exact"/>
              <w:ind w:left="0" w:right="0"/>
              <w:jc w:val="right"/>
              <w:rPr>
                <w:rFonts w:ascii="Times New Roman" w:hAnsi="Times New Roman" w:cs="Times New Roman"/>
                <w:b/>
                <w:sz w:val="18"/>
                <w:lang w:val="es-ES_tradnl"/>
              </w:rPr>
            </w:pPr>
            <w:r w:rsidRPr="00A3689F">
              <w:rPr>
                <w:rFonts w:ascii="Times New Roman" w:hAnsi="Times New Roman" w:cs="Times New Roman"/>
                <w:b/>
                <w:bCs/>
                <w:sz w:val="18"/>
                <w:lang w:val="es-ES_tradnl"/>
              </w:rPr>
              <w:t xml:space="preserve">81,46 </w:t>
            </w:r>
          </w:p>
        </w:tc>
      </w:tr>
      <w:tr w:rsidR="00154216" w:rsidRPr="00507847" w14:paraId="09E16B38" w14:textId="77777777" w:rsidTr="00A3689F">
        <w:trPr>
          <w:trHeight w:val="240"/>
        </w:trPr>
        <w:tc>
          <w:tcPr>
            <w:tcW w:w="3584" w:type="pct"/>
            <w:tcBorders>
              <w:top w:val="single" w:sz="4" w:space="0" w:color="auto"/>
            </w:tcBorders>
            <w:shd w:val="clear" w:color="auto" w:fill="auto"/>
            <w:noWrap/>
            <w:hideMark/>
          </w:tcPr>
          <w:p w14:paraId="2F3E0694" w14:textId="77777777" w:rsidR="00154216" w:rsidRPr="00507847" w:rsidRDefault="00154216" w:rsidP="00507847">
            <w:pPr>
              <w:pStyle w:val="SingleTxtG"/>
              <w:spacing w:before="40" w:after="40" w:line="220" w:lineRule="exact"/>
              <w:ind w:left="0" w:right="0"/>
              <w:jc w:val="left"/>
              <w:rPr>
                <w:rFonts w:ascii="Times New Roman" w:hAnsi="Times New Roman" w:cs="Times New Roman"/>
                <w:bCs/>
                <w:spacing w:val="-1"/>
                <w:sz w:val="18"/>
                <w:lang w:val="es-ES_tradnl"/>
              </w:rPr>
            </w:pPr>
            <w:r w:rsidRPr="00507847">
              <w:rPr>
                <w:rFonts w:ascii="Times New Roman" w:hAnsi="Times New Roman" w:cs="Times New Roman"/>
                <w:spacing w:val="-1"/>
                <w:sz w:val="18"/>
                <w:lang w:val="es-ES_tradnl"/>
              </w:rPr>
              <w:t xml:space="preserve">Menos: monto gastado en la fase preliminar del prototipo </w:t>
            </w:r>
            <w:r w:rsidR="00D6447D">
              <w:rPr>
                <w:rFonts w:ascii="Times New Roman" w:hAnsi="Times New Roman" w:cs="Times New Roman"/>
                <w:spacing w:val="-1"/>
                <w:sz w:val="18"/>
                <w:lang w:val="es-ES_tradnl"/>
              </w:rPr>
              <w:br/>
            </w:r>
            <w:r w:rsidRPr="00507847">
              <w:rPr>
                <w:rFonts w:ascii="Times New Roman" w:hAnsi="Times New Roman" w:cs="Times New Roman"/>
                <w:spacing w:val="-1"/>
                <w:sz w:val="18"/>
                <w:lang w:val="es-ES_tradnl"/>
              </w:rPr>
              <w:t xml:space="preserve">(1 de julio a 30 de septiembre de 2018) </w:t>
            </w:r>
          </w:p>
        </w:tc>
        <w:tc>
          <w:tcPr>
            <w:tcW w:w="708" w:type="pct"/>
            <w:tcBorders>
              <w:top w:val="single" w:sz="4" w:space="0" w:color="auto"/>
            </w:tcBorders>
            <w:shd w:val="clear" w:color="auto" w:fill="auto"/>
            <w:vAlign w:val="bottom"/>
            <w:hideMark/>
          </w:tcPr>
          <w:p w14:paraId="798F24D1" w14:textId="77777777" w:rsidR="00154216" w:rsidRPr="00507847" w:rsidRDefault="00154216" w:rsidP="00507847">
            <w:pPr>
              <w:pStyle w:val="SingleTxtG"/>
              <w:spacing w:before="40" w:after="40" w:line="220" w:lineRule="exact"/>
              <w:ind w:left="113" w:right="0"/>
              <w:jc w:val="right"/>
              <w:rPr>
                <w:rFonts w:ascii="Times New Roman" w:hAnsi="Times New Roman" w:cs="Times New Roman"/>
                <w:spacing w:val="-1"/>
                <w:sz w:val="18"/>
                <w:lang w:val="es-ES_tradnl"/>
              </w:rPr>
            </w:pPr>
            <w:r w:rsidRPr="00507847">
              <w:rPr>
                <w:rFonts w:ascii="Times New Roman" w:hAnsi="Times New Roman" w:cs="Times New Roman"/>
                <w:spacing w:val="-1"/>
                <w:sz w:val="18"/>
                <w:lang w:val="es-ES_tradnl"/>
              </w:rPr>
              <w:t xml:space="preserve">17,43 </w:t>
            </w:r>
          </w:p>
        </w:tc>
        <w:tc>
          <w:tcPr>
            <w:tcW w:w="708" w:type="pct"/>
            <w:tcBorders>
              <w:top w:val="single" w:sz="4" w:space="0" w:color="auto"/>
            </w:tcBorders>
            <w:shd w:val="clear" w:color="auto" w:fill="auto"/>
            <w:noWrap/>
            <w:vAlign w:val="bottom"/>
          </w:tcPr>
          <w:p w14:paraId="038469F4" w14:textId="77777777" w:rsidR="00154216" w:rsidRPr="00507847" w:rsidRDefault="00154216" w:rsidP="00507847">
            <w:pPr>
              <w:pStyle w:val="SingleTxtG"/>
              <w:spacing w:before="40" w:after="40" w:line="220" w:lineRule="exact"/>
              <w:ind w:left="113" w:right="0"/>
              <w:jc w:val="right"/>
              <w:rPr>
                <w:rFonts w:ascii="Times New Roman" w:hAnsi="Times New Roman" w:cs="Times New Roman"/>
                <w:spacing w:val="-1"/>
                <w:sz w:val="18"/>
                <w:lang w:val="es-ES_tradnl"/>
              </w:rPr>
            </w:pPr>
          </w:p>
        </w:tc>
      </w:tr>
      <w:tr w:rsidR="00154216" w:rsidRPr="00507847" w14:paraId="1EFDC086" w14:textId="77777777" w:rsidTr="00A3689F">
        <w:trPr>
          <w:trHeight w:val="240"/>
        </w:trPr>
        <w:tc>
          <w:tcPr>
            <w:tcW w:w="3584" w:type="pct"/>
            <w:tcBorders>
              <w:bottom w:val="single" w:sz="12" w:space="0" w:color="auto"/>
            </w:tcBorders>
            <w:shd w:val="clear" w:color="auto" w:fill="auto"/>
            <w:noWrap/>
            <w:hideMark/>
          </w:tcPr>
          <w:p w14:paraId="27DAF1F3" w14:textId="77777777" w:rsidR="00154216" w:rsidRPr="00507847" w:rsidRDefault="00154216" w:rsidP="00507847">
            <w:pPr>
              <w:pStyle w:val="SingleTxtG"/>
              <w:spacing w:before="40" w:after="40" w:line="220" w:lineRule="exact"/>
              <w:ind w:left="0" w:right="0"/>
              <w:jc w:val="left"/>
              <w:rPr>
                <w:rFonts w:ascii="Times New Roman" w:hAnsi="Times New Roman" w:cs="Times New Roman"/>
                <w:bCs/>
                <w:sz w:val="18"/>
                <w:lang w:val="es-ES_tradnl"/>
              </w:rPr>
            </w:pPr>
            <w:r w:rsidRPr="00507847">
              <w:rPr>
                <w:rFonts w:ascii="Times New Roman" w:hAnsi="Times New Roman" w:cs="Times New Roman"/>
                <w:sz w:val="18"/>
                <w:lang w:val="es-ES_tradnl"/>
              </w:rPr>
              <w:t xml:space="preserve">Fondos disponibles para el </w:t>
            </w:r>
            <w:r w:rsidR="00D6447D">
              <w:rPr>
                <w:rFonts w:ascii="Times New Roman" w:hAnsi="Times New Roman" w:cs="Times New Roman"/>
                <w:sz w:val="18"/>
                <w:lang w:val="es-ES_tradnl"/>
              </w:rPr>
              <w:t xml:space="preserve">período </w:t>
            </w:r>
            <w:r w:rsidRPr="00507847">
              <w:rPr>
                <w:rFonts w:ascii="Times New Roman" w:hAnsi="Times New Roman" w:cs="Times New Roman"/>
                <w:sz w:val="18"/>
                <w:lang w:val="es-ES_tradnl"/>
              </w:rPr>
              <w:t xml:space="preserve">de aplicación del prototipo </w:t>
            </w:r>
          </w:p>
        </w:tc>
        <w:tc>
          <w:tcPr>
            <w:tcW w:w="708" w:type="pct"/>
            <w:tcBorders>
              <w:bottom w:val="single" w:sz="12" w:space="0" w:color="auto"/>
            </w:tcBorders>
            <w:shd w:val="clear" w:color="auto" w:fill="auto"/>
            <w:vAlign w:val="bottom"/>
            <w:hideMark/>
          </w:tcPr>
          <w:p w14:paraId="1580D05F" w14:textId="77777777" w:rsidR="00154216" w:rsidRPr="00507847" w:rsidRDefault="00154216" w:rsidP="00507847">
            <w:pPr>
              <w:pStyle w:val="SingleTxtG"/>
              <w:spacing w:before="40" w:after="40" w:line="220" w:lineRule="exact"/>
              <w:ind w:left="113" w:right="0"/>
              <w:jc w:val="right"/>
              <w:rPr>
                <w:rFonts w:ascii="Times New Roman" w:hAnsi="Times New Roman" w:cs="Times New Roman"/>
                <w:sz w:val="18"/>
                <w:lang w:val="es-ES_tradnl"/>
              </w:rPr>
            </w:pPr>
            <w:r w:rsidRPr="00507847">
              <w:rPr>
                <w:rFonts w:ascii="Times New Roman" w:hAnsi="Times New Roman" w:cs="Times New Roman"/>
                <w:sz w:val="18"/>
                <w:lang w:val="es-ES_tradnl"/>
              </w:rPr>
              <w:t xml:space="preserve">65,65 </w:t>
            </w:r>
          </w:p>
        </w:tc>
        <w:tc>
          <w:tcPr>
            <w:tcW w:w="708" w:type="pct"/>
            <w:tcBorders>
              <w:bottom w:val="single" w:sz="12" w:space="0" w:color="auto"/>
            </w:tcBorders>
            <w:shd w:val="clear" w:color="auto" w:fill="auto"/>
            <w:noWrap/>
            <w:vAlign w:val="bottom"/>
            <w:hideMark/>
          </w:tcPr>
          <w:p w14:paraId="09C67EDE" w14:textId="77777777" w:rsidR="00154216" w:rsidRPr="00507847" w:rsidRDefault="00154216" w:rsidP="00507847">
            <w:pPr>
              <w:pStyle w:val="SingleTxtG"/>
              <w:spacing w:before="40" w:after="40" w:line="220" w:lineRule="exact"/>
              <w:ind w:left="113" w:right="0"/>
              <w:jc w:val="right"/>
              <w:rPr>
                <w:rFonts w:ascii="Times New Roman" w:hAnsi="Times New Roman" w:cs="Times New Roman"/>
                <w:sz w:val="18"/>
                <w:lang w:val="es-ES_tradnl"/>
              </w:rPr>
            </w:pPr>
            <w:r w:rsidRPr="00507847">
              <w:rPr>
                <w:rFonts w:ascii="Times New Roman" w:hAnsi="Times New Roman" w:cs="Times New Roman"/>
                <w:sz w:val="18"/>
                <w:lang w:val="es-ES_tradnl"/>
              </w:rPr>
              <w:t xml:space="preserve">81,46 </w:t>
            </w:r>
          </w:p>
        </w:tc>
      </w:tr>
    </w:tbl>
    <w:p w14:paraId="07CF9F2A" w14:textId="77777777" w:rsidR="00154216" w:rsidRPr="00154216" w:rsidRDefault="00154216" w:rsidP="00506013">
      <w:pPr>
        <w:pStyle w:val="H23G"/>
        <w:rPr>
          <w:lang w:val="es-ES_tradnl"/>
        </w:rPr>
      </w:pPr>
      <w:r w:rsidRPr="00154216">
        <w:rPr>
          <w:lang w:val="es-ES_tradnl"/>
        </w:rPr>
        <w:tab/>
      </w:r>
      <w:r w:rsidRPr="00154216">
        <w:rPr>
          <w:lang w:val="es-ES_tradnl"/>
        </w:rPr>
        <w:tab/>
        <w:t xml:space="preserve">Respuesta al párrafo 18 b)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4319B080" w14:textId="77777777" w:rsidR="00154216" w:rsidRPr="00154216" w:rsidRDefault="00154216" w:rsidP="00154216">
      <w:pPr>
        <w:pStyle w:val="SingleTxtG"/>
        <w:rPr>
          <w:lang w:val="es-ES_tradnl"/>
        </w:rPr>
      </w:pPr>
      <w:r w:rsidRPr="00154216">
        <w:rPr>
          <w:lang w:val="es-ES_tradnl"/>
        </w:rPr>
        <w:t>211.</w:t>
      </w:r>
      <w:r w:rsidRPr="00154216">
        <w:rPr>
          <w:lang w:val="es-ES_tradnl"/>
        </w:rPr>
        <w:tab/>
        <w:t>Desde 1987 han cerrado sus puertas 12 instituciones para personas con discapacidad intelectual o psicológica. La última de las grandes instituciones (Kimberley) se cerró en</w:t>
      </w:r>
      <w:r w:rsidR="001B0E29">
        <w:rPr>
          <w:lang w:val="es-ES_tradnl"/>
        </w:rPr>
        <w:t> </w:t>
      </w:r>
      <w:r w:rsidRPr="00154216">
        <w:rPr>
          <w:lang w:val="es-ES_tradnl"/>
        </w:rPr>
        <w:t>2006. Unas 4.000 personas con discapacidad intelectual fueron reinstaladas en servicios comunitarios. Algunos residentes de Kimberley decidieron acogerse a servicios ya existentes. En cambio, la mayoría de los residentes ingresaron en sistemas alternativos de vida comunitaria, y algunos se mudaron a nuevos alojamientos elegidos por las personas y sus familias en el marco de proyectos de vivienda patrocinados por la Corporación de la Vivienda de Nueva Zelandia. Muchos de los residentes que se reasentaron en la comunidad siguen recibiendo los servicios de apoyo a la discapacidad del Ministerio de Salud.</w:t>
      </w:r>
    </w:p>
    <w:p w14:paraId="4B94F8B7" w14:textId="77777777" w:rsidR="00154216" w:rsidRPr="00154216" w:rsidRDefault="00154216" w:rsidP="00154216">
      <w:pPr>
        <w:pStyle w:val="SingleTxtG"/>
        <w:rPr>
          <w:rStyle w:val="Refdenotaalfinal"/>
          <w:lang w:val="es-ES_tradnl"/>
        </w:rPr>
      </w:pPr>
      <w:r w:rsidRPr="00154216">
        <w:rPr>
          <w:lang w:val="es-ES_tradnl"/>
        </w:rPr>
        <w:t>212.</w:t>
      </w:r>
      <w:r w:rsidRPr="00154216">
        <w:rPr>
          <w:lang w:val="es-ES_tradnl"/>
        </w:rPr>
        <w:tab/>
        <w:t>En 2008, el Instituto Donald Beasley</w:t>
      </w:r>
      <w:r w:rsidRPr="00154216">
        <w:rPr>
          <w:rStyle w:val="Refdenotaalfinal"/>
          <w:lang w:val="es-ES_tradnl"/>
        </w:rPr>
        <w:endnoteReference w:id="156"/>
      </w:r>
      <w:r w:rsidRPr="00154216">
        <w:rPr>
          <w:rStyle w:val="Refdenotaalfinal"/>
          <w:lang w:val="es-ES_tradnl"/>
        </w:rPr>
        <w:t xml:space="preserve"> </w:t>
      </w:r>
      <w:r w:rsidRPr="00154216">
        <w:rPr>
          <w:lang w:val="es-ES_tradnl"/>
        </w:rPr>
        <w:t xml:space="preserve">examinó los resultados del reasentamiento de los residentes del centro Kimberley. Según ese estudio, </w:t>
      </w:r>
      <w:r>
        <w:rPr>
          <w:lang w:val="es-ES_tradnl"/>
        </w:rPr>
        <w:t>“</w:t>
      </w:r>
      <w:r w:rsidRPr="00154216">
        <w:rPr>
          <w:lang w:val="es-ES_tradnl"/>
        </w:rPr>
        <w:t>las investigaciones sobre los efectos de la desinstitucionalización en las personas con discapacidad intelectual demuestran con creces la existencia de mejoras en la actitud de adaptación, las condiciones materiales, el desarrollo personal, la participación en actividades de la vida cotidiana, el contacto con la familia y la participación en actividades de la comunidad</w:t>
      </w:r>
      <w:r>
        <w:rPr>
          <w:lang w:val="es-ES_tradnl"/>
        </w:rPr>
        <w:t>”</w:t>
      </w:r>
      <w:r w:rsidRPr="00154216">
        <w:rPr>
          <w:rStyle w:val="Refdenotaalfinal"/>
          <w:lang w:val="es-ES_tradnl"/>
        </w:rPr>
        <w:endnoteReference w:id="157"/>
      </w:r>
      <w:r w:rsidR="00046E43">
        <w:rPr>
          <w:lang w:val="es-ES_tradnl"/>
        </w:rPr>
        <w:t>.</w:t>
      </w:r>
    </w:p>
    <w:p w14:paraId="2D1652A2" w14:textId="77777777" w:rsidR="00154216" w:rsidRPr="00154216" w:rsidRDefault="00154216" w:rsidP="00506013">
      <w:pPr>
        <w:pStyle w:val="H23G"/>
        <w:rPr>
          <w:lang w:val="es-ES_tradnl"/>
        </w:rPr>
      </w:pPr>
      <w:r w:rsidRPr="00154216">
        <w:rPr>
          <w:lang w:val="es-ES_tradnl"/>
        </w:rPr>
        <w:tab/>
      </w:r>
      <w:r w:rsidRPr="00154216">
        <w:rPr>
          <w:lang w:val="es-ES_tradnl"/>
        </w:rPr>
        <w:tab/>
        <w:t xml:space="preserve">Respuesta al párrafo 18 c)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4C6CD5A3" w14:textId="77777777" w:rsidR="00154216" w:rsidRPr="00154216" w:rsidRDefault="00154216" w:rsidP="00154216">
      <w:pPr>
        <w:pStyle w:val="SingleTxtG"/>
        <w:rPr>
          <w:lang w:val="es-ES_tradnl"/>
        </w:rPr>
      </w:pPr>
      <w:r w:rsidRPr="00154216">
        <w:rPr>
          <w:lang w:val="es-ES_tradnl"/>
        </w:rPr>
        <w:t>213.</w:t>
      </w:r>
      <w:r w:rsidRPr="00154216">
        <w:rPr>
          <w:lang w:val="es-ES_tradnl"/>
        </w:rPr>
        <w:tab/>
        <w:t xml:space="preserve">El Gobierno financia los Servicios de Apoyo al Hogar y la Comunidad y los Servicios de Apoyo a la Subsistencia para ayudar a las personas con discapacidad a vivir de forma independiente y a ser incluidas en la comunidad. </w:t>
      </w:r>
    </w:p>
    <w:p w14:paraId="064C9E51" w14:textId="77777777" w:rsidR="00154216" w:rsidRPr="00154216" w:rsidRDefault="00154216" w:rsidP="00154216">
      <w:pPr>
        <w:pStyle w:val="SingleTxtG"/>
        <w:rPr>
          <w:lang w:val="es-ES_tradnl"/>
        </w:rPr>
      </w:pPr>
      <w:r w:rsidRPr="00154216">
        <w:rPr>
          <w:lang w:val="es-ES_tradnl"/>
        </w:rPr>
        <w:t>214.</w:t>
      </w:r>
      <w:r w:rsidRPr="00154216">
        <w:rPr>
          <w:lang w:val="es-ES_tradnl"/>
        </w:rPr>
        <w:tab/>
        <w:t xml:space="preserve">El Gobierno está ensayando un nuevo enfoque, de </w:t>
      </w:r>
      <w:r>
        <w:rPr>
          <w:lang w:val="es-ES_tradnl"/>
        </w:rPr>
        <w:t>“</w:t>
      </w:r>
      <w:r w:rsidRPr="00154216">
        <w:rPr>
          <w:lang w:val="es-ES_tradnl"/>
        </w:rPr>
        <w:t>opciones de vida en comunidad</w:t>
      </w:r>
      <w:r>
        <w:rPr>
          <w:lang w:val="es-ES_tradnl"/>
        </w:rPr>
        <w:t>”</w:t>
      </w:r>
      <w:r w:rsidRPr="00154216">
        <w:rPr>
          <w:rStyle w:val="Refdenotaalfinal"/>
          <w:lang w:val="es-ES_tradnl"/>
        </w:rPr>
        <w:endnoteReference w:id="158"/>
      </w:r>
      <w:r w:rsidR="00EE7321">
        <w:rPr>
          <w:lang w:val="es-ES_tradnl"/>
        </w:rPr>
        <w:t>,</w:t>
      </w:r>
      <w:r w:rsidRPr="00154216">
        <w:rPr>
          <w:lang w:val="es-ES_tradnl"/>
        </w:rPr>
        <w:t xml:space="preserve"> como alternativa a los servicios residenciales para las personas con discapacidad considerable. Esto permite a las personas decidir sobre su financiación y las modalidades de apoyo a que han de acogerse viviendo en su propio hogar.</w:t>
      </w:r>
    </w:p>
    <w:p w14:paraId="44624392" w14:textId="77777777" w:rsidR="00154216" w:rsidRPr="00154216" w:rsidRDefault="00154216" w:rsidP="00154216">
      <w:pPr>
        <w:pStyle w:val="SingleTxtG"/>
        <w:rPr>
          <w:lang w:val="es-ES_tradnl"/>
        </w:rPr>
      </w:pPr>
      <w:r w:rsidRPr="00154216">
        <w:rPr>
          <w:lang w:val="es-ES_tradnl"/>
        </w:rPr>
        <w:t>215.</w:t>
      </w:r>
      <w:r w:rsidRPr="00154216">
        <w:rPr>
          <w:lang w:val="es-ES_tradnl"/>
        </w:rPr>
        <w:tab/>
        <w:t>El nuevo servicio se puso a prueba en dos regiones</w:t>
      </w:r>
      <w:r w:rsidRPr="00154216">
        <w:rPr>
          <w:rStyle w:val="Refdenotaalfinal"/>
          <w:lang w:val="es-ES_tradnl"/>
        </w:rPr>
        <w:endnoteReference w:id="159"/>
      </w:r>
      <w:r w:rsidRPr="00154216">
        <w:rPr>
          <w:rStyle w:val="Refdenotaalfinal"/>
          <w:lang w:val="es-ES_tradnl"/>
        </w:rPr>
        <w:t xml:space="preserve"> </w:t>
      </w:r>
      <w:r w:rsidRPr="00154216">
        <w:rPr>
          <w:lang w:val="es-ES_tradnl"/>
        </w:rPr>
        <w:t>y se extendió a otras tres</w:t>
      </w:r>
      <w:r w:rsidRPr="00154216">
        <w:rPr>
          <w:rStyle w:val="Refdenotaalfinal"/>
          <w:lang w:val="es-ES_tradnl"/>
        </w:rPr>
        <w:endnoteReference w:id="160"/>
      </w:r>
      <w:r w:rsidR="00EE7321">
        <w:rPr>
          <w:lang w:val="es-ES_tradnl"/>
        </w:rPr>
        <w:t>.</w:t>
      </w:r>
      <w:r w:rsidRPr="00154216">
        <w:rPr>
          <w:rStyle w:val="Refdenotaalfinal"/>
          <w:lang w:val="es-ES_tradnl"/>
        </w:rPr>
        <w:t xml:space="preserve"> </w:t>
      </w:r>
      <w:r w:rsidRPr="00154216">
        <w:rPr>
          <w:lang w:val="es-ES_tradnl"/>
        </w:rPr>
        <w:t xml:space="preserve">Al 26 de marzo de 2018 lo utilizaban 175 personas. A la espera de constatar los efectos del prototipo de transformación del sistema de apoyo a la discapacidad, actualmente no se proyecta ninguna expansión de este servicio. </w:t>
      </w:r>
    </w:p>
    <w:p w14:paraId="08C71015" w14:textId="77777777" w:rsidR="00154216" w:rsidRPr="00A87614" w:rsidRDefault="00506013" w:rsidP="00506013">
      <w:pPr>
        <w:pStyle w:val="H23G"/>
        <w:rPr>
          <w:b w:val="0"/>
          <w:bCs/>
          <w:lang w:val="es-ES_tradnl"/>
        </w:rPr>
      </w:pPr>
      <w:r>
        <w:rPr>
          <w:lang w:val="es-ES_tradnl"/>
        </w:rPr>
        <w:lastRenderedPageBreak/>
        <w:tab/>
      </w:r>
      <w:r>
        <w:rPr>
          <w:lang w:val="es-ES_tradnl"/>
        </w:rPr>
        <w:tab/>
      </w:r>
      <w:r w:rsidR="00154216" w:rsidRPr="00A87614">
        <w:rPr>
          <w:b w:val="0"/>
          <w:bCs/>
          <w:lang w:val="es-ES_tradnl"/>
        </w:rPr>
        <w:t>Cuadro</w:t>
      </w:r>
      <w:r>
        <w:rPr>
          <w:lang w:val="es-ES_tradnl"/>
        </w:rPr>
        <w:br/>
      </w:r>
      <w:r w:rsidR="00154216" w:rsidRPr="00154216">
        <w:rPr>
          <w:lang w:val="es-ES_tradnl"/>
        </w:rPr>
        <w:t>Recursos financieros asignados a los servicios</w:t>
      </w:r>
      <w:r w:rsidR="00A87614">
        <w:rPr>
          <w:lang w:val="es-ES_tradnl"/>
        </w:rPr>
        <w:br/>
      </w:r>
      <w:r w:rsidR="00A87614" w:rsidRPr="00A87614">
        <w:rPr>
          <w:b w:val="0"/>
          <w:bCs/>
          <w:sz w:val="16"/>
          <w:lang w:val="es-ES_tradnl"/>
        </w:rPr>
        <w:t>(</w:t>
      </w:r>
      <w:r w:rsidR="003451B1">
        <w:rPr>
          <w:b w:val="0"/>
          <w:bCs/>
          <w:sz w:val="16"/>
          <w:lang w:val="es-ES_tradnl"/>
        </w:rPr>
        <w:t>E</w:t>
      </w:r>
      <w:r w:rsidR="00A87614" w:rsidRPr="00A87614">
        <w:rPr>
          <w:b w:val="0"/>
          <w:bCs/>
          <w:sz w:val="16"/>
          <w:lang w:val="es-ES_tradnl"/>
        </w:rPr>
        <w:t>n millones de dólares neozelandeses)</w:t>
      </w:r>
    </w:p>
    <w:tbl>
      <w:tblPr>
        <w:tblStyle w:val="TableGridLight1"/>
        <w:tblW w:w="7370" w:type="dxa"/>
        <w:tblInd w:w="113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1134"/>
        <w:gridCol w:w="1178"/>
        <w:gridCol w:w="1253"/>
        <w:gridCol w:w="1253"/>
      </w:tblGrid>
      <w:tr w:rsidR="00154216" w:rsidRPr="00844BE6" w14:paraId="51BD9F03" w14:textId="77777777" w:rsidTr="00D9486C">
        <w:trPr>
          <w:trHeight w:val="240"/>
          <w:tblHeader/>
        </w:trPr>
        <w:tc>
          <w:tcPr>
            <w:tcW w:w="1731" w:type="pct"/>
            <w:tcBorders>
              <w:top w:val="single" w:sz="4" w:space="0" w:color="auto"/>
              <w:bottom w:val="single" w:sz="12" w:space="0" w:color="auto"/>
            </w:tcBorders>
            <w:shd w:val="clear" w:color="auto" w:fill="auto"/>
            <w:vAlign w:val="bottom"/>
            <w:hideMark/>
          </w:tcPr>
          <w:p w14:paraId="57C0B983" w14:textId="77777777" w:rsidR="00154216" w:rsidRPr="00844BE6" w:rsidRDefault="00154216" w:rsidP="00844BE6">
            <w:pPr>
              <w:pStyle w:val="SingleTxtG"/>
              <w:keepNext/>
              <w:keepLines/>
              <w:spacing w:before="80" w:after="80" w:line="200" w:lineRule="exact"/>
              <w:ind w:left="0" w:right="0"/>
              <w:jc w:val="left"/>
              <w:rPr>
                <w:rFonts w:ascii="Times New Roman" w:hAnsi="Times New Roman" w:cs="Times New Roman"/>
                <w:i/>
                <w:sz w:val="16"/>
                <w:lang w:val="es-ES_tradnl"/>
              </w:rPr>
            </w:pPr>
            <w:r w:rsidRPr="00844BE6">
              <w:rPr>
                <w:rFonts w:ascii="Times New Roman" w:hAnsi="Times New Roman" w:cs="Times New Roman"/>
                <w:i/>
                <w:iCs/>
                <w:sz w:val="16"/>
                <w:lang w:val="es-ES_tradnl"/>
              </w:rPr>
              <w:t xml:space="preserve">Año finalizado en junio </w:t>
            </w:r>
          </w:p>
        </w:tc>
        <w:tc>
          <w:tcPr>
            <w:tcW w:w="769" w:type="pct"/>
            <w:tcBorders>
              <w:top w:val="single" w:sz="4" w:space="0" w:color="auto"/>
              <w:bottom w:val="single" w:sz="12" w:space="0" w:color="auto"/>
            </w:tcBorders>
            <w:shd w:val="clear" w:color="auto" w:fill="auto"/>
            <w:vAlign w:val="bottom"/>
            <w:hideMark/>
          </w:tcPr>
          <w:p w14:paraId="1799C629" w14:textId="77777777" w:rsidR="00154216" w:rsidRPr="00844BE6" w:rsidRDefault="00154216" w:rsidP="00844BE6">
            <w:pPr>
              <w:pStyle w:val="SingleTxtG"/>
              <w:keepNext/>
              <w:keepLines/>
              <w:spacing w:before="80" w:after="80" w:line="200" w:lineRule="exact"/>
              <w:ind w:left="113" w:right="0"/>
              <w:jc w:val="right"/>
              <w:rPr>
                <w:rFonts w:ascii="Times New Roman" w:hAnsi="Times New Roman" w:cs="Times New Roman"/>
                <w:i/>
                <w:sz w:val="16"/>
                <w:lang w:val="es-ES_tradnl"/>
              </w:rPr>
            </w:pPr>
            <w:r w:rsidRPr="00844BE6">
              <w:rPr>
                <w:rFonts w:ascii="Times New Roman" w:hAnsi="Times New Roman" w:cs="Times New Roman"/>
                <w:i/>
                <w:iCs/>
                <w:sz w:val="16"/>
                <w:lang w:val="es-ES_tradnl"/>
              </w:rPr>
              <w:t>2016</w:t>
            </w:r>
          </w:p>
        </w:tc>
        <w:tc>
          <w:tcPr>
            <w:tcW w:w="799" w:type="pct"/>
            <w:tcBorders>
              <w:top w:val="single" w:sz="4" w:space="0" w:color="auto"/>
              <w:bottom w:val="single" w:sz="12" w:space="0" w:color="auto"/>
            </w:tcBorders>
            <w:shd w:val="clear" w:color="auto" w:fill="auto"/>
            <w:vAlign w:val="bottom"/>
            <w:hideMark/>
          </w:tcPr>
          <w:p w14:paraId="0153D822" w14:textId="77777777" w:rsidR="00154216" w:rsidRPr="00844BE6" w:rsidRDefault="00154216" w:rsidP="00844BE6">
            <w:pPr>
              <w:pStyle w:val="SingleTxtG"/>
              <w:keepNext/>
              <w:keepLines/>
              <w:spacing w:before="80" w:after="80" w:line="200" w:lineRule="exact"/>
              <w:ind w:left="113" w:right="0"/>
              <w:jc w:val="right"/>
              <w:rPr>
                <w:rFonts w:ascii="Times New Roman" w:hAnsi="Times New Roman" w:cs="Times New Roman"/>
                <w:i/>
                <w:iCs/>
                <w:sz w:val="16"/>
                <w:lang w:val="es-ES_tradnl"/>
              </w:rPr>
            </w:pPr>
            <w:r w:rsidRPr="00844BE6">
              <w:rPr>
                <w:rFonts w:ascii="Times New Roman" w:hAnsi="Times New Roman" w:cs="Times New Roman"/>
                <w:i/>
                <w:iCs/>
                <w:sz w:val="16"/>
                <w:lang w:val="es-ES_tradnl"/>
              </w:rPr>
              <w:t>2017</w:t>
            </w:r>
          </w:p>
        </w:tc>
        <w:tc>
          <w:tcPr>
            <w:tcW w:w="850" w:type="pct"/>
            <w:tcBorders>
              <w:top w:val="single" w:sz="4" w:space="0" w:color="auto"/>
              <w:bottom w:val="single" w:sz="12" w:space="0" w:color="auto"/>
            </w:tcBorders>
            <w:shd w:val="clear" w:color="auto" w:fill="auto"/>
            <w:vAlign w:val="bottom"/>
            <w:hideMark/>
          </w:tcPr>
          <w:p w14:paraId="08973D89" w14:textId="77777777" w:rsidR="00154216" w:rsidRPr="00844BE6" w:rsidRDefault="00154216" w:rsidP="00844BE6">
            <w:pPr>
              <w:pStyle w:val="SingleTxtG"/>
              <w:keepNext/>
              <w:keepLines/>
              <w:spacing w:before="80" w:after="80" w:line="200" w:lineRule="exact"/>
              <w:ind w:left="113" w:right="0"/>
              <w:jc w:val="right"/>
              <w:rPr>
                <w:rFonts w:ascii="Times New Roman" w:hAnsi="Times New Roman" w:cs="Times New Roman"/>
                <w:i/>
                <w:iCs/>
                <w:sz w:val="16"/>
                <w:lang w:val="es-ES_tradnl"/>
              </w:rPr>
            </w:pPr>
            <w:r w:rsidRPr="00844BE6">
              <w:rPr>
                <w:rFonts w:ascii="Times New Roman" w:hAnsi="Times New Roman" w:cs="Times New Roman"/>
                <w:i/>
                <w:iCs/>
                <w:sz w:val="16"/>
                <w:lang w:val="es-ES_tradnl"/>
              </w:rPr>
              <w:t>2018</w:t>
            </w:r>
          </w:p>
        </w:tc>
        <w:tc>
          <w:tcPr>
            <w:tcW w:w="850" w:type="pct"/>
            <w:tcBorders>
              <w:top w:val="single" w:sz="4" w:space="0" w:color="auto"/>
              <w:bottom w:val="single" w:sz="12" w:space="0" w:color="auto"/>
            </w:tcBorders>
            <w:shd w:val="clear" w:color="auto" w:fill="auto"/>
            <w:vAlign w:val="bottom"/>
            <w:hideMark/>
          </w:tcPr>
          <w:p w14:paraId="2D20788E" w14:textId="77777777" w:rsidR="00154216" w:rsidRPr="00844BE6" w:rsidRDefault="00154216" w:rsidP="00844BE6">
            <w:pPr>
              <w:pStyle w:val="SingleTxtG"/>
              <w:keepNext/>
              <w:keepLines/>
              <w:spacing w:before="80" w:after="80" w:line="200" w:lineRule="exact"/>
              <w:ind w:left="113" w:right="0"/>
              <w:jc w:val="right"/>
              <w:rPr>
                <w:rFonts w:ascii="Times New Roman" w:hAnsi="Times New Roman" w:cs="Times New Roman"/>
                <w:i/>
                <w:sz w:val="16"/>
                <w:lang w:val="es-ES_tradnl"/>
              </w:rPr>
            </w:pPr>
            <w:r w:rsidRPr="00844BE6">
              <w:rPr>
                <w:rFonts w:ascii="Times New Roman" w:hAnsi="Times New Roman" w:cs="Times New Roman"/>
                <w:i/>
                <w:iCs/>
                <w:sz w:val="16"/>
                <w:lang w:val="es-ES_tradnl"/>
              </w:rPr>
              <w:t>2019</w:t>
            </w:r>
          </w:p>
        </w:tc>
      </w:tr>
      <w:tr w:rsidR="00154216" w:rsidRPr="00844BE6" w14:paraId="0240B1D7" w14:textId="77777777" w:rsidTr="00D9486C">
        <w:trPr>
          <w:trHeight w:val="240"/>
        </w:trPr>
        <w:tc>
          <w:tcPr>
            <w:tcW w:w="1731" w:type="pct"/>
            <w:tcBorders>
              <w:top w:val="single" w:sz="12" w:space="0" w:color="auto"/>
            </w:tcBorders>
            <w:shd w:val="clear" w:color="auto" w:fill="auto"/>
            <w:hideMark/>
          </w:tcPr>
          <w:p w14:paraId="728A19DB" w14:textId="77777777" w:rsidR="00154216" w:rsidRPr="00844BE6" w:rsidRDefault="00154216" w:rsidP="00844BE6">
            <w:pPr>
              <w:pStyle w:val="SingleTxtG"/>
              <w:keepNext/>
              <w:keepLines/>
              <w:spacing w:before="40" w:after="40" w:line="220" w:lineRule="exact"/>
              <w:ind w:left="0" w:right="0"/>
              <w:jc w:val="left"/>
              <w:rPr>
                <w:rFonts w:ascii="Times New Roman" w:hAnsi="Times New Roman" w:cs="Times New Roman"/>
                <w:sz w:val="18"/>
                <w:lang w:val="es-ES_tradnl"/>
              </w:rPr>
            </w:pPr>
            <w:r w:rsidRPr="00844BE6">
              <w:rPr>
                <w:rFonts w:ascii="Times New Roman" w:hAnsi="Times New Roman" w:cs="Times New Roman"/>
                <w:sz w:val="18"/>
                <w:lang w:val="es-ES_tradnl"/>
              </w:rPr>
              <w:t xml:space="preserve">Servicios de Apoyo al Hogar y </w:t>
            </w:r>
            <w:r w:rsidR="00D9486C">
              <w:rPr>
                <w:rFonts w:ascii="Times New Roman" w:hAnsi="Times New Roman" w:cs="Times New Roman"/>
                <w:sz w:val="18"/>
                <w:lang w:val="es-ES_tradnl"/>
              </w:rPr>
              <w:br/>
            </w:r>
            <w:r w:rsidRPr="00844BE6">
              <w:rPr>
                <w:rFonts w:ascii="Times New Roman" w:hAnsi="Times New Roman" w:cs="Times New Roman"/>
                <w:sz w:val="18"/>
                <w:lang w:val="es-ES_tradnl"/>
              </w:rPr>
              <w:t xml:space="preserve">la Comunidad – Gestión del hogar </w:t>
            </w:r>
          </w:p>
        </w:tc>
        <w:tc>
          <w:tcPr>
            <w:tcW w:w="769" w:type="pct"/>
            <w:tcBorders>
              <w:top w:val="single" w:sz="12" w:space="0" w:color="auto"/>
            </w:tcBorders>
            <w:shd w:val="clear" w:color="auto" w:fill="auto"/>
            <w:vAlign w:val="bottom"/>
            <w:hideMark/>
          </w:tcPr>
          <w:p w14:paraId="370ECDF6" w14:textId="77777777" w:rsidR="00154216" w:rsidRPr="00844BE6" w:rsidRDefault="00154216" w:rsidP="00844BE6">
            <w:pPr>
              <w:pStyle w:val="SingleTxtG"/>
              <w:keepNext/>
              <w:keepLines/>
              <w:spacing w:before="40" w:after="40" w:line="220" w:lineRule="exact"/>
              <w:ind w:left="113" w:right="0"/>
              <w:jc w:val="right"/>
              <w:rPr>
                <w:rFonts w:ascii="Times New Roman" w:hAnsi="Times New Roman" w:cs="Times New Roman"/>
                <w:sz w:val="18"/>
                <w:lang w:val="es-ES_tradnl"/>
              </w:rPr>
            </w:pPr>
            <w:r w:rsidRPr="00844BE6">
              <w:rPr>
                <w:rFonts w:ascii="Times New Roman" w:hAnsi="Times New Roman" w:cs="Times New Roman"/>
                <w:sz w:val="18"/>
                <w:lang w:val="es-ES_tradnl"/>
              </w:rPr>
              <w:t xml:space="preserve">50,9 </w:t>
            </w:r>
          </w:p>
        </w:tc>
        <w:tc>
          <w:tcPr>
            <w:tcW w:w="799" w:type="pct"/>
            <w:tcBorders>
              <w:top w:val="single" w:sz="12" w:space="0" w:color="auto"/>
            </w:tcBorders>
            <w:shd w:val="clear" w:color="auto" w:fill="auto"/>
            <w:vAlign w:val="bottom"/>
            <w:hideMark/>
          </w:tcPr>
          <w:p w14:paraId="4E002351" w14:textId="77777777" w:rsidR="00154216" w:rsidRPr="00844BE6" w:rsidRDefault="00154216" w:rsidP="00844BE6">
            <w:pPr>
              <w:pStyle w:val="SingleTxtG"/>
              <w:keepNext/>
              <w:keepLines/>
              <w:spacing w:before="40" w:after="40" w:line="220" w:lineRule="exact"/>
              <w:ind w:left="113" w:right="0"/>
              <w:jc w:val="right"/>
              <w:rPr>
                <w:rFonts w:ascii="Times New Roman" w:hAnsi="Times New Roman" w:cs="Times New Roman"/>
                <w:sz w:val="18"/>
                <w:lang w:val="es-ES_tradnl"/>
              </w:rPr>
            </w:pPr>
            <w:r w:rsidRPr="00844BE6">
              <w:rPr>
                <w:rFonts w:ascii="Times New Roman" w:hAnsi="Times New Roman" w:cs="Times New Roman"/>
                <w:sz w:val="18"/>
                <w:lang w:val="es-ES_tradnl"/>
              </w:rPr>
              <w:t>48,8</w:t>
            </w:r>
          </w:p>
        </w:tc>
        <w:tc>
          <w:tcPr>
            <w:tcW w:w="850" w:type="pct"/>
            <w:tcBorders>
              <w:top w:val="single" w:sz="12" w:space="0" w:color="auto"/>
            </w:tcBorders>
            <w:shd w:val="clear" w:color="auto" w:fill="auto"/>
            <w:vAlign w:val="bottom"/>
            <w:hideMark/>
          </w:tcPr>
          <w:p w14:paraId="7657C92B" w14:textId="77777777" w:rsidR="00154216" w:rsidRPr="00844BE6" w:rsidRDefault="00154216" w:rsidP="00844BE6">
            <w:pPr>
              <w:pStyle w:val="SingleTxtG"/>
              <w:keepNext/>
              <w:keepLines/>
              <w:spacing w:before="40" w:after="40" w:line="220" w:lineRule="exact"/>
              <w:ind w:left="113" w:right="0"/>
              <w:jc w:val="right"/>
              <w:rPr>
                <w:rFonts w:ascii="Times New Roman" w:hAnsi="Times New Roman" w:cs="Times New Roman"/>
                <w:sz w:val="18"/>
                <w:lang w:val="es-ES_tradnl"/>
              </w:rPr>
            </w:pPr>
            <w:r w:rsidRPr="00844BE6">
              <w:rPr>
                <w:rFonts w:ascii="Times New Roman" w:hAnsi="Times New Roman" w:cs="Times New Roman"/>
                <w:sz w:val="18"/>
                <w:lang w:val="es-ES_tradnl"/>
              </w:rPr>
              <w:t xml:space="preserve">45,3 </w:t>
            </w:r>
          </w:p>
        </w:tc>
        <w:tc>
          <w:tcPr>
            <w:tcW w:w="850" w:type="pct"/>
            <w:tcBorders>
              <w:top w:val="single" w:sz="12" w:space="0" w:color="auto"/>
            </w:tcBorders>
            <w:shd w:val="clear" w:color="auto" w:fill="auto"/>
            <w:vAlign w:val="bottom"/>
            <w:hideMark/>
          </w:tcPr>
          <w:p w14:paraId="20CD624C" w14:textId="77777777" w:rsidR="00154216" w:rsidRPr="00844BE6" w:rsidRDefault="00154216" w:rsidP="00844BE6">
            <w:pPr>
              <w:pStyle w:val="SingleTxtG"/>
              <w:keepNext/>
              <w:keepLines/>
              <w:spacing w:before="40" w:after="40" w:line="220" w:lineRule="exact"/>
              <w:ind w:left="113" w:right="0"/>
              <w:jc w:val="right"/>
              <w:rPr>
                <w:rFonts w:ascii="Times New Roman" w:hAnsi="Times New Roman" w:cs="Times New Roman"/>
                <w:sz w:val="18"/>
                <w:lang w:val="es-ES_tradnl"/>
              </w:rPr>
            </w:pPr>
            <w:r w:rsidRPr="00844BE6">
              <w:rPr>
                <w:rFonts w:ascii="Times New Roman" w:hAnsi="Times New Roman" w:cs="Times New Roman"/>
                <w:sz w:val="18"/>
                <w:lang w:val="es-ES_tradnl"/>
              </w:rPr>
              <w:t>44,4</w:t>
            </w:r>
          </w:p>
        </w:tc>
      </w:tr>
      <w:tr w:rsidR="00154216" w:rsidRPr="00844BE6" w14:paraId="4603F175" w14:textId="77777777" w:rsidTr="00D9486C">
        <w:trPr>
          <w:trHeight w:val="240"/>
        </w:trPr>
        <w:tc>
          <w:tcPr>
            <w:tcW w:w="1731" w:type="pct"/>
            <w:shd w:val="clear" w:color="auto" w:fill="auto"/>
            <w:hideMark/>
          </w:tcPr>
          <w:p w14:paraId="06F32960" w14:textId="77777777" w:rsidR="00154216" w:rsidRPr="00844BE6" w:rsidRDefault="00154216" w:rsidP="00844BE6">
            <w:pPr>
              <w:pStyle w:val="SingleTxtG"/>
              <w:spacing w:before="40" w:after="40" w:line="220" w:lineRule="exact"/>
              <w:ind w:left="0" w:right="0"/>
              <w:jc w:val="left"/>
              <w:rPr>
                <w:rFonts w:ascii="Times New Roman" w:hAnsi="Times New Roman" w:cs="Times New Roman"/>
                <w:sz w:val="18"/>
                <w:lang w:val="es-ES_tradnl"/>
              </w:rPr>
            </w:pPr>
            <w:r w:rsidRPr="00844BE6">
              <w:rPr>
                <w:rFonts w:ascii="Times New Roman" w:hAnsi="Times New Roman" w:cs="Times New Roman"/>
                <w:sz w:val="18"/>
                <w:lang w:val="es-ES_tradnl"/>
              </w:rPr>
              <w:t xml:space="preserve">Servicios de Apoyo al Hogar y la Comunidad – Atención personal </w:t>
            </w:r>
          </w:p>
        </w:tc>
        <w:tc>
          <w:tcPr>
            <w:tcW w:w="769" w:type="pct"/>
            <w:shd w:val="clear" w:color="auto" w:fill="auto"/>
            <w:vAlign w:val="bottom"/>
            <w:hideMark/>
          </w:tcPr>
          <w:p w14:paraId="3986F80F" w14:textId="77777777" w:rsidR="00154216" w:rsidRPr="00844BE6" w:rsidRDefault="00154216" w:rsidP="00844BE6">
            <w:pPr>
              <w:pStyle w:val="SingleTxtG"/>
              <w:spacing w:before="40" w:after="40" w:line="220" w:lineRule="exact"/>
              <w:ind w:left="113" w:right="0"/>
              <w:jc w:val="right"/>
              <w:rPr>
                <w:rFonts w:ascii="Times New Roman" w:hAnsi="Times New Roman" w:cs="Times New Roman"/>
                <w:sz w:val="18"/>
                <w:lang w:val="es-ES_tradnl"/>
              </w:rPr>
            </w:pPr>
            <w:r w:rsidRPr="00844BE6">
              <w:rPr>
                <w:rFonts w:ascii="Times New Roman" w:hAnsi="Times New Roman" w:cs="Times New Roman"/>
                <w:sz w:val="18"/>
                <w:lang w:val="es-ES_tradnl"/>
              </w:rPr>
              <w:t xml:space="preserve">99,6 </w:t>
            </w:r>
          </w:p>
        </w:tc>
        <w:tc>
          <w:tcPr>
            <w:tcW w:w="799" w:type="pct"/>
            <w:shd w:val="clear" w:color="auto" w:fill="auto"/>
            <w:vAlign w:val="bottom"/>
            <w:hideMark/>
          </w:tcPr>
          <w:p w14:paraId="09E71A0E" w14:textId="77777777" w:rsidR="00154216" w:rsidRPr="00844BE6" w:rsidRDefault="00154216" w:rsidP="00844BE6">
            <w:pPr>
              <w:pStyle w:val="SingleTxtG"/>
              <w:spacing w:before="40" w:after="40" w:line="220" w:lineRule="exact"/>
              <w:ind w:left="113" w:right="0"/>
              <w:jc w:val="right"/>
              <w:rPr>
                <w:rFonts w:ascii="Times New Roman" w:hAnsi="Times New Roman" w:cs="Times New Roman"/>
                <w:sz w:val="18"/>
                <w:lang w:val="es-ES_tradnl"/>
              </w:rPr>
            </w:pPr>
            <w:r w:rsidRPr="00844BE6">
              <w:rPr>
                <w:rFonts w:ascii="Times New Roman" w:hAnsi="Times New Roman" w:cs="Times New Roman"/>
                <w:sz w:val="18"/>
                <w:lang w:val="es-ES_tradnl"/>
              </w:rPr>
              <w:t xml:space="preserve">106,4 </w:t>
            </w:r>
          </w:p>
        </w:tc>
        <w:tc>
          <w:tcPr>
            <w:tcW w:w="850" w:type="pct"/>
            <w:shd w:val="clear" w:color="auto" w:fill="auto"/>
            <w:vAlign w:val="bottom"/>
            <w:hideMark/>
          </w:tcPr>
          <w:p w14:paraId="01DF41A3" w14:textId="77777777" w:rsidR="00154216" w:rsidRPr="00844BE6" w:rsidRDefault="00154216" w:rsidP="00844BE6">
            <w:pPr>
              <w:pStyle w:val="SingleTxtG"/>
              <w:spacing w:before="40" w:after="40" w:line="220" w:lineRule="exact"/>
              <w:ind w:left="113" w:right="0"/>
              <w:jc w:val="right"/>
              <w:rPr>
                <w:rFonts w:ascii="Times New Roman" w:hAnsi="Times New Roman" w:cs="Times New Roman"/>
                <w:sz w:val="18"/>
                <w:lang w:val="es-ES_tradnl"/>
              </w:rPr>
            </w:pPr>
            <w:r w:rsidRPr="00844BE6">
              <w:rPr>
                <w:rFonts w:ascii="Times New Roman" w:hAnsi="Times New Roman" w:cs="Times New Roman"/>
                <w:sz w:val="18"/>
                <w:lang w:val="es-ES_tradnl"/>
              </w:rPr>
              <w:t xml:space="preserve">106,1 </w:t>
            </w:r>
          </w:p>
        </w:tc>
        <w:tc>
          <w:tcPr>
            <w:tcW w:w="850" w:type="pct"/>
            <w:shd w:val="clear" w:color="auto" w:fill="auto"/>
            <w:vAlign w:val="bottom"/>
            <w:hideMark/>
          </w:tcPr>
          <w:p w14:paraId="6CE5C6AE" w14:textId="77777777" w:rsidR="00154216" w:rsidRPr="00844BE6" w:rsidRDefault="00154216" w:rsidP="00844BE6">
            <w:pPr>
              <w:pStyle w:val="SingleTxtG"/>
              <w:spacing w:before="40" w:after="40" w:line="220" w:lineRule="exact"/>
              <w:ind w:left="113" w:right="0"/>
              <w:jc w:val="right"/>
              <w:rPr>
                <w:rFonts w:ascii="Times New Roman" w:hAnsi="Times New Roman" w:cs="Times New Roman"/>
                <w:sz w:val="18"/>
                <w:lang w:val="es-ES_tradnl"/>
              </w:rPr>
            </w:pPr>
            <w:r w:rsidRPr="00844BE6">
              <w:rPr>
                <w:rFonts w:ascii="Times New Roman" w:hAnsi="Times New Roman" w:cs="Times New Roman"/>
                <w:sz w:val="18"/>
                <w:lang w:val="es-ES_tradnl"/>
              </w:rPr>
              <w:t xml:space="preserve">112,5 </w:t>
            </w:r>
          </w:p>
        </w:tc>
      </w:tr>
      <w:tr w:rsidR="00154216" w:rsidRPr="00844BE6" w14:paraId="2A33E9E2" w14:textId="77777777" w:rsidTr="00D9486C">
        <w:trPr>
          <w:trHeight w:val="240"/>
        </w:trPr>
        <w:tc>
          <w:tcPr>
            <w:tcW w:w="1731" w:type="pct"/>
            <w:tcBorders>
              <w:bottom w:val="single" w:sz="4" w:space="0" w:color="auto"/>
            </w:tcBorders>
            <w:shd w:val="clear" w:color="auto" w:fill="auto"/>
            <w:hideMark/>
          </w:tcPr>
          <w:p w14:paraId="2052E3CE" w14:textId="77777777" w:rsidR="00154216" w:rsidRPr="00844BE6" w:rsidRDefault="00154216" w:rsidP="00844BE6">
            <w:pPr>
              <w:pStyle w:val="SingleTxtG"/>
              <w:spacing w:before="40" w:after="40" w:line="220" w:lineRule="exact"/>
              <w:ind w:left="0" w:right="0"/>
              <w:jc w:val="left"/>
              <w:rPr>
                <w:rFonts w:ascii="Times New Roman" w:hAnsi="Times New Roman" w:cs="Times New Roman"/>
                <w:sz w:val="18"/>
                <w:lang w:val="es-ES_tradnl"/>
              </w:rPr>
            </w:pPr>
            <w:r w:rsidRPr="00844BE6">
              <w:rPr>
                <w:rFonts w:ascii="Times New Roman" w:hAnsi="Times New Roman" w:cs="Times New Roman"/>
                <w:sz w:val="18"/>
                <w:lang w:val="es-ES_tradnl"/>
              </w:rPr>
              <w:t xml:space="preserve">Apoyo a la subsistencia </w:t>
            </w:r>
          </w:p>
        </w:tc>
        <w:tc>
          <w:tcPr>
            <w:tcW w:w="769" w:type="pct"/>
            <w:tcBorders>
              <w:bottom w:val="single" w:sz="4" w:space="0" w:color="auto"/>
            </w:tcBorders>
            <w:shd w:val="clear" w:color="auto" w:fill="auto"/>
            <w:vAlign w:val="bottom"/>
            <w:hideMark/>
          </w:tcPr>
          <w:p w14:paraId="26FA288F" w14:textId="77777777" w:rsidR="00154216" w:rsidRPr="00844BE6" w:rsidRDefault="00154216" w:rsidP="00844BE6">
            <w:pPr>
              <w:pStyle w:val="SingleTxtG"/>
              <w:spacing w:before="40" w:after="40" w:line="220" w:lineRule="exact"/>
              <w:ind w:left="113" w:right="0"/>
              <w:jc w:val="right"/>
              <w:rPr>
                <w:rFonts w:ascii="Times New Roman" w:hAnsi="Times New Roman" w:cs="Times New Roman"/>
                <w:sz w:val="18"/>
                <w:lang w:val="es-ES_tradnl"/>
              </w:rPr>
            </w:pPr>
            <w:r w:rsidRPr="00844BE6">
              <w:rPr>
                <w:rFonts w:ascii="Times New Roman" w:hAnsi="Times New Roman" w:cs="Times New Roman"/>
                <w:sz w:val="18"/>
                <w:lang w:val="es-ES_tradnl"/>
              </w:rPr>
              <w:t xml:space="preserve">51,6 </w:t>
            </w:r>
          </w:p>
        </w:tc>
        <w:tc>
          <w:tcPr>
            <w:tcW w:w="799" w:type="pct"/>
            <w:tcBorders>
              <w:bottom w:val="single" w:sz="4" w:space="0" w:color="auto"/>
            </w:tcBorders>
            <w:shd w:val="clear" w:color="auto" w:fill="auto"/>
            <w:vAlign w:val="bottom"/>
            <w:hideMark/>
          </w:tcPr>
          <w:p w14:paraId="65F2BDCE" w14:textId="77777777" w:rsidR="00154216" w:rsidRPr="00844BE6" w:rsidRDefault="00154216" w:rsidP="00844BE6">
            <w:pPr>
              <w:pStyle w:val="SingleTxtG"/>
              <w:spacing w:before="40" w:after="40" w:line="220" w:lineRule="exact"/>
              <w:ind w:left="113" w:right="0"/>
              <w:jc w:val="right"/>
              <w:rPr>
                <w:rFonts w:ascii="Times New Roman" w:hAnsi="Times New Roman" w:cs="Times New Roman"/>
                <w:sz w:val="18"/>
                <w:lang w:val="es-ES_tradnl"/>
              </w:rPr>
            </w:pPr>
            <w:r w:rsidRPr="00844BE6">
              <w:rPr>
                <w:rFonts w:ascii="Times New Roman" w:hAnsi="Times New Roman" w:cs="Times New Roman"/>
                <w:sz w:val="18"/>
                <w:lang w:val="es-ES_tradnl"/>
              </w:rPr>
              <w:t xml:space="preserve">52,3 </w:t>
            </w:r>
          </w:p>
        </w:tc>
        <w:tc>
          <w:tcPr>
            <w:tcW w:w="850" w:type="pct"/>
            <w:tcBorders>
              <w:bottom w:val="single" w:sz="4" w:space="0" w:color="auto"/>
            </w:tcBorders>
            <w:shd w:val="clear" w:color="auto" w:fill="auto"/>
            <w:vAlign w:val="bottom"/>
            <w:hideMark/>
          </w:tcPr>
          <w:p w14:paraId="2C686918" w14:textId="77777777" w:rsidR="00154216" w:rsidRPr="00844BE6" w:rsidRDefault="00154216" w:rsidP="00844BE6">
            <w:pPr>
              <w:pStyle w:val="SingleTxtG"/>
              <w:spacing w:before="40" w:after="40" w:line="220" w:lineRule="exact"/>
              <w:ind w:left="113" w:right="0"/>
              <w:jc w:val="right"/>
              <w:rPr>
                <w:rFonts w:ascii="Times New Roman" w:hAnsi="Times New Roman" w:cs="Times New Roman"/>
                <w:sz w:val="18"/>
                <w:lang w:val="es-ES_tradnl"/>
              </w:rPr>
            </w:pPr>
            <w:r w:rsidRPr="00844BE6">
              <w:rPr>
                <w:rFonts w:ascii="Times New Roman" w:hAnsi="Times New Roman" w:cs="Times New Roman"/>
                <w:sz w:val="18"/>
                <w:lang w:val="es-ES_tradnl"/>
              </w:rPr>
              <w:t xml:space="preserve">55,4 </w:t>
            </w:r>
          </w:p>
        </w:tc>
        <w:tc>
          <w:tcPr>
            <w:tcW w:w="850" w:type="pct"/>
            <w:tcBorders>
              <w:bottom w:val="single" w:sz="4" w:space="0" w:color="auto"/>
            </w:tcBorders>
            <w:shd w:val="clear" w:color="auto" w:fill="auto"/>
            <w:vAlign w:val="bottom"/>
            <w:hideMark/>
          </w:tcPr>
          <w:p w14:paraId="3C948EB7" w14:textId="77777777" w:rsidR="00154216" w:rsidRPr="00844BE6" w:rsidRDefault="00154216" w:rsidP="00844BE6">
            <w:pPr>
              <w:pStyle w:val="SingleTxtG"/>
              <w:spacing w:before="40" w:after="40" w:line="220" w:lineRule="exact"/>
              <w:ind w:left="113" w:right="0"/>
              <w:jc w:val="right"/>
              <w:rPr>
                <w:rFonts w:ascii="Times New Roman" w:hAnsi="Times New Roman" w:cs="Times New Roman"/>
                <w:sz w:val="18"/>
                <w:lang w:val="es-ES_tradnl"/>
              </w:rPr>
            </w:pPr>
            <w:r w:rsidRPr="00844BE6">
              <w:rPr>
                <w:rFonts w:ascii="Times New Roman" w:hAnsi="Times New Roman" w:cs="Times New Roman"/>
                <w:sz w:val="18"/>
                <w:lang w:val="es-ES_tradnl"/>
              </w:rPr>
              <w:t xml:space="preserve">64,5 </w:t>
            </w:r>
          </w:p>
        </w:tc>
      </w:tr>
      <w:tr w:rsidR="00154216" w:rsidRPr="0010629D" w14:paraId="422C0836" w14:textId="77777777" w:rsidTr="00D9486C">
        <w:trPr>
          <w:trHeight w:val="240"/>
        </w:trPr>
        <w:tc>
          <w:tcPr>
            <w:tcW w:w="1731" w:type="pct"/>
            <w:tcBorders>
              <w:top w:val="single" w:sz="4" w:space="0" w:color="auto"/>
              <w:bottom w:val="single" w:sz="12" w:space="0" w:color="auto"/>
            </w:tcBorders>
            <w:shd w:val="clear" w:color="auto" w:fill="auto"/>
            <w:hideMark/>
          </w:tcPr>
          <w:p w14:paraId="24A0500E" w14:textId="77777777" w:rsidR="00154216" w:rsidRPr="0010629D" w:rsidRDefault="00154216" w:rsidP="0010629D">
            <w:pPr>
              <w:pStyle w:val="SingleTxtG"/>
              <w:spacing w:before="80" w:after="80" w:line="220" w:lineRule="exact"/>
              <w:ind w:left="283" w:right="0"/>
              <w:jc w:val="left"/>
              <w:rPr>
                <w:rFonts w:ascii="Times New Roman" w:hAnsi="Times New Roman" w:cs="Times New Roman"/>
                <w:b/>
                <w:sz w:val="18"/>
                <w:lang w:val="es-ES_tradnl"/>
              </w:rPr>
            </w:pPr>
            <w:r w:rsidRPr="0010629D">
              <w:rPr>
                <w:rFonts w:ascii="Times New Roman" w:hAnsi="Times New Roman" w:cs="Times New Roman"/>
                <w:b/>
                <w:bCs/>
                <w:sz w:val="18"/>
                <w:lang w:val="es-ES_tradnl"/>
              </w:rPr>
              <w:t>Total</w:t>
            </w:r>
            <w:r w:rsidRPr="0010629D">
              <w:rPr>
                <w:rFonts w:ascii="Times New Roman" w:hAnsi="Times New Roman" w:cs="Times New Roman"/>
                <w:b/>
                <w:sz w:val="18"/>
                <w:lang w:val="es-ES_tradnl"/>
              </w:rPr>
              <w:t xml:space="preserve"> </w:t>
            </w:r>
          </w:p>
        </w:tc>
        <w:tc>
          <w:tcPr>
            <w:tcW w:w="769" w:type="pct"/>
            <w:tcBorders>
              <w:top w:val="single" w:sz="4" w:space="0" w:color="auto"/>
              <w:bottom w:val="single" w:sz="12" w:space="0" w:color="auto"/>
            </w:tcBorders>
            <w:shd w:val="clear" w:color="auto" w:fill="auto"/>
            <w:vAlign w:val="bottom"/>
            <w:hideMark/>
          </w:tcPr>
          <w:p w14:paraId="352BF178" w14:textId="77777777" w:rsidR="00154216" w:rsidRPr="0010629D" w:rsidRDefault="00154216" w:rsidP="0010629D">
            <w:pPr>
              <w:pStyle w:val="SingleTxtG"/>
              <w:spacing w:before="80" w:after="80" w:line="220" w:lineRule="exact"/>
              <w:ind w:left="0" w:right="0"/>
              <w:jc w:val="right"/>
              <w:rPr>
                <w:rFonts w:ascii="Times New Roman" w:hAnsi="Times New Roman" w:cs="Times New Roman"/>
                <w:b/>
                <w:sz w:val="18"/>
                <w:lang w:val="es-ES_tradnl"/>
              </w:rPr>
            </w:pPr>
            <w:r w:rsidRPr="0010629D">
              <w:rPr>
                <w:rFonts w:ascii="Times New Roman" w:hAnsi="Times New Roman" w:cs="Times New Roman"/>
                <w:b/>
                <w:bCs/>
                <w:sz w:val="18"/>
                <w:lang w:val="es-ES_tradnl"/>
              </w:rPr>
              <w:t xml:space="preserve">202,1 </w:t>
            </w:r>
          </w:p>
        </w:tc>
        <w:tc>
          <w:tcPr>
            <w:tcW w:w="799" w:type="pct"/>
            <w:tcBorders>
              <w:top w:val="single" w:sz="4" w:space="0" w:color="auto"/>
              <w:bottom w:val="single" w:sz="12" w:space="0" w:color="auto"/>
            </w:tcBorders>
            <w:shd w:val="clear" w:color="auto" w:fill="auto"/>
            <w:vAlign w:val="bottom"/>
            <w:hideMark/>
          </w:tcPr>
          <w:p w14:paraId="71DB4DE6" w14:textId="77777777" w:rsidR="00154216" w:rsidRPr="0010629D" w:rsidRDefault="00154216" w:rsidP="0010629D">
            <w:pPr>
              <w:pStyle w:val="SingleTxtG"/>
              <w:spacing w:before="80" w:after="80" w:line="220" w:lineRule="exact"/>
              <w:ind w:left="0" w:right="0"/>
              <w:jc w:val="right"/>
              <w:rPr>
                <w:rFonts w:ascii="Times New Roman" w:hAnsi="Times New Roman" w:cs="Times New Roman"/>
                <w:b/>
                <w:sz w:val="18"/>
                <w:lang w:val="es-ES_tradnl"/>
              </w:rPr>
            </w:pPr>
            <w:r w:rsidRPr="0010629D">
              <w:rPr>
                <w:rFonts w:ascii="Times New Roman" w:hAnsi="Times New Roman" w:cs="Times New Roman"/>
                <w:b/>
                <w:bCs/>
                <w:sz w:val="18"/>
                <w:lang w:val="es-ES_tradnl"/>
              </w:rPr>
              <w:t xml:space="preserve">207,5 </w:t>
            </w:r>
          </w:p>
        </w:tc>
        <w:tc>
          <w:tcPr>
            <w:tcW w:w="850" w:type="pct"/>
            <w:tcBorders>
              <w:top w:val="single" w:sz="4" w:space="0" w:color="auto"/>
              <w:bottom w:val="single" w:sz="12" w:space="0" w:color="auto"/>
            </w:tcBorders>
            <w:shd w:val="clear" w:color="auto" w:fill="auto"/>
            <w:vAlign w:val="bottom"/>
            <w:hideMark/>
          </w:tcPr>
          <w:p w14:paraId="0548716F" w14:textId="77777777" w:rsidR="00154216" w:rsidRPr="0010629D" w:rsidRDefault="00154216" w:rsidP="0010629D">
            <w:pPr>
              <w:pStyle w:val="SingleTxtG"/>
              <w:spacing w:before="80" w:after="80" w:line="220" w:lineRule="exact"/>
              <w:ind w:left="0" w:right="0"/>
              <w:jc w:val="right"/>
              <w:rPr>
                <w:rFonts w:ascii="Times New Roman" w:hAnsi="Times New Roman" w:cs="Times New Roman"/>
                <w:b/>
                <w:sz w:val="18"/>
                <w:lang w:val="es-ES_tradnl"/>
              </w:rPr>
            </w:pPr>
            <w:r w:rsidRPr="0010629D">
              <w:rPr>
                <w:rFonts w:ascii="Times New Roman" w:hAnsi="Times New Roman" w:cs="Times New Roman"/>
                <w:b/>
                <w:bCs/>
                <w:sz w:val="18"/>
                <w:lang w:val="es-ES_tradnl"/>
              </w:rPr>
              <w:t xml:space="preserve">206,8 </w:t>
            </w:r>
          </w:p>
        </w:tc>
        <w:tc>
          <w:tcPr>
            <w:tcW w:w="850" w:type="pct"/>
            <w:tcBorders>
              <w:top w:val="single" w:sz="4" w:space="0" w:color="auto"/>
              <w:bottom w:val="single" w:sz="12" w:space="0" w:color="auto"/>
            </w:tcBorders>
            <w:shd w:val="clear" w:color="auto" w:fill="auto"/>
            <w:vAlign w:val="bottom"/>
            <w:hideMark/>
          </w:tcPr>
          <w:p w14:paraId="473472FC" w14:textId="77777777" w:rsidR="00154216" w:rsidRPr="0010629D" w:rsidRDefault="00154216" w:rsidP="0010629D">
            <w:pPr>
              <w:pStyle w:val="SingleTxtG"/>
              <w:spacing w:before="80" w:after="80" w:line="220" w:lineRule="exact"/>
              <w:ind w:left="0" w:right="0"/>
              <w:jc w:val="right"/>
              <w:rPr>
                <w:rFonts w:ascii="Times New Roman" w:hAnsi="Times New Roman" w:cs="Times New Roman"/>
                <w:b/>
                <w:sz w:val="18"/>
                <w:lang w:val="es-ES_tradnl"/>
              </w:rPr>
            </w:pPr>
            <w:r w:rsidRPr="0010629D">
              <w:rPr>
                <w:rFonts w:ascii="Times New Roman" w:hAnsi="Times New Roman" w:cs="Times New Roman"/>
                <w:b/>
                <w:bCs/>
                <w:sz w:val="18"/>
                <w:lang w:val="es-ES_tradnl"/>
              </w:rPr>
              <w:t xml:space="preserve">221,4 </w:t>
            </w:r>
          </w:p>
        </w:tc>
      </w:tr>
    </w:tbl>
    <w:p w14:paraId="2E43D137" w14:textId="77777777" w:rsidR="00154216" w:rsidRPr="00154216" w:rsidRDefault="00154216" w:rsidP="001E179A">
      <w:pPr>
        <w:pStyle w:val="H23G"/>
        <w:rPr>
          <w:lang w:val="es-ES_tradnl"/>
        </w:rPr>
      </w:pPr>
      <w:r w:rsidRPr="00154216">
        <w:rPr>
          <w:lang w:val="es-ES_tradnl"/>
        </w:rPr>
        <w:tab/>
      </w:r>
      <w:r w:rsidRPr="00154216">
        <w:rPr>
          <w:lang w:val="es-ES_tradnl"/>
        </w:rPr>
        <w:tab/>
        <w:t xml:space="preserve">Respuesta al párrafo 18 d)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7ABDFD66" w14:textId="77777777" w:rsidR="00154216" w:rsidRPr="00154216" w:rsidRDefault="00154216" w:rsidP="00154216">
      <w:pPr>
        <w:pStyle w:val="SingleTxtG"/>
        <w:rPr>
          <w:lang w:val="es-ES_tradnl"/>
        </w:rPr>
      </w:pPr>
      <w:r w:rsidRPr="00154216">
        <w:rPr>
          <w:lang w:val="es-ES_tradnl"/>
        </w:rPr>
        <w:t>216.</w:t>
      </w:r>
      <w:r w:rsidRPr="00154216">
        <w:rPr>
          <w:lang w:val="es-ES_tradnl"/>
        </w:rPr>
        <w:tab/>
        <w:t>No hay estrategias gubernamentales que garanticen la existencia de viviendas accesibles y asequibles para las personas con discapacidad.</w:t>
      </w:r>
    </w:p>
    <w:p w14:paraId="65AF2AC3" w14:textId="77777777" w:rsidR="00154216" w:rsidRPr="00154216" w:rsidRDefault="00154216" w:rsidP="00154216">
      <w:pPr>
        <w:pStyle w:val="SingleTxtG"/>
        <w:rPr>
          <w:lang w:val="es-ES_tradnl"/>
        </w:rPr>
      </w:pPr>
      <w:r w:rsidRPr="00154216">
        <w:rPr>
          <w:lang w:val="es-ES_tradnl"/>
        </w:rPr>
        <w:t>217.</w:t>
      </w:r>
      <w:r w:rsidRPr="00154216">
        <w:rPr>
          <w:lang w:val="es-ES_tradnl"/>
        </w:rPr>
        <w:tab/>
        <w:t xml:space="preserve">No hay requisitos jurídicos que obliguen a los constructores privados a construir viviendas accesibles en el marco de los proyectos habitacionales. </w:t>
      </w:r>
    </w:p>
    <w:p w14:paraId="0C086CA9" w14:textId="77777777" w:rsidR="00154216" w:rsidRPr="00154216" w:rsidRDefault="00154216" w:rsidP="00154216">
      <w:pPr>
        <w:pStyle w:val="SingleTxtG"/>
        <w:rPr>
          <w:lang w:val="es-ES_tradnl"/>
        </w:rPr>
      </w:pPr>
      <w:r w:rsidRPr="00154216">
        <w:rPr>
          <w:lang w:val="es-ES_tradnl"/>
        </w:rPr>
        <w:t>218.</w:t>
      </w:r>
      <w:r w:rsidRPr="00154216">
        <w:rPr>
          <w:lang w:val="es-ES_tradnl"/>
        </w:rPr>
        <w:tab/>
        <w:t>El Gobierno puede aprovisionarse proactivamente de viviendas accesibles para suministrar alojamiento temporal junto con un apoyo social adaptado a las personas con necesidad inmediata.</w:t>
      </w:r>
    </w:p>
    <w:p w14:paraId="3A3D3F80" w14:textId="77777777" w:rsidR="00154216" w:rsidRPr="00154216" w:rsidRDefault="00154216" w:rsidP="00154216">
      <w:pPr>
        <w:pStyle w:val="SingleTxtG"/>
        <w:rPr>
          <w:lang w:val="es-ES_tradnl"/>
        </w:rPr>
      </w:pPr>
      <w:r w:rsidRPr="00154216">
        <w:rPr>
          <w:lang w:val="es-ES_tradnl"/>
        </w:rPr>
        <w:t>219.</w:t>
      </w:r>
      <w:r w:rsidRPr="00154216">
        <w:rPr>
          <w:lang w:val="es-ES_tradnl"/>
        </w:rPr>
        <w:tab/>
        <w:t>La Corporación de la Vivienda de Nueva Zelandia</w:t>
      </w:r>
      <w:r w:rsidRPr="00154216">
        <w:rPr>
          <w:rStyle w:val="Refdenotaalfinal"/>
          <w:lang w:val="es-ES_tradnl"/>
        </w:rPr>
        <w:endnoteReference w:id="161"/>
      </w:r>
      <w:r w:rsidRPr="00154216">
        <w:rPr>
          <w:rStyle w:val="Refdenotaalfinal"/>
          <w:lang w:val="es-ES_tradnl"/>
        </w:rPr>
        <w:t xml:space="preserve"> </w:t>
      </w:r>
      <w:r w:rsidRPr="00154216">
        <w:rPr>
          <w:lang w:val="es-ES_tradnl"/>
        </w:rPr>
        <w:t xml:space="preserve">suministra viviendas públicas. Las viviendas que construye deben cumplir normas básicas de accesibilidad, como la existencia de pasillos anchos siempre que sea posible. Estas viviendas deben poder modificarse fácilmente para satisfacer una serie de necesidades de los usuarios conforme a los principios del diseño universal. A medida que el Gobierno construye y renueva más viviendas públicas, estamos examinando la manera de conseguir que estas brinden un entorno adecuado para las personas con discapacidad. </w:t>
      </w:r>
    </w:p>
    <w:p w14:paraId="5AB9DC80" w14:textId="77777777" w:rsidR="00154216" w:rsidRPr="00154216" w:rsidRDefault="00154216" w:rsidP="00154216">
      <w:pPr>
        <w:pStyle w:val="SingleTxtG"/>
        <w:rPr>
          <w:lang w:val="es-ES_tradnl"/>
        </w:rPr>
      </w:pPr>
      <w:r w:rsidRPr="00154216">
        <w:rPr>
          <w:lang w:val="es-ES_tradnl"/>
        </w:rPr>
        <w:t>220.</w:t>
      </w:r>
      <w:r w:rsidRPr="00154216">
        <w:rPr>
          <w:lang w:val="es-ES_tradnl"/>
        </w:rPr>
        <w:tab/>
        <w:t>El Gobierno financia las modificaciones de las viviendas (véase la pregunta 26</w:t>
      </w:r>
      <w:r w:rsidR="00C6463B">
        <w:rPr>
          <w:lang w:val="es-ES_tradnl"/>
        </w:rPr>
        <w:t> </w:t>
      </w:r>
      <w:r w:rsidRPr="00154216">
        <w:rPr>
          <w:lang w:val="es-ES_tradnl"/>
        </w:rPr>
        <w:t>a)</w:t>
      </w:r>
      <w:r w:rsidR="00C6463B">
        <w:rPr>
          <w:lang w:val="es-ES_tradnl"/>
        </w:rPr>
        <w:t> </w:t>
      </w:r>
      <w:proofErr w:type="spellStart"/>
      <w:r w:rsidRPr="00154216">
        <w:rPr>
          <w:lang w:val="es-ES_tradnl"/>
        </w:rPr>
        <w:t>iv</w:t>
      </w:r>
      <w:proofErr w:type="spellEnd"/>
      <w:r w:rsidRPr="00154216">
        <w:rPr>
          <w:lang w:val="es-ES_tradnl"/>
        </w:rPr>
        <w:t>)).</w:t>
      </w:r>
    </w:p>
    <w:p w14:paraId="274D13E3" w14:textId="77777777" w:rsidR="00154216" w:rsidRPr="00154216" w:rsidRDefault="00154216" w:rsidP="001E179A">
      <w:pPr>
        <w:pStyle w:val="H23G"/>
        <w:rPr>
          <w:lang w:val="es-ES_tradnl"/>
        </w:rPr>
      </w:pPr>
      <w:r w:rsidRPr="00154216">
        <w:rPr>
          <w:lang w:val="es-ES_tradnl"/>
        </w:rPr>
        <w:tab/>
      </w:r>
      <w:r w:rsidRPr="00154216">
        <w:rPr>
          <w:lang w:val="es-ES_tradnl"/>
        </w:rPr>
        <w:tab/>
        <w:t xml:space="preserve">Respuesta al párrafo 18 e)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5300A8D5" w14:textId="77777777" w:rsidR="00154216" w:rsidRPr="00154216" w:rsidRDefault="00154216" w:rsidP="00154216">
      <w:pPr>
        <w:pStyle w:val="SingleTxtG"/>
        <w:rPr>
          <w:lang w:val="es-ES_tradnl"/>
        </w:rPr>
      </w:pPr>
      <w:r w:rsidRPr="00154216">
        <w:rPr>
          <w:lang w:val="es-ES_tradnl"/>
        </w:rPr>
        <w:t>221.</w:t>
      </w:r>
      <w:r w:rsidRPr="00154216">
        <w:rPr>
          <w:lang w:val="es-ES_tradnl"/>
        </w:rPr>
        <w:tab/>
        <w:t>El prototipo de transformación del sistema de apoyo a la discapacidad promoverá el acceso a los servicios comunitarios ofreciendo a las personas más alternativas y un mayor control sobre los medios de apoyo a los que accedan. Véase la introducción.</w:t>
      </w:r>
    </w:p>
    <w:p w14:paraId="5B59C426" w14:textId="77777777" w:rsidR="00154216" w:rsidRPr="00154216" w:rsidRDefault="00154216" w:rsidP="001E179A">
      <w:pPr>
        <w:pStyle w:val="H23G"/>
        <w:rPr>
          <w:lang w:val="es-ES_tradnl"/>
        </w:rPr>
      </w:pPr>
      <w:r w:rsidRPr="00154216">
        <w:rPr>
          <w:lang w:val="es-ES_tradnl"/>
        </w:rPr>
        <w:tab/>
      </w:r>
      <w:r w:rsidRPr="00154216">
        <w:rPr>
          <w:lang w:val="es-ES_tradnl"/>
        </w:rPr>
        <w:tab/>
        <w:t xml:space="preserve">Respuesta al párrafo 18 f)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1DC6DEAB" w14:textId="77777777" w:rsidR="00154216" w:rsidRPr="00154216" w:rsidRDefault="00154216" w:rsidP="00154216">
      <w:pPr>
        <w:pStyle w:val="SingleTxtG"/>
        <w:rPr>
          <w:lang w:val="es-ES_tradnl"/>
        </w:rPr>
      </w:pPr>
      <w:r w:rsidRPr="00154216">
        <w:rPr>
          <w:lang w:val="es-ES_tradnl"/>
        </w:rPr>
        <w:t>222.</w:t>
      </w:r>
      <w:r w:rsidRPr="00154216">
        <w:rPr>
          <w:lang w:val="es-ES_tradnl"/>
        </w:rPr>
        <w:tab/>
        <w:t xml:space="preserve">Las encuestas del Gobierno no calibran específicamente las opiniones subjetivas de los neozelandeses sobre el grado de inclusión y reactividad de la sociedad. </w:t>
      </w:r>
    </w:p>
    <w:p w14:paraId="7158F912" w14:textId="77777777" w:rsidR="00154216" w:rsidRPr="00154216" w:rsidRDefault="00154216" w:rsidP="00154216">
      <w:pPr>
        <w:pStyle w:val="SingleTxtG"/>
        <w:rPr>
          <w:lang w:val="es-ES_tradnl"/>
        </w:rPr>
      </w:pPr>
      <w:r w:rsidRPr="00154216">
        <w:rPr>
          <w:lang w:val="es-ES_tradnl"/>
        </w:rPr>
        <w:t>223.</w:t>
      </w:r>
      <w:r w:rsidRPr="00154216">
        <w:rPr>
          <w:lang w:val="es-ES_tradnl"/>
        </w:rPr>
        <w:tab/>
        <w:t xml:space="preserve">La Encuesta Social General de Nueva Zelandia de 2016 dio una idea del bienestar social entre los adultos neozelandeses. En ella se constató que: </w:t>
      </w:r>
    </w:p>
    <w:p w14:paraId="7D581528" w14:textId="77777777" w:rsidR="00154216" w:rsidRPr="00154216" w:rsidRDefault="00154216" w:rsidP="001E179A">
      <w:pPr>
        <w:pStyle w:val="Bullet1G"/>
        <w:rPr>
          <w:lang w:val="es-ES_tradnl"/>
        </w:rPr>
      </w:pPr>
      <w:r w:rsidRPr="00154216">
        <w:rPr>
          <w:lang w:val="es-ES_tradnl"/>
        </w:rPr>
        <w:t>El 62</w:t>
      </w:r>
      <w:r w:rsidR="00D37C06">
        <w:rPr>
          <w:lang w:val="es-ES_tradnl"/>
        </w:rPr>
        <w:t> %</w:t>
      </w:r>
      <w:r w:rsidRPr="00154216">
        <w:rPr>
          <w:lang w:val="es-ES_tradnl"/>
        </w:rPr>
        <w:t xml:space="preserve"> de los adultos con discapacidad (en comparación con un 85</w:t>
      </w:r>
      <w:r w:rsidR="00D37C06">
        <w:rPr>
          <w:lang w:val="es-ES_tradnl"/>
        </w:rPr>
        <w:t> %</w:t>
      </w:r>
      <w:r w:rsidRPr="00154216">
        <w:rPr>
          <w:lang w:val="es-ES_tradnl"/>
        </w:rPr>
        <w:t xml:space="preserve"> de los adultos sin discapacidad) calificó con 7 puntos o más, de un puntaje máximo de 10, su grado de satisfacción con la vida en general</w:t>
      </w:r>
      <w:r w:rsidR="00C6463B">
        <w:rPr>
          <w:lang w:val="es-ES_tradnl"/>
        </w:rPr>
        <w:t>.</w:t>
      </w:r>
    </w:p>
    <w:p w14:paraId="373095D8" w14:textId="77777777" w:rsidR="00154216" w:rsidRPr="00154216" w:rsidRDefault="00154216" w:rsidP="001E179A">
      <w:pPr>
        <w:pStyle w:val="Bullet1G"/>
        <w:rPr>
          <w:lang w:val="es-ES_tradnl"/>
        </w:rPr>
      </w:pPr>
      <w:r w:rsidRPr="00154216">
        <w:rPr>
          <w:lang w:val="es-ES_tradnl"/>
        </w:rPr>
        <w:t>El 75</w:t>
      </w:r>
      <w:r w:rsidR="00D37C06">
        <w:rPr>
          <w:lang w:val="es-ES_tradnl"/>
        </w:rPr>
        <w:t> %</w:t>
      </w:r>
      <w:r w:rsidRPr="00154216">
        <w:rPr>
          <w:lang w:val="es-ES_tradnl"/>
        </w:rPr>
        <w:t xml:space="preserve"> de los adultos con discapacidad (en comparación con un 89</w:t>
      </w:r>
      <w:r w:rsidR="00D37C06">
        <w:rPr>
          <w:lang w:val="es-ES_tradnl"/>
        </w:rPr>
        <w:t> %</w:t>
      </w:r>
      <w:r w:rsidRPr="00154216">
        <w:rPr>
          <w:lang w:val="es-ES_tradnl"/>
        </w:rPr>
        <w:t xml:space="preserve"> de los adultos sin discapacidad) dio muestra de una gran motivación en la vida</w:t>
      </w:r>
      <w:r w:rsidR="00C6463B">
        <w:rPr>
          <w:lang w:val="es-ES_tradnl"/>
        </w:rPr>
        <w:t>.</w:t>
      </w:r>
    </w:p>
    <w:p w14:paraId="5DF1521D" w14:textId="77777777" w:rsidR="00154216" w:rsidRPr="00154216" w:rsidRDefault="00154216" w:rsidP="001E179A">
      <w:pPr>
        <w:pStyle w:val="Bullet1G"/>
        <w:rPr>
          <w:rStyle w:val="Refdenotaalfinal"/>
          <w:lang w:val="es-ES_tradnl"/>
        </w:rPr>
      </w:pPr>
      <w:r w:rsidRPr="00154216">
        <w:rPr>
          <w:lang w:val="es-ES_tradnl"/>
        </w:rPr>
        <w:t>El 50</w:t>
      </w:r>
      <w:r w:rsidR="00D37C06">
        <w:rPr>
          <w:lang w:val="es-ES_tradnl"/>
        </w:rPr>
        <w:t> %</w:t>
      </w:r>
      <w:r w:rsidRPr="00154216">
        <w:rPr>
          <w:lang w:val="es-ES_tradnl"/>
        </w:rPr>
        <w:t xml:space="preserve"> de los adultos con discapacidad (en comparación con el 61</w:t>
      </w:r>
      <w:r w:rsidR="00D37C06">
        <w:rPr>
          <w:lang w:val="es-ES_tradnl"/>
        </w:rPr>
        <w:t> %</w:t>
      </w:r>
      <w:r w:rsidRPr="00154216">
        <w:rPr>
          <w:lang w:val="es-ES_tradnl"/>
        </w:rPr>
        <w:t xml:space="preserve"> de los adultos sin discapacidad) no se habían sentido solos en las cuatro últimas semanas</w:t>
      </w:r>
      <w:r w:rsidRPr="00154216">
        <w:rPr>
          <w:rStyle w:val="Refdenotaalfinal"/>
          <w:lang w:val="es-ES_tradnl"/>
        </w:rPr>
        <w:endnoteReference w:id="162"/>
      </w:r>
      <w:r w:rsidR="001E179A">
        <w:rPr>
          <w:lang w:val="es-ES_tradnl"/>
        </w:rPr>
        <w:t>.</w:t>
      </w:r>
    </w:p>
    <w:p w14:paraId="0DE809CA" w14:textId="77777777" w:rsidR="00154216" w:rsidRPr="00154216" w:rsidRDefault="00154216" w:rsidP="00154216">
      <w:pPr>
        <w:pStyle w:val="SingleTxtG"/>
        <w:rPr>
          <w:lang w:val="es-ES_tradnl"/>
        </w:rPr>
      </w:pPr>
      <w:r w:rsidRPr="00154216">
        <w:rPr>
          <w:lang w:val="es-ES_tradnl"/>
        </w:rPr>
        <w:t>224.</w:t>
      </w:r>
      <w:r w:rsidRPr="00154216">
        <w:rPr>
          <w:lang w:val="es-ES_tradnl"/>
        </w:rPr>
        <w:tab/>
        <w:t xml:space="preserve">Estos datos no están desglosados por sexo, edad u origen étnico por razones de calidad de los datos y confidencialidad respecto de los encuestados. </w:t>
      </w:r>
    </w:p>
    <w:p w14:paraId="19CC4966" w14:textId="77777777" w:rsidR="00154216" w:rsidRPr="00154216" w:rsidRDefault="00154216" w:rsidP="001E179A">
      <w:pPr>
        <w:pStyle w:val="H23G"/>
        <w:rPr>
          <w:lang w:val="es-ES_tradnl"/>
        </w:rPr>
      </w:pPr>
      <w:r w:rsidRPr="00154216">
        <w:rPr>
          <w:lang w:val="es-ES_tradnl"/>
        </w:rPr>
        <w:lastRenderedPageBreak/>
        <w:tab/>
      </w:r>
      <w:r w:rsidRPr="00154216">
        <w:rPr>
          <w:lang w:val="es-ES_tradnl"/>
        </w:rPr>
        <w:tab/>
        <w:t xml:space="preserve">Respuesta al párrafo 19 a)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4D289EAD" w14:textId="77777777" w:rsidR="00154216" w:rsidRPr="00154216" w:rsidRDefault="00154216" w:rsidP="00154216">
      <w:pPr>
        <w:pStyle w:val="SingleTxtG"/>
        <w:rPr>
          <w:rStyle w:val="Refdenotaalfinal"/>
          <w:lang w:val="es-ES_tradnl"/>
        </w:rPr>
      </w:pPr>
      <w:r w:rsidRPr="00154216">
        <w:rPr>
          <w:lang w:val="es-ES_tradnl"/>
        </w:rPr>
        <w:t>225.</w:t>
      </w:r>
      <w:r w:rsidRPr="00154216">
        <w:rPr>
          <w:lang w:val="es-ES_tradnl"/>
        </w:rPr>
        <w:tab/>
        <w:t>El Ministerio de Salud financia los Servicios de Equipamiento y Modificación</w:t>
      </w:r>
      <w:r w:rsidRPr="00154216">
        <w:rPr>
          <w:rStyle w:val="Refdenotaalfinal"/>
          <w:lang w:val="es-ES_tradnl"/>
        </w:rPr>
        <w:endnoteReference w:id="163"/>
      </w:r>
      <w:r w:rsidR="00EE7321">
        <w:rPr>
          <w:lang w:val="es-ES_tradnl"/>
        </w:rPr>
        <w:t>:</w:t>
      </w:r>
    </w:p>
    <w:p w14:paraId="2A5C3DC6" w14:textId="77777777" w:rsidR="00154216" w:rsidRPr="00154216" w:rsidRDefault="00154216" w:rsidP="001E179A">
      <w:pPr>
        <w:pStyle w:val="Bullet1G"/>
        <w:rPr>
          <w:lang w:val="es-ES_tradnl"/>
        </w:rPr>
      </w:pPr>
      <w:r w:rsidRPr="00154216">
        <w:rPr>
          <w:lang w:val="es-ES_tradnl"/>
        </w:rPr>
        <w:t xml:space="preserve">Equipo (para todas las edades) </w:t>
      </w:r>
      <w:r w:rsidR="006304C6">
        <w:rPr>
          <w:lang w:val="es-ES_tradnl"/>
        </w:rPr>
        <w:t>–</w:t>
      </w:r>
      <w:r w:rsidRPr="00154216">
        <w:rPr>
          <w:lang w:val="es-ES_tradnl"/>
        </w:rPr>
        <w:t xml:space="preserve"> que se concede gratuitamente en préstamo por el tiempo que sea necesario. Por ejemplo, soportes para el baño o los retretes, sillas de ruedas, elevadores, andadores y equipo asistencial para la comunicación y la visión</w:t>
      </w:r>
      <w:r w:rsidR="001E179A">
        <w:rPr>
          <w:lang w:val="es-ES_tradnl"/>
        </w:rPr>
        <w:t>.</w:t>
      </w:r>
    </w:p>
    <w:p w14:paraId="2FBA9020" w14:textId="77777777" w:rsidR="00154216" w:rsidRPr="00154216" w:rsidRDefault="00154216" w:rsidP="001E179A">
      <w:pPr>
        <w:pStyle w:val="Bullet1G"/>
        <w:rPr>
          <w:lang w:val="es-ES_tradnl"/>
        </w:rPr>
      </w:pPr>
      <w:r w:rsidRPr="00154216">
        <w:rPr>
          <w:lang w:val="es-ES_tradnl"/>
        </w:rPr>
        <w:t xml:space="preserve">Modificaciones en las viviendas (permanentes o temporales) </w:t>
      </w:r>
      <w:r w:rsidR="006304C6">
        <w:rPr>
          <w:lang w:val="es-ES_tradnl"/>
        </w:rPr>
        <w:t>–</w:t>
      </w:r>
      <w:r w:rsidRPr="00154216">
        <w:rPr>
          <w:lang w:val="es-ES_tradnl"/>
        </w:rPr>
        <w:t xml:space="preserve"> para mejorar la accesibilidad dentro y alrededor de la vivienda, como instalación de barandillas o rampas y modificación de salas de baño y cocinas</w:t>
      </w:r>
      <w:r w:rsidR="001E179A">
        <w:rPr>
          <w:lang w:val="es-ES_tradnl"/>
        </w:rPr>
        <w:t>.</w:t>
      </w:r>
    </w:p>
    <w:p w14:paraId="2337E222" w14:textId="77777777" w:rsidR="00154216" w:rsidRPr="00154216" w:rsidRDefault="00154216" w:rsidP="001E179A">
      <w:pPr>
        <w:pStyle w:val="Bullet1G"/>
        <w:rPr>
          <w:lang w:val="es-ES_tradnl"/>
        </w:rPr>
      </w:pPr>
      <w:r w:rsidRPr="00154216">
        <w:rPr>
          <w:lang w:val="es-ES_tradnl"/>
        </w:rPr>
        <w:t xml:space="preserve">Adquisición y/o modificación de vehículos </w:t>
      </w:r>
      <w:r w:rsidR="001E179A">
        <w:rPr>
          <w:lang w:val="es-ES_tradnl"/>
        </w:rPr>
        <w:t>–</w:t>
      </w:r>
      <w:r w:rsidRPr="00154216">
        <w:rPr>
          <w:lang w:val="es-ES_tradnl"/>
        </w:rPr>
        <w:t xml:space="preserve"> por ejemplo, instalación de controles de mano y elevadores montados en los vehículos. </w:t>
      </w:r>
    </w:p>
    <w:p w14:paraId="31EB0945" w14:textId="77777777" w:rsidR="00154216" w:rsidRPr="00154216" w:rsidRDefault="00154216" w:rsidP="00154216">
      <w:pPr>
        <w:pStyle w:val="SingleTxtG"/>
        <w:rPr>
          <w:lang w:val="es-ES_tradnl"/>
        </w:rPr>
      </w:pPr>
      <w:r w:rsidRPr="00154216">
        <w:rPr>
          <w:lang w:val="es-ES_tradnl"/>
        </w:rPr>
        <w:t>226.</w:t>
      </w:r>
      <w:r w:rsidRPr="00154216">
        <w:rPr>
          <w:lang w:val="es-ES_tradnl"/>
        </w:rPr>
        <w:tab/>
        <w:t>Estos servicios están disponibles para las personas con discapacidades físicas, intelectuales o sensoriales de larga duración o discapacidades relacionadas con la edad que reúnan las condiciones de acceso. Los profesionales de la salud trabajan con las personas para determinar si reúnen los requisitos de acceso y evaluar sus necesidades específicas.</w:t>
      </w:r>
    </w:p>
    <w:p w14:paraId="20CF6A85" w14:textId="77777777" w:rsidR="00154216" w:rsidRPr="00154216" w:rsidRDefault="00154216" w:rsidP="00154216">
      <w:pPr>
        <w:pStyle w:val="SingleTxtG"/>
        <w:rPr>
          <w:lang w:val="es-ES_tradnl"/>
        </w:rPr>
      </w:pPr>
      <w:r w:rsidRPr="00154216">
        <w:rPr>
          <w:lang w:val="es-ES_tradnl"/>
        </w:rPr>
        <w:t>227.</w:t>
      </w:r>
      <w:r w:rsidRPr="00154216">
        <w:rPr>
          <w:lang w:val="es-ES_tradnl"/>
        </w:rPr>
        <w:tab/>
        <w:t xml:space="preserve">El Ministerio de Salud ofrece servicios de evaluación especializada para las personas con necesidades muy complejas como, por ejemplo, la de sillas de ruedas complejas y de tecnología asistencial para la comunicación. </w:t>
      </w:r>
    </w:p>
    <w:p w14:paraId="50362A9C" w14:textId="77777777" w:rsidR="00154216" w:rsidRPr="00154216" w:rsidRDefault="00154216" w:rsidP="00154216">
      <w:pPr>
        <w:pStyle w:val="SingleTxtG"/>
        <w:rPr>
          <w:lang w:val="es-ES_tradnl"/>
        </w:rPr>
      </w:pPr>
      <w:r w:rsidRPr="00154216">
        <w:rPr>
          <w:lang w:val="es-ES_tradnl"/>
        </w:rPr>
        <w:t>228.</w:t>
      </w:r>
      <w:r w:rsidRPr="00154216">
        <w:rPr>
          <w:lang w:val="es-ES_tradnl"/>
        </w:rPr>
        <w:tab/>
        <w:t>Respecto de las modificaciones en el plano de la educación, véase la respuesta a la pregunta 22 c).</w:t>
      </w:r>
    </w:p>
    <w:p w14:paraId="490D88A6" w14:textId="77777777" w:rsidR="00154216" w:rsidRPr="00154216" w:rsidRDefault="00154216" w:rsidP="001E179A">
      <w:pPr>
        <w:pStyle w:val="H23G"/>
        <w:rPr>
          <w:lang w:val="es-ES_tradnl"/>
        </w:rPr>
      </w:pPr>
      <w:r w:rsidRPr="00154216">
        <w:rPr>
          <w:lang w:val="es-ES_tradnl"/>
        </w:rPr>
        <w:tab/>
      </w:r>
      <w:r w:rsidRPr="00154216">
        <w:rPr>
          <w:lang w:val="es-ES_tradnl"/>
        </w:rPr>
        <w:tab/>
        <w:t xml:space="preserve">Respuesta al párrafo 19 b)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27402A50" w14:textId="77777777" w:rsidR="00154216" w:rsidRPr="00154216" w:rsidRDefault="00154216" w:rsidP="00154216">
      <w:pPr>
        <w:pStyle w:val="SingleTxtG"/>
        <w:rPr>
          <w:lang w:val="es-ES_tradnl"/>
        </w:rPr>
      </w:pPr>
      <w:r w:rsidRPr="00154216">
        <w:rPr>
          <w:lang w:val="es-ES_tradnl"/>
        </w:rPr>
        <w:t>229.</w:t>
      </w:r>
      <w:r w:rsidRPr="00154216">
        <w:rPr>
          <w:lang w:val="es-ES_tradnl"/>
        </w:rPr>
        <w:tab/>
        <w:t xml:space="preserve">El Ministerio de Salud contrata a dos proveedores para administrar y gestionar los Servicios de Equipamiento y Modificación (véase la pregunta 19 a)). Ambos proveedores proceden a sus adquisiciones mediante licitación, acuerdos de suministro colectivo y compras a granel y personalizadas. </w:t>
      </w:r>
    </w:p>
    <w:p w14:paraId="63A40904" w14:textId="77777777" w:rsidR="00154216" w:rsidRPr="00154216" w:rsidRDefault="00154216" w:rsidP="00154216">
      <w:pPr>
        <w:pStyle w:val="SingleTxtG"/>
        <w:rPr>
          <w:lang w:val="es-ES_tradnl"/>
        </w:rPr>
      </w:pPr>
      <w:r w:rsidRPr="00154216">
        <w:rPr>
          <w:lang w:val="es-ES_tradnl"/>
        </w:rPr>
        <w:t>230.</w:t>
      </w:r>
      <w:r w:rsidRPr="00154216">
        <w:rPr>
          <w:lang w:val="es-ES_tradnl"/>
        </w:rPr>
        <w:tab/>
        <w:t>El equipo se adquiere a precios competitivos, lo que garantiza la rentabilidad de las adquisiciones y la calidad del equipo. Los proveedores se encargan de la gestión de los activos (reparaciones y mantenimiento, retiro, recogida, renovación apropiada y reexpedición del equipo financiado).</w:t>
      </w:r>
    </w:p>
    <w:p w14:paraId="26FAC302" w14:textId="77777777" w:rsidR="00154216" w:rsidRPr="00154216" w:rsidRDefault="00154216" w:rsidP="001E179A">
      <w:pPr>
        <w:pStyle w:val="H23G"/>
        <w:rPr>
          <w:lang w:val="es-ES_tradnl"/>
        </w:rPr>
      </w:pPr>
      <w:r w:rsidRPr="00154216">
        <w:rPr>
          <w:lang w:val="es-ES_tradnl"/>
        </w:rPr>
        <w:tab/>
      </w:r>
      <w:r w:rsidRPr="00154216">
        <w:rPr>
          <w:lang w:val="es-ES_tradnl"/>
        </w:rPr>
        <w:tab/>
        <w:t xml:space="preserve">Respuesta al párrafo 19 c)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7D17F46C" w14:textId="77777777" w:rsidR="00154216" w:rsidRPr="00154216" w:rsidRDefault="00154216" w:rsidP="00154216">
      <w:pPr>
        <w:pStyle w:val="SingleTxtG"/>
        <w:rPr>
          <w:lang w:val="es-ES_tradnl"/>
        </w:rPr>
      </w:pPr>
      <w:r w:rsidRPr="00154216">
        <w:rPr>
          <w:lang w:val="es-ES_tradnl"/>
        </w:rPr>
        <w:t>231.</w:t>
      </w:r>
      <w:r w:rsidRPr="00154216">
        <w:rPr>
          <w:lang w:val="es-ES_tradnl"/>
        </w:rPr>
        <w:tab/>
        <w:t xml:space="preserve">El Gobierno reconoce que las personas con discapacidad son financiadas de manera diferente dependiendo de la causa de la discapacidad. </w:t>
      </w:r>
    </w:p>
    <w:p w14:paraId="1B08C521" w14:textId="77777777" w:rsidR="00154216" w:rsidRPr="00154216" w:rsidRDefault="00154216" w:rsidP="00154216">
      <w:pPr>
        <w:pStyle w:val="SingleTxtG"/>
        <w:rPr>
          <w:lang w:val="es-ES_tradnl"/>
        </w:rPr>
      </w:pPr>
      <w:r w:rsidRPr="00154216">
        <w:rPr>
          <w:lang w:val="es-ES_tradnl"/>
        </w:rPr>
        <w:t>232.</w:t>
      </w:r>
      <w:r w:rsidRPr="00154216">
        <w:rPr>
          <w:lang w:val="es-ES_tradnl"/>
        </w:rPr>
        <w:tab/>
        <w:t>La ACC aplica un enfoque nacional para garantizar a las personas con discapacidad acceso local a los dispositivos de movilidad.</w:t>
      </w:r>
    </w:p>
    <w:p w14:paraId="3A7F3A10" w14:textId="77777777" w:rsidR="00154216" w:rsidRPr="00154216" w:rsidRDefault="00154216" w:rsidP="00154216">
      <w:pPr>
        <w:pStyle w:val="SingleTxtG"/>
        <w:rPr>
          <w:lang w:val="es-ES_tradnl"/>
        </w:rPr>
      </w:pPr>
      <w:r w:rsidRPr="00154216">
        <w:rPr>
          <w:lang w:val="es-ES_tradnl"/>
        </w:rPr>
        <w:t>233.</w:t>
      </w:r>
      <w:r w:rsidRPr="00154216">
        <w:rPr>
          <w:lang w:val="es-ES_tradnl"/>
        </w:rPr>
        <w:tab/>
        <w:t xml:space="preserve">La ACC exige a todos los evaluadores y a los proveedores de los dispositivos de movilidad que estén al corriente de las nuevas tecnologías a fin de difundir su aplicación. </w:t>
      </w:r>
    </w:p>
    <w:p w14:paraId="3DE33EB2" w14:textId="77777777" w:rsidR="00154216" w:rsidRPr="00154216" w:rsidRDefault="00154216" w:rsidP="00154216">
      <w:pPr>
        <w:pStyle w:val="SingleTxtG"/>
        <w:rPr>
          <w:b/>
          <w:lang w:val="es-ES_tradnl"/>
        </w:rPr>
      </w:pPr>
      <w:r w:rsidRPr="00154216">
        <w:rPr>
          <w:lang w:val="es-ES_tradnl"/>
        </w:rPr>
        <w:t>234.</w:t>
      </w:r>
      <w:r w:rsidRPr="00154216">
        <w:rPr>
          <w:lang w:val="es-ES_tradnl"/>
        </w:rPr>
        <w:tab/>
        <w:t>En diciembre de 2018 se publicó un informe sobre los tipos de tecnología utilizados por las personas con discapacidad y sus opiniones sobre los marcos de financiación y las vías de acceso a esta</w:t>
      </w:r>
      <w:r w:rsidRPr="00154216">
        <w:rPr>
          <w:rStyle w:val="Refdenotaalfinal"/>
          <w:lang w:val="es-ES_tradnl"/>
        </w:rPr>
        <w:endnoteReference w:id="164"/>
      </w:r>
      <w:r w:rsidR="001E179A">
        <w:rPr>
          <w:lang w:val="es-ES_tradnl"/>
        </w:rPr>
        <w:t>.</w:t>
      </w:r>
      <w:r w:rsidRPr="00154216">
        <w:rPr>
          <w:rStyle w:val="Refdenotaalfinal"/>
          <w:lang w:val="es-ES_tradnl"/>
        </w:rPr>
        <w:t xml:space="preserve"> </w:t>
      </w:r>
    </w:p>
    <w:p w14:paraId="51E9060F" w14:textId="77777777" w:rsidR="00154216" w:rsidRPr="00154216" w:rsidRDefault="00154216" w:rsidP="001E179A">
      <w:pPr>
        <w:pStyle w:val="H23G"/>
        <w:rPr>
          <w:lang w:val="es-ES_tradnl"/>
        </w:rPr>
      </w:pPr>
      <w:r w:rsidRPr="00154216">
        <w:rPr>
          <w:lang w:val="es-ES_tradnl"/>
        </w:rPr>
        <w:tab/>
      </w:r>
      <w:r w:rsidRPr="00154216">
        <w:rPr>
          <w:lang w:val="es-ES_tradnl"/>
        </w:rPr>
        <w:tab/>
        <w:t xml:space="preserve">Respuesta al párrafo 20 a)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739A4DA8" w14:textId="77777777" w:rsidR="00154216" w:rsidRPr="00154216" w:rsidRDefault="00154216" w:rsidP="00154216">
      <w:pPr>
        <w:pStyle w:val="SingleTxtG"/>
        <w:rPr>
          <w:lang w:val="es-ES_tradnl"/>
        </w:rPr>
      </w:pPr>
      <w:r w:rsidRPr="00154216">
        <w:rPr>
          <w:lang w:val="es-ES_tradnl"/>
        </w:rPr>
        <w:t>235.</w:t>
      </w:r>
      <w:r w:rsidRPr="00154216">
        <w:rPr>
          <w:lang w:val="es-ES_tradnl"/>
        </w:rPr>
        <w:tab/>
        <w:t>En el presupuesto de 2018 se destinó a las escuelas de desarrollo sensorial y a la lengua de señas neozelandesa una asignación adicional de 30,2 millones de dólares neozelandeses para los cuatro años siguientes. Ello incrementará los fondos disponibles para las becas destinadas a los asesores sobre los niños sordos y a los intérpretes e instructores de la lengua de señas neozelandesa.</w:t>
      </w:r>
    </w:p>
    <w:p w14:paraId="01A20891" w14:textId="77777777" w:rsidR="00154216" w:rsidRPr="00154216" w:rsidRDefault="00154216" w:rsidP="00154216">
      <w:pPr>
        <w:pStyle w:val="SingleTxtG"/>
        <w:rPr>
          <w:rStyle w:val="Refdenotaalfinal"/>
          <w:lang w:val="es-ES_tradnl"/>
        </w:rPr>
      </w:pPr>
      <w:r w:rsidRPr="00154216">
        <w:rPr>
          <w:lang w:val="es-ES_tradnl"/>
        </w:rPr>
        <w:t>236.</w:t>
      </w:r>
      <w:r w:rsidRPr="00154216">
        <w:rPr>
          <w:lang w:val="es-ES_tradnl"/>
        </w:rPr>
        <w:tab/>
        <w:t xml:space="preserve">Los intérpretes en la lengua de señas neozelandesa no son suficientes para satisfacer la demanda. El número actual de graduados en interpretación en lengua de señas sustituye, pero no aumenta el número de intérpretes experimentados disponibles. Hay aún menos intérpretes trilingües disponibles que puedan trabajar en lengua de señas, inglés y te reo </w:t>
      </w:r>
      <w:proofErr w:type="spellStart"/>
      <w:r w:rsidRPr="00154216">
        <w:rPr>
          <w:lang w:val="es-ES_tradnl"/>
        </w:rPr>
        <w:t>Māori</w:t>
      </w:r>
      <w:proofErr w:type="spellEnd"/>
      <w:r w:rsidRPr="00154216">
        <w:rPr>
          <w:rStyle w:val="Refdenotaalfinal"/>
          <w:lang w:val="es-ES_tradnl"/>
        </w:rPr>
        <w:endnoteReference w:id="165"/>
      </w:r>
      <w:r w:rsidR="001E179A">
        <w:rPr>
          <w:lang w:val="es-ES_tradnl"/>
        </w:rPr>
        <w:t>.</w:t>
      </w:r>
    </w:p>
    <w:p w14:paraId="402F50C2" w14:textId="77777777" w:rsidR="00154216" w:rsidRPr="00154216" w:rsidRDefault="00154216" w:rsidP="00154216">
      <w:pPr>
        <w:pStyle w:val="SingleTxtG"/>
        <w:rPr>
          <w:lang w:val="es-ES_tradnl"/>
        </w:rPr>
      </w:pPr>
      <w:r w:rsidRPr="00154216">
        <w:rPr>
          <w:lang w:val="es-ES_tradnl"/>
        </w:rPr>
        <w:lastRenderedPageBreak/>
        <w:t>237.</w:t>
      </w:r>
      <w:r w:rsidRPr="00154216">
        <w:rPr>
          <w:lang w:val="es-ES_tradnl"/>
        </w:rPr>
        <w:tab/>
        <w:t xml:space="preserve">No se dispone de financiación para formar a intérpretes sordos o que hayan experimentado la sordera. </w:t>
      </w:r>
    </w:p>
    <w:p w14:paraId="7239F126" w14:textId="77777777" w:rsidR="00154216" w:rsidRPr="00154216" w:rsidRDefault="00154216" w:rsidP="00154216">
      <w:pPr>
        <w:pStyle w:val="SingleTxtG"/>
        <w:rPr>
          <w:lang w:val="es-ES_tradnl"/>
        </w:rPr>
      </w:pPr>
      <w:r w:rsidRPr="00154216">
        <w:rPr>
          <w:lang w:val="es-ES_tradnl"/>
        </w:rPr>
        <w:t>238.</w:t>
      </w:r>
      <w:r w:rsidRPr="00154216">
        <w:rPr>
          <w:lang w:val="es-ES_tradnl"/>
        </w:rPr>
        <w:tab/>
        <w:t>Como no hay evaluaciones nacionales del dominio de la lengua de señas neozelandesa, la calidad de la interpretación varía y la presión de la demanda puede hacer que aumente el uso de intérpretes no calificados. Según la información recibida por el Gobierno, el acceso a especialistas calificados que dominen la lengua de señas neozelandesa sigue siendo limitado y varía de una a otra zona geográfica.</w:t>
      </w:r>
    </w:p>
    <w:p w14:paraId="33E53FD5" w14:textId="77777777" w:rsidR="00154216" w:rsidRPr="00154216" w:rsidRDefault="00154216" w:rsidP="00154216">
      <w:pPr>
        <w:pStyle w:val="SingleTxtG"/>
        <w:rPr>
          <w:lang w:val="es-ES_tradnl"/>
        </w:rPr>
      </w:pPr>
      <w:r w:rsidRPr="00154216">
        <w:rPr>
          <w:lang w:val="es-ES_tradnl"/>
        </w:rPr>
        <w:t>239.</w:t>
      </w:r>
      <w:r w:rsidRPr="00154216">
        <w:rPr>
          <w:lang w:val="es-ES_tradnl"/>
        </w:rPr>
        <w:tab/>
        <w:t>El uso de la lengua de señas neozelandesa y la demanda de servicios de interpretación van en aumento a medida que:</w:t>
      </w:r>
    </w:p>
    <w:p w14:paraId="7CCEA01F" w14:textId="77777777" w:rsidR="00154216" w:rsidRPr="00154216" w:rsidRDefault="00154216" w:rsidP="000D6EAF">
      <w:pPr>
        <w:pStyle w:val="Bullet1G"/>
        <w:rPr>
          <w:lang w:val="es-ES_tradnl"/>
        </w:rPr>
      </w:pPr>
      <w:r w:rsidRPr="00154216">
        <w:rPr>
          <w:lang w:val="es-ES_tradnl"/>
        </w:rPr>
        <w:t>Se va conociendo y reconociendo más la lengua de señas neozelandesa</w:t>
      </w:r>
      <w:r w:rsidR="000D6EAF">
        <w:rPr>
          <w:lang w:val="es-ES_tradnl"/>
        </w:rPr>
        <w:t>.</w:t>
      </w:r>
    </w:p>
    <w:p w14:paraId="1DE1CBFC" w14:textId="77777777" w:rsidR="00154216" w:rsidRPr="00154216" w:rsidRDefault="00154216" w:rsidP="000D6EAF">
      <w:pPr>
        <w:pStyle w:val="Bullet1G"/>
        <w:rPr>
          <w:lang w:val="es-ES_tradnl"/>
        </w:rPr>
      </w:pPr>
      <w:r w:rsidRPr="00154216">
        <w:rPr>
          <w:lang w:val="es-ES_tradnl"/>
        </w:rPr>
        <w:t>Aumenta el compromiso de los organismos estatales de garantizar la accesibilidad de la información y los servicios</w:t>
      </w:r>
      <w:r w:rsidR="000D6EAF">
        <w:rPr>
          <w:lang w:val="es-ES_tradnl"/>
        </w:rPr>
        <w:t>.</w:t>
      </w:r>
    </w:p>
    <w:p w14:paraId="7A5B4CCC" w14:textId="77777777" w:rsidR="00154216" w:rsidRPr="00154216" w:rsidRDefault="00154216" w:rsidP="000D6EAF">
      <w:pPr>
        <w:pStyle w:val="Bullet1G"/>
        <w:rPr>
          <w:lang w:val="es-ES_tradnl"/>
        </w:rPr>
      </w:pPr>
      <w:r w:rsidRPr="00154216">
        <w:rPr>
          <w:lang w:val="es-ES_tradnl"/>
        </w:rPr>
        <w:t>Más escuelas enseñan la lengua de señas neozelandesa y nuevos servicios refuerzan el acceso de las familias con niños sordos en edad preescolar y en la escuela a los intérpretes e instructores de la lengua de señas.</w:t>
      </w:r>
    </w:p>
    <w:p w14:paraId="1B9E2E8A" w14:textId="77777777" w:rsidR="00154216" w:rsidRPr="00154216" w:rsidRDefault="00154216" w:rsidP="00154216">
      <w:pPr>
        <w:pStyle w:val="SingleTxtG"/>
        <w:rPr>
          <w:lang w:val="es-ES_tradnl"/>
        </w:rPr>
      </w:pPr>
      <w:r w:rsidRPr="00154216">
        <w:rPr>
          <w:lang w:val="es-ES_tradnl"/>
        </w:rPr>
        <w:t>240.</w:t>
      </w:r>
      <w:r w:rsidRPr="00154216">
        <w:rPr>
          <w:lang w:val="es-ES_tradnl"/>
        </w:rPr>
        <w:tab/>
        <w:t>La introducción de una financiación individualizada y el despliegue del programa de transformación del sistema de apoyo a la discapacidad también incidirán en la demanda de interpretación.</w:t>
      </w:r>
    </w:p>
    <w:p w14:paraId="1E6C2480" w14:textId="77777777" w:rsidR="00154216" w:rsidRPr="00154216" w:rsidRDefault="00154216" w:rsidP="000D6EAF">
      <w:pPr>
        <w:pStyle w:val="H23G"/>
        <w:rPr>
          <w:lang w:val="es-ES_tradnl"/>
        </w:rPr>
      </w:pPr>
      <w:r w:rsidRPr="00154216">
        <w:rPr>
          <w:lang w:val="es-ES_tradnl"/>
        </w:rPr>
        <w:tab/>
      </w:r>
      <w:r w:rsidRPr="00154216">
        <w:rPr>
          <w:lang w:val="es-ES_tradnl"/>
        </w:rPr>
        <w:tab/>
        <w:t xml:space="preserve">Respuesta al párrafo 20 b)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35C0F71A" w14:textId="77777777" w:rsidR="00154216" w:rsidRPr="00154216" w:rsidRDefault="00154216" w:rsidP="00154216">
      <w:pPr>
        <w:pStyle w:val="SingleTxtG"/>
        <w:rPr>
          <w:lang w:val="es-ES_tradnl"/>
        </w:rPr>
      </w:pPr>
      <w:r w:rsidRPr="00154216">
        <w:rPr>
          <w:lang w:val="es-ES_tradnl"/>
        </w:rPr>
        <w:t>241.</w:t>
      </w:r>
      <w:r w:rsidRPr="00154216">
        <w:rPr>
          <w:lang w:val="es-ES_tradnl"/>
        </w:rPr>
        <w:tab/>
        <w:t xml:space="preserve">La Estrategia del Consejo </w:t>
      </w:r>
      <w:proofErr w:type="spellStart"/>
      <w:r w:rsidRPr="00154216">
        <w:rPr>
          <w:lang w:val="es-ES_tradnl"/>
        </w:rPr>
        <w:t>NZSL</w:t>
      </w:r>
      <w:proofErr w:type="spellEnd"/>
      <w:r w:rsidRPr="00154216">
        <w:rPr>
          <w:lang w:val="es-ES_tradnl"/>
        </w:rPr>
        <w:t xml:space="preserve"> para 2018</w:t>
      </w:r>
      <w:r w:rsidR="00C6463B">
        <w:rPr>
          <w:lang w:val="es-ES_tradnl"/>
        </w:rPr>
        <w:t>-</w:t>
      </w:r>
      <w:r w:rsidRPr="00154216">
        <w:rPr>
          <w:lang w:val="es-ES_tradnl"/>
        </w:rPr>
        <w:t>2023 prevé una asignación anual flexible de 1,25 millones de dólares neozelandeses para las cinco prioridades de sus planes lingüísticos. Estas cinco prioridades contemplan las necesidades de las personas sordas maoríes y del Pacífico.</w:t>
      </w:r>
    </w:p>
    <w:p w14:paraId="46D4678D" w14:textId="77777777" w:rsidR="00154216" w:rsidRPr="00154216" w:rsidRDefault="00154216" w:rsidP="00154216">
      <w:pPr>
        <w:pStyle w:val="SingleTxtG"/>
        <w:rPr>
          <w:lang w:val="es-ES_tradnl"/>
        </w:rPr>
      </w:pPr>
      <w:r w:rsidRPr="00154216">
        <w:rPr>
          <w:lang w:val="es-ES_tradnl"/>
        </w:rPr>
        <w:t>242.</w:t>
      </w:r>
      <w:r w:rsidRPr="00154216">
        <w:rPr>
          <w:lang w:val="es-ES_tradnl"/>
        </w:rPr>
        <w:tab/>
        <w:t xml:space="preserve">La financiación para asegurar la accesibilidad de la información proviene de las líneas de consignación presupuestaria. No existe una partida destinada específicamente a garantizar la accesibilidad de la información en todos los ámbitos para las personas maoríes y del Pacífico. Véase la respuesta a la pregunta 20 </w:t>
      </w:r>
      <w:r w:rsidR="00C6463B">
        <w:rPr>
          <w:lang w:val="es-ES_tradnl"/>
        </w:rPr>
        <w:t>d</w:t>
      </w:r>
      <w:r w:rsidRPr="00154216">
        <w:rPr>
          <w:lang w:val="es-ES_tradnl"/>
        </w:rPr>
        <w:t>).</w:t>
      </w:r>
    </w:p>
    <w:p w14:paraId="5D957485" w14:textId="77777777" w:rsidR="00154216" w:rsidRPr="00154216" w:rsidRDefault="00154216" w:rsidP="000D6EAF">
      <w:pPr>
        <w:pStyle w:val="H23G"/>
        <w:rPr>
          <w:lang w:val="es-ES_tradnl"/>
        </w:rPr>
      </w:pPr>
      <w:r w:rsidRPr="00154216">
        <w:rPr>
          <w:lang w:val="es-ES_tradnl"/>
        </w:rPr>
        <w:tab/>
      </w:r>
      <w:r w:rsidRPr="00154216">
        <w:rPr>
          <w:lang w:val="es-ES_tradnl"/>
        </w:rPr>
        <w:tab/>
        <w:t xml:space="preserve">Respuesta al párrafo 20 c)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49A40C86" w14:textId="77777777" w:rsidR="00154216" w:rsidRPr="00154216" w:rsidRDefault="00154216" w:rsidP="00154216">
      <w:pPr>
        <w:pStyle w:val="SingleTxtG"/>
        <w:rPr>
          <w:lang w:val="es-ES_tradnl"/>
        </w:rPr>
      </w:pPr>
      <w:r w:rsidRPr="00154216">
        <w:rPr>
          <w:lang w:val="es-ES_tradnl"/>
        </w:rPr>
        <w:t>243.</w:t>
      </w:r>
      <w:r w:rsidRPr="00154216">
        <w:rPr>
          <w:lang w:val="es-ES_tradnl"/>
        </w:rPr>
        <w:tab/>
        <w:t xml:space="preserve">La Carta de la Accesibilidad (véase la pregunta 20 d)) es el mecanismo alternativo para lograrlo. </w:t>
      </w:r>
    </w:p>
    <w:p w14:paraId="35815456" w14:textId="77777777" w:rsidR="00154216" w:rsidRPr="00154216" w:rsidRDefault="00154216" w:rsidP="00154216">
      <w:pPr>
        <w:pStyle w:val="SingleTxtG"/>
        <w:rPr>
          <w:lang w:val="es-ES_tradnl"/>
        </w:rPr>
      </w:pPr>
      <w:r w:rsidRPr="00154216">
        <w:rPr>
          <w:lang w:val="es-ES_tradnl"/>
        </w:rPr>
        <w:t>244.</w:t>
      </w:r>
      <w:r w:rsidRPr="00154216">
        <w:rPr>
          <w:lang w:val="es-ES_tradnl"/>
        </w:rPr>
        <w:tab/>
        <w:t xml:space="preserve">Sin embargo, el Gabinete ha acordado </w:t>
      </w:r>
      <w:r>
        <w:rPr>
          <w:lang w:val="es-ES_tradnl"/>
        </w:rPr>
        <w:t>“</w:t>
      </w:r>
      <w:r w:rsidRPr="00154216">
        <w:rPr>
          <w:lang w:val="es-ES_tradnl"/>
        </w:rPr>
        <w:t>dar inicio a la elaboración de una metodología para lograr la plena accesibilidad en Nueva Zelandia, en colaboración con las principales partes interesadas</w:t>
      </w:r>
      <w:r>
        <w:rPr>
          <w:lang w:val="es-ES_tradnl"/>
        </w:rPr>
        <w:t>”</w:t>
      </w:r>
      <w:r w:rsidRPr="00154216">
        <w:rPr>
          <w:lang w:val="es-ES_tradnl"/>
        </w:rPr>
        <w:t xml:space="preserve">. Actualmente se están considerando las opciones, comprendida la posibilidad de introducir legislación. </w:t>
      </w:r>
    </w:p>
    <w:p w14:paraId="3D8D310C" w14:textId="77777777" w:rsidR="00154216" w:rsidRPr="00154216" w:rsidRDefault="00154216" w:rsidP="000D6EAF">
      <w:pPr>
        <w:pStyle w:val="H23G"/>
        <w:rPr>
          <w:lang w:val="es-ES_tradnl"/>
        </w:rPr>
      </w:pPr>
      <w:r w:rsidRPr="00154216">
        <w:rPr>
          <w:lang w:val="es-ES_tradnl"/>
        </w:rPr>
        <w:tab/>
      </w:r>
      <w:r w:rsidRPr="00154216">
        <w:rPr>
          <w:lang w:val="es-ES_tradnl"/>
        </w:rPr>
        <w:tab/>
        <w:t xml:space="preserve">Respuesta al párrafo 20 d)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6C9F6FF9" w14:textId="77777777" w:rsidR="00154216" w:rsidRPr="00154216" w:rsidRDefault="00154216" w:rsidP="00154216">
      <w:pPr>
        <w:pStyle w:val="SingleTxtG"/>
        <w:rPr>
          <w:lang w:val="es-ES_tradnl"/>
        </w:rPr>
      </w:pPr>
      <w:r w:rsidRPr="00154216">
        <w:rPr>
          <w:lang w:val="es-ES_tradnl"/>
        </w:rPr>
        <w:t>245.</w:t>
      </w:r>
      <w:r w:rsidRPr="00154216">
        <w:rPr>
          <w:lang w:val="es-ES_tradnl"/>
        </w:rPr>
        <w:tab/>
        <w:t>El Gobierno ha establecido la Carta de la Accesibilidad, por la que se compromete a hacer más accesible la información pública para las personas con discapacidad</w:t>
      </w:r>
      <w:r w:rsidRPr="00154216">
        <w:rPr>
          <w:rStyle w:val="Refdenotaalfinal"/>
          <w:lang w:val="es-ES_tradnl"/>
        </w:rPr>
        <w:endnoteReference w:id="166"/>
      </w:r>
      <w:r w:rsidR="000D6EAF">
        <w:rPr>
          <w:lang w:val="es-ES_tradnl"/>
        </w:rPr>
        <w:t>.</w:t>
      </w:r>
      <w:r w:rsidRPr="00154216">
        <w:rPr>
          <w:rStyle w:val="Refdenotaalfinal"/>
          <w:lang w:val="es-ES_tradnl"/>
        </w:rPr>
        <w:t xml:space="preserve"> </w:t>
      </w:r>
      <w:r w:rsidRPr="00154216">
        <w:rPr>
          <w:lang w:val="es-ES_tradnl"/>
        </w:rPr>
        <w:t xml:space="preserve">Se trata de una iniciativa emprendida en colaboración con la Coalición </w:t>
      </w:r>
      <w:proofErr w:type="spellStart"/>
      <w:r w:rsidRPr="00154216">
        <w:rPr>
          <w:lang w:val="es-ES_tradnl"/>
        </w:rPr>
        <w:t>DPO</w:t>
      </w:r>
      <w:proofErr w:type="spellEnd"/>
      <w:r w:rsidRPr="00154216">
        <w:rPr>
          <w:rStyle w:val="Refdenotaalfinal"/>
          <w:lang w:val="es-ES_tradnl"/>
        </w:rPr>
        <w:endnoteReference w:id="167"/>
      </w:r>
      <w:r w:rsidR="000D6EAF">
        <w:rPr>
          <w:lang w:val="es-ES_tradnl"/>
        </w:rPr>
        <w:t>.</w:t>
      </w:r>
      <w:r w:rsidRPr="00154216">
        <w:rPr>
          <w:rStyle w:val="Refdenotaalfinal"/>
          <w:lang w:val="es-ES_tradnl"/>
        </w:rPr>
        <w:t xml:space="preserve"> </w:t>
      </w:r>
      <w:r w:rsidRPr="00154216">
        <w:rPr>
          <w:lang w:val="es-ES_tradnl"/>
        </w:rPr>
        <w:t>Hasta la fecha, 37</w:t>
      </w:r>
      <w:r w:rsidR="00C6463B">
        <w:rPr>
          <w:lang w:val="es-ES_tradnl"/>
        </w:rPr>
        <w:t> </w:t>
      </w:r>
      <w:r w:rsidRPr="00154216">
        <w:rPr>
          <w:lang w:val="es-ES_tradnl"/>
        </w:rPr>
        <w:t xml:space="preserve">organismos gubernamentales (de un total de 39) han suscrito la Carta de la Accesibilidad. Esta encomienda al personal la tarea de proveer un entorno accesible. Se dispone de recursos para ayudar al personal a saber a quiénes dirigirse y a conocer las normas para el suministro de información en diversos formatos. </w:t>
      </w:r>
    </w:p>
    <w:p w14:paraId="3B97A2C3" w14:textId="77777777" w:rsidR="00154216" w:rsidRPr="00154216" w:rsidRDefault="00154216" w:rsidP="00154216">
      <w:pPr>
        <w:pStyle w:val="SingleTxtG"/>
        <w:rPr>
          <w:lang w:val="es-ES_tradnl"/>
        </w:rPr>
      </w:pPr>
      <w:r w:rsidRPr="00154216">
        <w:rPr>
          <w:lang w:val="es-ES_tradnl"/>
        </w:rPr>
        <w:t>246.</w:t>
      </w:r>
      <w:r w:rsidRPr="00154216">
        <w:rPr>
          <w:lang w:val="es-ES_tradnl"/>
        </w:rPr>
        <w:tab/>
        <w:t xml:space="preserve">El objetivo inicial es el desarrollo de la capacidad para utilizar la lectura fácil, el braille, la lengua de señas neozelandesa y material auditivo. Se espera que a medida que aumente la información gubernamental disponible en esas lenguas y formatos, más fácil les resulte a más personas con discapacidad comprender y utilizar directamente la información. </w:t>
      </w:r>
    </w:p>
    <w:p w14:paraId="434BDDB1" w14:textId="77777777" w:rsidR="00154216" w:rsidRPr="00154216" w:rsidRDefault="00154216" w:rsidP="00154216">
      <w:pPr>
        <w:pStyle w:val="SingleTxtG"/>
        <w:rPr>
          <w:lang w:val="es-ES_tradnl"/>
        </w:rPr>
      </w:pPr>
      <w:r w:rsidRPr="00154216">
        <w:rPr>
          <w:lang w:val="es-ES_tradnl"/>
        </w:rPr>
        <w:t>247.</w:t>
      </w:r>
      <w:r w:rsidRPr="00154216">
        <w:rPr>
          <w:lang w:val="es-ES_tradnl"/>
        </w:rPr>
        <w:tab/>
        <w:t xml:space="preserve">Cada año el Gobierno destina 2,8 millones de dólares neozelandeses al subtitulado y la </w:t>
      </w:r>
      <w:proofErr w:type="spellStart"/>
      <w:r w:rsidRPr="00154216">
        <w:rPr>
          <w:lang w:val="es-ES_tradnl"/>
        </w:rPr>
        <w:t>audiodescripción</w:t>
      </w:r>
      <w:proofErr w:type="spellEnd"/>
      <w:r w:rsidRPr="00154216">
        <w:rPr>
          <w:lang w:val="es-ES_tradnl"/>
        </w:rPr>
        <w:t xml:space="preserve"> en la televisión. El Gobierno está elaborando una política para incrementar los niveles de subtitulación y </w:t>
      </w:r>
      <w:proofErr w:type="spellStart"/>
      <w:r w:rsidRPr="00154216">
        <w:rPr>
          <w:lang w:val="es-ES_tradnl"/>
        </w:rPr>
        <w:t>audiodescripción</w:t>
      </w:r>
      <w:proofErr w:type="spellEnd"/>
      <w:r w:rsidRPr="00154216">
        <w:rPr>
          <w:lang w:val="es-ES_tradnl"/>
        </w:rPr>
        <w:t xml:space="preserve"> con arreglo a las </w:t>
      </w:r>
      <w:r w:rsidRPr="00154216">
        <w:rPr>
          <w:lang w:val="es-ES_tradnl"/>
        </w:rPr>
        <w:lastRenderedPageBreak/>
        <w:t>recomendaciones de la investigación sobre el subtitulado en Nueva Zelandia</w:t>
      </w:r>
      <w:r w:rsidRPr="00154216">
        <w:rPr>
          <w:rStyle w:val="Refdenotaalfinal"/>
          <w:lang w:val="es-ES_tradnl"/>
        </w:rPr>
        <w:endnoteReference w:id="168"/>
      </w:r>
      <w:r w:rsidRPr="00154216">
        <w:rPr>
          <w:rStyle w:val="Refdenotaalfinal"/>
          <w:lang w:val="es-ES_tradnl"/>
        </w:rPr>
        <w:t xml:space="preserve"> </w:t>
      </w:r>
      <w:r w:rsidRPr="00154216">
        <w:rPr>
          <w:lang w:val="es-ES_tradnl"/>
        </w:rPr>
        <w:t>(agosto de</w:t>
      </w:r>
      <w:r w:rsidR="000D6EAF">
        <w:rPr>
          <w:lang w:val="es-ES_tradnl"/>
        </w:rPr>
        <w:t> </w:t>
      </w:r>
      <w:r w:rsidRPr="00154216">
        <w:rPr>
          <w:lang w:val="es-ES_tradnl"/>
        </w:rPr>
        <w:t>2017).</w:t>
      </w:r>
    </w:p>
    <w:p w14:paraId="5084BABF" w14:textId="77777777" w:rsidR="00154216" w:rsidRPr="00154216" w:rsidRDefault="00154216" w:rsidP="00154216">
      <w:pPr>
        <w:pStyle w:val="SingleTxtG"/>
        <w:rPr>
          <w:lang w:val="es-ES_tradnl"/>
        </w:rPr>
      </w:pPr>
      <w:r w:rsidRPr="00154216">
        <w:rPr>
          <w:lang w:val="es-ES_tradnl"/>
        </w:rPr>
        <w:t>248.</w:t>
      </w:r>
      <w:r w:rsidRPr="00154216">
        <w:rPr>
          <w:lang w:val="es-ES_tradnl"/>
        </w:rPr>
        <w:tab/>
        <w:t xml:space="preserve">El proyecto de ley de enmienda de la Ley de Derechos de Autor (Aplicación del Tratado de Marrakech) permitirá que Nueva Zelandia se adhiera al Tratado de Marrakech. De aprobarse en su forma actual, el proyecto de ley hará posible que las personas con una discapacidad que les impide leer los materiales impresos y otras personas en su nombre hagan copias en formato accesible de obras protegidas por derechos de autor sin la autorización de los titulares de esos derechos. Estas copias también podrán ponerse a disposición de una </w:t>
      </w:r>
      <w:r>
        <w:rPr>
          <w:lang w:val="es-ES_tradnl"/>
        </w:rPr>
        <w:t>“</w:t>
      </w:r>
      <w:r w:rsidRPr="00154216">
        <w:rPr>
          <w:lang w:val="es-ES_tradnl"/>
        </w:rPr>
        <w:t>entidad autorizada</w:t>
      </w:r>
      <w:r>
        <w:rPr>
          <w:lang w:val="es-ES_tradnl"/>
        </w:rPr>
        <w:t>”</w:t>
      </w:r>
      <w:r w:rsidRPr="00154216">
        <w:rPr>
          <w:lang w:val="es-ES_tradnl"/>
        </w:rPr>
        <w:t xml:space="preserve"> en Nueva Zelandia.</w:t>
      </w:r>
    </w:p>
    <w:p w14:paraId="0EFD1D5D" w14:textId="77777777" w:rsidR="00154216" w:rsidRPr="00154216" w:rsidRDefault="00154216" w:rsidP="00154216">
      <w:pPr>
        <w:pStyle w:val="SingleTxtG"/>
        <w:rPr>
          <w:lang w:val="es-ES_tradnl"/>
        </w:rPr>
      </w:pPr>
      <w:r w:rsidRPr="00154216">
        <w:rPr>
          <w:lang w:val="es-ES_tradnl"/>
        </w:rPr>
        <w:t>249.</w:t>
      </w:r>
      <w:r w:rsidRPr="00154216">
        <w:rPr>
          <w:lang w:val="es-ES_tradnl"/>
        </w:rPr>
        <w:tab/>
        <w:t>Véase la respuesta a la pregunta 20 e).</w:t>
      </w:r>
    </w:p>
    <w:p w14:paraId="1F5C2273" w14:textId="77777777" w:rsidR="00154216" w:rsidRPr="00154216" w:rsidRDefault="00154216" w:rsidP="000D6EAF">
      <w:pPr>
        <w:pStyle w:val="H23G"/>
        <w:rPr>
          <w:lang w:val="es-ES_tradnl"/>
        </w:rPr>
      </w:pPr>
      <w:r w:rsidRPr="00154216">
        <w:rPr>
          <w:lang w:val="es-ES_tradnl"/>
        </w:rPr>
        <w:tab/>
      </w:r>
      <w:r w:rsidRPr="00154216">
        <w:rPr>
          <w:lang w:val="es-ES_tradnl"/>
        </w:rPr>
        <w:tab/>
        <w:t xml:space="preserve">Respuesta al párrafo 20 e)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2CA248F4" w14:textId="77777777" w:rsidR="00154216" w:rsidRPr="00154216" w:rsidRDefault="00154216" w:rsidP="00154216">
      <w:pPr>
        <w:pStyle w:val="SingleTxtG"/>
        <w:rPr>
          <w:lang w:val="es-ES_tradnl"/>
        </w:rPr>
      </w:pPr>
      <w:r w:rsidRPr="00154216">
        <w:rPr>
          <w:lang w:val="es-ES_tradnl"/>
        </w:rPr>
        <w:t>250.</w:t>
      </w:r>
      <w:r w:rsidRPr="00154216">
        <w:rPr>
          <w:lang w:val="es-ES_tradnl"/>
        </w:rPr>
        <w:tab/>
        <w:t>En 2003, el Gabinete dio instrucciones a los organismos gubernamentales de cumplir las Normas de Accesibilidad de la Web</w:t>
      </w:r>
      <w:r w:rsidRPr="00154216">
        <w:rPr>
          <w:rStyle w:val="Refdenotaalfinal"/>
          <w:lang w:val="es-ES_tradnl"/>
        </w:rPr>
        <w:endnoteReference w:id="169"/>
      </w:r>
      <w:r w:rsidR="007A33C4">
        <w:rPr>
          <w:lang w:val="es-ES_tradnl"/>
        </w:rPr>
        <w:t>.</w:t>
      </w:r>
      <w:r w:rsidRPr="00154216">
        <w:rPr>
          <w:rStyle w:val="Refdenotaalfinal"/>
          <w:lang w:val="es-ES_tradnl"/>
        </w:rPr>
        <w:t xml:space="preserve"> </w:t>
      </w:r>
      <w:r w:rsidRPr="00154216">
        <w:rPr>
          <w:lang w:val="es-ES_tradnl"/>
        </w:rPr>
        <w:t>El Departamento de Asuntos Internos vigila el cumplimiento. En 2014/15 se dispuso que los organismos gubernamentales evaluaran la conformidad de sus propios sitios web con las Normas de Accesibilidad de la Web e informasen al respecto. El objetivo era calibrar el grado de cumplimiento a la fecha de esas normas por parte de los organismos y establecer una base de referencia para mejorarlo. Se esperaba conseguir en 2017 el pleno cumplimiento de las normas, que sería apuntalado por una serie de autoevaluaciones complementarias en 2017/18.</w:t>
      </w:r>
    </w:p>
    <w:p w14:paraId="68D594CD" w14:textId="77777777" w:rsidR="00154216" w:rsidRPr="00154216" w:rsidRDefault="00154216" w:rsidP="00154216">
      <w:pPr>
        <w:pStyle w:val="SingleTxtG"/>
        <w:rPr>
          <w:lang w:val="es-ES_tradnl"/>
        </w:rPr>
      </w:pPr>
      <w:r w:rsidRPr="00154216">
        <w:rPr>
          <w:lang w:val="es-ES_tradnl"/>
        </w:rPr>
        <w:t>251.</w:t>
      </w:r>
      <w:r w:rsidRPr="00154216">
        <w:rPr>
          <w:lang w:val="es-ES_tradnl"/>
        </w:rPr>
        <w:tab/>
        <w:t xml:space="preserve">Como resultado de las autoevaluaciones de 2014/15, se implementó un modelo de apoyo a los organismos con talleres, orientación, una comunidad especializada, una plataforma web común y un panel de servicios web. </w:t>
      </w:r>
    </w:p>
    <w:p w14:paraId="64BA6658" w14:textId="77777777" w:rsidR="00154216" w:rsidRPr="00154216" w:rsidRDefault="00154216" w:rsidP="00154216">
      <w:pPr>
        <w:pStyle w:val="SingleTxtG"/>
        <w:rPr>
          <w:lang w:val="es-ES_tradnl"/>
        </w:rPr>
      </w:pPr>
      <w:r w:rsidRPr="00154216">
        <w:rPr>
          <w:lang w:val="es-ES_tradnl"/>
        </w:rPr>
        <w:t>252.</w:t>
      </w:r>
      <w:r w:rsidRPr="00154216">
        <w:rPr>
          <w:lang w:val="es-ES_tradnl"/>
        </w:rPr>
        <w:tab/>
        <w:t>En 2017/18 se repitió el programa de autoevaluación con el fin de calibrar el grado de cumplimiento e informar las futuras medidas de apoyo al cumplimiento.</w:t>
      </w:r>
    </w:p>
    <w:p w14:paraId="5DF5310F" w14:textId="77777777" w:rsidR="00154216" w:rsidRPr="00154216" w:rsidRDefault="007A33C4" w:rsidP="007A33C4">
      <w:pPr>
        <w:pStyle w:val="H23G"/>
        <w:rPr>
          <w:lang w:val="es-ES_tradnl"/>
        </w:rPr>
      </w:pPr>
      <w:r>
        <w:rPr>
          <w:lang w:val="es-ES_tradnl"/>
        </w:rPr>
        <w:tab/>
      </w:r>
      <w:r>
        <w:rPr>
          <w:lang w:val="es-ES_tradnl"/>
        </w:rPr>
        <w:tab/>
      </w:r>
      <w:r w:rsidR="00154216" w:rsidRPr="00154216">
        <w:rPr>
          <w:lang w:val="es-ES_tradnl"/>
        </w:rPr>
        <w:t xml:space="preserve">Respuesta al párrafo 20 f) de </w:t>
      </w:r>
      <w:proofErr w:type="spellStart"/>
      <w:r w:rsidR="00154216" w:rsidRPr="00154216">
        <w:rPr>
          <w:lang w:val="es-ES_tradnl"/>
        </w:rPr>
        <w:t>CRPD</w:t>
      </w:r>
      <w:proofErr w:type="spellEnd"/>
      <w:r w:rsidR="00154216" w:rsidRPr="00154216">
        <w:rPr>
          <w:lang w:val="es-ES_tradnl"/>
        </w:rPr>
        <w:t>/C/</w:t>
      </w:r>
      <w:proofErr w:type="spellStart"/>
      <w:r w:rsidR="00154216" w:rsidRPr="00154216">
        <w:rPr>
          <w:lang w:val="es-ES_tradnl"/>
        </w:rPr>
        <w:t>NZL</w:t>
      </w:r>
      <w:proofErr w:type="spellEnd"/>
      <w:r w:rsidR="00154216" w:rsidRPr="00154216">
        <w:rPr>
          <w:lang w:val="es-ES_tradnl"/>
        </w:rPr>
        <w:t>/</w:t>
      </w:r>
      <w:proofErr w:type="spellStart"/>
      <w:r w:rsidR="00154216" w:rsidRPr="00154216">
        <w:rPr>
          <w:lang w:val="es-ES_tradnl"/>
        </w:rPr>
        <w:t>QPR</w:t>
      </w:r>
      <w:proofErr w:type="spellEnd"/>
      <w:r w:rsidR="00154216" w:rsidRPr="00154216">
        <w:rPr>
          <w:lang w:val="es-ES_tradnl"/>
        </w:rPr>
        <w:t>/2-3</w:t>
      </w:r>
    </w:p>
    <w:p w14:paraId="2267E64A" w14:textId="77777777" w:rsidR="00154216" w:rsidRPr="00154216" w:rsidRDefault="00154216" w:rsidP="00154216">
      <w:pPr>
        <w:pStyle w:val="SingleTxtG"/>
        <w:rPr>
          <w:lang w:val="es-ES_tradnl"/>
        </w:rPr>
      </w:pPr>
      <w:r w:rsidRPr="00154216">
        <w:rPr>
          <w:lang w:val="es-ES_tradnl"/>
        </w:rPr>
        <w:t>253.</w:t>
      </w:r>
      <w:r w:rsidRPr="00154216">
        <w:rPr>
          <w:lang w:val="es-ES_tradnl"/>
        </w:rPr>
        <w:tab/>
        <w:t xml:space="preserve">El Gobierno suministra plantillas para las adquisiciones (por ejemplo, la plantilla de resultados y la plantilla del plan de gestión) en apoyo de la adquisición adaptable de tecnologías asistenciales por parte de los organismos gubernamentales. </w:t>
      </w:r>
    </w:p>
    <w:p w14:paraId="06FA768F" w14:textId="77777777" w:rsidR="00154216" w:rsidRPr="00C6463B" w:rsidRDefault="007A33C4" w:rsidP="007A33C4">
      <w:pPr>
        <w:pStyle w:val="H23G"/>
        <w:rPr>
          <w:sz w:val="18"/>
          <w:szCs w:val="18"/>
          <w:lang w:val="es-ES_tradnl"/>
        </w:rPr>
      </w:pPr>
      <w:r>
        <w:rPr>
          <w:lang w:val="es-ES_tradnl"/>
        </w:rPr>
        <w:tab/>
      </w:r>
      <w:r>
        <w:rPr>
          <w:lang w:val="es-ES_tradnl"/>
        </w:rPr>
        <w:tab/>
      </w:r>
      <w:r w:rsidR="00154216" w:rsidRPr="00C6463B">
        <w:rPr>
          <w:b w:val="0"/>
          <w:bCs/>
          <w:lang w:val="es-ES_tradnl"/>
        </w:rPr>
        <w:t>Cuadro</w:t>
      </w:r>
      <w:r>
        <w:rPr>
          <w:lang w:val="es-ES_tradnl"/>
        </w:rPr>
        <w:br/>
      </w:r>
      <w:r w:rsidR="00154216" w:rsidRPr="00154216">
        <w:rPr>
          <w:lang w:val="es-ES_tradnl"/>
        </w:rPr>
        <w:t>Fondos destinados a las tecnologías asistenciales</w:t>
      </w:r>
      <w:r w:rsidR="00B834DC">
        <w:rPr>
          <w:lang w:val="es-ES_tradnl"/>
        </w:rPr>
        <w:br/>
      </w:r>
      <w:r w:rsidR="00B834DC" w:rsidRPr="00C6463B">
        <w:rPr>
          <w:b w:val="0"/>
          <w:iCs/>
          <w:sz w:val="16"/>
          <w:szCs w:val="18"/>
          <w:lang w:val="es-ES_tradnl"/>
        </w:rPr>
        <w:t>(</w:t>
      </w:r>
      <w:r w:rsidR="00A3689F">
        <w:rPr>
          <w:b w:val="0"/>
          <w:iCs/>
          <w:sz w:val="16"/>
          <w:szCs w:val="18"/>
          <w:lang w:val="es-ES_tradnl"/>
        </w:rPr>
        <w:t>E</w:t>
      </w:r>
      <w:r w:rsidR="00B834DC" w:rsidRPr="00C6463B">
        <w:rPr>
          <w:b w:val="0"/>
          <w:iCs/>
          <w:sz w:val="16"/>
          <w:szCs w:val="18"/>
          <w:lang w:val="es-ES_tradnl"/>
        </w:rPr>
        <w:t>n millones de dólares neozelandeses)</w:t>
      </w:r>
    </w:p>
    <w:tbl>
      <w:tblPr>
        <w:tblStyle w:val="TableGridLight1"/>
        <w:tblW w:w="7370" w:type="dxa"/>
        <w:tblInd w:w="113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70"/>
        <w:gridCol w:w="851"/>
        <w:gridCol w:w="850"/>
        <w:gridCol w:w="850"/>
        <w:gridCol w:w="849"/>
      </w:tblGrid>
      <w:tr w:rsidR="00B834DC" w:rsidRPr="00B834DC" w14:paraId="29CD515E" w14:textId="77777777" w:rsidTr="00A3689F">
        <w:trPr>
          <w:trHeight w:val="240"/>
          <w:tblHeader/>
        </w:trPr>
        <w:tc>
          <w:tcPr>
            <w:tcW w:w="2693" w:type="pct"/>
            <w:tcBorders>
              <w:top w:val="single" w:sz="4" w:space="0" w:color="auto"/>
              <w:bottom w:val="single" w:sz="12" w:space="0" w:color="auto"/>
            </w:tcBorders>
            <w:shd w:val="clear" w:color="auto" w:fill="auto"/>
            <w:vAlign w:val="bottom"/>
          </w:tcPr>
          <w:p w14:paraId="51A2FEFA" w14:textId="77777777" w:rsidR="00154216" w:rsidRPr="00B834DC" w:rsidRDefault="00154216" w:rsidP="00B834DC">
            <w:pPr>
              <w:pStyle w:val="SingleTxtG"/>
              <w:spacing w:before="80" w:after="80" w:line="200" w:lineRule="exact"/>
              <w:ind w:left="0" w:right="0"/>
              <w:jc w:val="left"/>
              <w:rPr>
                <w:rFonts w:ascii="Times New Roman" w:hAnsi="Times New Roman" w:cs="Times New Roman"/>
                <w:i/>
                <w:sz w:val="16"/>
                <w:lang w:val="es-ES_tradnl"/>
              </w:rPr>
            </w:pPr>
          </w:p>
        </w:tc>
        <w:tc>
          <w:tcPr>
            <w:tcW w:w="577" w:type="pct"/>
            <w:tcBorders>
              <w:top w:val="single" w:sz="4" w:space="0" w:color="auto"/>
              <w:bottom w:val="single" w:sz="12" w:space="0" w:color="auto"/>
            </w:tcBorders>
            <w:shd w:val="clear" w:color="auto" w:fill="auto"/>
            <w:vAlign w:val="bottom"/>
            <w:hideMark/>
          </w:tcPr>
          <w:p w14:paraId="751C8B0B" w14:textId="77777777" w:rsidR="00154216" w:rsidRPr="00B834DC" w:rsidRDefault="00154216" w:rsidP="00B834DC">
            <w:pPr>
              <w:pStyle w:val="SingleTxtG"/>
              <w:spacing w:before="80" w:after="80" w:line="200" w:lineRule="exact"/>
              <w:ind w:left="113" w:right="0"/>
              <w:jc w:val="right"/>
              <w:rPr>
                <w:rFonts w:ascii="Times New Roman" w:hAnsi="Times New Roman" w:cs="Times New Roman"/>
                <w:i/>
                <w:sz w:val="16"/>
                <w:lang w:val="es-ES_tradnl"/>
              </w:rPr>
            </w:pPr>
            <w:r w:rsidRPr="00B834DC">
              <w:rPr>
                <w:rFonts w:ascii="Times New Roman" w:hAnsi="Times New Roman" w:cs="Times New Roman"/>
                <w:i/>
                <w:iCs/>
                <w:sz w:val="16"/>
                <w:lang w:val="es-ES_tradnl"/>
              </w:rPr>
              <w:t>2014/15</w:t>
            </w:r>
          </w:p>
        </w:tc>
        <w:tc>
          <w:tcPr>
            <w:tcW w:w="577" w:type="pct"/>
            <w:tcBorders>
              <w:top w:val="single" w:sz="4" w:space="0" w:color="auto"/>
              <w:bottom w:val="single" w:sz="12" w:space="0" w:color="auto"/>
            </w:tcBorders>
            <w:shd w:val="clear" w:color="auto" w:fill="auto"/>
            <w:vAlign w:val="bottom"/>
            <w:hideMark/>
          </w:tcPr>
          <w:p w14:paraId="630F171C" w14:textId="77777777" w:rsidR="00154216" w:rsidRPr="00B834DC" w:rsidRDefault="00154216" w:rsidP="00B834DC">
            <w:pPr>
              <w:pStyle w:val="SingleTxtG"/>
              <w:spacing w:before="80" w:after="80" w:line="200" w:lineRule="exact"/>
              <w:ind w:left="113" w:right="0"/>
              <w:jc w:val="right"/>
              <w:rPr>
                <w:rFonts w:ascii="Times New Roman" w:hAnsi="Times New Roman" w:cs="Times New Roman"/>
                <w:i/>
                <w:sz w:val="16"/>
                <w:lang w:val="es-ES_tradnl"/>
              </w:rPr>
            </w:pPr>
            <w:r w:rsidRPr="00B834DC">
              <w:rPr>
                <w:rFonts w:ascii="Times New Roman" w:hAnsi="Times New Roman" w:cs="Times New Roman"/>
                <w:i/>
                <w:iCs/>
                <w:sz w:val="16"/>
                <w:lang w:val="es-ES_tradnl"/>
              </w:rPr>
              <w:t>2015/16</w:t>
            </w:r>
          </w:p>
        </w:tc>
        <w:tc>
          <w:tcPr>
            <w:tcW w:w="577" w:type="pct"/>
            <w:tcBorders>
              <w:top w:val="single" w:sz="4" w:space="0" w:color="auto"/>
              <w:bottom w:val="single" w:sz="12" w:space="0" w:color="auto"/>
            </w:tcBorders>
            <w:shd w:val="clear" w:color="auto" w:fill="auto"/>
            <w:vAlign w:val="bottom"/>
            <w:hideMark/>
          </w:tcPr>
          <w:p w14:paraId="54F67F96" w14:textId="77777777" w:rsidR="00154216" w:rsidRPr="00B834DC" w:rsidRDefault="00154216" w:rsidP="00B834DC">
            <w:pPr>
              <w:pStyle w:val="SingleTxtG"/>
              <w:spacing w:before="80" w:after="80" w:line="200" w:lineRule="exact"/>
              <w:ind w:left="113" w:right="0"/>
              <w:jc w:val="right"/>
              <w:rPr>
                <w:rFonts w:ascii="Times New Roman" w:hAnsi="Times New Roman" w:cs="Times New Roman"/>
                <w:i/>
                <w:sz w:val="16"/>
                <w:lang w:val="es-ES_tradnl"/>
              </w:rPr>
            </w:pPr>
            <w:r w:rsidRPr="00B834DC">
              <w:rPr>
                <w:rFonts w:ascii="Times New Roman" w:hAnsi="Times New Roman" w:cs="Times New Roman"/>
                <w:i/>
                <w:iCs/>
                <w:sz w:val="16"/>
                <w:lang w:val="es-ES_tradnl"/>
              </w:rPr>
              <w:t>2016/17</w:t>
            </w:r>
          </w:p>
        </w:tc>
        <w:tc>
          <w:tcPr>
            <w:tcW w:w="577" w:type="pct"/>
            <w:tcBorders>
              <w:top w:val="single" w:sz="4" w:space="0" w:color="auto"/>
              <w:bottom w:val="single" w:sz="12" w:space="0" w:color="auto"/>
            </w:tcBorders>
            <w:shd w:val="clear" w:color="auto" w:fill="auto"/>
            <w:vAlign w:val="bottom"/>
            <w:hideMark/>
          </w:tcPr>
          <w:p w14:paraId="0F898559" w14:textId="77777777" w:rsidR="00154216" w:rsidRPr="00B834DC" w:rsidRDefault="00154216" w:rsidP="00B834DC">
            <w:pPr>
              <w:pStyle w:val="SingleTxtG"/>
              <w:spacing w:before="80" w:after="80" w:line="200" w:lineRule="exact"/>
              <w:ind w:left="113" w:right="0"/>
              <w:jc w:val="right"/>
              <w:rPr>
                <w:rFonts w:ascii="Times New Roman" w:hAnsi="Times New Roman" w:cs="Times New Roman"/>
                <w:i/>
                <w:sz w:val="16"/>
                <w:lang w:val="es-ES_tradnl"/>
              </w:rPr>
            </w:pPr>
            <w:r w:rsidRPr="00B834DC">
              <w:rPr>
                <w:rFonts w:ascii="Times New Roman" w:hAnsi="Times New Roman" w:cs="Times New Roman"/>
                <w:i/>
                <w:iCs/>
                <w:sz w:val="16"/>
                <w:lang w:val="es-ES_tradnl"/>
              </w:rPr>
              <w:t>2017/18</w:t>
            </w:r>
          </w:p>
        </w:tc>
      </w:tr>
      <w:tr w:rsidR="00B834DC" w:rsidRPr="00B834DC" w14:paraId="27FD9A01" w14:textId="77777777" w:rsidTr="00A3689F">
        <w:trPr>
          <w:trHeight w:val="240"/>
        </w:trPr>
        <w:tc>
          <w:tcPr>
            <w:tcW w:w="2693" w:type="pct"/>
            <w:shd w:val="clear" w:color="auto" w:fill="auto"/>
            <w:hideMark/>
          </w:tcPr>
          <w:p w14:paraId="44B7592B" w14:textId="77777777" w:rsidR="00154216" w:rsidRPr="00B834DC" w:rsidRDefault="00154216" w:rsidP="00B834DC">
            <w:pPr>
              <w:pStyle w:val="SingleTxtG"/>
              <w:spacing w:before="40" w:after="40" w:line="220" w:lineRule="exact"/>
              <w:ind w:left="0" w:right="0"/>
              <w:jc w:val="left"/>
              <w:rPr>
                <w:rFonts w:ascii="Times New Roman" w:hAnsi="Times New Roman" w:cs="Times New Roman"/>
                <w:sz w:val="18"/>
                <w:lang w:val="es-ES_tradnl"/>
              </w:rPr>
            </w:pPr>
            <w:r w:rsidRPr="00B834DC">
              <w:rPr>
                <w:rFonts w:ascii="Times New Roman" w:hAnsi="Times New Roman" w:cs="Times New Roman"/>
                <w:sz w:val="18"/>
                <w:lang w:val="es-ES_tradnl"/>
              </w:rPr>
              <w:t xml:space="preserve">Financiación de equipo de rehabilitación, prótesis </w:t>
            </w:r>
            <w:r w:rsidR="00C6463B">
              <w:rPr>
                <w:rFonts w:ascii="Times New Roman" w:hAnsi="Times New Roman" w:cs="Times New Roman"/>
                <w:sz w:val="18"/>
                <w:lang w:val="es-ES_tradnl"/>
              </w:rPr>
              <w:br/>
            </w:r>
            <w:r w:rsidRPr="00B834DC">
              <w:rPr>
                <w:rFonts w:ascii="Times New Roman" w:hAnsi="Times New Roman" w:cs="Times New Roman"/>
                <w:sz w:val="18"/>
                <w:lang w:val="es-ES_tradnl"/>
              </w:rPr>
              <w:t>y tecnología audiológica (a cargo de la ACC)</w:t>
            </w:r>
          </w:p>
        </w:tc>
        <w:tc>
          <w:tcPr>
            <w:tcW w:w="577" w:type="pct"/>
            <w:shd w:val="clear" w:color="auto" w:fill="auto"/>
            <w:vAlign w:val="bottom"/>
            <w:hideMark/>
          </w:tcPr>
          <w:p w14:paraId="48E48E2D" w14:textId="77777777" w:rsidR="00154216" w:rsidRPr="00B834DC" w:rsidRDefault="00154216" w:rsidP="00B834DC">
            <w:pPr>
              <w:pStyle w:val="SingleTxtG"/>
              <w:spacing w:before="40" w:after="40" w:line="220" w:lineRule="exact"/>
              <w:ind w:left="113" w:right="0"/>
              <w:jc w:val="right"/>
              <w:rPr>
                <w:rFonts w:ascii="Times New Roman" w:hAnsi="Times New Roman" w:cs="Times New Roman"/>
                <w:sz w:val="18"/>
                <w:lang w:val="es-ES_tradnl"/>
              </w:rPr>
            </w:pPr>
            <w:r w:rsidRPr="00B834DC">
              <w:rPr>
                <w:rFonts w:ascii="Times New Roman" w:hAnsi="Times New Roman" w:cs="Times New Roman"/>
                <w:sz w:val="18"/>
                <w:lang w:val="es-ES_tradnl"/>
              </w:rPr>
              <w:t>58,9</w:t>
            </w:r>
          </w:p>
        </w:tc>
        <w:tc>
          <w:tcPr>
            <w:tcW w:w="577" w:type="pct"/>
            <w:shd w:val="clear" w:color="auto" w:fill="auto"/>
            <w:vAlign w:val="bottom"/>
            <w:hideMark/>
          </w:tcPr>
          <w:p w14:paraId="032F4019" w14:textId="77777777" w:rsidR="00154216" w:rsidRPr="00B834DC" w:rsidRDefault="00154216" w:rsidP="00B834DC">
            <w:pPr>
              <w:pStyle w:val="SingleTxtG"/>
              <w:spacing w:before="40" w:after="40" w:line="220" w:lineRule="exact"/>
              <w:ind w:left="113" w:right="0"/>
              <w:jc w:val="right"/>
              <w:rPr>
                <w:rFonts w:ascii="Times New Roman" w:hAnsi="Times New Roman" w:cs="Times New Roman"/>
                <w:sz w:val="18"/>
                <w:lang w:val="es-ES_tradnl"/>
              </w:rPr>
            </w:pPr>
            <w:r w:rsidRPr="00B834DC">
              <w:rPr>
                <w:rFonts w:ascii="Times New Roman" w:hAnsi="Times New Roman" w:cs="Times New Roman"/>
                <w:sz w:val="18"/>
                <w:lang w:val="es-ES_tradnl"/>
              </w:rPr>
              <w:t>66,9</w:t>
            </w:r>
          </w:p>
        </w:tc>
        <w:tc>
          <w:tcPr>
            <w:tcW w:w="577" w:type="pct"/>
            <w:shd w:val="clear" w:color="auto" w:fill="auto"/>
            <w:vAlign w:val="bottom"/>
            <w:hideMark/>
          </w:tcPr>
          <w:p w14:paraId="46BABA33" w14:textId="77777777" w:rsidR="00154216" w:rsidRPr="00B834DC" w:rsidRDefault="00154216" w:rsidP="00B834DC">
            <w:pPr>
              <w:pStyle w:val="SingleTxtG"/>
              <w:spacing w:before="40" w:after="40" w:line="220" w:lineRule="exact"/>
              <w:ind w:left="113" w:right="0"/>
              <w:jc w:val="right"/>
              <w:rPr>
                <w:rFonts w:ascii="Times New Roman" w:hAnsi="Times New Roman" w:cs="Times New Roman"/>
                <w:sz w:val="18"/>
                <w:lang w:val="es-ES_tradnl"/>
              </w:rPr>
            </w:pPr>
            <w:r w:rsidRPr="00B834DC">
              <w:rPr>
                <w:rFonts w:ascii="Times New Roman" w:hAnsi="Times New Roman" w:cs="Times New Roman"/>
                <w:sz w:val="18"/>
                <w:lang w:val="es-ES_tradnl"/>
              </w:rPr>
              <w:t xml:space="preserve">73,5 </w:t>
            </w:r>
          </w:p>
        </w:tc>
        <w:tc>
          <w:tcPr>
            <w:tcW w:w="577" w:type="pct"/>
            <w:shd w:val="clear" w:color="auto" w:fill="auto"/>
            <w:vAlign w:val="bottom"/>
            <w:hideMark/>
          </w:tcPr>
          <w:p w14:paraId="04861C70" w14:textId="77777777" w:rsidR="00154216" w:rsidRPr="00B834DC" w:rsidRDefault="00154216" w:rsidP="00B834DC">
            <w:pPr>
              <w:pStyle w:val="SingleTxtG"/>
              <w:spacing w:before="40" w:after="40" w:line="220" w:lineRule="exact"/>
              <w:ind w:left="113" w:right="0"/>
              <w:jc w:val="right"/>
              <w:rPr>
                <w:rFonts w:ascii="Times New Roman" w:hAnsi="Times New Roman" w:cs="Times New Roman"/>
                <w:sz w:val="18"/>
                <w:lang w:val="es-ES_tradnl"/>
              </w:rPr>
            </w:pPr>
            <w:r w:rsidRPr="00B834DC">
              <w:rPr>
                <w:rFonts w:ascii="Times New Roman" w:hAnsi="Times New Roman" w:cs="Times New Roman"/>
                <w:sz w:val="18"/>
                <w:lang w:val="es-ES_tradnl"/>
              </w:rPr>
              <w:t xml:space="preserve">81,7 </w:t>
            </w:r>
          </w:p>
        </w:tc>
      </w:tr>
      <w:tr w:rsidR="00B834DC" w:rsidRPr="00B834DC" w14:paraId="23C076F9" w14:textId="77777777" w:rsidTr="00A3689F">
        <w:trPr>
          <w:trHeight w:val="240"/>
        </w:trPr>
        <w:tc>
          <w:tcPr>
            <w:tcW w:w="2693" w:type="pct"/>
            <w:shd w:val="clear" w:color="auto" w:fill="auto"/>
            <w:hideMark/>
          </w:tcPr>
          <w:p w14:paraId="4709DD5F" w14:textId="77777777" w:rsidR="00154216" w:rsidRPr="00B834DC" w:rsidRDefault="00154216" w:rsidP="00B834DC">
            <w:pPr>
              <w:pStyle w:val="SingleTxtG"/>
              <w:spacing w:before="40" w:after="40" w:line="220" w:lineRule="exact"/>
              <w:ind w:left="0" w:right="0"/>
              <w:jc w:val="left"/>
              <w:rPr>
                <w:rFonts w:ascii="Times New Roman" w:hAnsi="Times New Roman" w:cs="Times New Roman"/>
                <w:sz w:val="18"/>
                <w:lang w:val="es-ES_tradnl"/>
              </w:rPr>
            </w:pPr>
            <w:r w:rsidRPr="00B834DC">
              <w:rPr>
                <w:rFonts w:ascii="Times New Roman" w:hAnsi="Times New Roman" w:cs="Times New Roman"/>
                <w:sz w:val="18"/>
                <w:lang w:val="es-ES_tradnl"/>
              </w:rPr>
              <w:t xml:space="preserve">Financiación de dispositivos para ayudar </w:t>
            </w:r>
            <w:r w:rsidR="00C6463B">
              <w:rPr>
                <w:rFonts w:ascii="Times New Roman" w:hAnsi="Times New Roman" w:cs="Times New Roman"/>
                <w:sz w:val="18"/>
                <w:lang w:val="es-ES_tradnl"/>
              </w:rPr>
              <w:br/>
            </w:r>
            <w:r w:rsidRPr="00B834DC">
              <w:rPr>
                <w:rFonts w:ascii="Times New Roman" w:hAnsi="Times New Roman" w:cs="Times New Roman"/>
                <w:sz w:val="18"/>
                <w:lang w:val="es-ES_tradnl"/>
              </w:rPr>
              <w:t xml:space="preserve">a los estudiantes a acceder su currículum escolar, </w:t>
            </w:r>
            <w:r w:rsidR="00C6463B">
              <w:rPr>
                <w:rFonts w:ascii="Times New Roman" w:hAnsi="Times New Roman" w:cs="Times New Roman"/>
                <w:sz w:val="18"/>
                <w:lang w:val="es-ES_tradnl"/>
              </w:rPr>
              <w:br/>
            </w:r>
            <w:r w:rsidRPr="00B834DC">
              <w:rPr>
                <w:rFonts w:ascii="Times New Roman" w:hAnsi="Times New Roman" w:cs="Times New Roman"/>
                <w:sz w:val="18"/>
                <w:lang w:val="es-ES_tradnl"/>
              </w:rPr>
              <w:t xml:space="preserve">por ejemplo, máquinas de escritura en braille y programas informáticos de lectura de pantalla </w:t>
            </w:r>
            <w:r w:rsidR="00C6463B">
              <w:rPr>
                <w:rFonts w:ascii="Times New Roman" w:hAnsi="Times New Roman" w:cs="Times New Roman"/>
                <w:sz w:val="18"/>
                <w:lang w:val="es-ES_tradnl"/>
              </w:rPr>
              <w:br/>
            </w:r>
            <w:r w:rsidRPr="00B834DC">
              <w:rPr>
                <w:rFonts w:ascii="Times New Roman" w:hAnsi="Times New Roman" w:cs="Times New Roman"/>
                <w:sz w:val="18"/>
                <w:lang w:val="es-ES_tradnl"/>
              </w:rPr>
              <w:t>(a cargo del Ministerio de Educación)</w:t>
            </w:r>
          </w:p>
        </w:tc>
        <w:tc>
          <w:tcPr>
            <w:tcW w:w="577" w:type="pct"/>
            <w:shd w:val="clear" w:color="auto" w:fill="auto"/>
            <w:vAlign w:val="bottom"/>
            <w:hideMark/>
          </w:tcPr>
          <w:p w14:paraId="607E6A83" w14:textId="77777777" w:rsidR="00154216" w:rsidRPr="00B834DC" w:rsidRDefault="00154216" w:rsidP="00B834DC">
            <w:pPr>
              <w:pStyle w:val="SingleTxtG"/>
              <w:spacing w:before="40" w:after="40" w:line="220" w:lineRule="exact"/>
              <w:ind w:left="113" w:right="0"/>
              <w:jc w:val="right"/>
              <w:rPr>
                <w:rFonts w:ascii="Times New Roman" w:hAnsi="Times New Roman" w:cs="Times New Roman"/>
                <w:sz w:val="18"/>
                <w:lang w:val="es-ES_tradnl"/>
              </w:rPr>
            </w:pPr>
            <w:r w:rsidRPr="00B834DC">
              <w:rPr>
                <w:rFonts w:ascii="Times New Roman" w:hAnsi="Times New Roman" w:cs="Times New Roman"/>
                <w:sz w:val="18"/>
                <w:lang w:val="es-ES_tradnl"/>
              </w:rPr>
              <w:t>1,8</w:t>
            </w:r>
          </w:p>
        </w:tc>
        <w:tc>
          <w:tcPr>
            <w:tcW w:w="577" w:type="pct"/>
            <w:shd w:val="clear" w:color="auto" w:fill="auto"/>
            <w:vAlign w:val="bottom"/>
            <w:hideMark/>
          </w:tcPr>
          <w:p w14:paraId="6CC91E18" w14:textId="77777777" w:rsidR="00154216" w:rsidRPr="00B834DC" w:rsidRDefault="00154216" w:rsidP="00B834DC">
            <w:pPr>
              <w:pStyle w:val="SingleTxtG"/>
              <w:spacing w:before="40" w:after="40" w:line="220" w:lineRule="exact"/>
              <w:ind w:left="113" w:right="0"/>
              <w:jc w:val="right"/>
              <w:rPr>
                <w:rFonts w:ascii="Times New Roman" w:hAnsi="Times New Roman" w:cs="Times New Roman"/>
                <w:sz w:val="18"/>
                <w:lang w:val="es-ES_tradnl"/>
              </w:rPr>
            </w:pPr>
            <w:r w:rsidRPr="00B834DC">
              <w:rPr>
                <w:rFonts w:ascii="Times New Roman" w:hAnsi="Times New Roman" w:cs="Times New Roman"/>
                <w:sz w:val="18"/>
                <w:lang w:val="es-ES_tradnl"/>
              </w:rPr>
              <w:t xml:space="preserve">2,3 </w:t>
            </w:r>
          </w:p>
        </w:tc>
        <w:tc>
          <w:tcPr>
            <w:tcW w:w="577" w:type="pct"/>
            <w:shd w:val="clear" w:color="auto" w:fill="auto"/>
            <w:vAlign w:val="bottom"/>
            <w:hideMark/>
          </w:tcPr>
          <w:p w14:paraId="7A947E3E" w14:textId="77777777" w:rsidR="00154216" w:rsidRPr="00B834DC" w:rsidRDefault="00154216" w:rsidP="00B834DC">
            <w:pPr>
              <w:pStyle w:val="SingleTxtG"/>
              <w:spacing w:before="40" w:after="40" w:line="220" w:lineRule="exact"/>
              <w:ind w:left="113" w:right="0"/>
              <w:jc w:val="right"/>
              <w:rPr>
                <w:rFonts w:ascii="Times New Roman" w:hAnsi="Times New Roman" w:cs="Times New Roman"/>
                <w:sz w:val="18"/>
                <w:lang w:val="es-ES_tradnl"/>
              </w:rPr>
            </w:pPr>
            <w:r w:rsidRPr="00B834DC">
              <w:rPr>
                <w:rFonts w:ascii="Times New Roman" w:hAnsi="Times New Roman" w:cs="Times New Roman"/>
                <w:sz w:val="18"/>
                <w:lang w:val="es-ES_tradnl"/>
              </w:rPr>
              <w:t>2,5</w:t>
            </w:r>
          </w:p>
        </w:tc>
        <w:tc>
          <w:tcPr>
            <w:tcW w:w="577" w:type="pct"/>
            <w:shd w:val="clear" w:color="auto" w:fill="auto"/>
            <w:vAlign w:val="bottom"/>
            <w:hideMark/>
          </w:tcPr>
          <w:p w14:paraId="2DBC16B9" w14:textId="77777777" w:rsidR="00154216" w:rsidRPr="00B834DC" w:rsidRDefault="00154216" w:rsidP="00B834DC">
            <w:pPr>
              <w:pStyle w:val="SingleTxtG"/>
              <w:spacing w:before="40" w:after="40" w:line="220" w:lineRule="exact"/>
              <w:ind w:left="113" w:right="0"/>
              <w:jc w:val="right"/>
              <w:rPr>
                <w:rFonts w:ascii="Times New Roman" w:hAnsi="Times New Roman" w:cs="Times New Roman"/>
                <w:sz w:val="18"/>
                <w:lang w:val="es-ES_tradnl"/>
              </w:rPr>
            </w:pPr>
            <w:r w:rsidRPr="00B834DC">
              <w:rPr>
                <w:rFonts w:ascii="Times New Roman" w:hAnsi="Times New Roman" w:cs="Times New Roman"/>
                <w:sz w:val="18"/>
                <w:lang w:val="es-ES_tradnl"/>
              </w:rPr>
              <w:t>-</w:t>
            </w:r>
          </w:p>
        </w:tc>
      </w:tr>
      <w:tr w:rsidR="00B834DC" w:rsidRPr="00B834DC" w14:paraId="3A81BCAB" w14:textId="77777777" w:rsidTr="00A3689F">
        <w:trPr>
          <w:trHeight w:val="240"/>
        </w:trPr>
        <w:tc>
          <w:tcPr>
            <w:tcW w:w="2693" w:type="pct"/>
            <w:shd w:val="clear" w:color="auto" w:fill="auto"/>
            <w:hideMark/>
          </w:tcPr>
          <w:p w14:paraId="29A0F80A" w14:textId="77777777" w:rsidR="00154216" w:rsidRPr="00B834DC" w:rsidRDefault="00154216" w:rsidP="00B834DC">
            <w:pPr>
              <w:pStyle w:val="SingleTxtG"/>
              <w:spacing w:before="40" w:after="40" w:line="220" w:lineRule="exact"/>
              <w:ind w:left="0" w:right="0"/>
              <w:jc w:val="left"/>
              <w:rPr>
                <w:rStyle w:val="Refdenotaalfinal"/>
                <w:rFonts w:cs="Times New Roman"/>
                <w:vertAlign w:val="baseline"/>
                <w:lang w:val="es-ES_tradnl"/>
              </w:rPr>
            </w:pPr>
            <w:r w:rsidRPr="00B834DC">
              <w:rPr>
                <w:rFonts w:ascii="Times New Roman" w:hAnsi="Times New Roman" w:cs="Times New Roman"/>
                <w:sz w:val="18"/>
                <w:lang w:val="es-ES_tradnl"/>
              </w:rPr>
              <w:t xml:space="preserve">Asistencia financiera para cubrir los gastos </w:t>
            </w:r>
            <w:r w:rsidR="00C6463B">
              <w:rPr>
                <w:rFonts w:ascii="Times New Roman" w:hAnsi="Times New Roman" w:cs="Times New Roman"/>
                <w:sz w:val="18"/>
                <w:lang w:val="es-ES_tradnl"/>
              </w:rPr>
              <w:br/>
            </w:r>
            <w:r w:rsidRPr="00B834DC">
              <w:rPr>
                <w:rFonts w:ascii="Times New Roman" w:hAnsi="Times New Roman" w:cs="Times New Roman"/>
                <w:sz w:val="18"/>
                <w:lang w:val="es-ES_tradnl"/>
              </w:rPr>
              <w:t xml:space="preserve">por concepto de discapacidad efectuados durante </w:t>
            </w:r>
            <w:r w:rsidR="00C6463B">
              <w:rPr>
                <w:rFonts w:ascii="Times New Roman" w:hAnsi="Times New Roman" w:cs="Times New Roman"/>
                <w:sz w:val="18"/>
                <w:lang w:val="es-ES_tradnl"/>
              </w:rPr>
              <w:br/>
            </w:r>
            <w:r w:rsidRPr="00B834DC">
              <w:rPr>
                <w:rFonts w:ascii="Times New Roman" w:hAnsi="Times New Roman" w:cs="Times New Roman"/>
                <w:sz w:val="18"/>
                <w:lang w:val="es-ES_tradnl"/>
              </w:rPr>
              <w:t xml:space="preserve">la formación o el empleo (a cargo del Ministerio </w:t>
            </w:r>
            <w:r w:rsidR="00C6463B">
              <w:rPr>
                <w:rFonts w:ascii="Times New Roman" w:hAnsi="Times New Roman" w:cs="Times New Roman"/>
                <w:sz w:val="18"/>
                <w:lang w:val="es-ES_tradnl"/>
              </w:rPr>
              <w:br/>
            </w:r>
            <w:r w:rsidRPr="00B834DC">
              <w:rPr>
                <w:rFonts w:ascii="Times New Roman" w:hAnsi="Times New Roman" w:cs="Times New Roman"/>
                <w:sz w:val="18"/>
                <w:lang w:val="es-ES_tradnl"/>
              </w:rPr>
              <w:t>de Desarrollo Social)</w:t>
            </w:r>
            <w:r w:rsidRPr="00FB5934">
              <w:rPr>
                <w:rStyle w:val="Refdenotaalfinal"/>
                <w:rFonts w:cs="Times New Roman"/>
                <w:lang w:val="es-ES_tradnl"/>
              </w:rPr>
              <w:endnoteReference w:id="170"/>
            </w:r>
          </w:p>
        </w:tc>
        <w:tc>
          <w:tcPr>
            <w:tcW w:w="577" w:type="pct"/>
            <w:shd w:val="clear" w:color="auto" w:fill="auto"/>
            <w:vAlign w:val="bottom"/>
            <w:hideMark/>
          </w:tcPr>
          <w:p w14:paraId="1F585959" w14:textId="77777777" w:rsidR="00154216" w:rsidRPr="00B834DC" w:rsidRDefault="00154216" w:rsidP="00B834DC">
            <w:pPr>
              <w:pStyle w:val="SingleTxtG"/>
              <w:spacing w:before="40" w:after="40" w:line="220" w:lineRule="exact"/>
              <w:ind w:left="113" w:right="0"/>
              <w:jc w:val="right"/>
              <w:rPr>
                <w:rFonts w:ascii="Times New Roman" w:hAnsi="Times New Roman" w:cs="Times New Roman"/>
                <w:sz w:val="18"/>
                <w:lang w:val="es-ES_tradnl"/>
              </w:rPr>
            </w:pPr>
            <w:r w:rsidRPr="00B834DC">
              <w:rPr>
                <w:rFonts w:ascii="Times New Roman" w:hAnsi="Times New Roman" w:cs="Times New Roman"/>
                <w:sz w:val="18"/>
                <w:lang w:val="es-ES_tradnl"/>
              </w:rPr>
              <w:t xml:space="preserve">6,2 </w:t>
            </w:r>
          </w:p>
        </w:tc>
        <w:tc>
          <w:tcPr>
            <w:tcW w:w="577" w:type="pct"/>
            <w:shd w:val="clear" w:color="auto" w:fill="auto"/>
            <w:vAlign w:val="bottom"/>
            <w:hideMark/>
          </w:tcPr>
          <w:p w14:paraId="1B686A46" w14:textId="77777777" w:rsidR="00154216" w:rsidRPr="00B834DC" w:rsidRDefault="00154216" w:rsidP="00B834DC">
            <w:pPr>
              <w:pStyle w:val="SingleTxtG"/>
              <w:spacing w:before="40" w:after="40" w:line="220" w:lineRule="exact"/>
              <w:ind w:left="113" w:right="0"/>
              <w:jc w:val="right"/>
              <w:rPr>
                <w:rFonts w:ascii="Times New Roman" w:hAnsi="Times New Roman" w:cs="Times New Roman"/>
                <w:sz w:val="18"/>
                <w:lang w:val="es-ES_tradnl"/>
              </w:rPr>
            </w:pPr>
            <w:r w:rsidRPr="00B834DC">
              <w:rPr>
                <w:rFonts w:ascii="Times New Roman" w:hAnsi="Times New Roman" w:cs="Times New Roman"/>
                <w:sz w:val="18"/>
                <w:lang w:val="es-ES_tradnl"/>
              </w:rPr>
              <w:t xml:space="preserve">5,8 </w:t>
            </w:r>
          </w:p>
        </w:tc>
        <w:tc>
          <w:tcPr>
            <w:tcW w:w="577" w:type="pct"/>
            <w:shd w:val="clear" w:color="auto" w:fill="auto"/>
            <w:vAlign w:val="bottom"/>
            <w:hideMark/>
          </w:tcPr>
          <w:p w14:paraId="0FC1C916" w14:textId="77777777" w:rsidR="00154216" w:rsidRPr="00B834DC" w:rsidRDefault="00154216" w:rsidP="00B834DC">
            <w:pPr>
              <w:pStyle w:val="SingleTxtG"/>
              <w:spacing w:before="40" w:after="40" w:line="220" w:lineRule="exact"/>
              <w:ind w:left="113" w:right="0"/>
              <w:jc w:val="right"/>
              <w:rPr>
                <w:rFonts w:ascii="Times New Roman" w:hAnsi="Times New Roman" w:cs="Times New Roman"/>
                <w:sz w:val="18"/>
                <w:lang w:val="es-ES_tradnl"/>
              </w:rPr>
            </w:pPr>
            <w:r w:rsidRPr="00B834DC">
              <w:rPr>
                <w:rFonts w:ascii="Times New Roman" w:hAnsi="Times New Roman" w:cs="Times New Roman"/>
                <w:sz w:val="18"/>
                <w:lang w:val="es-ES_tradnl"/>
              </w:rPr>
              <w:t>4,7</w:t>
            </w:r>
          </w:p>
        </w:tc>
        <w:tc>
          <w:tcPr>
            <w:tcW w:w="577" w:type="pct"/>
            <w:shd w:val="clear" w:color="auto" w:fill="auto"/>
            <w:vAlign w:val="bottom"/>
            <w:hideMark/>
          </w:tcPr>
          <w:p w14:paraId="184C19AD" w14:textId="77777777" w:rsidR="00154216" w:rsidRPr="00B834DC" w:rsidRDefault="00154216" w:rsidP="00B834DC">
            <w:pPr>
              <w:pStyle w:val="SingleTxtG"/>
              <w:spacing w:before="40" w:after="40" w:line="220" w:lineRule="exact"/>
              <w:ind w:left="113" w:right="0"/>
              <w:jc w:val="right"/>
              <w:rPr>
                <w:rFonts w:ascii="Times New Roman" w:hAnsi="Times New Roman" w:cs="Times New Roman"/>
                <w:sz w:val="18"/>
                <w:lang w:val="es-ES_tradnl"/>
              </w:rPr>
            </w:pPr>
            <w:r w:rsidRPr="00B834DC">
              <w:rPr>
                <w:rFonts w:ascii="Times New Roman" w:hAnsi="Times New Roman" w:cs="Times New Roman"/>
                <w:sz w:val="18"/>
                <w:lang w:val="es-ES_tradnl"/>
              </w:rPr>
              <w:t xml:space="preserve">6,8 </w:t>
            </w:r>
          </w:p>
        </w:tc>
      </w:tr>
      <w:tr w:rsidR="00B834DC" w:rsidRPr="00B834DC" w14:paraId="3BE49C5C" w14:textId="77777777" w:rsidTr="00A3689F">
        <w:trPr>
          <w:trHeight w:val="240"/>
        </w:trPr>
        <w:tc>
          <w:tcPr>
            <w:tcW w:w="2693" w:type="pct"/>
            <w:tcBorders>
              <w:bottom w:val="single" w:sz="12" w:space="0" w:color="auto"/>
            </w:tcBorders>
            <w:shd w:val="clear" w:color="auto" w:fill="auto"/>
            <w:hideMark/>
          </w:tcPr>
          <w:p w14:paraId="1E2FB627" w14:textId="77777777" w:rsidR="00154216" w:rsidRPr="00B834DC" w:rsidRDefault="00154216" w:rsidP="00B834DC">
            <w:pPr>
              <w:pStyle w:val="SingleTxtG"/>
              <w:spacing w:before="40" w:after="40" w:line="220" w:lineRule="exact"/>
              <w:ind w:left="0" w:right="0"/>
              <w:jc w:val="left"/>
              <w:rPr>
                <w:rFonts w:ascii="Times New Roman" w:hAnsi="Times New Roman" w:cs="Times New Roman"/>
                <w:sz w:val="18"/>
                <w:lang w:val="es-ES_tradnl"/>
              </w:rPr>
            </w:pPr>
            <w:r w:rsidRPr="00B834DC">
              <w:rPr>
                <w:rFonts w:ascii="Times New Roman" w:hAnsi="Times New Roman" w:cs="Times New Roman"/>
                <w:sz w:val="18"/>
                <w:lang w:val="es-ES_tradnl"/>
              </w:rPr>
              <w:t xml:space="preserve">Servicios de Equipamiento y Modificación (financiados por el Ministerio de Salud) (véase </w:t>
            </w:r>
            <w:r w:rsidR="00C6463B">
              <w:rPr>
                <w:rFonts w:ascii="Times New Roman" w:hAnsi="Times New Roman" w:cs="Times New Roman"/>
                <w:sz w:val="18"/>
                <w:lang w:val="es-ES_tradnl"/>
              </w:rPr>
              <w:br/>
            </w:r>
            <w:r w:rsidRPr="00B834DC">
              <w:rPr>
                <w:rFonts w:ascii="Times New Roman" w:hAnsi="Times New Roman" w:cs="Times New Roman"/>
                <w:sz w:val="18"/>
                <w:lang w:val="es-ES_tradnl"/>
              </w:rPr>
              <w:t>la pregunta 19 a))</w:t>
            </w:r>
          </w:p>
        </w:tc>
        <w:tc>
          <w:tcPr>
            <w:tcW w:w="577" w:type="pct"/>
            <w:tcBorders>
              <w:bottom w:val="single" w:sz="12" w:space="0" w:color="auto"/>
            </w:tcBorders>
            <w:shd w:val="clear" w:color="auto" w:fill="auto"/>
            <w:vAlign w:val="bottom"/>
            <w:hideMark/>
          </w:tcPr>
          <w:p w14:paraId="276BBB54" w14:textId="77777777" w:rsidR="00154216" w:rsidRPr="00B834DC" w:rsidRDefault="00154216" w:rsidP="00B834DC">
            <w:pPr>
              <w:pStyle w:val="SingleTxtG"/>
              <w:spacing w:before="40" w:after="40" w:line="220" w:lineRule="exact"/>
              <w:ind w:left="113" w:right="0"/>
              <w:jc w:val="right"/>
              <w:rPr>
                <w:rFonts w:ascii="Times New Roman" w:hAnsi="Times New Roman" w:cs="Times New Roman"/>
                <w:sz w:val="18"/>
                <w:lang w:val="es-ES_tradnl"/>
              </w:rPr>
            </w:pPr>
            <w:r w:rsidRPr="00B834DC">
              <w:rPr>
                <w:rFonts w:ascii="Times New Roman" w:hAnsi="Times New Roman" w:cs="Times New Roman"/>
                <w:sz w:val="18"/>
                <w:lang w:val="es-ES_tradnl"/>
              </w:rPr>
              <w:t>58,0</w:t>
            </w:r>
          </w:p>
        </w:tc>
        <w:tc>
          <w:tcPr>
            <w:tcW w:w="577" w:type="pct"/>
            <w:tcBorders>
              <w:bottom w:val="single" w:sz="12" w:space="0" w:color="auto"/>
            </w:tcBorders>
            <w:shd w:val="clear" w:color="auto" w:fill="auto"/>
            <w:vAlign w:val="bottom"/>
            <w:hideMark/>
          </w:tcPr>
          <w:p w14:paraId="6AFE5217" w14:textId="77777777" w:rsidR="00154216" w:rsidRPr="00B834DC" w:rsidRDefault="00154216" w:rsidP="00B834DC">
            <w:pPr>
              <w:pStyle w:val="SingleTxtG"/>
              <w:spacing w:before="40" w:after="40" w:line="220" w:lineRule="exact"/>
              <w:ind w:left="113" w:right="0"/>
              <w:jc w:val="right"/>
              <w:rPr>
                <w:rFonts w:ascii="Times New Roman" w:hAnsi="Times New Roman" w:cs="Times New Roman"/>
                <w:sz w:val="18"/>
                <w:lang w:val="es-ES_tradnl"/>
              </w:rPr>
            </w:pPr>
            <w:r w:rsidRPr="00B834DC">
              <w:rPr>
                <w:rFonts w:ascii="Times New Roman" w:hAnsi="Times New Roman" w:cs="Times New Roman"/>
                <w:sz w:val="18"/>
                <w:lang w:val="es-ES_tradnl"/>
              </w:rPr>
              <w:t>63,0</w:t>
            </w:r>
          </w:p>
        </w:tc>
        <w:tc>
          <w:tcPr>
            <w:tcW w:w="577" w:type="pct"/>
            <w:tcBorders>
              <w:bottom w:val="single" w:sz="12" w:space="0" w:color="auto"/>
            </w:tcBorders>
            <w:shd w:val="clear" w:color="auto" w:fill="auto"/>
            <w:vAlign w:val="bottom"/>
            <w:hideMark/>
          </w:tcPr>
          <w:p w14:paraId="39A02E9F" w14:textId="77777777" w:rsidR="00154216" w:rsidRPr="00B834DC" w:rsidRDefault="00154216" w:rsidP="00B834DC">
            <w:pPr>
              <w:pStyle w:val="SingleTxtG"/>
              <w:spacing w:before="40" w:after="40" w:line="220" w:lineRule="exact"/>
              <w:ind w:left="113" w:right="0"/>
              <w:jc w:val="right"/>
              <w:rPr>
                <w:rFonts w:ascii="Times New Roman" w:hAnsi="Times New Roman" w:cs="Times New Roman"/>
                <w:sz w:val="18"/>
                <w:lang w:val="es-ES_tradnl"/>
              </w:rPr>
            </w:pPr>
            <w:r w:rsidRPr="00B834DC">
              <w:rPr>
                <w:rFonts w:ascii="Times New Roman" w:hAnsi="Times New Roman" w:cs="Times New Roman"/>
                <w:sz w:val="18"/>
                <w:lang w:val="es-ES_tradnl"/>
              </w:rPr>
              <w:t xml:space="preserve">68,5 </w:t>
            </w:r>
          </w:p>
        </w:tc>
        <w:tc>
          <w:tcPr>
            <w:tcW w:w="577" w:type="pct"/>
            <w:tcBorders>
              <w:bottom w:val="single" w:sz="12" w:space="0" w:color="auto"/>
            </w:tcBorders>
            <w:shd w:val="clear" w:color="auto" w:fill="auto"/>
            <w:vAlign w:val="bottom"/>
            <w:hideMark/>
          </w:tcPr>
          <w:p w14:paraId="512963C0" w14:textId="77777777" w:rsidR="00154216" w:rsidRPr="00B834DC" w:rsidRDefault="00154216" w:rsidP="00B834DC">
            <w:pPr>
              <w:pStyle w:val="SingleTxtG"/>
              <w:spacing w:before="40" w:after="40" w:line="220" w:lineRule="exact"/>
              <w:ind w:left="113" w:right="0"/>
              <w:jc w:val="right"/>
              <w:rPr>
                <w:rFonts w:ascii="Times New Roman" w:hAnsi="Times New Roman" w:cs="Times New Roman"/>
                <w:sz w:val="18"/>
                <w:lang w:val="es-ES_tradnl"/>
              </w:rPr>
            </w:pPr>
            <w:r w:rsidRPr="00B834DC">
              <w:rPr>
                <w:rFonts w:ascii="Times New Roman" w:hAnsi="Times New Roman" w:cs="Times New Roman"/>
                <w:sz w:val="18"/>
                <w:lang w:val="es-ES_tradnl"/>
              </w:rPr>
              <w:t>74,0</w:t>
            </w:r>
          </w:p>
        </w:tc>
      </w:tr>
    </w:tbl>
    <w:p w14:paraId="4C4F4692" w14:textId="77777777" w:rsidR="00154216" w:rsidRPr="00154216" w:rsidRDefault="00154216" w:rsidP="00FF6D39">
      <w:pPr>
        <w:pStyle w:val="H23G"/>
        <w:rPr>
          <w:lang w:val="es-ES_tradnl"/>
        </w:rPr>
      </w:pPr>
      <w:r w:rsidRPr="00154216">
        <w:rPr>
          <w:lang w:val="es-ES_tradnl"/>
        </w:rPr>
        <w:tab/>
      </w:r>
      <w:r w:rsidRPr="00154216">
        <w:rPr>
          <w:lang w:val="es-ES_tradnl"/>
        </w:rPr>
        <w:tab/>
        <w:t xml:space="preserve">Respuesta al párrafo 21 a)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18531E04" w14:textId="77777777" w:rsidR="00154216" w:rsidRPr="00154216" w:rsidRDefault="00154216" w:rsidP="00154216">
      <w:pPr>
        <w:pStyle w:val="SingleTxtG"/>
        <w:rPr>
          <w:b/>
          <w:lang w:val="es-ES_tradnl"/>
        </w:rPr>
      </w:pPr>
      <w:r w:rsidRPr="00154216">
        <w:rPr>
          <w:lang w:val="es-ES_tradnl"/>
        </w:rPr>
        <w:t>254.</w:t>
      </w:r>
      <w:r w:rsidRPr="00154216">
        <w:rPr>
          <w:lang w:val="es-ES_tradnl"/>
        </w:rPr>
        <w:tab/>
        <w:t xml:space="preserve">La Ley de los Niños, los Adolescentes y sus Familias de 1989 pasó a denominarse Ley de </w:t>
      </w:r>
      <w:proofErr w:type="spellStart"/>
      <w:r w:rsidRPr="00154216">
        <w:rPr>
          <w:lang w:val="es-ES_tradnl"/>
        </w:rPr>
        <w:t>Oranga</w:t>
      </w:r>
      <w:proofErr w:type="spellEnd"/>
      <w:r w:rsidRPr="00154216">
        <w:rPr>
          <w:lang w:val="es-ES_tradnl"/>
        </w:rPr>
        <w:t xml:space="preserve"> </w:t>
      </w:r>
      <w:proofErr w:type="spellStart"/>
      <w:r w:rsidRPr="00154216">
        <w:rPr>
          <w:lang w:val="es-ES_tradnl"/>
        </w:rPr>
        <w:t>Tamariki</w:t>
      </w:r>
      <w:proofErr w:type="spellEnd"/>
      <w:r w:rsidRPr="00154216">
        <w:rPr>
          <w:lang w:val="es-ES_tradnl"/>
        </w:rPr>
        <w:t xml:space="preserve"> de 1989. </w:t>
      </w:r>
    </w:p>
    <w:p w14:paraId="47B3442A" w14:textId="77777777" w:rsidR="00154216" w:rsidRPr="00154216" w:rsidRDefault="00154216" w:rsidP="00154216">
      <w:pPr>
        <w:pStyle w:val="SingleTxtG"/>
        <w:rPr>
          <w:lang w:val="es-ES_tradnl"/>
        </w:rPr>
      </w:pPr>
      <w:r w:rsidRPr="00154216">
        <w:rPr>
          <w:lang w:val="es-ES_tradnl"/>
        </w:rPr>
        <w:lastRenderedPageBreak/>
        <w:t>255.</w:t>
      </w:r>
      <w:r w:rsidRPr="00154216">
        <w:rPr>
          <w:lang w:val="es-ES_tradnl"/>
        </w:rPr>
        <w:tab/>
        <w:t>En la actualidad, los artículos 141 y 142</w:t>
      </w:r>
      <w:r w:rsidRPr="00154216">
        <w:rPr>
          <w:rStyle w:val="Refdenotaalfinal"/>
          <w:lang w:val="es-ES_tradnl"/>
        </w:rPr>
        <w:endnoteReference w:id="171"/>
      </w:r>
      <w:r w:rsidRPr="00154216">
        <w:rPr>
          <w:rStyle w:val="Refdenotaalfinal"/>
          <w:lang w:val="es-ES_tradnl"/>
        </w:rPr>
        <w:t xml:space="preserve"> </w:t>
      </w:r>
      <w:r w:rsidRPr="00154216">
        <w:rPr>
          <w:lang w:val="es-ES_tradnl"/>
        </w:rPr>
        <w:t>de la Ley permiten a los padres disponer voluntariamente el acogimiento fuera del hogar de sus hijos con discapacidad en situaciones en que no se han verificado problemas de maltrato o negligencia. Esto solo puede ocurrir cuando el grado de discapacidad mental o física del niño o joven es tan severo que solo puede recibir la atención que necesita de manos de una organización cualificada para brindársela.</w:t>
      </w:r>
    </w:p>
    <w:p w14:paraId="434AC863" w14:textId="77777777" w:rsidR="00154216" w:rsidRPr="00154216" w:rsidRDefault="00154216" w:rsidP="00154216">
      <w:pPr>
        <w:pStyle w:val="SingleTxtG"/>
        <w:rPr>
          <w:lang w:val="es-ES_tradnl"/>
        </w:rPr>
      </w:pPr>
      <w:r w:rsidRPr="00154216">
        <w:rPr>
          <w:lang w:val="es-ES_tradnl"/>
        </w:rPr>
        <w:t>256.</w:t>
      </w:r>
      <w:r w:rsidRPr="00154216">
        <w:rPr>
          <w:lang w:val="es-ES_tradnl"/>
        </w:rPr>
        <w:tab/>
        <w:t>La derogación de los artículos 141 y 142 entra en vigor el 1 de julio de 2019</w:t>
      </w:r>
      <w:r w:rsidRPr="00154216">
        <w:rPr>
          <w:rStyle w:val="Refdenotaalfinal"/>
          <w:lang w:val="es-ES_tradnl"/>
        </w:rPr>
        <w:endnoteReference w:id="172"/>
      </w:r>
      <w:r w:rsidR="00FF6D39">
        <w:rPr>
          <w:lang w:val="es-ES_tradnl"/>
        </w:rPr>
        <w:t>.</w:t>
      </w:r>
      <w:r w:rsidRPr="00154216">
        <w:rPr>
          <w:rStyle w:val="Refdenotaalfinal"/>
          <w:lang w:val="es-ES_tradnl"/>
        </w:rPr>
        <w:t xml:space="preserve"> </w:t>
      </w:r>
      <w:proofErr w:type="spellStart"/>
      <w:r w:rsidRPr="00154216">
        <w:rPr>
          <w:lang w:val="es-ES_tradnl"/>
        </w:rPr>
        <w:t>Oranga</w:t>
      </w:r>
      <w:proofErr w:type="spellEnd"/>
      <w:r w:rsidRPr="00154216">
        <w:rPr>
          <w:lang w:val="es-ES_tradnl"/>
        </w:rPr>
        <w:t xml:space="preserve"> </w:t>
      </w:r>
      <w:proofErr w:type="spellStart"/>
      <w:r w:rsidRPr="00154216">
        <w:rPr>
          <w:lang w:val="es-ES_tradnl"/>
        </w:rPr>
        <w:t>Tamariki</w:t>
      </w:r>
      <w:proofErr w:type="spellEnd"/>
      <w:r w:rsidRPr="00154216">
        <w:rPr>
          <w:lang w:val="es-ES_tradnl"/>
        </w:rPr>
        <w:t xml:space="preserve"> se encargará de asegurar que los niños con discapacidad acogidos en virtud de la Ley estén acogidos a los mismos mecanismos de atención, medios de protección y salvaguardias que los demás niños en el sistema de acogimiento reglamentario</w:t>
      </w:r>
      <w:r w:rsidRPr="00154216">
        <w:rPr>
          <w:rStyle w:val="Refdenotaalfinal"/>
          <w:lang w:val="es-ES_tradnl"/>
        </w:rPr>
        <w:endnoteReference w:id="173"/>
      </w:r>
      <w:r w:rsidR="00FF6D39">
        <w:rPr>
          <w:lang w:val="es-ES_tradnl"/>
        </w:rPr>
        <w:t>.</w:t>
      </w:r>
      <w:r w:rsidRPr="00154216">
        <w:rPr>
          <w:rStyle w:val="Refdenotaalfinal"/>
          <w:lang w:val="es-ES_tradnl"/>
        </w:rPr>
        <w:t xml:space="preserve"> </w:t>
      </w:r>
    </w:p>
    <w:p w14:paraId="26F66298" w14:textId="77777777" w:rsidR="00154216" w:rsidRPr="00154216" w:rsidRDefault="00154216" w:rsidP="00154216">
      <w:pPr>
        <w:pStyle w:val="SingleTxtG"/>
        <w:rPr>
          <w:b/>
          <w:lang w:val="es-ES_tradnl"/>
        </w:rPr>
      </w:pPr>
      <w:r w:rsidRPr="00154216">
        <w:rPr>
          <w:lang w:val="es-ES_tradnl"/>
        </w:rPr>
        <w:t>257.</w:t>
      </w:r>
      <w:r w:rsidRPr="00154216">
        <w:rPr>
          <w:lang w:val="es-ES_tradnl"/>
        </w:rPr>
        <w:tab/>
        <w:t xml:space="preserve">No se prevé una revisión de la Ley sobre los Niños Vulnerables de 2014 (hoy denominada Ley de la Infancia). Esta Ley fue una de las medidas introducidas con el fin de proteger a los niños vulnerables y mejorar su bienestar. </w:t>
      </w:r>
    </w:p>
    <w:p w14:paraId="553138E2" w14:textId="77777777" w:rsidR="00154216" w:rsidRPr="00154216" w:rsidRDefault="00154216" w:rsidP="00FF6D39">
      <w:pPr>
        <w:pStyle w:val="H23G"/>
        <w:rPr>
          <w:lang w:val="es-ES_tradnl"/>
        </w:rPr>
      </w:pPr>
      <w:r w:rsidRPr="00154216">
        <w:rPr>
          <w:lang w:val="es-ES_tradnl"/>
        </w:rPr>
        <w:tab/>
      </w:r>
      <w:r w:rsidRPr="00154216">
        <w:rPr>
          <w:lang w:val="es-ES_tradnl"/>
        </w:rPr>
        <w:tab/>
        <w:t xml:space="preserve">Respuesta al párrafo 21 b)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5C6023DF" w14:textId="77777777" w:rsidR="00154216" w:rsidRPr="00154216" w:rsidRDefault="00154216" w:rsidP="00154216">
      <w:pPr>
        <w:pStyle w:val="SingleTxtG"/>
        <w:rPr>
          <w:rStyle w:val="Refdenotaalfinal"/>
          <w:lang w:val="es-ES_tradnl"/>
        </w:rPr>
      </w:pPr>
      <w:r w:rsidRPr="00154216">
        <w:rPr>
          <w:lang w:val="es-ES_tradnl"/>
        </w:rPr>
        <w:t>258.</w:t>
      </w:r>
      <w:r w:rsidRPr="00154216">
        <w:rPr>
          <w:lang w:val="es-ES_tradnl"/>
        </w:rPr>
        <w:tab/>
        <w:t>Por lo pronto no se prevé una revisión del artículo 8 de la Ley de Adopción de</w:t>
      </w:r>
      <w:r w:rsidR="00FF6D39">
        <w:rPr>
          <w:lang w:val="es-ES_tradnl"/>
        </w:rPr>
        <w:t> </w:t>
      </w:r>
      <w:r w:rsidRPr="00154216">
        <w:rPr>
          <w:lang w:val="es-ES_tradnl"/>
        </w:rPr>
        <w:t>1955</w:t>
      </w:r>
      <w:r w:rsidRPr="00154216">
        <w:rPr>
          <w:rStyle w:val="Refdenotaalfinal"/>
          <w:lang w:val="es-ES_tradnl"/>
        </w:rPr>
        <w:endnoteReference w:id="174"/>
      </w:r>
      <w:r w:rsidR="00FF6D39">
        <w:rPr>
          <w:lang w:val="es-ES_tradnl"/>
        </w:rPr>
        <w:t>.</w:t>
      </w:r>
    </w:p>
    <w:p w14:paraId="6F4CFFD2" w14:textId="77777777" w:rsidR="00154216" w:rsidRPr="00FF6D39" w:rsidRDefault="00154216" w:rsidP="00154216">
      <w:pPr>
        <w:pStyle w:val="SingleTxtG"/>
        <w:rPr>
          <w:lang w:val="es-ES_tradnl"/>
        </w:rPr>
      </w:pPr>
      <w:r w:rsidRPr="00FF6D39">
        <w:rPr>
          <w:lang w:val="es-ES_tradnl"/>
        </w:rPr>
        <w:t>259.</w:t>
      </w:r>
      <w:r w:rsidRPr="00FF6D39">
        <w:rPr>
          <w:lang w:val="es-ES_tradnl"/>
        </w:rPr>
        <w:tab/>
        <w:t>El artículo 8 permite que el tribunal prescinda del consentimiento de un progenitor para la adopción de un niño en determinadas circunstancias. Una de esas circunstancias es la convicción del tribunal de que el progenitor es inepto para el cuidado del niño por falta de capacidad física o mental y de que probablemente lo siga siendo indefinidamente. La jurisprudencia de los tribunales indica que debe establecerse un elevado umbral de incapacidad para poder prescindir del consentimiento de un progenitor en virtud del artículo</w:t>
      </w:r>
      <w:r w:rsidR="00FF6D39">
        <w:rPr>
          <w:lang w:val="es-ES_tradnl"/>
        </w:rPr>
        <w:t> </w:t>
      </w:r>
      <w:r w:rsidRPr="00FF6D39">
        <w:rPr>
          <w:lang w:val="es-ES_tradnl"/>
        </w:rPr>
        <w:t>8.</w:t>
      </w:r>
    </w:p>
    <w:p w14:paraId="77FF0503" w14:textId="77777777" w:rsidR="00154216" w:rsidRPr="00154216" w:rsidRDefault="00154216" w:rsidP="00154216">
      <w:pPr>
        <w:pStyle w:val="SingleTxtG"/>
        <w:rPr>
          <w:lang w:val="es-ES_tradnl"/>
        </w:rPr>
      </w:pPr>
      <w:r w:rsidRPr="00154216">
        <w:rPr>
          <w:lang w:val="es-ES_tradnl"/>
        </w:rPr>
        <w:t>260.</w:t>
      </w:r>
      <w:r w:rsidRPr="00154216">
        <w:rPr>
          <w:lang w:val="es-ES_tradnl"/>
        </w:rPr>
        <w:tab/>
        <w:t xml:space="preserve">A la hora de decidir si prescinde o no del consentimiento, el tribunal puede tener en cuenta otros factores pertinentes. Por ejemplo, en el caso </w:t>
      </w:r>
      <w:r w:rsidRPr="00154216">
        <w:rPr>
          <w:i/>
          <w:iCs/>
          <w:lang w:val="es-ES_tradnl"/>
        </w:rPr>
        <w:t>D. c. W</w:t>
      </w:r>
      <w:r w:rsidRPr="00154216">
        <w:rPr>
          <w:rStyle w:val="Refdenotaalfinal"/>
          <w:lang w:val="es-ES_tradnl"/>
        </w:rPr>
        <w:endnoteReference w:id="175"/>
      </w:r>
      <w:r w:rsidRPr="00154216">
        <w:rPr>
          <w:rStyle w:val="Refdenotaalfinal"/>
          <w:lang w:val="es-ES_tradnl"/>
        </w:rPr>
        <w:t xml:space="preserve"> </w:t>
      </w:r>
      <w:r w:rsidRPr="00154216">
        <w:rPr>
          <w:lang w:val="es-ES_tradnl"/>
        </w:rPr>
        <w:t>el juez consideró que la incapacidad de una persona de cuidar de un hijo sin apoyo familiar o profesional no era fundamento suficiente para declararla no apta para asumir el cuidado y el control del niño.</w:t>
      </w:r>
    </w:p>
    <w:p w14:paraId="0D702952" w14:textId="77777777" w:rsidR="00154216" w:rsidRPr="00154216" w:rsidRDefault="00154216" w:rsidP="00154216">
      <w:pPr>
        <w:pStyle w:val="SingleTxtG"/>
        <w:rPr>
          <w:lang w:val="es-ES_tradnl"/>
        </w:rPr>
      </w:pPr>
      <w:r w:rsidRPr="00154216">
        <w:rPr>
          <w:lang w:val="es-ES_tradnl"/>
        </w:rPr>
        <w:t>261.</w:t>
      </w:r>
      <w:r w:rsidRPr="00154216">
        <w:rPr>
          <w:lang w:val="es-ES_tradnl"/>
        </w:rPr>
        <w:tab/>
        <w:t xml:space="preserve">La Ley de Adopción de 1955 no impide que una persona con discapacidad adopte a un niño. </w:t>
      </w:r>
      <w:proofErr w:type="spellStart"/>
      <w:r w:rsidRPr="00154216">
        <w:rPr>
          <w:lang w:val="es-ES_tradnl"/>
        </w:rPr>
        <w:t>Oranga</w:t>
      </w:r>
      <w:proofErr w:type="spellEnd"/>
      <w:r w:rsidRPr="00154216">
        <w:rPr>
          <w:lang w:val="es-ES_tradnl"/>
        </w:rPr>
        <w:t xml:space="preserve"> </w:t>
      </w:r>
      <w:proofErr w:type="spellStart"/>
      <w:r w:rsidRPr="00154216">
        <w:rPr>
          <w:lang w:val="es-ES_tradnl"/>
        </w:rPr>
        <w:t>Tamariki</w:t>
      </w:r>
      <w:proofErr w:type="spellEnd"/>
      <w:r w:rsidRPr="00154216">
        <w:rPr>
          <w:lang w:val="es-ES_tradnl"/>
        </w:rPr>
        <w:t xml:space="preserve"> examina lo que constituye el interés superior del niño al evaluar a los padres adoptivos y la solución de acogimiento inicial. Todos los posibles padres adoptivos son evaluados por igual en función de los criterios pertinentes. </w:t>
      </w:r>
    </w:p>
    <w:p w14:paraId="22EDF18D" w14:textId="77777777" w:rsidR="00154216" w:rsidRPr="00154216" w:rsidRDefault="00154216" w:rsidP="00F3586A">
      <w:pPr>
        <w:pStyle w:val="H23G"/>
        <w:rPr>
          <w:lang w:val="es-ES_tradnl"/>
        </w:rPr>
      </w:pPr>
      <w:r w:rsidRPr="00154216">
        <w:rPr>
          <w:lang w:val="es-ES_tradnl"/>
        </w:rPr>
        <w:tab/>
      </w:r>
      <w:r w:rsidRPr="00154216">
        <w:rPr>
          <w:lang w:val="es-ES_tradnl"/>
        </w:rPr>
        <w:tab/>
        <w:t xml:space="preserve">Respuesta al párrafo 21 c)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1D5881FF" w14:textId="77777777" w:rsidR="00154216" w:rsidRPr="00154216" w:rsidRDefault="00154216" w:rsidP="00154216">
      <w:pPr>
        <w:pStyle w:val="SingleTxtG"/>
        <w:rPr>
          <w:b/>
          <w:lang w:val="es-ES_tradnl"/>
        </w:rPr>
      </w:pPr>
      <w:r w:rsidRPr="00154216">
        <w:rPr>
          <w:lang w:val="es-ES_tradnl"/>
        </w:rPr>
        <w:t>262.</w:t>
      </w:r>
      <w:r w:rsidRPr="00154216">
        <w:rPr>
          <w:lang w:val="es-ES_tradnl"/>
        </w:rPr>
        <w:tab/>
        <w:t>En Nueva Zelandia se ofrecen pruebas de detección a las embarazadas para brindarles información sobre su embarazo y comprobar que la madre y el bebé estén sanos. La detección de discapacidad durante el embarazo incluye análisis sanguíneos de detección del VIH, la diabetes, el síndrome de Down y otras condiciones genéticas raras. El Gobierno financia las pruebas, pero algunos proveedores de ecografías cobran una tasa adicional.</w:t>
      </w:r>
    </w:p>
    <w:p w14:paraId="677FC9F5" w14:textId="77777777" w:rsidR="00154216" w:rsidRPr="00154216" w:rsidRDefault="00154216" w:rsidP="00154216">
      <w:pPr>
        <w:pStyle w:val="SingleTxtG"/>
        <w:rPr>
          <w:lang w:val="es-ES_tradnl"/>
        </w:rPr>
      </w:pPr>
      <w:r w:rsidRPr="00154216">
        <w:rPr>
          <w:lang w:val="es-ES_tradnl"/>
        </w:rPr>
        <w:t>263.</w:t>
      </w:r>
      <w:r w:rsidRPr="00154216">
        <w:rPr>
          <w:lang w:val="es-ES_tradnl"/>
        </w:rPr>
        <w:tab/>
        <w:t>Hay un folleto disponible sobre la detección del síndrome de Down</w:t>
      </w:r>
      <w:r w:rsidRPr="00154216">
        <w:rPr>
          <w:rStyle w:val="Refdenotaalfinal"/>
          <w:lang w:val="es-ES_tradnl"/>
        </w:rPr>
        <w:endnoteReference w:id="176"/>
      </w:r>
      <w:r w:rsidR="001571CC">
        <w:rPr>
          <w:lang w:val="es-ES_tradnl"/>
        </w:rPr>
        <w:t>.</w:t>
      </w:r>
      <w:r w:rsidRPr="00154216">
        <w:rPr>
          <w:rStyle w:val="Refdenotaalfinal"/>
          <w:lang w:val="es-ES_tradnl"/>
        </w:rPr>
        <w:t xml:space="preserve"> </w:t>
      </w:r>
      <w:r w:rsidRPr="00154216">
        <w:rPr>
          <w:lang w:val="es-ES_tradnl"/>
        </w:rPr>
        <w:t>Todas las mujeres con menos de 20 semanas de embarazo son informadas de la disponibilidad de pruebas facultativas de detección del síndrome de Down y otros trastornos en su primera consulta prenatal con una matrona, un médico general o un obstetra. Cada año aumenta la proporción de mujeres que se somete a este tipo de pruebas. Entre 2011 y 2016 aumentó del 63</w:t>
      </w:r>
      <w:r w:rsidR="00D37C06">
        <w:rPr>
          <w:lang w:val="es-ES_tradnl"/>
        </w:rPr>
        <w:t> %</w:t>
      </w:r>
      <w:r w:rsidRPr="00154216">
        <w:rPr>
          <w:lang w:val="es-ES_tradnl"/>
        </w:rPr>
        <w:t xml:space="preserve"> al 73</w:t>
      </w:r>
      <w:r w:rsidR="00D37C06">
        <w:rPr>
          <w:lang w:val="es-ES_tradnl"/>
        </w:rPr>
        <w:t> %</w:t>
      </w:r>
      <w:r w:rsidRPr="00154216">
        <w:rPr>
          <w:lang w:val="es-ES_tradnl"/>
        </w:rPr>
        <w:t xml:space="preserve"> de las mujeres que dieron a luz.</w:t>
      </w:r>
    </w:p>
    <w:p w14:paraId="2C73B04B" w14:textId="77777777" w:rsidR="00154216" w:rsidRPr="00154216" w:rsidRDefault="00154216" w:rsidP="00154216">
      <w:pPr>
        <w:pStyle w:val="SingleTxtG"/>
        <w:rPr>
          <w:lang w:val="es-ES_tradnl"/>
        </w:rPr>
      </w:pPr>
      <w:r w:rsidRPr="00154216">
        <w:rPr>
          <w:lang w:val="es-ES_tradnl"/>
        </w:rPr>
        <w:t>264.</w:t>
      </w:r>
      <w:r w:rsidRPr="00154216">
        <w:rPr>
          <w:lang w:val="es-ES_tradnl"/>
        </w:rPr>
        <w:tab/>
        <w:t>Las mujeres que presentan un mayor riesgo de embarazo con síndrome de Down y otros trastornos genéticos son derivadas a un obstetra. El obstetra les facilita más información de modo que puedan decidir con conocimiento de causa sobre la conveniencia de continuar con el embarazo. Se ofrecen servicios de apoyo adicionales y otras pruebas de diagnóstico (como la amniocentesis o el muestreo de vellosidades coriónicas (</w:t>
      </w:r>
      <w:proofErr w:type="spellStart"/>
      <w:r w:rsidRPr="00154216">
        <w:rPr>
          <w:lang w:val="es-ES_tradnl"/>
        </w:rPr>
        <w:t>CVS</w:t>
      </w:r>
      <w:proofErr w:type="spellEnd"/>
      <w:r w:rsidRPr="00154216">
        <w:rPr>
          <w:lang w:val="es-ES_tradnl"/>
        </w:rPr>
        <w:t>)) para confirmar el diagnóstico. Otras alternativas son la interrupción del embarazo o la adopción. La Unidad Nacional de Pruebas de Detección no reúne datos sobre el embarazo o la adopción.</w:t>
      </w:r>
    </w:p>
    <w:p w14:paraId="6D3F037C" w14:textId="77777777" w:rsidR="00154216" w:rsidRPr="00154216" w:rsidRDefault="00154216" w:rsidP="00154216">
      <w:pPr>
        <w:pStyle w:val="SingleTxtG"/>
        <w:rPr>
          <w:lang w:val="es-ES_tradnl"/>
        </w:rPr>
      </w:pPr>
      <w:r w:rsidRPr="00154216">
        <w:rPr>
          <w:lang w:val="es-ES_tradnl"/>
        </w:rPr>
        <w:lastRenderedPageBreak/>
        <w:t>265.</w:t>
      </w:r>
      <w:r w:rsidRPr="00154216">
        <w:rPr>
          <w:lang w:val="es-ES_tradnl"/>
        </w:rPr>
        <w:tab/>
        <w:t>El Gobierno ofrece gratuitamente apoyo psicológico y orientación cuando los resultados son positivos. En todas las etapas del proceso de detección se facilitan a las mujeres datos de contacto con los grupos de apoyo locales, como la Asociación Neozelandesa del Síndrome de Down</w:t>
      </w:r>
      <w:r w:rsidRPr="00154216">
        <w:rPr>
          <w:rStyle w:val="Refdenotaalfinal"/>
          <w:lang w:val="es-ES_tradnl"/>
        </w:rPr>
        <w:endnoteReference w:id="177"/>
      </w:r>
      <w:r w:rsidR="00EE7321">
        <w:rPr>
          <w:lang w:val="es-ES_tradnl"/>
        </w:rPr>
        <w:t>,</w:t>
      </w:r>
      <w:r w:rsidRPr="00154216">
        <w:rPr>
          <w:rStyle w:val="Refdenotaalfinal"/>
          <w:lang w:val="es-ES_tradnl"/>
        </w:rPr>
        <w:t xml:space="preserve"> </w:t>
      </w:r>
      <w:r w:rsidRPr="00154216">
        <w:rPr>
          <w:lang w:val="es-ES_tradnl"/>
        </w:rPr>
        <w:t xml:space="preserve">de modo que tengan acceso a la información necesaria para decidir si les conviene someterse a las pruebas de detección del síndrome de Down y otros trastornos. </w:t>
      </w:r>
    </w:p>
    <w:p w14:paraId="2575AEE0" w14:textId="77777777" w:rsidR="00154216" w:rsidRPr="00154216" w:rsidRDefault="00154216" w:rsidP="00154216">
      <w:pPr>
        <w:pStyle w:val="SingleTxtG"/>
        <w:rPr>
          <w:lang w:val="es-ES_tradnl"/>
        </w:rPr>
      </w:pPr>
      <w:r w:rsidRPr="00154216">
        <w:rPr>
          <w:lang w:val="es-ES_tradnl"/>
        </w:rPr>
        <w:t>266.</w:t>
      </w:r>
      <w:r w:rsidRPr="00154216">
        <w:rPr>
          <w:lang w:val="es-ES_tradnl"/>
        </w:rPr>
        <w:tab/>
        <w:t>Véase la respuesta a las preguntas 11 b) y 16 a).</w:t>
      </w:r>
    </w:p>
    <w:p w14:paraId="2EC2808C" w14:textId="77777777" w:rsidR="00154216" w:rsidRPr="00154216" w:rsidRDefault="00154216" w:rsidP="001571CC">
      <w:pPr>
        <w:pStyle w:val="H23G"/>
        <w:rPr>
          <w:lang w:val="es-ES_tradnl"/>
        </w:rPr>
      </w:pPr>
      <w:r w:rsidRPr="00154216">
        <w:rPr>
          <w:lang w:val="es-ES_tradnl"/>
        </w:rPr>
        <w:tab/>
      </w:r>
      <w:r w:rsidRPr="00154216">
        <w:rPr>
          <w:lang w:val="es-ES_tradnl"/>
        </w:rPr>
        <w:tab/>
        <w:t xml:space="preserve">Respuesta al párrafo 22 a)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76CA4509" w14:textId="77777777" w:rsidR="00154216" w:rsidRPr="00154216" w:rsidRDefault="00154216" w:rsidP="00154216">
      <w:pPr>
        <w:pStyle w:val="SingleTxtG"/>
        <w:rPr>
          <w:rStyle w:val="Refdenotaalfinal"/>
          <w:lang w:val="es-ES_tradnl"/>
        </w:rPr>
      </w:pPr>
      <w:r w:rsidRPr="00154216">
        <w:rPr>
          <w:lang w:val="es-ES_tradnl"/>
        </w:rPr>
        <w:t>267.</w:t>
      </w:r>
      <w:r w:rsidRPr="00154216">
        <w:rPr>
          <w:lang w:val="es-ES_tradnl"/>
        </w:rPr>
        <w:tab/>
        <w:t xml:space="preserve">Según la Ley de Educación de 1989, </w:t>
      </w:r>
      <w:r>
        <w:rPr>
          <w:lang w:val="es-ES_tradnl"/>
        </w:rPr>
        <w:t>“</w:t>
      </w:r>
      <w:r w:rsidRPr="00154216">
        <w:rPr>
          <w:lang w:val="es-ES_tradnl"/>
        </w:rPr>
        <w:t>las personas con necesidades educativas especiales (debido a una discapacidad u otro factor) tienen el mismo derecho que las demás personas a matricularse y a recibir educación en las escuelas estatales</w:t>
      </w:r>
      <w:r>
        <w:rPr>
          <w:lang w:val="es-ES_tradnl"/>
        </w:rPr>
        <w:t>”</w:t>
      </w:r>
      <w:r w:rsidRPr="00154216">
        <w:rPr>
          <w:rStyle w:val="Refdenotaalfinal"/>
          <w:lang w:val="es-ES_tradnl"/>
        </w:rPr>
        <w:endnoteReference w:id="178"/>
      </w:r>
      <w:r w:rsidR="001571CC">
        <w:rPr>
          <w:lang w:val="es-ES_tradnl"/>
        </w:rPr>
        <w:t>.</w:t>
      </w:r>
    </w:p>
    <w:p w14:paraId="48C763BA" w14:textId="77777777" w:rsidR="00154216" w:rsidRPr="00154216" w:rsidRDefault="00154216" w:rsidP="00154216">
      <w:pPr>
        <w:pStyle w:val="SingleTxtG"/>
        <w:rPr>
          <w:lang w:val="es-ES_tradnl"/>
        </w:rPr>
      </w:pPr>
      <w:r w:rsidRPr="00154216">
        <w:rPr>
          <w:lang w:val="es-ES_tradnl"/>
        </w:rPr>
        <w:t>268.</w:t>
      </w:r>
      <w:r w:rsidRPr="00154216">
        <w:rPr>
          <w:lang w:val="es-ES_tradnl"/>
        </w:rPr>
        <w:tab/>
        <w:t xml:space="preserve">Cuando existen barreras a la matriculación, la asistencia y la participación en la escuela, el Ministerio de Educación interviene para resolver los problemas junto con las familias y las escuelas a la mayor brevedad posible. </w:t>
      </w:r>
    </w:p>
    <w:p w14:paraId="2449C158" w14:textId="77777777" w:rsidR="00154216" w:rsidRPr="00154216" w:rsidRDefault="00154216" w:rsidP="00154216">
      <w:pPr>
        <w:pStyle w:val="SingleTxtG"/>
        <w:rPr>
          <w:lang w:val="es-ES_tradnl"/>
        </w:rPr>
      </w:pPr>
      <w:r w:rsidRPr="00154216">
        <w:rPr>
          <w:lang w:val="es-ES_tradnl"/>
        </w:rPr>
        <w:t>269.</w:t>
      </w:r>
      <w:r w:rsidRPr="00154216">
        <w:rPr>
          <w:lang w:val="es-ES_tradnl"/>
        </w:rPr>
        <w:tab/>
        <w:t>El Ministerio de Educación está poniendo a prueba un procedimiento de solución de controversias en tres regiones</w:t>
      </w:r>
      <w:r w:rsidRPr="00154216">
        <w:rPr>
          <w:rStyle w:val="Refdenotaalfinal"/>
          <w:lang w:val="es-ES_tradnl"/>
        </w:rPr>
        <w:endnoteReference w:id="179"/>
      </w:r>
      <w:r w:rsidR="001571CC">
        <w:rPr>
          <w:lang w:val="es-ES_tradnl"/>
        </w:rPr>
        <w:t>.</w:t>
      </w:r>
      <w:r w:rsidRPr="00154216">
        <w:rPr>
          <w:rStyle w:val="Refdenotaalfinal"/>
          <w:lang w:val="es-ES_tradnl"/>
        </w:rPr>
        <w:t xml:space="preserve"> </w:t>
      </w:r>
      <w:r w:rsidRPr="00154216">
        <w:rPr>
          <w:lang w:val="es-ES_tradnl"/>
        </w:rPr>
        <w:t xml:space="preserve">El procedimiento ayuda a los padres, los cuidadores, las </w:t>
      </w:r>
      <w:proofErr w:type="spellStart"/>
      <w:r w:rsidRPr="00154216">
        <w:rPr>
          <w:lang w:val="es-ES_tradnl"/>
        </w:rPr>
        <w:t>whānau</w:t>
      </w:r>
      <w:proofErr w:type="spellEnd"/>
      <w:r w:rsidRPr="00154216">
        <w:rPr>
          <w:lang w:val="es-ES_tradnl"/>
        </w:rPr>
        <w:t xml:space="preserve"> y las escuelas a colaborar en la pronta solución de los problemas que afectan a los niños y jóvenes que necesitan apoyo para el aprendizaje, cuando no se han podido resolver en la escuela. Estos problemas pueden guardar relación con el acceso, la presencia, la participación o el aprendizaje del niño o joven.</w:t>
      </w:r>
    </w:p>
    <w:p w14:paraId="3C8B2097" w14:textId="77777777" w:rsidR="00154216" w:rsidRPr="00154216" w:rsidRDefault="00154216" w:rsidP="00154216">
      <w:pPr>
        <w:pStyle w:val="SingleTxtG"/>
        <w:rPr>
          <w:lang w:val="es-ES_tradnl"/>
        </w:rPr>
      </w:pPr>
      <w:r w:rsidRPr="00154216">
        <w:rPr>
          <w:lang w:val="es-ES_tradnl"/>
        </w:rPr>
        <w:t>270.</w:t>
      </w:r>
      <w:r w:rsidRPr="00154216">
        <w:rPr>
          <w:lang w:val="es-ES_tradnl"/>
        </w:rPr>
        <w:tab/>
        <w:t xml:space="preserve">La Ley de Enmienda de la Ley de Educación (Actualización) de 2017 hizo posible que las escuelas obtuviesen del Ministerio de Educación un apoyo más expedito y más individualizado para retomar el rumbo correcto en medio de las dificultades. Esto significa que el Ministerio de Educación puede intervenir cuando un niño se ve privado de acceso a la educación. </w:t>
      </w:r>
    </w:p>
    <w:p w14:paraId="406E0F9B" w14:textId="77777777" w:rsidR="00154216" w:rsidRPr="00154216" w:rsidRDefault="00154216" w:rsidP="001571CC">
      <w:pPr>
        <w:pStyle w:val="H23G"/>
        <w:rPr>
          <w:lang w:val="es-ES_tradnl"/>
        </w:rPr>
      </w:pPr>
      <w:r w:rsidRPr="00154216">
        <w:rPr>
          <w:lang w:val="es-ES_tradnl"/>
        </w:rPr>
        <w:tab/>
      </w:r>
      <w:r w:rsidRPr="00154216">
        <w:rPr>
          <w:lang w:val="es-ES_tradnl"/>
        </w:rPr>
        <w:tab/>
        <w:t xml:space="preserve">Respuesta al párrafo 22 b)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/2-3</w:t>
      </w:r>
    </w:p>
    <w:p w14:paraId="5959837A" w14:textId="77777777" w:rsidR="00154216" w:rsidRPr="00154216" w:rsidRDefault="00154216" w:rsidP="00154216">
      <w:pPr>
        <w:pStyle w:val="SingleTxtG"/>
        <w:rPr>
          <w:lang w:val="es-ES_tradnl"/>
        </w:rPr>
      </w:pPr>
      <w:r w:rsidRPr="00154216">
        <w:rPr>
          <w:lang w:val="es-ES_tradnl"/>
        </w:rPr>
        <w:t>271.</w:t>
      </w:r>
      <w:r w:rsidRPr="00154216">
        <w:rPr>
          <w:lang w:val="es-ES_tradnl"/>
        </w:rPr>
        <w:tab/>
        <w:t xml:space="preserve">La Ley de Enmienda de la Ley de Educación (Actualización) de 2017 establece un conjunto de objetivos a largo plazo para los consejos directivos en la administración de las escuelas. De acuerdo con estos objetivos, para que cada niño y joven pueda progresar y tener un buen rendimiento escolar, la escuela debe ser incluyente y atender a un alumnado con diferentes necesidades. </w:t>
      </w:r>
    </w:p>
    <w:p w14:paraId="5A15B4D0" w14:textId="77777777" w:rsidR="00154216" w:rsidRPr="00154216" w:rsidRDefault="00154216" w:rsidP="00154216">
      <w:pPr>
        <w:pStyle w:val="SingleTxtG"/>
        <w:rPr>
          <w:lang w:val="es-ES_tradnl"/>
        </w:rPr>
      </w:pPr>
      <w:r w:rsidRPr="00154216">
        <w:rPr>
          <w:lang w:val="es-ES_tradnl"/>
        </w:rPr>
        <w:t>272.</w:t>
      </w:r>
      <w:r w:rsidRPr="00154216">
        <w:rPr>
          <w:lang w:val="es-ES_tradnl"/>
        </w:rPr>
        <w:tab/>
        <w:t xml:space="preserve">La Ley de Enmienda de la Ley de Educación (Actualización) de 2017 estableció un conjunto de objetivos a largo plazo para el sistema educativo. Estos objetivos definen lo que debe ser una buena educación para los niños y los jóvenes. Según ellos, la inclusión es fundamental en el sistema educativo. </w:t>
      </w:r>
    </w:p>
    <w:p w14:paraId="0DC67312" w14:textId="77777777" w:rsidR="00154216" w:rsidRPr="00154216" w:rsidRDefault="00154216" w:rsidP="00154216">
      <w:pPr>
        <w:pStyle w:val="SingleTxtG"/>
        <w:rPr>
          <w:lang w:val="es-ES_tradnl"/>
        </w:rPr>
      </w:pPr>
      <w:r w:rsidRPr="00154216">
        <w:rPr>
          <w:lang w:val="es-ES_tradnl"/>
        </w:rPr>
        <w:t>273.</w:t>
      </w:r>
      <w:r w:rsidRPr="00154216">
        <w:rPr>
          <w:lang w:val="es-ES_tradnl"/>
        </w:rPr>
        <w:tab/>
        <w:t>Esta ley también impone obligaciones jurídicas a los consejos directivos</w:t>
      </w:r>
      <w:r w:rsidRPr="00154216">
        <w:rPr>
          <w:rStyle w:val="Refdenotaalfinal"/>
          <w:lang w:val="es-ES_tradnl"/>
        </w:rPr>
        <w:endnoteReference w:id="180"/>
      </w:r>
      <w:r w:rsidR="001571CC">
        <w:rPr>
          <w:lang w:val="es-ES_tradnl"/>
        </w:rPr>
        <w:t>,</w:t>
      </w:r>
      <w:r w:rsidRPr="00154216">
        <w:rPr>
          <w:rStyle w:val="Refdenotaalfinal"/>
          <w:lang w:val="es-ES_tradnl"/>
        </w:rPr>
        <w:t xml:space="preserve"> </w:t>
      </w:r>
      <w:r w:rsidRPr="00154216">
        <w:rPr>
          <w:lang w:val="es-ES_tradnl"/>
        </w:rPr>
        <w:t xml:space="preserve">que deben velar por que la escuela sea un lugar física y emocionalmente seguro para todos los alumnos y el personal y una institución incluyente al servicio de un alumnado con diferentes necesidades. </w:t>
      </w:r>
    </w:p>
    <w:p w14:paraId="11393569" w14:textId="77777777" w:rsidR="00154216" w:rsidRPr="00154216" w:rsidRDefault="00154216" w:rsidP="00154216">
      <w:pPr>
        <w:pStyle w:val="SingleTxtG"/>
        <w:rPr>
          <w:lang w:val="es-ES_tradnl"/>
        </w:rPr>
      </w:pPr>
      <w:r w:rsidRPr="00154216">
        <w:rPr>
          <w:lang w:val="es-ES_tradnl"/>
        </w:rPr>
        <w:t>274.</w:t>
      </w:r>
      <w:r w:rsidRPr="00154216">
        <w:rPr>
          <w:lang w:val="es-ES_tradnl"/>
        </w:rPr>
        <w:tab/>
        <w:t>El Código de Responsabilidad Profesional y Normas de la Profesión Docente</w:t>
      </w:r>
      <w:r w:rsidRPr="00154216">
        <w:rPr>
          <w:rStyle w:val="Refdenotaalfinal"/>
          <w:lang w:val="es-ES_tradnl"/>
        </w:rPr>
        <w:endnoteReference w:id="181"/>
      </w:r>
      <w:r w:rsidRPr="00154216">
        <w:rPr>
          <w:rStyle w:val="Refdenotaalfinal"/>
          <w:lang w:val="es-ES_tradnl"/>
        </w:rPr>
        <w:t xml:space="preserve"> </w:t>
      </w:r>
      <w:r w:rsidRPr="00154216">
        <w:rPr>
          <w:lang w:val="es-ES_tradnl"/>
        </w:rPr>
        <w:t xml:space="preserve">señala que los maestros deben promover prácticas incluyentes para atender las necesidades de todos los niños. El Gobierno financia una formación profesional centrada en el fomento de la equidad y la excelencia en unas pocas esferas de prioridad nacional. </w:t>
      </w:r>
    </w:p>
    <w:p w14:paraId="5AC2B5A4" w14:textId="77777777" w:rsidR="00154216" w:rsidRPr="00154216" w:rsidRDefault="00154216" w:rsidP="00154216">
      <w:pPr>
        <w:pStyle w:val="SingleTxtG"/>
        <w:rPr>
          <w:lang w:val="es-ES_tradnl"/>
        </w:rPr>
      </w:pPr>
      <w:r w:rsidRPr="00154216">
        <w:rPr>
          <w:lang w:val="es-ES_tradnl"/>
        </w:rPr>
        <w:t>275.</w:t>
      </w:r>
      <w:r w:rsidRPr="00154216">
        <w:rPr>
          <w:lang w:val="es-ES_tradnl"/>
        </w:rPr>
        <w:tab/>
        <w:t>Las guías de educación inclusiva contienen información para los educadores sobre las modalidades de apoyo a los estudiantes con discapacidad psicosocial o intelectual.</w:t>
      </w:r>
    </w:p>
    <w:p w14:paraId="7ABF2CC4" w14:textId="77777777" w:rsidR="00154216" w:rsidRPr="00154216" w:rsidRDefault="00154216" w:rsidP="001571CC">
      <w:pPr>
        <w:pStyle w:val="H23G"/>
        <w:rPr>
          <w:lang w:val="es-ES_tradnl"/>
        </w:rPr>
      </w:pPr>
      <w:r w:rsidRPr="00154216">
        <w:rPr>
          <w:lang w:val="es-ES_tradnl"/>
        </w:rPr>
        <w:tab/>
      </w:r>
      <w:r w:rsidRPr="00154216">
        <w:rPr>
          <w:lang w:val="es-ES_tradnl"/>
        </w:rPr>
        <w:tab/>
        <w:t xml:space="preserve">Respuesta al párrafo 22 c)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 xml:space="preserve">/2-3 </w:t>
      </w:r>
    </w:p>
    <w:p w14:paraId="13255364" w14:textId="77777777" w:rsidR="00154216" w:rsidRPr="00154216" w:rsidRDefault="00154216" w:rsidP="00154216">
      <w:pPr>
        <w:pStyle w:val="SingleTxtG"/>
        <w:rPr>
          <w:lang w:val="es-ES_tradnl"/>
        </w:rPr>
      </w:pPr>
      <w:r w:rsidRPr="00154216">
        <w:rPr>
          <w:lang w:val="es-ES_tradnl"/>
        </w:rPr>
        <w:t>276.</w:t>
      </w:r>
      <w:r w:rsidRPr="00154216">
        <w:rPr>
          <w:lang w:val="es-ES_tradnl"/>
        </w:rPr>
        <w:tab/>
        <w:t xml:space="preserve">Han llegado a su fin las consultas sobre el proyecto de </w:t>
      </w:r>
      <w:r w:rsidR="00C6463B" w:rsidRPr="00154216">
        <w:rPr>
          <w:lang w:val="es-ES_tradnl"/>
        </w:rPr>
        <w:t>p</w:t>
      </w:r>
      <w:r w:rsidRPr="00154216">
        <w:rPr>
          <w:lang w:val="es-ES_tradnl"/>
        </w:rPr>
        <w:t xml:space="preserve">lan de </w:t>
      </w:r>
      <w:r w:rsidR="00C6463B" w:rsidRPr="00154216">
        <w:rPr>
          <w:lang w:val="es-ES_tradnl"/>
        </w:rPr>
        <w:t>a</w:t>
      </w:r>
      <w:r w:rsidRPr="00154216">
        <w:rPr>
          <w:lang w:val="es-ES_tradnl"/>
        </w:rPr>
        <w:t xml:space="preserve">cción de </w:t>
      </w:r>
      <w:r w:rsidR="00C6463B" w:rsidRPr="00154216">
        <w:rPr>
          <w:lang w:val="es-ES_tradnl"/>
        </w:rPr>
        <w:t>a</w:t>
      </w:r>
      <w:r w:rsidRPr="00154216">
        <w:rPr>
          <w:lang w:val="es-ES_tradnl"/>
        </w:rPr>
        <w:t xml:space="preserve">poyo al </w:t>
      </w:r>
      <w:r w:rsidR="00C6463B" w:rsidRPr="00154216">
        <w:rPr>
          <w:lang w:val="es-ES_tradnl"/>
        </w:rPr>
        <w:t>a</w:t>
      </w:r>
      <w:r w:rsidRPr="00154216">
        <w:rPr>
          <w:lang w:val="es-ES_tradnl"/>
        </w:rPr>
        <w:t>prendizaje para 2019</w:t>
      </w:r>
      <w:r w:rsidR="001571CC">
        <w:rPr>
          <w:lang w:val="es-ES_tradnl"/>
        </w:rPr>
        <w:t>-</w:t>
      </w:r>
      <w:r w:rsidRPr="00154216">
        <w:rPr>
          <w:lang w:val="es-ES_tradnl"/>
        </w:rPr>
        <w:t xml:space="preserve">2025. El Gobierno ha anunciado nuevas inversiones por valor de 217 millones de dólares neozelandeses por un </w:t>
      </w:r>
      <w:r w:rsidR="00D6447D">
        <w:rPr>
          <w:lang w:val="es-ES_tradnl"/>
        </w:rPr>
        <w:t xml:space="preserve">período </w:t>
      </w:r>
      <w:r w:rsidRPr="00154216">
        <w:rPr>
          <w:lang w:val="es-ES_tradnl"/>
        </w:rPr>
        <w:t>de cuatro años para la financiación integral de un primer grupo de 600 coordinadores del apoyo al aprendizaje en las escuelas a partir de enero de 2020</w:t>
      </w:r>
      <w:r w:rsidRPr="00154216">
        <w:rPr>
          <w:rStyle w:val="Refdenotaalfinal"/>
          <w:lang w:val="es-ES_tradnl"/>
        </w:rPr>
        <w:endnoteReference w:id="182"/>
      </w:r>
      <w:r w:rsidR="001571CC">
        <w:rPr>
          <w:lang w:val="es-ES_tradnl"/>
        </w:rPr>
        <w:t>.</w:t>
      </w:r>
      <w:r w:rsidRPr="00154216">
        <w:rPr>
          <w:rStyle w:val="Refdenotaalfinal"/>
          <w:lang w:val="es-ES_tradnl"/>
        </w:rPr>
        <w:t xml:space="preserve"> </w:t>
      </w:r>
    </w:p>
    <w:p w14:paraId="19FCE44B" w14:textId="77777777" w:rsidR="00154216" w:rsidRPr="00154216" w:rsidRDefault="00154216" w:rsidP="00154216">
      <w:pPr>
        <w:pStyle w:val="SingleTxtG"/>
        <w:rPr>
          <w:lang w:val="es-ES_tradnl"/>
        </w:rPr>
      </w:pPr>
      <w:r w:rsidRPr="00154216">
        <w:rPr>
          <w:lang w:val="es-ES_tradnl"/>
        </w:rPr>
        <w:lastRenderedPageBreak/>
        <w:t>277.</w:t>
      </w:r>
      <w:r w:rsidRPr="00154216">
        <w:rPr>
          <w:lang w:val="es-ES_tradnl"/>
        </w:rPr>
        <w:tab/>
        <w:t>Entre julio de 2012 y abril de 2017 se modificaron las estructuras físicas de unas 1.200 escuelas. Los fondos destinados a este tipo de modificaciones aumentaron de 12</w:t>
      </w:r>
      <w:r w:rsidR="00C6463B">
        <w:rPr>
          <w:lang w:val="es-ES_tradnl"/>
        </w:rPr>
        <w:t> </w:t>
      </w:r>
      <w:r w:rsidRPr="00154216">
        <w:rPr>
          <w:lang w:val="es-ES_tradnl"/>
        </w:rPr>
        <w:t>millones en 2012/13 a 31 millones de dólares neozelandeses en 2017/18. Ello refleja la creciente demanda de acogida de niños con discapacidad en más escuelas.</w:t>
      </w:r>
    </w:p>
    <w:p w14:paraId="15CED73B" w14:textId="77777777" w:rsidR="00154216" w:rsidRPr="00154216" w:rsidRDefault="00154216" w:rsidP="00154216">
      <w:pPr>
        <w:pStyle w:val="SingleTxtG"/>
        <w:rPr>
          <w:lang w:val="es-ES_tradnl"/>
        </w:rPr>
      </w:pPr>
      <w:r w:rsidRPr="00154216">
        <w:rPr>
          <w:lang w:val="es-ES_tradnl"/>
        </w:rPr>
        <w:t>278.</w:t>
      </w:r>
      <w:r w:rsidRPr="00154216">
        <w:rPr>
          <w:lang w:val="es-ES_tradnl"/>
        </w:rPr>
        <w:tab/>
        <w:t>Respecto de la educación inclusiva, véase la respuesta a la pregunta 22 b).</w:t>
      </w:r>
    </w:p>
    <w:p w14:paraId="3B23BEF0" w14:textId="77777777" w:rsidR="00154216" w:rsidRPr="00154216" w:rsidRDefault="00154216" w:rsidP="001571CC">
      <w:pPr>
        <w:pStyle w:val="H23G"/>
        <w:rPr>
          <w:lang w:val="es-ES_tradnl"/>
        </w:rPr>
      </w:pPr>
      <w:r w:rsidRPr="00154216">
        <w:rPr>
          <w:lang w:val="es-ES_tradnl"/>
        </w:rPr>
        <w:tab/>
      </w:r>
      <w:r w:rsidRPr="00154216">
        <w:rPr>
          <w:lang w:val="es-ES_tradnl"/>
        </w:rPr>
        <w:tab/>
        <w:t xml:space="preserve">Respuesta al párrafo 22 d)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 xml:space="preserve">/2-3 </w:t>
      </w:r>
    </w:p>
    <w:p w14:paraId="6560C21F" w14:textId="77777777" w:rsidR="00154216" w:rsidRPr="00154216" w:rsidRDefault="00154216" w:rsidP="00154216">
      <w:pPr>
        <w:pStyle w:val="SingleTxtG"/>
        <w:rPr>
          <w:lang w:val="es-ES_tradnl"/>
        </w:rPr>
      </w:pPr>
      <w:r w:rsidRPr="00154216">
        <w:rPr>
          <w:lang w:val="es-ES_tradnl"/>
        </w:rPr>
        <w:t>279.</w:t>
      </w:r>
      <w:r w:rsidRPr="00154216">
        <w:rPr>
          <w:lang w:val="es-ES_tradnl"/>
        </w:rPr>
        <w:tab/>
        <w:t>Nueva Zelandia tiene un sistema diverso y altamente descentralizado de educación terciaria. Los consejos directivos, que gozan de un alto grado de autonomía, de las instituciones de enseñanza terciaria y de otros proveedores individuales se encargan de administrar, gobernar y dirigir el sector terciario.</w:t>
      </w:r>
    </w:p>
    <w:p w14:paraId="4C03FD4C" w14:textId="77777777" w:rsidR="00154216" w:rsidRPr="00154216" w:rsidRDefault="00154216" w:rsidP="00154216">
      <w:pPr>
        <w:pStyle w:val="SingleTxtG"/>
        <w:rPr>
          <w:lang w:val="es-ES_tradnl"/>
        </w:rPr>
      </w:pPr>
      <w:r w:rsidRPr="00154216">
        <w:rPr>
          <w:lang w:val="es-ES_tradnl"/>
        </w:rPr>
        <w:t>280.</w:t>
      </w:r>
      <w:r w:rsidRPr="00154216">
        <w:rPr>
          <w:lang w:val="es-ES_tradnl"/>
        </w:rPr>
        <w:tab/>
        <w:t>El Gobierno establece la estrategia, aporta financiación, regula a los proveedores y responde a los problemas relacionados con la calidad de los proveedores. Suministra determinados servicios, información e infraestructuras. Los proveedores pueden cobrar por los servicios prestados a los estudiantes. Estos fondos pueden utilizarse para apoyar a los alumnos con necesidades de aprendizaje adicionales.</w:t>
      </w:r>
    </w:p>
    <w:p w14:paraId="501924E0" w14:textId="77777777" w:rsidR="00154216" w:rsidRPr="00154216" w:rsidRDefault="00154216" w:rsidP="00154216">
      <w:pPr>
        <w:pStyle w:val="SingleTxtG"/>
        <w:rPr>
          <w:lang w:val="es-ES_tradnl"/>
        </w:rPr>
      </w:pPr>
      <w:r w:rsidRPr="00154216">
        <w:rPr>
          <w:lang w:val="es-ES_tradnl"/>
        </w:rPr>
        <w:t>281.</w:t>
      </w:r>
      <w:r w:rsidRPr="00154216">
        <w:rPr>
          <w:lang w:val="es-ES_tradnl"/>
        </w:rPr>
        <w:tab/>
        <w:t xml:space="preserve">El Gobierno suministra fondos de equidad para mejorar la participación y cualificación de las personas con discapacidad en la educación terciaria. El Gobierno se comprometió a revisar la financiación de equidad para reforzar el apoyo a las organizaciones de educación terciaria en los esfuerzos por mejorar los resultados obtenidos por todos los alumnos, incluidos aquellos con discapacidad y con necesidades adicionales de apoyo al aprendizaje. </w:t>
      </w:r>
    </w:p>
    <w:p w14:paraId="6FA87E2A" w14:textId="77777777" w:rsidR="00154216" w:rsidRPr="00154216" w:rsidRDefault="00154216" w:rsidP="00154216">
      <w:pPr>
        <w:pStyle w:val="SingleTxtG"/>
        <w:rPr>
          <w:lang w:val="es-ES_tradnl"/>
        </w:rPr>
      </w:pPr>
      <w:r w:rsidRPr="00154216">
        <w:rPr>
          <w:lang w:val="es-ES_tradnl"/>
        </w:rPr>
        <w:t>282.</w:t>
      </w:r>
      <w:r w:rsidRPr="00154216">
        <w:rPr>
          <w:lang w:val="es-ES_tradnl"/>
        </w:rPr>
        <w:tab/>
        <w:t xml:space="preserve">La Comisión de Educación Terciaria asigna recursos financieros a la educación terciaria y exige a las instituciones receptoras de los fondos de equidad que rindan cuenta de ellos. </w:t>
      </w:r>
    </w:p>
    <w:p w14:paraId="2DFCF477" w14:textId="77777777" w:rsidR="00154216" w:rsidRPr="00154216" w:rsidRDefault="00154216" w:rsidP="001571CC">
      <w:pPr>
        <w:pStyle w:val="H23G"/>
        <w:rPr>
          <w:lang w:val="es-ES_tradnl"/>
        </w:rPr>
      </w:pPr>
      <w:r w:rsidRPr="00154216">
        <w:rPr>
          <w:lang w:val="es-ES_tradnl"/>
        </w:rPr>
        <w:tab/>
      </w:r>
      <w:r w:rsidRPr="00154216">
        <w:rPr>
          <w:lang w:val="es-ES_tradnl"/>
        </w:rPr>
        <w:tab/>
        <w:t xml:space="preserve">Respuesta al párrafo 22 e)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 xml:space="preserve">/2-3 </w:t>
      </w:r>
    </w:p>
    <w:p w14:paraId="5C3B3F96" w14:textId="77777777" w:rsidR="00154216" w:rsidRPr="00154216" w:rsidRDefault="00154216" w:rsidP="00154216">
      <w:pPr>
        <w:pStyle w:val="SingleTxtG"/>
        <w:rPr>
          <w:lang w:val="es-ES_tradnl"/>
        </w:rPr>
      </w:pPr>
      <w:r w:rsidRPr="00154216">
        <w:rPr>
          <w:lang w:val="es-ES_tradnl"/>
        </w:rPr>
        <w:t>283.</w:t>
      </w:r>
      <w:r w:rsidRPr="00154216">
        <w:rPr>
          <w:lang w:val="es-ES_tradnl"/>
        </w:rPr>
        <w:tab/>
        <w:t>Desde 2015, el Grupo Asesor para la Prevención del Acoso</w:t>
      </w:r>
      <w:r w:rsidRPr="00154216">
        <w:rPr>
          <w:rStyle w:val="Refdenotaalfinal"/>
          <w:lang w:val="es-ES_tradnl"/>
        </w:rPr>
        <w:endnoteReference w:id="183"/>
      </w:r>
      <w:r w:rsidRPr="00154216">
        <w:rPr>
          <w:rStyle w:val="Refdenotaalfinal"/>
          <w:lang w:val="es-ES_tradnl"/>
        </w:rPr>
        <w:t xml:space="preserve"> </w:t>
      </w:r>
      <w:r w:rsidRPr="00154216">
        <w:rPr>
          <w:lang w:val="es-ES_tradnl"/>
        </w:rPr>
        <w:t>desarrolla recursos para reducir el acoso en las escuelas.</w:t>
      </w:r>
    </w:p>
    <w:p w14:paraId="68034CD5" w14:textId="77777777" w:rsidR="00154216" w:rsidRPr="00154216" w:rsidRDefault="00154216" w:rsidP="00154216">
      <w:pPr>
        <w:pStyle w:val="SingleTxtG"/>
        <w:rPr>
          <w:lang w:val="es-ES_tradnl"/>
        </w:rPr>
      </w:pPr>
      <w:r w:rsidRPr="00154216">
        <w:rPr>
          <w:lang w:val="es-ES_tradnl"/>
        </w:rPr>
        <w:t>284.</w:t>
      </w:r>
      <w:r w:rsidRPr="00154216">
        <w:rPr>
          <w:lang w:val="es-ES_tradnl"/>
        </w:rPr>
        <w:tab/>
        <w:t>Tras un estudio de los métodos eficaces para prevenir el acoso escolar, el Gobierno elaboró el Marco para una Escuela Neozelandesa Libre del Acoso. El marco contiene los nueve componentes básicos de una metodología eficaz de prevención del acoso escolar y de respuesta a este.</w:t>
      </w:r>
    </w:p>
    <w:p w14:paraId="61A7846F" w14:textId="6C301690" w:rsidR="00154216" w:rsidRPr="00154216" w:rsidRDefault="00154216" w:rsidP="00154216">
      <w:pPr>
        <w:pStyle w:val="SingleTxtG"/>
        <w:rPr>
          <w:lang w:val="es-ES_tradnl"/>
        </w:rPr>
      </w:pPr>
      <w:r w:rsidRPr="00154216">
        <w:rPr>
          <w:lang w:val="es-ES_tradnl"/>
        </w:rPr>
        <w:t>285.</w:t>
      </w:r>
      <w:r w:rsidRPr="00154216">
        <w:rPr>
          <w:lang w:val="es-ES_tradnl"/>
        </w:rPr>
        <w:tab/>
        <w:t xml:space="preserve">El sitio web </w:t>
      </w:r>
      <w:hyperlink r:id="rId9" w:history="1">
        <w:proofErr w:type="spellStart"/>
        <w:r w:rsidRPr="00C6463B">
          <w:rPr>
            <w:rStyle w:val="Hipervnculo"/>
            <w:color w:val="auto"/>
            <w:lang w:val="es-ES_tradnl"/>
          </w:rPr>
          <w:t>www.bullyingfree.nz</w:t>
        </w:r>
        <w:proofErr w:type="spellEnd"/>
      </w:hyperlink>
      <w:r w:rsidRPr="00154216">
        <w:rPr>
          <w:lang w:val="es-ES_tradnl"/>
        </w:rPr>
        <w:t xml:space="preserve"> presenta una amplia gama de recursos e información sobre el tema, entre ellos el Marco y el Juego de Herramientas conexo.</w:t>
      </w:r>
    </w:p>
    <w:p w14:paraId="7290763B" w14:textId="77777777" w:rsidR="00154216" w:rsidRPr="00154216" w:rsidRDefault="00154216" w:rsidP="00154216">
      <w:pPr>
        <w:pStyle w:val="SingleTxtG"/>
        <w:rPr>
          <w:lang w:val="es-ES_tradnl"/>
        </w:rPr>
      </w:pPr>
      <w:r w:rsidRPr="00154216">
        <w:rPr>
          <w:lang w:val="es-ES_tradnl"/>
        </w:rPr>
        <w:t>286.</w:t>
      </w:r>
      <w:r w:rsidRPr="00154216">
        <w:rPr>
          <w:lang w:val="es-ES_tradnl"/>
        </w:rPr>
        <w:tab/>
        <w:t xml:space="preserve">El Gobierno ofrece a las escuelas libre acceso a los instrumentos de la encuesta </w:t>
      </w:r>
      <w:proofErr w:type="spellStart"/>
      <w:r w:rsidRPr="00154216">
        <w:rPr>
          <w:lang w:val="es-ES_tradnl"/>
        </w:rPr>
        <w:t>Wellbeing@School</w:t>
      </w:r>
      <w:proofErr w:type="spellEnd"/>
      <w:r w:rsidRPr="00154216">
        <w:rPr>
          <w:lang w:val="es-ES_tradnl"/>
        </w:rPr>
        <w:t>, algunas de cuyas secciones exploran las percepciones de los estudiantes y los maestros sobre la magnitud del problema del comportamiento agresivo e intimidatorio en la escuela. Los datos de la encuesta ayudan a las escuelas a comprender el nivel y el tipo de acoso que se produce y el grado de eficacia de los actuales esfuerzos para combatir el problema y a concebir las siguientes medidas de aplicación de la estrategia de prevención del acoso escolar y de respuesta a este.</w:t>
      </w:r>
    </w:p>
    <w:p w14:paraId="2B14A275" w14:textId="77777777" w:rsidR="00154216" w:rsidRPr="00154216" w:rsidRDefault="00154216" w:rsidP="00154216">
      <w:pPr>
        <w:pStyle w:val="SingleTxtG"/>
        <w:rPr>
          <w:lang w:val="es-ES_tradnl"/>
        </w:rPr>
      </w:pPr>
      <w:r w:rsidRPr="00154216">
        <w:rPr>
          <w:lang w:val="es-ES_tradnl"/>
        </w:rPr>
        <w:t>287.</w:t>
      </w:r>
      <w:r w:rsidRPr="00154216">
        <w:rPr>
          <w:lang w:val="es-ES_tradnl"/>
        </w:rPr>
        <w:tab/>
        <w:t>Las tendencias de alta precisión registradas con estos instrumentos informan al Gobierno sobre la eficacia de la aplicación de la política y la estrategia contra el acoso escolar.</w:t>
      </w:r>
    </w:p>
    <w:p w14:paraId="51A92111" w14:textId="77777777" w:rsidR="00154216" w:rsidRPr="00154216" w:rsidRDefault="00154216" w:rsidP="00154216">
      <w:pPr>
        <w:pStyle w:val="SingleTxtG"/>
        <w:rPr>
          <w:lang w:val="es-ES_tradnl"/>
        </w:rPr>
      </w:pPr>
      <w:r w:rsidRPr="00154216">
        <w:rPr>
          <w:lang w:val="es-ES_tradnl"/>
        </w:rPr>
        <w:t>288.</w:t>
      </w:r>
      <w:r w:rsidRPr="00154216">
        <w:rPr>
          <w:lang w:val="es-ES_tradnl"/>
        </w:rPr>
        <w:tab/>
        <w:t>Cada año el Gobierno patrocina la semana de Nueva Zelandia Libre del Acoso para dar a conocer los efectos del fenómeno y unas estrategias eficaces y proactivas de prevención y respuesta.</w:t>
      </w:r>
    </w:p>
    <w:p w14:paraId="60667CB7" w14:textId="77777777" w:rsidR="00154216" w:rsidRPr="00154216" w:rsidRDefault="00154216" w:rsidP="001571CC">
      <w:pPr>
        <w:pStyle w:val="H23G"/>
        <w:rPr>
          <w:lang w:val="es-ES_tradnl"/>
        </w:rPr>
      </w:pPr>
      <w:r w:rsidRPr="00154216">
        <w:rPr>
          <w:lang w:val="es-ES_tradnl"/>
        </w:rPr>
        <w:tab/>
      </w:r>
      <w:r w:rsidRPr="00154216">
        <w:rPr>
          <w:lang w:val="es-ES_tradnl"/>
        </w:rPr>
        <w:tab/>
        <w:t xml:space="preserve">Respuesta al párrafo 22 f)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 xml:space="preserve">/2-3 </w:t>
      </w:r>
    </w:p>
    <w:p w14:paraId="56CB55C4" w14:textId="77777777" w:rsidR="00154216" w:rsidRPr="00154216" w:rsidRDefault="00154216" w:rsidP="00154216">
      <w:pPr>
        <w:pStyle w:val="SingleTxtG"/>
        <w:rPr>
          <w:lang w:val="es-ES_tradnl"/>
        </w:rPr>
      </w:pPr>
      <w:r w:rsidRPr="00154216">
        <w:rPr>
          <w:lang w:val="es-ES_tradnl"/>
        </w:rPr>
        <w:t>289.</w:t>
      </w:r>
      <w:r w:rsidRPr="00154216">
        <w:rPr>
          <w:lang w:val="es-ES_tradnl"/>
        </w:rPr>
        <w:tab/>
        <w:t xml:space="preserve">No tenemos ninguna disposición destinada específicamente a eliminar las disparidades de género en la educación y garantizar el acceso igualitario a todos los niveles de la enseñanza y la formación profesional. En cambio, el Gobierno se concentra en </w:t>
      </w:r>
      <w:r w:rsidRPr="00154216">
        <w:rPr>
          <w:lang w:val="es-ES_tradnl"/>
        </w:rPr>
        <w:lastRenderedPageBreak/>
        <w:t xml:space="preserve">mejorar la calidad de la enseñanza y en ayudar a los maestros y al personal de apoyo al aprendizaje a atender las necesidades e intereses de cada estudiante. No reunimos información sobre las diferencias en la educación de los niños y jóvenes con necesidades de apoyo al aprendizaje. </w:t>
      </w:r>
    </w:p>
    <w:p w14:paraId="51A61F83" w14:textId="77777777" w:rsidR="00154216" w:rsidRPr="00154216" w:rsidRDefault="00154216" w:rsidP="00154216">
      <w:pPr>
        <w:pStyle w:val="SingleTxtG"/>
        <w:rPr>
          <w:lang w:val="es-ES_tradnl"/>
        </w:rPr>
      </w:pPr>
      <w:r w:rsidRPr="00154216">
        <w:rPr>
          <w:lang w:val="es-ES_tradnl"/>
        </w:rPr>
        <w:t>290.</w:t>
      </w:r>
      <w:r w:rsidRPr="00154216">
        <w:rPr>
          <w:lang w:val="es-ES_tradnl"/>
        </w:rPr>
        <w:tab/>
        <w:t>Al 1 de julio de 2018, el Plan de Provisión Permanente de Recursos (ORS) prestaba apoyo al aprendizaje de los 9.377 estudiantes más necesitados (el 1,2</w:t>
      </w:r>
      <w:r w:rsidR="00D37C06">
        <w:rPr>
          <w:lang w:val="es-ES_tradnl"/>
        </w:rPr>
        <w:t> %</w:t>
      </w:r>
      <w:r w:rsidRPr="00154216">
        <w:rPr>
          <w:lang w:val="es-ES_tradnl"/>
        </w:rPr>
        <w:t xml:space="preserve"> del total de la población escolar), aunque no todos esos niños y jóvenes se considerarían con discapacidad. </w:t>
      </w:r>
    </w:p>
    <w:p w14:paraId="6D13C03A" w14:textId="77777777" w:rsidR="000341FE" w:rsidRDefault="00154216" w:rsidP="000341FE">
      <w:pPr>
        <w:pStyle w:val="SingleTxtG"/>
        <w:rPr>
          <w:lang w:val="es-ES_tradnl"/>
        </w:rPr>
      </w:pPr>
      <w:r w:rsidRPr="00154216">
        <w:rPr>
          <w:lang w:val="es-ES_tradnl"/>
        </w:rPr>
        <w:t>291.</w:t>
      </w:r>
      <w:r w:rsidRPr="00154216">
        <w:rPr>
          <w:lang w:val="es-ES_tradnl"/>
        </w:rPr>
        <w:tab/>
        <w:t>Los varones representaban el 67</w:t>
      </w:r>
      <w:r w:rsidR="00D37C06">
        <w:rPr>
          <w:lang w:val="es-ES_tradnl"/>
        </w:rPr>
        <w:t> %</w:t>
      </w:r>
      <w:r w:rsidRPr="00154216">
        <w:rPr>
          <w:lang w:val="es-ES_tradnl"/>
        </w:rPr>
        <w:t xml:space="preserve"> de los alumnos que recibían financiación del Plan, y la composición étnica de ese grupo era similar a la de la población escolar general.</w:t>
      </w:r>
    </w:p>
    <w:p w14:paraId="29C25088" w14:textId="77777777" w:rsidR="00154216" w:rsidRPr="00154216" w:rsidRDefault="000341FE" w:rsidP="000341FE">
      <w:pPr>
        <w:pStyle w:val="H23G"/>
        <w:rPr>
          <w:rStyle w:val="Refdenotaalfinal"/>
          <w:lang w:val="es-ES_tradnl"/>
        </w:rPr>
      </w:pPr>
      <w:r>
        <w:rPr>
          <w:lang w:val="es-ES_tradnl"/>
        </w:rPr>
        <w:tab/>
      </w:r>
      <w:r>
        <w:rPr>
          <w:lang w:val="es-ES_tradnl"/>
        </w:rPr>
        <w:tab/>
      </w:r>
      <w:r w:rsidR="00154216" w:rsidRPr="00C6463B">
        <w:rPr>
          <w:b w:val="0"/>
          <w:bCs/>
          <w:lang w:val="es-ES_tradnl"/>
        </w:rPr>
        <w:t>Cuadro</w:t>
      </w:r>
      <w:r w:rsidR="001571CC">
        <w:rPr>
          <w:lang w:val="es-ES_tradnl"/>
        </w:rPr>
        <w:br/>
      </w:r>
      <w:r w:rsidR="00154216" w:rsidRPr="00154216">
        <w:rPr>
          <w:lang w:val="es-ES_tradnl"/>
        </w:rPr>
        <w:t xml:space="preserve">Número de estudiantes que recibían financiación del ORS (al 1 de julio </w:t>
      </w:r>
      <w:r w:rsidR="00C6463B">
        <w:rPr>
          <w:lang w:val="es-ES_tradnl"/>
        </w:rPr>
        <w:br/>
      </w:r>
      <w:r w:rsidR="00154216" w:rsidRPr="00154216">
        <w:rPr>
          <w:lang w:val="es-ES_tradnl"/>
        </w:rPr>
        <w:t>de los años 2014 a 2018)</w:t>
      </w:r>
      <w:r w:rsidR="00154216" w:rsidRPr="000341FE">
        <w:rPr>
          <w:rStyle w:val="Refdenotaalfinal"/>
          <w:b w:val="0"/>
          <w:bCs/>
          <w:lang w:val="es-ES_tradnl"/>
        </w:rPr>
        <w:endnoteReference w:id="184"/>
      </w:r>
    </w:p>
    <w:tbl>
      <w:tblPr>
        <w:tblStyle w:val="TableGridLight1"/>
        <w:tblW w:w="7370" w:type="dxa"/>
        <w:tblInd w:w="113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21"/>
        <w:gridCol w:w="850"/>
        <w:gridCol w:w="850"/>
        <w:gridCol w:w="850"/>
        <w:gridCol w:w="850"/>
        <w:gridCol w:w="849"/>
      </w:tblGrid>
      <w:tr w:rsidR="00154216" w:rsidRPr="00257234" w14:paraId="753F630F" w14:textId="77777777" w:rsidTr="00A3689F">
        <w:trPr>
          <w:trHeight w:val="240"/>
          <w:tblHeader/>
        </w:trPr>
        <w:tc>
          <w:tcPr>
            <w:tcW w:w="2117" w:type="pct"/>
            <w:tcBorders>
              <w:top w:val="single" w:sz="4" w:space="0" w:color="auto"/>
              <w:bottom w:val="single" w:sz="12" w:space="0" w:color="auto"/>
            </w:tcBorders>
            <w:shd w:val="clear" w:color="auto" w:fill="auto"/>
            <w:vAlign w:val="bottom"/>
          </w:tcPr>
          <w:p w14:paraId="1E9834C5" w14:textId="77777777" w:rsidR="00154216" w:rsidRPr="00257234" w:rsidRDefault="00154216" w:rsidP="00257234">
            <w:pPr>
              <w:pStyle w:val="SingleTxtG"/>
              <w:spacing w:before="80" w:after="80" w:line="200" w:lineRule="exact"/>
              <w:ind w:left="0" w:right="0"/>
              <w:jc w:val="left"/>
              <w:rPr>
                <w:rFonts w:ascii="Times New Roman" w:hAnsi="Times New Roman" w:cs="Times New Roman"/>
                <w:i/>
                <w:sz w:val="16"/>
                <w:lang w:val="es-ES_tradnl"/>
              </w:rPr>
            </w:pPr>
          </w:p>
        </w:tc>
        <w:tc>
          <w:tcPr>
            <w:tcW w:w="576" w:type="pct"/>
            <w:tcBorders>
              <w:top w:val="single" w:sz="4" w:space="0" w:color="auto"/>
              <w:bottom w:val="single" w:sz="12" w:space="0" w:color="auto"/>
            </w:tcBorders>
            <w:shd w:val="clear" w:color="auto" w:fill="auto"/>
            <w:vAlign w:val="bottom"/>
            <w:hideMark/>
          </w:tcPr>
          <w:p w14:paraId="502D285B" w14:textId="77777777" w:rsidR="00154216" w:rsidRPr="00257234" w:rsidRDefault="00154216" w:rsidP="00257234">
            <w:pPr>
              <w:pStyle w:val="SingleTxtG"/>
              <w:spacing w:before="80" w:after="80" w:line="200" w:lineRule="exact"/>
              <w:ind w:left="113" w:right="0"/>
              <w:jc w:val="right"/>
              <w:rPr>
                <w:rFonts w:ascii="Times New Roman" w:hAnsi="Times New Roman" w:cs="Times New Roman"/>
                <w:i/>
                <w:sz w:val="16"/>
                <w:lang w:val="es-ES_tradnl"/>
              </w:rPr>
            </w:pPr>
            <w:r w:rsidRPr="00257234">
              <w:rPr>
                <w:rFonts w:ascii="Times New Roman" w:hAnsi="Times New Roman" w:cs="Times New Roman"/>
                <w:i/>
                <w:iCs/>
                <w:sz w:val="16"/>
                <w:lang w:val="es-ES_tradnl"/>
              </w:rPr>
              <w:t>2014</w:t>
            </w:r>
          </w:p>
        </w:tc>
        <w:tc>
          <w:tcPr>
            <w:tcW w:w="577" w:type="pct"/>
            <w:tcBorders>
              <w:top w:val="single" w:sz="4" w:space="0" w:color="auto"/>
              <w:bottom w:val="single" w:sz="12" w:space="0" w:color="auto"/>
            </w:tcBorders>
            <w:shd w:val="clear" w:color="auto" w:fill="auto"/>
            <w:vAlign w:val="bottom"/>
            <w:hideMark/>
          </w:tcPr>
          <w:p w14:paraId="6F720D23" w14:textId="77777777" w:rsidR="00154216" w:rsidRPr="00257234" w:rsidRDefault="00154216" w:rsidP="00257234">
            <w:pPr>
              <w:pStyle w:val="SingleTxtG"/>
              <w:spacing w:before="80" w:after="80" w:line="200" w:lineRule="exact"/>
              <w:ind w:left="113" w:right="0"/>
              <w:jc w:val="right"/>
              <w:rPr>
                <w:rFonts w:ascii="Times New Roman" w:hAnsi="Times New Roman" w:cs="Times New Roman"/>
                <w:i/>
                <w:sz w:val="16"/>
                <w:lang w:val="es-ES_tradnl"/>
              </w:rPr>
            </w:pPr>
            <w:r w:rsidRPr="00257234">
              <w:rPr>
                <w:rFonts w:ascii="Times New Roman" w:hAnsi="Times New Roman" w:cs="Times New Roman"/>
                <w:i/>
                <w:iCs/>
                <w:sz w:val="16"/>
                <w:lang w:val="es-ES_tradnl"/>
              </w:rPr>
              <w:t>2015</w:t>
            </w:r>
          </w:p>
        </w:tc>
        <w:tc>
          <w:tcPr>
            <w:tcW w:w="577" w:type="pct"/>
            <w:tcBorders>
              <w:top w:val="single" w:sz="4" w:space="0" w:color="auto"/>
              <w:bottom w:val="single" w:sz="12" w:space="0" w:color="auto"/>
            </w:tcBorders>
            <w:shd w:val="clear" w:color="auto" w:fill="auto"/>
            <w:vAlign w:val="bottom"/>
            <w:hideMark/>
          </w:tcPr>
          <w:p w14:paraId="056EEF01" w14:textId="77777777" w:rsidR="00154216" w:rsidRPr="00257234" w:rsidRDefault="00154216" w:rsidP="00257234">
            <w:pPr>
              <w:pStyle w:val="SingleTxtG"/>
              <w:spacing w:before="80" w:after="80" w:line="200" w:lineRule="exact"/>
              <w:ind w:left="113" w:right="0"/>
              <w:jc w:val="right"/>
              <w:rPr>
                <w:rFonts w:ascii="Times New Roman" w:hAnsi="Times New Roman" w:cs="Times New Roman"/>
                <w:i/>
                <w:sz w:val="16"/>
                <w:lang w:val="es-ES_tradnl"/>
              </w:rPr>
            </w:pPr>
            <w:r w:rsidRPr="00257234">
              <w:rPr>
                <w:rFonts w:ascii="Times New Roman" w:hAnsi="Times New Roman" w:cs="Times New Roman"/>
                <w:i/>
                <w:iCs/>
                <w:sz w:val="16"/>
                <w:lang w:val="es-ES_tradnl"/>
              </w:rPr>
              <w:t>2016</w:t>
            </w:r>
          </w:p>
        </w:tc>
        <w:tc>
          <w:tcPr>
            <w:tcW w:w="577" w:type="pct"/>
            <w:tcBorders>
              <w:top w:val="single" w:sz="4" w:space="0" w:color="auto"/>
              <w:bottom w:val="single" w:sz="12" w:space="0" w:color="auto"/>
            </w:tcBorders>
            <w:shd w:val="clear" w:color="auto" w:fill="auto"/>
            <w:vAlign w:val="bottom"/>
            <w:hideMark/>
          </w:tcPr>
          <w:p w14:paraId="0BD3B370" w14:textId="77777777" w:rsidR="00154216" w:rsidRPr="00257234" w:rsidRDefault="00154216" w:rsidP="00257234">
            <w:pPr>
              <w:pStyle w:val="SingleTxtG"/>
              <w:spacing w:before="80" w:after="80" w:line="200" w:lineRule="exact"/>
              <w:ind w:left="113" w:right="0"/>
              <w:jc w:val="right"/>
              <w:rPr>
                <w:rFonts w:ascii="Times New Roman" w:hAnsi="Times New Roman" w:cs="Times New Roman"/>
                <w:i/>
                <w:sz w:val="16"/>
                <w:lang w:val="es-ES_tradnl"/>
              </w:rPr>
            </w:pPr>
            <w:r w:rsidRPr="00257234">
              <w:rPr>
                <w:rFonts w:ascii="Times New Roman" w:hAnsi="Times New Roman" w:cs="Times New Roman"/>
                <w:i/>
                <w:iCs/>
                <w:sz w:val="16"/>
                <w:lang w:val="es-ES_tradnl"/>
              </w:rPr>
              <w:t>2017</w:t>
            </w:r>
          </w:p>
        </w:tc>
        <w:tc>
          <w:tcPr>
            <w:tcW w:w="577" w:type="pct"/>
            <w:tcBorders>
              <w:top w:val="single" w:sz="4" w:space="0" w:color="auto"/>
              <w:bottom w:val="single" w:sz="12" w:space="0" w:color="auto"/>
            </w:tcBorders>
            <w:shd w:val="clear" w:color="auto" w:fill="auto"/>
            <w:vAlign w:val="bottom"/>
            <w:hideMark/>
          </w:tcPr>
          <w:p w14:paraId="53977A65" w14:textId="77777777" w:rsidR="00154216" w:rsidRPr="00257234" w:rsidRDefault="00154216" w:rsidP="00257234">
            <w:pPr>
              <w:pStyle w:val="SingleTxtG"/>
              <w:spacing w:before="80" w:after="80" w:line="200" w:lineRule="exact"/>
              <w:ind w:left="113" w:right="0"/>
              <w:jc w:val="right"/>
              <w:rPr>
                <w:rFonts w:ascii="Times New Roman" w:hAnsi="Times New Roman" w:cs="Times New Roman"/>
                <w:i/>
                <w:sz w:val="16"/>
                <w:lang w:val="es-ES_tradnl"/>
              </w:rPr>
            </w:pPr>
            <w:r w:rsidRPr="00257234">
              <w:rPr>
                <w:rFonts w:ascii="Times New Roman" w:hAnsi="Times New Roman" w:cs="Times New Roman"/>
                <w:i/>
                <w:iCs/>
                <w:sz w:val="16"/>
                <w:lang w:val="es-ES_tradnl"/>
              </w:rPr>
              <w:t>2018</w:t>
            </w:r>
          </w:p>
        </w:tc>
      </w:tr>
      <w:tr w:rsidR="00154216" w:rsidRPr="00257234" w14:paraId="6424AB7E" w14:textId="77777777" w:rsidTr="00A3689F">
        <w:trPr>
          <w:trHeight w:val="240"/>
        </w:trPr>
        <w:tc>
          <w:tcPr>
            <w:tcW w:w="2117" w:type="pct"/>
            <w:tcBorders>
              <w:top w:val="single" w:sz="12" w:space="0" w:color="auto"/>
            </w:tcBorders>
            <w:shd w:val="clear" w:color="auto" w:fill="auto"/>
            <w:hideMark/>
          </w:tcPr>
          <w:p w14:paraId="1BC825A5" w14:textId="77777777" w:rsidR="00154216" w:rsidRPr="00257234" w:rsidRDefault="00154216" w:rsidP="00257234">
            <w:pPr>
              <w:pStyle w:val="SingleTxtG"/>
              <w:spacing w:before="40" w:after="40" w:line="220" w:lineRule="exact"/>
              <w:ind w:left="0" w:right="0"/>
              <w:jc w:val="left"/>
              <w:rPr>
                <w:rFonts w:ascii="Times New Roman" w:hAnsi="Times New Roman" w:cs="Times New Roman"/>
                <w:sz w:val="18"/>
                <w:lang w:val="es-ES_tradnl"/>
              </w:rPr>
            </w:pPr>
            <w:r w:rsidRPr="00257234">
              <w:rPr>
                <w:rFonts w:ascii="Times New Roman" w:hAnsi="Times New Roman" w:cs="Times New Roman"/>
                <w:sz w:val="18"/>
                <w:lang w:val="es-ES_tradnl"/>
              </w:rPr>
              <w:t>Número de mujeres</w:t>
            </w:r>
          </w:p>
        </w:tc>
        <w:tc>
          <w:tcPr>
            <w:tcW w:w="576" w:type="pct"/>
            <w:tcBorders>
              <w:top w:val="single" w:sz="12" w:space="0" w:color="auto"/>
            </w:tcBorders>
            <w:shd w:val="clear" w:color="auto" w:fill="auto"/>
            <w:vAlign w:val="bottom"/>
            <w:hideMark/>
          </w:tcPr>
          <w:p w14:paraId="6858F3B2" w14:textId="77777777" w:rsidR="00154216" w:rsidRPr="00257234" w:rsidRDefault="00154216" w:rsidP="00257234">
            <w:pPr>
              <w:pStyle w:val="SingleTxtG"/>
              <w:spacing w:before="40" w:after="40" w:line="220" w:lineRule="exact"/>
              <w:ind w:left="113" w:right="0"/>
              <w:jc w:val="right"/>
              <w:rPr>
                <w:rFonts w:ascii="Times New Roman" w:hAnsi="Times New Roman" w:cs="Times New Roman"/>
                <w:sz w:val="18"/>
                <w:lang w:val="es-ES_tradnl"/>
              </w:rPr>
            </w:pPr>
            <w:r w:rsidRPr="00257234">
              <w:rPr>
                <w:rFonts w:ascii="Times New Roman" w:hAnsi="Times New Roman" w:cs="Times New Roman"/>
                <w:sz w:val="18"/>
                <w:lang w:val="es-ES_tradnl"/>
              </w:rPr>
              <w:t>2 881</w:t>
            </w:r>
          </w:p>
        </w:tc>
        <w:tc>
          <w:tcPr>
            <w:tcW w:w="577" w:type="pct"/>
            <w:tcBorders>
              <w:top w:val="single" w:sz="12" w:space="0" w:color="auto"/>
            </w:tcBorders>
            <w:shd w:val="clear" w:color="auto" w:fill="auto"/>
            <w:vAlign w:val="bottom"/>
            <w:hideMark/>
          </w:tcPr>
          <w:p w14:paraId="3789DBD1" w14:textId="77777777" w:rsidR="00154216" w:rsidRPr="00257234" w:rsidRDefault="00154216" w:rsidP="00257234">
            <w:pPr>
              <w:pStyle w:val="SingleTxtG"/>
              <w:spacing w:before="40" w:after="40" w:line="220" w:lineRule="exact"/>
              <w:ind w:left="113" w:right="0"/>
              <w:jc w:val="right"/>
              <w:rPr>
                <w:rFonts w:ascii="Times New Roman" w:hAnsi="Times New Roman" w:cs="Times New Roman"/>
                <w:sz w:val="18"/>
                <w:lang w:val="es-ES_tradnl"/>
              </w:rPr>
            </w:pPr>
            <w:r w:rsidRPr="00257234">
              <w:rPr>
                <w:rFonts w:ascii="Times New Roman" w:hAnsi="Times New Roman" w:cs="Times New Roman"/>
                <w:sz w:val="18"/>
                <w:lang w:val="es-ES_tradnl"/>
              </w:rPr>
              <w:t>2 917</w:t>
            </w:r>
          </w:p>
        </w:tc>
        <w:tc>
          <w:tcPr>
            <w:tcW w:w="577" w:type="pct"/>
            <w:tcBorders>
              <w:top w:val="single" w:sz="12" w:space="0" w:color="auto"/>
            </w:tcBorders>
            <w:shd w:val="clear" w:color="auto" w:fill="auto"/>
            <w:vAlign w:val="bottom"/>
            <w:hideMark/>
          </w:tcPr>
          <w:p w14:paraId="3EC2A6D6" w14:textId="77777777" w:rsidR="00154216" w:rsidRPr="00257234" w:rsidRDefault="00154216" w:rsidP="00257234">
            <w:pPr>
              <w:pStyle w:val="SingleTxtG"/>
              <w:spacing w:before="40" w:after="40" w:line="220" w:lineRule="exact"/>
              <w:ind w:left="113" w:right="0"/>
              <w:jc w:val="right"/>
              <w:rPr>
                <w:rFonts w:ascii="Times New Roman" w:hAnsi="Times New Roman" w:cs="Times New Roman"/>
                <w:sz w:val="18"/>
                <w:lang w:val="es-ES_tradnl"/>
              </w:rPr>
            </w:pPr>
            <w:r w:rsidRPr="00257234">
              <w:rPr>
                <w:rFonts w:ascii="Times New Roman" w:hAnsi="Times New Roman" w:cs="Times New Roman"/>
                <w:sz w:val="18"/>
                <w:lang w:val="es-ES_tradnl"/>
              </w:rPr>
              <w:t>2 965</w:t>
            </w:r>
          </w:p>
        </w:tc>
        <w:tc>
          <w:tcPr>
            <w:tcW w:w="577" w:type="pct"/>
            <w:tcBorders>
              <w:top w:val="single" w:sz="12" w:space="0" w:color="auto"/>
            </w:tcBorders>
            <w:shd w:val="clear" w:color="auto" w:fill="auto"/>
            <w:vAlign w:val="bottom"/>
            <w:hideMark/>
          </w:tcPr>
          <w:p w14:paraId="4C872546" w14:textId="77777777" w:rsidR="00154216" w:rsidRPr="00257234" w:rsidRDefault="00154216" w:rsidP="00257234">
            <w:pPr>
              <w:pStyle w:val="SingleTxtG"/>
              <w:spacing w:before="40" w:after="40" w:line="220" w:lineRule="exact"/>
              <w:ind w:left="113" w:right="0"/>
              <w:jc w:val="right"/>
              <w:rPr>
                <w:rFonts w:ascii="Times New Roman" w:hAnsi="Times New Roman" w:cs="Times New Roman"/>
                <w:sz w:val="18"/>
                <w:lang w:val="es-ES_tradnl"/>
              </w:rPr>
            </w:pPr>
            <w:r w:rsidRPr="00257234">
              <w:rPr>
                <w:rFonts w:ascii="Times New Roman" w:hAnsi="Times New Roman" w:cs="Times New Roman"/>
                <w:sz w:val="18"/>
                <w:lang w:val="es-ES_tradnl"/>
              </w:rPr>
              <w:t>3 026</w:t>
            </w:r>
          </w:p>
        </w:tc>
        <w:tc>
          <w:tcPr>
            <w:tcW w:w="577" w:type="pct"/>
            <w:tcBorders>
              <w:top w:val="single" w:sz="12" w:space="0" w:color="auto"/>
            </w:tcBorders>
            <w:shd w:val="clear" w:color="auto" w:fill="auto"/>
            <w:vAlign w:val="bottom"/>
            <w:hideMark/>
          </w:tcPr>
          <w:p w14:paraId="77ADDDD8" w14:textId="77777777" w:rsidR="00154216" w:rsidRPr="00257234" w:rsidRDefault="00154216" w:rsidP="00257234">
            <w:pPr>
              <w:pStyle w:val="SingleTxtG"/>
              <w:spacing w:before="40" w:after="40" w:line="220" w:lineRule="exact"/>
              <w:ind w:left="113" w:right="0"/>
              <w:jc w:val="right"/>
              <w:rPr>
                <w:rFonts w:ascii="Times New Roman" w:hAnsi="Times New Roman" w:cs="Times New Roman"/>
                <w:sz w:val="18"/>
                <w:lang w:val="es-ES_tradnl"/>
              </w:rPr>
            </w:pPr>
            <w:r w:rsidRPr="00257234">
              <w:rPr>
                <w:rFonts w:ascii="Times New Roman" w:hAnsi="Times New Roman" w:cs="Times New Roman"/>
                <w:sz w:val="18"/>
                <w:lang w:val="es-ES_tradnl"/>
              </w:rPr>
              <w:t>3 112</w:t>
            </w:r>
          </w:p>
        </w:tc>
      </w:tr>
      <w:tr w:rsidR="00154216" w:rsidRPr="00257234" w14:paraId="3D86F4EB" w14:textId="77777777" w:rsidTr="00A3689F">
        <w:trPr>
          <w:trHeight w:val="240"/>
        </w:trPr>
        <w:tc>
          <w:tcPr>
            <w:tcW w:w="2117" w:type="pct"/>
            <w:shd w:val="clear" w:color="auto" w:fill="auto"/>
            <w:hideMark/>
          </w:tcPr>
          <w:p w14:paraId="6DD3DCB5" w14:textId="77777777" w:rsidR="00154216" w:rsidRPr="00257234" w:rsidRDefault="00154216" w:rsidP="00257234">
            <w:pPr>
              <w:pStyle w:val="SingleTxtG"/>
              <w:spacing w:before="40" w:after="40" w:line="220" w:lineRule="exact"/>
              <w:ind w:left="0" w:right="0"/>
              <w:jc w:val="left"/>
              <w:rPr>
                <w:rFonts w:ascii="Times New Roman" w:hAnsi="Times New Roman" w:cs="Times New Roman"/>
                <w:sz w:val="18"/>
                <w:lang w:val="es-ES_tradnl"/>
              </w:rPr>
            </w:pPr>
            <w:r w:rsidRPr="00257234">
              <w:rPr>
                <w:rFonts w:ascii="Times New Roman" w:hAnsi="Times New Roman" w:cs="Times New Roman"/>
                <w:sz w:val="18"/>
                <w:lang w:val="es-ES_tradnl"/>
              </w:rPr>
              <w:t>Número de varones</w:t>
            </w:r>
          </w:p>
        </w:tc>
        <w:tc>
          <w:tcPr>
            <w:tcW w:w="576" w:type="pct"/>
            <w:shd w:val="clear" w:color="auto" w:fill="auto"/>
            <w:vAlign w:val="bottom"/>
            <w:hideMark/>
          </w:tcPr>
          <w:p w14:paraId="73C70715" w14:textId="77777777" w:rsidR="00154216" w:rsidRPr="00257234" w:rsidRDefault="00154216" w:rsidP="00257234">
            <w:pPr>
              <w:pStyle w:val="SingleTxtG"/>
              <w:spacing w:before="40" w:after="40" w:line="220" w:lineRule="exact"/>
              <w:ind w:left="113" w:right="0"/>
              <w:jc w:val="right"/>
              <w:rPr>
                <w:rFonts w:ascii="Times New Roman" w:hAnsi="Times New Roman" w:cs="Times New Roman"/>
                <w:sz w:val="18"/>
                <w:lang w:val="es-ES_tradnl"/>
              </w:rPr>
            </w:pPr>
            <w:r w:rsidRPr="00257234">
              <w:rPr>
                <w:rFonts w:ascii="Times New Roman" w:hAnsi="Times New Roman" w:cs="Times New Roman"/>
                <w:sz w:val="18"/>
                <w:lang w:val="es-ES_tradnl"/>
              </w:rPr>
              <w:t>5 478</w:t>
            </w:r>
          </w:p>
        </w:tc>
        <w:tc>
          <w:tcPr>
            <w:tcW w:w="577" w:type="pct"/>
            <w:shd w:val="clear" w:color="auto" w:fill="auto"/>
            <w:vAlign w:val="bottom"/>
            <w:hideMark/>
          </w:tcPr>
          <w:p w14:paraId="3567B03C" w14:textId="77777777" w:rsidR="00154216" w:rsidRPr="00257234" w:rsidRDefault="00154216" w:rsidP="00257234">
            <w:pPr>
              <w:pStyle w:val="SingleTxtG"/>
              <w:spacing w:before="40" w:after="40" w:line="220" w:lineRule="exact"/>
              <w:ind w:left="113" w:right="0"/>
              <w:jc w:val="right"/>
              <w:rPr>
                <w:rFonts w:ascii="Times New Roman" w:hAnsi="Times New Roman" w:cs="Times New Roman"/>
                <w:sz w:val="18"/>
                <w:lang w:val="es-ES_tradnl"/>
              </w:rPr>
            </w:pPr>
            <w:r w:rsidRPr="00257234">
              <w:rPr>
                <w:rFonts w:ascii="Times New Roman" w:hAnsi="Times New Roman" w:cs="Times New Roman"/>
                <w:sz w:val="18"/>
                <w:lang w:val="es-ES_tradnl"/>
              </w:rPr>
              <w:t>5 637</w:t>
            </w:r>
          </w:p>
        </w:tc>
        <w:tc>
          <w:tcPr>
            <w:tcW w:w="577" w:type="pct"/>
            <w:shd w:val="clear" w:color="auto" w:fill="auto"/>
            <w:vAlign w:val="bottom"/>
            <w:hideMark/>
          </w:tcPr>
          <w:p w14:paraId="65E0AE29" w14:textId="77777777" w:rsidR="00154216" w:rsidRPr="00257234" w:rsidRDefault="00154216" w:rsidP="00257234">
            <w:pPr>
              <w:pStyle w:val="SingleTxtG"/>
              <w:spacing w:before="40" w:after="40" w:line="220" w:lineRule="exact"/>
              <w:ind w:left="113" w:right="0"/>
              <w:jc w:val="right"/>
              <w:rPr>
                <w:rFonts w:ascii="Times New Roman" w:hAnsi="Times New Roman" w:cs="Times New Roman"/>
                <w:sz w:val="18"/>
                <w:lang w:val="es-ES_tradnl"/>
              </w:rPr>
            </w:pPr>
            <w:r w:rsidRPr="00257234">
              <w:rPr>
                <w:rFonts w:ascii="Times New Roman" w:hAnsi="Times New Roman" w:cs="Times New Roman"/>
                <w:sz w:val="18"/>
                <w:lang w:val="es-ES_tradnl"/>
              </w:rPr>
              <w:t>5 788</w:t>
            </w:r>
          </w:p>
        </w:tc>
        <w:tc>
          <w:tcPr>
            <w:tcW w:w="577" w:type="pct"/>
            <w:shd w:val="clear" w:color="auto" w:fill="auto"/>
            <w:vAlign w:val="bottom"/>
            <w:hideMark/>
          </w:tcPr>
          <w:p w14:paraId="778635DB" w14:textId="77777777" w:rsidR="00154216" w:rsidRPr="00257234" w:rsidRDefault="00154216" w:rsidP="00257234">
            <w:pPr>
              <w:pStyle w:val="SingleTxtG"/>
              <w:spacing w:before="40" w:after="40" w:line="220" w:lineRule="exact"/>
              <w:ind w:left="113" w:right="0"/>
              <w:jc w:val="right"/>
              <w:rPr>
                <w:rFonts w:ascii="Times New Roman" w:hAnsi="Times New Roman" w:cs="Times New Roman"/>
                <w:sz w:val="18"/>
                <w:lang w:val="es-ES_tradnl"/>
              </w:rPr>
            </w:pPr>
            <w:r w:rsidRPr="00257234">
              <w:rPr>
                <w:rFonts w:ascii="Times New Roman" w:hAnsi="Times New Roman" w:cs="Times New Roman"/>
                <w:sz w:val="18"/>
                <w:lang w:val="es-ES_tradnl"/>
              </w:rPr>
              <w:t>6 023</w:t>
            </w:r>
          </w:p>
        </w:tc>
        <w:tc>
          <w:tcPr>
            <w:tcW w:w="577" w:type="pct"/>
            <w:shd w:val="clear" w:color="auto" w:fill="auto"/>
            <w:vAlign w:val="bottom"/>
            <w:hideMark/>
          </w:tcPr>
          <w:p w14:paraId="72CD0007" w14:textId="77777777" w:rsidR="00154216" w:rsidRPr="00257234" w:rsidRDefault="00154216" w:rsidP="00257234">
            <w:pPr>
              <w:pStyle w:val="SingleTxtG"/>
              <w:spacing w:before="40" w:after="40" w:line="220" w:lineRule="exact"/>
              <w:ind w:left="113" w:right="0"/>
              <w:jc w:val="right"/>
              <w:rPr>
                <w:rFonts w:ascii="Times New Roman" w:hAnsi="Times New Roman" w:cs="Times New Roman"/>
                <w:sz w:val="18"/>
                <w:lang w:val="es-ES_tradnl"/>
              </w:rPr>
            </w:pPr>
            <w:r w:rsidRPr="00257234">
              <w:rPr>
                <w:rFonts w:ascii="Times New Roman" w:hAnsi="Times New Roman" w:cs="Times New Roman"/>
                <w:sz w:val="18"/>
                <w:lang w:val="es-ES_tradnl"/>
              </w:rPr>
              <w:t>6 265</w:t>
            </w:r>
          </w:p>
        </w:tc>
      </w:tr>
      <w:tr w:rsidR="00154216" w:rsidRPr="00257234" w14:paraId="470F1CAE" w14:textId="77777777" w:rsidTr="00A3689F">
        <w:trPr>
          <w:trHeight w:val="240"/>
        </w:trPr>
        <w:tc>
          <w:tcPr>
            <w:tcW w:w="2117" w:type="pct"/>
            <w:shd w:val="clear" w:color="auto" w:fill="auto"/>
            <w:hideMark/>
          </w:tcPr>
          <w:p w14:paraId="7D6EB641" w14:textId="77777777" w:rsidR="00154216" w:rsidRPr="00257234" w:rsidRDefault="00154216" w:rsidP="00257234">
            <w:pPr>
              <w:pStyle w:val="SingleTxtG"/>
              <w:spacing w:before="40" w:after="40" w:line="220" w:lineRule="exact"/>
              <w:ind w:left="0" w:right="0"/>
              <w:jc w:val="left"/>
              <w:rPr>
                <w:rFonts w:ascii="Times New Roman" w:hAnsi="Times New Roman" w:cs="Times New Roman"/>
                <w:sz w:val="18"/>
                <w:lang w:val="es-ES_tradnl"/>
              </w:rPr>
            </w:pPr>
            <w:r w:rsidRPr="00257234">
              <w:rPr>
                <w:rFonts w:ascii="Times New Roman" w:hAnsi="Times New Roman" w:cs="Times New Roman"/>
                <w:sz w:val="18"/>
                <w:lang w:val="es-ES_tradnl"/>
              </w:rPr>
              <w:t>Número de personas maoríes</w:t>
            </w:r>
          </w:p>
        </w:tc>
        <w:tc>
          <w:tcPr>
            <w:tcW w:w="576" w:type="pct"/>
            <w:shd w:val="clear" w:color="auto" w:fill="auto"/>
            <w:vAlign w:val="bottom"/>
            <w:hideMark/>
          </w:tcPr>
          <w:p w14:paraId="1B52E87B" w14:textId="77777777" w:rsidR="00154216" w:rsidRPr="00257234" w:rsidRDefault="00154216" w:rsidP="00257234">
            <w:pPr>
              <w:pStyle w:val="SingleTxtG"/>
              <w:spacing w:before="40" w:after="40" w:line="220" w:lineRule="exact"/>
              <w:ind w:left="113" w:right="0"/>
              <w:jc w:val="right"/>
              <w:rPr>
                <w:rFonts w:ascii="Times New Roman" w:hAnsi="Times New Roman" w:cs="Times New Roman"/>
                <w:sz w:val="18"/>
                <w:lang w:val="es-ES_tradnl"/>
              </w:rPr>
            </w:pPr>
            <w:r w:rsidRPr="00257234">
              <w:rPr>
                <w:rFonts w:ascii="Times New Roman" w:hAnsi="Times New Roman" w:cs="Times New Roman"/>
                <w:sz w:val="18"/>
                <w:lang w:val="es-ES_tradnl"/>
              </w:rPr>
              <w:t>1 819</w:t>
            </w:r>
          </w:p>
        </w:tc>
        <w:tc>
          <w:tcPr>
            <w:tcW w:w="577" w:type="pct"/>
            <w:shd w:val="clear" w:color="auto" w:fill="auto"/>
            <w:vAlign w:val="bottom"/>
            <w:hideMark/>
          </w:tcPr>
          <w:p w14:paraId="56AD7CBE" w14:textId="77777777" w:rsidR="00154216" w:rsidRPr="00257234" w:rsidRDefault="00154216" w:rsidP="00257234">
            <w:pPr>
              <w:pStyle w:val="SingleTxtG"/>
              <w:spacing w:before="40" w:after="40" w:line="220" w:lineRule="exact"/>
              <w:ind w:left="113" w:right="0"/>
              <w:jc w:val="right"/>
              <w:rPr>
                <w:rFonts w:ascii="Times New Roman" w:hAnsi="Times New Roman" w:cs="Times New Roman"/>
                <w:sz w:val="18"/>
                <w:lang w:val="es-ES_tradnl"/>
              </w:rPr>
            </w:pPr>
            <w:r w:rsidRPr="00257234">
              <w:rPr>
                <w:rFonts w:ascii="Times New Roman" w:hAnsi="Times New Roman" w:cs="Times New Roman"/>
                <w:sz w:val="18"/>
                <w:lang w:val="es-ES_tradnl"/>
              </w:rPr>
              <w:t>1 878</w:t>
            </w:r>
          </w:p>
        </w:tc>
        <w:tc>
          <w:tcPr>
            <w:tcW w:w="577" w:type="pct"/>
            <w:shd w:val="clear" w:color="auto" w:fill="auto"/>
            <w:vAlign w:val="bottom"/>
            <w:hideMark/>
          </w:tcPr>
          <w:p w14:paraId="5897587E" w14:textId="77777777" w:rsidR="00154216" w:rsidRPr="00257234" w:rsidRDefault="00154216" w:rsidP="00257234">
            <w:pPr>
              <w:pStyle w:val="SingleTxtG"/>
              <w:spacing w:before="40" w:after="40" w:line="220" w:lineRule="exact"/>
              <w:ind w:left="113" w:right="0"/>
              <w:jc w:val="right"/>
              <w:rPr>
                <w:rFonts w:ascii="Times New Roman" w:hAnsi="Times New Roman" w:cs="Times New Roman"/>
                <w:sz w:val="18"/>
                <w:lang w:val="es-ES_tradnl"/>
              </w:rPr>
            </w:pPr>
            <w:r w:rsidRPr="00257234">
              <w:rPr>
                <w:rFonts w:ascii="Times New Roman" w:hAnsi="Times New Roman" w:cs="Times New Roman"/>
                <w:sz w:val="18"/>
                <w:lang w:val="es-ES_tradnl"/>
              </w:rPr>
              <w:t>1 962</w:t>
            </w:r>
          </w:p>
        </w:tc>
        <w:tc>
          <w:tcPr>
            <w:tcW w:w="577" w:type="pct"/>
            <w:shd w:val="clear" w:color="auto" w:fill="auto"/>
            <w:vAlign w:val="bottom"/>
            <w:hideMark/>
          </w:tcPr>
          <w:p w14:paraId="412AC0F3" w14:textId="77777777" w:rsidR="00154216" w:rsidRPr="00257234" w:rsidRDefault="00154216" w:rsidP="00257234">
            <w:pPr>
              <w:pStyle w:val="SingleTxtG"/>
              <w:spacing w:before="40" w:after="40" w:line="220" w:lineRule="exact"/>
              <w:ind w:left="113" w:right="0"/>
              <w:jc w:val="right"/>
              <w:rPr>
                <w:rFonts w:ascii="Times New Roman" w:hAnsi="Times New Roman" w:cs="Times New Roman"/>
                <w:sz w:val="18"/>
                <w:lang w:val="es-ES_tradnl"/>
              </w:rPr>
            </w:pPr>
            <w:r w:rsidRPr="00257234">
              <w:rPr>
                <w:rFonts w:ascii="Times New Roman" w:hAnsi="Times New Roman" w:cs="Times New Roman"/>
                <w:sz w:val="18"/>
                <w:lang w:val="es-ES_tradnl"/>
              </w:rPr>
              <w:t>2 079</w:t>
            </w:r>
          </w:p>
        </w:tc>
        <w:tc>
          <w:tcPr>
            <w:tcW w:w="577" w:type="pct"/>
            <w:shd w:val="clear" w:color="auto" w:fill="auto"/>
            <w:vAlign w:val="bottom"/>
            <w:hideMark/>
          </w:tcPr>
          <w:p w14:paraId="203908B0" w14:textId="77777777" w:rsidR="00154216" w:rsidRPr="00257234" w:rsidRDefault="00154216" w:rsidP="00257234">
            <w:pPr>
              <w:pStyle w:val="SingleTxtG"/>
              <w:spacing w:before="40" w:after="40" w:line="220" w:lineRule="exact"/>
              <w:ind w:left="113" w:right="0"/>
              <w:jc w:val="right"/>
              <w:rPr>
                <w:rFonts w:ascii="Times New Roman" w:hAnsi="Times New Roman" w:cs="Times New Roman"/>
                <w:sz w:val="18"/>
                <w:lang w:val="es-ES_tradnl"/>
              </w:rPr>
            </w:pPr>
            <w:r w:rsidRPr="00257234">
              <w:rPr>
                <w:rFonts w:ascii="Times New Roman" w:hAnsi="Times New Roman" w:cs="Times New Roman"/>
                <w:sz w:val="18"/>
                <w:lang w:val="es-ES_tradnl"/>
              </w:rPr>
              <w:t>2 188</w:t>
            </w:r>
          </w:p>
        </w:tc>
      </w:tr>
      <w:tr w:rsidR="00154216" w:rsidRPr="00257234" w14:paraId="2BF06CF6" w14:textId="77777777" w:rsidTr="00A3689F">
        <w:trPr>
          <w:trHeight w:val="240"/>
        </w:trPr>
        <w:tc>
          <w:tcPr>
            <w:tcW w:w="2117" w:type="pct"/>
            <w:tcBorders>
              <w:bottom w:val="single" w:sz="12" w:space="0" w:color="auto"/>
            </w:tcBorders>
            <w:shd w:val="clear" w:color="auto" w:fill="auto"/>
            <w:hideMark/>
          </w:tcPr>
          <w:p w14:paraId="29CC29C3" w14:textId="77777777" w:rsidR="00154216" w:rsidRPr="00257234" w:rsidRDefault="00154216" w:rsidP="00257234">
            <w:pPr>
              <w:pStyle w:val="SingleTxtG"/>
              <w:spacing w:before="40" w:after="40" w:line="220" w:lineRule="exact"/>
              <w:ind w:left="0" w:right="0"/>
              <w:jc w:val="left"/>
              <w:rPr>
                <w:rFonts w:ascii="Times New Roman" w:hAnsi="Times New Roman" w:cs="Times New Roman"/>
                <w:sz w:val="18"/>
                <w:lang w:val="es-ES_tradnl"/>
              </w:rPr>
            </w:pPr>
            <w:r w:rsidRPr="00257234">
              <w:rPr>
                <w:rFonts w:ascii="Times New Roman" w:hAnsi="Times New Roman" w:cs="Times New Roman"/>
                <w:sz w:val="18"/>
                <w:lang w:val="es-ES_tradnl"/>
              </w:rPr>
              <w:t>Número de personas del Pacífico</w:t>
            </w:r>
          </w:p>
        </w:tc>
        <w:tc>
          <w:tcPr>
            <w:tcW w:w="576" w:type="pct"/>
            <w:tcBorders>
              <w:bottom w:val="single" w:sz="12" w:space="0" w:color="auto"/>
            </w:tcBorders>
            <w:shd w:val="clear" w:color="auto" w:fill="auto"/>
            <w:vAlign w:val="bottom"/>
            <w:hideMark/>
          </w:tcPr>
          <w:p w14:paraId="186ADC8F" w14:textId="77777777" w:rsidR="00154216" w:rsidRPr="00257234" w:rsidRDefault="00154216" w:rsidP="00257234">
            <w:pPr>
              <w:pStyle w:val="SingleTxtG"/>
              <w:spacing w:before="40" w:after="40" w:line="220" w:lineRule="exact"/>
              <w:ind w:left="113" w:right="0"/>
              <w:jc w:val="right"/>
              <w:rPr>
                <w:rFonts w:ascii="Times New Roman" w:hAnsi="Times New Roman" w:cs="Times New Roman"/>
                <w:sz w:val="18"/>
                <w:lang w:val="es-ES_tradnl"/>
              </w:rPr>
            </w:pPr>
            <w:r w:rsidRPr="00257234">
              <w:rPr>
                <w:rFonts w:ascii="Times New Roman" w:hAnsi="Times New Roman" w:cs="Times New Roman"/>
                <w:sz w:val="18"/>
                <w:lang w:val="es-ES_tradnl"/>
              </w:rPr>
              <w:t>830</w:t>
            </w:r>
          </w:p>
        </w:tc>
        <w:tc>
          <w:tcPr>
            <w:tcW w:w="577" w:type="pct"/>
            <w:tcBorders>
              <w:bottom w:val="single" w:sz="12" w:space="0" w:color="auto"/>
            </w:tcBorders>
            <w:shd w:val="clear" w:color="auto" w:fill="auto"/>
            <w:vAlign w:val="bottom"/>
            <w:hideMark/>
          </w:tcPr>
          <w:p w14:paraId="569C0EB3" w14:textId="77777777" w:rsidR="00154216" w:rsidRPr="00257234" w:rsidRDefault="00154216" w:rsidP="00257234">
            <w:pPr>
              <w:pStyle w:val="SingleTxtG"/>
              <w:spacing w:before="40" w:after="40" w:line="220" w:lineRule="exact"/>
              <w:ind w:left="113" w:right="0"/>
              <w:jc w:val="right"/>
              <w:rPr>
                <w:rFonts w:ascii="Times New Roman" w:hAnsi="Times New Roman" w:cs="Times New Roman"/>
                <w:sz w:val="18"/>
                <w:lang w:val="es-ES_tradnl"/>
              </w:rPr>
            </w:pPr>
            <w:r w:rsidRPr="00257234">
              <w:rPr>
                <w:rFonts w:ascii="Times New Roman" w:hAnsi="Times New Roman" w:cs="Times New Roman"/>
                <w:sz w:val="18"/>
                <w:lang w:val="es-ES_tradnl"/>
              </w:rPr>
              <w:t>878</w:t>
            </w:r>
          </w:p>
        </w:tc>
        <w:tc>
          <w:tcPr>
            <w:tcW w:w="577" w:type="pct"/>
            <w:tcBorders>
              <w:bottom w:val="single" w:sz="12" w:space="0" w:color="auto"/>
            </w:tcBorders>
            <w:shd w:val="clear" w:color="auto" w:fill="auto"/>
            <w:vAlign w:val="bottom"/>
            <w:hideMark/>
          </w:tcPr>
          <w:p w14:paraId="3BECBE12" w14:textId="77777777" w:rsidR="00154216" w:rsidRPr="00257234" w:rsidRDefault="00154216" w:rsidP="00257234">
            <w:pPr>
              <w:pStyle w:val="SingleTxtG"/>
              <w:spacing w:before="40" w:after="40" w:line="220" w:lineRule="exact"/>
              <w:ind w:left="113" w:right="0"/>
              <w:jc w:val="right"/>
              <w:rPr>
                <w:rFonts w:ascii="Times New Roman" w:hAnsi="Times New Roman" w:cs="Times New Roman"/>
                <w:sz w:val="18"/>
                <w:lang w:val="es-ES_tradnl"/>
              </w:rPr>
            </w:pPr>
            <w:r w:rsidRPr="00257234">
              <w:rPr>
                <w:rFonts w:ascii="Times New Roman" w:hAnsi="Times New Roman" w:cs="Times New Roman"/>
                <w:sz w:val="18"/>
                <w:lang w:val="es-ES_tradnl"/>
              </w:rPr>
              <w:t>919</w:t>
            </w:r>
          </w:p>
        </w:tc>
        <w:tc>
          <w:tcPr>
            <w:tcW w:w="577" w:type="pct"/>
            <w:tcBorders>
              <w:bottom w:val="single" w:sz="12" w:space="0" w:color="auto"/>
            </w:tcBorders>
            <w:shd w:val="clear" w:color="auto" w:fill="auto"/>
            <w:vAlign w:val="bottom"/>
            <w:hideMark/>
          </w:tcPr>
          <w:p w14:paraId="0444989A" w14:textId="77777777" w:rsidR="00154216" w:rsidRPr="00257234" w:rsidRDefault="00154216" w:rsidP="00257234">
            <w:pPr>
              <w:pStyle w:val="SingleTxtG"/>
              <w:spacing w:before="40" w:after="40" w:line="220" w:lineRule="exact"/>
              <w:ind w:left="113" w:right="0"/>
              <w:jc w:val="right"/>
              <w:rPr>
                <w:rFonts w:ascii="Times New Roman" w:hAnsi="Times New Roman" w:cs="Times New Roman"/>
                <w:sz w:val="18"/>
                <w:lang w:val="es-ES_tradnl"/>
              </w:rPr>
            </w:pPr>
            <w:r w:rsidRPr="00257234">
              <w:rPr>
                <w:rFonts w:ascii="Times New Roman" w:hAnsi="Times New Roman" w:cs="Times New Roman"/>
                <w:sz w:val="18"/>
                <w:lang w:val="es-ES_tradnl"/>
              </w:rPr>
              <w:t>955</w:t>
            </w:r>
          </w:p>
        </w:tc>
        <w:tc>
          <w:tcPr>
            <w:tcW w:w="577" w:type="pct"/>
            <w:tcBorders>
              <w:bottom w:val="single" w:sz="12" w:space="0" w:color="auto"/>
            </w:tcBorders>
            <w:shd w:val="clear" w:color="auto" w:fill="auto"/>
            <w:vAlign w:val="bottom"/>
            <w:hideMark/>
          </w:tcPr>
          <w:p w14:paraId="569EFA2D" w14:textId="77777777" w:rsidR="00154216" w:rsidRPr="00257234" w:rsidRDefault="00154216" w:rsidP="00257234">
            <w:pPr>
              <w:pStyle w:val="SingleTxtG"/>
              <w:spacing w:before="40" w:after="40" w:line="220" w:lineRule="exact"/>
              <w:ind w:left="113" w:right="0"/>
              <w:jc w:val="right"/>
              <w:rPr>
                <w:rFonts w:ascii="Times New Roman" w:hAnsi="Times New Roman" w:cs="Times New Roman"/>
                <w:sz w:val="18"/>
                <w:lang w:val="es-ES_tradnl"/>
              </w:rPr>
            </w:pPr>
            <w:r w:rsidRPr="00257234">
              <w:rPr>
                <w:rFonts w:ascii="Times New Roman" w:hAnsi="Times New Roman" w:cs="Times New Roman"/>
                <w:sz w:val="18"/>
                <w:lang w:val="es-ES_tradnl"/>
              </w:rPr>
              <w:t>1 011</w:t>
            </w:r>
          </w:p>
        </w:tc>
      </w:tr>
    </w:tbl>
    <w:p w14:paraId="4190E053" w14:textId="77777777" w:rsidR="00154216" w:rsidRPr="00154216" w:rsidRDefault="00154216" w:rsidP="00257234">
      <w:pPr>
        <w:pStyle w:val="SingleTxtG"/>
        <w:spacing w:before="240"/>
        <w:rPr>
          <w:lang w:val="es-ES_tradnl"/>
        </w:rPr>
      </w:pPr>
      <w:r w:rsidRPr="00154216">
        <w:rPr>
          <w:lang w:val="es-ES_tradnl"/>
        </w:rPr>
        <w:t>292.</w:t>
      </w:r>
      <w:r w:rsidRPr="00154216">
        <w:rPr>
          <w:lang w:val="es-ES_tradnl"/>
        </w:rPr>
        <w:tab/>
        <w:t xml:space="preserve">Los </w:t>
      </w:r>
      <w:proofErr w:type="spellStart"/>
      <w:r w:rsidRPr="00154216">
        <w:rPr>
          <w:lang w:val="es-ES_tradnl"/>
        </w:rPr>
        <w:t>kaitakawaenga</w:t>
      </w:r>
      <w:proofErr w:type="spellEnd"/>
      <w:r w:rsidRPr="00154216">
        <w:rPr>
          <w:rStyle w:val="Refdenotaalfinal"/>
          <w:lang w:val="es-ES_tradnl"/>
        </w:rPr>
        <w:endnoteReference w:id="185"/>
      </w:r>
      <w:r w:rsidRPr="00154216">
        <w:rPr>
          <w:rStyle w:val="Refdenotaalfinal"/>
          <w:lang w:val="es-ES_tradnl"/>
        </w:rPr>
        <w:t xml:space="preserve"> </w:t>
      </w:r>
      <w:r w:rsidRPr="00154216">
        <w:rPr>
          <w:lang w:val="es-ES_tradnl"/>
        </w:rPr>
        <w:t xml:space="preserve">(mediadores) prestan apoyo cultural e identifican y eliminan las barreras al aprendizaje de los maoríes que tienen necesidades adicionales de apoyo en este ámbito. Los </w:t>
      </w:r>
      <w:proofErr w:type="spellStart"/>
      <w:r w:rsidRPr="00154216">
        <w:rPr>
          <w:lang w:val="es-ES_tradnl"/>
        </w:rPr>
        <w:t>kaitakawaenga</w:t>
      </w:r>
      <w:proofErr w:type="spellEnd"/>
      <w:r w:rsidRPr="00154216">
        <w:rPr>
          <w:lang w:val="es-ES_tradnl"/>
        </w:rPr>
        <w:t xml:space="preserve"> trabajan con los </w:t>
      </w:r>
      <w:proofErr w:type="spellStart"/>
      <w:r w:rsidRPr="00154216">
        <w:rPr>
          <w:lang w:val="es-ES_tradnl"/>
        </w:rPr>
        <w:t>tamariki</w:t>
      </w:r>
      <w:proofErr w:type="spellEnd"/>
      <w:r w:rsidRPr="00154216">
        <w:rPr>
          <w:rStyle w:val="Refdenotaalfinal"/>
          <w:lang w:val="es-ES_tradnl"/>
        </w:rPr>
        <w:endnoteReference w:id="186"/>
      </w:r>
      <w:r w:rsidRPr="00154216">
        <w:rPr>
          <w:rStyle w:val="Refdenotaalfinal"/>
          <w:lang w:val="es-ES_tradnl"/>
        </w:rPr>
        <w:t xml:space="preserve"> </w:t>
      </w:r>
      <w:r w:rsidRPr="00154216">
        <w:rPr>
          <w:lang w:val="es-ES_tradnl"/>
        </w:rPr>
        <w:t xml:space="preserve">maoríes, sus </w:t>
      </w:r>
      <w:proofErr w:type="spellStart"/>
      <w:r w:rsidRPr="00154216">
        <w:rPr>
          <w:lang w:val="es-ES_tradnl"/>
        </w:rPr>
        <w:t>whānau</w:t>
      </w:r>
      <w:proofErr w:type="spellEnd"/>
      <w:r w:rsidRPr="00154216">
        <w:rPr>
          <w:rStyle w:val="Refdenotaalfinal"/>
          <w:lang w:val="es-ES_tradnl"/>
        </w:rPr>
        <w:endnoteReference w:id="187"/>
      </w:r>
      <w:r w:rsidR="00257234">
        <w:rPr>
          <w:lang w:val="es-ES_tradnl"/>
        </w:rPr>
        <w:t>,</w:t>
      </w:r>
      <w:r w:rsidRPr="00154216">
        <w:rPr>
          <w:lang w:val="es-ES_tradnl"/>
        </w:rPr>
        <w:t xml:space="preserve"> </w:t>
      </w:r>
      <w:proofErr w:type="spellStart"/>
      <w:r w:rsidRPr="00154216">
        <w:rPr>
          <w:lang w:val="es-ES_tradnl"/>
        </w:rPr>
        <w:t>hapū</w:t>
      </w:r>
      <w:proofErr w:type="spellEnd"/>
      <w:r w:rsidRPr="00154216">
        <w:rPr>
          <w:rStyle w:val="Refdenotaalfinal"/>
          <w:lang w:val="es-ES_tradnl"/>
        </w:rPr>
        <w:endnoteReference w:id="188"/>
      </w:r>
      <w:r w:rsidR="00257234">
        <w:rPr>
          <w:lang w:val="es-ES_tradnl"/>
        </w:rPr>
        <w:t>,</w:t>
      </w:r>
      <w:r w:rsidRPr="00154216">
        <w:rPr>
          <w:lang w:val="es-ES_tradnl"/>
        </w:rPr>
        <w:t xml:space="preserve"> </w:t>
      </w:r>
      <w:proofErr w:type="spellStart"/>
      <w:r w:rsidRPr="00154216">
        <w:rPr>
          <w:lang w:val="es-ES_tradnl"/>
        </w:rPr>
        <w:t>iwi</w:t>
      </w:r>
      <w:proofErr w:type="spellEnd"/>
      <w:r w:rsidRPr="00154216">
        <w:rPr>
          <w:rStyle w:val="Refdenotaalfinal"/>
          <w:lang w:val="es-ES_tradnl"/>
        </w:rPr>
        <w:endnoteReference w:id="189"/>
      </w:r>
      <w:r w:rsidR="00257234">
        <w:rPr>
          <w:lang w:val="es-ES_tradnl"/>
        </w:rPr>
        <w:t>,</w:t>
      </w:r>
      <w:r w:rsidRPr="00154216">
        <w:rPr>
          <w:lang w:val="es-ES_tradnl"/>
        </w:rPr>
        <w:t xml:space="preserve"> los centros de enseñanza y el personal del Ministerio de Educación.</w:t>
      </w:r>
    </w:p>
    <w:p w14:paraId="6DFAAA83" w14:textId="77777777" w:rsidR="00154216" w:rsidRPr="00154216" w:rsidRDefault="00154216" w:rsidP="00154216">
      <w:pPr>
        <w:pStyle w:val="SingleTxtG"/>
        <w:rPr>
          <w:lang w:val="es-ES_tradnl"/>
        </w:rPr>
      </w:pPr>
      <w:r w:rsidRPr="00154216">
        <w:rPr>
          <w:lang w:val="es-ES_tradnl"/>
        </w:rPr>
        <w:t>293.</w:t>
      </w:r>
      <w:r w:rsidRPr="00154216">
        <w:rPr>
          <w:lang w:val="es-ES_tradnl"/>
        </w:rPr>
        <w:tab/>
        <w:t xml:space="preserve">No disponemos de datos sobre los niños en situaciones de vulnerabilidad. </w:t>
      </w:r>
    </w:p>
    <w:p w14:paraId="446C660A" w14:textId="77777777" w:rsidR="00154216" w:rsidRPr="00154216" w:rsidRDefault="00154216" w:rsidP="00154216">
      <w:pPr>
        <w:pStyle w:val="SingleTxtG"/>
        <w:rPr>
          <w:lang w:val="es-ES_tradnl"/>
        </w:rPr>
      </w:pPr>
      <w:r w:rsidRPr="00154216">
        <w:rPr>
          <w:lang w:val="es-ES_tradnl"/>
        </w:rPr>
        <w:t>294.</w:t>
      </w:r>
      <w:r w:rsidRPr="00154216">
        <w:rPr>
          <w:lang w:val="es-ES_tradnl"/>
        </w:rPr>
        <w:tab/>
        <w:t xml:space="preserve">El Gobierno está celebrando consultas sobre propuestas de modificación del sistema de enseñanza y formación profesional. El Gobierno aspira a un sistema de educación de gran calidad, prestigioso e incluyente que propicie el logro de resultados en el plano social, entre otros. Uno de los objetivos de esta revisión es </w:t>
      </w:r>
      <w:r>
        <w:rPr>
          <w:lang w:val="es-ES_tradnl"/>
        </w:rPr>
        <w:t>“</w:t>
      </w:r>
      <w:r w:rsidRPr="00154216">
        <w:rPr>
          <w:lang w:val="es-ES_tradnl"/>
        </w:rPr>
        <w:t>contar con un sistema que sea eficaz para un variado espectro de alumnos</w:t>
      </w:r>
      <w:r>
        <w:rPr>
          <w:lang w:val="es-ES_tradnl"/>
        </w:rPr>
        <w:t>”</w:t>
      </w:r>
      <w:r w:rsidRPr="00154216">
        <w:rPr>
          <w:lang w:val="es-ES_tradnl"/>
        </w:rPr>
        <w:t>, comprendidos los estudiantes con discapacidad y los estudiantes con necesidades adicionales de apoyo al aprendizaje.</w:t>
      </w:r>
    </w:p>
    <w:p w14:paraId="0D93709E" w14:textId="77777777" w:rsidR="00154216" w:rsidRPr="00154216" w:rsidRDefault="00154216" w:rsidP="00257234">
      <w:pPr>
        <w:pStyle w:val="H23G"/>
        <w:rPr>
          <w:lang w:val="es-ES_tradnl"/>
        </w:rPr>
      </w:pPr>
      <w:r w:rsidRPr="00154216">
        <w:rPr>
          <w:lang w:val="es-ES_tradnl"/>
        </w:rPr>
        <w:tab/>
      </w:r>
      <w:r w:rsidRPr="00154216">
        <w:rPr>
          <w:lang w:val="es-ES_tradnl"/>
        </w:rPr>
        <w:tab/>
        <w:t xml:space="preserve">Respuesta al párrafo 23 a)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 xml:space="preserve">/2-3 </w:t>
      </w:r>
    </w:p>
    <w:p w14:paraId="6C540ED9" w14:textId="77777777" w:rsidR="00154216" w:rsidRPr="00154216" w:rsidRDefault="00154216" w:rsidP="00154216">
      <w:pPr>
        <w:pStyle w:val="SingleTxtG"/>
        <w:rPr>
          <w:lang w:val="es-ES_tradnl"/>
        </w:rPr>
      </w:pPr>
      <w:r w:rsidRPr="00154216">
        <w:rPr>
          <w:lang w:val="es-ES_tradnl"/>
        </w:rPr>
        <w:t>295.</w:t>
      </w:r>
      <w:r w:rsidRPr="00154216">
        <w:rPr>
          <w:lang w:val="es-ES_tradnl"/>
        </w:rPr>
        <w:tab/>
        <w:t>El resultado 3 previsto en la Estrategia sobre la Discapacidad, relativo a la mejora de la salud y el bienestar, exige que las personas con discapacidad gocen del más alto nivel posible de salud y bienestar</w:t>
      </w:r>
      <w:r w:rsidRPr="00154216">
        <w:rPr>
          <w:rStyle w:val="Refdenotaalfinal"/>
          <w:lang w:val="es-ES_tradnl"/>
        </w:rPr>
        <w:endnoteReference w:id="190"/>
      </w:r>
      <w:r w:rsidR="00257234">
        <w:rPr>
          <w:lang w:val="es-ES_tradnl"/>
        </w:rPr>
        <w:t>.</w:t>
      </w:r>
      <w:r w:rsidRPr="00154216">
        <w:rPr>
          <w:rStyle w:val="Refdenotaalfinal"/>
          <w:lang w:val="es-ES_tradnl"/>
        </w:rPr>
        <w:t xml:space="preserve"> </w:t>
      </w:r>
      <w:r w:rsidRPr="00154216">
        <w:rPr>
          <w:lang w:val="es-ES_tradnl"/>
        </w:rPr>
        <w:t>Para lograr el resultado 3 es fundamental evitar que las personas con discapacidad tropiecen con obstáculos para acceder a los servicios de salud generales a raíz de sus impedimentos. Deben tomarse en consideración las necesidades que tienen las personas en razón de una discapacidad, incluso la de que la información sobre los servicios de salud esté disponible en formatos accesibles.</w:t>
      </w:r>
    </w:p>
    <w:p w14:paraId="6FCA9689" w14:textId="77777777" w:rsidR="00154216" w:rsidRPr="00154216" w:rsidRDefault="00154216" w:rsidP="00154216">
      <w:pPr>
        <w:pStyle w:val="SingleTxtG"/>
        <w:rPr>
          <w:lang w:val="es-ES_tradnl"/>
        </w:rPr>
      </w:pPr>
      <w:r w:rsidRPr="00154216">
        <w:rPr>
          <w:lang w:val="es-ES_tradnl"/>
        </w:rPr>
        <w:t>296.</w:t>
      </w:r>
      <w:r w:rsidRPr="00154216">
        <w:rPr>
          <w:lang w:val="es-ES_tradnl"/>
        </w:rPr>
        <w:tab/>
        <w:t>La medida 9 c) del Plan de Acción sobre la Discapacidad para 2014</w:t>
      </w:r>
      <w:r w:rsidR="00257234">
        <w:rPr>
          <w:lang w:val="es-ES_tradnl"/>
        </w:rPr>
        <w:t>-</w:t>
      </w:r>
      <w:r w:rsidRPr="00154216">
        <w:rPr>
          <w:lang w:val="es-ES_tradnl"/>
        </w:rPr>
        <w:t>2018 tiene por objeto mejorar el acceso de las personas con discapacidad de aprendizaje o intelectual a los servicios de salud. Los ministros han sido asesorados con propuestas de medidas para mejorar los resultados en el plano de la salud y el acceso a los servicios de las personas con discapacidad intelectual o de aprendizaje (véase la pregunta 5 f)). Esta labor se ha nutrido de la información aportada por las personas con discapacidad y la investigación</w:t>
      </w:r>
      <w:r w:rsidRPr="00154216">
        <w:rPr>
          <w:rStyle w:val="Refdenotaalfinal"/>
          <w:lang w:val="es-ES_tradnl"/>
        </w:rPr>
        <w:endnoteReference w:id="191"/>
      </w:r>
      <w:r w:rsidR="00257234">
        <w:rPr>
          <w:lang w:val="es-ES_tradnl"/>
        </w:rPr>
        <w:t>.</w:t>
      </w:r>
      <w:r w:rsidRPr="00154216">
        <w:rPr>
          <w:rStyle w:val="Refdenotaalfinal"/>
          <w:lang w:val="es-ES_tradnl"/>
        </w:rPr>
        <w:t xml:space="preserve"> </w:t>
      </w:r>
    </w:p>
    <w:p w14:paraId="49FE01C7" w14:textId="77777777" w:rsidR="00154216" w:rsidRPr="00154216" w:rsidRDefault="00154216" w:rsidP="00257234">
      <w:pPr>
        <w:pStyle w:val="H23G"/>
        <w:rPr>
          <w:lang w:val="es-ES_tradnl"/>
        </w:rPr>
      </w:pPr>
      <w:r w:rsidRPr="00154216">
        <w:rPr>
          <w:lang w:val="es-ES_tradnl"/>
        </w:rPr>
        <w:tab/>
      </w:r>
      <w:r w:rsidRPr="00154216">
        <w:rPr>
          <w:lang w:val="es-ES_tradnl"/>
        </w:rPr>
        <w:tab/>
        <w:t xml:space="preserve">Respuesta al párrafo 23 b)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 xml:space="preserve">/2-3 </w:t>
      </w:r>
    </w:p>
    <w:p w14:paraId="3096FA73" w14:textId="77777777" w:rsidR="00154216" w:rsidRPr="00154216" w:rsidRDefault="00154216" w:rsidP="00154216">
      <w:pPr>
        <w:pStyle w:val="SingleTxtG"/>
        <w:rPr>
          <w:lang w:val="es-ES_tradnl"/>
        </w:rPr>
      </w:pPr>
      <w:r w:rsidRPr="00154216">
        <w:rPr>
          <w:lang w:val="es-ES_tradnl"/>
        </w:rPr>
        <w:t>297.</w:t>
      </w:r>
      <w:r w:rsidRPr="00154216">
        <w:rPr>
          <w:lang w:val="es-ES_tradnl"/>
        </w:rPr>
        <w:tab/>
        <w:t>Las desigualdades sanitarias afectan a los maoríes en mayor medida que a otros grupos. El Gobierno debe concentrarse en mejorar las condiciones de salud de los maoríes y abordar las desigualdades. Las siguientes son medidas que tiene en marcha el Ministerio de Salud al respecto:</w:t>
      </w:r>
    </w:p>
    <w:p w14:paraId="2B12C85F" w14:textId="77777777" w:rsidR="00154216" w:rsidRPr="00154216" w:rsidRDefault="00154216" w:rsidP="00EA3A0D">
      <w:pPr>
        <w:pStyle w:val="Bullet1G"/>
        <w:rPr>
          <w:rStyle w:val="Refdenotaalfinal"/>
          <w:lang w:val="es-ES_tradnl"/>
        </w:rPr>
      </w:pPr>
      <w:r w:rsidRPr="00154216">
        <w:rPr>
          <w:lang w:val="es-ES_tradnl"/>
        </w:rPr>
        <w:lastRenderedPageBreak/>
        <w:t xml:space="preserve">La elaboración en 2019 de un Plan de Acción en materia de Salud de los Maoríes en aplicación de la estrategia He </w:t>
      </w:r>
      <w:proofErr w:type="spellStart"/>
      <w:r w:rsidRPr="00154216">
        <w:rPr>
          <w:lang w:val="es-ES_tradnl"/>
        </w:rPr>
        <w:t>Korowai</w:t>
      </w:r>
      <w:proofErr w:type="spellEnd"/>
      <w:r w:rsidRPr="00154216">
        <w:rPr>
          <w:lang w:val="es-ES_tradnl"/>
        </w:rPr>
        <w:t xml:space="preserve"> </w:t>
      </w:r>
      <w:proofErr w:type="spellStart"/>
      <w:r w:rsidRPr="00154216">
        <w:rPr>
          <w:lang w:val="es-ES_tradnl"/>
        </w:rPr>
        <w:t>Oranga</w:t>
      </w:r>
      <w:proofErr w:type="spellEnd"/>
      <w:r w:rsidRPr="00154216">
        <w:rPr>
          <w:rStyle w:val="Refdenotaalfinal"/>
          <w:lang w:val="es-ES_tradnl"/>
        </w:rPr>
        <w:endnoteReference w:id="192"/>
      </w:r>
      <w:r w:rsidRPr="00154216">
        <w:rPr>
          <w:rStyle w:val="Refdenotaalfinal"/>
          <w:lang w:val="es-ES_tradnl"/>
        </w:rPr>
        <w:t xml:space="preserve"> </w:t>
      </w:r>
      <w:r w:rsidRPr="00154216">
        <w:rPr>
          <w:lang w:val="es-ES_tradnl"/>
        </w:rPr>
        <w:t>de salud de la población maorí</w:t>
      </w:r>
      <w:r w:rsidRPr="00154216">
        <w:rPr>
          <w:rStyle w:val="Refdenotaalfinal"/>
          <w:lang w:val="es-ES_tradnl"/>
        </w:rPr>
        <w:endnoteReference w:id="193"/>
      </w:r>
      <w:r w:rsidR="00EA3A0D">
        <w:rPr>
          <w:lang w:val="es-ES_tradnl"/>
        </w:rPr>
        <w:t>.</w:t>
      </w:r>
    </w:p>
    <w:p w14:paraId="0A9DC001" w14:textId="77777777" w:rsidR="00154216" w:rsidRPr="00154216" w:rsidRDefault="00154216" w:rsidP="00EA3A0D">
      <w:pPr>
        <w:pStyle w:val="Bullet1G"/>
        <w:rPr>
          <w:lang w:val="es-ES_tradnl"/>
        </w:rPr>
      </w:pPr>
      <w:r w:rsidRPr="00154216">
        <w:rPr>
          <w:lang w:val="es-ES_tradnl"/>
        </w:rPr>
        <w:t>Cada año, las juntas de salud distritales deben consignar en sus planes anuales medidas concretas conducentes a la equidad sanitaria para los maoríes</w:t>
      </w:r>
      <w:r w:rsidR="00EA3A0D">
        <w:rPr>
          <w:lang w:val="es-ES_tradnl"/>
        </w:rPr>
        <w:t>.</w:t>
      </w:r>
    </w:p>
    <w:p w14:paraId="60DB9185" w14:textId="77777777" w:rsidR="00154216" w:rsidRPr="00154216" w:rsidRDefault="00154216" w:rsidP="00EA3A0D">
      <w:pPr>
        <w:pStyle w:val="Bullet1G"/>
        <w:rPr>
          <w:lang w:val="es-ES_tradnl"/>
        </w:rPr>
      </w:pPr>
      <w:proofErr w:type="spellStart"/>
      <w:r w:rsidRPr="00154216">
        <w:rPr>
          <w:lang w:val="es-ES_tradnl"/>
        </w:rPr>
        <w:t>Whāia</w:t>
      </w:r>
      <w:proofErr w:type="spellEnd"/>
      <w:r w:rsidRPr="00154216">
        <w:rPr>
          <w:lang w:val="es-ES_tradnl"/>
        </w:rPr>
        <w:t xml:space="preserve"> Te </w:t>
      </w:r>
      <w:proofErr w:type="spellStart"/>
      <w:r w:rsidRPr="00154216">
        <w:rPr>
          <w:lang w:val="es-ES_tradnl"/>
        </w:rPr>
        <w:t>Ao</w:t>
      </w:r>
      <w:proofErr w:type="spellEnd"/>
      <w:r w:rsidRPr="00154216">
        <w:rPr>
          <w:lang w:val="es-ES_tradnl"/>
        </w:rPr>
        <w:t xml:space="preserve"> </w:t>
      </w:r>
      <w:proofErr w:type="spellStart"/>
      <w:r w:rsidRPr="00154216">
        <w:rPr>
          <w:lang w:val="es-ES_tradnl"/>
        </w:rPr>
        <w:t>Mārama</w:t>
      </w:r>
      <w:proofErr w:type="spellEnd"/>
      <w:r w:rsidRPr="00154216">
        <w:rPr>
          <w:rStyle w:val="Refdenotaalfinal"/>
          <w:lang w:val="es-ES_tradnl"/>
        </w:rPr>
        <w:endnoteReference w:id="194"/>
      </w:r>
      <w:r w:rsidRPr="00C6463B">
        <w:rPr>
          <w:rStyle w:val="Refdenotaalfinal"/>
          <w:vertAlign w:val="baseline"/>
          <w:lang w:val="es-ES_tradnl"/>
        </w:rPr>
        <w:t xml:space="preserve"> </w:t>
      </w:r>
      <w:r w:rsidRPr="00154216">
        <w:rPr>
          <w:lang w:val="es-ES_tradnl"/>
        </w:rPr>
        <w:t>2018</w:t>
      </w:r>
      <w:r w:rsidR="00C6463B">
        <w:rPr>
          <w:lang w:val="es-ES_tradnl"/>
        </w:rPr>
        <w:t>-</w:t>
      </w:r>
      <w:r w:rsidRPr="00154216">
        <w:rPr>
          <w:lang w:val="es-ES_tradnl"/>
        </w:rPr>
        <w:t>2022: Plan de Acción Maorí sobre la Discapacidad, actualizado en abril de 2018</w:t>
      </w:r>
      <w:r w:rsidRPr="00154216">
        <w:rPr>
          <w:rStyle w:val="Refdenotaalfinal"/>
          <w:lang w:val="es-ES_tradnl"/>
        </w:rPr>
        <w:endnoteReference w:id="195"/>
      </w:r>
      <w:r w:rsidR="00EA3A0D">
        <w:rPr>
          <w:lang w:val="es-ES_tradnl"/>
        </w:rPr>
        <w:t>.</w:t>
      </w:r>
      <w:r w:rsidRPr="00154216">
        <w:rPr>
          <w:rStyle w:val="Refdenotaalfinal"/>
          <w:lang w:val="es-ES_tradnl"/>
        </w:rPr>
        <w:t xml:space="preserve"> </w:t>
      </w:r>
      <w:r w:rsidRPr="00154216">
        <w:rPr>
          <w:lang w:val="es-ES_tradnl"/>
        </w:rPr>
        <w:t>El plan de ejecución se actualizará a más tardar en junio de 2019</w:t>
      </w:r>
      <w:r w:rsidR="00EA3A0D">
        <w:rPr>
          <w:lang w:val="es-ES_tradnl"/>
        </w:rPr>
        <w:t>.</w:t>
      </w:r>
    </w:p>
    <w:p w14:paraId="626A8D21" w14:textId="77777777" w:rsidR="00154216" w:rsidRPr="00154216" w:rsidRDefault="00154216" w:rsidP="00EA3A0D">
      <w:pPr>
        <w:pStyle w:val="Bullet1G"/>
        <w:rPr>
          <w:rStyle w:val="Refdenotaalfinal"/>
          <w:lang w:val="es-ES_tradnl"/>
        </w:rPr>
      </w:pPr>
      <w:r w:rsidRPr="00154216">
        <w:rPr>
          <w:lang w:val="es-ES_tradnl"/>
        </w:rPr>
        <w:t xml:space="preserve">El Ministerio presta apoyo a la investigación del Tribunal de </w:t>
      </w:r>
      <w:proofErr w:type="spellStart"/>
      <w:r w:rsidRPr="00154216">
        <w:rPr>
          <w:lang w:val="es-ES_tradnl"/>
        </w:rPr>
        <w:t>Waitangi</w:t>
      </w:r>
      <w:proofErr w:type="spellEnd"/>
      <w:r w:rsidRPr="00154216">
        <w:rPr>
          <w:lang w:val="es-ES_tradnl"/>
        </w:rPr>
        <w:t xml:space="preserve"> sobre los resultados que conciernen a los maoríes con discapacidad. El informe, que debe presentarse en junio de 2019, apuntalará la respuesta del Gobierno a la Investigación </w:t>
      </w:r>
      <w:proofErr w:type="spellStart"/>
      <w:r w:rsidRPr="00154216">
        <w:rPr>
          <w:lang w:val="es-ES_tradnl"/>
        </w:rPr>
        <w:t>Kaupapa</w:t>
      </w:r>
      <w:proofErr w:type="spellEnd"/>
      <w:r w:rsidRPr="00154216">
        <w:rPr>
          <w:lang w:val="es-ES_tradnl"/>
        </w:rPr>
        <w:t xml:space="preserve"> sobre los servicios y los resultados en el plano de la salud</w:t>
      </w:r>
      <w:r w:rsidRPr="00154216">
        <w:rPr>
          <w:rStyle w:val="Refdenotaalfinal"/>
          <w:lang w:val="es-ES_tradnl"/>
        </w:rPr>
        <w:endnoteReference w:id="196"/>
      </w:r>
      <w:r w:rsidR="00EA3A0D">
        <w:rPr>
          <w:lang w:val="es-ES_tradnl"/>
        </w:rPr>
        <w:t>.</w:t>
      </w:r>
    </w:p>
    <w:p w14:paraId="2CB527D2" w14:textId="77777777" w:rsidR="00154216" w:rsidRPr="00154216" w:rsidRDefault="00154216" w:rsidP="00154216">
      <w:pPr>
        <w:pStyle w:val="SingleTxtG"/>
        <w:rPr>
          <w:lang w:val="es-ES_tradnl"/>
        </w:rPr>
      </w:pPr>
      <w:r w:rsidRPr="00154216">
        <w:rPr>
          <w:lang w:val="es-ES_tradnl"/>
        </w:rPr>
        <w:t>298.</w:t>
      </w:r>
      <w:r w:rsidRPr="00154216">
        <w:rPr>
          <w:lang w:val="es-ES_tradnl"/>
        </w:rPr>
        <w:tab/>
        <w:t>Las siguientes son medidas destinadas a promover mejores resultados para las personas con discapacidad del Pacífico:</w:t>
      </w:r>
    </w:p>
    <w:p w14:paraId="3CC56E4B" w14:textId="77777777" w:rsidR="00154216" w:rsidRPr="00154216" w:rsidRDefault="00154216" w:rsidP="00EA3A0D">
      <w:pPr>
        <w:pStyle w:val="Bullet1G"/>
        <w:rPr>
          <w:rStyle w:val="Refdenotaalfinal"/>
          <w:lang w:val="es-ES_tradnl"/>
        </w:rPr>
      </w:pPr>
      <w:r w:rsidRPr="00154216">
        <w:rPr>
          <w:lang w:val="es-ES_tradnl"/>
        </w:rPr>
        <w:t xml:space="preserve">El Plan </w:t>
      </w:r>
      <w:r w:rsidR="00C6463B">
        <w:rPr>
          <w:lang w:val="es-ES_tradnl"/>
        </w:rPr>
        <w:t>“</w:t>
      </w:r>
      <w:r w:rsidRPr="00154216">
        <w:rPr>
          <w:lang w:val="es-ES_tradnl"/>
        </w:rPr>
        <w:t xml:space="preserve">Ala </w:t>
      </w:r>
      <w:proofErr w:type="spellStart"/>
      <w:r w:rsidRPr="00154216">
        <w:rPr>
          <w:lang w:val="es-ES_tradnl"/>
        </w:rPr>
        <w:t>Mo’ui</w:t>
      </w:r>
      <w:proofErr w:type="spellEnd"/>
      <w:r w:rsidR="00C6463B">
        <w:rPr>
          <w:lang w:val="es-ES_tradnl"/>
        </w:rPr>
        <w:t>”</w:t>
      </w:r>
      <w:r w:rsidRPr="00154216">
        <w:rPr>
          <w:lang w:val="es-ES_tradnl"/>
        </w:rPr>
        <w:t xml:space="preserve"> de Vías de Promoción de la Salud y el Bienestar de los Pueblos del Pacífico para 2014-2018 está siendo actualizado en 2019</w:t>
      </w:r>
      <w:r w:rsidRPr="00154216">
        <w:rPr>
          <w:rStyle w:val="Refdenotaalfinal"/>
          <w:lang w:val="es-ES_tradnl"/>
        </w:rPr>
        <w:endnoteReference w:id="197"/>
      </w:r>
      <w:r w:rsidR="00EA3A0D">
        <w:rPr>
          <w:lang w:val="es-ES_tradnl"/>
        </w:rPr>
        <w:t>.</w:t>
      </w:r>
    </w:p>
    <w:p w14:paraId="7D250643" w14:textId="77777777" w:rsidR="00154216" w:rsidRPr="00154216" w:rsidRDefault="00154216" w:rsidP="00EA3A0D">
      <w:pPr>
        <w:pStyle w:val="Bullet1G"/>
        <w:rPr>
          <w:rStyle w:val="Refdenotaalfinal"/>
          <w:lang w:val="es-ES_tradnl"/>
        </w:rPr>
      </w:pPr>
      <w:r w:rsidRPr="00154216">
        <w:rPr>
          <w:lang w:val="es-ES_tradnl"/>
        </w:rPr>
        <w:t xml:space="preserve">El Plan Nacional </w:t>
      </w:r>
      <w:proofErr w:type="spellStart"/>
      <w:r w:rsidRPr="00154216">
        <w:rPr>
          <w:lang w:val="es-ES_tradnl"/>
        </w:rPr>
        <w:t>Faiva</w:t>
      </w:r>
      <w:proofErr w:type="spellEnd"/>
      <w:r w:rsidRPr="00154216">
        <w:rPr>
          <w:lang w:val="es-ES_tradnl"/>
        </w:rPr>
        <w:t xml:space="preserve"> Ora</w:t>
      </w:r>
      <w:r w:rsidRPr="00154216">
        <w:rPr>
          <w:rStyle w:val="Refdenotaalfinal"/>
          <w:lang w:val="es-ES_tradnl"/>
        </w:rPr>
        <w:endnoteReference w:id="198"/>
      </w:r>
      <w:r w:rsidRPr="00154216">
        <w:rPr>
          <w:rStyle w:val="Refdenotaalfinal"/>
          <w:lang w:val="es-ES_tradnl"/>
        </w:rPr>
        <w:t xml:space="preserve"> </w:t>
      </w:r>
      <w:r w:rsidRPr="00154216">
        <w:rPr>
          <w:lang w:val="es-ES_tradnl"/>
        </w:rPr>
        <w:t xml:space="preserve">sobre la Discapacidad en el Pacífico para 2016-2021 fue actualizado en agosto de 2017. Las medidas se rigen por un plan de ejecución y son respaldadas por el Grupo Directivo de </w:t>
      </w:r>
      <w:proofErr w:type="spellStart"/>
      <w:r w:rsidRPr="00154216">
        <w:rPr>
          <w:lang w:val="es-ES_tradnl"/>
        </w:rPr>
        <w:t>Faiva</w:t>
      </w:r>
      <w:proofErr w:type="spellEnd"/>
      <w:r w:rsidRPr="00154216">
        <w:rPr>
          <w:lang w:val="es-ES_tradnl"/>
        </w:rPr>
        <w:t xml:space="preserve"> Ora, que se reúne cada seis meses</w:t>
      </w:r>
      <w:r w:rsidRPr="00154216">
        <w:rPr>
          <w:rStyle w:val="Refdenotaalfinal"/>
          <w:lang w:val="es-ES_tradnl"/>
        </w:rPr>
        <w:endnoteReference w:id="199"/>
      </w:r>
      <w:r w:rsidR="00EA3A0D">
        <w:rPr>
          <w:lang w:val="es-ES_tradnl"/>
        </w:rPr>
        <w:t>.</w:t>
      </w:r>
    </w:p>
    <w:p w14:paraId="106E4270" w14:textId="77777777" w:rsidR="00154216" w:rsidRPr="00154216" w:rsidRDefault="00154216" w:rsidP="00EA3A0D">
      <w:pPr>
        <w:pStyle w:val="Bullet1G"/>
        <w:rPr>
          <w:lang w:val="es-ES_tradnl"/>
        </w:rPr>
      </w:pPr>
      <w:r w:rsidRPr="00154216">
        <w:rPr>
          <w:lang w:val="es-ES_tradnl"/>
        </w:rPr>
        <w:t>El Ministerio ha establecido un foro interinstitucional para promover la colaboración, el intercambio de conocimientos y la solución de los problemas relacionados con la discapacidad en el Pacífico.</w:t>
      </w:r>
    </w:p>
    <w:p w14:paraId="70F76D2B" w14:textId="77777777" w:rsidR="00154216" w:rsidRPr="00154216" w:rsidRDefault="00154216" w:rsidP="00EA3A0D">
      <w:pPr>
        <w:pStyle w:val="H23G"/>
        <w:rPr>
          <w:lang w:val="es-ES_tradnl"/>
        </w:rPr>
      </w:pPr>
      <w:r w:rsidRPr="00154216">
        <w:rPr>
          <w:lang w:val="es-ES_tradnl"/>
        </w:rPr>
        <w:tab/>
      </w:r>
      <w:r w:rsidRPr="00154216">
        <w:rPr>
          <w:lang w:val="es-ES_tradnl"/>
        </w:rPr>
        <w:tab/>
        <w:t xml:space="preserve">Respuesta al párrafo 23 c)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 xml:space="preserve">/2-3 </w:t>
      </w:r>
    </w:p>
    <w:p w14:paraId="5F240A72" w14:textId="77777777" w:rsidR="00154216" w:rsidRPr="00154216" w:rsidRDefault="00154216" w:rsidP="00154216">
      <w:pPr>
        <w:pStyle w:val="SingleTxtG"/>
        <w:rPr>
          <w:lang w:val="es-ES_tradnl"/>
        </w:rPr>
      </w:pPr>
      <w:r w:rsidRPr="00154216">
        <w:rPr>
          <w:lang w:val="es-ES_tradnl"/>
        </w:rPr>
        <w:t>299.</w:t>
      </w:r>
      <w:r w:rsidRPr="00154216">
        <w:rPr>
          <w:lang w:val="es-ES_tradnl"/>
        </w:rPr>
        <w:tab/>
        <w:t>El Gobierno reconoce y ha comenzado a encarar los considerables retos económicos y sociales que plantea la demencia.</w:t>
      </w:r>
    </w:p>
    <w:p w14:paraId="04B1B320" w14:textId="77777777" w:rsidR="00154216" w:rsidRPr="00154216" w:rsidRDefault="00154216" w:rsidP="00154216">
      <w:pPr>
        <w:pStyle w:val="SingleTxtG"/>
        <w:rPr>
          <w:lang w:val="es-ES_tradnl"/>
        </w:rPr>
      </w:pPr>
      <w:r w:rsidRPr="00154216">
        <w:rPr>
          <w:lang w:val="es-ES_tradnl"/>
        </w:rPr>
        <w:t>300.</w:t>
      </w:r>
      <w:r w:rsidRPr="00154216">
        <w:rPr>
          <w:lang w:val="es-ES_tradnl"/>
        </w:rPr>
        <w:tab/>
        <w:t>El Marco de Atención de la Demencia de 2013</w:t>
      </w:r>
      <w:r w:rsidRPr="00154216">
        <w:rPr>
          <w:rStyle w:val="Refdenotaalfinal"/>
          <w:lang w:val="es-ES_tradnl"/>
        </w:rPr>
        <w:endnoteReference w:id="200"/>
      </w:r>
      <w:r w:rsidRPr="00154216">
        <w:rPr>
          <w:rStyle w:val="Refdenotaalfinal"/>
          <w:lang w:val="es-ES_tradnl"/>
        </w:rPr>
        <w:t xml:space="preserve"> </w:t>
      </w:r>
      <w:r w:rsidRPr="00154216">
        <w:rPr>
          <w:lang w:val="es-ES_tradnl"/>
        </w:rPr>
        <w:t xml:space="preserve">establece una directriz general para el diagnóstico y la atención de la demencia y el apoyo a las personas afectadas. </w:t>
      </w:r>
    </w:p>
    <w:p w14:paraId="303181D5" w14:textId="77777777" w:rsidR="00154216" w:rsidRPr="00154216" w:rsidRDefault="00154216" w:rsidP="00154216">
      <w:pPr>
        <w:pStyle w:val="SingleTxtG"/>
        <w:rPr>
          <w:lang w:val="es-ES_tradnl"/>
        </w:rPr>
      </w:pPr>
      <w:r w:rsidRPr="00154216">
        <w:rPr>
          <w:lang w:val="es-ES_tradnl"/>
        </w:rPr>
        <w:t>301.</w:t>
      </w:r>
      <w:r w:rsidRPr="00154216">
        <w:rPr>
          <w:lang w:val="es-ES_tradnl"/>
        </w:rPr>
        <w:tab/>
        <w:t>Las vías de atención de la demencia brindan a la persona y a su familia un cuidado y apoyo proactivo y coordinado a lo largo de su trayecto con la demencia. Una preocupación fundamental de los distritos ha sido la implementación y el mejoramiento de los servicios y las vías de atención de la demencia. Está en curso de elaboración una vía de atención de la demencia para personas con discapacidad intelectual (en particular con síndrome de Down).</w:t>
      </w:r>
    </w:p>
    <w:p w14:paraId="764E8C7C" w14:textId="77777777" w:rsidR="00154216" w:rsidRPr="00154216" w:rsidRDefault="00154216" w:rsidP="00154216">
      <w:pPr>
        <w:pStyle w:val="SingleTxtG"/>
        <w:rPr>
          <w:lang w:val="es-ES_tradnl"/>
        </w:rPr>
      </w:pPr>
      <w:r w:rsidRPr="00154216">
        <w:rPr>
          <w:lang w:val="es-ES_tradnl"/>
        </w:rPr>
        <w:t>302.</w:t>
      </w:r>
      <w:r w:rsidRPr="00154216">
        <w:rPr>
          <w:lang w:val="es-ES_tradnl"/>
        </w:rPr>
        <w:tab/>
        <w:t>Gracias a una mayor colaboración entre los servicios locales, regionales y nacionales de atención de la demencia han mejorado el diagnóstico y la gestión de la enfermedad. Por ejemplo</w:t>
      </w:r>
      <w:r w:rsidR="00C6463B">
        <w:rPr>
          <w:lang w:val="es-ES_tradnl"/>
        </w:rPr>
        <w:t>:</w:t>
      </w:r>
    </w:p>
    <w:p w14:paraId="3E707585" w14:textId="77777777" w:rsidR="00154216" w:rsidRPr="00154216" w:rsidRDefault="00154216" w:rsidP="00EA3A0D">
      <w:pPr>
        <w:pStyle w:val="Bullet1G"/>
        <w:rPr>
          <w:lang w:val="es-ES_tradnl"/>
        </w:rPr>
      </w:pPr>
      <w:r w:rsidRPr="00154216">
        <w:rPr>
          <w:lang w:val="es-ES_tradnl"/>
        </w:rPr>
        <w:t>Se ha formado a profesionales de atención primaria de la salud con el fin de mejorar el diagnóstico temprano y facilitar el acceso a la atención secundaria</w:t>
      </w:r>
      <w:r w:rsidR="00EA3A0D">
        <w:rPr>
          <w:lang w:val="es-ES_tradnl"/>
        </w:rPr>
        <w:t>.</w:t>
      </w:r>
    </w:p>
    <w:p w14:paraId="7B594E8C" w14:textId="77777777" w:rsidR="00154216" w:rsidRPr="00154216" w:rsidRDefault="00154216" w:rsidP="00EA3A0D">
      <w:pPr>
        <w:pStyle w:val="Bullet1G"/>
        <w:rPr>
          <w:lang w:val="es-ES_tradnl"/>
        </w:rPr>
      </w:pPr>
      <w:r w:rsidRPr="00154216">
        <w:rPr>
          <w:lang w:val="es-ES_tradnl"/>
        </w:rPr>
        <w:t xml:space="preserve">Se han elaborado directrices nacionales para los educadores sobre la demencia a fin de contar con programas de educación eficaces y centrados en las personas destinados a los familiares y </w:t>
      </w:r>
      <w:proofErr w:type="spellStart"/>
      <w:r w:rsidRPr="00154216">
        <w:rPr>
          <w:lang w:val="es-ES_tradnl"/>
        </w:rPr>
        <w:t>whānau</w:t>
      </w:r>
      <w:proofErr w:type="spellEnd"/>
      <w:r w:rsidRPr="00154216">
        <w:rPr>
          <w:lang w:val="es-ES_tradnl"/>
        </w:rPr>
        <w:t xml:space="preserve"> que tienen a su cargo personas afectadas por la demencia. </w:t>
      </w:r>
    </w:p>
    <w:p w14:paraId="2C274BE5" w14:textId="77777777" w:rsidR="00154216" w:rsidRPr="00154216" w:rsidRDefault="00154216" w:rsidP="00154216">
      <w:pPr>
        <w:pStyle w:val="SingleTxtG"/>
        <w:rPr>
          <w:lang w:val="es-ES_tradnl"/>
        </w:rPr>
      </w:pPr>
      <w:r w:rsidRPr="00154216">
        <w:rPr>
          <w:lang w:val="es-ES_tradnl"/>
        </w:rPr>
        <w:t>303.</w:t>
      </w:r>
      <w:r w:rsidRPr="00154216">
        <w:rPr>
          <w:lang w:val="es-ES_tradnl"/>
        </w:rPr>
        <w:tab/>
        <w:t>La Estrategia de Envejecimiento Saludable</w:t>
      </w:r>
      <w:r w:rsidRPr="00154216">
        <w:rPr>
          <w:rStyle w:val="Refdenotaalfinal"/>
          <w:lang w:val="es-ES_tradnl"/>
        </w:rPr>
        <w:endnoteReference w:id="201"/>
      </w:r>
      <w:r w:rsidR="00EE7321">
        <w:rPr>
          <w:lang w:val="es-ES_tradnl"/>
        </w:rPr>
        <w:t xml:space="preserve"> </w:t>
      </w:r>
      <w:r w:rsidRPr="00EE7321">
        <w:rPr>
          <w:rStyle w:val="Refdenotaalfinal"/>
          <w:vertAlign w:val="baseline"/>
          <w:lang w:val="es-ES_tradnl"/>
        </w:rPr>
        <w:t>p</w:t>
      </w:r>
      <w:r w:rsidRPr="00154216">
        <w:rPr>
          <w:lang w:val="es-ES_tradnl"/>
        </w:rPr>
        <w:t xml:space="preserve">revé medidas para promover el desarrollo de comunidades adaptadas a la vejez y a la demencia y establece un marco de resultados como base para la medición y el seguimiento. </w:t>
      </w:r>
    </w:p>
    <w:p w14:paraId="7A974D8E" w14:textId="77777777" w:rsidR="00154216" w:rsidRPr="00154216" w:rsidRDefault="00154216" w:rsidP="00154216">
      <w:pPr>
        <w:pStyle w:val="SingleTxtG"/>
        <w:rPr>
          <w:b/>
          <w:lang w:val="es-ES_tradnl"/>
        </w:rPr>
      </w:pPr>
      <w:r w:rsidRPr="00154216">
        <w:rPr>
          <w:lang w:val="es-ES_tradnl"/>
        </w:rPr>
        <w:t>304.</w:t>
      </w:r>
      <w:r w:rsidRPr="00154216">
        <w:rPr>
          <w:lang w:val="es-ES_tradnl"/>
        </w:rPr>
        <w:tab/>
        <w:t>En 2017, Nueva Zelandia adoptó el Plan de Acción Mundial sobre la Respuesta de Salud Pública a la Demencia para 2017-2025, de la Organización Mundial de la Salud.</w:t>
      </w:r>
    </w:p>
    <w:p w14:paraId="198737B9" w14:textId="77777777" w:rsidR="00154216" w:rsidRPr="00154216" w:rsidRDefault="00154216" w:rsidP="00EA3A0D">
      <w:pPr>
        <w:pStyle w:val="H23G"/>
        <w:rPr>
          <w:lang w:val="es-ES_tradnl"/>
        </w:rPr>
      </w:pPr>
      <w:r w:rsidRPr="00154216">
        <w:rPr>
          <w:lang w:val="es-ES_tradnl"/>
        </w:rPr>
        <w:tab/>
      </w:r>
      <w:r w:rsidRPr="00154216">
        <w:rPr>
          <w:lang w:val="es-ES_tradnl"/>
        </w:rPr>
        <w:tab/>
        <w:t xml:space="preserve">Respuesta al párrafo 24 a)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 xml:space="preserve">/2-3 </w:t>
      </w:r>
    </w:p>
    <w:p w14:paraId="737186DA" w14:textId="77777777" w:rsidR="00154216" w:rsidRPr="00154216" w:rsidRDefault="00154216" w:rsidP="00154216">
      <w:pPr>
        <w:pStyle w:val="SingleTxtG"/>
        <w:rPr>
          <w:u w:val="single"/>
          <w:lang w:val="es-ES_tradnl"/>
        </w:rPr>
      </w:pPr>
      <w:r w:rsidRPr="00154216">
        <w:rPr>
          <w:lang w:val="es-ES_tradnl"/>
        </w:rPr>
        <w:t>305.</w:t>
      </w:r>
      <w:r w:rsidRPr="00154216">
        <w:rPr>
          <w:lang w:val="es-ES_tradnl"/>
        </w:rPr>
        <w:tab/>
        <w:t xml:space="preserve">Se financia una amplia gama de servicios de rehabilitación, también de habilitación, para ayudar a las personas con discapacidad a permanecer o reincorporarse en sus hogares o </w:t>
      </w:r>
      <w:r w:rsidRPr="00154216">
        <w:rPr>
          <w:lang w:val="es-ES_tradnl"/>
        </w:rPr>
        <w:lastRenderedPageBreak/>
        <w:t>comunidades, a vivir de manera independiente y a participar en la educación, el mercado laboral y la vida cívica</w:t>
      </w:r>
      <w:r w:rsidRPr="00154216">
        <w:rPr>
          <w:rStyle w:val="Refdenotaalfinal"/>
          <w:lang w:val="es-ES_tradnl"/>
        </w:rPr>
        <w:endnoteReference w:id="202"/>
      </w:r>
      <w:r w:rsidR="00F7345D">
        <w:rPr>
          <w:lang w:val="es-ES_tradnl"/>
        </w:rPr>
        <w:t>.</w:t>
      </w:r>
      <w:r w:rsidRPr="00154216">
        <w:rPr>
          <w:rStyle w:val="Refdenotaalfinal"/>
          <w:lang w:val="es-ES_tradnl"/>
        </w:rPr>
        <w:t xml:space="preserve"> </w:t>
      </w:r>
      <w:r w:rsidRPr="00154216">
        <w:rPr>
          <w:lang w:val="es-ES_tradnl"/>
        </w:rPr>
        <w:t>Las siguientes son las principales instituciones que financian la rehabilitación:</w:t>
      </w:r>
    </w:p>
    <w:p w14:paraId="654F4072" w14:textId="77777777" w:rsidR="00154216" w:rsidRPr="00154216" w:rsidRDefault="00154216" w:rsidP="00F7345D">
      <w:pPr>
        <w:pStyle w:val="Bullet1G"/>
        <w:rPr>
          <w:lang w:val="es-ES_tradnl"/>
        </w:rPr>
      </w:pPr>
      <w:r w:rsidRPr="00154216">
        <w:rPr>
          <w:lang w:val="es-ES_tradnl"/>
        </w:rPr>
        <w:t>Las juntas de salud distritales financian servicios de rehabilitación física, mental y geriátrica</w:t>
      </w:r>
      <w:r w:rsidR="00F7345D">
        <w:rPr>
          <w:lang w:val="es-ES_tradnl"/>
        </w:rPr>
        <w:t>.</w:t>
      </w:r>
    </w:p>
    <w:p w14:paraId="2C683AF2" w14:textId="77777777" w:rsidR="00154216" w:rsidRPr="00154216" w:rsidRDefault="00154216" w:rsidP="00F7345D">
      <w:pPr>
        <w:pStyle w:val="Bullet1G"/>
        <w:rPr>
          <w:lang w:val="es-ES_tradnl"/>
        </w:rPr>
      </w:pPr>
      <w:r w:rsidRPr="00154216">
        <w:rPr>
          <w:lang w:val="es-ES_tradnl"/>
        </w:rPr>
        <w:t>La ACC se ocupa de la prevención de lesiones, la rehabilitación y el apoyo a la atención de las necesidades conexas</w:t>
      </w:r>
      <w:r w:rsidR="00F7345D">
        <w:rPr>
          <w:lang w:val="es-ES_tradnl"/>
        </w:rPr>
        <w:t>.</w:t>
      </w:r>
    </w:p>
    <w:p w14:paraId="35AA0E1C" w14:textId="77777777" w:rsidR="00154216" w:rsidRPr="00154216" w:rsidRDefault="00154216" w:rsidP="00F7345D">
      <w:pPr>
        <w:pStyle w:val="Bullet1G"/>
        <w:rPr>
          <w:lang w:val="es-ES_tradnl"/>
        </w:rPr>
      </w:pPr>
      <w:r w:rsidRPr="00154216">
        <w:rPr>
          <w:lang w:val="es-ES_tradnl"/>
        </w:rPr>
        <w:t>El Ministerio de Salud financia la rehabilitación relacionada específicamente con la discapacidad, incluida la tecnología asistencial para las personas con discapacidad física, intelectual o sensorial de larga duración</w:t>
      </w:r>
      <w:r w:rsidR="00F7345D">
        <w:rPr>
          <w:lang w:val="es-ES_tradnl"/>
        </w:rPr>
        <w:t>.</w:t>
      </w:r>
    </w:p>
    <w:p w14:paraId="57EC2ADA" w14:textId="77777777" w:rsidR="00154216" w:rsidRPr="00154216" w:rsidRDefault="00154216" w:rsidP="00F7345D">
      <w:pPr>
        <w:pStyle w:val="Bullet1G"/>
        <w:rPr>
          <w:lang w:val="es-ES_tradnl"/>
        </w:rPr>
      </w:pPr>
      <w:r w:rsidRPr="00154216">
        <w:rPr>
          <w:lang w:val="es-ES_tradnl"/>
        </w:rPr>
        <w:t>El Ministerio de Desarrollo Social financia las ayudas económicas, así como la asistencia y los medios de apoyo a la participación laboral y comunitaria</w:t>
      </w:r>
      <w:r w:rsidR="00F7345D">
        <w:rPr>
          <w:lang w:val="es-ES_tradnl"/>
        </w:rPr>
        <w:t>.</w:t>
      </w:r>
    </w:p>
    <w:p w14:paraId="1A34CF81" w14:textId="77777777" w:rsidR="00154216" w:rsidRPr="00154216" w:rsidRDefault="00154216" w:rsidP="00F7345D">
      <w:pPr>
        <w:pStyle w:val="Bullet1G"/>
        <w:rPr>
          <w:lang w:val="es-ES_tradnl"/>
        </w:rPr>
      </w:pPr>
      <w:r w:rsidRPr="00154216">
        <w:rPr>
          <w:lang w:val="es-ES_tradnl"/>
        </w:rPr>
        <w:t xml:space="preserve">El Ministerio de Educación financia la rehabilitación de apoyo al aprendizaje (antes denominada </w:t>
      </w:r>
      <w:r>
        <w:rPr>
          <w:lang w:val="es-ES_tradnl"/>
        </w:rPr>
        <w:t>“</w:t>
      </w:r>
      <w:r w:rsidRPr="00154216">
        <w:rPr>
          <w:lang w:val="es-ES_tradnl"/>
        </w:rPr>
        <w:t>educación especial</w:t>
      </w:r>
      <w:r>
        <w:rPr>
          <w:lang w:val="es-ES_tradnl"/>
        </w:rPr>
        <w:t>”</w:t>
      </w:r>
      <w:r w:rsidRPr="00154216">
        <w:rPr>
          <w:lang w:val="es-ES_tradnl"/>
        </w:rPr>
        <w:t xml:space="preserve">). </w:t>
      </w:r>
    </w:p>
    <w:p w14:paraId="77094753" w14:textId="77777777" w:rsidR="00154216" w:rsidRPr="00154216" w:rsidRDefault="00154216" w:rsidP="00154216">
      <w:pPr>
        <w:pStyle w:val="SingleTxtG"/>
        <w:rPr>
          <w:lang w:val="es-ES_tradnl"/>
        </w:rPr>
      </w:pPr>
      <w:r w:rsidRPr="00154216">
        <w:rPr>
          <w:lang w:val="es-ES_tradnl"/>
        </w:rPr>
        <w:t>306.</w:t>
      </w:r>
      <w:r w:rsidRPr="00154216">
        <w:rPr>
          <w:lang w:val="es-ES_tradnl"/>
        </w:rPr>
        <w:tab/>
        <w:t xml:space="preserve">El Gobierno reconoce las obligaciones que en materia de rehabilitación de la población maorí le impone el tratado Te </w:t>
      </w:r>
      <w:proofErr w:type="spellStart"/>
      <w:r w:rsidRPr="00154216">
        <w:rPr>
          <w:lang w:val="es-ES_tradnl"/>
        </w:rPr>
        <w:t>Tiriti</w:t>
      </w:r>
      <w:proofErr w:type="spellEnd"/>
      <w:r w:rsidRPr="00154216">
        <w:rPr>
          <w:lang w:val="es-ES_tradnl"/>
        </w:rPr>
        <w:t xml:space="preserve"> o </w:t>
      </w:r>
      <w:proofErr w:type="spellStart"/>
      <w:r w:rsidRPr="00154216">
        <w:rPr>
          <w:lang w:val="es-ES_tradnl"/>
        </w:rPr>
        <w:t>Waitangi</w:t>
      </w:r>
      <w:proofErr w:type="spellEnd"/>
      <w:r w:rsidRPr="00154216">
        <w:rPr>
          <w:rStyle w:val="Refdenotaalfinal"/>
          <w:lang w:val="es-ES_tradnl"/>
        </w:rPr>
        <w:endnoteReference w:id="203"/>
      </w:r>
      <w:r w:rsidR="00F7345D">
        <w:rPr>
          <w:lang w:val="es-ES_tradnl"/>
        </w:rPr>
        <w:t>.</w:t>
      </w:r>
      <w:r w:rsidRPr="00154216">
        <w:rPr>
          <w:rStyle w:val="Refdenotaalfinal"/>
          <w:lang w:val="es-ES_tradnl"/>
        </w:rPr>
        <w:t xml:space="preserve"> </w:t>
      </w:r>
      <w:r w:rsidRPr="00154216">
        <w:rPr>
          <w:lang w:val="es-ES_tradnl"/>
        </w:rPr>
        <w:t xml:space="preserve">Los servicios destinados a esta población deben basarse en la mentalidad y las actitudes maoríes y en las modalidades de curación, atención y rehabilitación propias de esta población. </w:t>
      </w:r>
    </w:p>
    <w:p w14:paraId="3A023596" w14:textId="77777777" w:rsidR="00154216" w:rsidRPr="00154216" w:rsidRDefault="00154216" w:rsidP="00154216">
      <w:pPr>
        <w:pStyle w:val="SingleTxtG"/>
        <w:rPr>
          <w:lang w:val="es-ES_tradnl"/>
        </w:rPr>
      </w:pPr>
      <w:r w:rsidRPr="00154216">
        <w:rPr>
          <w:lang w:val="es-ES_tradnl"/>
        </w:rPr>
        <w:t>307.</w:t>
      </w:r>
      <w:r w:rsidRPr="00154216">
        <w:rPr>
          <w:lang w:val="es-ES_tradnl"/>
        </w:rPr>
        <w:tab/>
        <w:t>En 2018, Nueva Zelandia refrendó el proyecto de Marco Regional del Pacífico Occidental para la Rehabilitación. En 2019 se prevé realizar una encuesta nacional de referencia sobre la rehabilitación. Esto ayudará a reforzar los servicios nacionales de rehabilitación en conformidad con el artículo 3 (Rehabilitación) de las Normas Uniformes de las Naciones Unidas sobre la igualdad de oportunidades para las personas con discapacidad, la Convención sobre los Derechos de las Personas con Discapacidad y la Estrategia de Nueva Zelandia sobre la Discapacidad.</w:t>
      </w:r>
    </w:p>
    <w:p w14:paraId="01CE8DD8" w14:textId="77777777" w:rsidR="00154216" w:rsidRPr="00154216" w:rsidRDefault="00154216" w:rsidP="00F7345D">
      <w:pPr>
        <w:pStyle w:val="H23G"/>
        <w:rPr>
          <w:lang w:val="es-ES_tradnl"/>
        </w:rPr>
      </w:pPr>
      <w:r w:rsidRPr="00154216">
        <w:rPr>
          <w:lang w:val="es-ES_tradnl"/>
        </w:rPr>
        <w:tab/>
      </w:r>
      <w:r w:rsidRPr="00154216">
        <w:rPr>
          <w:lang w:val="es-ES_tradnl"/>
        </w:rPr>
        <w:tab/>
        <w:t xml:space="preserve">Respuesta al párrafo 24 b)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 xml:space="preserve">/2-3 </w:t>
      </w:r>
    </w:p>
    <w:p w14:paraId="6C243C7B" w14:textId="77777777" w:rsidR="00154216" w:rsidRPr="00154216" w:rsidRDefault="00154216" w:rsidP="00154216">
      <w:pPr>
        <w:pStyle w:val="SingleTxtG"/>
        <w:rPr>
          <w:lang w:val="es-ES_tradnl"/>
        </w:rPr>
      </w:pPr>
      <w:r w:rsidRPr="00154216">
        <w:rPr>
          <w:lang w:val="es-ES_tradnl"/>
        </w:rPr>
        <w:t>308.</w:t>
      </w:r>
      <w:r w:rsidRPr="00154216">
        <w:rPr>
          <w:lang w:val="es-ES_tradnl"/>
        </w:rPr>
        <w:tab/>
        <w:t>Todos los servicios de salud y apoyo a la discapacidad se rigen por el Código de Derechos de los Usuarios de los Servicios de Salud y los Servicios para Personas con Discapacidad</w:t>
      </w:r>
      <w:r w:rsidRPr="00154216">
        <w:rPr>
          <w:rStyle w:val="Refdenotaalfinal"/>
          <w:lang w:val="es-ES_tradnl"/>
        </w:rPr>
        <w:endnoteReference w:id="204"/>
      </w:r>
      <w:r w:rsidRPr="00154216">
        <w:rPr>
          <w:rStyle w:val="Refdenotaalfinal"/>
          <w:lang w:val="es-ES_tradnl"/>
        </w:rPr>
        <w:t xml:space="preserve"> </w:t>
      </w:r>
      <w:r w:rsidRPr="00154216">
        <w:rPr>
          <w:lang w:val="es-ES_tradnl"/>
        </w:rPr>
        <w:t>(véase la pregunta 11 b)), que reconoce a los usuarios los siguientes derechos:</w:t>
      </w:r>
    </w:p>
    <w:p w14:paraId="4531308C" w14:textId="77777777" w:rsidR="00154216" w:rsidRPr="00154216" w:rsidRDefault="00C6463B" w:rsidP="00F7345D">
      <w:pPr>
        <w:pStyle w:val="Bullet1G"/>
        <w:rPr>
          <w:lang w:val="es-ES_tradnl"/>
        </w:rPr>
      </w:pPr>
      <w:r>
        <w:rPr>
          <w:lang w:val="es-ES_tradnl"/>
        </w:rPr>
        <w:t>A</w:t>
      </w:r>
      <w:r w:rsidR="00154216" w:rsidRPr="00154216">
        <w:rPr>
          <w:lang w:val="es-ES_tradnl"/>
        </w:rPr>
        <w:t xml:space="preserve"> comunicarse de manera efectiva (derecho 5)</w:t>
      </w:r>
    </w:p>
    <w:p w14:paraId="0B2050FD" w14:textId="77777777" w:rsidR="00154216" w:rsidRPr="00154216" w:rsidRDefault="00C6463B" w:rsidP="00F7345D">
      <w:pPr>
        <w:pStyle w:val="Bullet1G"/>
        <w:rPr>
          <w:lang w:val="es-ES_tradnl"/>
        </w:rPr>
      </w:pPr>
      <w:r>
        <w:rPr>
          <w:lang w:val="es-ES_tradnl"/>
        </w:rPr>
        <w:t>A</w:t>
      </w:r>
      <w:r w:rsidR="00154216" w:rsidRPr="00154216">
        <w:rPr>
          <w:lang w:val="es-ES_tradnl"/>
        </w:rPr>
        <w:t xml:space="preserve"> ser plenamente informados (derecho 6)</w:t>
      </w:r>
    </w:p>
    <w:p w14:paraId="71CFC37D" w14:textId="77777777" w:rsidR="00154216" w:rsidRPr="00154216" w:rsidRDefault="00C6463B" w:rsidP="00F7345D">
      <w:pPr>
        <w:pStyle w:val="Bullet1G"/>
        <w:rPr>
          <w:lang w:val="es-ES_tradnl"/>
        </w:rPr>
      </w:pPr>
      <w:r>
        <w:rPr>
          <w:lang w:val="es-ES_tradnl"/>
        </w:rPr>
        <w:t>A</w:t>
      </w:r>
      <w:r w:rsidR="00154216" w:rsidRPr="00154216">
        <w:rPr>
          <w:lang w:val="es-ES_tradnl"/>
        </w:rPr>
        <w:t xml:space="preserve"> decidir con conocimiento de causa y a dar su consentimiento informado (derecho</w:t>
      </w:r>
      <w:r w:rsidR="00F7345D">
        <w:rPr>
          <w:lang w:val="es-ES_tradnl"/>
        </w:rPr>
        <w:t> </w:t>
      </w:r>
      <w:r w:rsidR="00154216" w:rsidRPr="00154216">
        <w:rPr>
          <w:lang w:val="es-ES_tradnl"/>
        </w:rPr>
        <w:t>7)</w:t>
      </w:r>
    </w:p>
    <w:p w14:paraId="4A8B7A7C" w14:textId="77777777" w:rsidR="00154216" w:rsidRPr="00154216" w:rsidRDefault="00154216" w:rsidP="00154216">
      <w:pPr>
        <w:pStyle w:val="SingleTxtG"/>
        <w:rPr>
          <w:lang w:val="es-ES_tradnl"/>
        </w:rPr>
      </w:pPr>
      <w:r w:rsidRPr="00154216">
        <w:rPr>
          <w:lang w:val="es-ES_tradnl"/>
        </w:rPr>
        <w:t>309.</w:t>
      </w:r>
      <w:r w:rsidRPr="00154216">
        <w:rPr>
          <w:lang w:val="es-ES_tradnl"/>
        </w:rPr>
        <w:tab/>
        <w:t>Véase en la introducción lo relativo al prototipo de transformación del sistema de apoyo a la discapacidad.</w:t>
      </w:r>
    </w:p>
    <w:p w14:paraId="63E6CC6C" w14:textId="77777777" w:rsidR="00154216" w:rsidRPr="00154216" w:rsidRDefault="00154216" w:rsidP="00F7345D">
      <w:pPr>
        <w:pStyle w:val="H23G"/>
        <w:rPr>
          <w:lang w:val="es-ES_tradnl"/>
        </w:rPr>
      </w:pPr>
      <w:r w:rsidRPr="00154216">
        <w:rPr>
          <w:lang w:val="es-ES_tradnl"/>
        </w:rPr>
        <w:tab/>
      </w:r>
      <w:r w:rsidRPr="00154216">
        <w:rPr>
          <w:lang w:val="es-ES_tradnl"/>
        </w:rPr>
        <w:tab/>
        <w:t xml:space="preserve">Respuesta al párrafo 25 a)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 xml:space="preserve">/2-3 </w:t>
      </w:r>
    </w:p>
    <w:p w14:paraId="283D4239" w14:textId="77777777" w:rsidR="00154216" w:rsidRPr="00154216" w:rsidRDefault="00154216" w:rsidP="00154216">
      <w:pPr>
        <w:pStyle w:val="SingleTxtG"/>
        <w:rPr>
          <w:lang w:val="es-ES_tradnl"/>
        </w:rPr>
      </w:pPr>
      <w:r w:rsidRPr="00154216">
        <w:rPr>
          <w:lang w:val="es-ES_tradnl"/>
        </w:rPr>
        <w:t>310.</w:t>
      </w:r>
      <w:r w:rsidRPr="00154216">
        <w:rPr>
          <w:lang w:val="es-ES_tradnl"/>
        </w:rPr>
        <w:tab/>
        <w:t xml:space="preserve">El Gobierno presta toda una gama de servicios y apoyos para ayudar a más personas con discapacidad a encontrar empleo y conservarlo. Se trata de formas de apoyo universal (como los subsidios salariales y la formación laboral) y de apoyo especializado (incluso a los empleadores). </w:t>
      </w:r>
    </w:p>
    <w:p w14:paraId="51224944" w14:textId="77777777" w:rsidR="00154216" w:rsidRPr="00154216" w:rsidRDefault="00154216" w:rsidP="00154216">
      <w:pPr>
        <w:pStyle w:val="SingleTxtG"/>
        <w:rPr>
          <w:lang w:val="es-ES_tradnl"/>
        </w:rPr>
      </w:pPr>
      <w:r w:rsidRPr="00154216">
        <w:rPr>
          <w:lang w:val="es-ES_tradnl"/>
        </w:rPr>
        <w:t>311.</w:t>
      </w:r>
      <w:r w:rsidRPr="00154216">
        <w:rPr>
          <w:lang w:val="es-ES_tradnl"/>
        </w:rPr>
        <w:tab/>
        <w:t>Entre las medidas para mejorar los resultados, cabe mencionar:</w:t>
      </w:r>
    </w:p>
    <w:p w14:paraId="2B619743" w14:textId="77777777" w:rsidR="00154216" w:rsidRPr="00154216" w:rsidRDefault="00154216" w:rsidP="00F7345D">
      <w:pPr>
        <w:pStyle w:val="Bullet1G"/>
        <w:rPr>
          <w:lang w:val="es-ES_tradnl"/>
        </w:rPr>
      </w:pPr>
      <w:r w:rsidRPr="00154216">
        <w:rPr>
          <w:lang w:val="es-ES_tradnl"/>
        </w:rPr>
        <w:t>La colaboración con la Red de Apoyo a la Discapacidad</w:t>
      </w:r>
      <w:r w:rsidRPr="00154216">
        <w:rPr>
          <w:rStyle w:val="Refdenotaalfinal"/>
          <w:lang w:val="es-ES_tradnl"/>
        </w:rPr>
        <w:endnoteReference w:id="205"/>
      </w:r>
      <w:r w:rsidRPr="00154216">
        <w:rPr>
          <w:rStyle w:val="Refdenotaalfinal"/>
          <w:lang w:val="es-ES_tradnl"/>
        </w:rPr>
        <w:t xml:space="preserve"> </w:t>
      </w:r>
      <w:r w:rsidRPr="00154216">
        <w:rPr>
          <w:lang w:val="es-ES_tradnl"/>
        </w:rPr>
        <w:t xml:space="preserve">de Nueva Zelandia en la publicación (en marzo de 2018) de las </w:t>
      </w:r>
      <w:r w:rsidRPr="00154216">
        <w:rPr>
          <w:i/>
          <w:iCs/>
          <w:lang w:val="es-ES_tradnl"/>
        </w:rPr>
        <w:t>Directrices sobre las prácticas de apoyo al empleo</w:t>
      </w:r>
      <w:r w:rsidRPr="00154216">
        <w:rPr>
          <w:rStyle w:val="Refdenotaalfinal"/>
          <w:lang w:val="es-ES_tradnl"/>
        </w:rPr>
        <w:endnoteReference w:id="206"/>
      </w:r>
      <w:r w:rsidR="00F7345D" w:rsidRPr="00F7345D">
        <w:rPr>
          <w:iCs/>
          <w:lang w:val="es-ES_tradnl"/>
        </w:rPr>
        <w:t>,</w:t>
      </w:r>
      <w:r w:rsidRPr="00154216">
        <w:rPr>
          <w:lang w:val="es-ES_tradnl"/>
        </w:rPr>
        <w:t xml:space="preserve"> destinadas a las organizaciones que procuran incorporar a las personas con discapacidad en el mercado laboral</w:t>
      </w:r>
      <w:r w:rsidR="00C6463B">
        <w:rPr>
          <w:lang w:val="es-ES_tradnl"/>
        </w:rPr>
        <w:t>.</w:t>
      </w:r>
    </w:p>
    <w:p w14:paraId="59F4ABD9" w14:textId="77777777" w:rsidR="00154216" w:rsidRPr="00154216" w:rsidRDefault="00154216" w:rsidP="00F7345D">
      <w:pPr>
        <w:pStyle w:val="Bullet1G"/>
        <w:rPr>
          <w:lang w:val="es-ES_tradnl"/>
        </w:rPr>
      </w:pPr>
      <w:r w:rsidRPr="00154216">
        <w:rPr>
          <w:lang w:val="es-ES_tradnl"/>
        </w:rPr>
        <w:t xml:space="preserve">El lanzamiento de una campaña de </w:t>
      </w:r>
      <w:r>
        <w:rPr>
          <w:lang w:val="es-ES_tradnl"/>
        </w:rPr>
        <w:t>“</w:t>
      </w:r>
      <w:r w:rsidRPr="00154216">
        <w:rPr>
          <w:lang w:val="es-ES_tradnl"/>
        </w:rPr>
        <w:t>Confianza en la Discapacidad</w:t>
      </w:r>
      <w:r>
        <w:rPr>
          <w:lang w:val="es-ES_tradnl"/>
        </w:rPr>
        <w:t>”</w:t>
      </w:r>
      <w:r w:rsidRPr="00154216">
        <w:rPr>
          <w:lang w:val="es-ES_tradnl"/>
        </w:rPr>
        <w:t xml:space="preserve"> (véase la pregunta 8 a))</w:t>
      </w:r>
      <w:r w:rsidR="00C6463B">
        <w:rPr>
          <w:lang w:val="es-ES_tradnl"/>
        </w:rPr>
        <w:t>.</w:t>
      </w:r>
    </w:p>
    <w:p w14:paraId="1A717AC0" w14:textId="77777777" w:rsidR="00154216" w:rsidRPr="00154216" w:rsidRDefault="00154216" w:rsidP="00F7345D">
      <w:pPr>
        <w:pStyle w:val="Bullet1G"/>
        <w:rPr>
          <w:lang w:val="es-ES_tradnl"/>
        </w:rPr>
      </w:pPr>
      <w:r w:rsidRPr="00154216">
        <w:rPr>
          <w:lang w:val="es-ES_tradnl"/>
        </w:rPr>
        <w:lastRenderedPageBreak/>
        <w:t>La extensión de la gestión intensiva de casos centrada en el empleo a los beneficiarios del subsidio de subsistencia (que en general no pueden trabajar más de 15 horas semanales)</w:t>
      </w:r>
      <w:r w:rsidR="00C6463B">
        <w:rPr>
          <w:lang w:val="es-ES_tradnl"/>
        </w:rPr>
        <w:t>.</w:t>
      </w:r>
    </w:p>
    <w:p w14:paraId="0E7EE634" w14:textId="77777777" w:rsidR="00154216" w:rsidRPr="00154216" w:rsidRDefault="00154216" w:rsidP="00F7345D">
      <w:pPr>
        <w:pStyle w:val="Bullet1G"/>
        <w:rPr>
          <w:lang w:val="es-ES_tradnl"/>
        </w:rPr>
      </w:pPr>
      <w:r w:rsidRPr="00154216">
        <w:rPr>
          <w:lang w:val="es-ES_tradnl"/>
        </w:rPr>
        <w:t>La elaboración del Juego de Herramientas Principal</w:t>
      </w:r>
      <w:r w:rsidRPr="00154216">
        <w:rPr>
          <w:rStyle w:val="Refdenotaalfinal"/>
          <w:lang w:val="es-ES_tradnl"/>
        </w:rPr>
        <w:endnoteReference w:id="207"/>
      </w:r>
      <w:r w:rsidR="00F7345D">
        <w:rPr>
          <w:lang w:val="es-ES_tradnl"/>
        </w:rPr>
        <w:t>,</w:t>
      </w:r>
      <w:r w:rsidRPr="00154216">
        <w:rPr>
          <w:rStyle w:val="Refdenotaalfinal"/>
          <w:lang w:val="es-ES_tradnl"/>
        </w:rPr>
        <w:t xml:space="preserve"> </w:t>
      </w:r>
      <w:r w:rsidRPr="00154216">
        <w:rPr>
          <w:lang w:val="es-ES_tradnl"/>
        </w:rPr>
        <w:t>que ofrece a los empleadores una orientación exhaustiva sobre el empleo de las personas con discapacidad (en particular en el sector público)</w:t>
      </w:r>
      <w:r w:rsidR="00C6463B">
        <w:rPr>
          <w:lang w:val="es-ES_tradnl"/>
        </w:rPr>
        <w:t>.</w:t>
      </w:r>
    </w:p>
    <w:p w14:paraId="35521330" w14:textId="77777777" w:rsidR="00154216" w:rsidRPr="00154216" w:rsidRDefault="00154216" w:rsidP="00F7345D">
      <w:pPr>
        <w:pStyle w:val="Bullet1G"/>
        <w:rPr>
          <w:lang w:val="es-ES_tradnl"/>
        </w:rPr>
      </w:pPr>
      <w:r w:rsidRPr="00154216">
        <w:rPr>
          <w:lang w:val="es-ES_tradnl"/>
        </w:rPr>
        <w:t xml:space="preserve">La puesta en marcha del programa </w:t>
      </w:r>
      <w:proofErr w:type="spellStart"/>
      <w:r w:rsidRPr="00154216">
        <w:rPr>
          <w:lang w:val="es-ES_tradnl"/>
        </w:rPr>
        <w:t>Oranga</w:t>
      </w:r>
      <w:proofErr w:type="spellEnd"/>
      <w:r w:rsidRPr="00154216">
        <w:rPr>
          <w:lang w:val="es-ES_tradnl"/>
        </w:rPr>
        <w:t xml:space="preserve"> </w:t>
      </w:r>
      <w:proofErr w:type="spellStart"/>
      <w:r w:rsidRPr="00154216">
        <w:rPr>
          <w:lang w:val="es-ES_tradnl"/>
        </w:rPr>
        <w:t>Mahi</w:t>
      </w:r>
      <w:proofErr w:type="spellEnd"/>
      <w:r w:rsidRPr="00154216">
        <w:rPr>
          <w:rStyle w:val="Refdenotaalfinal"/>
          <w:lang w:val="es-ES_tradnl"/>
        </w:rPr>
        <w:endnoteReference w:id="208"/>
      </w:r>
      <w:r w:rsidRPr="00154216">
        <w:rPr>
          <w:rStyle w:val="Refdenotaalfinal"/>
          <w:lang w:val="es-ES_tradnl"/>
        </w:rPr>
        <w:t xml:space="preserve"> </w:t>
      </w:r>
      <w:r w:rsidRPr="00154216">
        <w:rPr>
          <w:lang w:val="es-ES_tradnl"/>
        </w:rPr>
        <w:t>(en 2016/17) para ensayar y evaluar nuevas modalidades de apoyo sanitario, social y laboral integrado a las personas que tienen problemas de salud o discapacidad</w:t>
      </w:r>
      <w:r w:rsidRPr="00154216">
        <w:rPr>
          <w:rStyle w:val="Refdenotaalfinal"/>
          <w:lang w:val="es-ES_tradnl"/>
        </w:rPr>
        <w:endnoteReference w:id="209"/>
      </w:r>
      <w:r w:rsidR="00F7345D">
        <w:rPr>
          <w:lang w:val="es-ES_tradnl"/>
        </w:rPr>
        <w:t>.</w:t>
      </w:r>
      <w:r w:rsidRPr="00154216">
        <w:rPr>
          <w:rStyle w:val="Refdenotaalfinal"/>
          <w:lang w:val="es-ES_tradnl"/>
        </w:rPr>
        <w:t xml:space="preserve"> </w:t>
      </w:r>
      <w:r w:rsidRPr="00154216">
        <w:rPr>
          <w:lang w:val="es-ES_tradnl"/>
        </w:rPr>
        <w:t xml:space="preserve">Por ejemplo, en </w:t>
      </w:r>
      <w:proofErr w:type="spellStart"/>
      <w:r w:rsidRPr="00154216">
        <w:rPr>
          <w:lang w:val="es-ES_tradnl"/>
        </w:rPr>
        <w:t>Waitemata</w:t>
      </w:r>
      <w:proofErr w:type="spellEnd"/>
      <w:r w:rsidRPr="00154216">
        <w:rPr>
          <w:rStyle w:val="Refdenotaalfinal"/>
          <w:lang w:val="es-ES_tradnl"/>
        </w:rPr>
        <w:endnoteReference w:id="210"/>
      </w:r>
      <w:r w:rsidRPr="00154216">
        <w:rPr>
          <w:rStyle w:val="Refdenotaalfinal"/>
          <w:lang w:val="es-ES_tradnl"/>
        </w:rPr>
        <w:t xml:space="preserve"> </w:t>
      </w:r>
      <w:r w:rsidRPr="00154216">
        <w:rPr>
          <w:lang w:val="es-ES_tradnl"/>
        </w:rPr>
        <w:t>se aplica un prototipo del sistema de colocación y apoyo individual que integra los servicios de empleo y de salud mental para ayudar a las personas con graves trastornos de salud mental a encontrar trabajo y conservarlo.</w:t>
      </w:r>
    </w:p>
    <w:p w14:paraId="28B6D80E" w14:textId="77777777" w:rsidR="00154216" w:rsidRPr="00154216" w:rsidRDefault="00154216" w:rsidP="00154216">
      <w:pPr>
        <w:pStyle w:val="SingleTxtG"/>
        <w:rPr>
          <w:lang w:val="es-ES_tradnl"/>
        </w:rPr>
      </w:pPr>
      <w:r w:rsidRPr="00154216">
        <w:rPr>
          <w:lang w:val="es-ES_tradnl"/>
        </w:rPr>
        <w:t>312.</w:t>
      </w:r>
      <w:r w:rsidRPr="00154216">
        <w:rPr>
          <w:lang w:val="es-ES_tradnl"/>
        </w:rPr>
        <w:tab/>
        <w:t>No contamos con políticas específicas para aumentar las tasas de empleo de las mujeres ni de la población maorí o del Pacífico con discapacidad.</w:t>
      </w:r>
    </w:p>
    <w:p w14:paraId="098B4CBC" w14:textId="77777777" w:rsidR="00154216" w:rsidRPr="00154216" w:rsidRDefault="00154216" w:rsidP="00F7345D">
      <w:pPr>
        <w:pStyle w:val="H23G"/>
        <w:rPr>
          <w:lang w:val="es-ES_tradnl"/>
        </w:rPr>
      </w:pPr>
      <w:r w:rsidRPr="00154216">
        <w:rPr>
          <w:lang w:val="es-ES_tradnl"/>
        </w:rPr>
        <w:tab/>
      </w:r>
      <w:r w:rsidRPr="00154216">
        <w:rPr>
          <w:lang w:val="es-ES_tradnl"/>
        </w:rPr>
        <w:tab/>
        <w:t xml:space="preserve">Respuesta al párrafo 25 b)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 xml:space="preserve">/2-3 </w:t>
      </w:r>
    </w:p>
    <w:p w14:paraId="400B6BE3" w14:textId="77777777" w:rsidR="00154216" w:rsidRPr="00154216" w:rsidRDefault="00154216" w:rsidP="00154216">
      <w:pPr>
        <w:pStyle w:val="SingleTxtG"/>
        <w:rPr>
          <w:lang w:val="es-ES_tradnl"/>
        </w:rPr>
      </w:pPr>
      <w:bookmarkStart w:id="5" w:name="_Hlk512422845"/>
      <w:r w:rsidRPr="00154216">
        <w:rPr>
          <w:lang w:val="es-ES_tradnl"/>
        </w:rPr>
        <w:t>313.</w:t>
      </w:r>
      <w:r w:rsidRPr="00154216">
        <w:rPr>
          <w:lang w:val="es-ES_tradnl"/>
        </w:rPr>
        <w:tab/>
        <w:t>Los talleres protegidos tradicionales en Nueva Zelandia se desmantelaron tras la derogación en 2007 de la Ley de Promoción del Empleo de las Personas con Discapacidad de 1960</w:t>
      </w:r>
      <w:r w:rsidRPr="00154216">
        <w:rPr>
          <w:rStyle w:val="Refdenotaalfinal"/>
          <w:lang w:val="es-ES_tradnl"/>
        </w:rPr>
        <w:endnoteReference w:id="211"/>
      </w:r>
      <w:r w:rsidR="00F7345D">
        <w:rPr>
          <w:lang w:val="es-ES_tradnl"/>
        </w:rPr>
        <w:t>.</w:t>
      </w:r>
      <w:r w:rsidRPr="00154216">
        <w:rPr>
          <w:lang w:val="es-ES_tradnl"/>
        </w:rPr>
        <w:t xml:space="preserve"> Muchos proveedores decidieron cerrar esos talleres para pasar a ofrecer otro tipo de actividades a las personas con discapacidad.</w:t>
      </w:r>
    </w:p>
    <w:p w14:paraId="1136C806" w14:textId="77777777" w:rsidR="00154216" w:rsidRPr="00154216" w:rsidRDefault="00154216" w:rsidP="00154216">
      <w:pPr>
        <w:pStyle w:val="SingleTxtG"/>
        <w:rPr>
          <w:lang w:val="es-ES_tradnl"/>
        </w:rPr>
      </w:pPr>
      <w:r w:rsidRPr="00154216">
        <w:rPr>
          <w:lang w:val="es-ES_tradnl"/>
        </w:rPr>
        <w:t>314.</w:t>
      </w:r>
      <w:r w:rsidRPr="00154216">
        <w:rPr>
          <w:lang w:val="es-ES_tradnl"/>
        </w:rPr>
        <w:tab/>
        <w:t xml:space="preserve">Los proveedores que siguen ofreciendo oportunidades de empleo protegido son empresas comerciales propiamente dichas. El Gobierno aporta recursos financieros a las empresas comerciales para que presten apoyo profesional y laboral a las personas con discapacidad. </w:t>
      </w:r>
    </w:p>
    <w:p w14:paraId="7DA43883" w14:textId="77777777" w:rsidR="00154216" w:rsidRPr="00154216" w:rsidRDefault="00154216" w:rsidP="00154216">
      <w:pPr>
        <w:pStyle w:val="SingleTxtG"/>
        <w:rPr>
          <w:lang w:val="es-ES_tradnl"/>
        </w:rPr>
      </w:pPr>
      <w:r w:rsidRPr="00154216">
        <w:rPr>
          <w:lang w:val="es-ES_tradnl"/>
        </w:rPr>
        <w:t>315.</w:t>
      </w:r>
      <w:r w:rsidRPr="00154216">
        <w:rPr>
          <w:lang w:val="es-ES_tradnl"/>
        </w:rPr>
        <w:tab/>
        <w:t>El Gobierno está estudiando mejores alternativas para poder suprimir la disposición eximente del pago del salario mínimo</w:t>
      </w:r>
      <w:r w:rsidRPr="00154216">
        <w:rPr>
          <w:rStyle w:val="Refdenotaalfinal"/>
          <w:lang w:val="es-ES_tradnl"/>
        </w:rPr>
        <w:endnoteReference w:id="212"/>
      </w:r>
      <w:r w:rsidRPr="00154216">
        <w:rPr>
          <w:rStyle w:val="Refdenotaalfinal"/>
          <w:lang w:val="es-ES_tradnl"/>
        </w:rPr>
        <w:t xml:space="preserve"> </w:t>
      </w:r>
      <w:r w:rsidRPr="00154216">
        <w:rPr>
          <w:rStyle w:val="Refdenotaalfinal"/>
          <w:lang w:val="es-ES_tradnl"/>
        </w:rPr>
        <w:endnoteReference w:id="213"/>
      </w:r>
      <w:r w:rsidR="00F7345D">
        <w:rPr>
          <w:rStyle w:val="Refdenotaalfinal"/>
          <w:vertAlign w:val="baseline"/>
          <w:lang w:val="es-ES_tradnl"/>
        </w:rPr>
        <w:t>.</w:t>
      </w:r>
    </w:p>
    <w:p w14:paraId="2018EB7C" w14:textId="77777777" w:rsidR="00154216" w:rsidRPr="00154216" w:rsidRDefault="00154216" w:rsidP="00154216">
      <w:pPr>
        <w:pStyle w:val="SingleTxtG"/>
        <w:rPr>
          <w:lang w:val="es-ES_tradnl"/>
        </w:rPr>
      </w:pPr>
      <w:r w:rsidRPr="00154216">
        <w:rPr>
          <w:lang w:val="es-ES_tradnl"/>
        </w:rPr>
        <w:t>316.</w:t>
      </w:r>
      <w:r w:rsidRPr="00154216">
        <w:rPr>
          <w:lang w:val="es-ES_tradnl"/>
        </w:rPr>
        <w:tab/>
        <w:t xml:space="preserve">En 2016, el Gobierno examinó conjuntamente con representantes del sector de la discapacidad la forma de revocar esa disposición. En ese proceso se puso de relieve la importancia de proteger las oportunidades de empleo ya existentes para las personas con discapacidad. </w:t>
      </w:r>
    </w:p>
    <w:p w14:paraId="770EAB1E" w14:textId="77777777" w:rsidR="00154216" w:rsidRPr="00154216" w:rsidRDefault="00154216" w:rsidP="00154216">
      <w:pPr>
        <w:pStyle w:val="SingleTxtG"/>
        <w:rPr>
          <w:lang w:val="es-ES_tradnl"/>
        </w:rPr>
      </w:pPr>
      <w:r w:rsidRPr="00154216">
        <w:rPr>
          <w:lang w:val="es-ES_tradnl"/>
        </w:rPr>
        <w:t>317.</w:t>
      </w:r>
      <w:r w:rsidRPr="00154216">
        <w:rPr>
          <w:lang w:val="es-ES_tradnl"/>
        </w:rPr>
        <w:tab/>
        <w:t>Desde principios de 2019 se celebran consultas para elaborar un sistema que garantice el salario mínimo a las personas con discapacidad actualmente sujetas a la exención.</w:t>
      </w:r>
    </w:p>
    <w:p w14:paraId="08C78B26" w14:textId="77777777" w:rsidR="00154216" w:rsidRPr="00154216" w:rsidRDefault="00154216" w:rsidP="00F7345D">
      <w:pPr>
        <w:pStyle w:val="H23G"/>
        <w:rPr>
          <w:lang w:val="es-ES_tradnl"/>
        </w:rPr>
      </w:pPr>
      <w:r w:rsidRPr="00154216">
        <w:rPr>
          <w:lang w:val="es-ES_tradnl"/>
        </w:rPr>
        <w:tab/>
      </w:r>
      <w:r w:rsidRPr="00154216">
        <w:rPr>
          <w:lang w:val="es-ES_tradnl"/>
        </w:rPr>
        <w:tab/>
        <w:t xml:space="preserve">Respuesta al párrafo 25 c)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 xml:space="preserve">/2-3 </w:t>
      </w:r>
    </w:p>
    <w:bookmarkEnd w:id="5"/>
    <w:p w14:paraId="6A31DDFC" w14:textId="77777777" w:rsidR="00154216" w:rsidRPr="00154216" w:rsidRDefault="00154216" w:rsidP="00154216">
      <w:pPr>
        <w:pStyle w:val="SingleTxtG"/>
        <w:rPr>
          <w:lang w:val="es-ES_tradnl"/>
        </w:rPr>
      </w:pPr>
      <w:r w:rsidRPr="00154216">
        <w:rPr>
          <w:lang w:val="es-ES_tradnl"/>
        </w:rPr>
        <w:t>318.</w:t>
      </w:r>
      <w:r w:rsidRPr="00154216">
        <w:rPr>
          <w:lang w:val="es-ES_tradnl"/>
        </w:rPr>
        <w:tab/>
        <w:t>La Encuesta de la Fuerza de Trabajo en los Hogares</w:t>
      </w:r>
      <w:r w:rsidRPr="00154216">
        <w:rPr>
          <w:rStyle w:val="Refdenotaalfinal"/>
          <w:lang w:val="es-ES_tradnl"/>
        </w:rPr>
        <w:endnoteReference w:id="214"/>
      </w:r>
      <w:r w:rsidRPr="00154216">
        <w:rPr>
          <w:rStyle w:val="Refdenotaalfinal"/>
          <w:lang w:val="es-ES_tradnl"/>
        </w:rPr>
        <w:t xml:space="preserve"> </w:t>
      </w:r>
      <w:r w:rsidRPr="00154216">
        <w:rPr>
          <w:lang w:val="es-ES_tradnl"/>
        </w:rPr>
        <w:t>no arroja datos de la discapacidad desglosados por grupo étnico, condición familiar o población urbana y rural porque hay altos índices de error de muestreo en estas estimaciones.</w:t>
      </w:r>
    </w:p>
    <w:p w14:paraId="161DFAB2" w14:textId="77777777" w:rsidR="00154216" w:rsidRPr="00154216" w:rsidRDefault="00154216" w:rsidP="00154216">
      <w:pPr>
        <w:pStyle w:val="SingleTxtG"/>
        <w:rPr>
          <w:lang w:val="es-ES_tradnl"/>
        </w:rPr>
      </w:pPr>
      <w:r w:rsidRPr="00154216">
        <w:rPr>
          <w:lang w:val="es-ES_tradnl"/>
        </w:rPr>
        <w:t>319.</w:t>
      </w:r>
      <w:r w:rsidRPr="00154216">
        <w:rPr>
          <w:lang w:val="es-ES_tradnl"/>
        </w:rPr>
        <w:tab/>
        <w:t>Los datos sobre el empleo muestran que:</w:t>
      </w:r>
    </w:p>
    <w:p w14:paraId="17273298" w14:textId="77777777" w:rsidR="00154216" w:rsidRPr="00154216" w:rsidRDefault="00154216" w:rsidP="00F7345D">
      <w:pPr>
        <w:pStyle w:val="Bullet1G"/>
        <w:rPr>
          <w:lang w:val="es-ES_tradnl"/>
        </w:rPr>
      </w:pPr>
      <w:r w:rsidRPr="00154216">
        <w:rPr>
          <w:lang w:val="es-ES_tradnl"/>
        </w:rPr>
        <w:t>Los adultos con discapacidad tienen menores tasas de participación en la fuerza de trabajo y el empleo que los adultos sin discapacidad</w:t>
      </w:r>
      <w:r w:rsidR="00F7345D">
        <w:rPr>
          <w:lang w:val="es-ES_tradnl"/>
        </w:rPr>
        <w:t>.</w:t>
      </w:r>
    </w:p>
    <w:p w14:paraId="55CC9FF9" w14:textId="77777777" w:rsidR="00154216" w:rsidRPr="00154216" w:rsidRDefault="00154216" w:rsidP="00F7345D">
      <w:pPr>
        <w:pStyle w:val="Bullet1G"/>
        <w:rPr>
          <w:lang w:val="es-ES_tradnl"/>
        </w:rPr>
      </w:pPr>
      <w:r w:rsidRPr="00154216">
        <w:rPr>
          <w:lang w:val="es-ES_tradnl"/>
        </w:rPr>
        <w:t>Los adultos con discapacidad registran una tasa más alta de desempleo que los adultos sin discapacidad.</w:t>
      </w:r>
    </w:p>
    <w:p w14:paraId="2621FA7C" w14:textId="77777777" w:rsidR="00154216" w:rsidRPr="00154216" w:rsidRDefault="00F7345D" w:rsidP="00F7345D">
      <w:pPr>
        <w:pStyle w:val="H23G"/>
        <w:rPr>
          <w:lang w:val="es-ES_tradnl"/>
        </w:rPr>
      </w:pPr>
      <w:r>
        <w:rPr>
          <w:lang w:val="es-ES_tradnl"/>
        </w:rPr>
        <w:lastRenderedPageBreak/>
        <w:tab/>
      </w:r>
      <w:r>
        <w:rPr>
          <w:lang w:val="es-ES_tradnl"/>
        </w:rPr>
        <w:tab/>
      </w:r>
      <w:r w:rsidR="00154216" w:rsidRPr="00D72CC0">
        <w:rPr>
          <w:b w:val="0"/>
          <w:bCs/>
          <w:lang w:val="es-ES_tradnl"/>
        </w:rPr>
        <w:t>Cuadro</w:t>
      </w:r>
      <w:r>
        <w:rPr>
          <w:lang w:val="es-ES_tradnl"/>
        </w:rPr>
        <w:br/>
      </w:r>
      <w:r w:rsidR="00154216" w:rsidRPr="00154216">
        <w:rPr>
          <w:lang w:val="es-ES_tradnl"/>
        </w:rPr>
        <w:t xml:space="preserve">Estadísticas del mercado de trabajo (discapacidad): trimestres finalizados </w:t>
      </w:r>
      <w:r w:rsidR="00D72CC0">
        <w:rPr>
          <w:lang w:val="es-ES_tradnl"/>
        </w:rPr>
        <w:br/>
      </w:r>
      <w:r w:rsidR="00154216" w:rsidRPr="00154216">
        <w:rPr>
          <w:lang w:val="es-ES_tradnl"/>
        </w:rPr>
        <w:t>en junio</w:t>
      </w:r>
      <w:r w:rsidR="00154216" w:rsidRPr="00F7345D">
        <w:rPr>
          <w:rStyle w:val="Refdenotaalfinal"/>
          <w:b w:val="0"/>
          <w:bCs/>
          <w:lang w:val="es-ES_tradnl"/>
        </w:rPr>
        <w:endnoteReference w:id="215"/>
      </w:r>
      <w:r w:rsidR="00D72CC0">
        <w:rPr>
          <w:lang w:val="es-ES_tradnl"/>
        </w:rPr>
        <w:br/>
      </w:r>
      <w:r w:rsidR="00D72CC0" w:rsidRPr="00D72CC0">
        <w:rPr>
          <w:b w:val="0"/>
          <w:bCs/>
          <w:sz w:val="16"/>
          <w:szCs w:val="16"/>
          <w:lang w:val="es-ES_tradnl"/>
        </w:rPr>
        <w:t>(En porcentaje)</w:t>
      </w:r>
    </w:p>
    <w:tbl>
      <w:tblPr>
        <w:tblStyle w:val="TableGridLight1"/>
        <w:tblW w:w="7370" w:type="dxa"/>
        <w:tblInd w:w="113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07"/>
        <w:gridCol w:w="1985"/>
        <w:gridCol w:w="1190"/>
        <w:gridCol w:w="1188"/>
      </w:tblGrid>
      <w:tr w:rsidR="003665BE" w:rsidRPr="00E97F5F" w14:paraId="6694BA30" w14:textId="77777777" w:rsidTr="000E4161">
        <w:trPr>
          <w:trHeight w:val="240"/>
          <w:tblHeader/>
        </w:trPr>
        <w:tc>
          <w:tcPr>
            <w:tcW w:w="2040" w:type="pct"/>
            <w:vMerge w:val="restart"/>
            <w:tcBorders>
              <w:top w:val="single" w:sz="4" w:space="0" w:color="auto"/>
              <w:left w:val="single" w:sz="24" w:space="0" w:color="FFFFFF" w:themeColor="background1"/>
            </w:tcBorders>
            <w:shd w:val="clear" w:color="auto" w:fill="auto"/>
            <w:vAlign w:val="bottom"/>
            <w:hideMark/>
          </w:tcPr>
          <w:p w14:paraId="00933786" w14:textId="77777777" w:rsidR="003665BE" w:rsidRPr="00E97F5F" w:rsidRDefault="003665BE" w:rsidP="00C23886">
            <w:pPr>
              <w:pStyle w:val="SingleTxtG"/>
              <w:keepNext/>
              <w:keepLines/>
              <w:spacing w:before="80" w:after="80" w:line="200" w:lineRule="exact"/>
              <w:ind w:left="0" w:right="0"/>
              <w:jc w:val="left"/>
              <w:rPr>
                <w:rFonts w:ascii="Times New Roman" w:hAnsi="Times New Roman" w:cs="Times New Roman"/>
                <w:i/>
                <w:sz w:val="16"/>
                <w:lang w:val="es-ES_tradnl"/>
              </w:rPr>
            </w:pPr>
            <w:r w:rsidRPr="00E97F5F">
              <w:rPr>
                <w:rFonts w:ascii="Times New Roman" w:hAnsi="Times New Roman" w:cs="Times New Roman"/>
                <w:i/>
                <w:iCs/>
                <w:sz w:val="16"/>
                <w:lang w:val="es-ES_tradnl"/>
              </w:rPr>
              <w:t>Medida del mercado de trabajo</w:t>
            </w:r>
          </w:p>
        </w:tc>
        <w:tc>
          <w:tcPr>
            <w:tcW w:w="1347" w:type="pct"/>
            <w:vMerge w:val="restart"/>
            <w:tcBorders>
              <w:top w:val="single" w:sz="4" w:space="0" w:color="auto"/>
            </w:tcBorders>
            <w:shd w:val="clear" w:color="auto" w:fill="auto"/>
            <w:vAlign w:val="bottom"/>
            <w:hideMark/>
          </w:tcPr>
          <w:p w14:paraId="2AC5C64E" w14:textId="77777777" w:rsidR="003665BE" w:rsidRPr="00E97F5F" w:rsidRDefault="003665BE" w:rsidP="00C23886">
            <w:pPr>
              <w:pStyle w:val="SingleTxtG"/>
              <w:keepNext/>
              <w:keepLines/>
              <w:spacing w:before="80" w:after="80" w:line="200" w:lineRule="exact"/>
              <w:ind w:left="113" w:right="0"/>
              <w:jc w:val="right"/>
              <w:rPr>
                <w:rFonts w:ascii="Times New Roman" w:hAnsi="Times New Roman" w:cs="Times New Roman"/>
                <w:i/>
                <w:sz w:val="16"/>
                <w:lang w:val="es-ES_tradnl"/>
              </w:rPr>
            </w:pPr>
            <w:r w:rsidRPr="00E97F5F">
              <w:rPr>
                <w:rFonts w:ascii="Times New Roman" w:hAnsi="Times New Roman" w:cs="Times New Roman"/>
                <w:i/>
                <w:iCs/>
                <w:sz w:val="16"/>
                <w:lang w:val="es-ES_tradnl"/>
              </w:rPr>
              <w:t>Situación de discapacidad</w:t>
            </w:r>
          </w:p>
        </w:tc>
        <w:tc>
          <w:tcPr>
            <w:tcW w:w="1613" w:type="pct"/>
            <w:gridSpan w:val="2"/>
            <w:tcBorders>
              <w:top w:val="single" w:sz="4" w:space="0" w:color="auto"/>
              <w:bottom w:val="single" w:sz="4" w:space="0" w:color="auto"/>
            </w:tcBorders>
            <w:shd w:val="clear" w:color="auto" w:fill="auto"/>
            <w:vAlign w:val="bottom"/>
            <w:hideMark/>
          </w:tcPr>
          <w:p w14:paraId="005561C7" w14:textId="77777777" w:rsidR="003665BE" w:rsidRPr="00E97F5F" w:rsidRDefault="003665BE" w:rsidP="00C23886">
            <w:pPr>
              <w:pStyle w:val="SingleTxtG"/>
              <w:keepNext/>
              <w:keepLines/>
              <w:spacing w:before="80" w:after="80" w:line="200" w:lineRule="exact"/>
              <w:ind w:left="113" w:right="0"/>
              <w:jc w:val="center"/>
              <w:rPr>
                <w:rFonts w:ascii="Times New Roman" w:hAnsi="Times New Roman" w:cs="Times New Roman"/>
                <w:i/>
                <w:sz w:val="16"/>
                <w:lang w:val="es-ES_tradnl"/>
              </w:rPr>
            </w:pPr>
            <w:r w:rsidRPr="00E97F5F">
              <w:rPr>
                <w:rFonts w:ascii="Times New Roman" w:hAnsi="Times New Roman" w:cs="Times New Roman"/>
                <w:i/>
                <w:iCs/>
                <w:sz w:val="16"/>
                <w:lang w:val="es-ES_tradnl"/>
              </w:rPr>
              <w:t>Trimestre de encuesta</w:t>
            </w:r>
          </w:p>
        </w:tc>
      </w:tr>
      <w:tr w:rsidR="003665BE" w:rsidRPr="00E97F5F" w14:paraId="2D68D735" w14:textId="77777777" w:rsidTr="000E4161">
        <w:trPr>
          <w:trHeight w:val="240"/>
        </w:trPr>
        <w:tc>
          <w:tcPr>
            <w:tcW w:w="2040" w:type="pct"/>
            <w:vMerge/>
            <w:tcBorders>
              <w:left w:val="single" w:sz="24" w:space="0" w:color="FFFFFF" w:themeColor="background1"/>
              <w:bottom w:val="single" w:sz="12" w:space="0" w:color="auto"/>
            </w:tcBorders>
            <w:shd w:val="clear" w:color="auto" w:fill="auto"/>
          </w:tcPr>
          <w:p w14:paraId="72B7B00B" w14:textId="77777777" w:rsidR="003665BE" w:rsidRPr="00E97F5F" w:rsidRDefault="003665BE" w:rsidP="00C23886">
            <w:pPr>
              <w:pStyle w:val="SingleTxtG"/>
              <w:keepNext/>
              <w:keepLines/>
              <w:spacing w:before="40" w:after="40" w:line="220" w:lineRule="exact"/>
              <w:ind w:left="0" w:right="0"/>
              <w:jc w:val="left"/>
              <w:rPr>
                <w:rFonts w:ascii="Times New Roman" w:hAnsi="Times New Roman" w:cs="Times New Roman"/>
                <w:sz w:val="18"/>
                <w:lang w:val="es-ES_tradnl"/>
              </w:rPr>
            </w:pPr>
          </w:p>
        </w:tc>
        <w:tc>
          <w:tcPr>
            <w:tcW w:w="1347" w:type="pct"/>
            <w:vMerge/>
            <w:tcBorders>
              <w:bottom w:val="single" w:sz="12" w:space="0" w:color="auto"/>
            </w:tcBorders>
            <w:shd w:val="clear" w:color="auto" w:fill="auto"/>
            <w:vAlign w:val="bottom"/>
          </w:tcPr>
          <w:p w14:paraId="0BE99C6C" w14:textId="77777777" w:rsidR="003665BE" w:rsidRPr="00E97F5F" w:rsidRDefault="003665BE" w:rsidP="00C23886">
            <w:pPr>
              <w:pStyle w:val="SingleTxtG"/>
              <w:keepNext/>
              <w:keepLines/>
              <w:spacing w:before="40" w:after="40" w:line="220" w:lineRule="exact"/>
              <w:ind w:left="113" w:right="0"/>
              <w:jc w:val="right"/>
              <w:rPr>
                <w:rFonts w:ascii="Times New Roman" w:hAnsi="Times New Roman" w:cs="Times New Roman"/>
                <w:sz w:val="18"/>
                <w:lang w:val="es-ES_tradnl"/>
              </w:rPr>
            </w:pPr>
          </w:p>
        </w:tc>
        <w:tc>
          <w:tcPr>
            <w:tcW w:w="807" w:type="pct"/>
            <w:tcBorders>
              <w:top w:val="single" w:sz="4" w:space="0" w:color="auto"/>
              <w:bottom w:val="single" w:sz="12" w:space="0" w:color="auto"/>
            </w:tcBorders>
            <w:shd w:val="clear" w:color="auto" w:fill="auto"/>
            <w:vAlign w:val="bottom"/>
            <w:hideMark/>
          </w:tcPr>
          <w:p w14:paraId="1C22899E" w14:textId="77777777" w:rsidR="003665BE" w:rsidRPr="00E97F5F" w:rsidRDefault="003665BE" w:rsidP="000E4161">
            <w:pPr>
              <w:pStyle w:val="SingleTxtG"/>
              <w:keepNext/>
              <w:keepLines/>
              <w:spacing w:before="80" w:after="80" w:line="200" w:lineRule="exact"/>
              <w:ind w:left="113" w:right="0"/>
              <w:jc w:val="right"/>
              <w:rPr>
                <w:rFonts w:ascii="Times New Roman" w:hAnsi="Times New Roman" w:cs="Times New Roman"/>
                <w:i/>
                <w:iCs/>
                <w:sz w:val="16"/>
                <w:lang w:val="es-ES_tradnl"/>
              </w:rPr>
            </w:pPr>
            <w:r w:rsidRPr="00E97F5F">
              <w:rPr>
                <w:rFonts w:ascii="Times New Roman" w:hAnsi="Times New Roman" w:cs="Times New Roman"/>
                <w:i/>
                <w:iCs/>
                <w:sz w:val="16"/>
                <w:lang w:val="es-ES_tradnl"/>
              </w:rPr>
              <w:t>junio de 2017</w:t>
            </w:r>
          </w:p>
        </w:tc>
        <w:tc>
          <w:tcPr>
            <w:tcW w:w="807" w:type="pct"/>
            <w:tcBorders>
              <w:top w:val="single" w:sz="4" w:space="0" w:color="auto"/>
              <w:bottom w:val="single" w:sz="12" w:space="0" w:color="auto"/>
            </w:tcBorders>
            <w:shd w:val="clear" w:color="auto" w:fill="auto"/>
            <w:vAlign w:val="bottom"/>
            <w:hideMark/>
          </w:tcPr>
          <w:p w14:paraId="74063695" w14:textId="77777777" w:rsidR="003665BE" w:rsidRPr="00E97F5F" w:rsidRDefault="003665BE" w:rsidP="000E4161">
            <w:pPr>
              <w:pStyle w:val="SingleTxtG"/>
              <w:keepNext/>
              <w:keepLines/>
              <w:spacing w:before="80" w:after="80" w:line="200" w:lineRule="exact"/>
              <w:ind w:left="113" w:right="0"/>
              <w:jc w:val="right"/>
              <w:rPr>
                <w:rFonts w:ascii="Times New Roman" w:hAnsi="Times New Roman" w:cs="Times New Roman"/>
                <w:i/>
                <w:iCs/>
                <w:sz w:val="16"/>
                <w:lang w:val="es-ES_tradnl"/>
              </w:rPr>
            </w:pPr>
            <w:r w:rsidRPr="00E97F5F">
              <w:rPr>
                <w:rFonts w:ascii="Times New Roman" w:hAnsi="Times New Roman" w:cs="Times New Roman"/>
                <w:i/>
                <w:iCs/>
                <w:sz w:val="16"/>
                <w:lang w:val="es-ES_tradnl"/>
              </w:rPr>
              <w:t>junio de 2018</w:t>
            </w:r>
          </w:p>
        </w:tc>
      </w:tr>
      <w:tr w:rsidR="00154216" w:rsidRPr="00E97F5F" w14:paraId="6A49D4CD" w14:textId="77777777" w:rsidTr="000E4161">
        <w:trPr>
          <w:trHeight w:val="240"/>
        </w:trPr>
        <w:tc>
          <w:tcPr>
            <w:tcW w:w="2040" w:type="pct"/>
            <w:tcBorders>
              <w:top w:val="single" w:sz="12" w:space="0" w:color="auto"/>
              <w:left w:val="single" w:sz="24" w:space="0" w:color="FFFFFF" w:themeColor="background1"/>
            </w:tcBorders>
            <w:shd w:val="clear" w:color="auto" w:fill="auto"/>
            <w:hideMark/>
          </w:tcPr>
          <w:p w14:paraId="2A14E771" w14:textId="77777777" w:rsidR="00154216" w:rsidRPr="00E97F5F" w:rsidRDefault="00154216" w:rsidP="00C23886">
            <w:pPr>
              <w:pStyle w:val="SingleTxtG"/>
              <w:keepNext/>
              <w:keepLines/>
              <w:spacing w:before="40" w:after="40" w:line="220" w:lineRule="exact"/>
              <w:ind w:left="0" w:right="0"/>
              <w:jc w:val="left"/>
              <w:rPr>
                <w:rFonts w:ascii="Times New Roman" w:hAnsi="Times New Roman" w:cs="Times New Roman"/>
                <w:sz w:val="18"/>
                <w:lang w:val="es-ES_tradnl"/>
              </w:rPr>
            </w:pPr>
            <w:r w:rsidRPr="00E97F5F">
              <w:rPr>
                <w:rFonts w:ascii="Times New Roman" w:hAnsi="Times New Roman" w:cs="Times New Roman"/>
                <w:sz w:val="18"/>
                <w:lang w:val="es-ES_tradnl"/>
              </w:rPr>
              <w:t xml:space="preserve">Tasa de participación en la fuerza </w:t>
            </w:r>
            <w:r w:rsidR="006A28F6">
              <w:rPr>
                <w:rFonts w:ascii="Times New Roman" w:hAnsi="Times New Roman" w:cs="Times New Roman"/>
                <w:sz w:val="18"/>
                <w:lang w:val="es-ES_tradnl"/>
              </w:rPr>
              <w:br/>
            </w:r>
            <w:r w:rsidRPr="00E97F5F">
              <w:rPr>
                <w:rFonts w:ascii="Times New Roman" w:hAnsi="Times New Roman" w:cs="Times New Roman"/>
                <w:sz w:val="18"/>
                <w:lang w:val="es-ES_tradnl"/>
              </w:rPr>
              <w:t>de trabajo</w:t>
            </w:r>
          </w:p>
        </w:tc>
        <w:tc>
          <w:tcPr>
            <w:tcW w:w="1347" w:type="pct"/>
            <w:tcBorders>
              <w:top w:val="single" w:sz="12" w:space="0" w:color="auto"/>
            </w:tcBorders>
            <w:shd w:val="clear" w:color="auto" w:fill="auto"/>
            <w:vAlign w:val="bottom"/>
            <w:hideMark/>
          </w:tcPr>
          <w:p w14:paraId="7EFFB60F" w14:textId="77777777" w:rsidR="00154216" w:rsidRPr="00E97F5F" w:rsidRDefault="00154216" w:rsidP="00C23886">
            <w:pPr>
              <w:pStyle w:val="SingleTxtG"/>
              <w:keepNext/>
              <w:keepLines/>
              <w:spacing w:before="40" w:after="40" w:line="220" w:lineRule="exact"/>
              <w:ind w:left="113" w:right="0"/>
              <w:jc w:val="right"/>
              <w:rPr>
                <w:rFonts w:ascii="Times New Roman" w:hAnsi="Times New Roman" w:cs="Times New Roman"/>
                <w:sz w:val="18"/>
                <w:lang w:val="es-ES_tradnl"/>
              </w:rPr>
            </w:pPr>
            <w:r w:rsidRPr="00E97F5F">
              <w:rPr>
                <w:rFonts w:ascii="Times New Roman" w:hAnsi="Times New Roman" w:cs="Times New Roman"/>
                <w:sz w:val="18"/>
                <w:lang w:val="es-ES_tradnl"/>
              </w:rPr>
              <w:t>Adultos con discapacidad</w:t>
            </w:r>
          </w:p>
        </w:tc>
        <w:tc>
          <w:tcPr>
            <w:tcW w:w="807" w:type="pct"/>
            <w:tcBorders>
              <w:top w:val="single" w:sz="12" w:space="0" w:color="auto"/>
            </w:tcBorders>
            <w:shd w:val="clear" w:color="auto" w:fill="auto"/>
            <w:vAlign w:val="bottom"/>
            <w:hideMark/>
          </w:tcPr>
          <w:p w14:paraId="32F85FC0" w14:textId="77777777" w:rsidR="00154216" w:rsidRPr="00E97F5F" w:rsidRDefault="00154216" w:rsidP="00C23886">
            <w:pPr>
              <w:pStyle w:val="SingleTxtG"/>
              <w:keepNext/>
              <w:keepLines/>
              <w:spacing w:before="40" w:after="40" w:line="220" w:lineRule="exact"/>
              <w:ind w:left="113" w:right="0"/>
              <w:jc w:val="right"/>
              <w:rPr>
                <w:rFonts w:ascii="Times New Roman" w:hAnsi="Times New Roman" w:cs="Times New Roman"/>
                <w:sz w:val="18"/>
                <w:lang w:val="es-ES_tradnl"/>
              </w:rPr>
            </w:pPr>
            <w:r w:rsidRPr="00E97F5F">
              <w:rPr>
                <w:rFonts w:ascii="Times New Roman" w:hAnsi="Times New Roman" w:cs="Times New Roman"/>
                <w:sz w:val="18"/>
                <w:lang w:val="es-ES_tradnl"/>
              </w:rPr>
              <w:t>25,2</w:t>
            </w:r>
          </w:p>
        </w:tc>
        <w:tc>
          <w:tcPr>
            <w:tcW w:w="807" w:type="pct"/>
            <w:tcBorders>
              <w:top w:val="single" w:sz="12" w:space="0" w:color="auto"/>
            </w:tcBorders>
            <w:shd w:val="clear" w:color="auto" w:fill="auto"/>
            <w:vAlign w:val="bottom"/>
            <w:hideMark/>
          </w:tcPr>
          <w:p w14:paraId="7D7E1DCA" w14:textId="77777777" w:rsidR="00154216" w:rsidRPr="00E97F5F" w:rsidRDefault="00154216" w:rsidP="00C23886">
            <w:pPr>
              <w:pStyle w:val="SingleTxtG"/>
              <w:keepNext/>
              <w:keepLines/>
              <w:spacing w:before="40" w:after="40" w:line="220" w:lineRule="exact"/>
              <w:ind w:left="113" w:right="0"/>
              <w:jc w:val="right"/>
              <w:rPr>
                <w:rStyle w:val="Refdenotaalfinal"/>
                <w:rFonts w:cs="Times New Roman"/>
                <w:vertAlign w:val="baseline"/>
                <w:lang w:val="es-ES_tradnl"/>
              </w:rPr>
            </w:pPr>
            <w:r w:rsidRPr="00E97F5F">
              <w:rPr>
                <w:rFonts w:ascii="Times New Roman" w:hAnsi="Times New Roman" w:cs="Times New Roman"/>
                <w:sz w:val="18"/>
                <w:lang w:val="es-ES_tradnl"/>
              </w:rPr>
              <w:t>25,0</w:t>
            </w:r>
            <w:r w:rsidRPr="00EE7321">
              <w:rPr>
                <w:rStyle w:val="Refdenotaalfinal"/>
                <w:rFonts w:cs="Times New Roman"/>
                <w:lang w:val="es-ES_tradnl"/>
              </w:rPr>
              <w:endnoteReference w:id="216"/>
            </w:r>
          </w:p>
        </w:tc>
      </w:tr>
      <w:tr w:rsidR="00154216" w:rsidRPr="00E97F5F" w14:paraId="7DC3BDD7" w14:textId="77777777" w:rsidTr="000E4161">
        <w:trPr>
          <w:trHeight w:val="240"/>
        </w:trPr>
        <w:tc>
          <w:tcPr>
            <w:tcW w:w="2040" w:type="pct"/>
            <w:tcBorders>
              <w:left w:val="single" w:sz="24" w:space="0" w:color="FFFFFF" w:themeColor="background1"/>
            </w:tcBorders>
            <w:shd w:val="clear" w:color="auto" w:fill="auto"/>
            <w:hideMark/>
          </w:tcPr>
          <w:p w14:paraId="2D75B795" w14:textId="77777777" w:rsidR="00154216" w:rsidRPr="00E97F5F" w:rsidRDefault="00154216" w:rsidP="00E97F5F">
            <w:pPr>
              <w:pStyle w:val="SingleTxtG"/>
              <w:spacing w:before="40" w:after="40" w:line="220" w:lineRule="exact"/>
              <w:ind w:left="0" w:right="0"/>
              <w:jc w:val="left"/>
              <w:rPr>
                <w:rFonts w:ascii="Times New Roman" w:hAnsi="Times New Roman" w:cs="Times New Roman"/>
                <w:sz w:val="18"/>
                <w:lang w:val="es-ES_tradnl"/>
              </w:rPr>
            </w:pPr>
            <w:r w:rsidRPr="00E97F5F">
              <w:rPr>
                <w:rFonts w:ascii="Times New Roman" w:hAnsi="Times New Roman" w:cs="Times New Roman"/>
                <w:sz w:val="18"/>
                <w:lang w:val="es-ES_tradnl"/>
              </w:rPr>
              <w:t xml:space="preserve">Tasa de participación en la fuerza </w:t>
            </w:r>
            <w:r w:rsidR="001B1172">
              <w:rPr>
                <w:rFonts w:ascii="Times New Roman" w:hAnsi="Times New Roman" w:cs="Times New Roman"/>
                <w:sz w:val="18"/>
                <w:lang w:val="es-ES_tradnl"/>
              </w:rPr>
              <w:br/>
            </w:r>
            <w:r w:rsidRPr="00E97F5F">
              <w:rPr>
                <w:rFonts w:ascii="Times New Roman" w:hAnsi="Times New Roman" w:cs="Times New Roman"/>
                <w:sz w:val="18"/>
                <w:lang w:val="es-ES_tradnl"/>
              </w:rPr>
              <w:t>de trabajo</w:t>
            </w:r>
          </w:p>
        </w:tc>
        <w:tc>
          <w:tcPr>
            <w:tcW w:w="1347" w:type="pct"/>
            <w:shd w:val="clear" w:color="auto" w:fill="auto"/>
            <w:vAlign w:val="bottom"/>
            <w:hideMark/>
          </w:tcPr>
          <w:p w14:paraId="18109351" w14:textId="77777777" w:rsidR="00154216" w:rsidRPr="00E97F5F" w:rsidRDefault="00154216" w:rsidP="00E97F5F">
            <w:pPr>
              <w:pStyle w:val="SingleTxtG"/>
              <w:spacing w:before="40" w:after="40" w:line="220" w:lineRule="exact"/>
              <w:ind w:left="113" w:right="0"/>
              <w:jc w:val="right"/>
              <w:rPr>
                <w:rFonts w:ascii="Times New Roman" w:hAnsi="Times New Roman" w:cs="Times New Roman"/>
                <w:sz w:val="18"/>
                <w:lang w:val="es-ES_tradnl"/>
              </w:rPr>
            </w:pPr>
            <w:r w:rsidRPr="00E97F5F">
              <w:rPr>
                <w:rFonts w:ascii="Times New Roman" w:hAnsi="Times New Roman" w:cs="Times New Roman"/>
                <w:sz w:val="18"/>
                <w:lang w:val="es-ES_tradnl"/>
              </w:rPr>
              <w:t>Adultos sin discapacidad</w:t>
            </w:r>
          </w:p>
        </w:tc>
        <w:tc>
          <w:tcPr>
            <w:tcW w:w="807" w:type="pct"/>
            <w:shd w:val="clear" w:color="auto" w:fill="auto"/>
            <w:vAlign w:val="bottom"/>
            <w:hideMark/>
          </w:tcPr>
          <w:p w14:paraId="4EF04924" w14:textId="77777777" w:rsidR="00154216" w:rsidRPr="00E97F5F" w:rsidRDefault="00154216" w:rsidP="00E97F5F">
            <w:pPr>
              <w:pStyle w:val="SingleTxtG"/>
              <w:spacing w:before="40" w:after="40" w:line="220" w:lineRule="exact"/>
              <w:ind w:left="113" w:right="0"/>
              <w:jc w:val="right"/>
              <w:rPr>
                <w:rFonts w:ascii="Times New Roman" w:hAnsi="Times New Roman" w:cs="Times New Roman"/>
                <w:sz w:val="18"/>
                <w:lang w:val="es-ES_tradnl"/>
              </w:rPr>
            </w:pPr>
            <w:r w:rsidRPr="00E97F5F">
              <w:rPr>
                <w:rFonts w:ascii="Times New Roman" w:hAnsi="Times New Roman" w:cs="Times New Roman"/>
                <w:sz w:val="18"/>
                <w:lang w:val="es-ES_tradnl"/>
              </w:rPr>
              <w:t>72,6</w:t>
            </w:r>
          </w:p>
        </w:tc>
        <w:tc>
          <w:tcPr>
            <w:tcW w:w="807" w:type="pct"/>
            <w:shd w:val="clear" w:color="auto" w:fill="auto"/>
            <w:vAlign w:val="bottom"/>
            <w:hideMark/>
          </w:tcPr>
          <w:p w14:paraId="7332C530" w14:textId="77777777" w:rsidR="00154216" w:rsidRPr="00E97F5F" w:rsidRDefault="00154216" w:rsidP="00E97F5F">
            <w:pPr>
              <w:pStyle w:val="SingleTxtG"/>
              <w:spacing w:before="40" w:after="40" w:line="220" w:lineRule="exact"/>
              <w:ind w:left="113" w:right="0"/>
              <w:jc w:val="right"/>
              <w:rPr>
                <w:rStyle w:val="Refdenotaalfinal"/>
                <w:rFonts w:cs="Times New Roman"/>
                <w:vertAlign w:val="baseline"/>
                <w:lang w:val="es-ES_tradnl"/>
              </w:rPr>
            </w:pPr>
            <w:r w:rsidRPr="00E97F5F">
              <w:rPr>
                <w:rFonts w:ascii="Times New Roman" w:hAnsi="Times New Roman" w:cs="Times New Roman"/>
                <w:sz w:val="18"/>
                <w:lang w:val="es-ES_tradnl"/>
              </w:rPr>
              <w:t>73,2</w:t>
            </w:r>
            <w:r w:rsidRPr="00EE7321">
              <w:rPr>
                <w:rStyle w:val="Refdenotaalfinal"/>
                <w:rFonts w:cs="Times New Roman"/>
                <w:lang w:val="es-ES_tradnl"/>
              </w:rPr>
              <w:endnoteReference w:id="217"/>
            </w:r>
          </w:p>
        </w:tc>
      </w:tr>
      <w:tr w:rsidR="00154216" w:rsidRPr="00E97F5F" w14:paraId="6E61C435" w14:textId="77777777" w:rsidTr="000E4161">
        <w:trPr>
          <w:trHeight w:val="240"/>
        </w:trPr>
        <w:tc>
          <w:tcPr>
            <w:tcW w:w="2040" w:type="pct"/>
            <w:tcBorders>
              <w:left w:val="single" w:sz="24" w:space="0" w:color="FFFFFF" w:themeColor="background1"/>
            </w:tcBorders>
            <w:shd w:val="clear" w:color="auto" w:fill="auto"/>
            <w:hideMark/>
          </w:tcPr>
          <w:p w14:paraId="5956E79A" w14:textId="77777777" w:rsidR="00154216" w:rsidRPr="00E97F5F" w:rsidRDefault="00154216" w:rsidP="00E97F5F">
            <w:pPr>
              <w:pStyle w:val="SingleTxtG"/>
              <w:spacing w:before="40" w:after="40" w:line="220" w:lineRule="exact"/>
              <w:ind w:left="0" w:right="0"/>
              <w:jc w:val="left"/>
              <w:rPr>
                <w:rFonts w:ascii="Times New Roman" w:hAnsi="Times New Roman" w:cs="Times New Roman"/>
                <w:sz w:val="18"/>
                <w:lang w:val="es-ES_tradnl"/>
              </w:rPr>
            </w:pPr>
            <w:r w:rsidRPr="00E97F5F">
              <w:rPr>
                <w:rFonts w:ascii="Times New Roman" w:hAnsi="Times New Roman" w:cs="Times New Roman"/>
                <w:sz w:val="18"/>
                <w:lang w:val="es-ES_tradnl"/>
              </w:rPr>
              <w:t>Tasa de empleo</w:t>
            </w:r>
          </w:p>
        </w:tc>
        <w:tc>
          <w:tcPr>
            <w:tcW w:w="1347" w:type="pct"/>
            <w:shd w:val="clear" w:color="auto" w:fill="auto"/>
            <w:vAlign w:val="bottom"/>
            <w:hideMark/>
          </w:tcPr>
          <w:p w14:paraId="75FFDA94" w14:textId="77777777" w:rsidR="00154216" w:rsidRPr="00E97F5F" w:rsidRDefault="00154216" w:rsidP="00E97F5F">
            <w:pPr>
              <w:pStyle w:val="SingleTxtG"/>
              <w:spacing w:before="40" w:after="40" w:line="220" w:lineRule="exact"/>
              <w:ind w:left="113" w:right="0"/>
              <w:jc w:val="right"/>
              <w:rPr>
                <w:rFonts w:ascii="Times New Roman" w:hAnsi="Times New Roman" w:cs="Times New Roman"/>
                <w:sz w:val="18"/>
                <w:lang w:val="es-ES_tradnl"/>
              </w:rPr>
            </w:pPr>
            <w:r w:rsidRPr="00E97F5F">
              <w:rPr>
                <w:rFonts w:ascii="Times New Roman" w:hAnsi="Times New Roman" w:cs="Times New Roman"/>
                <w:sz w:val="18"/>
                <w:lang w:val="es-ES_tradnl"/>
              </w:rPr>
              <w:t>Adultos con discapacidad</w:t>
            </w:r>
          </w:p>
        </w:tc>
        <w:tc>
          <w:tcPr>
            <w:tcW w:w="807" w:type="pct"/>
            <w:shd w:val="clear" w:color="auto" w:fill="auto"/>
            <w:vAlign w:val="bottom"/>
            <w:hideMark/>
          </w:tcPr>
          <w:p w14:paraId="73716596" w14:textId="77777777" w:rsidR="00154216" w:rsidRPr="00E97F5F" w:rsidRDefault="00154216" w:rsidP="00E97F5F">
            <w:pPr>
              <w:pStyle w:val="SingleTxtG"/>
              <w:spacing w:before="40" w:after="40" w:line="220" w:lineRule="exact"/>
              <w:ind w:left="113" w:right="0"/>
              <w:jc w:val="right"/>
              <w:rPr>
                <w:rFonts w:ascii="Times New Roman" w:hAnsi="Times New Roman" w:cs="Times New Roman"/>
                <w:sz w:val="18"/>
                <w:lang w:val="es-ES_tradnl"/>
              </w:rPr>
            </w:pPr>
            <w:r w:rsidRPr="00E97F5F">
              <w:rPr>
                <w:rFonts w:ascii="Times New Roman" w:hAnsi="Times New Roman" w:cs="Times New Roman"/>
                <w:sz w:val="18"/>
                <w:lang w:val="es-ES_tradnl"/>
              </w:rPr>
              <w:t>22,4</w:t>
            </w:r>
          </w:p>
        </w:tc>
        <w:tc>
          <w:tcPr>
            <w:tcW w:w="807" w:type="pct"/>
            <w:shd w:val="clear" w:color="auto" w:fill="auto"/>
            <w:vAlign w:val="bottom"/>
            <w:hideMark/>
          </w:tcPr>
          <w:p w14:paraId="60531537" w14:textId="77777777" w:rsidR="00154216" w:rsidRPr="00E97F5F" w:rsidRDefault="00154216" w:rsidP="00E97F5F">
            <w:pPr>
              <w:pStyle w:val="SingleTxtG"/>
              <w:spacing w:before="40" w:after="40" w:line="220" w:lineRule="exact"/>
              <w:ind w:left="113" w:right="0"/>
              <w:jc w:val="right"/>
              <w:rPr>
                <w:rStyle w:val="Refdenotaalfinal"/>
                <w:rFonts w:cs="Times New Roman"/>
                <w:vertAlign w:val="baseline"/>
                <w:lang w:val="es-ES_tradnl"/>
              </w:rPr>
            </w:pPr>
            <w:r w:rsidRPr="00E97F5F">
              <w:rPr>
                <w:rFonts w:ascii="Times New Roman" w:hAnsi="Times New Roman" w:cs="Times New Roman"/>
                <w:sz w:val="18"/>
                <w:lang w:val="es-ES_tradnl"/>
              </w:rPr>
              <w:t>22,3</w:t>
            </w:r>
            <w:r w:rsidRPr="00EE7321">
              <w:rPr>
                <w:rStyle w:val="Refdenotaalfinal"/>
                <w:rFonts w:cs="Times New Roman"/>
                <w:lang w:val="es-ES_tradnl"/>
              </w:rPr>
              <w:endnoteReference w:id="218"/>
            </w:r>
          </w:p>
        </w:tc>
      </w:tr>
      <w:tr w:rsidR="00154216" w:rsidRPr="00E97F5F" w14:paraId="459AA1AE" w14:textId="77777777" w:rsidTr="000E4161">
        <w:trPr>
          <w:trHeight w:val="240"/>
        </w:trPr>
        <w:tc>
          <w:tcPr>
            <w:tcW w:w="2040" w:type="pct"/>
            <w:tcBorders>
              <w:left w:val="single" w:sz="24" w:space="0" w:color="FFFFFF" w:themeColor="background1"/>
            </w:tcBorders>
            <w:shd w:val="clear" w:color="auto" w:fill="auto"/>
            <w:hideMark/>
          </w:tcPr>
          <w:p w14:paraId="37B10E4E" w14:textId="77777777" w:rsidR="00154216" w:rsidRPr="00E97F5F" w:rsidRDefault="00154216" w:rsidP="00E97F5F">
            <w:pPr>
              <w:pStyle w:val="SingleTxtG"/>
              <w:spacing w:before="40" w:after="40" w:line="220" w:lineRule="exact"/>
              <w:ind w:left="0" w:right="0"/>
              <w:jc w:val="left"/>
              <w:rPr>
                <w:rFonts w:ascii="Times New Roman" w:hAnsi="Times New Roman" w:cs="Times New Roman"/>
                <w:sz w:val="18"/>
                <w:lang w:val="es-ES_tradnl"/>
              </w:rPr>
            </w:pPr>
            <w:r w:rsidRPr="00E97F5F">
              <w:rPr>
                <w:rFonts w:ascii="Times New Roman" w:hAnsi="Times New Roman" w:cs="Times New Roman"/>
                <w:sz w:val="18"/>
                <w:lang w:val="es-ES_tradnl"/>
              </w:rPr>
              <w:t>Tasa de empleo</w:t>
            </w:r>
          </w:p>
        </w:tc>
        <w:tc>
          <w:tcPr>
            <w:tcW w:w="1347" w:type="pct"/>
            <w:shd w:val="clear" w:color="auto" w:fill="auto"/>
            <w:vAlign w:val="bottom"/>
            <w:hideMark/>
          </w:tcPr>
          <w:p w14:paraId="1E7E934A" w14:textId="77777777" w:rsidR="00154216" w:rsidRPr="00E97F5F" w:rsidRDefault="00154216" w:rsidP="00E97F5F">
            <w:pPr>
              <w:pStyle w:val="SingleTxtG"/>
              <w:spacing w:before="40" w:after="40" w:line="220" w:lineRule="exact"/>
              <w:ind w:left="113" w:right="0"/>
              <w:jc w:val="right"/>
              <w:rPr>
                <w:rFonts w:ascii="Times New Roman" w:hAnsi="Times New Roman" w:cs="Times New Roman"/>
                <w:sz w:val="18"/>
                <w:lang w:val="es-ES_tradnl"/>
              </w:rPr>
            </w:pPr>
            <w:r w:rsidRPr="00E97F5F">
              <w:rPr>
                <w:rFonts w:ascii="Times New Roman" w:hAnsi="Times New Roman" w:cs="Times New Roman"/>
                <w:sz w:val="18"/>
                <w:lang w:val="es-ES_tradnl"/>
              </w:rPr>
              <w:t>Adultos sin discapacidad</w:t>
            </w:r>
          </w:p>
        </w:tc>
        <w:tc>
          <w:tcPr>
            <w:tcW w:w="807" w:type="pct"/>
            <w:shd w:val="clear" w:color="auto" w:fill="auto"/>
            <w:vAlign w:val="bottom"/>
            <w:hideMark/>
          </w:tcPr>
          <w:p w14:paraId="78E54643" w14:textId="77777777" w:rsidR="00154216" w:rsidRPr="00E97F5F" w:rsidRDefault="00154216" w:rsidP="00E97F5F">
            <w:pPr>
              <w:pStyle w:val="SingleTxtG"/>
              <w:spacing w:before="40" w:after="40" w:line="220" w:lineRule="exact"/>
              <w:ind w:left="113" w:right="0"/>
              <w:jc w:val="right"/>
              <w:rPr>
                <w:rFonts w:ascii="Times New Roman" w:hAnsi="Times New Roman" w:cs="Times New Roman"/>
                <w:sz w:val="18"/>
                <w:lang w:val="es-ES_tradnl"/>
              </w:rPr>
            </w:pPr>
            <w:r w:rsidRPr="00E97F5F">
              <w:rPr>
                <w:rFonts w:ascii="Times New Roman" w:hAnsi="Times New Roman" w:cs="Times New Roman"/>
                <w:sz w:val="18"/>
                <w:lang w:val="es-ES_tradnl"/>
              </w:rPr>
              <w:t>69,3</w:t>
            </w:r>
          </w:p>
        </w:tc>
        <w:tc>
          <w:tcPr>
            <w:tcW w:w="807" w:type="pct"/>
            <w:shd w:val="clear" w:color="auto" w:fill="auto"/>
            <w:vAlign w:val="bottom"/>
            <w:hideMark/>
          </w:tcPr>
          <w:p w14:paraId="0EC56404" w14:textId="77777777" w:rsidR="00154216" w:rsidRPr="00E97F5F" w:rsidRDefault="00154216" w:rsidP="00E97F5F">
            <w:pPr>
              <w:pStyle w:val="SingleTxtG"/>
              <w:spacing w:before="40" w:after="40" w:line="220" w:lineRule="exact"/>
              <w:ind w:left="113" w:right="0"/>
              <w:jc w:val="right"/>
              <w:rPr>
                <w:rStyle w:val="Refdenotaalfinal"/>
                <w:rFonts w:cs="Times New Roman"/>
                <w:vertAlign w:val="baseline"/>
                <w:lang w:val="es-ES_tradnl"/>
              </w:rPr>
            </w:pPr>
            <w:r w:rsidRPr="00E97F5F">
              <w:rPr>
                <w:rFonts w:ascii="Times New Roman" w:hAnsi="Times New Roman" w:cs="Times New Roman"/>
                <w:sz w:val="18"/>
                <w:lang w:val="es-ES_tradnl"/>
              </w:rPr>
              <w:t>70,0</w:t>
            </w:r>
            <w:r w:rsidRPr="00EE7321">
              <w:rPr>
                <w:rStyle w:val="Refdenotaalfinal"/>
                <w:rFonts w:cs="Times New Roman"/>
                <w:lang w:val="es-ES_tradnl"/>
              </w:rPr>
              <w:endnoteReference w:id="219"/>
            </w:r>
          </w:p>
        </w:tc>
      </w:tr>
      <w:tr w:rsidR="00154216" w:rsidRPr="00E97F5F" w14:paraId="7F74567A" w14:textId="77777777" w:rsidTr="000E4161">
        <w:trPr>
          <w:trHeight w:val="240"/>
        </w:trPr>
        <w:tc>
          <w:tcPr>
            <w:tcW w:w="2040" w:type="pct"/>
            <w:tcBorders>
              <w:left w:val="single" w:sz="24" w:space="0" w:color="FFFFFF" w:themeColor="background1"/>
            </w:tcBorders>
            <w:shd w:val="clear" w:color="auto" w:fill="auto"/>
            <w:hideMark/>
          </w:tcPr>
          <w:p w14:paraId="58395AD7" w14:textId="77777777" w:rsidR="00154216" w:rsidRPr="00E97F5F" w:rsidRDefault="00154216" w:rsidP="00E97F5F">
            <w:pPr>
              <w:pStyle w:val="SingleTxtG"/>
              <w:spacing w:before="40" w:after="40" w:line="220" w:lineRule="exact"/>
              <w:ind w:left="0" w:right="0"/>
              <w:jc w:val="left"/>
              <w:rPr>
                <w:rFonts w:ascii="Times New Roman" w:hAnsi="Times New Roman" w:cs="Times New Roman"/>
                <w:sz w:val="18"/>
                <w:lang w:val="es-ES_tradnl"/>
              </w:rPr>
            </w:pPr>
            <w:r w:rsidRPr="00E97F5F">
              <w:rPr>
                <w:rFonts w:ascii="Times New Roman" w:hAnsi="Times New Roman" w:cs="Times New Roman"/>
                <w:sz w:val="18"/>
                <w:lang w:val="es-ES_tradnl"/>
              </w:rPr>
              <w:t>Tasa de desempleo</w:t>
            </w:r>
          </w:p>
        </w:tc>
        <w:tc>
          <w:tcPr>
            <w:tcW w:w="1347" w:type="pct"/>
            <w:shd w:val="clear" w:color="auto" w:fill="auto"/>
            <w:vAlign w:val="bottom"/>
            <w:hideMark/>
          </w:tcPr>
          <w:p w14:paraId="2B5EC0A6" w14:textId="77777777" w:rsidR="00154216" w:rsidRPr="00E97F5F" w:rsidRDefault="00154216" w:rsidP="00E97F5F">
            <w:pPr>
              <w:pStyle w:val="SingleTxtG"/>
              <w:spacing w:before="40" w:after="40" w:line="220" w:lineRule="exact"/>
              <w:ind w:left="113" w:right="0"/>
              <w:jc w:val="right"/>
              <w:rPr>
                <w:rFonts w:ascii="Times New Roman" w:hAnsi="Times New Roman" w:cs="Times New Roman"/>
                <w:sz w:val="18"/>
                <w:lang w:val="es-ES_tradnl"/>
              </w:rPr>
            </w:pPr>
            <w:r w:rsidRPr="00E97F5F">
              <w:rPr>
                <w:rFonts w:ascii="Times New Roman" w:hAnsi="Times New Roman" w:cs="Times New Roman"/>
                <w:sz w:val="18"/>
                <w:lang w:val="es-ES_tradnl"/>
              </w:rPr>
              <w:t>Adultos con discapacidad</w:t>
            </w:r>
          </w:p>
        </w:tc>
        <w:tc>
          <w:tcPr>
            <w:tcW w:w="807" w:type="pct"/>
            <w:shd w:val="clear" w:color="auto" w:fill="auto"/>
            <w:vAlign w:val="bottom"/>
            <w:hideMark/>
          </w:tcPr>
          <w:p w14:paraId="6D117246" w14:textId="77777777" w:rsidR="00154216" w:rsidRPr="00E97F5F" w:rsidRDefault="00154216" w:rsidP="00E97F5F">
            <w:pPr>
              <w:pStyle w:val="SingleTxtG"/>
              <w:spacing w:before="40" w:after="40" w:line="220" w:lineRule="exact"/>
              <w:ind w:left="113" w:right="0"/>
              <w:jc w:val="right"/>
              <w:rPr>
                <w:rFonts w:ascii="Times New Roman" w:hAnsi="Times New Roman" w:cs="Times New Roman"/>
                <w:sz w:val="18"/>
                <w:lang w:val="es-ES_tradnl"/>
              </w:rPr>
            </w:pPr>
            <w:r w:rsidRPr="00E97F5F">
              <w:rPr>
                <w:rFonts w:ascii="Times New Roman" w:hAnsi="Times New Roman" w:cs="Times New Roman"/>
                <w:sz w:val="18"/>
                <w:lang w:val="es-ES_tradnl"/>
              </w:rPr>
              <w:t>11,4</w:t>
            </w:r>
          </w:p>
        </w:tc>
        <w:tc>
          <w:tcPr>
            <w:tcW w:w="807" w:type="pct"/>
            <w:shd w:val="clear" w:color="auto" w:fill="auto"/>
            <w:vAlign w:val="bottom"/>
            <w:hideMark/>
          </w:tcPr>
          <w:p w14:paraId="5159DCB1" w14:textId="77777777" w:rsidR="00154216" w:rsidRPr="00E97F5F" w:rsidRDefault="00154216" w:rsidP="00E97F5F">
            <w:pPr>
              <w:pStyle w:val="SingleTxtG"/>
              <w:spacing w:before="40" w:after="40" w:line="220" w:lineRule="exact"/>
              <w:ind w:left="113" w:right="0"/>
              <w:jc w:val="right"/>
              <w:rPr>
                <w:rStyle w:val="Refdenotaalfinal"/>
                <w:rFonts w:cs="Times New Roman"/>
                <w:vertAlign w:val="baseline"/>
                <w:lang w:val="es-ES_tradnl"/>
              </w:rPr>
            </w:pPr>
            <w:r w:rsidRPr="00E97F5F">
              <w:rPr>
                <w:rFonts w:ascii="Times New Roman" w:hAnsi="Times New Roman" w:cs="Times New Roman"/>
                <w:sz w:val="18"/>
                <w:lang w:val="es-ES_tradnl"/>
              </w:rPr>
              <w:t>10,6</w:t>
            </w:r>
            <w:r w:rsidRPr="00EE7321">
              <w:rPr>
                <w:rStyle w:val="Refdenotaalfinal"/>
                <w:rFonts w:cs="Times New Roman"/>
                <w:lang w:val="es-ES_tradnl"/>
              </w:rPr>
              <w:endnoteReference w:id="220"/>
            </w:r>
          </w:p>
        </w:tc>
      </w:tr>
      <w:tr w:rsidR="00154216" w:rsidRPr="00E97F5F" w14:paraId="2F88F36C" w14:textId="77777777" w:rsidTr="000E4161">
        <w:trPr>
          <w:trHeight w:val="240"/>
        </w:trPr>
        <w:tc>
          <w:tcPr>
            <w:tcW w:w="2040" w:type="pct"/>
            <w:tcBorders>
              <w:left w:val="single" w:sz="24" w:space="0" w:color="FFFFFF" w:themeColor="background1"/>
              <w:bottom w:val="single" w:sz="4" w:space="0" w:color="auto"/>
            </w:tcBorders>
            <w:shd w:val="clear" w:color="auto" w:fill="auto"/>
            <w:hideMark/>
          </w:tcPr>
          <w:p w14:paraId="2D2680E8" w14:textId="77777777" w:rsidR="00154216" w:rsidRPr="00E97F5F" w:rsidRDefault="00154216" w:rsidP="00E97F5F">
            <w:pPr>
              <w:pStyle w:val="SingleTxtG"/>
              <w:spacing w:before="40" w:after="40" w:line="220" w:lineRule="exact"/>
              <w:ind w:left="0" w:right="0"/>
              <w:jc w:val="left"/>
              <w:rPr>
                <w:rFonts w:ascii="Times New Roman" w:hAnsi="Times New Roman" w:cs="Times New Roman"/>
                <w:sz w:val="18"/>
                <w:lang w:val="es-ES_tradnl"/>
              </w:rPr>
            </w:pPr>
            <w:r w:rsidRPr="00E97F5F">
              <w:rPr>
                <w:rFonts w:ascii="Times New Roman" w:hAnsi="Times New Roman" w:cs="Times New Roman"/>
                <w:sz w:val="18"/>
                <w:lang w:val="es-ES_tradnl"/>
              </w:rPr>
              <w:t>Tasa de desempleo</w:t>
            </w:r>
          </w:p>
        </w:tc>
        <w:tc>
          <w:tcPr>
            <w:tcW w:w="1347" w:type="pct"/>
            <w:tcBorders>
              <w:bottom w:val="single" w:sz="4" w:space="0" w:color="auto"/>
            </w:tcBorders>
            <w:shd w:val="clear" w:color="auto" w:fill="auto"/>
            <w:vAlign w:val="bottom"/>
            <w:hideMark/>
          </w:tcPr>
          <w:p w14:paraId="392BFE0D" w14:textId="77777777" w:rsidR="00154216" w:rsidRPr="00E97F5F" w:rsidRDefault="00154216" w:rsidP="00E97F5F">
            <w:pPr>
              <w:pStyle w:val="SingleTxtG"/>
              <w:spacing w:before="40" w:after="40" w:line="220" w:lineRule="exact"/>
              <w:ind w:left="113" w:right="0"/>
              <w:jc w:val="right"/>
              <w:rPr>
                <w:rFonts w:ascii="Times New Roman" w:hAnsi="Times New Roman" w:cs="Times New Roman"/>
                <w:sz w:val="18"/>
                <w:lang w:val="es-ES_tradnl"/>
              </w:rPr>
            </w:pPr>
            <w:r w:rsidRPr="00E97F5F">
              <w:rPr>
                <w:rFonts w:ascii="Times New Roman" w:hAnsi="Times New Roman" w:cs="Times New Roman"/>
                <w:sz w:val="18"/>
                <w:lang w:val="es-ES_tradnl"/>
              </w:rPr>
              <w:t>Adultos sin discapacidad</w:t>
            </w:r>
          </w:p>
        </w:tc>
        <w:tc>
          <w:tcPr>
            <w:tcW w:w="807" w:type="pct"/>
            <w:tcBorders>
              <w:bottom w:val="single" w:sz="4" w:space="0" w:color="auto"/>
            </w:tcBorders>
            <w:shd w:val="clear" w:color="auto" w:fill="auto"/>
            <w:vAlign w:val="bottom"/>
            <w:hideMark/>
          </w:tcPr>
          <w:p w14:paraId="67BE1448" w14:textId="77777777" w:rsidR="00154216" w:rsidRPr="00E97F5F" w:rsidRDefault="00154216" w:rsidP="00E97F5F">
            <w:pPr>
              <w:pStyle w:val="SingleTxtG"/>
              <w:spacing w:before="40" w:after="40" w:line="220" w:lineRule="exact"/>
              <w:ind w:left="113" w:right="0"/>
              <w:jc w:val="right"/>
              <w:rPr>
                <w:rFonts w:ascii="Times New Roman" w:hAnsi="Times New Roman" w:cs="Times New Roman"/>
                <w:sz w:val="18"/>
                <w:lang w:val="es-ES_tradnl"/>
              </w:rPr>
            </w:pPr>
            <w:r w:rsidRPr="00E97F5F">
              <w:rPr>
                <w:rFonts w:ascii="Times New Roman" w:hAnsi="Times New Roman" w:cs="Times New Roman"/>
                <w:sz w:val="18"/>
                <w:lang w:val="es-ES_tradnl"/>
              </w:rPr>
              <w:t>4,5</w:t>
            </w:r>
          </w:p>
        </w:tc>
        <w:tc>
          <w:tcPr>
            <w:tcW w:w="807" w:type="pct"/>
            <w:tcBorders>
              <w:bottom w:val="single" w:sz="4" w:space="0" w:color="auto"/>
            </w:tcBorders>
            <w:shd w:val="clear" w:color="auto" w:fill="auto"/>
            <w:vAlign w:val="bottom"/>
            <w:hideMark/>
          </w:tcPr>
          <w:p w14:paraId="021D0D04" w14:textId="77777777" w:rsidR="00154216" w:rsidRPr="00E97F5F" w:rsidRDefault="00154216" w:rsidP="00E97F5F">
            <w:pPr>
              <w:pStyle w:val="SingleTxtG"/>
              <w:spacing w:before="40" w:after="40" w:line="220" w:lineRule="exact"/>
              <w:ind w:left="113" w:right="0"/>
              <w:jc w:val="right"/>
              <w:rPr>
                <w:rStyle w:val="Refdenotaalfinal"/>
                <w:rFonts w:cs="Times New Roman"/>
                <w:vertAlign w:val="baseline"/>
                <w:lang w:val="es-ES_tradnl"/>
              </w:rPr>
            </w:pPr>
            <w:r w:rsidRPr="00E97F5F">
              <w:rPr>
                <w:rFonts w:ascii="Times New Roman" w:hAnsi="Times New Roman" w:cs="Times New Roman"/>
                <w:sz w:val="18"/>
                <w:lang w:val="es-ES_tradnl"/>
              </w:rPr>
              <w:t>4,3</w:t>
            </w:r>
            <w:r w:rsidRPr="00EE7321">
              <w:rPr>
                <w:rStyle w:val="Refdenotaalfinal"/>
                <w:rFonts w:cs="Times New Roman"/>
                <w:lang w:val="es-ES_tradnl"/>
              </w:rPr>
              <w:endnoteReference w:id="221"/>
            </w:r>
          </w:p>
        </w:tc>
      </w:tr>
    </w:tbl>
    <w:p w14:paraId="33EF4D14" w14:textId="77777777" w:rsidR="00154216" w:rsidRPr="00154216" w:rsidRDefault="00154216" w:rsidP="00E81A64">
      <w:pPr>
        <w:pStyle w:val="H23G"/>
        <w:rPr>
          <w:lang w:val="es-ES_tradnl"/>
        </w:rPr>
      </w:pPr>
      <w:bookmarkStart w:id="6" w:name="_Hlk512418649"/>
      <w:bookmarkStart w:id="7" w:name="_Hlk512418782"/>
      <w:r w:rsidRPr="00154216">
        <w:rPr>
          <w:lang w:val="es-ES_tradnl"/>
        </w:rPr>
        <w:tab/>
      </w:r>
      <w:r w:rsidRPr="00154216">
        <w:rPr>
          <w:lang w:val="es-ES_tradnl"/>
        </w:rPr>
        <w:tab/>
        <w:t xml:space="preserve">Respuesta al párrafo 26 a) i)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 xml:space="preserve">/2-3 </w:t>
      </w:r>
    </w:p>
    <w:bookmarkEnd w:id="6"/>
    <w:p w14:paraId="7E6CD6BF" w14:textId="77777777" w:rsidR="00154216" w:rsidRPr="00154216" w:rsidRDefault="00154216" w:rsidP="00154216">
      <w:pPr>
        <w:pStyle w:val="SingleTxtG"/>
        <w:rPr>
          <w:lang w:val="es-ES_tradnl"/>
        </w:rPr>
      </w:pPr>
      <w:r w:rsidRPr="00154216">
        <w:rPr>
          <w:lang w:val="es-ES_tradnl"/>
        </w:rPr>
        <w:t>320.</w:t>
      </w:r>
      <w:r w:rsidRPr="00154216">
        <w:rPr>
          <w:lang w:val="es-ES_tradnl"/>
        </w:rPr>
        <w:tab/>
        <w:t xml:space="preserve">La admisibilidad de los postulantes a la vivienda pública se evalúa a partir de cinco criterios, referidos al hecho de que la persona: </w:t>
      </w:r>
    </w:p>
    <w:p w14:paraId="30775F77" w14:textId="77777777" w:rsidR="00154216" w:rsidRPr="00154216" w:rsidRDefault="00154216" w:rsidP="00E81A64">
      <w:pPr>
        <w:pStyle w:val="Bullet1G"/>
        <w:rPr>
          <w:lang w:val="es-ES_tradnl"/>
        </w:rPr>
      </w:pPr>
      <w:r w:rsidRPr="00154216">
        <w:rPr>
          <w:lang w:val="es-ES_tradnl"/>
        </w:rPr>
        <w:t>Necesite alojamiento o necesite mudarse de su actual alojamiento (adecuación)</w:t>
      </w:r>
      <w:r w:rsidR="00E81A64">
        <w:rPr>
          <w:lang w:val="es-ES_tradnl"/>
        </w:rPr>
        <w:t>.</w:t>
      </w:r>
    </w:p>
    <w:p w14:paraId="6E96184B" w14:textId="77777777" w:rsidR="00154216" w:rsidRPr="00154216" w:rsidRDefault="00154216" w:rsidP="00E81A64">
      <w:pPr>
        <w:pStyle w:val="Bullet1G"/>
        <w:rPr>
          <w:lang w:val="es-ES_tradnl"/>
        </w:rPr>
      </w:pPr>
      <w:r w:rsidRPr="00154216">
        <w:rPr>
          <w:lang w:val="es-ES_tradnl"/>
        </w:rPr>
        <w:t>Necesite mudarse por razones médicas, discapacidad o necesidades personales o familiares (idoneidad)</w:t>
      </w:r>
      <w:r w:rsidR="00E81A64">
        <w:rPr>
          <w:lang w:val="es-ES_tradnl"/>
        </w:rPr>
        <w:t>.</w:t>
      </w:r>
    </w:p>
    <w:p w14:paraId="0F2EDAB4" w14:textId="77777777" w:rsidR="00154216" w:rsidRPr="00154216" w:rsidRDefault="00154216" w:rsidP="00E81A64">
      <w:pPr>
        <w:pStyle w:val="Bullet1G"/>
        <w:rPr>
          <w:lang w:val="es-ES_tradnl"/>
        </w:rPr>
      </w:pPr>
      <w:r w:rsidRPr="00154216">
        <w:rPr>
          <w:lang w:val="es-ES_tradnl"/>
        </w:rPr>
        <w:t>No esté en condiciones de sufragar una vivienda adecuada en el mercado privado (asequibilidad)</w:t>
      </w:r>
      <w:r w:rsidR="00E81A64">
        <w:rPr>
          <w:lang w:val="es-ES_tradnl"/>
        </w:rPr>
        <w:t>.</w:t>
      </w:r>
    </w:p>
    <w:p w14:paraId="1388DCC5" w14:textId="77777777" w:rsidR="00154216" w:rsidRPr="00154216" w:rsidRDefault="00154216" w:rsidP="00E81A64">
      <w:pPr>
        <w:pStyle w:val="Bullet1G"/>
        <w:rPr>
          <w:lang w:val="es-ES_tradnl"/>
        </w:rPr>
      </w:pPr>
      <w:r w:rsidRPr="00154216">
        <w:rPr>
          <w:lang w:val="es-ES_tradnl"/>
        </w:rPr>
        <w:t>No pueda acceder a una vivienda adecuada y sufragarla a causa de la discriminación (incluida la discriminación por motivos de discapacidad) o de la falta de medios financieros en el mercado privado (accesibilidad)</w:t>
      </w:r>
      <w:r w:rsidR="00E81A64">
        <w:rPr>
          <w:lang w:val="es-ES_tradnl"/>
        </w:rPr>
        <w:t>.</w:t>
      </w:r>
    </w:p>
    <w:p w14:paraId="048A3FF2" w14:textId="77777777" w:rsidR="00154216" w:rsidRPr="00154216" w:rsidRDefault="00154216" w:rsidP="00E81A64">
      <w:pPr>
        <w:pStyle w:val="Bullet1G"/>
        <w:rPr>
          <w:lang w:val="es-ES_tradnl"/>
        </w:rPr>
      </w:pPr>
      <w:r w:rsidRPr="00154216">
        <w:rPr>
          <w:lang w:val="es-ES_tradnl"/>
        </w:rPr>
        <w:t xml:space="preserve">Carezca de aptitudes sociales o de gestión financiera y, por tanto, le resulte difícil mantener un alquiler (sostenibilidad). </w:t>
      </w:r>
    </w:p>
    <w:p w14:paraId="46C3DA3D" w14:textId="77777777" w:rsidR="00154216" w:rsidRPr="00154216" w:rsidRDefault="00154216" w:rsidP="00E81A64">
      <w:pPr>
        <w:pStyle w:val="H23G"/>
        <w:rPr>
          <w:lang w:val="es-ES_tradnl"/>
        </w:rPr>
      </w:pPr>
      <w:r w:rsidRPr="00154216">
        <w:rPr>
          <w:lang w:val="es-ES_tradnl"/>
        </w:rPr>
        <w:tab/>
      </w:r>
      <w:r w:rsidRPr="00154216">
        <w:rPr>
          <w:lang w:val="es-ES_tradnl"/>
        </w:rPr>
        <w:tab/>
        <w:t xml:space="preserve">Respuesta al párrafo 26 a) </w:t>
      </w:r>
      <w:proofErr w:type="spellStart"/>
      <w:r w:rsidRPr="00154216">
        <w:rPr>
          <w:lang w:val="es-ES_tradnl"/>
        </w:rPr>
        <w:t>ii</w:t>
      </w:r>
      <w:proofErr w:type="spellEnd"/>
      <w:r w:rsidRPr="00154216">
        <w:rPr>
          <w:lang w:val="es-ES_tradnl"/>
        </w:rPr>
        <w:t xml:space="preserve">)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 xml:space="preserve">/2-3 </w:t>
      </w:r>
    </w:p>
    <w:p w14:paraId="62984042" w14:textId="77777777" w:rsidR="00154216" w:rsidRPr="00154216" w:rsidRDefault="00154216" w:rsidP="00154216">
      <w:pPr>
        <w:pStyle w:val="SingleTxtG"/>
        <w:rPr>
          <w:lang w:val="es-ES_tradnl"/>
        </w:rPr>
      </w:pPr>
      <w:r w:rsidRPr="00154216">
        <w:rPr>
          <w:lang w:val="es-ES_tradnl"/>
        </w:rPr>
        <w:t>321.</w:t>
      </w:r>
      <w:r w:rsidRPr="00154216">
        <w:rPr>
          <w:lang w:val="es-ES_tradnl"/>
        </w:rPr>
        <w:tab/>
        <w:t>Del 1 de enero de 2018 al 31 de marzo de 2018:</w:t>
      </w:r>
    </w:p>
    <w:p w14:paraId="05E6059D" w14:textId="77777777" w:rsidR="00154216" w:rsidRPr="00154216" w:rsidRDefault="00154216" w:rsidP="00E56424">
      <w:pPr>
        <w:pStyle w:val="Bullet1G"/>
        <w:rPr>
          <w:lang w:val="es-ES_tradnl"/>
        </w:rPr>
      </w:pPr>
      <w:r w:rsidRPr="00154216">
        <w:rPr>
          <w:lang w:val="es-ES_tradnl"/>
        </w:rPr>
        <w:t>El tiempo medio de espera de la vivienda fue de 385 días para los solicitantes que necesitaban una vivienda modificada y de 120 días para los que no requerían una vivienda modificada</w:t>
      </w:r>
      <w:r w:rsidR="00E56424">
        <w:rPr>
          <w:lang w:val="es-ES_tradnl"/>
        </w:rPr>
        <w:t>.</w:t>
      </w:r>
    </w:p>
    <w:p w14:paraId="6471FF25" w14:textId="77777777" w:rsidR="00154216" w:rsidRPr="00154216" w:rsidRDefault="00154216" w:rsidP="00E56424">
      <w:pPr>
        <w:pStyle w:val="Bullet1G"/>
        <w:rPr>
          <w:rStyle w:val="Refdenotaalfinal"/>
          <w:lang w:val="es-ES_tradnl"/>
        </w:rPr>
      </w:pPr>
      <w:r w:rsidRPr="00154216">
        <w:rPr>
          <w:lang w:val="es-ES_tradnl"/>
        </w:rPr>
        <w:t>La mediana de espera de la vivienda fue de 361 días para los solicitantes que necesitaban una vivienda modificada y de 64 días para los que no requerían una vivienda modificada</w:t>
      </w:r>
      <w:r w:rsidRPr="00154216">
        <w:rPr>
          <w:rStyle w:val="Refdenotaalfinal"/>
          <w:lang w:val="es-ES_tradnl"/>
        </w:rPr>
        <w:endnoteReference w:id="222"/>
      </w:r>
      <w:r w:rsidR="00E56424">
        <w:rPr>
          <w:lang w:val="es-ES_tradnl"/>
        </w:rPr>
        <w:t>.</w:t>
      </w:r>
    </w:p>
    <w:p w14:paraId="0456279B" w14:textId="77777777" w:rsidR="00154216" w:rsidRPr="00154216" w:rsidRDefault="00154216" w:rsidP="00E56424">
      <w:pPr>
        <w:pStyle w:val="Bullet1G"/>
        <w:rPr>
          <w:lang w:val="es-ES_tradnl"/>
        </w:rPr>
      </w:pPr>
      <w:r w:rsidRPr="00154216">
        <w:rPr>
          <w:lang w:val="es-ES_tradnl"/>
        </w:rPr>
        <w:t>Se suministró alojamiento a ocho hogares que necesitaban una vivienda modificada.</w:t>
      </w:r>
    </w:p>
    <w:p w14:paraId="783A0DC4" w14:textId="77777777" w:rsidR="00154216" w:rsidRPr="00154216" w:rsidRDefault="00154216" w:rsidP="00154216">
      <w:pPr>
        <w:pStyle w:val="SingleTxtG"/>
        <w:rPr>
          <w:lang w:val="es-ES_tradnl"/>
        </w:rPr>
      </w:pPr>
      <w:r w:rsidRPr="00154216">
        <w:rPr>
          <w:lang w:val="es-ES_tradnl"/>
        </w:rPr>
        <w:t>322.</w:t>
      </w:r>
      <w:r w:rsidRPr="00154216">
        <w:rPr>
          <w:lang w:val="es-ES_tradnl"/>
        </w:rPr>
        <w:tab/>
        <w:t>El Gobierno está estudiando la manera de mejorar la accesibilidad de la vivienda pública para las personas con discapacidad. Ello supone estudiar la forma de incorporar los principios del diseño universal en la construcción de nuevas viviendas allí donde aún no se hayan adoptado.</w:t>
      </w:r>
    </w:p>
    <w:p w14:paraId="662F1BB3" w14:textId="77777777" w:rsidR="00154216" w:rsidRPr="00154216" w:rsidRDefault="00154216" w:rsidP="00E56424">
      <w:pPr>
        <w:pStyle w:val="H23G"/>
        <w:rPr>
          <w:lang w:val="es-ES_tradnl"/>
        </w:rPr>
      </w:pPr>
      <w:r w:rsidRPr="00154216">
        <w:rPr>
          <w:lang w:val="es-ES_tradnl"/>
        </w:rPr>
        <w:tab/>
      </w:r>
      <w:r w:rsidRPr="00154216">
        <w:rPr>
          <w:lang w:val="es-ES_tradnl"/>
        </w:rPr>
        <w:tab/>
        <w:t xml:space="preserve">Respuesta al párrafo 26 a) </w:t>
      </w:r>
      <w:proofErr w:type="spellStart"/>
      <w:r w:rsidRPr="00154216">
        <w:rPr>
          <w:lang w:val="es-ES_tradnl"/>
        </w:rPr>
        <w:t>iii</w:t>
      </w:r>
      <w:proofErr w:type="spellEnd"/>
      <w:r w:rsidRPr="00154216">
        <w:rPr>
          <w:lang w:val="es-ES_tradnl"/>
        </w:rPr>
        <w:t xml:space="preserve">)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 xml:space="preserve">/2-3 </w:t>
      </w:r>
    </w:p>
    <w:p w14:paraId="384699D7" w14:textId="77777777" w:rsidR="00154216" w:rsidRPr="00154216" w:rsidRDefault="00154216" w:rsidP="00154216">
      <w:pPr>
        <w:pStyle w:val="SingleTxtG"/>
        <w:rPr>
          <w:lang w:val="es-ES_tradnl"/>
        </w:rPr>
      </w:pPr>
      <w:r w:rsidRPr="00154216">
        <w:rPr>
          <w:lang w:val="es-ES_tradnl"/>
        </w:rPr>
        <w:t>323.</w:t>
      </w:r>
      <w:r w:rsidRPr="00154216">
        <w:rPr>
          <w:lang w:val="es-ES_tradnl"/>
        </w:rPr>
        <w:tab/>
        <w:t xml:space="preserve">El Gobierno no reúne datos sobre el número de personas que necesitan viviendas modificadas </w:t>
      </w:r>
      <w:proofErr w:type="gramStart"/>
      <w:r w:rsidRPr="00154216">
        <w:rPr>
          <w:lang w:val="es-ES_tradnl"/>
        </w:rPr>
        <w:t>en razón de</w:t>
      </w:r>
      <w:proofErr w:type="gramEnd"/>
      <w:r w:rsidRPr="00154216">
        <w:rPr>
          <w:lang w:val="es-ES_tradnl"/>
        </w:rPr>
        <w:t xml:space="preserve"> una discapacidad. Sí conocemos, en cambio, el número de personas necesitadas de vivienda modificada </w:t>
      </w:r>
      <w:proofErr w:type="gramStart"/>
      <w:r w:rsidRPr="00154216">
        <w:rPr>
          <w:lang w:val="es-ES_tradnl"/>
        </w:rPr>
        <w:t>en razón de</w:t>
      </w:r>
      <w:proofErr w:type="gramEnd"/>
      <w:r w:rsidRPr="00154216">
        <w:rPr>
          <w:lang w:val="es-ES_tradnl"/>
        </w:rPr>
        <w:t xml:space="preserve"> una discapacidad que:</w:t>
      </w:r>
    </w:p>
    <w:p w14:paraId="07889198" w14:textId="77777777" w:rsidR="00154216" w:rsidRPr="00154216" w:rsidRDefault="00154216" w:rsidP="00E56424">
      <w:pPr>
        <w:pStyle w:val="Bullet1G"/>
        <w:rPr>
          <w:lang w:val="es-ES_tradnl"/>
        </w:rPr>
      </w:pPr>
      <w:r w:rsidRPr="00154216">
        <w:rPr>
          <w:lang w:val="es-ES_tradnl"/>
        </w:rPr>
        <w:lastRenderedPageBreak/>
        <w:t>Han sido acogidas en alojamientos temporales, por ejemplo, en viviendas de emergencia (a menudo un motel) o de transición, para atender su necesidad de alojamiento inmediato</w:t>
      </w:r>
      <w:r w:rsidR="00E56424">
        <w:rPr>
          <w:lang w:val="es-ES_tradnl"/>
        </w:rPr>
        <w:t>.</w:t>
      </w:r>
    </w:p>
    <w:p w14:paraId="1D462872" w14:textId="77777777" w:rsidR="00154216" w:rsidRPr="00154216" w:rsidRDefault="00154216" w:rsidP="00E56424">
      <w:pPr>
        <w:pStyle w:val="Bullet1G"/>
        <w:rPr>
          <w:lang w:val="es-ES_tradnl"/>
        </w:rPr>
      </w:pPr>
      <w:r w:rsidRPr="00154216">
        <w:rPr>
          <w:lang w:val="es-ES_tradnl"/>
        </w:rPr>
        <w:t>Viven en casas de la Corporación de la Vivienda de Nueva Zelandia o en viviendas comunitarias</w:t>
      </w:r>
      <w:r w:rsidR="00E56424">
        <w:rPr>
          <w:lang w:val="es-ES_tradnl"/>
        </w:rPr>
        <w:t>.</w:t>
      </w:r>
    </w:p>
    <w:p w14:paraId="278A680B" w14:textId="77777777" w:rsidR="00154216" w:rsidRPr="00154216" w:rsidRDefault="00154216" w:rsidP="00E56424">
      <w:pPr>
        <w:pStyle w:val="Bullet1G"/>
        <w:rPr>
          <w:lang w:val="es-ES_tradnl"/>
        </w:rPr>
      </w:pPr>
      <w:r w:rsidRPr="00154216">
        <w:rPr>
          <w:lang w:val="es-ES_tradnl"/>
        </w:rPr>
        <w:t xml:space="preserve">Reciben financiación del Ministerio de Salud o la ACC para modificar sus viviendas (véase la pregunta 26 a) </w:t>
      </w:r>
      <w:proofErr w:type="spellStart"/>
      <w:r w:rsidRPr="00154216">
        <w:rPr>
          <w:lang w:val="es-ES_tradnl"/>
        </w:rPr>
        <w:t>iv</w:t>
      </w:r>
      <w:proofErr w:type="spellEnd"/>
      <w:r w:rsidRPr="00154216">
        <w:rPr>
          <w:lang w:val="es-ES_tradnl"/>
        </w:rPr>
        <w:t>)).</w:t>
      </w:r>
    </w:p>
    <w:p w14:paraId="03C6448B" w14:textId="77777777" w:rsidR="00154216" w:rsidRPr="00154216" w:rsidRDefault="00154216" w:rsidP="00154216">
      <w:pPr>
        <w:pStyle w:val="SingleTxtG"/>
        <w:rPr>
          <w:lang w:val="es-ES_tradnl"/>
        </w:rPr>
      </w:pPr>
      <w:r w:rsidRPr="00154216">
        <w:rPr>
          <w:lang w:val="es-ES_tradnl"/>
        </w:rPr>
        <w:t>324.</w:t>
      </w:r>
      <w:r w:rsidRPr="00154216">
        <w:rPr>
          <w:lang w:val="es-ES_tradnl"/>
        </w:rPr>
        <w:tab/>
        <w:t>Al 31 de diciembre de 2017, según el registro de la vivienda social:</w:t>
      </w:r>
    </w:p>
    <w:p w14:paraId="6840341A" w14:textId="77777777" w:rsidR="00154216" w:rsidRPr="00154216" w:rsidRDefault="00154216" w:rsidP="00E56424">
      <w:pPr>
        <w:pStyle w:val="Bullet1G"/>
        <w:rPr>
          <w:lang w:val="es-ES_tradnl"/>
        </w:rPr>
      </w:pPr>
      <w:r w:rsidRPr="00154216">
        <w:rPr>
          <w:lang w:val="es-ES_tradnl"/>
        </w:rPr>
        <w:t>408 solicitantes necesitaban una vivienda modificada por razón de discapacidad</w:t>
      </w:r>
      <w:r w:rsidR="00E56424">
        <w:rPr>
          <w:lang w:val="es-ES_tradnl"/>
        </w:rPr>
        <w:t>.</w:t>
      </w:r>
    </w:p>
    <w:p w14:paraId="021BBEB6" w14:textId="77777777" w:rsidR="00154216" w:rsidRPr="00154216" w:rsidRDefault="00154216" w:rsidP="00E56424">
      <w:pPr>
        <w:pStyle w:val="Bullet1G"/>
        <w:rPr>
          <w:lang w:val="es-ES_tradnl"/>
        </w:rPr>
      </w:pPr>
      <w:r w:rsidRPr="00154216">
        <w:rPr>
          <w:lang w:val="es-ES_tradnl"/>
        </w:rPr>
        <w:t>Ello equivale al 5,3</w:t>
      </w:r>
      <w:r w:rsidR="00D37C06">
        <w:rPr>
          <w:lang w:val="es-ES_tradnl"/>
        </w:rPr>
        <w:t> %</w:t>
      </w:r>
      <w:r w:rsidRPr="00154216">
        <w:rPr>
          <w:lang w:val="es-ES_tradnl"/>
        </w:rPr>
        <w:t xml:space="preserve"> de todos los solicitantes</w:t>
      </w:r>
      <w:r w:rsidR="00E56424">
        <w:rPr>
          <w:lang w:val="es-ES_tradnl"/>
        </w:rPr>
        <w:t>.</w:t>
      </w:r>
    </w:p>
    <w:p w14:paraId="7D7009DB" w14:textId="77777777" w:rsidR="00154216" w:rsidRPr="00154216" w:rsidRDefault="00154216" w:rsidP="00E56424">
      <w:pPr>
        <w:pStyle w:val="Bullet1G"/>
        <w:rPr>
          <w:lang w:val="es-ES_tradnl"/>
        </w:rPr>
      </w:pPr>
      <w:r w:rsidRPr="00154216">
        <w:rPr>
          <w:lang w:val="es-ES_tradnl"/>
        </w:rPr>
        <w:t>El 76,5</w:t>
      </w:r>
      <w:r w:rsidR="00D37C06">
        <w:rPr>
          <w:lang w:val="es-ES_tradnl"/>
        </w:rPr>
        <w:t> %</w:t>
      </w:r>
      <w:r w:rsidRPr="00154216">
        <w:rPr>
          <w:lang w:val="es-ES_tradnl"/>
        </w:rPr>
        <w:t xml:space="preserve"> de los solicitantes de vivienda modificada por razón de discapacidad se consignó en el registro como objeto de la mayor prioridad. </w:t>
      </w:r>
    </w:p>
    <w:p w14:paraId="4E370A2D" w14:textId="77777777" w:rsidR="00154216" w:rsidRPr="00154216" w:rsidRDefault="00154216" w:rsidP="00154216">
      <w:pPr>
        <w:pStyle w:val="SingleTxtG"/>
        <w:rPr>
          <w:lang w:val="es-ES_tradnl"/>
        </w:rPr>
      </w:pPr>
      <w:r w:rsidRPr="00154216">
        <w:rPr>
          <w:lang w:val="es-ES_tradnl"/>
        </w:rPr>
        <w:t>325.</w:t>
      </w:r>
      <w:r w:rsidRPr="00154216">
        <w:rPr>
          <w:lang w:val="es-ES_tradnl"/>
        </w:rPr>
        <w:tab/>
        <w:t>Al 31 de diciembre de 2017, la Corporación de la Vivienda y los proveedores de vivienda comunitaria registraban:</w:t>
      </w:r>
    </w:p>
    <w:p w14:paraId="308E353E" w14:textId="77777777" w:rsidR="00154216" w:rsidRPr="00154216" w:rsidRDefault="00154216" w:rsidP="00E56424">
      <w:pPr>
        <w:pStyle w:val="Bullet1G"/>
        <w:rPr>
          <w:lang w:val="es-ES_tradnl"/>
        </w:rPr>
      </w:pPr>
      <w:r w:rsidRPr="00154216">
        <w:rPr>
          <w:lang w:val="es-ES_tradnl"/>
        </w:rPr>
        <w:t>4.268 alquileres de vivienda modificada por razón de discapacidad de un miembro de la familia</w:t>
      </w:r>
      <w:r w:rsidR="00E56424">
        <w:rPr>
          <w:lang w:val="es-ES_tradnl"/>
        </w:rPr>
        <w:t>.</w:t>
      </w:r>
    </w:p>
    <w:p w14:paraId="5A9D5DA5" w14:textId="77777777" w:rsidR="00154216" w:rsidRPr="00154216" w:rsidRDefault="00154216" w:rsidP="00E56424">
      <w:pPr>
        <w:pStyle w:val="Bullet1G"/>
        <w:rPr>
          <w:lang w:val="es-ES_tradnl"/>
        </w:rPr>
      </w:pPr>
      <w:r w:rsidRPr="00154216">
        <w:rPr>
          <w:lang w:val="es-ES_tradnl"/>
        </w:rPr>
        <w:t>Ello equivale al 6,5</w:t>
      </w:r>
      <w:r w:rsidR="00D37C06">
        <w:rPr>
          <w:lang w:val="es-ES_tradnl"/>
        </w:rPr>
        <w:t> %</w:t>
      </w:r>
      <w:r w:rsidRPr="00154216">
        <w:rPr>
          <w:lang w:val="es-ES_tradnl"/>
        </w:rPr>
        <w:t xml:space="preserve"> de todos los alquileres</w:t>
      </w:r>
      <w:r w:rsidRPr="00154216">
        <w:rPr>
          <w:rStyle w:val="Refdenotaalfinal"/>
          <w:lang w:val="es-ES_tradnl"/>
        </w:rPr>
        <w:endnoteReference w:id="223"/>
      </w:r>
      <w:r w:rsidR="00E56424">
        <w:rPr>
          <w:lang w:val="es-ES_tradnl"/>
        </w:rPr>
        <w:t>.</w:t>
      </w:r>
    </w:p>
    <w:p w14:paraId="621E5FC7" w14:textId="77777777" w:rsidR="00154216" w:rsidRPr="00154216" w:rsidRDefault="00154216" w:rsidP="00E56424">
      <w:pPr>
        <w:pStyle w:val="H23G"/>
        <w:rPr>
          <w:lang w:val="es-ES_tradnl"/>
        </w:rPr>
      </w:pPr>
      <w:r w:rsidRPr="00154216">
        <w:rPr>
          <w:lang w:val="es-ES_tradnl"/>
        </w:rPr>
        <w:tab/>
      </w:r>
      <w:r w:rsidRPr="00154216">
        <w:rPr>
          <w:lang w:val="es-ES_tradnl"/>
        </w:rPr>
        <w:tab/>
        <w:t xml:space="preserve">Respuesta al párrafo 26 a) </w:t>
      </w:r>
      <w:proofErr w:type="spellStart"/>
      <w:r w:rsidRPr="00154216">
        <w:rPr>
          <w:lang w:val="es-ES_tradnl"/>
        </w:rPr>
        <w:t>iv</w:t>
      </w:r>
      <w:proofErr w:type="spellEnd"/>
      <w:r w:rsidRPr="00154216">
        <w:rPr>
          <w:lang w:val="es-ES_tradnl"/>
        </w:rPr>
        <w:t xml:space="preserve">)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 xml:space="preserve">/2-3 </w:t>
      </w:r>
    </w:p>
    <w:p w14:paraId="424D3128" w14:textId="77777777" w:rsidR="00154216" w:rsidRPr="00154216" w:rsidRDefault="00154216" w:rsidP="00154216">
      <w:pPr>
        <w:pStyle w:val="SingleTxtG"/>
        <w:rPr>
          <w:lang w:val="es-ES_tradnl"/>
        </w:rPr>
      </w:pPr>
      <w:r w:rsidRPr="00154216">
        <w:rPr>
          <w:lang w:val="es-ES_tradnl"/>
        </w:rPr>
        <w:t>326.</w:t>
      </w:r>
      <w:r w:rsidRPr="00154216">
        <w:rPr>
          <w:lang w:val="es-ES_tradnl"/>
        </w:rPr>
        <w:tab/>
        <w:t xml:space="preserve">El Ministerio de Salud concedió 10.851 subsidios para modificación de viviendas durante el </w:t>
      </w:r>
      <w:r w:rsidR="00D6447D">
        <w:rPr>
          <w:lang w:val="es-ES_tradnl"/>
        </w:rPr>
        <w:t xml:space="preserve">período </w:t>
      </w:r>
      <w:r w:rsidRPr="00154216">
        <w:rPr>
          <w:lang w:val="es-ES_tradnl"/>
        </w:rPr>
        <w:t>que abarca el informe</w:t>
      </w:r>
      <w:r w:rsidRPr="00154216">
        <w:rPr>
          <w:rStyle w:val="Refdenotaalfinal"/>
          <w:lang w:val="es-ES_tradnl"/>
        </w:rPr>
        <w:endnoteReference w:id="224"/>
      </w:r>
      <w:r w:rsidR="00EE7321">
        <w:rPr>
          <w:lang w:val="es-ES_tradnl"/>
        </w:rPr>
        <w:t>.</w:t>
      </w:r>
      <w:r w:rsidRPr="00154216">
        <w:rPr>
          <w:rStyle w:val="Refdenotaalfinal"/>
          <w:lang w:val="es-ES_tradnl"/>
        </w:rPr>
        <w:t xml:space="preserve"> </w:t>
      </w:r>
      <w:r w:rsidRPr="00154216">
        <w:rPr>
          <w:lang w:val="es-ES_tradnl"/>
        </w:rPr>
        <w:t>Es posible que se exija a algunas familias que asuman una parte o la totalidad del costo de estas modificaciones, dependiendo de su situación habitacional. El Gobierno financió la modificación de viviendas en:</w:t>
      </w:r>
    </w:p>
    <w:p w14:paraId="26639989" w14:textId="77777777" w:rsidR="00154216" w:rsidRPr="00154216" w:rsidRDefault="00154216" w:rsidP="00E56424">
      <w:pPr>
        <w:pStyle w:val="Bullet1G"/>
        <w:rPr>
          <w:lang w:val="es-ES_tradnl"/>
        </w:rPr>
      </w:pPr>
      <w:r w:rsidRPr="00154216">
        <w:rPr>
          <w:lang w:val="es-ES_tradnl"/>
        </w:rPr>
        <w:t>7.759 casos de personas con discapacidad que vivían en sus propios hogares (71,5</w:t>
      </w:r>
      <w:r w:rsidR="00D37C06">
        <w:rPr>
          <w:lang w:val="es-ES_tradnl"/>
        </w:rPr>
        <w:t> %</w:t>
      </w:r>
      <w:r w:rsidRPr="00154216">
        <w:rPr>
          <w:lang w:val="es-ES_tradnl"/>
        </w:rPr>
        <w:t>)</w:t>
      </w:r>
      <w:r w:rsidR="00E56424">
        <w:rPr>
          <w:lang w:val="es-ES_tradnl"/>
        </w:rPr>
        <w:t>.</w:t>
      </w:r>
    </w:p>
    <w:p w14:paraId="5605D39E" w14:textId="77777777" w:rsidR="00154216" w:rsidRPr="00154216" w:rsidRDefault="00154216" w:rsidP="00E56424">
      <w:pPr>
        <w:pStyle w:val="Bullet1G"/>
        <w:rPr>
          <w:lang w:val="es-ES_tradnl"/>
        </w:rPr>
      </w:pPr>
      <w:r w:rsidRPr="00154216">
        <w:rPr>
          <w:lang w:val="es-ES_tradnl"/>
        </w:rPr>
        <w:t>1.416 casos de personas con discapacidad alojadas en viviendas de alquiler privadas (13</w:t>
      </w:r>
      <w:r w:rsidR="00D37C06">
        <w:rPr>
          <w:lang w:val="es-ES_tradnl"/>
        </w:rPr>
        <w:t> %</w:t>
      </w:r>
      <w:r w:rsidRPr="00154216">
        <w:rPr>
          <w:lang w:val="es-ES_tradnl"/>
        </w:rPr>
        <w:t>)</w:t>
      </w:r>
      <w:r w:rsidR="00E56424">
        <w:rPr>
          <w:lang w:val="es-ES_tradnl"/>
        </w:rPr>
        <w:t>.</w:t>
      </w:r>
    </w:p>
    <w:p w14:paraId="38942CBD" w14:textId="77777777" w:rsidR="00154216" w:rsidRPr="00154216" w:rsidRDefault="00154216" w:rsidP="00E56424">
      <w:pPr>
        <w:pStyle w:val="Bullet1G"/>
        <w:rPr>
          <w:lang w:val="es-ES_tradnl"/>
        </w:rPr>
      </w:pPr>
      <w:r w:rsidRPr="00154216">
        <w:rPr>
          <w:lang w:val="es-ES_tradnl"/>
        </w:rPr>
        <w:t>1.676 casos de personas con discapacidad alojadas en viviendas sociales</w:t>
      </w:r>
      <w:r w:rsidRPr="00154216">
        <w:rPr>
          <w:rStyle w:val="Refdenotaalfinal"/>
          <w:lang w:val="es-ES_tradnl"/>
        </w:rPr>
        <w:endnoteReference w:id="225"/>
      </w:r>
      <w:r w:rsidRPr="00154216">
        <w:rPr>
          <w:rStyle w:val="Refdenotaalfinal"/>
        </w:rPr>
        <w:t xml:space="preserve"> </w:t>
      </w:r>
      <w:r w:rsidRPr="00154216">
        <w:rPr>
          <w:lang w:val="es-ES_tradnl"/>
        </w:rPr>
        <w:t>(15,5</w:t>
      </w:r>
      <w:r w:rsidR="00D37C06">
        <w:rPr>
          <w:lang w:val="es-ES_tradnl"/>
        </w:rPr>
        <w:t> %</w:t>
      </w:r>
      <w:r w:rsidRPr="00154216">
        <w:rPr>
          <w:lang w:val="es-ES_tradnl"/>
        </w:rPr>
        <w:t>)</w:t>
      </w:r>
      <w:r w:rsidRPr="00154216">
        <w:rPr>
          <w:rStyle w:val="Refdenotaalfinal"/>
          <w:lang w:val="es-ES_tradnl"/>
        </w:rPr>
        <w:endnoteReference w:id="226"/>
      </w:r>
      <w:r w:rsidR="00E56424">
        <w:rPr>
          <w:lang w:val="es-ES_tradnl"/>
        </w:rPr>
        <w:t>.</w:t>
      </w:r>
      <w:r w:rsidRPr="00154216">
        <w:rPr>
          <w:rStyle w:val="Refdenotaalfinal"/>
          <w:lang w:val="es-ES_tradnl"/>
        </w:rPr>
        <w:t xml:space="preserve"> </w:t>
      </w:r>
    </w:p>
    <w:p w14:paraId="27852E6C" w14:textId="77777777" w:rsidR="00154216" w:rsidRPr="00154216" w:rsidRDefault="00154216" w:rsidP="00154216">
      <w:pPr>
        <w:pStyle w:val="SingleTxtG"/>
        <w:rPr>
          <w:lang w:val="es-ES_tradnl"/>
        </w:rPr>
      </w:pPr>
      <w:r w:rsidRPr="00154216">
        <w:rPr>
          <w:lang w:val="es-ES_tradnl"/>
        </w:rPr>
        <w:t>327.</w:t>
      </w:r>
      <w:r w:rsidRPr="00154216">
        <w:rPr>
          <w:lang w:val="es-ES_tradnl"/>
        </w:rPr>
        <w:tab/>
        <w:t>La ACC concedió 9.295</w:t>
      </w:r>
      <w:r w:rsidRPr="00154216">
        <w:rPr>
          <w:rStyle w:val="Refdenotaalfinal"/>
          <w:lang w:val="es-ES_tradnl"/>
        </w:rPr>
        <w:endnoteReference w:id="227"/>
      </w:r>
      <w:r w:rsidR="00E56424">
        <w:rPr>
          <w:lang w:val="es-ES_tradnl"/>
        </w:rPr>
        <w:t xml:space="preserve"> </w:t>
      </w:r>
      <w:r w:rsidRPr="00E56424">
        <w:rPr>
          <w:rStyle w:val="Refdenotaalfinal"/>
          <w:vertAlign w:val="baseline"/>
          <w:lang w:val="es-ES_tradnl"/>
        </w:rPr>
        <w:t>s</w:t>
      </w:r>
      <w:r w:rsidRPr="00154216">
        <w:rPr>
          <w:lang w:val="es-ES_tradnl"/>
        </w:rPr>
        <w:t xml:space="preserve">ubsidios para modificación de viviendas durante el </w:t>
      </w:r>
      <w:r w:rsidR="00D6447D">
        <w:rPr>
          <w:lang w:val="es-ES_tradnl"/>
        </w:rPr>
        <w:t xml:space="preserve">período </w:t>
      </w:r>
      <w:r w:rsidRPr="00154216">
        <w:rPr>
          <w:lang w:val="es-ES_tradnl"/>
        </w:rPr>
        <w:t>que abarca el informe</w:t>
      </w:r>
      <w:r w:rsidRPr="00154216">
        <w:rPr>
          <w:rStyle w:val="Refdenotaalfinal"/>
          <w:lang w:val="es-ES_tradnl"/>
        </w:rPr>
        <w:endnoteReference w:id="228"/>
      </w:r>
      <w:r w:rsidR="00E56424">
        <w:rPr>
          <w:lang w:val="es-ES_tradnl"/>
        </w:rPr>
        <w:t>.</w:t>
      </w:r>
      <w:r w:rsidRPr="00154216">
        <w:rPr>
          <w:rStyle w:val="Refdenotaalfinal"/>
          <w:lang w:val="es-ES_tradnl"/>
        </w:rPr>
        <w:t xml:space="preserve"> </w:t>
      </w:r>
      <w:r w:rsidRPr="00154216">
        <w:rPr>
          <w:lang w:val="es-ES_tradnl"/>
        </w:rPr>
        <w:t>Las modificaciones van de la instalación de rampas y barandillas a obras complejas como la instalación de ascensores y la ampliación de la vivienda. La ACC financia en su totalidad la solución modificadora de la vivienda más eficaz en función del costo para atender las necesidades estimadas que se derivan de lesiones sufridas por una persona.</w:t>
      </w:r>
    </w:p>
    <w:p w14:paraId="3B529DF5" w14:textId="77777777" w:rsidR="00154216" w:rsidRPr="00154216" w:rsidRDefault="00154216" w:rsidP="00E56424">
      <w:pPr>
        <w:pStyle w:val="H23G"/>
        <w:rPr>
          <w:lang w:val="es-ES_tradnl"/>
        </w:rPr>
      </w:pPr>
      <w:r w:rsidRPr="00154216">
        <w:rPr>
          <w:lang w:val="es-ES_tradnl"/>
        </w:rPr>
        <w:tab/>
      </w:r>
      <w:r w:rsidRPr="00154216">
        <w:rPr>
          <w:lang w:val="es-ES_tradnl"/>
        </w:rPr>
        <w:tab/>
        <w:t xml:space="preserve">Respuesta al párrafo 26 a) v)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 xml:space="preserve">/2-3 </w:t>
      </w:r>
    </w:p>
    <w:p w14:paraId="6B8286BC" w14:textId="77777777" w:rsidR="00154216" w:rsidRPr="00154216" w:rsidRDefault="00154216" w:rsidP="00154216">
      <w:pPr>
        <w:pStyle w:val="SingleTxtG"/>
        <w:rPr>
          <w:lang w:val="es-ES_tradnl"/>
        </w:rPr>
      </w:pPr>
      <w:bookmarkStart w:id="8" w:name="_Hlk512418695"/>
      <w:r w:rsidRPr="00154216">
        <w:rPr>
          <w:lang w:val="es-ES_tradnl"/>
        </w:rPr>
        <w:t>328.</w:t>
      </w:r>
      <w:r w:rsidRPr="00154216">
        <w:rPr>
          <w:lang w:val="es-ES_tradnl"/>
        </w:rPr>
        <w:tab/>
        <w:t xml:space="preserve">Entre enero de 2014 y abril de 2018, la Corporación de la Vivienda construyó o modificó 441 viviendas por razones de discapacidad. </w:t>
      </w:r>
      <w:bookmarkEnd w:id="8"/>
    </w:p>
    <w:p w14:paraId="0977C61F" w14:textId="77777777" w:rsidR="00154216" w:rsidRPr="00154216" w:rsidRDefault="00154216" w:rsidP="00E56424">
      <w:pPr>
        <w:pStyle w:val="H23G"/>
        <w:rPr>
          <w:lang w:val="es-ES_tradnl"/>
        </w:rPr>
      </w:pPr>
      <w:r w:rsidRPr="00154216">
        <w:rPr>
          <w:lang w:val="es-ES_tradnl"/>
        </w:rPr>
        <w:tab/>
      </w:r>
      <w:r w:rsidRPr="00154216">
        <w:rPr>
          <w:lang w:val="es-ES_tradnl"/>
        </w:rPr>
        <w:tab/>
        <w:t xml:space="preserve">Respuesta al párrafo 26 b)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 xml:space="preserve">/2-3 </w:t>
      </w:r>
    </w:p>
    <w:bookmarkEnd w:id="7"/>
    <w:p w14:paraId="52F8556C" w14:textId="77777777" w:rsidR="00154216" w:rsidRPr="00154216" w:rsidRDefault="00154216" w:rsidP="00154216">
      <w:pPr>
        <w:pStyle w:val="SingleTxtG"/>
        <w:rPr>
          <w:lang w:val="es-ES_tradnl"/>
        </w:rPr>
      </w:pPr>
      <w:r w:rsidRPr="00154216">
        <w:rPr>
          <w:lang w:val="es-ES_tradnl"/>
        </w:rPr>
        <w:t>329.</w:t>
      </w:r>
      <w:r w:rsidRPr="00154216">
        <w:rPr>
          <w:lang w:val="es-ES_tradnl"/>
        </w:rPr>
        <w:tab/>
        <w:t>La nueva Ley de Reducción de la Pobreza Infantil de 2018</w:t>
      </w:r>
      <w:r w:rsidRPr="00154216">
        <w:rPr>
          <w:rStyle w:val="Refdenotaalfinal"/>
          <w:lang w:val="es-ES_tradnl"/>
        </w:rPr>
        <w:endnoteReference w:id="229"/>
      </w:r>
      <w:r w:rsidRPr="00154216">
        <w:rPr>
          <w:rStyle w:val="Refdenotaalfinal"/>
          <w:lang w:val="es-ES_tradnl"/>
        </w:rPr>
        <w:t xml:space="preserve"> </w:t>
      </w:r>
      <w:r w:rsidRPr="00154216">
        <w:rPr>
          <w:lang w:val="es-ES_tradnl"/>
        </w:rPr>
        <w:t>exige a los sucesivos gobiernos que establezcan objetivos decenales y trienales de reducción de la pobreza infantil y que informen anualmente de los índices de pobreza infantil.</w:t>
      </w:r>
    </w:p>
    <w:p w14:paraId="1BF1F8FD" w14:textId="77777777" w:rsidR="00154216" w:rsidRPr="00154216" w:rsidRDefault="00154216" w:rsidP="00154216">
      <w:pPr>
        <w:pStyle w:val="SingleTxtG"/>
        <w:rPr>
          <w:lang w:val="es-ES_tradnl"/>
        </w:rPr>
      </w:pPr>
      <w:r w:rsidRPr="00154216">
        <w:rPr>
          <w:lang w:val="es-ES_tradnl"/>
        </w:rPr>
        <w:t>330.</w:t>
      </w:r>
      <w:r w:rsidRPr="00154216">
        <w:rPr>
          <w:lang w:val="es-ES_tradnl"/>
        </w:rPr>
        <w:tab/>
        <w:t xml:space="preserve">La Ley exige a la Oficina de Estadística del Gobierno que presente análisis de determinadas poblaciones en la medida en que lo permitan los datos disponibles. La Ley da ejemplos de los grupos de población que pueden ser objeto de esos análisis, como los niños con discapacidad y los niños con un progenitor, tutor o cuidador discapacitado. </w:t>
      </w:r>
    </w:p>
    <w:p w14:paraId="2CE9B2D7" w14:textId="77777777" w:rsidR="00154216" w:rsidRPr="00154216" w:rsidRDefault="00154216" w:rsidP="00154216">
      <w:pPr>
        <w:pStyle w:val="SingleTxtG"/>
        <w:rPr>
          <w:lang w:val="es-ES_tradnl"/>
        </w:rPr>
      </w:pPr>
      <w:r w:rsidRPr="00154216">
        <w:rPr>
          <w:lang w:val="es-ES_tradnl"/>
        </w:rPr>
        <w:lastRenderedPageBreak/>
        <w:t>331.</w:t>
      </w:r>
      <w:r w:rsidRPr="00154216">
        <w:rPr>
          <w:lang w:val="es-ES_tradnl"/>
        </w:rPr>
        <w:tab/>
        <w:t>Las enmiendas introducidas en la Ley de la Infancia de 2014</w:t>
      </w:r>
      <w:r w:rsidRPr="00154216">
        <w:rPr>
          <w:rStyle w:val="Refdenotaalfinal"/>
          <w:lang w:val="es-ES_tradnl"/>
        </w:rPr>
        <w:endnoteReference w:id="230"/>
      </w:r>
      <w:r w:rsidRPr="00154216">
        <w:rPr>
          <w:rStyle w:val="Refdenotaalfinal"/>
          <w:lang w:val="es-ES_tradnl"/>
        </w:rPr>
        <w:t xml:space="preserve"> </w:t>
      </w:r>
      <w:r w:rsidRPr="00154216">
        <w:rPr>
          <w:lang w:val="es-ES_tradnl"/>
        </w:rPr>
        <w:t xml:space="preserve">imponen a los sucesivos gobiernos la adopción de una estrategia para mejorar el bienestar de todos los niños, en particular los más necesitados, y reducir la pobreza infantil. </w:t>
      </w:r>
    </w:p>
    <w:p w14:paraId="1C7EAD09" w14:textId="77777777" w:rsidR="00154216" w:rsidRPr="00154216" w:rsidRDefault="00154216" w:rsidP="00154216">
      <w:pPr>
        <w:pStyle w:val="SingleTxtG"/>
        <w:rPr>
          <w:lang w:val="es-ES_tradnl"/>
        </w:rPr>
      </w:pPr>
      <w:r w:rsidRPr="00154216">
        <w:rPr>
          <w:lang w:val="es-ES_tradnl"/>
        </w:rPr>
        <w:t>332.</w:t>
      </w:r>
      <w:r w:rsidRPr="00154216">
        <w:rPr>
          <w:lang w:val="es-ES_tradnl"/>
        </w:rPr>
        <w:tab/>
        <w:t xml:space="preserve">La Ley de la Infancia prevé que el propósito de la estrategia ha de ser ayudar a Nueva Zelandia a cumplir sus obligaciones internacionales relativas a la infancia, en particular las dimanantes de la Convención sobre los Derechos del Niño y la Convención sobre los Derechos de las Personas con Discapacidad. Los informes anuales sobre el avance hacia los resultados previstos por la estrategia deben incluir el análisis de determinados grupos de la población como, por ejemplo, los niños con discapacidad y los niños con un progenitor, tutor o cuidador discapacitado. </w:t>
      </w:r>
    </w:p>
    <w:p w14:paraId="42C0FE52" w14:textId="77777777" w:rsidR="00154216" w:rsidRPr="00154216" w:rsidRDefault="00154216" w:rsidP="00154216">
      <w:pPr>
        <w:pStyle w:val="SingleTxtG"/>
        <w:rPr>
          <w:lang w:val="es-ES_tradnl"/>
        </w:rPr>
      </w:pPr>
      <w:r w:rsidRPr="00154216">
        <w:rPr>
          <w:lang w:val="es-ES_tradnl"/>
        </w:rPr>
        <w:t>333.</w:t>
      </w:r>
      <w:r w:rsidRPr="00154216">
        <w:rPr>
          <w:lang w:val="es-ES_tradnl"/>
        </w:rPr>
        <w:tab/>
        <w:t xml:space="preserve">Actualmente el Gobierno elabora la primera estrategia. El proyecto de marco prevé una serie de resultados y focos de atención, como el de </w:t>
      </w:r>
      <w:r>
        <w:rPr>
          <w:lang w:val="es-ES_tradnl"/>
        </w:rPr>
        <w:t>“</w:t>
      </w:r>
      <w:r w:rsidRPr="00154216">
        <w:rPr>
          <w:lang w:val="es-ES_tradnl"/>
        </w:rPr>
        <w:t>asegurar mejores oportunidades y resultados para los niños y jóvenes con discapacidad</w:t>
      </w:r>
      <w:r>
        <w:rPr>
          <w:lang w:val="es-ES_tradnl"/>
        </w:rPr>
        <w:t>”</w:t>
      </w:r>
      <w:r w:rsidRPr="00154216">
        <w:rPr>
          <w:lang w:val="es-ES_tradnl"/>
        </w:rPr>
        <w:t>.</w:t>
      </w:r>
    </w:p>
    <w:p w14:paraId="00E977A5" w14:textId="77777777" w:rsidR="00154216" w:rsidRPr="00154216" w:rsidRDefault="00154216" w:rsidP="00154216">
      <w:pPr>
        <w:pStyle w:val="SingleTxtG"/>
        <w:rPr>
          <w:lang w:val="es-ES_tradnl"/>
        </w:rPr>
      </w:pPr>
      <w:r w:rsidRPr="00154216">
        <w:rPr>
          <w:lang w:val="es-ES_tradnl"/>
        </w:rPr>
        <w:t>334.</w:t>
      </w:r>
      <w:r w:rsidRPr="00154216">
        <w:rPr>
          <w:lang w:val="es-ES_tradnl"/>
        </w:rPr>
        <w:tab/>
        <w:t>Las estrategias de reducción del problema de las personas sin hogar no contemplan medidas destinadas específicamente a las personas con discapacidad.</w:t>
      </w:r>
    </w:p>
    <w:p w14:paraId="179F9EFB" w14:textId="77777777" w:rsidR="00154216" w:rsidRPr="00154216" w:rsidRDefault="00154216" w:rsidP="00E56424">
      <w:pPr>
        <w:pStyle w:val="H23G"/>
        <w:rPr>
          <w:lang w:val="es-ES_tradnl"/>
        </w:rPr>
      </w:pPr>
      <w:r w:rsidRPr="00154216">
        <w:rPr>
          <w:lang w:val="es-ES_tradnl"/>
        </w:rPr>
        <w:tab/>
      </w:r>
      <w:r w:rsidRPr="00154216">
        <w:rPr>
          <w:lang w:val="es-ES_tradnl"/>
        </w:rPr>
        <w:tab/>
        <w:t xml:space="preserve">Respuesta al párrafo 27 a)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 xml:space="preserve">/2-3 </w:t>
      </w:r>
    </w:p>
    <w:p w14:paraId="61A2B2D6" w14:textId="77777777" w:rsidR="00154216" w:rsidRPr="00154216" w:rsidRDefault="00154216" w:rsidP="00154216">
      <w:pPr>
        <w:pStyle w:val="SingleTxtG"/>
        <w:rPr>
          <w:lang w:val="es-ES_tradnl"/>
        </w:rPr>
      </w:pPr>
      <w:r w:rsidRPr="00154216">
        <w:rPr>
          <w:lang w:val="es-ES_tradnl"/>
        </w:rPr>
        <w:t>335.</w:t>
      </w:r>
      <w:r w:rsidRPr="00154216">
        <w:rPr>
          <w:lang w:val="es-ES_tradnl"/>
        </w:rPr>
        <w:tab/>
        <w:t xml:space="preserve">Para las elecciones parlamentarias en Nueva Zelandia no se dispone de un sistema de voto electrónico. </w:t>
      </w:r>
    </w:p>
    <w:p w14:paraId="39B3B52A" w14:textId="77777777" w:rsidR="00154216" w:rsidRPr="00154216" w:rsidRDefault="00154216" w:rsidP="00154216">
      <w:pPr>
        <w:pStyle w:val="SingleTxtG"/>
        <w:rPr>
          <w:rStyle w:val="Refdenotaalfinal"/>
          <w:lang w:val="es-ES_tradnl"/>
        </w:rPr>
      </w:pPr>
      <w:r w:rsidRPr="00154216">
        <w:rPr>
          <w:lang w:val="es-ES_tradnl"/>
        </w:rPr>
        <w:t>336.</w:t>
      </w:r>
      <w:r w:rsidRPr="00154216">
        <w:rPr>
          <w:lang w:val="es-ES_tradnl"/>
        </w:rPr>
        <w:tab/>
        <w:t>Según una encuesta de votantes y no votantes tras las elecciones generales de 2017, el 92</w:t>
      </w:r>
      <w:r w:rsidR="00D37C06">
        <w:rPr>
          <w:lang w:val="es-ES_tradnl"/>
        </w:rPr>
        <w:t> %</w:t>
      </w:r>
      <w:r w:rsidRPr="00154216">
        <w:rPr>
          <w:lang w:val="es-ES_tradnl"/>
        </w:rPr>
        <w:t xml:space="preserve"> de los votantes con discapacidad estaban </w:t>
      </w:r>
      <w:r>
        <w:rPr>
          <w:lang w:val="es-ES_tradnl"/>
        </w:rPr>
        <w:t>“</w:t>
      </w:r>
      <w:r w:rsidRPr="00154216">
        <w:rPr>
          <w:lang w:val="es-ES_tradnl"/>
        </w:rPr>
        <w:t>satisfechos</w:t>
      </w:r>
      <w:r>
        <w:rPr>
          <w:lang w:val="es-ES_tradnl"/>
        </w:rPr>
        <w:t>”</w:t>
      </w:r>
      <w:r w:rsidRPr="00154216">
        <w:rPr>
          <w:lang w:val="es-ES_tradnl"/>
        </w:rPr>
        <w:t xml:space="preserve"> o </w:t>
      </w:r>
      <w:r>
        <w:rPr>
          <w:lang w:val="es-ES_tradnl"/>
        </w:rPr>
        <w:t>“</w:t>
      </w:r>
      <w:r w:rsidRPr="00154216">
        <w:rPr>
          <w:lang w:val="es-ES_tradnl"/>
        </w:rPr>
        <w:t>muy satisfechos</w:t>
      </w:r>
      <w:r>
        <w:rPr>
          <w:lang w:val="es-ES_tradnl"/>
        </w:rPr>
        <w:t>”</w:t>
      </w:r>
      <w:r w:rsidRPr="00154216">
        <w:rPr>
          <w:lang w:val="es-ES_tradnl"/>
        </w:rPr>
        <w:t xml:space="preserve"> con el proceso general de votación</w:t>
      </w:r>
      <w:r w:rsidRPr="00154216">
        <w:rPr>
          <w:rStyle w:val="Refdenotaalfinal"/>
          <w:lang w:val="es-ES_tradnl"/>
        </w:rPr>
        <w:endnoteReference w:id="231"/>
      </w:r>
      <w:r w:rsidR="00E56424">
        <w:rPr>
          <w:lang w:val="es-ES_tradnl"/>
        </w:rPr>
        <w:t>.</w:t>
      </w:r>
    </w:p>
    <w:p w14:paraId="3E39E054" w14:textId="77777777" w:rsidR="00154216" w:rsidRPr="00154216" w:rsidRDefault="00154216" w:rsidP="00154216">
      <w:pPr>
        <w:pStyle w:val="SingleTxtG"/>
        <w:rPr>
          <w:lang w:val="es-ES_tradnl"/>
        </w:rPr>
      </w:pPr>
      <w:r w:rsidRPr="00154216">
        <w:rPr>
          <w:lang w:val="es-ES_tradnl"/>
        </w:rPr>
        <w:t>337.</w:t>
      </w:r>
      <w:r w:rsidRPr="00154216">
        <w:rPr>
          <w:lang w:val="es-ES_tradnl"/>
        </w:rPr>
        <w:tab/>
        <w:t>Para aumentar la accesibilidad de la votación, la Comisión Electoral Independiente introdujo:</w:t>
      </w:r>
    </w:p>
    <w:p w14:paraId="4D5FC8B6" w14:textId="77777777" w:rsidR="00154216" w:rsidRPr="00154216" w:rsidRDefault="00154216" w:rsidP="00E56424">
      <w:pPr>
        <w:pStyle w:val="Bullet1G"/>
        <w:rPr>
          <w:lang w:val="es-ES_tradnl"/>
        </w:rPr>
      </w:pPr>
      <w:r w:rsidRPr="00154216">
        <w:rPr>
          <w:lang w:val="es-ES_tradnl"/>
        </w:rPr>
        <w:t>Para todas las elecciones generales, elecciones parciales y referendos, a partir de</w:t>
      </w:r>
      <w:r w:rsidR="00E56424">
        <w:rPr>
          <w:lang w:val="es-ES_tradnl"/>
        </w:rPr>
        <w:t> </w:t>
      </w:r>
      <w:r w:rsidRPr="00154216">
        <w:rPr>
          <w:lang w:val="es-ES_tradnl"/>
        </w:rPr>
        <w:t>2014</w:t>
      </w:r>
      <w:r w:rsidRPr="00154216">
        <w:rPr>
          <w:rStyle w:val="Refdenotaalfinal"/>
          <w:lang w:val="es-ES_tradnl"/>
        </w:rPr>
        <w:endnoteReference w:id="232"/>
      </w:r>
      <w:r w:rsidR="00E56424">
        <w:rPr>
          <w:lang w:val="es-ES_tradnl"/>
        </w:rPr>
        <w:t>,</w:t>
      </w:r>
      <w:r w:rsidRPr="00154216">
        <w:rPr>
          <w:rStyle w:val="Refdenotaalfinal"/>
          <w:lang w:val="es-ES_tradnl"/>
        </w:rPr>
        <w:t xml:space="preserve"> </w:t>
      </w:r>
      <w:r w:rsidRPr="00154216">
        <w:rPr>
          <w:lang w:val="es-ES_tradnl"/>
        </w:rPr>
        <w:t>un servicio de dictado telefónico para que pudieran votar los electores ciegos, parcialmente ciegos o con una discapacidad que les impidiera marcar la papeleta sin asistencia;</w:t>
      </w:r>
    </w:p>
    <w:p w14:paraId="6EA3D1EB" w14:textId="77777777" w:rsidR="00154216" w:rsidRPr="00154216" w:rsidRDefault="00154216" w:rsidP="00E56424">
      <w:pPr>
        <w:pStyle w:val="Bullet1G"/>
        <w:rPr>
          <w:rStyle w:val="Refdenotaalfinal"/>
          <w:lang w:val="es-ES_tradnl"/>
        </w:rPr>
      </w:pPr>
      <w:r w:rsidRPr="00154216">
        <w:rPr>
          <w:lang w:val="es-ES_tradnl"/>
        </w:rPr>
        <w:t>Orientación para los partidos y los candidatos parlamentarios sobre la forma de poner sus recursos a disposición de los votantes con discapacidad</w:t>
      </w:r>
      <w:r w:rsidRPr="00154216">
        <w:rPr>
          <w:rStyle w:val="Refdenotaalfinal"/>
          <w:lang w:val="es-ES_tradnl"/>
        </w:rPr>
        <w:endnoteReference w:id="233"/>
      </w:r>
      <w:r w:rsidR="00E56424">
        <w:rPr>
          <w:lang w:val="es-ES_tradnl"/>
        </w:rPr>
        <w:t>.</w:t>
      </w:r>
    </w:p>
    <w:p w14:paraId="1DB9227A" w14:textId="77777777" w:rsidR="00154216" w:rsidRPr="00154216" w:rsidRDefault="00154216" w:rsidP="00E56424">
      <w:pPr>
        <w:pStyle w:val="Bullet1G"/>
        <w:rPr>
          <w:lang w:val="es-ES_tradnl"/>
        </w:rPr>
      </w:pPr>
      <w:r w:rsidRPr="00154216">
        <w:rPr>
          <w:lang w:val="es-ES_tradnl"/>
        </w:rPr>
        <w:t>Orientación sobre cómo votar para las personas con discapacidades de aprendizaje, en formato de lectura fácil.</w:t>
      </w:r>
    </w:p>
    <w:p w14:paraId="626C70C5" w14:textId="77777777" w:rsidR="00154216" w:rsidRPr="00154216" w:rsidRDefault="00154216" w:rsidP="00154216">
      <w:pPr>
        <w:pStyle w:val="SingleTxtG"/>
        <w:rPr>
          <w:lang w:val="es-ES_tradnl"/>
        </w:rPr>
      </w:pPr>
      <w:r w:rsidRPr="00154216">
        <w:rPr>
          <w:lang w:val="es-ES_tradnl"/>
        </w:rPr>
        <w:t>338.</w:t>
      </w:r>
      <w:r w:rsidRPr="00154216">
        <w:rPr>
          <w:lang w:val="es-ES_tradnl"/>
        </w:rPr>
        <w:tab/>
        <w:t>La Comisión Electoral se propone explorar una tecnología para ofrecer un servicio de interpretación en lengua de señas a los votantes sordos en los lugares de votación.</w:t>
      </w:r>
    </w:p>
    <w:p w14:paraId="752F1639" w14:textId="77777777" w:rsidR="00154216" w:rsidRPr="00154216" w:rsidRDefault="00154216" w:rsidP="00E56424">
      <w:pPr>
        <w:pStyle w:val="H23G"/>
        <w:rPr>
          <w:lang w:val="es-ES_tradnl"/>
        </w:rPr>
      </w:pPr>
      <w:r w:rsidRPr="00154216">
        <w:rPr>
          <w:lang w:val="es-ES_tradnl"/>
        </w:rPr>
        <w:tab/>
      </w:r>
      <w:r w:rsidRPr="00154216">
        <w:rPr>
          <w:lang w:val="es-ES_tradnl"/>
        </w:rPr>
        <w:tab/>
        <w:t xml:space="preserve">Respuesta al párrafo 27 b) i)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 xml:space="preserve">/2-3 </w:t>
      </w:r>
    </w:p>
    <w:p w14:paraId="2A746EB0" w14:textId="77777777" w:rsidR="00154216" w:rsidRPr="00154216" w:rsidRDefault="00154216" w:rsidP="00154216">
      <w:pPr>
        <w:pStyle w:val="SingleTxtG"/>
        <w:rPr>
          <w:lang w:val="es-ES_tradnl"/>
        </w:rPr>
      </w:pPr>
      <w:r w:rsidRPr="00154216">
        <w:rPr>
          <w:lang w:val="es-ES_tradnl"/>
        </w:rPr>
        <w:t>339.</w:t>
      </w:r>
      <w:r w:rsidRPr="00154216">
        <w:rPr>
          <w:lang w:val="es-ES_tradnl"/>
        </w:rPr>
        <w:tab/>
        <w:t xml:space="preserve">Los partidos políticos neozelandeses pueden financiar las candidaturas de personas con discapacidad a los cargos elegidos. No existe un límite para este tipo de gasto electoral. </w:t>
      </w:r>
    </w:p>
    <w:p w14:paraId="4FC711A8" w14:textId="77777777" w:rsidR="00154216" w:rsidRPr="00154216" w:rsidRDefault="00154216" w:rsidP="00154216">
      <w:pPr>
        <w:pStyle w:val="SingleTxtG"/>
        <w:rPr>
          <w:lang w:val="es-ES_tradnl"/>
        </w:rPr>
      </w:pPr>
      <w:r w:rsidRPr="00154216">
        <w:rPr>
          <w:lang w:val="es-ES_tradnl"/>
        </w:rPr>
        <w:t>340.</w:t>
      </w:r>
      <w:r w:rsidRPr="00154216">
        <w:rPr>
          <w:lang w:val="es-ES_tradnl"/>
        </w:rPr>
        <w:tab/>
        <w:t>El Servicio Parlamentario presta apoyo a los parlamentarios con discapacidad.</w:t>
      </w:r>
    </w:p>
    <w:p w14:paraId="22FD2AF5" w14:textId="77777777" w:rsidR="00154216" w:rsidRPr="00154216" w:rsidRDefault="00154216" w:rsidP="00154216">
      <w:pPr>
        <w:pStyle w:val="SingleTxtG"/>
        <w:rPr>
          <w:lang w:val="es-ES_tradnl"/>
        </w:rPr>
      </w:pPr>
      <w:r w:rsidRPr="00154216">
        <w:rPr>
          <w:lang w:val="es-ES_tradnl"/>
        </w:rPr>
        <w:t>341.</w:t>
      </w:r>
      <w:r w:rsidRPr="00154216">
        <w:rPr>
          <w:lang w:val="es-ES_tradnl"/>
        </w:rPr>
        <w:tab/>
        <w:t>El Parlamento está debatiendo el proyecto de ley sobre el fondo de acceso a las elecciones. Si se aprueba, se establecerá un fondo para sufragar los gastos que suponga una discapacidad para quienes se presentan como candidatos en las elecciones generales</w:t>
      </w:r>
      <w:r w:rsidRPr="00154216">
        <w:rPr>
          <w:rStyle w:val="Refdenotaalfinal"/>
          <w:lang w:val="es-ES_tradnl"/>
        </w:rPr>
        <w:endnoteReference w:id="234"/>
      </w:r>
      <w:r w:rsidR="00EE7321">
        <w:rPr>
          <w:lang w:val="es-ES_tradnl"/>
        </w:rPr>
        <w:t>.</w:t>
      </w:r>
      <w:r w:rsidRPr="00154216">
        <w:rPr>
          <w:rStyle w:val="Refdenotaalfinal"/>
          <w:lang w:val="es-ES_tradnl"/>
        </w:rPr>
        <w:t xml:space="preserve"> </w:t>
      </w:r>
    </w:p>
    <w:p w14:paraId="6565B312" w14:textId="77777777" w:rsidR="00154216" w:rsidRPr="00154216" w:rsidRDefault="00154216" w:rsidP="00154216">
      <w:pPr>
        <w:pStyle w:val="SingleTxtG"/>
        <w:rPr>
          <w:lang w:val="es-ES_tradnl"/>
        </w:rPr>
      </w:pPr>
      <w:r w:rsidRPr="00154216">
        <w:rPr>
          <w:lang w:val="es-ES_tradnl"/>
        </w:rPr>
        <w:t>342.</w:t>
      </w:r>
      <w:r w:rsidRPr="00154216">
        <w:rPr>
          <w:lang w:val="es-ES_tradnl"/>
        </w:rPr>
        <w:tab/>
        <w:t>En 2014, un Comité Parlamentario Especial llevó a cabo una investigación sobre la accesibilidad de los servicios parlamentarios y formuló recomendaciones para ajustar el Parlamento a las disposiciones de la Convención. Más tarde, el presidente del Parlamento</w:t>
      </w:r>
      <w:r w:rsidRPr="00154216">
        <w:rPr>
          <w:rStyle w:val="Refdenotaalfinal"/>
          <w:lang w:val="es-ES_tradnl"/>
        </w:rPr>
        <w:endnoteReference w:id="235"/>
      </w:r>
      <w:r w:rsidRPr="00154216">
        <w:rPr>
          <w:rStyle w:val="Refdenotaalfinal"/>
          <w:lang w:val="es-ES_tradnl"/>
        </w:rPr>
        <w:t xml:space="preserve"> </w:t>
      </w:r>
      <w:r w:rsidRPr="00154216">
        <w:rPr>
          <w:lang w:val="es-ES_tradnl"/>
        </w:rPr>
        <w:t xml:space="preserve">informó de los progresos y los planes para mejorar la accesibilidad, que consistían en: </w:t>
      </w:r>
    </w:p>
    <w:p w14:paraId="0993B0FA" w14:textId="77777777" w:rsidR="00154216" w:rsidRPr="00154216" w:rsidRDefault="00154216" w:rsidP="00E56424">
      <w:pPr>
        <w:pStyle w:val="Bullet1G"/>
        <w:rPr>
          <w:lang w:val="es-ES_tradnl"/>
        </w:rPr>
      </w:pPr>
      <w:r w:rsidRPr="00154216">
        <w:rPr>
          <w:lang w:val="es-ES_tradnl"/>
        </w:rPr>
        <w:t>Asegurar la accesibilidad física del recinto del Parlamento</w:t>
      </w:r>
      <w:r w:rsidR="00E56424">
        <w:rPr>
          <w:lang w:val="es-ES_tradnl"/>
        </w:rPr>
        <w:t>.</w:t>
      </w:r>
    </w:p>
    <w:p w14:paraId="01F92ED5" w14:textId="77777777" w:rsidR="00154216" w:rsidRPr="00154216" w:rsidRDefault="00154216" w:rsidP="00E56424">
      <w:pPr>
        <w:pStyle w:val="Bullet1G"/>
        <w:rPr>
          <w:lang w:val="es-ES_tradnl"/>
        </w:rPr>
      </w:pPr>
      <w:r w:rsidRPr="00154216">
        <w:rPr>
          <w:lang w:val="es-ES_tradnl"/>
        </w:rPr>
        <w:t>Posibilitar el uso de la lengua de señas neozelandesa mediante la disponibilidad de intérpretes</w:t>
      </w:r>
      <w:r w:rsidR="00E56424">
        <w:rPr>
          <w:lang w:val="es-ES_tradnl"/>
        </w:rPr>
        <w:t>.</w:t>
      </w:r>
    </w:p>
    <w:p w14:paraId="4F8643D8" w14:textId="77777777" w:rsidR="00154216" w:rsidRPr="00154216" w:rsidRDefault="00154216" w:rsidP="00E56424">
      <w:pPr>
        <w:pStyle w:val="Bullet1G"/>
        <w:rPr>
          <w:lang w:val="es-ES_tradnl"/>
        </w:rPr>
      </w:pPr>
      <w:r w:rsidRPr="00154216">
        <w:rPr>
          <w:lang w:val="es-ES_tradnl"/>
        </w:rPr>
        <w:t>Proveer al subtitulado en directo en la televisión del Parlamento</w:t>
      </w:r>
      <w:r w:rsidR="00E56424">
        <w:rPr>
          <w:lang w:val="es-ES_tradnl"/>
        </w:rPr>
        <w:t>.</w:t>
      </w:r>
    </w:p>
    <w:p w14:paraId="6CE5A496" w14:textId="77777777" w:rsidR="00154216" w:rsidRPr="00154216" w:rsidRDefault="00154216" w:rsidP="00E56424">
      <w:pPr>
        <w:pStyle w:val="Bullet1G"/>
        <w:rPr>
          <w:lang w:val="es-ES_tradnl"/>
        </w:rPr>
      </w:pPr>
      <w:r w:rsidRPr="00154216">
        <w:rPr>
          <w:lang w:val="es-ES_tradnl"/>
        </w:rPr>
        <w:lastRenderedPageBreak/>
        <w:t>Elaborar una política de accesibilidad.</w:t>
      </w:r>
    </w:p>
    <w:p w14:paraId="40E80DA5" w14:textId="77777777" w:rsidR="00154216" w:rsidRPr="00154216" w:rsidRDefault="00154216" w:rsidP="00154216">
      <w:pPr>
        <w:pStyle w:val="SingleTxtG"/>
        <w:rPr>
          <w:lang w:val="es-ES_tradnl"/>
        </w:rPr>
      </w:pPr>
      <w:r w:rsidRPr="00154216">
        <w:rPr>
          <w:lang w:val="es-ES_tradnl"/>
        </w:rPr>
        <w:t>343.</w:t>
      </w:r>
      <w:r w:rsidRPr="00154216">
        <w:rPr>
          <w:lang w:val="es-ES_tradnl"/>
        </w:rPr>
        <w:tab/>
        <w:t xml:space="preserve">El presidente del Parlamento declaró que confiaba en que el Servicio Parlamentario y la Secretaría Administrativa estarían en condiciones de prestar a los parlamentarios toda la asistencia que necesitaran para desempeñar su función. Señaló que esa asistencia estaría a disposición de todo nuevo miembro con discapacidad y de todo miembro que contrajera cualquier tipo de discapacidad. </w:t>
      </w:r>
    </w:p>
    <w:p w14:paraId="21605639" w14:textId="77777777" w:rsidR="00154216" w:rsidRPr="00154216" w:rsidRDefault="00154216" w:rsidP="00154216">
      <w:pPr>
        <w:pStyle w:val="SingleTxtG"/>
        <w:rPr>
          <w:lang w:val="es-ES_tradnl"/>
        </w:rPr>
      </w:pPr>
      <w:r w:rsidRPr="00154216">
        <w:rPr>
          <w:lang w:val="es-ES_tradnl"/>
        </w:rPr>
        <w:t>344.</w:t>
      </w:r>
      <w:r w:rsidRPr="00154216">
        <w:rPr>
          <w:lang w:val="es-ES_tradnl"/>
        </w:rPr>
        <w:tab/>
        <w:t>El Gobierno examinará todas las solicitudes de financiación para resolver los problemas de las personas con discapacidad en relación con los servicios parlamentarios.</w:t>
      </w:r>
    </w:p>
    <w:p w14:paraId="07D89609" w14:textId="77777777" w:rsidR="00154216" w:rsidRPr="00154216" w:rsidRDefault="00154216" w:rsidP="00E56424">
      <w:pPr>
        <w:pStyle w:val="H23G"/>
        <w:rPr>
          <w:lang w:val="es-ES_tradnl"/>
        </w:rPr>
      </w:pPr>
      <w:bookmarkStart w:id="9" w:name="_Hlk512419950"/>
      <w:r w:rsidRPr="00154216">
        <w:rPr>
          <w:lang w:val="es-ES_tradnl"/>
        </w:rPr>
        <w:tab/>
      </w:r>
      <w:r w:rsidRPr="00154216">
        <w:rPr>
          <w:lang w:val="es-ES_tradnl"/>
        </w:rPr>
        <w:tab/>
        <w:t xml:space="preserve">Respuesta al párrafo 28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 xml:space="preserve">/2-3 </w:t>
      </w:r>
    </w:p>
    <w:p w14:paraId="1B009C22" w14:textId="77777777" w:rsidR="00154216" w:rsidRPr="00154216" w:rsidRDefault="00154216" w:rsidP="00154216">
      <w:pPr>
        <w:pStyle w:val="SingleTxtG"/>
        <w:rPr>
          <w:lang w:val="es-ES_tradnl"/>
        </w:rPr>
      </w:pPr>
      <w:r w:rsidRPr="00154216">
        <w:rPr>
          <w:lang w:val="es-ES_tradnl"/>
        </w:rPr>
        <w:t>345.</w:t>
      </w:r>
      <w:r w:rsidRPr="00154216">
        <w:rPr>
          <w:lang w:val="es-ES_tradnl"/>
        </w:rPr>
        <w:tab/>
        <w:t xml:space="preserve">La </w:t>
      </w:r>
      <w:r w:rsidRPr="00154216">
        <w:rPr>
          <w:i/>
          <w:iCs/>
          <w:lang w:val="es-ES_tradnl"/>
        </w:rPr>
        <w:t>Guía de diseño de la accesibilidad y lista de control para la autoevaluación</w:t>
      </w:r>
      <w:r w:rsidRPr="00154216">
        <w:rPr>
          <w:lang w:val="es-ES_tradnl"/>
        </w:rPr>
        <w:t xml:space="preserve"> (Sport </w:t>
      </w:r>
      <w:proofErr w:type="spellStart"/>
      <w:r w:rsidRPr="00154216">
        <w:rPr>
          <w:lang w:val="es-ES_tradnl"/>
        </w:rPr>
        <w:t>NZ</w:t>
      </w:r>
      <w:proofErr w:type="spellEnd"/>
      <w:r w:rsidRPr="00154216">
        <w:rPr>
          <w:lang w:val="es-ES_tradnl"/>
        </w:rPr>
        <w:t xml:space="preserve"> 2014)</w:t>
      </w:r>
      <w:r w:rsidRPr="00154216">
        <w:rPr>
          <w:rStyle w:val="Refdenotaalfinal"/>
          <w:lang w:val="es-ES_tradnl"/>
        </w:rPr>
        <w:endnoteReference w:id="236"/>
      </w:r>
      <w:r w:rsidR="00E56424">
        <w:rPr>
          <w:lang w:val="es-ES_tradnl"/>
        </w:rPr>
        <w:t xml:space="preserve"> </w:t>
      </w:r>
      <w:r w:rsidRPr="00E56424">
        <w:rPr>
          <w:rStyle w:val="Refdenotaalfinal"/>
          <w:vertAlign w:val="baseline"/>
          <w:lang w:val="es-ES_tradnl"/>
        </w:rPr>
        <w:t>i</w:t>
      </w:r>
      <w:r w:rsidRPr="00154216">
        <w:rPr>
          <w:lang w:val="es-ES_tradnl"/>
        </w:rPr>
        <w:t xml:space="preserve">nforma de los requisitos mínimos de accesibilidad para las instalaciones deportivas, y alienta a los usuarios a que, más allá de cumplir los requisitos, aspiren al uso de las mejores prácticas. </w:t>
      </w:r>
    </w:p>
    <w:p w14:paraId="0172750F" w14:textId="77777777" w:rsidR="00154216" w:rsidRPr="00154216" w:rsidRDefault="00154216" w:rsidP="00154216">
      <w:pPr>
        <w:pStyle w:val="SingleTxtG"/>
        <w:rPr>
          <w:rStyle w:val="Refdenotaalfinal"/>
          <w:lang w:val="es-ES_tradnl"/>
        </w:rPr>
      </w:pPr>
      <w:r w:rsidRPr="00154216">
        <w:rPr>
          <w:lang w:val="es-ES_tradnl"/>
        </w:rPr>
        <w:t>346.</w:t>
      </w:r>
      <w:r w:rsidRPr="00154216">
        <w:rPr>
          <w:lang w:val="es-ES_tradnl"/>
        </w:rPr>
        <w:tab/>
        <w:t>No hay ninguna política gubernamental para mejorar la accesibilidad en los museos. Sin embargo, algunos museos proveen a la accesibilidad</w:t>
      </w:r>
      <w:r w:rsidRPr="00154216">
        <w:rPr>
          <w:rStyle w:val="Refdenotaalfinal"/>
          <w:lang w:val="es-ES_tradnl"/>
        </w:rPr>
        <w:endnoteReference w:id="237"/>
      </w:r>
      <w:r w:rsidR="00E56424">
        <w:rPr>
          <w:lang w:val="es-ES_tradnl"/>
        </w:rPr>
        <w:t>.</w:t>
      </w:r>
    </w:p>
    <w:p w14:paraId="1F01767A" w14:textId="77777777" w:rsidR="00154216" w:rsidRPr="00154216" w:rsidRDefault="00154216" w:rsidP="00154216">
      <w:pPr>
        <w:pStyle w:val="SingleTxtG"/>
        <w:rPr>
          <w:lang w:val="es-ES_tradnl"/>
        </w:rPr>
      </w:pPr>
      <w:r w:rsidRPr="00154216">
        <w:rPr>
          <w:lang w:val="es-ES_tradnl"/>
        </w:rPr>
        <w:t>347.</w:t>
      </w:r>
      <w:r w:rsidRPr="00154216">
        <w:rPr>
          <w:lang w:val="es-ES_tradnl"/>
        </w:rPr>
        <w:tab/>
        <w:t xml:space="preserve">En 2015/16, </w:t>
      </w:r>
      <w:proofErr w:type="spellStart"/>
      <w:r w:rsidRPr="00154216">
        <w:rPr>
          <w:lang w:val="es-ES_tradnl"/>
        </w:rPr>
        <w:t>NZ</w:t>
      </w:r>
      <w:proofErr w:type="spellEnd"/>
      <w:r w:rsidRPr="00154216">
        <w:rPr>
          <w:lang w:val="es-ES_tradnl"/>
        </w:rPr>
        <w:t xml:space="preserve"> </w:t>
      </w:r>
      <w:proofErr w:type="spellStart"/>
      <w:r w:rsidRPr="00154216">
        <w:rPr>
          <w:lang w:val="es-ES_tradnl"/>
        </w:rPr>
        <w:t>On</w:t>
      </w:r>
      <w:proofErr w:type="spellEnd"/>
      <w:r w:rsidRPr="00154216">
        <w:rPr>
          <w:lang w:val="es-ES_tradnl"/>
        </w:rPr>
        <w:t xml:space="preserve"> Air, que es el organismo financiero de la radio y teledifusión, incrementó la asignación anual al subtitulado de 2,4 millones a 2,8 millones de dólares neozelandeses. </w:t>
      </w:r>
    </w:p>
    <w:p w14:paraId="162AD860" w14:textId="77777777" w:rsidR="00154216" w:rsidRPr="00154216" w:rsidRDefault="00154216" w:rsidP="00154216">
      <w:pPr>
        <w:pStyle w:val="SingleTxtG"/>
        <w:rPr>
          <w:lang w:val="es-ES_tradnl"/>
        </w:rPr>
      </w:pPr>
      <w:r w:rsidRPr="00154216">
        <w:rPr>
          <w:lang w:val="es-ES_tradnl"/>
        </w:rPr>
        <w:t>348.</w:t>
      </w:r>
      <w:r w:rsidRPr="00154216">
        <w:rPr>
          <w:lang w:val="es-ES_tradnl"/>
        </w:rPr>
        <w:tab/>
        <w:t xml:space="preserve">En su declaración de política de 2015 sobre la gestión y el uso de los lugares históricos, </w:t>
      </w:r>
      <w:proofErr w:type="spellStart"/>
      <w:r w:rsidRPr="00154216">
        <w:rPr>
          <w:lang w:val="es-ES_tradnl"/>
        </w:rPr>
        <w:t>Heritage</w:t>
      </w:r>
      <w:proofErr w:type="spellEnd"/>
      <w:r w:rsidRPr="00154216">
        <w:rPr>
          <w:lang w:val="es-ES_tradnl"/>
        </w:rPr>
        <w:t xml:space="preserve"> </w:t>
      </w:r>
      <w:proofErr w:type="spellStart"/>
      <w:r w:rsidRPr="00154216">
        <w:rPr>
          <w:lang w:val="es-ES_tradnl"/>
        </w:rPr>
        <w:t>NZ</w:t>
      </w:r>
      <w:proofErr w:type="spellEnd"/>
      <w:r w:rsidRPr="00154216">
        <w:rPr>
          <w:lang w:val="es-ES_tradnl"/>
        </w:rPr>
        <w:t xml:space="preserve"> </w:t>
      </w:r>
      <w:proofErr w:type="spellStart"/>
      <w:r w:rsidRPr="00154216">
        <w:rPr>
          <w:lang w:val="es-ES_tradnl"/>
        </w:rPr>
        <w:t>Pouhere</w:t>
      </w:r>
      <w:proofErr w:type="spellEnd"/>
      <w:r w:rsidRPr="00154216">
        <w:rPr>
          <w:lang w:val="es-ES_tradnl"/>
        </w:rPr>
        <w:t xml:space="preserve"> </w:t>
      </w:r>
      <w:proofErr w:type="spellStart"/>
      <w:r w:rsidRPr="00154216">
        <w:rPr>
          <w:lang w:val="es-ES_tradnl"/>
        </w:rPr>
        <w:t>Taonga</w:t>
      </w:r>
      <w:proofErr w:type="spellEnd"/>
      <w:r w:rsidRPr="00154216">
        <w:rPr>
          <w:rStyle w:val="Refdenotaalfinal"/>
          <w:lang w:val="es-ES_tradnl"/>
        </w:rPr>
        <w:endnoteReference w:id="238"/>
      </w:r>
      <w:r w:rsidRPr="00154216">
        <w:rPr>
          <w:rStyle w:val="Refdenotaalfinal"/>
          <w:lang w:val="es-ES_tradnl"/>
        </w:rPr>
        <w:t xml:space="preserve"> </w:t>
      </w:r>
      <w:r w:rsidRPr="00154216">
        <w:rPr>
          <w:lang w:val="es-ES_tradnl"/>
        </w:rPr>
        <w:t xml:space="preserve">se comprometió a mejorar la accesibilidad de los lugares históricos, asegurando en particular el acceso físico en la medida de lo razonablemente posible. </w:t>
      </w:r>
    </w:p>
    <w:p w14:paraId="04BBA6BE" w14:textId="77777777" w:rsidR="00154216" w:rsidRPr="00154216" w:rsidRDefault="00154216" w:rsidP="00154216">
      <w:pPr>
        <w:pStyle w:val="SingleTxtG"/>
        <w:rPr>
          <w:lang w:val="es-ES_tradnl"/>
        </w:rPr>
      </w:pPr>
      <w:r w:rsidRPr="00154216">
        <w:rPr>
          <w:lang w:val="es-ES_tradnl"/>
        </w:rPr>
        <w:t>349.</w:t>
      </w:r>
      <w:r w:rsidRPr="00154216">
        <w:rPr>
          <w:lang w:val="es-ES_tradnl"/>
        </w:rPr>
        <w:tab/>
        <w:t xml:space="preserve">El Gobierno presta apoyo financiero a las organizaciones que se dedican a mejorar la accesibilidad, como </w:t>
      </w:r>
      <w:proofErr w:type="spellStart"/>
      <w:r w:rsidRPr="00154216">
        <w:rPr>
          <w:lang w:val="es-ES_tradnl"/>
        </w:rPr>
        <w:t>Arts</w:t>
      </w:r>
      <w:proofErr w:type="spellEnd"/>
      <w:r w:rsidRPr="00154216">
        <w:rPr>
          <w:lang w:val="es-ES_tradnl"/>
        </w:rPr>
        <w:t xml:space="preserve"> Access </w:t>
      </w:r>
      <w:proofErr w:type="spellStart"/>
      <w:r w:rsidRPr="00154216">
        <w:rPr>
          <w:lang w:val="es-ES_tradnl"/>
        </w:rPr>
        <w:t>Aotearoa</w:t>
      </w:r>
      <w:proofErr w:type="spellEnd"/>
      <w:r w:rsidRPr="00154216">
        <w:rPr>
          <w:lang w:val="es-ES_tradnl"/>
        </w:rPr>
        <w:t xml:space="preserve">, </w:t>
      </w:r>
      <w:proofErr w:type="spellStart"/>
      <w:r w:rsidRPr="00154216">
        <w:rPr>
          <w:lang w:val="es-ES_tradnl"/>
        </w:rPr>
        <w:t>Touch</w:t>
      </w:r>
      <w:proofErr w:type="spellEnd"/>
      <w:r w:rsidRPr="00154216">
        <w:rPr>
          <w:lang w:val="es-ES_tradnl"/>
        </w:rPr>
        <w:t xml:space="preserve"> </w:t>
      </w:r>
      <w:proofErr w:type="spellStart"/>
      <w:r w:rsidRPr="00154216">
        <w:rPr>
          <w:lang w:val="es-ES_tradnl"/>
        </w:rPr>
        <w:t>Compass</w:t>
      </w:r>
      <w:proofErr w:type="spellEnd"/>
      <w:r w:rsidRPr="00154216">
        <w:rPr>
          <w:lang w:val="es-ES_tradnl"/>
        </w:rPr>
        <w:t xml:space="preserve"> Dance Company, </w:t>
      </w:r>
      <w:proofErr w:type="spellStart"/>
      <w:r w:rsidRPr="00154216">
        <w:rPr>
          <w:lang w:val="es-ES_tradnl"/>
        </w:rPr>
        <w:t>Halberg</w:t>
      </w:r>
      <w:proofErr w:type="spellEnd"/>
      <w:r w:rsidRPr="00154216">
        <w:rPr>
          <w:lang w:val="es-ES_tradnl"/>
        </w:rPr>
        <w:t xml:space="preserve"> </w:t>
      </w:r>
      <w:proofErr w:type="spellStart"/>
      <w:r w:rsidRPr="00154216">
        <w:rPr>
          <w:lang w:val="es-ES_tradnl"/>
        </w:rPr>
        <w:t>Disability</w:t>
      </w:r>
      <w:proofErr w:type="spellEnd"/>
      <w:r w:rsidRPr="00154216">
        <w:rPr>
          <w:lang w:val="es-ES_tradnl"/>
        </w:rPr>
        <w:t xml:space="preserve"> Sport </w:t>
      </w:r>
      <w:proofErr w:type="spellStart"/>
      <w:r w:rsidRPr="00154216">
        <w:rPr>
          <w:lang w:val="es-ES_tradnl"/>
        </w:rPr>
        <w:t>Foundation</w:t>
      </w:r>
      <w:proofErr w:type="spellEnd"/>
      <w:r w:rsidRPr="00154216">
        <w:rPr>
          <w:lang w:val="es-ES_tradnl"/>
        </w:rPr>
        <w:t xml:space="preserve">, </w:t>
      </w:r>
      <w:proofErr w:type="spellStart"/>
      <w:r w:rsidRPr="00154216">
        <w:rPr>
          <w:lang w:val="es-ES_tradnl"/>
        </w:rPr>
        <w:t>Special</w:t>
      </w:r>
      <w:proofErr w:type="spellEnd"/>
      <w:r w:rsidRPr="00154216">
        <w:rPr>
          <w:lang w:val="es-ES_tradnl"/>
        </w:rPr>
        <w:t xml:space="preserve"> </w:t>
      </w:r>
      <w:proofErr w:type="spellStart"/>
      <w:r w:rsidRPr="00154216">
        <w:rPr>
          <w:lang w:val="es-ES_tradnl"/>
        </w:rPr>
        <w:t>Olympics</w:t>
      </w:r>
      <w:proofErr w:type="spellEnd"/>
      <w:r w:rsidRPr="00154216">
        <w:rPr>
          <w:lang w:val="es-ES_tradnl"/>
        </w:rPr>
        <w:t xml:space="preserve"> </w:t>
      </w:r>
      <w:proofErr w:type="spellStart"/>
      <w:r w:rsidRPr="00154216">
        <w:rPr>
          <w:lang w:val="es-ES_tradnl"/>
        </w:rPr>
        <w:t>NZ</w:t>
      </w:r>
      <w:proofErr w:type="spellEnd"/>
      <w:r w:rsidRPr="00154216">
        <w:rPr>
          <w:lang w:val="es-ES_tradnl"/>
        </w:rPr>
        <w:t xml:space="preserve"> y </w:t>
      </w:r>
      <w:proofErr w:type="spellStart"/>
      <w:r w:rsidRPr="00154216">
        <w:rPr>
          <w:lang w:val="es-ES_tradnl"/>
        </w:rPr>
        <w:t>Paralympics</w:t>
      </w:r>
      <w:proofErr w:type="spellEnd"/>
      <w:r w:rsidRPr="00154216">
        <w:rPr>
          <w:lang w:val="es-ES_tradnl"/>
        </w:rPr>
        <w:t xml:space="preserve"> </w:t>
      </w:r>
      <w:proofErr w:type="spellStart"/>
      <w:r w:rsidRPr="00154216">
        <w:rPr>
          <w:lang w:val="es-ES_tradnl"/>
        </w:rPr>
        <w:t>NZ</w:t>
      </w:r>
      <w:proofErr w:type="spellEnd"/>
      <w:r w:rsidRPr="00154216">
        <w:rPr>
          <w:lang w:val="es-ES_tradnl"/>
        </w:rPr>
        <w:t>.</w:t>
      </w:r>
    </w:p>
    <w:bookmarkEnd w:id="9"/>
    <w:p w14:paraId="2DF88A46" w14:textId="77777777" w:rsidR="00154216" w:rsidRPr="00154216" w:rsidRDefault="00154216" w:rsidP="00E56424">
      <w:pPr>
        <w:pStyle w:val="H23G"/>
        <w:rPr>
          <w:lang w:val="es-ES_tradnl"/>
        </w:rPr>
      </w:pPr>
      <w:r w:rsidRPr="00154216">
        <w:rPr>
          <w:lang w:val="es-ES_tradnl"/>
        </w:rPr>
        <w:tab/>
      </w:r>
      <w:r w:rsidRPr="00154216">
        <w:rPr>
          <w:lang w:val="es-ES_tradnl"/>
        </w:rPr>
        <w:tab/>
        <w:t xml:space="preserve">Respuesta al párrafo 29 a)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 xml:space="preserve">/2-3 </w:t>
      </w:r>
    </w:p>
    <w:p w14:paraId="32DD66F3" w14:textId="77777777" w:rsidR="00154216" w:rsidRPr="00154216" w:rsidRDefault="00154216" w:rsidP="00154216">
      <w:pPr>
        <w:pStyle w:val="SingleTxtG"/>
        <w:rPr>
          <w:lang w:val="es-ES_tradnl"/>
        </w:rPr>
      </w:pPr>
      <w:r w:rsidRPr="00154216">
        <w:rPr>
          <w:lang w:val="es-ES_tradnl"/>
        </w:rPr>
        <w:t>350.</w:t>
      </w:r>
      <w:r w:rsidRPr="00154216">
        <w:rPr>
          <w:lang w:val="es-ES_tradnl"/>
        </w:rPr>
        <w:tab/>
        <w:t>Se ha retrasado la publicación de la primera entrega de los datos del Censo de 2018. Se tiene previsto confirmar en abril de 2019 el calendario de publicación de los datos.</w:t>
      </w:r>
    </w:p>
    <w:p w14:paraId="72C34D5B" w14:textId="77777777" w:rsidR="00154216" w:rsidRPr="00154216" w:rsidRDefault="00154216" w:rsidP="00154216">
      <w:pPr>
        <w:pStyle w:val="SingleTxtG"/>
        <w:rPr>
          <w:lang w:val="es-ES_tradnl"/>
        </w:rPr>
      </w:pPr>
      <w:r w:rsidRPr="00154216">
        <w:rPr>
          <w:lang w:val="es-ES_tradnl"/>
        </w:rPr>
        <w:t>351.</w:t>
      </w:r>
      <w:r w:rsidRPr="00154216">
        <w:rPr>
          <w:lang w:val="es-ES_tradnl"/>
        </w:rPr>
        <w:tab/>
        <w:t xml:space="preserve">Los resultados del Censo de 2018 no serán comparables con la información reunida sobre la discapacidad en los censos anteriores o en la Encuesta de la Discapacidad de 2013, en que no se utilizó el </w:t>
      </w:r>
      <w:proofErr w:type="spellStart"/>
      <w:r w:rsidRPr="00154216">
        <w:rPr>
          <w:lang w:val="es-ES_tradnl"/>
        </w:rPr>
        <w:t>minicuestionario</w:t>
      </w:r>
      <w:proofErr w:type="spellEnd"/>
      <w:r w:rsidRPr="00154216">
        <w:rPr>
          <w:lang w:val="es-ES_tradnl"/>
        </w:rPr>
        <w:t xml:space="preserve"> del Grupo de Washington. Podrán hacerse análisis comparativos con los datos de otras encuestas de la Oficina de Estadística de Nueva Zelandia (como la Encuesta de Hogares sobre la Fuerza de Trabajo y la Encuesta Social General de Nueva Zelandia) en que sí se utilizó el </w:t>
      </w:r>
      <w:proofErr w:type="spellStart"/>
      <w:r w:rsidRPr="00154216">
        <w:rPr>
          <w:lang w:val="es-ES_tradnl"/>
        </w:rPr>
        <w:t>minicuestionario</w:t>
      </w:r>
      <w:proofErr w:type="spellEnd"/>
      <w:r w:rsidRPr="00154216">
        <w:rPr>
          <w:lang w:val="es-ES_tradnl"/>
        </w:rPr>
        <w:t>.</w:t>
      </w:r>
    </w:p>
    <w:p w14:paraId="497B92C8" w14:textId="77777777" w:rsidR="00154216" w:rsidRPr="00154216" w:rsidRDefault="00154216" w:rsidP="00E56424">
      <w:pPr>
        <w:pStyle w:val="H23G"/>
        <w:rPr>
          <w:lang w:val="es-ES_tradnl"/>
        </w:rPr>
      </w:pPr>
      <w:r w:rsidRPr="00154216">
        <w:rPr>
          <w:lang w:val="es-ES_tradnl"/>
        </w:rPr>
        <w:tab/>
      </w:r>
      <w:r w:rsidRPr="00154216">
        <w:rPr>
          <w:lang w:val="es-ES_tradnl"/>
        </w:rPr>
        <w:tab/>
        <w:t xml:space="preserve">Respuesta al párrafo 29 b)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 xml:space="preserve">/2-3 </w:t>
      </w:r>
    </w:p>
    <w:p w14:paraId="24BAE87C" w14:textId="77777777" w:rsidR="00154216" w:rsidRPr="00154216" w:rsidRDefault="00154216" w:rsidP="00154216">
      <w:pPr>
        <w:pStyle w:val="SingleTxtG"/>
        <w:rPr>
          <w:lang w:val="es-ES_tradnl"/>
        </w:rPr>
      </w:pPr>
      <w:r w:rsidRPr="00154216">
        <w:rPr>
          <w:lang w:val="es-ES_tradnl"/>
        </w:rPr>
        <w:t>352.</w:t>
      </w:r>
      <w:r w:rsidRPr="00154216">
        <w:rPr>
          <w:lang w:val="es-ES_tradnl"/>
        </w:rPr>
        <w:tab/>
        <w:t xml:space="preserve">El </w:t>
      </w:r>
      <w:proofErr w:type="spellStart"/>
      <w:r w:rsidRPr="00154216">
        <w:rPr>
          <w:lang w:val="es-ES_tradnl"/>
        </w:rPr>
        <w:t>minicuestionario</w:t>
      </w:r>
      <w:proofErr w:type="spellEnd"/>
      <w:r w:rsidRPr="00154216">
        <w:rPr>
          <w:lang w:val="es-ES_tradnl"/>
        </w:rPr>
        <w:t xml:space="preserve"> sobre discapacidad del Grupo de Washington se puso a prueba en todas las fases del programa de ensayo del Censo de 2018 y su inclusión fue aprobada por el director de la Oficina de Estadística del Gobierno al refrendar oficialmente el contenido del censo.</w:t>
      </w:r>
    </w:p>
    <w:p w14:paraId="3175B11E" w14:textId="77777777" w:rsidR="00154216" w:rsidRPr="00154216" w:rsidRDefault="00154216" w:rsidP="00154216">
      <w:pPr>
        <w:pStyle w:val="SingleTxtG"/>
        <w:rPr>
          <w:lang w:val="es-ES_tradnl"/>
        </w:rPr>
      </w:pPr>
      <w:bookmarkStart w:id="10" w:name="_Hlk535415369"/>
      <w:r w:rsidRPr="00154216">
        <w:rPr>
          <w:lang w:val="es-ES_tradnl"/>
        </w:rPr>
        <w:t>353.</w:t>
      </w:r>
      <w:r w:rsidRPr="00154216">
        <w:rPr>
          <w:lang w:val="es-ES_tradnl"/>
        </w:rPr>
        <w:tab/>
        <w:t xml:space="preserve">El Censo de 2018 era digital por defecto. Algunos neozelandeses, entre ellos personas con discapacidad, tuvieron dificultades para participar. La Oficina de Estadística está colaborando con la Coalición </w:t>
      </w:r>
      <w:proofErr w:type="spellStart"/>
      <w:r w:rsidRPr="00154216">
        <w:rPr>
          <w:lang w:val="es-ES_tradnl"/>
        </w:rPr>
        <w:t>DPO</w:t>
      </w:r>
      <w:proofErr w:type="spellEnd"/>
      <w:r w:rsidRPr="00154216">
        <w:rPr>
          <w:lang w:val="es-ES_tradnl"/>
        </w:rPr>
        <w:t xml:space="preserve"> para evitar problemas en el próximo censo.</w:t>
      </w:r>
      <w:bookmarkEnd w:id="10"/>
    </w:p>
    <w:p w14:paraId="0B189E19" w14:textId="77777777" w:rsidR="00154216" w:rsidRPr="00154216" w:rsidRDefault="00154216" w:rsidP="00154216">
      <w:pPr>
        <w:pStyle w:val="SingleTxtG"/>
        <w:rPr>
          <w:lang w:val="es-ES_tradnl"/>
        </w:rPr>
      </w:pPr>
      <w:r w:rsidRPr="00154216">
        <w:rPr>
          <w:lang w:val="es-ES_tradnl"/>
        </w:rPr>
        <w:t>354.</w:t>
      </w:r>
      <w:r w:rsidRPr="00154216">
        <w:rPr>
          <w:lang w:val="es-ES_tradnl"/>
        </w:rPr>
        <w:tab/>
        <w:t>La Oficina de Estadística informó de la elaboración para el Censo de 2018 de formatos accesibles para las personas con discapacidad mediante:</w:t>
      </w:r>
    </w:p>
    <w:p w14:paraId="4A75E286" w14:textId="77777777" w:rsidR="00154216" w:rsidRPr="00154216" w:rsidRDefault="00154216" w:rsidP="00E56424">
      <w:pPr>
        <w:pStyle w:val="Bullet1G"/>
        <w:rPr>
          <w:rStyle w:val="Refdenotaalfinal"/>
          <w:lang w:val="es-ES_tradnl"/>
        </w:rPr>
      </w:pPr>
      <w:r w:rsidRPr="00154216">
        <w:rPr>
          <w:lang w:val="es-ES_tradnl"/>
        </w:rPr>
        <w:t>La colaboración con los principales interesados en la elaboración de materiales y criterios para asegurar la accesibilidad</w:t>
      </w:r>
      <w:r w:rsidRPr="00154216">
        <w:rPr>
          <w:rStyle w:val="Refdenotaalfinal"/>
          <w:lang w:val="es-ES_tradnl"/>
        </w:rPr>
        <w:endnoteReference w:id="239"/>
      </w:r>
      <w:r w:rsidR="00E56424">
        <w:rPr>
          <w:lang w:val="es-ES_tradnl"/>
        </w:rPr>
        <w:t>.</w:t>
      </w:r>
    </w:p>
    <w:p w14:paraId="2780066C" w14:textId="77777777" w:rsidR="00154216" w:rsidRPr="00154216" w:rsidRDefault="00154216" w:rsidP="00E56424">
      <w:pPr>
        <w:pStyle w:val="Bullet1G"/>
        <w:rPr>
          <w:lang w:val="es-ES_tradnl"/>
        </w:rPr>
      </w:pPr>
      <w:r w:rsidRPr="00154216">
        <w:rPr>
          <w:lang w:val="es-ES_tradnl"/>
        </w:rPr>
        <w:t>La colaboración con la Alianza del Acceso</w:t>
      </w:r>
      <w:r w:rsidRPr="00154216">
        <w:rPr>
          <w:rStyle w:val="Refdenotaalfinal"/>
          <w:lang w:val="es-ES_tradnl"/>
        </w:rPr>
        <w:endnoteReference w:id="240"/>
      </w:r>
      <w:r w:rsidRPr="00154216">
        <w:rPr>
          <w:rStyle w:val="Refdenotaalfinal"/>
          <w:lang w:val="es-ES_tradnl"/>
        </w:rPr>
        <w:t xml:space="preserve"> </w:t>
      </w:r>
      <w:r w:rsidRPr="00154216">
        <w:rPr>
          <w:lang w:val="es-ES_tradnl"/>
        </w:rPr>
        <w:t>y su especialista en accesibilidad de la web con el objeto de examinar la accesibilidad del sistema de recopilación de datos en línea y del sitio web para el Censo de 2018 durante su desarrollo</w:t>
      </w:r>
      <w:r w:rsidR="00E56424">
        <w:rPr>
          <w:lang w:val="es-ES_tradnl"/>
        </w:rPr>
        <w:t>.</w:t>
      </w:r>
    </w:p>
    <w:p w14:paraId="75832B9B" w14:textId="77777777" w:rsidR="00154216" w:rsidRPr="00154216" w:rsidRDefault="00154216" w:rsidP="00E56424">
      <w:pPr>
        <w:pStyle w:val="Bullet1G"/>
        <w:rPr>
          <w:lang w:val="es-ES_tradnl"/>
        </w:rPr>
      </w:pPr>
      <w:r w:rsidRPr="00154216">
        <w:rPr>
          <w:lang w:val="es-ES_tradnl"/>
        </w:rPr>
        <w:lastRenderedPageBreak/>
        <w:t>El suministro de recursos para ayudar a las organizaciones y personas a apoyar a otras</w:t>
      </w:r>
      <w:r w:rsidRPr="00154216">
        <w:rPr>
          <w:rStyle w:val="Refdenotaalfinal"/>
          <w:lang w:val="es-ES_tradnl"/>
        </w:rPr>
        <w:endnoteReference w:id="241"/>
      </w:r>
      <w:r w:rsidRPr="00154216">
        <w:rPr>
          <w:rStyle w:val="Refdenotaalfinal"/>
          <w:lang w:val="es-ES_tradnl"/>
        </w:rPr>
        <w:t xml:space="preserve"> </w:t>
      </w:r>
      <w:r w:rsidRPr="00154216">
        <w:rPr>
          <w:lang w:val="es-ES_tradnl"/>
        </w:rPr>
        <w:t>y el establecimiento de una lista de control para quienes organizaban sesiones con el fin de ayudar a las personas a cumplimentar el censo.</w:t>
      </w:r>
    </w:p>
    <w:p w14:paraId="442CD95C" w14:textId="77777777" w:rsidR="00154216" w:rsidRPr="00154216" w:rsidRDefault="00154216" w:rsidP="00E56424">
      <w:pPr>
        <w:pStyle w:val="H23G"/>
        <w:rPr>
          <w:lang w:val="es-ES_tradnl"/>
        </w:rPr>
      </w:pPr>
      <w:r w:rsidRPr="00154216">
        <w:rPr>
          <w:lang w:val="es-ES_tradnl"/>
        </w:rPr>
        <w:tab/>
      </w:r>
      <w:r w:rsidRPr="00154216">
        <w:rPr>
          <w:lang w:val="es-ES_tradnl"/>
        </w:rPr>
        <w:tab/>
        <w:t xml:space="preserve">Respuesta al párrafo 29 c)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 xml:space="preserve">/2-3 </w:t>
      </w:r>
    </w:p>
    <w:p w14:paraId="079B8899" w14:textId="77777777" w:rsidR="00154216" w:rsidRPr="00154216" w:rsidRDefault="00154216" w:rsidP="00154216">
      <w:pPr>
        <w:pStyle w:val="SingleTxtG"/>
        <w:rPr>
          <w:lang w:val="es-ES_tradnl"/>
        </w:rPr>
      </w:pPr>
      <w:r w:rsidRPr="00154216">
        <w:rPr>
          <w:lang w:val="es-ES_tradnl"/>
        </w:rPr>
        <w:t>355.</w:t>
      </w:r>
      <w:r w:rsidRPr="00154216">
        <w:rPr>
          <w:lang w:val="es-ES_tradnl"/>
        </w:rPr>
        <w:tab/>
        <w:t xml:space="preserve">Se ha realizado una labor considerable para mejorar la disponibilidad de datos sobre la discapacidad que nutran las políticas y la práctica en materia de discapacidad. Esta labor no ha llegado aún al punto en que los datos se publiquen en los informes anuales de los departamentos gubernamentales, las entidades de la Corona y las autoridades locales. </w:t>
      </w:r>
    </w:p>
    <w:p w14:paraId="74D417D1" w14:textId="77777777" w:rsidR="00154216" w:rsidRPr="00154216" w:rsidRDefault="00154216" w:rsidP="00E56424">
      <w:pPr>
        <w:pStyle w:val="H23G"/>
        <w:rPr>
          <w:lang w:val="es-ES_tradnl"/>
        </w:rPr>
      </w:pPr>
      <w:r w:rsidRPr="00154216">
        <w:rPr>
          <w:lang w:val="es-ES_tradnl"/>
        </w:rPr>
        <w:tab/>
      </w:r>
      <w:r w:rsidRPr="00154216">
        <w:rPr>
          <w:lang w:val="es-ES_tradnl"/>
        </w:rPr>
        <w:tab/>
        <w:t xml:space="preserve">Respuesta al párrafo 29 d)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 xml:space="preserve">/2-3 </w:t>
      </w:r>
    </w:p>
    <w:p w14:paraId="07A29CA6" w14:textId="77777777" w:rsidR="00154216" w:rsidRPr="00154216" w:rsidRDefault="00154216" w:rsidP="00154216">
      <w:pPr>
        <w:pStyle w:val="SingleTxtG"/>
        <w:rPr>
          <w:lang w:val="es-ES_tradnl"/>
        </w:rPr>
      </w:pPr>
      <w:r w:rsidRPr="00154216">
        <w:rPr>
          <w:lang w:val="es-ES_tradnl"/>
        </w:rPr>
        <w:t>356.</w:t>
      </w:r>
      <w:r w:rsidRPr="00154216">
        <w:rPr>
          <w:lang w:val="es-ES_tradnl"/>
        </w:rPr>
        <w:tab/>
        <w:t>El Censo de 2018 hará posible que los datos se desglosen por origen étnico y discapacidad y que se comprendan mejor las diferencias entre las personas maoríes con y sin discapacidad.</w:t>
      </w:r>
    </w:p>
    <w:p w14:paraId="04603931" w14:textId="77777777" w:rsidR="00154216" w:rsidRPr="00154216" w:rsidRDefault="00154216" w:rsidP="00154216">
      <w:pPr>
        <w:pStyle w:val="SingleTxtG"/>
        <w:rPr>
          <w:lang w:val="es-ES_tradnl"/>
        </w:rPr>
      </w:pPr>
      <w:r w:rsidRPr="00154216">
        <w:rPr>
          <w:lang w:val="es-ES_tradnl"/>
        </w:rPr>
        <w:t>357.</w:t>
      </w:r>
      <w:r w:rsidRPr="00154216">
        <w:rPr>
          <w:lang w:val="es-ES_tradnl"/>
        </w:rPr>
        <w:tab/>
        <w:t xml:space="preserve">En 2018, la Oficina de Estadística de Nueva Zelandia llevó </w:t>
      </w:r>
      <w:r w:rsidR="00CF0C07">
        <w:rPr>
          <w:lang w:val="es-ES_tradnl"/>
        </w:rPr>
        <w:t xml:space="preserve">a </w:t>
      </w:r>
      <w:r w:rsidRPr="00154216">
        <w:rPr>
          <w:lang w:val="es-ES_tradnl"/>
        </w:rPr>
        <w:t xml:space="preserve">cabo la segunda encuesta de bienestar de la población maorí, Te </w:t>
      </w:r>
      <w:proofErr w:type="spellStart"/>
      <w:r w:rsidRPr="00154216">
        <w:rPr>
          <w:lang w:val="es-ES_tradnl"/>
        </w:rPr>
        <w:t>Kupenga</w:t>
      </w:r>
      <w:proofErr w:type="spellEnd"/>
      <w:r w:rsidRPr="00154216">
        <w:rPr>
          <w:rStyle w:val="Refdenotaalfinal"/>
          <w:lang w:val="es-ES_tradnl"/>
        </w:rPr>
        <w:endnoteReference w:id="242"/>
      </w:r>
      <w:r w:rsidR="00011964">
        <w:rPr>
          <w:lang w:val="es-ES_tradnl"/>
        </w:rPr>
        <w:t>,</w:t>
      </w:r>
      <w:r w:rsidRPr="00154216">
        <w:rPr>
          <w:lang w:val="es-ES_tradnl"/>
        </w:rPr>
        <w:t xml:space="preserve"> que presenta un cuadro del bienestar social, cultural y económico de la población maorí. Los resultados se utilizan para dar seguimiento a las políticas y programas destinados a los maoríes y elaborar nuevas iniciativas. </w:t>
      </w:r>
    </w:p>
    <w:p w14:paraId="7A7EB8B5" w14:textId="77777777" w:rsidR="00154216" w:rsidRPr="00154216" w:rsidRDefault="00154216" w:rsidP="00154216">
      <w:pPr>
        <w:pStyle w:val="SingleTxtG"/>
        <w:rPr>
          <w:lang w:val="es-ES_tradnl"/>
        </w:rPr>
      </w:pPr>
      <w:r w:rsidRPr="00154216">
        <w:rPr>
          <w:lang w:val="es-ES_tradnl"/>
        </w:rPr>
        <w:t>358.</w:t>
      </w:r>
      <w:r w:rsidRPr="00154216">
        <w:rPr>
          <w:lang w:val="es-ES_tradnl"/>
        </w:rPr>
        <w:tab/>
        <w:t xml:space="preserve">Será posible vincular los datos de Te </w:t>
      </w:r>
      <w:proofErr w:type="spellStart"/>
      <w:r w:rsidRPr="00154216">
        <w:rPr>
          <w:lang w:val="es-ES_tradnl"/>
        </w:rPr>
        <w:t>Kupenga</w:t>
      </w:r>
      <w:proofErr w:type="spellEnd"/>
      <w:r w:rsidRPr="00154216">
        <w:rPr>
          <w:lang w:val="es-ES_tradnl"/>
        </w:rPr>
        <w:t xml:space="preserve"> y el Censo de 2018 y desglosar las estadísticas de Te </w:t>
      </w:r>
      <w:proofErr w:type="spellStart"/>
      <w:r w:rsidRPr="00154216">
        <w:rPr>
          <w:lang w:val="es-ES_tradnl"/>
        </w:rPr>
        <w:t>Kupenga</w:t>
      </w:r>
      <w:proofErr w:type="spellEnd"/>
      <w:r w:rsidRPr="00154216">
        <w:rPr>
          <w:lang w:val="es-ES_tradnl"/>
        </w:rPr>
        <w:t xml:space="preserve"> por situación de discapacidad.</w:t>
      </w:r>
    </w:p>
    <w:p w14:paraId="6A80E286" w14:textId="77777777" w:rsidR="00154216" w:rsidRPr="00154216" w:rsidRDefault="00154216" w:rsidP="00154216">
      <w:pPr>
        <w:pStyle w:val="SingleTxtG"/>
        <w:rPr>
          <w:rStyle w:val="Refdenotaalfinal"/>
          <w:lang w:val="es-ES_tradnl"/>
        </w:rPr>
      </w:pPr>
      <w:bookmarkStart w:id="11" w:name="_Hlk512419071"/>
      <w:r w:rsidRPr="00154216">
        <w:rPr>
          <w:lang w:val="es-ES_tradnl"/>
        </w:rPr>
        <w:t>359.</w:t>
      </w:r>
      <w:r w:rsidRPr="00154216">
        <w:rPr>
          <w:lang w:val="es-ES_tradnl"/>
        </w:rPr>
        <w:tab/>
        <w:t xml:space="preserve">El Ministerio de Salud recoge datos de rutina sobre la discapacidad entre su grupo de clientes maoríes con discapacidad. Estos datos sirven de base para la planificación estratégica y operacional de </w:t>
      </w:r>
      <w:proofErr w:type="spellStart"/>
      <w:r w:rsidRPr="00154216">
        <w:rPr>
          <w:lang w:val="es-ES_tradnl"/>
        </w:rPr>
        <w:t>Whāia</w:t>
      </w:r>
      <w:proofErr w:type="spellEnd"/>
      <w:r w:rsidRPr="00154216">
        <w:rPr>
          <w:lang w:val="es-ES_tradnl"/>
        </w:rPr>
        <w:t xml:space="preserve"> Te </w:t>
      </w:r>
      <w:proofErr w:type="spellStart"/>
      <w:r w:rsidRPr="00154216">
        <w:rPr>
          <w:lang w:val="es-ES_tradnl"/>
        </w:rPr>
        <w:t>Ao</w:t>
      </w:r>
      <w:proofErr w:type="spellEnd"/>
      <w:r w:rsidRPr="00154216">
        <w:rPr>
          <w:lang w:val="es-ES_tradnl"/>
        </w:rPr>
        <w:t xml:space="preserve"> </w:t>
      </w:r>
      <w:proofErr w:type="spellStart"/>
      <w:r w:rsidRPr="00154216">
        <w:rPr>
          <w:lang w:val="es-ES_tradnl"/>
        </w:rPr>
        <w:t>Mārama</w:t>
      </w:r>
      <w:proofErr w:type="spellEnd"/>
      <w:r w:rsidRPr="00154216">
        <w:rPr>
          <w:lang w:val="es-ES_tradnl"/>
        </w:rPr>
        <w:t xml:space="preserve"> 2018</w:t>
      </w:r>
      <w:r w:rsidR="00CF0C07">
        <w:rPr>
          <w:lang w:val="es-ES_tradnl"/>
        </w:rPr>
        <w:t>-</w:t>
      </w:r>
      <w:r w:rsidRPr="00154216">
        <w:rPr>
          <w:lang w:val="es-ES_tradnl"/>
        </w:rPr>
        <w:t>2022: Plan de Acción Maorí sobre la Discapacidad</w:t>
      </w:r>
      <w:r w:rsidRPr="00154216">
        <w:rPr>
          <w:rStyle w:val="Refdenotaalfinal"/>
          <w:lang w:val="es-ES_tradnl"/>
        </w:rPr>
        <w:endnoteReference w:id="243"/>
      </w:r>
      <w:r w:rsidR="00011964">
        <w:rPr>
          <w:lang w:val="es-ES_tradnl"/>
        </w:rPr>
        <w:t>.</w:t>
      </w:r>
    </w:p>
    <w:p w14:paraId="6D7F28BC" w14:textId="77777777" w:rsidR="00154216" w:rsidRPr="00154216" w:rsidRDefault="00154216" w:rsidP="00154216">
      <w:pPr>
        <w:pStyle w:val="SingleTxtG"/>
        <w:rPr>
          <w:lang w:val="es-ES_tradnl"/>
        </w:rPr>
      </w:pPr>
      <w:r w:rsidRPr="00154216">
        <w:rPr>
          <w:lang w:val="es-ES_tradnl"/>
        </w:rPr>
        <w:t>360.</w:t>
      </w:r>
      <w:r w:rsidRPr="00154216">
        <w:rPr>
          <w:lang w:val="es-ES_tradnl"/>
        </w:rPr>
        <w:tab/>
        <w:t xml:space="preserve">Los datos de discapacidad de la población maorí están desglosados en el </w:t>
      </w:r>
      <w:r w:rsidRPr="00154216">
        <w:rPr>
          <w:i/>
          <w:iCs/>
          <w:lang w:val="es-ES_tradnl"/>
        </w:rPr>
        <w:t>Informe demográfico sobre los clientes de los Servicios de Apoyo a la Discapacidad del Ministerio de Salud</w:t>
      </w:r>
      <w:r w:rsidRPr="00154216">
        <w:rPr>
          <w:rStyle w:val="Refdenotaalfinal"/>
          <w:lang w:val="es-ES_tradnl"/>
        </w:rPr>
        <w:endnoteReference w:id="244"/>
      </w:r>
      <w:r w:rsidRPr="00154216">
        <w:rPr>
          <w:rStyle w:val="Refdenotaalfinal"/>
          <w:lang w:val="es-ES_tradnl"/>
        </w:rPr>
        <w:t xml:space="preserve"> </w:t>
      </w:r>
      <w:r w:rsidRPr="00154216">
        <w:rPr>
          <w:lang w:val="es-ES_tradnl"/>
        </w:rPr>
        <w:t>al mes de septiembre de 2016. En 2016 se registraban 5.920 clientes (el 17.5</w:t>
      </w:r>
      <w:r w:rsidR="00D37C06">
        <w:rPr>
          <w:lang w:val="es-ES_tradnl"/>
        </w:rPr>
        <w:t> %</w:t>
      </w:r>
      <w:r w:rsidRPr="00154216">
        <w:rPr>
          <w:lang w:val="es-ES_tradnl"/>
        </w:rPr>
        <w:t xml:space="preserve"> de la clientela del Ministerio) de etnia maorí. </w:t>
      </w:r>
    </w:p>
    <w:p w14:paraId="424AB061" w14:textId="77777777" w:rsidR="00154216" w:rsidRPr="00154216" w:rsidRDefault="00154216" w:rsidP="00011964">
      <w:pPr>
        <w:pStyle w:val="H23G"/>
        <w:rPr>
          <w:lang w:val="es-ES_tradnl"/>
        </w:rPr>
      </w:pPr>
      <w:r w:rsidRPr="00154216">
        <w:rPr>
          <w:lang w:val="es-ES_tradnl"/>
        </w:rPr>
        <w:tab/>
      </w:r>
      <w:r w:rsidRPr="00154216">
        <w:rPr>
          <w:lang w:val="es-ES_tradnl"/>
        </w:rPr>
        <w:tab/>
        <w:t xml:space="preserve">Respuesta al párrafo 29 e)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 xml:space="preserve">/2-3 </w:t>
      </w:r>
    </w:p>
    <w:p w14:paraId="465D4B49" w14:textId="77777777" w:rsidR="00154216" w:rsidRPr="00154216" w:rsidRDefault="00154216" w:rsidP="00154216">
      <w:pPr>
        <w:pStyle w:val="SingleTxtG"/>
        <w:rPr>
          <w:lang w:val="es-ES_tradnl"/>
        </w:rPr>
      </w:pPr>
      <w:r w:rsidRPr="00154216">
        <w:rPr>
          <w:lang w:val="es-ES_tradnl"/>
        </w:rPr>
        <w:t>361.</w:t>
      </w:r>
      <w:r w:rsidRPr="00154216">
        <w:rPr>
          <w:lang w:val="es-ES_tradnl"/>
        </w:rPr>
        <w:tab/>
        <w:t xml:space="preserve">El prototipo de transformación del sistema de apoyo a la discapacidad (véase la introducción) ha incorporado en los contratos con los proveedores cláusulas de rendición de cuentas basada en los resultados. Al respecto se organizó una serie de talleres en que participaron personas con discapacidad, sus familias y </w:t>
      </w:r>
      <w:proofErr w:type="spellStart"/>
      <w:r w:rsidRPr="00154216">
        <w:rPr>
          <w:lang w:val="es-ES_tradnl"/>
        </w:rPr>
        <w:t>whānau</w:t>
      </w:r>
      <w:proofErr w:type="spellEnd"/>
      <w:r w:rsidRPr="00154216">
        <w:rPr>
          <w:lang w:val="es-ES_tradnl"/>
        </w:rPr>
        <w:t xml:space="preserve"> y proveedores.</w:t>
      </w:r>
    </w:p>
    <w:p w14:paraId="041E0564" w14:textId="77777777" w:rsidR="00154216" w:rsidRPr="00154216" w:rsidRDefault="00154216" w:rsidP="00154216">
      <w:pPr>
        <w:pStyle w:val="SingleTxtG"/>
        <w:rPr>
          <w:lang w:val="es-ES_tradnl"/>
        </w:rPr>
      </w:pPr>
      <w:r w:rsidRPr="00154216">
        <w:rPr>
          <w:lang w:val="es-ES_tradnl"/>
        </w:rPr>
        <w:t>362.</w:t>
      </w:r>
      <w:r w:rsidRPr="00154216">
        <w:rPr>
          <w:lang w:val="es-ES_tradnl"/>
        </w:rPr>
        <w:tab/>
        <w:t xml:space="preserve">La Coalición </w:t>
      </w:r>
      <w:proofErr w:type="spellStart"/>
      <w:r w:rsidRPr="00154216">
        <w:rPr>
          <w:lang w:val="es-ES_tradnl"/>
        </w:rPr>
        <w:t>DPO</w:t>
      </w:r>
      <w:proofErr w:type="spellEnd"/>
      <w:r w:rsidRPr="00154216">
        <w:rPr>
          <w:lang w:val="es-ES_tradnl"/>
        </w:rPr>
        <w:t xml:space="preserve"> y el Grupo de Consulta para la Revisión de la Estrategia sobre la Discapacidad participaron en el proceso de elaboración conjunta de los 28 indicadores del Marco de Resultados de la Estrategia.</w:t>
      </w:r>
    </w:p>
    <w:p w14:paraId="0EC186F4" w14:textId="77777777" w:rsidR="00154216" w:rsidRPr="00154216" w:rsidRDefault="00154216" w:rsidP="00154216">
      <w:pPr>
        <w:pStyle w:val="SingleTxtG"/>
        <w:rPr>
          <w:lang w:val="es-ES_tradnl"/>
        </w:rPr>
      </w:pPr>
      <w:r w:rsidRPr="00154216">
        <w:rPr>
          <w:lang w:val="es-ES_tradnl"/>
        </w:rPr>
        <w:t>363.</w:t>
      </w:r>
      <w:r w:rsidRPr="00154216">
        <w:rPr>
          <w:lang w:val="es-ES_tradnl"/>
        </w:rPr>
        <w:tab/>
        <w:t xml:space="preserve">En Nueva Zelandia se han cerrado las instituciones de salud mental u hospitales psiquiátricos financiados por el Estado. La mayor parte de los servicios de atención de salud mental y apoyo a la discapacidad se presta en la comunidad. </w:t>
      </w:r>
    </w:p>
    <w:bookmarkEnd w:id="11"/>
    <w:p w14:paraId="3162E5E7" w14:textId="77777777" w:rsidR="00154216" w:rsidRPr="00154216" w:rsidRDefault="00154216" w:rsidP="00154216">
      <w:pPr>
        <w:pStyle w:val="SingleTxtG"/>
        <w:rPr>
          <w:b/>
          <w:lang w:val="es-ES_tradnl"/>
        </w:rPr>
      </w:pPr>
      <w:r w:rsidRPr="00154216">
        <w:rPr>
          <w:lang w:val="es-ES_tradnl"/>
        </w:rPr>
        <w:t>364.</w:t>
      </w:r>
      <w:r w:rsidRPr="00154216">
        <w:rPr>
          <w:lang w:val="es-ES_tradnl"/>
        </w:rPr>
        <w:tab/>
        <w:t xml:space="preserve">El Gobierno no mantiene un registro de las personas institucionalizadas ni de las internadas en hospitales psiquiátricos. La base nacional de datos de salud mental del Ministerio de Salud contiene información que permite al Gobierno llevar y dar cuenta del número de personas que son internadas para administrarles un tratamiento (hospitalario) obligatorio. </w:t>
      </w:r>
      <w:bookmarkStart w:id="12" w:name="_Hlk512418986"/>
    </w:p>
    <w:p w14:paraId="3A1AAFA7" w14:textId="77777777" w:rsidR="00154216" w:rsidRPr="00154216" w:rsidRDefault="00154216" w:rsidP="00011964">
      <w:pPr>
        <w:pStyle w:val="H23G"/>
        <w:rPr>
          <w:lang w:val="es-ES_tradnl"/>
        </w:rPr>
      </w:pPr>
      <w:r w:rsidRPr="00154216">
        <w:rPr>
          <w:lang w:val="es-ES_tradnl"/>
        </w:rPr>
        <w:tab/>
      </w:r>
      <w:r w:rsidRPr="00154216">
        <w:rPr>
          <w:lang w:val="es-ES_tradnl"/>
        </w:rPr>
        <w:tab/>
        <w:t xml:space="preserve">Respuesta al párrafo 30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 xml:space="preserve">/2-3 </w:t>
      </w:r>
    </w:p>
    <w:p w14:paraId="2CD16040" w14:textId="77777777" w:rsidR="00154216" w:rsidRPr="00154216" w:rsidRDefault="00154216" w:rsidP="00154216">
      <w:pPr>
        <w:pStyle w:val="SingleTxtG"/>
        <w:rPr>
          <w:lang w:val="es-ES_tradnl"/>
        </w:rPr>
      </w:pPr>
      <w:r w:rsidRPr="00154216">
        <w:rPr>
          <w:lang w:val="es-ES_tradnl"/>
        </w:rPr>
        <w:t>365.</w:t>
      </w:r>
      <w:r w:rsidRPr="00154216">
        <w:rPr>
          <w:lang w:val="es-ES_tradnl"/>
        </w:rPr>
        <w:tab/>
        <w:t>El Programa de Asistencia de Nueva Zelandia financia actividades destinadas a promover los derechos de las personas con discapacidad y empoderar a grupos e individuos, y en particular:</w:t>
      </w:r>
    </w:p>
    <w:p w14:paraId="77665522" w14:textId="77777777" w:rsidR="00154216" w:rsidRPr="00154216" w:rsidRDefault="00154216" w:rsidP="00011964">
      <w:pPr>
        <w:pStyle w:val="Bullet1G"/>
        <w:rPr>
          <w:lang w:val="es-ES_tradnl"/>
        </w:rPr>
      </w:pPr>
      <w:r w:rsidRPr="00154216">
        <w:rPr>
          <w:lang w:val="es-ES_tradnl"/>
        </w:rPr>
        <w:lastRenderedPageBreak/>
        <w:t>Promover el empoderamiento económico de las personas con discapacidad mediante la reducción de las barreras a la participación en la agricultura productiva en la India</w:t>
      </w:r>
      <w:r w:rsidR="00011964">
        <w:rPr>
          <w:lang w:val="es-ES_tradnl"/>
        </w:rPr>
        <w:t>.</w:t>
      </w:r>
    </w:p>
    <w:p w14:paraId="2BDCEA0C" w14:textId="77777777" w:rsidR="00154216" w:rsidRPr="00154216" w:rsidRDefault="00154216" w:rsidP="00011964">
      <w:pPr>
        <w:pStyle w:val="Bullet1G"/>
        <w:rPr>
          <w:lang w:val="es-ES_tradnl"/>
        </w:rPr>
      </w:pPr>
      <w:r w:rsidRPr="00154216">
        <w:rPr>
          <w:lang w:val="es-ES_tradnl"/>
        </w:rPr>
        <w:t xml:space="preserve">Promover la educación inclusiva de los niños con discapacidad en </w:t>
      </w:r>
      <w:proofErr w:type="spellStart"/>
      <w:r w:rsidRPr="00154216">
        <w:rPr>
          <w:lang w:val="es-ES_tradnl"/>
        </w:rPr>
        <w:t>Papua</w:t>
      </w:r>
      <w:proofErr w:type="spellEnd"/>
      <w:r w:rsidRPr="00154216">
        <w:rPr>
          <w:lang w:val="es-ES_tradnl"/>
        </w:rPr>
        <w:t xml:space="preserve"> Nueva Guinea</w:t>
      </w:r>
      <w:r w:rsidR="00011964">
        <w:rPr>
          <w:lang w:val="es-ES_tradnl"/>
        </w:rPr>
        <w:t>.</w:t>
      </w:r>
    </w:p>
    <w:p w14:paraId="550B8907" w14:textId="77777777" w:rsidR="00154216" w:rsidRPr="00154216" w:rsidRDefault="00154216" w:rsidP="00011964">
      <w:pPr>
        <w:pStyle w:val="Bullet1G"/>
        <w:rPr>
          <w:lang w:val="es-ES_tradnl"/>
        </w:rPr>
      </w:pPr>
      <w:r w:rsidRPr="00154216">
        <w:rPr>
          <w:lang w:val="es-ES_tradnl"/>
        </w:rPr>
        <w:t>Desarrollar un mecanismo de fomento de la capacidad de los asociados humanitarios de Nueva Zelandia para elaborar e implementar respuestas humanitarias que tengan en cuenta la discapacidad</w:t>
      </w:r>
      <w:r w:rsidR="00011964">
        <w:rPr>
          <w:lang w:val="es-ES_tradnl"/>
        </w:rPr>
        <w:t>.</w:t>
      </w:r>
    </w:p>
    <w:p w14:paraId="3694B400" w14:textId="77777777" w:rsidR="00154216" w:rsidRPr="00154216" w:rsidRDefault="00154216" w:rsidP="00011964">
      <w:pPr>
        <w:pStyle w:val="Bullet1G"/>
        <w:rPr>
          <w:lang w:val="es-ES_tradnl"/>
        </w:rPr>
      </w:pPr>
      <w:r w:rsidRPr="00154216">
        <w:rPr>
          <w:lang w:val="es-ES_tradnl"/>
        </w:rPr>
        <w:t xml:space="preserve">Considerar las prioridades y el acceso de las personas con discapacidad en los procesos de diseño y desarrollo de los proyectos de infraestructura que reciben el apoyo del Gobierno de Nueva Zelandia. </w:t>
      </w:r>
    </w:p>
    <w:bookmarkEnd w:id="12"/>
    <w:p w14:paraId="01CA3168" w14:textId="77777777" w:rsidR="00154216" w:rsidRPr="00154216" w:rsidRDefault="00154216" w:rsidP="00011964">
      <w:pPr>
        <w:pStyle w:val="H23G"/>
        <w:rPr>
          <w:lang w:val="es-ES_tradnl"/>
        </w:rPr>
      </w:pPr>
      <w:r w:rsidRPr="00154216">
        <w:rPr>
          <w:lang w:val="es-ES_tradnl"/>
        </w:rPr>
        <w:tab/>
      </w:r>
      <w:r w:rsidRPr="00154216">
        <w:rPr>
          <w:lang w:val="es-ES_tradnl"/>
        </w:rPr>
        <w:tab/>
        <w:t xml:space="preserve">Respuesta al párrafo 31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 xml:space="preserve">/2-3 </w:t>
      </w:r>
    </w:p>
    <w:p w14:paraId="44D6083F" w14:textId="77777777" w:rsidR="00154216" w:rsidRPr="00154216" w:rsidRDefault="00154216" w:rsidP="00154216">
      <w:pPr>
        <w:pStyle w:val="SingleTxtG"/>
        <w:rPr>
          <w:lang w:val="es-ES_tradnl"/>
        </w:rPr>
      </w:pPr>
      <w:bookmarkStart w:id="13" w:name="_Hlk512416238"/>
      <w:r w:rsidRPr="00154216">
        <w:rPr>
          <w:lang w:val="es-ES_tradnl"/>
        </w:rPr>
        <w:t>366.</w:t>
      </w:r>
      <w:r w:rsidRPr="00154216">
        <w:rPr>
          <w:lang w:val="es-ES_tradnl"/>
        </w:rPr>
        <w:tab/>
        <w:t xml:space="preserve">El </w:t>
      </w:r>
      <w:proofErr w:type="spellStart"/>
      <w:r w:rsidRPr="00154216">
        <w:rPr>
          <w:lang w:val="es-ES_tradnl"/>
        </w:rPr>
        <w:t>IMM</w:t>
      </w:r>
      <w:proofErr w:type="spellEnd"/>
      <w:r w:rsidRPr="00154216">
        <w:rPr>
          <w:lang w:val="es-ES_tradnl"/>
        </w:rPr>
        <w:t xml:space="preserve"> ofrece un punto de vista independiente sobre los avances en la persecución de los resultados y objetivos de la Estrategia sobre la Discapacidad y coteja los progresos del Gobierno con las disposiciones de la Convención sobre los Derechos de las Personas con Discapacidad.</w:t>
      </w:r>
    </w:p>
    <w:p w14:paraId="62072BD5" w14:textId="77777777" w:rsidR="00154216" w:rsidRPr="00154216" w:rsidRDefault="00154216" w:rsidP="00154216">
      <w:pPr>
        <w:pStyle w:val="SingleTxtG"/>
        <w:rPr>
          <w:lang w:val="es-ES_tradnl"/>
        </w:rPr>
      </w:pPr>
      <w:r w:rsidRPr="00154216">
        <w:rPr>
          <w:lang w:val="es-ES_tradnl"/>
        </w:rPr>
        <w:t>367.</w:t>
      </w:r>
      <w:r w:rsidRPr="00154216">
        <w:rPr>
          <w:lang w:val="es-ES_tradnl"/>
        </w:rPr>
        <w:tab/>
        <w:t xml:space="preserve">En 2017 se estableció el Grupo Directivo de Ministros sobre los Asuntos de Discapacidad para atender a las seis cuestiones clave señaladas por el </w:t>
      </w:r>
      <w:proofErr w:type="spellStart"/>
      <w:r w:rsidRPr="00154216">
        <w:rPr>
          <w:lang w:val="es-ES_tradnl"/>
        </w:rPr>
        <w:t>IMM</w:t>
      </w:r>
      <w:proofErr w:type="spellEnd"/>
      <w:r w:rsidRPr="00154216">
        <w:rPr>
          <w:rStyle w:val="Refdenotaalfinal"/>
          <w:lang w:val="es-ES_tradnl"/>
        </w:rPr>
        <w:endnoteReference w:id="245"/>
      </w:r>
      <w:r w:rsidR="00EE7321">
        <w:rPr>
          <w:lang w:val="es-ES_tradnl"/>
        </w:rPr>
        <w:t>.</w:t>
      </w:r>
      <w:r w:rsidRPr="00154216">
        <w:rPr>
          <w:rStyle w:val="Refdenotaalfinal"/>
          <w:lang w:val="es-ES_tradnl"/>
        </w:rPr>
        <w:t xml:space="preserve"> </w:t>
      </w:r>
      <w:r w:rsidRPr="00154216">
        <w:rPr>
          <w:lang w:val="es-ES_tradnl"/>
        </w:rPr>
        <w:t xml:space="preserve">Se trata de un grupo de ministros que ejercen liderazgo en materia de discapacidad. Los organismos públicos propulsan la acción para mejorar estos seis aspectos fundamentales, que serán incluidos en Plan de Acción sobre la Discapacidad para 2019-2022. </w:t>
      </w:r>
    </w:p>
    <w:p w14:paraId="48297E25" w14:textId="77777777" w:rsidR="00154216" w:rsidRPr="00154216" w:rsidRDefault="00154216" w:rsidP="00154216">
      <w:pPr>
        <w:pStyle w:val="SingleTxtG"/>
        <w:rPr>
          <w:lang w:val="es-ES_tradnl"/>
        </w:rPr>
      </w:pPr>
      <w:r w:rsidRPr="00154216">
        <w:rPr>
          <w:lang w:val="es-ES_tradnl"/>
        </w:rPr>
        <w:t>368.</w:t>
      </w:r>
      <w:r w:rsidRPr="00154216">
        <w:rPr>
          <w:lang w:val="es-ES_tradnl"/>
        </w:rPr>
        <w:tab/>
        <w:t xml:space="preserve">Se están implementando las recomendaciones del informe del </w:t>
      </w:r>
      <w:proofErr w:type="spellStart"/>
      <w:r w:rsidRPr="00154216">
        <w:rPr>
          <w:lang w:val="es-ES_tradnl"/>
        </w:rPr>
        <w:t>IMM</w:t>
      </w:r>
      <w:proofErr w:type="spellEnd"/>
      <w:r w:rsidRPr="00154216">
        <w:rPr>
          <w:lang w:val="es-ES_tradnl"/>
        </w:rPr>
        <w:t xml:space="preserve">: </w:t>
      </w:r>
      <w:r w:rsidRPr="00154216">
        <w:rPr>
          <w:i/>
          <w:iCs/>
          <w:lang w:val="es-ES_tradnl"/>
        </w:rPr>
        <w:t>Artículo 24: el derecho a una educación inclusiva</w:t>
      </w:r>
      <w:r w:rsidRPr="00154216">
        <w:rPr>
          <w:lang w:val="es-ES_tradnl"/>
        </w:rPr>
        <w:t xml:space="preserve">. Se han creado grupos consultivos con representantes del sector de la discapacidad, incluido un grupo de trabajo para mejorar los procesos transición de las personas con discapacidad de la escuela y la educación terciaria al empleo. </w:t>
      </w:r>
    </w:p>
    <w:p w14:paraId="7AD91D44" w14:textId="77777777" w:rsidR="00154216" w:rsidRPr="00154216" w:rsidRDefault="00154216" w:rsidP="00011964">
      <w:pPr>
        <w:pStyle w:val="H23G"/>
        <w:rPr>
          <w:lang w:val="es-ES_tradnl"/>
        </w:rPr>
      </w:pPr>
      <w:r w:rsidRPr="00154216">
        <w:rPr>
          <w:lang w:val="es-ES_tradnl"/>
        </w:rPr>
        <w:tab/>
      </w:r>
      <w:r w:rsidRPr="00154216">
        <w:rPr>
          <w:lang w:val="es-ES_tradnl"/>
        </w:rPr>
        <w:tab/>
        <w:t xml:space="preserve">Respuesta al párrafo 32 a)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 xml:space="preserve">/2-3 </w:t>
      </w:r>
    </w:p>
    <w:bookmarkEnd w:id="13"/>
    <w:p w14:paraId="7644B302" w14:textId="77777777" w:rsidR="00154216" w:rsidRPr="00154216" w:rsidRDefault="00154216" w:rsidP="00154216">
      <w:pPr>
        <w:pStyle w:val="SingleTxtG"/>
        <w:rPr>
          <w:lang w:val="es-ES_tradnl"/>
        </w:rPr>
      </w:pPr>
      <w:r w:rsidRPr="00154216">
        <w:rPr>
          <w:lang w:val="es-ES_tradnl"/>
        </w:rPr>
        <w:t>369.</w:t>
      </w:r>
      <w:r w:rsidRPr="00154216">
        <w:rPr>
          <w:lang w:val="es-ES_tradnl"/>
        </w:rPr>
        <w:tab/>
        <w:t xml:space="preserve">El </w:t>
      </w:r>
      <w:proofErr w:type="spellStart"/>
      <w:r w:rsidRPr="00154216">
        <w:rPr>
          <w:lang w:val="es-ES_tradnl"/>
        </w:rPr>
        <w:t>IMM</w:t>
      </w:r>
      <w:proofErr w:type="spellEnd"/>
      <w:r w:rsidRPr="00154216">
        <w:rPr>
          <w:lang w:val="es-ES_tradnl"/>
        </w:rPr>
        <w:t xml:space="preserve"> fue establecido por el Gobierno en 2010. Está compuesto por la Comisión de Derechos Humanos</w:t>
      </w:r>
      <w:r w:rsidRPr="00154216">
        <w:rPr>
          <w:rStyle w:val="Refdenotaalfinal"/>
          <w:lang w:val="es-ES_tradnl"/>
        </w:rPr>
        <w:endnoteReference w:id="246"/>
      </w:r>
      <w:r w:rsidR="00011964">
        <w:rPr>
          <w:lang w:val="es-ES_tradnl"/>
        </w:rPr>
        <w:t>,</w:t>
      </w:r>
      <w:r w:rsidRPr="00154216">
        <w:rPr>
          <w:rStyle w:val="Refdenotaalfinal"/>
          <w:lang w:val="es-ES_tradnl"/>
        </w:rPr>
        <w:t xml:space="preserve"> </w:t>
      </w:r>
      <w:r w:rsidRPr="00154216">
        <w:rPr>
          <w:lang w:val="es-ES_tradnl"/>
        </w:rPr>
        <w:t xml:space="preserve">la Oficina del Ombudsman y la Coalición </w:t>
      </w:r>
      <w:proofErr w:type="spellStart"/>
      <w:r w:rsidRPr="00154216">
        <w:rPr>
          <w:lang w:val="es-ES_tradnl"/>
        </w:rPr>
        <w:t>DPO</w:t>
      </w:r>
      <w:proofErr w:type="spellEnd"/>
      <w:r w:rsidRPr="00154216">
        <w:rPr>
          <w:lang w:val="es-ES_tradnl"/>
        </w:rPr>
        <w:t xml:space="preserve">. </w:t>
      </w:r>
    </w:p>
    <w:p w14:paraId="449456ED" w14:textId="77777777" w:rsidR="00154216" w:rsidRPr="00154216" w:rsidRDefault="00154216" w:rsidP="00154216">
      <w:pPr>
        <w:pStyle w:val="SingleTxtG"/>
        <w:rPr>
          <w:lang w:val="es-ES_tradnl"/>
        </w:rPr>
      </w:pPr>
      <w:r w:rsidRPr="00154216">
        <w:rPr>
          <w:lang w:val="es-ES_tradnl"/>
        </w:rPr>
        <w:t>370.</w:t>
      </w:r>
      <w:r w:rsidRPr="00154216">
        <w:rPr>
          <w:lang w:val="es-ES_tradnl"/>
        </w:rPr>
        <w:tab/>
        <w:t>La Comisión de Derechos Humanos y la Oficina del Ombudsman están establecidas por ley y facultadas para operar independientemente del gobierno. Por tratarse de una oficina del Parlamento, la Oficina del Ombudsman solo rinde cuenta ante el Parlamento.</w:t>
      </w:r>
    </w:p>
    <w:p w14:paraId="09D79E0A" w14:textId="77777777" w:rsidR="00154216" w:rsidRPr="00154216" w:rsidRDefault="00154216" w:rsidP="00154216">
      <w:pPr>
        <w:pStyle w:val="SingleTxtG"/>
        <w:rPr>
          <w:lang w:val="es-ES_tradnl"/>
        </w:rPr>
      </w:pPr>
      <w:r w:rsidRPr="00154216">
        <w:rPr>
          <w:lang w:val="es-ES_tradnl"/>
        </w:rPr>
        <w:t>371.</w:t>
      </w:r>
      <w:r w:rsidRPr="00154216">
        <w:rPr>
          <w:lang w:val="es-ES_tradnl"/>
        </w:rPr>
        <w:tab/>
        <w:t xml:space="preserve">Cada uno de los miembros de la Coalición </w:t>
      </w:r>
      <w:proofErr w:type="spellStart"/>
      <w:r w:rsidRPr="00154216">
        <w:rPr>
          <w:lang w:val="es-ES_tradnl"/>
        </w:rPr>
        <w:t>DPO</w:t>
      </w:r>
      <w:proofErr w:type="spellEnd"/>
      <w:r w:rsidRPr="00154216">
        <w:rPr>
          <w:lang w:val="es-ES_tradnl"/>
        </w:rPr>
        <w:t xml:space="preserve"> es una organización de la sociedad civil registrada individualmente que es independiente del gobierno. </w:t>
      </w:r>
    </w:p>
    <w:p w14:paraId="2FD6943D" w14:textId="77777777" w:rsidR="00154216" w:rsidRPr="00154216" w:rsidRDefault="00154216" w:rsidP="00154216">
      <w:pPr>
        <w:pStyle w:val="SingleTxtG"/>
        <w:rPr>
          <w:lang w:val="es-ES_tradnl"/>
        </w:rPr>
      </w:pPr>
      <w:r w:rsidRPr="00154216">
        <w:rPr>
          <w:lang w:val="es-ES_tradnl"/>
        </w:rPr>
        <w:t>372.</w:t>
      </w:r>
      <w:r w:rsidRPr="00154216">
        <w:rPr>
          <w:lang w:val="es-ES_tradnl"/>
        </w:rPr>
        <w:tab/>
        <w:t xml:space="preserve">En 2010, el Gobierno asignó recursos financieros a los tres asociados para que emprendieran actividades adicionales, como las del </w:t>
      </w:r>
      <w:proofErr w:type="spellStart"/>
      <w:r w:rsidRPr="00154216">
        <w:rPr>
          <w:lang w:val="es-ES_tradnl"/>
        </w:rPr>
        <w:t>IMM</w:t>
      </w:r>
      <w:proofErr w:type="spellEnd"/>
      <w:r w:rsidRPr="00154216">
        <w:rPr>
          <w:lang w:val="es-ES_tradnl"/>
        </w:rPr>
        <w:t xml:space="preserve">, en el marco de sus mandatos vigentes. Los recursos destinados a la Comisión de Derechos Humanos estaban circunscritos a plazos, mientras que los destinados a la Oficina del Ombudsman pasaron a formar parte de su financiación de base. </w:t>
      </w:r>
    </w:p>
    <w:p w14:paraId="5601C140" w14:textId="77777777" w:rsidR="00154216" w:rsidRPr="00154216" w:rsidRDefault="00154216" w:rsidP="00154216">
      <w:pPr>
        <w:pStyle w:val="SingleTxtG"/>
        <w:rPr>
          <w:lang w:val="es-ES_tradnl"/>
        </w:rPr>
      </w:pPr>
      <w:r w:rsidRPr="00154216">
        <w:rPr>
          <w:lang w:val="es-ES_tradnl"/>
        </w:rPr>
        <w:t>373.</w:t>
      </w:r>
      <w:r w:rsidRPr="00154216">
        <w:rPr>
          <w:lang w:val="es-ES_tradnl"/>
        </w:rPr>
        <w:tab/>
        <w:t xml:space="preserve">La Oficina de Asuntos de Discapacidad proporciona una financiación continua a la Coalición </w:t>
      </w:r>
      <w:proofErr w:type="spellStart"/>
      <w:r w:rsidRPr="00154216">
        <w:rPr>
          <w:lang w:val="es-ES_tradnl"/>
        </w:rPr>
        <w:t>DPO</w:t>
      </w:r>
      <w:proofErr w:type="spellEnd"/>
      <w:r w:rsidRPr="00154216">
        <w:rPr>
          <w:lang w:val="es-ES_tradnl"/>
        </w:rPr>
        <w:t xml:space="preserve"> para que provea al seguimiento encabezado por las personas con discapacidad (véase la pregunta 4).</w:t>
      </w:r>
    </w:p>
    <w:p w14:paraId="1C5F8CF8" w14:textId="77777777" w:rsidR="00154216" w:rsidRPr="00154216" w:rsidRDefault="00154216" w:rsidP="00154216">
      <w:pPr>
        <w:pStyle w:val="SingleTxtG"/>
        <w:rPr>
          <w:lang w:val="es-ES_tradnl"/>
        </w:rPr>
      </w:pPr>
      <w:r w:rsidRPr="00154216">
        <w:rPr>
          <w:lang w:val="es-ES_tradnl"/>
        </w:rPr>
        <w:t>374.</w:t>
      </w:r>
      <w:r w:rsidRPr="00154216">
        <w:rPr>
          <w:lang w:val="es-ES_tradnl"/>
        </w:rPr>
        <w:tab/>
        <w:t xml:space="preserve">El </w:t>
      </w:r>
      <w:proofErr w:type="spellStart"/>
      <w:r w:rsidRPr="00154216">
        <w:rPr>
          <w:lang w:val="es-ES_tradnl"/>
        </w:rPr>
        <w:t>IMM</w:t>
      </w:r>
      <w:proofErr w:type="spellEnd"/>
      <w:r w:rsidRPr="00154216">
        <w:rPr>
          <w:lang w:val="es-ES_tradnl"/>
        </w:rPr>
        <w:t xml:space="preserve"> determina su propio programa de trabajo, sus actividades y la asignación de los recursos (humanos, financieros y técnicos) de que dispone. El </w:t>
      </w:r>
      <w:proofErr w:type="spellStart"/>
      <w:r w:rsidRPr="00154216">
        <w:rPr>
          <w:lang w:val="es-ES_tradnl"/>
        </w:rPr>
        <w:t>IMM</w:t>
      </w:r>
      <w:proofErr w:type="spellEnd"/>
      <w:r w:rsidRPr="00154216">
        <w:rPr>
          <w:lang w:val="es-ES_tradnl"/>
        </w:rPr>
        <w:t xml:space="preserve"> se reúne por lo menos una vez al año con los ministros para examinar las prioridades que conciernen a las personas con discapacidad.</w:t>
      </w:r>
    </w:p>
    <w:p w14:paraId="18AFBBF8" w14:textId="77777777" w:rsidR="00154216" w:rsidRPr="00154216" w:rsidRDefault="00154216" w:rsidP="00011964">
      <w:pPr>
        <w:pStyle w:val="H23G"/>
        <w:rPr>
          <w:lang w:val="es-ES_tradnl"/>
        </w:rPr>
      </w:pPr>
      <w:r w:rsidRPr="00154216">
        <w:rPr>
          <w:lang w:val="es-ES_tradnl"/>
        </w:rPr>
        <w:tab/>
      </w:r>
      <w:r w:rsidRPr="00154216">
        <w:rPr>
          <w:lang w:val="es-ES_tradnl"/>
        </w:rPr>
        <w:tab/>
        <w:t xml:space="preserve">Respuesta al párrafo 32 b)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 xml:space="preserve">/2-3 </w:t>
      </w:r>
    </w:p>
    <w:p w14:paraId="28CAE393" w14:textId="77777777" w:rsidR="00154216" w:rsidRPr="00154216" w:rsidRDefault="00154216" w:rsidP="00154216">
      <w:pPr>
        <w:pStyle w:val="SingleTxtG"/>
        <w:rPr>
          <w:lang w:val="es-ES_tradnl"/>
        </w:rPr>
      </w:pPr>
      <w:r w:rsidRPr="00154216">
        <w:rPr>
          <w:lang w:val="es-ES_tradnl"/>
        </w:rPr>
        <w:t>375.</w:t>
      </w:r>
      <w:r w:rsidRPr="00154216">
        <w:rPr>
          <w:lang w:val="es-ES_tradnl"/>
        </w:rPr>
        <w:tab/>
        <w:t xml:space="preserve">No se ha procedido a ningún examen del </w:t>
      </w:r>
      <w:proofErr w:type="spellStart"/>
      <w:r w:rsidRPr="00154216">
        <w:rPr>
          <w:lang w:val="es-ES_tradnl"/>
        </w:rPr>
        <w:t>IMM</w:t>
      </w:r>
      <w:proofErr w:type="spellEnd"/>
      <w:r w:rsidRPr="00154216">
        <w:rPr>
          <w:lang w:val="es-ES_tradnl"/>
        </w:rPr>
        <w:t>.</w:t>
      </w:r>
    </w:p>
    <w:p w14:paraId="0A894703" w14:textId="77777777" w:rsidR="00154216" w:rsidRPr="00154216" w:rsidRDefault="00154216" w:rsidP="00154216">
      <w:pPr>
        <w:pStyle w:val="SingleTxtG"/>
        <w:rPr>
          <w:lang w:val="es-ES_tradnl"/>
        </w:rPr>
      </w:pPr>
      <w:r w:rsidRPr="00154216">
        <w:rPr>
          <w:lang w:val="es-ES_tradnl"/>
        </w:rPr>
        <w:t>376.</w:t>
      </w:r>
      <w:r w:rsidRPr="00154216">
        <w:rPr>
          <w:lang w:val="es-ES_tradnl"/>
        </w:rPr>
        <w:tab/>
        <w:t xml:space="preserve">En 2016/17, la Oficina de Asuntos de Discapacidad encargó un examen independiente del componente del </w:t>
      </w:r>
      <w:proofErr w:type="spellStart"/>
      <w:r w:rsidRPr="00154216">
        <w:rPr>
          <w:lang w:val="es-ES_tradnl"/>
        </w:rPr>
        <w:t>IMM</w:t>
      </w:r>
      <w:proofErr w:type="spellEnd"/>
      <w:r w:rsidRPr="00154216">
        <w:rPr>
          <w:lang w:val="es-ES_tradnl"/>
        </w:rPr>
        <w:t xml:space="preserve"> relativo al seguimiento encabezado por las </w:t>
      </w:r>
      <w:r w:rsidRPr="00154216">
        <w:rPr>
          <w:lang w:val="es-ES_tradnl"/>
        </w:rPr>
        <w:lastRenderedPageBreak/>
        <w:t xml:space="preserve">personas con discapacidad, que se había encomendado al Grupo de Vigilancia de la Coalición de la Convención (bajo la supervisión de la Coalición </w:t>
      </w:r>
      <w:proofErr w:type="spellStart"/>
      <w:r w:rsidRPr="00154216">
        <w:rPr>
          <w:lang w:val="es-ES_tradnl"/>
        </w:rPr>
        <w:t>DPO</w:t>
      </w:r>
      <w:proofErr w:type="spellEnd"/>
      <w:r w:rsidRPr="00154216">
        <w:rPr>
          <w:lang w:val="es-ES_tradnl"/>
        </w:rPr>
        <w:t>). Se examinó la eficacia y la eficiencia del proceso de seguimiento de los derechos a cargo de las propias personas con discapacidad y se formularon recomendaciones para los futuros arreglos de este tipo</w:t>
      </w:r>
      <w:r w:rsidRPr="00154216">
        <w:rPr>
          <w:rStyle w:val="Refdenotaalfinal"/>
          <w:lang w:val="es-ES_tradnl"/>
        </w:rPr>
        <w:endnoteReference w:id="247"/>
      </w:r>
      <w:r w:rsidR="00011964">
        <w:rPr>
          <w:lang w:val="es-ES_tradnl"/>
        </w:rPr>
        <w:t>.</w:t>
      </w:r>
      <w:r w:rsidRPr="00154216">
        <w:rPr>
          <w:rStyle w:val="Refdenotaalfinal"/>
          <w:lang w:val="es-ES_tradnl"/>
        </w:rPr>
        <w:t xml:space="preserve"> </w:t>
      </w:r>
    </w:p>
    <w:p w14:paraId="4F75F1F1" w14:textId="77777777" w:rsidR="00154216" w:rsidRPr="00154216" w:rsidRDefault="00154216" w:rsidP="00154216">
      <w:pPr>
        <w:pStyle w:val="SingleTxtG"/>
        <w:rPr>
          <w:lang w:val="es-ES_tradnl"/>
        </w:rPr>
      </w:pPr>
      <w:r w:rsidRPr="00154216">
        <w:rPr>
          <w:lang w:val="es-ES_tradnl"/>
        </w:rPr>
        <w:t>377.</w:t>
      </w:r>
      <w:r w:rsidRPr="00154216">
        <w:rPr>
          <w:lang w:val="es-ES_tradnl"/>
        </w:rPr>
        <w:tab/>
        <w:t xml:space="preserve">En 2018, la Coalición </w:t>
      </w:r>
      <w:proofErr w:type="spellStart"/>
      <w:r w:rsidRPr="00154216">
        <w:rPr>
          <w:lang w:val="es-ES_tradnl"/>
        </w:rPr>
        <w:t>DPO</w:t>
      </w:r>
      <w:proofErr w:type="spellEnd"/>
      <w:r w:rsidRPr="00154216">
        <w:rPr>
          <w:lang w:val="es-ES_tradnl"/>
        </w:rPr>
        <w:t xml:space="preserve"> colaboró con la Oficina de Asuntos de Discapacidad para asegurar la aplicación de una metodología eficaz de seguimiento a cargo de las personas con discapacidad. </w:t>
      </w:r>
    </w:p>
    <w:p w14:paraId="7ACF78B3" w14:textId="77777777" w:rsidR="00154216" w:rsidRPr="00154216" w:rsidRDefault="00154216" w:rsidP="00154216">
      <w:pPr>
        <w:pStyle w:val="SingleTxtG"/>
        <w:rPr>
          <w:lang w:val="es-ES_tradnl"/>
        </w:rPr>
      </w:pPr>
      <w:r w:rsidRPr="00154216">
        <w:rPr>
          <w:lang w:val="es-ES_tradnl"/>
        </w:rPr>
        <w:t>378.</w:t>
      </w:r>
      <w:r w:rsidRPr="00154216">
        <w:rPr>
          <w:lang w:val="es-ES_tradnl"/>
        </w:rPr>
        <w:tab/>
        <w:t xml:space="preserve">Sobre la base de ese examen, la Coalición </w:t>
      </w:r>
      <w:proofErr w:type="spellStart"/>
      <w:r w:rsidRPr="00154216">
        <w:rPr>
          <w:lang w:val="es-ES_tradnl"/>
        </w:rPr>
        <w:t>DPO</w:t>
      </w:r>
      <w:proofErr w:type="spellEnd"/>
      <w:r w:rsidRPr="00154216">
        <w:rPr>
          <w:lang w:val="es-ES_tradnl"/>
        </w:rPr>
        <w:t xml:space="preserve"> contrató a un proveedor para aplicar la nueva metodología en los tres años siguientes.</w:t>
      </w:r>
    </w:p>
    <w:p w14:paraId="0456562E" w14:textId="77777777" w:rsidR="00154216" w:rsidRPr="00154216" w:rsidRDefault="00154216" w:rsidP="00011964">
      <w:pPr>
        <w:pStyle w:val="H23G"/>
        <w:rPr>
          <w:lang w:val="es-ES_tradnl"/>
        </w:rPr>
      </w:pPr>
      <w:r w:rsidRPr="00154216">
        <w:rPr>
          <w:lang w:val="es-ES_tradnl"/>
        </w:rPr>
        <w:tab/>
      </w:r>
      <w:r w:rsidRPr="00154216">
        <w:rPr>
          <w:lang w:val="es-ES_tradnl"/>
        </w:rPr>
        <w:tab/>
        <w:t xml:space="preserve">Respuesta al párrafo 32 c)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 xml:space="preserve">/2-3 </w:t>
      </w:r>
    </w:p>
    <w:p w14:paraId="7F34CC98" w14:textId="77777777" w:rsidR="00154216" w:rsidRPr="00154216" w:rsidRDefault="00154216" w:rsidP="00154216">
      <w:pPr>
        <w:pStyle w:val="SingleTxtG"/>
        <w:rPr>
          <w:lang w:val="es-ES_tradnl"/>
        </w:rPr>
      </w:pPr>
      <w:r w:rsidRPr="00154216">
        <w:rPr>
          <w:lang w:val="es-ES_tradnl"/>
        </w:rPr>
        <w:t>379.</w:t>
      </w:r>
      <w:r w:rsidRPr="00154216">
        <w:rPr>
          <w:lang w:val="es-ES_tradnl"/>
        </w:rPr>
        <w:tab/>
        <w:t>Véase la respuesta a la pregunta 32 a).</w:t>
      </w:r>
    </w:p>
    <w:p w14:paraId="2799D1AA" w14:textId="77777777" w:rsidR="00154216" w:rsidRPr="00154216" w:rsidRDefault="00154216" w:rsidP="00011964">
      <w:pPr>
        <w:pStyle w:val="H23G"/>
        <w:rPr>
          <w:lang w:val="es-ES_tradnl"/>
        </w:rPr>
      </w:pPr>
      <w:r w:rsidRPr="00154216">
        <w:rPr>
          <w:lang w:val="es-ES_tradnl"/>
        </w:rPr>
        <w:tab/>
      </w:r>
      <w:r w:rsidRPr="00154216">
        <w:rPr>
          <w:lang w:val="es-ES_tradnl"/>
        </w:rPr>
        <w:tab/>
        <w:t xml:space="preserve">Respuesta al párrafo 32 d) de </w:t>
      </w:r>
      <w:proofErr w:type="spellStart"/>
      <w:r w:rsidRPr="00154216">
        <w:rPr>
          <w:lang w:val="es-ES_tradnl"/>
        </w:rPr>
        <w:t>CRPD</w:t>
      </w:r>
      <w:proofErr w:type="spellEnd"/>
      <w:r w:rsidRPr="00154216">
        <w:rPr>
          <w:lang w:val="es-ES_tradnl"/>
        </w:rPr>
        <w:t>/C/</w:t>
      </w:r>
      <w:proofErr w:type="spellStart"/>
      <w:r w:rsidRPr="00154216">
        <w:rPr>
          <w:lang w:val="es-ES_tradnl"/>
        </w:rPr>
        <w:t>NZL</w:t>
      </w:r>
      <w:proofErr w:type="spellEnd"/>
      <w:r w:rsidRPr="00154216">
        <w:rPr>
          <w:lang w:val="es-ES_tradnl"/>
        </w:rPr>
        <w:t>/</w:t>
      </w:r>
      <w:proofErr w:type="spellStart"/>
      <w:r w:rsidRPr="00154216">
        <w:rPr>
          <w:lang w:val="es-ES_tradnl"/>
        </w:rPr>
        <w:t>QPR</w:t>
      </w:r>
      <w:proofErr w:type="spellEnd"/>
      <w:r w:rsidRPr="00154216">
        <w:rPr>
          <w:lang w:val="es-ES_tradnl"/>
        </w:rPr>
        <w:t xml:space="preserve">/2-3 </w:t>
      </w:r>
    </w:p>
    <w:p w14:paraId="530D36B5" w14:textId="77777777" w:rsidR="00154216" w:rsidRPr="00154216" w:rsidRDefault="00154216" w:rsidP="00154216">
      <w:pPr>
        <w:pStyle w:val="SingleTxtG"/>
        <w:rPr>
          <w:lang w:val="es-ES_tradnl"/>
        </w:rPr>
      </w:pPr>
      <w:r w:rsidRPr="00154216">
        <w:rPr>
          <w:lang w:val="es-ES_tradnl"/>
        </w:rPr>
        <w:t>380.</w:t>
      </w:r>
      <w:r w:rsidRPr="00154216">
        <w:rPr>
          <w:lang w:val="es-ES_tradnl"/>
        </w:rPr>
        <w:tab/>
        <w:t xml:space="preserve">Las cuestiones planteadas por el </w:t>
      </w:r>
      <w:proofErr w:type="spellStart"/>
      <w:r w:rsidRPr="00154216">
        <w:rPr>
          <w:lang w:val="es-ES_tradnl"/>
        </w:rPr>
        <w:t>IMM</w:t>
      </w:r>
      <w:proofErr w:type="spellEnd"/>
      <w:r w:rsidRPr="00154216">
        <w:rPr>
          <w:lang w:val="es-ES_tradnl"/>
        </w:rPr>
        <w:t xml:space="preserve"> informaron la elaboración y revisión del Plan de Acción sobre la Discapacidad para 2014</w:t>
      </w:r>
      <w:r w:rsidR="00011964">
        <w:rPr>
          <w:lang w:val="es-ES_tradnl"/>
        </w:rPr>
        <w:t>-</w:t>
      </w:r>
      <w:r w:rsidRPr="00154216">
        <w:rPr>
          <w:lang w:val="es-ES_tradnl"/>
        </w:rPr>
        <w:t>2018 y el Plan de Acción sobre la Discapacidad para 2019</w:t>
      </w:r>
      <w:r w:rsidR="00011964">
        <w:rPr>
          <w:lang w:val="es-ES_tradnl"/>
        </w:rPr>
        <w:t>-</w:t>
      </w:r>
      <w:r w:rsidRPr="00154216">
        <w:rPr>
          <w:lang w:val="es-ES_tradnl"/>
        </w:rPr>
        <w:t>2022.</w:t>
      </w:r>
    </w:p>
    <w:p w14:paraId="3CF89053" w14:textId="77777777" w:rsidR="00154216" w:rsidRPr="00154216" w:rsidRDefault="00154216" w:rsidP="00154216">
      <w:pPr>
        <w:pStyle w:val="SingleTxtG"/>
        <w:rPr>
          <w:lang w:val="es-ES_tradnl"/>
        </w:rPr>
      </w:pPr>
      <w:r w:rsidRPr="00154216">
        <w:rPr>
          <w:lang w:val="es-ES_tradnl"/>
        </w:rPr>
        <w:t>381.</w:t>
      </w:r>
      <w:r w:rsidRPr="00154216">
        <w:rPr>
          <w:lang w:val="es-ES_tradnl"/>
        </w:rPr>
        <w:tab/>
        <w:t xml:space="preserve">En junio de 2015, el Gobierno presentó su respuesta a los informes del </w:t>
      </w:r>
      <w:proofErr w:type="spellStart"/>
      <w:r w:rsidRPr="00154216">
        <w:rPr>
          <w:lang w:val="es-ES_tradnl"/>
        </w:rPr>
        <w:t>IMM</w:t>
      </w:r>
      <w:proofErr w:type="spellEnd"/>
      <w:r w:rsidRPr="00154216">
        <w:rPr>
          <w:lang w:val="es-ES_tradnl"/>
        </w:rPr>
        <w:t xml:space="preserve"> de 2012 y 2014</w:t>
      </w:r>
      <w:r w:rsidRPr="00154216">
        <w:rPr>
          <w:rStyle w:val="Refdenotaalfinal"/>
          <w:lang w:val="es-ES_tradnl"/>
        </w:rPr>
        <w:endnoteReference w:id="248"/>
      </w:r>
      <w:r w:rsidR="00011964">
        <w:rPr>
          <w:lang w:val="es-ES_tradnl"/>
        </w:rPr>
        <w:t>.</w:t>
      </w:r>
      <w:r w:rsidRPr="00154216">
        <w:rPr>
          <w:rStyle w:val="Refdenotaalfinal"/>
          <w:lang w:val="es-ES_tradnl"/>
        </w:rPr>
        <w:t xml:space="preserve"> </w:t>
      </w:r>
    </w:p>
    <w:p w14:paraId="26C5A070" w14:textId="77777777" w:rsidR="00154216" w:rsidRPr="00154216" w:rsidRDefault="00154216" w:rsidP="00154216">
      <w:pPr>
        <w:pStyle w:val="SingleTxtG"/>
        <w:rPr>
          <w:lang w:val="es-ES_tradnl"/>
        </w:rPr>
      </w:pPr>
      <w:r w:rsidRPr="00154216">
        <w:rPr>
          <w:lang w:val="es-ES_tradnl"/>
        </w:rPr>
        <w:t>382.</w:t>
      </w:r>
      <w:r w:rsidRPr="00154216">
        <w:rPr>
          <w:lang w:val="es-ES_tradnl"/>
        </w:rPr>
        <w:tab/>
        <w:t xml:space="preserve">Atendiendo a las recomendaciones del </w:t>
      </w:r>
      <w:proofErr w:type="spellStart"/>
      <w:r w:rsidRPr="00154216">
        <w:rPr>
          <w:lang w:val="es-ES_tradnl"/>
        </w:rPr>
        <w:t>IMM</w:t>
      </w:r>
      <w:proofErr w:type="spellEnd"/>
      <w:r w:rsidRPr="00154216">
        <w:rPr>
          <w:lang w:val="es-ES_tradnl"/>
        </w:rPr>
        <w:t>, en 2017:</w:t>
      </w:r>
    </w:p>
    <w:p w14:paraId="06A8ABD4" w14:textId="77777777" w:rsidR="00154216" w:rsidRPr="00154216" w:rsidRDefault="00154216" w:rsidP="00011964">
      <w:pPr>
        <w:pStyle w:val="Bullet1G"/>
        <w:rPr>
          <w:lang w:val="es-ES_tradnl"/>
        </w:rPr>
      </w:pPr>
      <w:r w:rsidRPr="00154216">
        <w:rPr>
          <w:lang w:val="es-ES_tradnl"/>
        </w:rPr>
        <w:t xml:space="preserve">El Parlamento promulgó legislación para derogar los artículos 141 y 142 de la Ley de </w:t>
      </w:r>
      <w:proofErr w:type="spellStart"/>
      <w:r w:rsidRPr="00154216">
        <w:rPr>
          <w:lang w:val="es-ES_tradnl"/>
        </w:rPr>
        <w:t>Oranga</w:t>
      </w:r>
      <w:proofErr w:type="spellEnd"/>
      <w:r w:rsidRPr="00154216">
        <w:rPr>
          <w:lang w:val="es-ES_tradnl"/>
        </w:rPr>
        <w:t xml:space="preserve"> </w:t>
      </w:r>
      <w:proofErr w:type="spellStart"/>
      <w:r w:rsidRPr="00154216">
        <w:rPr>
          <w:lang w:val="es-ES_tradnl"/>
        </w:rPr>
        <w:t>Tamariki</w:t>
      </w:r>
      <w:proofErr w:type="spellEnd"/>
      <w:r w:rsidRPr="00154216">
        <w:rPr>
          <w:lang w:val="es-ES_tradnl"/>
        </w:rPr>
        <w:t xml:space="preserve"> de 1989 (véase la pregunta 21 a));</w:t>
      </w:r>
    </w:p>
    <w:p w14:paraId="0FD48DE7" w14:textId="77777777" w:rsidR="00154216" w:rsidRPr="00154216" w:rsidRDefault="00154216" w:rsidP="00011964">
      <w:pPr>
        <w:pStyle w:val="Bullet1G"/>
        <w:rPr>
          <w:lang w:val="es-ES_tradnl"/>
        </w:rPr>
      </w:pPr>
      <w:r w:rsidRPr="00154216">
        <w:rPr>
          <w:lang w:val="es-ES_tradnl"/>
        </w:rPr>
        <w:t>El Gobierno señaló que era probable que la Ley de Reconocimiento y Tratamiento Obligatorios de la Salud Mental de 1992 fuese incompatible con la Convención sobre los Derechos de las Personas con Discapacidad (véase la pregunta 13 b)).</w:t>
      </w:r>
    </w:p>
    <w:p w14:paraId="68549EFF" w14:textId="77777777" w:rsidR="00154216" w:rsidRPr="00154216" w:rsidRDefault="00A3689F" w:rsidP="00A3689F">
      <w:pPr>
        <w:pStyle w:val="H56G"/>
      </w:pPr>
      <w:r>
        <w:rPr>
          <w:lang w:val="es-ES_tradnl"/>
        </w:rPr>
        <w:tab/>
      </w:r>
      <w:r w:rsidR="00154216" w:rsidRPr="00A3689F">
        <w:rPr>
          <w:i/>
          <w:iCs/>
          <w:lang w:val="es-ES_tradnl"/>
        </w:rPr>
        <w:t>Notas</w:t>
      </w:r>
    </w:p>
    <w:sectPr w:rsidR="00154216" w:rsidRPr="00154216" w:rsidSect="00CD5651">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6EB2D" w14:textId="77777777" w:rsidR="003665BE" w:rsidRPr="0071316C" w:rsidRDefault="003665BE" w:rsidP="0071316C">
      <w:pPr>
        <w:pStyle w:val="Piedepgina"/>
      </w:pPr>
    </w:p>
  </w:endnote>
  <w:endnote w:type="continuationSeparator" w:id="0">
    <w:p w14:paraId="116B949D" w14:textId="77777777" w:rsidR="003665BE" w:rsidRPr="0071316C" w:rsidRDefault="003665BE" w:rsidP="0071316C">
      <w:pPr>
        <w:pStyle w:val="Piedepgina"/>
      </w:pPr>
    </w:p>
  </w:endnote>
  <w:endnote w:id="1">
    <w:p w14:paraId="6A6AA6C7" w14:textId="0BDE74C6" w:rsidR="003665BE" w:rsidRPr="000664BE" w:rsidRDefault="003665BE" w:rsidP="00011964">
      <w:pPr>
        <w:pStyle w:val="Textonotaalfinal"/>
      </w:pPr>
      <w:r>
        <w:rPr>
          <w:rStyle w:val="Hipervnculo"/>
        </w:rPr>
        <w:tab/>
      </w:r>
      <w:r w:rsidRPr="00154216">
        <w:rPr>
          <w:rStyle w:val="Refdenotaalfinal"/>
        </w:rPr>
        <w:endnoteRef/>
      </w:r>
      <w:r w:rsidRPr="00154216">
        <w:rPr>
          <w:rStyle w:val="Refdenotaalfinal"/>
        </w:rPr>
        <w:tab/>
      </w:r>
      <w:r>
        <w:fldChar w:fldCharType="begin"/>
      </w:r>
      <w:r>
        <w:instrText xml:space="preserve"> HYPERLINK "https://maoridictionary.co.nz/search?idiom%20&amp;phrase%20&amp;proverb%20&amp;loan%20&amp;%20histLoanWords%20&amp;%20keywords%20Aotearoa" </w:instrText>
      </w:r>
      <w:r>
        <w:fldChar w:fldCharType="separate"/>
      </w:r>
      <w:r w:rsidRPr="00726C15">
        <w:rPr>
          <w:rStyle w:val="Hipervnculo"/>
        </w:rPr>
        <w:t>https://</w:t>
      </w:r>
      <w:proofErr w:type="spellStart"/>
      <w:r w:rsidRPr="00726C15">
        <w:rPr>
          <w:rStyle w:val="Hipervnculo"/>
        </w:rPr>
        <w:t>maoridictionary.co.nz</w:t>
      </w:r>
      <w:proofErr w:type="spellEnd"/>
      <w:r w:rsidRPr="00726C15">
        <w:rPr>
          <w:rStyle w:val="Hipervnculo"/>
        </w:rPr>
        <w:t>/</w:t>
      </w:r>
      <w:proofErr w:type="spellStart"/>
      <w:r w:rsidRPr="00726C15">
        <w:rPr>
          <w:rStyle w:val="Hipervnculo"/>
        </w:rPr>
        <w:t>search?idiom</w:t>
      </w:r>
      <w:proofErr w:type="spellEnd"/>
      <w:r w:rsidRPr="00726C15">
        <w:rPr>
          <w:rStyle w:val="Hipervnculo"/>
        </w:rPr>
        <w:t xml:space="preserve"> &amp;</w:t>
      </w:r>
      <w:proofErr w:type="spellStart"/>
      <w:r w:rsidRPr="00726C15">
        <w:rPr>
          <w:rStyle w:val="Hipervnculo"/>
        </w:rPr>
        <w:t>phrase</w:t>
      </w:r>
      <w:proofErr w:type="spellEnd"/>
      <w:r w:rsidRPr="00726C15">
        <w:rPr>
          <w:rStyle w:val="Hipervnculo"/>
        </w:rPr>
        <w:t xml:space="preserve"> &amp;</w:t>
      </w:r>
      <w:proofErr w:type="spellStart"/>
      <w:r w:rsidRPr="00726C15">
        <w:rPr>
          <w:rStyle w:val="Hipervnculo"/>
        </w:rPr>
        <w:t>proverb</w:t>
      </w:r>
      <w:proofErr w:type="spellEnd"/>
      <w:r w:rsidRPr="00726C15">
        <w:rPr>
          <w:rStyle w:val="Hipervnculo"/>
        </w:rPr>
        <w:t xml:space="preserve"> &amp;loan &amp; </w:t>
      </w:r>
      <w:proofErr w:type="spellStart"/>
      <w:r w:rsidRPr="00726C15">
        <w:rPr>
          <w:rStyle w:val="Hipervnculo"/>
        </w:rPr>
        <w:t>histLoanWords</w:t>
      </w:r>
      <w:proofErr w:type="spellEnd"/>
      <w:r w:rsidRPr="00726C15">
        <w:rPr>
          <w:rStyle w:val="Hipervnculo"/>
        </w:rPr>
        <w:t xml:space="preserve"> &amp; </w:t>
      </w:r>
      <w:proofErr w:type="spellStart"/>
      <w:r w:rsidRPr="00726C15">
        <w:rPr>
          <w:rStyle w:val="Hipervnculo"/>
        </w:rPr>
        <w:t>keywords</w:t>
      </w:r>
      <w:proofErr w:type="spellEnd"/>
      <w:r w:rsidRPr="00726C15">
        <w:rPr>
          <w:rStyle w:val="Hipervnculo"/>
        </w:rPr>
        <w:t xml:space="preserve"> </w:t>
      </w:r>
      <w:proofErr w:type="spellStart"/>
      <w:r w:rsidRPr="00726C15">
        <w:rPr>
          <w:rStyle w:val="Hipervnculo"/>
        </w:rPr>
        <w:t>Aotearoa</w:t>
      </w:r>
      <w:proofErr w:type="spellEnd"/>
      <w:r>
        <w:rPr>
          <w:rStyle w:val="Hipervnculo"/>
        </w:rPr>
        <w:fldChar w:fldCharType="end"/>
      </w:r>
      <w:r w:rsidRPr="0051721B">
        <w:t xml:space="preserve">. </w:t>
      </w:r>
    </w:p>
  </w:endnote>
  <w:endnote w:id="2">
    <w:p w14:paraId="188D164F" w14:textId="77777777" w:rsidR="003665BE" w:rsidRPr="000664BE" w:rsidRDefault="003665BE" w:rsidP="00011964">
      <w:pPr>
        <w:pStyle w:val="Textonotaalfinal"/>
      </w:pPr>
      <w:r w:rsidRPr="0051721B">
        <w:rPr>
          <w:rStyle w:val="Hipervnculo"/>
        </w:rPr>
        <w:tab/>
      </w:r>
      <w:r w:rsidRPr="00154216">
        <w:rPr>
          <w:rStyle w:val="Refdenotaalfinal"/>
        </w:rPr>
        <w:endnoteRef/>
      </w:r>
      <w:r w:rsidRPr="00154216">
        <w:rPr>
          <w:rStyle w:val="Refdenotaalfinal"/>
        </w:rPr>
        <w:tab/>
      </w:r>
      <w:r w:rsidRPr="00726C15">
        <w:rPr>
          <w:rStyle w:val="Hipervnculo"/>
        </w:rPr>
        <w:t>https://</w:t>
      </w:r>
      <w:proofErr w:type="spellStart"/>
      <w:r w:rsidRPr="00726C15">
        <w:rPr>
          <w:rStyle w:val="Hipervnculo"/>
        </w:rPr>
        <w:t>maoridictionary.co.nz</w:t>
      </w:r>
      <w:proofErr w:type="spellEnd"/>
      <w:r w:rsidRPr="00726C15">
        <w:rPr>
          <w:rStyle w:val="Hipervnculo"/>
        </w:rPr>
        <w:t>/</w:t>
      </w:r>
      <w:proofErr w:type="spellStart"/>
      <w:r w:rsidRPr="00726C15">
        <w:rPr>
          <w:rStyle w:val="Hipervnculo"/>
        </w:rPr>
        <w:t>search?idiom</w:t>
      </w:r>
      <w:proofErr w:type="spellEnd"/>
      <w:r w:rsidRPr="00726C15">
        <w:rPr>
          <w:rStyle w:val="Hipervnculo"/>
        </w:rPr>
        <w:t xml:space="preserve"> &amp;</w:t>
      </w:r>
      <w:proofErr w:type="spellStart"/>
      <w:r w:rsidRPr="00726C15">
        <w:rPr>
          <w:rStyle w:val="Hipervnculo"/>
        </w:rPr>
        <w:t>phrase</w:t>
      </w:r>
      <w:proofErr w:type="spellEnd"/>
      <w:r w:rsidRPr="00726C15">
        <w:rPr>
          <w:rStyle w:val="Hipervnculo"/>
        </w:rPr>
        <w:t xml:space="preserve"> &amp;</w:t>
      </w:r>
      <w:proofErr w:type="spellStart"/>
      <w:r w:rsidRPr="00726C15">
        <w:rPr>
          <w:rStyle w:val="Hipervnculo"/>
        </w:rPr>
        <w:t>proverb</w:t>
      </w:r>
      <w:proofErr w:type="spellEnd"/>
      <w:r w:rsidRPr="00726C15">
        <w:rPr>
          <w:rStyle w:val="Hipervnculo"/>
        </w:rPr>
        <w:t xml:space="preserve"> &amp;loan &amp; </w:t>
      </w:r>
      <w:proofErr w:type="spellStart"/>
      <w:r w:rsidRPr="00726C15">
        <w:rPr>
          <w:rStyle w:val="Hipervnculo"/>
        </w:rPr>
        <w:t>histLoanWords</w:t>
      </w:r>
      <w:proofErr w:type="spellEnd"/>
      <w:r w:rsidRPr="00726C15">
        <w:rPr>
          <w:rStyle w:val="Hipervnculo"/>
        </w:rPr>
        <w:t xml:space="preserve"> &amp; </w:t>
      </w:r>
      <w:proofErr w:type="spellStart"/>
      <w:r w:rsidRPr="00726C15">
        <w:rPr>
          <w:rStyle w:val="Hipervnculo"/>
        </w:rPr>
        <w:t>keywords</w:t>
      </w:r>
      <w:proofErr w:type="spellEnd"/>
      <w:r w:rsidRPr="00726C15">
        <w:rPr>
          <w:rStyle w:val="Hipervnculo"/>
        </w:rPr>
        <w:t>=</w:t>
      </w:r>
      <w:proofErr w:type="spellStart"/>
      <w:r w:rsidRPr="00726C15">
        <w:rPr>
          <w:rStyle w:val="Hipervnculo"/>
        </w:rPr>
        <w:t>maori</w:t>
      </w:r>
      <w:proofErr w:type="spellEnd"/>
      <w:r w:rsidRPr="0051721B">
        <w:t xml:space="preserve">. </w:t>
      </w:r>
    </w:p>
  </w:endnote>
  <w:endnote w:id="3">
    <w:p w14:paraId="779D8B65" w14:textId="77777777" w:rsidR="003665BE" w:rsidRPr="000664BE" w:rsidRDefault="003665BE" w:rsidP="00011964">
      <w:pPr>
        <w:pStyle w:val="Textonotaalfinal"/>
        <w:rPr>
          <w:rStyle w:val="Hipervnculo"/>
        </w:rPr>
      </w:pPr>
      <w:r w:rsidRPr="0051721B">
        <w:rPr>
          <w:rStyle w:val="Hipervnculo"/>
        </w:rPr>
        <w:tab/>
      </w:r>
      <w:r w:rsidRPr="00154216">
        <w:rPr>
          <w:rStyle w:val="Refdenotaalfinal"/>
        </w:rPr>
        <w:endnoteRef/>
      </w:r>
      <w:r w:rsidRPr="00154216">
        <w:rPr>
          <w:rStyle w:val="Refdenotaalfinal"/>
        </w:rPr>
        <w:tab/>
      </w:r>
      <w:r w:rsidRPr="00726C15">
        <w:rPr>
          <w:rStyle w:val="Hipervnculo"/>
        </w:rPr>
        <w:t>https://</w:t>
      </w:r>
      <w:proofErr w:type="spellStart"/>
      <w:r w:rsidRPr="00726C15">
        <w:rPr>
          <w:rStyle w:val="Hipervnculo"/>
        </w:rPr>
        <w:t>maoridictionary.co.nz</w:t>
      </w:r>
      <w:proofErr w:type="spellEnd"/>
      <w:r w:rsidRPr="00726C15">
        <w:rPr>
          <w:rStyle w:val="Hipervnculo"/>
        </w:rPr>
        <w:t>/</w:t>
      </w:r>
      <w:proofErr w:type="spellStart"/>
      <w:r w:rsidRPr="00726C15">
        <w:rPr>
          <w:rStyle w:val="Hipervnculo"/>
        </w:rPr>
        <w:t>search?idiom</w:t>
      </w:r>
      <w:proofErr w:type="spellEnd"/>
      <w:r w:rsidRPr="00726C15">
        <w:rPr>
          <w:rStyle w:val="Hipervnculo"/>
        </w:rPr>
        <w:t xml:space="preserve"> &amp;</w:t>
      </w:r>
      <w:proofErr w:type="spellStart"/>
      <w:r w:rsidRPr="00726C15">
        <w:rPr>
          <w:rStyle w:val="Hipervnculo"/>
        </w:rPr>
        <w:t>phrase</w:t>
      </w:r>
      <w:proofErr w:type="spellEnd"/>
      <w:r w:rsidRPr="00726C15">
        <w:rPr>
          <w:rStyle w:val="Hipervnculo"/>
        </w:rPr>
        <w:t xml:space="preserve"> &amp;</w:t>
      </w:r>
      <w:proofErr w:type="spellStart"/>
      <w:r w:rsidRPr="00726C15">
        <w:rPr>
          <w:rStyle w:val="Hipervnculo"/>
        </w:rPr>
        <w:t>proverb</w:t>
      </w:r>
      <w:proofErr w:type="spellEnd"/>
      <w:r w:rsidRPr="00726C15">
        <w:rPr>
          <w:rStyle w:val="Hipervnculo"/>
        </w:rPr>
        <w:t xml:space="preserve"> &amp;loan &amp; </w:t>
      </w:r>
      <w:proofErr w:type="spellStart"/>
      <w:r w:rsidRPr="00726C15">
        <w:rPr>
          <w:rStyle w:val="Hipervnculo"/>
        </w:rPr>
        <w:t>histLoanWords</w:t>
      </w:r>
      <w:proofErr w:type="spellEnd"/>
      <w:r w:rsidRPr="00726C15">
        <w:rPr>
          <w:rStyle w:val="Hipervnculo"/>
        </w:rPr>
        <w:t xml:space="preserve"> &amp; </w:t>
      </w:r>
      <w:proofErr w:type="spellStart"/>
      <w:r w:rsidRPr="00726C15">
        <w:rPr>
          <w:rStyle w:val="Hipervnculo"/>
        </w:rPr>
        <w:t>keywords</w:t>
      </w:r>
      <w:proofErr w:type="spellEnd"/>
      <w:r w:rsidRPr="00726C15">
        <w:rPr>
          <w:rStyle w:val="Hipervnculo"/>
        </w:rPr>
        <w:t>=</w:t>
      </w:r>
      <w:proofErr w:type="spellStart"/>
      <w:r w:rsidRPr="00726C15">
        <w:rPr>
          <w:rStyle w:val="Hipervnculo"/>
        </w:rPr>
        <w:t>whanau</w:t>
      </w:r>
      <w:proofErr w:type="spellEnd"/>
      <w:r w:rsidRPr="0051721B">
        <w:t>.</w:t>
      </w:r>
    </w:p>
  </w:endnote>
  <w:endnote w:id="4">
    <w:p w14:paraId="71F99275" w14:textId="77777777" w:rsidR="003665BE" w:rsidRPr="000664BE"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The</w:t>
      </w:r>
      <w:proofErr w:type="spellEnd"/>
      <w:r w:rsidRPr="0051721B">
        <w:t xml:space="preserve"> </w:t>
      </w:r>
      <w:proofErr w:type="spellStart"/>
      <w:r w:rsidRPr="0051721B">
        <w:t>seven</w:t>
      </w:r>
      <w:proofErr w:type="spellEnd"/>
      <w:r w:rsidRPr="0051721B">
        <w:t xml:space="preserve"> </w:t>
      </w:r>
      <w:proofErr w:type="spellStart"/>
      <w:r w:rsidRPr="0051721B">
        <w:t>organisations</w:t>
      </w:r>
      <w:proofErr w:type="spellEnd"/>
      <w:r w:rsidRPr="0051721B">
        <w:t xml:space="preserve"> are: </w:t>
      </w:r>
      <w:proofErr w:type="spellStart"/>
      <w:r w:rsidRPr="0051721B">
        <w:t>Association</w:t>
      </w:r>
      <w:proofErr w:type="spellEnd"/>
      <w:r w:rsidRPr="0051721B">
        <w:t xml:space="preserve"> </w:t>
      </w:r>
      <w:proofErr w:type="spellStart"/>
      <w:r w:rsidRPr="0051721B">
        <w:t>of</w:t>
      </w:r>
      <w:proofErr w:type="spellEnd"/>
      <w:r w:rsidRPr="0051721B">
        <w:t xml:space="preserve"> </w:t>
      </w:r>
      <w:proofErr w:type="spellStart"/>
      <w:r w:rsidRPr="0051721B">
        <w:t>Blind</w:t>
      </w:r>
      <w:proofErr w:type="spellEnd"/>
      <w:r w:rsidRPr="0051721B">
        <w:t xml:space="preserve"> </w:t>
      </w:r>
      <w:proofErr w:type="spellStart"/>
      <w:r w:rsidRPr="0051721B">
        <w:t>Citizens</w:t>
      </w:r>
      <w:proofErr w:type="spellEnd"/>
      <w:r w:rsidRPr="0051721B">
        <w:t xml:space="preserve"> </w:t>
      </w:r>
      <w:proofErr w:type="spellStart"/>
      <w:r w:rsidRPr="0051721B">
        <w:t>of</w:t>
      </w:r>
      <w:proofErr w:type="spellEnd"/>
      <w:r w:rsidRPr="0051721B">
        <w:t xml:space="preserve"> New </w:t>
      </w:r>
      <w:proofErr w:type="spellStart"/>
      <w:r w:rsidRPr="0051721B">
        <w:t>Zealand</w:t>
      </w:r>
      <w:proofErr w:type="spellEnd"/>
      <w:r w:rsidRPr="0051721B">
        <w:t xml:space="preserve"> </w:t>
      </w:r>
      <w:proofErr w:type="spellStart"/>
      <w:r w:rsidRPr="0051721B">
        <w:t>Inc</w:t>
      </w:r>
      <w:proofErr w:type="spellEnd"/>
      <w:r w:rsidRPr="0051721B">
        <w:t xml:space="preserve">, Balance </w:t>
      </w:r>
      <w:proofErr w:type="spellStart"/>
      <w:r w:rsidRPr="0051721B">
        <w:t>Aotearoa</w:t>
      </w:r>
      <w:proofErr w:type="spellEnd"/>
      <w:r w:rsidRPr="0051721B">
        <w:t xml:space="preserve">, </w:t>
      </w:r>
      <w:proofErr w:type="spellStart"/>
      <w:r w:rsidRPr="0051721B">
        <w:t>Deaf</w:t>
      </w:r>
      <w:proofErr w:type="spellEnd"/>
      <w:r w:rsidRPr="0051721B">
        <w:t xml:space="preserve"> </w:t>
      </w:r>
      <w:proofErr w:type="spellStart"/>
      <w:r w:rsidRPr="0051721B">
        <w:t>Aotearoa</w:t>
      </w:r>
      <w:proofErr w:type="spellEnd"/>
      <w:r w:rsidRPr="0051721B">
        <w:t xml:space="preserve"> New </w:t>
      </w:r>
      <w:proofErr w:type="spellStart"/>
      <w:r w:rsidRPr="0051721B">
        <w:t>Zealand</w:t>
      </w:r>
      <w:proofErr w:type="spellEnd"/>
      <w:r w:rsidRPr="0051721B">
        <w:t xml:space="preserve"> </w:t>
      </w:r>
      <w:proofErr w:type="spellStart"/>
      <w:r w:rsidRPr="0051721B">
        <w:t>Inc</w:t>
      </w:r>
      <w:proofErr w:type="spellEnd"/>
      <w:r w:rsidRPr="0051721B">
        <w:t xml:space="preserve">, </w:t>
      </w:r>
      <w:proofErr w:type="spellStart"/>
      <w:r w:rsidRPr="0051721B">
        <w:t>Disabled</w:t>
      </w:r>
      <w:proofErr w:type="spellEnd"/>
      <w:r w:rsidRPr="0051721B">
        <w:t xml:space="preserve"> </w:t>
      </w:r>
      <w:proofErr w:type="spellStart"/>
      <w:r w:rsidRPr="0051721B">
        <w:t>Persons</w:t>
      </w:r>
      <w:proofErr w:type="spellEnd"/>
      <w:r w:rsidRPr="0051721B">
        <w:t xml:space="preserve"> </w:t>
      </w:r>
      <w:proofErr w:type="spellStart"/>
      <w:r w:rsidRPr="0051721B">
        <w:t>Assembly</w:t>
      </w:r>
      <w:proofErr w:type="spellEnd"/>
      <w:r w:rsidRPr="0051721B">
        <w:t xml:space="preserve"> New </w:t>
      </w:r>
      <w:proofErr w:type="spellStart"/>
      <w:r w:rsidRPr="0051721B">
        <w:t>Zealand</w:t>
      </w:r>
      <w:proofErr w:type="spellEnd"/>
      <w:r w:rsidRPr="0051721B">
        <w:t xml:space="preserve"> </w:t>
      </w:r>
      <w:proofErr w:type="spellStart"/>
      <w:r w:rsidRPr="0051721B">
        <w:t>Inc</w:t>
      </w:r>
      <w:proofErr w:type="spellEnd"/>
      <w:r w:rsidRPr="0051721B">
        <w:t xml:space="preserve">, </w:t>
      </w:r>
      <w:proofErr w:type="spellStart"/>
      <w:r w:rsidRPr="0051721B">
        <w:t>Kāpo</w:t>
      </w:r>
      <w:proofErr w:type="spellEnd"/>
      <w:r w:rsidRPr="0051721B">
        <w:t xml:space="preserve"> </w:t>
      </w:r>
      <w:proofErr w:type="spellStart"/>
      <w:r w:rsidRPr="0051721B">
        <w:t>Māori</w:t>
      </w:r>
      <w:proofErr w:type="spellEnd"/>
      <w:r w:rsidRPr="0051721B">
        <w:t xml:space="preserve"> </w:t>
      </w:r>
      <w:proofErr w:type="spellStart"/>
      <w:r w:rsidRPr="0051721B">
        <w:t>Aotearoa</w:t>
      </w:r>
      <w:proofErr w:type="spellEnd"/>
      <w:r w:rsidRPr="0051721B">
        <w:t xml:space="preserve"> New </w:t>
      </w:r>
      <w:proofErr w:type="spellStart"/>
      <w:r w:rsidRPr="0051721B">
        <w:t>Zealand</w:t>
      </w:r>
      <w:proofErr w:type="spellEnd"/>
      <w:r w:rsidRPr="0051721B">
        <w:t xml:space="preserve"> </w:t>
      </w:r>
      <w:proofErr w:type="spellStart"/>
      <w:r w:rsidRPr="0051721B">
        <w:t>Inc</w:t>
      </w:r>
      <w:proofErr w:type="spellEnd"/>
      <w:r w:rsidRPr="0051721B">
        <w:t xml:space="preserve">, Muscular </w:t>
      </w:r>
      <w:proofErr w:type="spellStart"/>
      <w:r w:rsidRPr="0051721B">
        <w:t>Dystrophy</w:t>
      </w:r>
      <w:proofErr w:type="spellEnd"/>
      <w:r w:rsidRPr="0051721B">
        <w:t xml:space="preserve"> </w:t>
      </w:r>
      <w:proofErr w:type="spellStart"/>
      <w:r w:rsidRPr="0051721B">
        <w:t>Association</w:t>
      </w:r>
      <w:proofErr w:type="spellEnd"/>
      <w:r w:rsidRPr="0051721B">
        <w:t xml:space="preserve"> </w:t>
      </w:r>
      <w:proofErr w:type="spellStart"/>
      <w:r w:rsidRPr="0051721B">
        <w:t>of</w:t>
      </w:r>
      <w:proofErr w:type="spellEnd"/>
      <w:r w:rsidRPr="0051721B">
        <w:t xml:space="preserve"> New </w:t>
      </w:r>
      <w:proofErr w:type="spellStart"/>
      <w:r w:rsidRPr="0051721B">
        <w:t>Zealand</w:t>
      </w:r>
      <w:proofErr w:type="spellEnd"/>
      <w:r w:rsidRPr="0051721B">
        <w:t xml:space="preserve"> </w:t>
      </w:r>
      <w:proofErr w:type="spellStart"/>
      <w:r w:rsidRPr="0051721B">
        <w:t>Inc</w:t>
      </w:r>
      <w:proofErr w:type="spellEnd"/>
      <w:r w:rsidRPr="0051721B">
        <w:t xml:space="preserve">, People </w:t>
      </w:r>
      <w:proofErr w:type="spellStart"/>
      <w:r w:rsidRPr="0051721B">
        <w:t>First</w:t>
      </w:r>
      <w:proofErr w:type="spellEnd"/>
      <w:r w:rsidRPr="0051721B">
        <w:t xml:space="preserve"> New </w:t>
      </w:r>
      <w:proofErr w:type="spellStart"/>
      <w:r w:rsidRPr="0051721B">
        <w:t>Zealand</w:t>
      </w:r>
      <w:proofErr w:type="spellEnd"/>
      <w:r w:rsidRPr="0051721B">
        <w:t xml:space="preserve"> </w:t>
      </w:r>
      <w:proofErr w:type="spellStart"/>
      <w:r w:rsidRPr="0051721B">
        <w:t>Inc</w:t>
      </w:r>
      <w:proofErr w:type="spellEnd"/>
      <w:r w:rsidRPr="0051721B">
        <w:t xml:space="preserve"> </w:t>
      </w:r>
      <w:proofErr w:type="spellStart"/>
      <w:r w:rsidRPr="0051721B">
        <w:t>Ngā</w:t>
      </w:r>
      <w:proofErr w:type="spellEnd"/>
      <w:r w:rsidRPr="0051721B">
        <w:t xml:space="preserve"> </w:t>
      </w:r>
      <w:proofErr w:type="spellStart"/>
      <w:r w:rsidRPr="0051721B">
        <w:t>Tāngata</w:t>
      </w:r>
      <w:proofErr w:type="spellEnd"/>
      <w:r w:rsidRPr="0051721B">
        <w:t xml:space="preserve"> </w:t>
      </w:r>
      <w:proofErr w:type="spellStart"/>
      <w:r w:rsidRPr="0051721B">
        <w:t>Tuatahi</w:t>
      </w:r>
      <w:proofErr w:type="spellEnd"/>
      <w:r w:rsidRPr="0051721B">
        <w:t>.</w:t>
      </w:r>
    </w:p>
  </w:endnote>
  <w:endnote w:id="5">
    <w:p w14:paraId="0E747A95" w14:textId="77777777" w:rsidR="003665BE" w:rsidRPr="000664BE" w:rsidRDefault="003665BE" w:rsidP="00011964">
      <w:pPr>
        <w:pStyle w:val="Textonotaalfinal"/>
      </w:pPr>
      <w:r w:rsidRPr="0051721B">
        <w:rPr>
          <w:rStyle w:val="Hipervnculo"/>
        </w:rPr>
        <w:tab/>
      </w:r>
      <w:r w:rsidRPr="00154216">
        <w:rPr>
          <w:rStyle w:val="Refdenotaalfinal"/>
        </w:rPr>
        <w:endnoteRef/>
      </w:r>
      <w:r w:rsidRPr="00154216">
        <w:rPr>
          <w:rStyle w:val="Refdenotaalfinal"/>
        </w:rPr>
        <w:tab/>
      </w:r>
      <w:r w:rsidRPr="00726C15">
        <w:rPr>
          <w:rStyle w:val="Hipervnculo"/>
        </w:rPr>
        <w:t>www.odi.govt.nz/nz-disability-strategy/about-the-strategy/new-zealand-disability-strategy-2016-2026/read-the-new-disability-strategy/</w:t>
      </w:r>
      <w:r w:rsidRPr="0051721B">
        <w:t xml:space="preserve">. </w:t>
      </w:r>
    </w:p>
  </w:endnote>
  <w:endnote w:id="6">
    <w:p w14:paraId="258F6525" w14:textId="77777777" w:rsidR="003665BE" w:rsidRPr="000664BE"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The</w:t>
      </w:r>
      <w:proofErr w:type="spellEnd"/>
      <w:r w:rsidRPr="0051721B">
        <w:t xml:space="preserve"> New </w:t>
      </w:r>
      <w:proofErr w:type="spellStart"/>
      <w:r w:rsidRPr="0051721B">
        <w:t>Zealand</w:t>
      </w:r>
      <w:proofErr w:type="spellEnd"/>
      <w:r w:rsidRPr="0051721B">
        <w:t xml:space="preserve"> </w:t>
      </w:r>
      <w:proofErr w:type="spellStart"/>
      <w:r w:rsidRPr="0051721B">
        <w:t>Disability</w:t>
      </w:r>
      <w:proofErr w:type="spellEnd"/>
      <w:r w:rsidRPr="0051721B">
        <w:t xml:space="preserve"> </w:t>
      </w:r>
      <w:proofErr w:type="spellStart"/>
      <w:r w:rsidRPr="0051721B">
        <w:t>Strategy</w:t>
      </w:r>
      <w:proofErr w:type="spellEnd"/>
      <w:r w:rsidRPr="0051721B">
        <w:t xml:space="preserve"> Reference </w:t>
      </w:r>
      <w:proofErr w:type="spellStart"/>
      <w:r w:rsidRPr="0051721B">
        <w:t>Group</w:t>
      </w:r>
      <w:proofErr w:type="spellEnd"/>
      <w:r w:rsidRPr="0051721B">
        <w:t xml:space="preserve"> </w:t>
      </w:r>
      <w:proofErr w:type="spellStart"/>
      <w:r w:rsidRPr="0051721B">
        <w:t>members</w:t>
      </w:r>
      <w:proofErr w:type="spellEnd"/>
      <w:r w:rsidRPr="0051721B">
        <w:t xml:space="preserve"> are </w:t>
      </w:r>
      <w:proofErr w:type="spellStart"/>
      <w:r w:rsidRPr="0051721B">
        <w:t>detailed</w:t>
      </w:r>
      <w:proofErr w:type="spellEnd"/>
      <w:r w:rsidRPr="0051721B">
        <w:t xml:space="preserve"> </w:t>
      </w:r>
      <w:proofErr w:type="spellStart"/>
      <w:r w:rsidRPr="0051721B">
        <w:t>here</w:t>
      </w:r>
      <w:proofErr w:type="spellEnd"/>
      <w:r w:rsidRPr="0051721B">
        <w:t xml:space="preserve">: </w:t>
      </w:r>
      <w:r w:rsidRPr="00726C15">
        <w:rPr>
          <w:rStyle w:val="Hipervnculo"/>
        </w:rPr>
        <w:t>www.odi.govt.nz/nz-disability-strategy/about-the-strategy/new-zealand-disability-strategy-2016-2026/read-the-new-disability-strategy/new-zealand-disability-strategy-read-online/getting-it-going-who-is-involved/#appendix</w:t>
      </w:r>
      <w:r w:rsidRPr="0051721B">
        <w:t xml:space="preserve">. </w:t>
      </w:r>
    </w:p>
  </w:endnote>
  <w:endnote w:id="7">
    <w:p w14:paraId="09280D11" w14:textId="77777777" w:rsidR="003665BE" w:rsidRPr="000664BE"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Whānau</w:t>
      </w:r>
      <w:proofErr w:type="spellEnd"/>
      <w:r w:rsidRPr="0051721B">
        <w:t xml:space="preserve"> </w:t>
      </w:r>
      <w:proofErr w:type="spellStart"/>
      <w:r w:rsidRPr="0051721B">
        <w:t>is</w:t>
      </w:r>
      <w:proofErr w:type="spellEnd"/>
      <w:r w:rsidRPr="0051721B">
        <w:t xml:space="preserve"> </w:t>
      </w:r>
      <w:proofErr w:type="spellStart"/>
      <w:r w:rsidRPr="0051721B">
        <w:t>the</w:t>
      </w:r>
      <w:proofErr w:type="spellEnd"/>
      <w:r w:rsidRPr="0051721B">
        <w:t xml:space="preserve"> Te Reo </w:t>
      </w:r>
      <w:proofErr w:type="spellStart"/>
      <w:r w:rsidRPr="0051721B">
        <w:t>word</w:t>
      </w:r>
      <w:proofErr w:type="spellEnd"/>
      <w:r w:rsidRPr="0051721B">
        <w:t xml:space="preserve"> </w:t>
      </w:r>
      <w:proofErr w:type="spellStart"/>
      <w:r w:rsidRPr="0051721B">
        <w:t>for</w:t>
      </w:r>
      <w:proofErr w:type="spellEnd"/>
      <w:r w:rsidRPr="0051721B">
        <w:t xml:space="preserve"> </w:t>
      </w:r>
      <w:r>
        <w:t>“</w:t>
      </w:r>
      <w:r w:rsidRPr="0051721B">
        <w:t xml:space="preserve">extended </w:t>
      </w:r>
      <w:proofErr w:type="spellStart"/>
      <w:r w:rsidRPr="0051721B">
        <w:t>family</w:t>
      </w:r>
      <w:proofErr w:type="spellEnd"/>
      <w:r w:rsidRPr="0051721B">
        <w:t xml:space="preserve">, </w:t>
      </w:r>
      <w:proofErr w:type="spellStart"/>
      <w:r w:rsidRPr="0051721B">
        <w:t>family</w:t>
      </w:r>
      <w:proofErr w:type="spellEnd"/>
      <w:r w:rsidRPr="0051721B">
        <w:t xml:space="preserve"> </w:t>
      </w:r>
      <w:proofErr w:type="spellStart"/>
      <w:r w:rsidRPr="0051721B">
        <w:t>group</w:t>
      </w:r>
      <w:proofErr w:type="spellEnd"/>
      <w:r w:rsidRPr="0051721B">
        <w:t xml:space="preserve">, a familiar </w:t>
      </w:r>
      <w:proofErr w:type="spellStart"/>
      <w:r w:rsidRPr="0051721B">
        <w:t>term</w:t>
      </w:r>
      <w:proofErr w:type="spellEnd"/>
      <w:r w:rsidRPr="0051721B">
        <w:t xml:space="preserve"> </w:t>
      </w:r>
      <w:proofErr w:type="spellStart"/>
      <w:r w:rsidRPr="0051721B">
        <w:t>of</w:t>
      </w:r>
      <w:proofErr w:type="spellEnd"/>
      <w:r w:rsidRPr="0051721B">
        <w:t xml:space="preserve"> </w:t>
      </w:r>
      <w:proofErr w:type="spellStart"/>
      <w:r w:rsidRPr="0051721B">
        <w:t>address</w:t>
      </w:r>
      <w:proofErr w:type="spellEnd"/>
      <w:r w:rsidRPr="0051721B">
        <w:t xml:space="preserve"> </w:t>
      </w:r>
      <w:proofErr w:type="spellStart"/>
      <w:r w:rsidRPr="0051721B">
        <w:t>to</w:t>
      </w:r>
      <w:proofErr w:type="spellEnd"/>
      <w:r w:rsidRPr="0051721B">
        <w:t xml:space="preserve"> a </w:t>
      </w:r>
      <w:proofErr w:type="spellStart"/>
      <w:r w:rsidRPr="0051721B">
        <w:t>number</w:t>
      </w:r>
      <w:proofErr w:type="spellEnd"/>
      <w:r w:rsidRPr="0051721B">
        <w:t xml:space="preserve"> </w:t>
      </w:r>
      <w:proofErr w:type="spellStart"/>
      <w:r w:rsidRPr="0051721B">
        <w:t>of</w:t>
      </w:r>
      <w:proofErr w:type="spellEnd"/>
      <w:r w:rsidRPr="0051721B">
        <w:t xml:space="preserve"> </w:t>
      </w:r>
      <w:proofErr w:type="spellStart"/>
      <w:r w:rsidRPr="0051721B">
        <w:t>people</w:t>
      </w:r>
      <w:proofErr w:type="spellEnd"/>
      <w:r w:rsidRPr="0051721B">
        <w:t xml:space="preserve"> – </w:t>
      </w:r>
      <w:proofErr w:type="spellStart"/>
      <w:r w:rsidRPr="0051721B">
        <w:t>the</w:t>
      </w:r>
      <w:proofErr w:type="spellEnd"/>
      <w:r w:rsidRPr="0051721B">
        <w:t xml:space="preserve"> </w:t>
      </w:r>
      <w:proofErr w:type="spellStart"/>
      <w:r w:rsidRPr="0051721B">
        <w:t>primary</w:t>
      </w:r>
      <w:proofErr w:type="spellEnd"/>
      <w:r w:rsidRPr="0051721B">
        <w:t xml:space="preserve"> </w:t>
      </w:r>
      <w:proofErr w:type="spellStart"/>
      <w:r w:rsidRPr="0051721B">
        <w:t>economic</w:t>
      </w:r>
      <w:proofErr w:type="spellEnd"/>
      <w:r w:rsidRPr="0051721B">
        <w:t xml:space="preserve"> </w:t>
      </w:r>
      <w:proofErr w:type="spellStart"/>
      <w:r w:rsidRPr="0051721B">
        <w:t>unit</w:t>
      </w:r>
      <w:proofErr w:type="spellEnd"/>
      <w:r w:rsidRPr="0051721B">
        <w:t xml:space="preserve"> </w:t>
      </w:r>
      <w:proofErr w:type="spellStart"/>
      <w:r w:rsidRPr="0051721B">
        <w:t>of</w:t>
      </w:r>
      <w:proofErr w:type="spellEnd"/>
      <w:r w:rsidRPr="0051721B">
        <w:t xml:space="preserve"> </w:t>
      </w:r>
      <w:proofErr w:type="spellStart"/>
      <w:r w:rsidRPr="0051721B">
        <w:t>traditional</w:t>
      </w:r>
      <w:proofErr w:type="spellEnd"/>
      <w:r w:rsidRPr="0051721B">
        <w:t xml:space="preserve"> </w:t>
      </w:r>
      <w:proofErr w:type="spellStart"/>
      <w:r w:rsidRPr="0051721B">
        <w:t>Māori</w:t>
      </w:r>
      <w:proofErr w:type="spellEnd"/>
      <w:r w:rsidRPr="0051721B">
        <w:t xml:space="preserve"> </w:t>
      </w:r>
      <w:proofErr w:type="spellStart"/>
      <w:r w:rsidRPr="0051721B">
        <w:t>society</w:t>
      </w:r>
      <w:proofErr w:type="spellEnd"/>
      <w:r w:rsidRPr="0051721B">
        <w:t xml:space="preserve">. In </w:t>
      </w:r>
      <w:proofErr w:type="spellStart"/>
      <w:r w:rsidRPr="0051721B">
        <w:t>the</w:t>
      </w:r>
      <w:proofErr w:type="spellEnd"/>
      <w:r w:rsidRPr="0051721B">
        <w:t xml:space="preserve"> </w:t>
      </w:r>
      <w:proofErr w:type="spellStart"/>
      <w:r w:rsidRPr="0051721B">
        <w:t>modern</w:t>
      </w:r>
      <w:proofErr w:type="spellEnd"/>
      <w:r w:rsidRPr="0051721B">
        <w:t xml:space="preserve"> </w:t>
      </w:r>
      <w:proofErr w:type="spellStart"/>
      <w:r w:rsidRPr="0051721B">
        <w:t>context</w:t>
      </w:r>
      <w:proofErr w:type="spellEnd"/>
      <w:r w:rsidRPr="0051721B">
        <w:t xml:space="preserve"> </w:t>
      </w:r>
      <w:proofErr w:type="spellStart"/>
      <w:r w:rsidRPr="0051721B">
        <w:t>the</w:t>
      </w:r>
      <w:proofErr w:type="spellEnd"/>
      <w:r w:rsidRPr="0051721B">
        <w:t xml:space="preserve"> </w:t>
      </w:r>
      <w:proofErr w:type="spellStart"/>
      <w:r w:rsidRPr="0051721B">
        <w:t>term</w:t>
      </w:r>
      <w:proofErr w:type="spellEnd"/>
      <w:r w:rsidRPr="0051721B">
        <w:t xml:space="preserve"> </w:t>
      </w:r>
      <w:proofErr w:type="spellStart"/>
      <w:r w:rsidRPr="0051721B">
        <w:t>is</w:t>
      </w:r>
      <w:proofErr w:type="spellEnd"/>
      <w:r w:rsidRPr="0051721B">
        <w:t xml:space="preserve"> </w:t>
      </w:r>
      <w:proofErr w:type="spellStart"/>
      <w:r w:rsidRPr="0051721B">
        <w:t>sometimes</w:t>
      </w:r>
      <w:proofErr w:type="spellEnd"/>
      <w:r w:rsidRPr="0051721B">
        <w:t xml:space="preserve"> </w:t>
      </w:r>
      <w:proofErr w:type="spellStart"/>
      <w:r w:rsidRPr="0051721B">
        <w:t>used</w:t>
      </w:r>
      <w:proofErr w:type="spellEnd"/>
      <w:r w:rsidRPr="0051721B">
        <w:t xml:space="preserve"> </w:t>
      </w:r>
      <w:proofErr w:type="spellStart"/>
      <w:r w:rsidRPr="0051721B">
        <w:t>to</w:t>
      </w:r>
      <w:proofErr w:type="spellEnd"/>
      <w:r w:rsidRPr="0051721B">
        <w:t xml:space="preserve"> </w:t>
      </w:r>
      <w:proofErr w:type="spellStart"/>
      <w:r w:rsidRPr="0051721B">
        <w:t>include</w:t>
      </w:r>
      <w:proofErr w:type="spellEnd"/>
      <w:r w:rsidRPr="0051721B">
        <w:t xml:space="preserve"> </w:t>
      </w:r>
      <w:proofErr w:type="spellStart"/>
      <w:r w:rsidRPr="0051721B">
        <w:t>friends</w:t>
      </w:r>
      <w:proofErr w:type="spellEnd"/>
      <w:r w:rsidRPr="0051721B">
        <w:t xml:space="preserve"> </w:t>
      </w:r>
      <w:proofErr w:type="spellStart"/>
      <w:r w:rsidRPr="0051721B">
        <w:t>who</w:t>
      </w:r>
      <w:proofErr w:type="spellEnd"/>
      <w:r w:rsidRPr="0051721B">
        <w:t xml:space="preserve"> </w:t>
      </w:r>
      <w:proofErr w:type="spellStart"/>
      <w:r w:rsidRPr="0051721B">
        <w:t>may</w:t>
      </w:r>
      <w:proofErr w:type="spellEnd"/>
      <w:r w:rsidRPr="0051721B">
        <w:t xml:space="preserve"> </w:t>
      </w:r>
      <w:proofErr w:type="spellStart"/>
      <w:r w:rsidRPr="0051721B">
        <w:t>not</w:t>
      </w:r>
      <w:proofErr w:type="spellEnd"/>
      <w:r w:rsidRPr="0051721B">
        <w:t xml:space="preserve"> </w:t>
      </w:r>
      <w:proofErr w:type="spellStart"/>
      <w:r w:rsidRPr="0051721B">
        <w:t>have</w:t>
      </w:r>
      <w:proofErr w:type="spellEnd"/>
      <w:r w:rsidRPr="0051721B">
        <w:t xml:space="preserve"> </w:t>
      </w:r>
      <w:proofErr w:type="spellStart"/>
      <w:r w:rsidRPr="0051721B">
        <w:t>any</w:t>
      </w:r>
      <w:proofErr w:type="spellEnd"/>
      <w:r w:rsidRPr="0051721B">
        <w:t xml:space="preserve"> </w:t>
      </w:r>
      <w:proofErr w:type="spellStart"/>
      <w:r w:rsidRPr="0051721B">
        <w:t>kinship</w:t>
      </w:r>
      <w:proofErr w:type="spellEnd"/>
      <w:r w:rsidRPr="0051721B">
        <w:t xml:space="preserve"> </w:t>
      </w:r>
      <w:proofErr w:type="spellStart"/>
      <w:r w:rsidRPr="0051721B">
        <w:t>ties</w:t>
      </w:r>
      <w:proofErr w:type="spellEnd"/>
      <w:r w:rsidRPr="0051721B">
        <w:t xml:space="preserve"> </w:t>
      </w:r>
      <w:proofErr w:type="spellStart"/>
      <w:r w:rsidRPr="0051721B">
        <w:t>to</w:t>
      </w:r>
      <w:proofErr w:type="spellEnd"/>
      <w:r w:rsidRPr="0051721B">
        <w:t xml:space="preserve"> </w:t>
      </w:r>
      <w:proofErr w:type="spellStart"/>
      <w:r w:rsidRPr="0051721B">
        <w:t>other</w:t>
      </w:r>
      <w:proofErr w:type="spellEnd"/>
      <w:r w:rsidRPr="0051721B">
        <w:t xml:space="preserve"> </w:t>
      </w:r>
      <w:proofErr w:type="spellStart"/>
      <w:r w:rsidRPr="0051721B">
        <w:t>members</w:t>
      </w:r>
      <w:proofErr w:type="spellEnd"/>
      <w:r w:rsidRPr="0051721B">
        <w:t>.</w:t>
      </w:r>
    </w:p>
  </w:endnote>
  <w:endnote w:id="8">
    <w:p w14:paraId="608A09BC" w14:textId="77777777" w:rsidR="003665BE" w:rsidRPr="000664BE"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The</w:t>
      </w:r>
      <w:proofErr w:type="spellEnd"/>
      <w:r w:rsidRPr="0051721B">
        <w:t xml:space="preserve"> </w:t>
      </w:r>
      <w:proofErr w:type="spellStart"/>
      <w:r w:rsidRPr="0051721B">
        <w:t>Minister</w:t>
      </w:r>
      <w:proofErr w:type="spellEnd"/>
      <w:r w:rsidRPr="0051721B">
        <w:t xml:space="preserve"> </w:t>
      </w:r>
      <w:proofErr w:type="spellStart"/>
      <w:r w:rsidRPr="0051721B">
        <w:t>for</w:t>
      </w:r>
      <w:proofErr w:type="spellEnd"/>
      <w:r w:rsidRPr="0051721B">
        <w:t xml:space="preserve"> </w:t>
      </w:r>
      <w:proofErr w:type="spellStart"/>
      <w:r w:rsidRPr="0051721B">
        <w:t>Disability</w:t>
      </w:r>
      <w:proofErr w:type="spellEnd"/>
      <w:r w:rsidRPr="0051721B">
        <w:t xml:space="preserve"> Issues </w:t>
      </w:r>
      <w:proofErr w:type="spellStart"/>
      <w:r w:rsidRPr="0051721B">
        <w:t>is</w:t>
      </w:r>
      <w:proofErr w:type="spellEnd"/>
      <w:r w:rsidRPr="0051721B">
        <w:t xml:space="preserve"> </w:t>
      </w:r>
      <w:proofErr w:type="spellStart"/>
      <w:r w:rsidRPr="0051721B">
        <w:t>Hon</w:t>
      </w:r>
      <w:proofErr w:type="spellEnd"/>
      <w:r w:rsidRPr="0051721B">
        <w:t xml:space="preserve"> Carmel </w:t>
      </w:r>
      <w:proofErr w:type="spellStart"/>
      <w:r w:rsidRPr="0051721B">
        <w:t>Sepuloni</w:t>
      </w:r>
      <w:proofErr w:type="spellEnd"/>
      <w:r w:rsidRPr="0051721B">
        <w:t>.</w:t>
      </w:r>
    </w:p>
  </w:endnote>
  <w:endnote w:id="9">
    <w:p w14:paraId="2AA452DB" w14:textId="77777777" w:rsidR="003665BE" w:rsidRPr="000664BE" w:rsidRDefault="003665BE" w:rsidP="00011964">
      <w:pPr>
        <w:pStyle w:val="Textonotaalfinal"/>
      </w:pPr>
      <w:r w:rsidRPr="0051721B">
        <w:tab/>
      </w:r>
      <w:r w:rsidRPr="00154216">
        <w:rPr>
          <w:rStyle w:val="Refdenotaalfinal"/>
        </w:rPr>
        <w:endnoteRef/>
      </w:r>
      <w:r w:rsidRPr="00154216">
        <w:rPr>
          <w:rStyle w:val="Refdenotaalfinal"/>
        </w:rPr>
        <w:tab/>
      </w:r>
      <w:r>
        <w:t>“</w:t>
      </w:r>
      <w:proofErr w:type="spellStart"/>
      <w:r w:rsidRPr="0051721B">
        <w:t>This</w:t>
      </w:r>
      <w:proofErr w:type="spellEnd"/>
      <w:r w:rsidRPr="0051721B">
        <w:t xml:space="preserve"> </w:t>
      </w:r>
      <w:proofErr w:type="spellStart"/>
      <w:r w:rsidRPr="0051721B">
        <w:t>will</w:t>
      </w:r>
      <w:proofErr w:type="spellEnd"/>
      <w:r w:rsidRPr="0051721B">
        <w:t xml:space="preserve"> be a </w:t>
      </w:r>
      <w:proofErr w:type="spellStart"/>
      <w:r w:rsidRPr="0051721B">
        <w:t>government</w:t>
      </w:r>
      <w:proofErr w:type="spellEnd"/>
      <w:r w:rsidRPr="0051721B">
        <w:t xml:space="preserve"> </w:t>
      </w:r>
      <w:proofErr w:type="spellStart"/>
      <w:r w:rsidRPr="0051721B">
        <w:t>of</w:t>
      </w:r>
      <w:proofErr w:type="spellEnd"/>
      <w:r w:rsidRPr="0051721B">
        <w:t xml:space="preserve"> </w:t>
      </w:r>
      <w:proofErr w:type="spellStart"/>
      <w:r w:rsidRPr="0051721B">
        <w:t>inclusion</w:t>
      </w:r>
      <w:proofErr w:type="spellEnd"/>
      <w:r w:rsidRPr="0051721B">
        <w:t xml:space="preserve">. </w:t>
      </w:r>
      <w:proofErr w:type="spellStart"/>
      <w:r w:rsidRPr="0051721B">
        <w:t>All</w:t>
      </w:r>
      <w:proofErr w:type="spellEnd"/>
      <w:r w:rsidRPr="0051721B">
        <w:t xml:space="preserve"> </w:t>
      </w:r>
      <w:proofErr w:type="spellStart"/>
      <w:r w:rsidRPr="0051721B">
        <w:t>who</w:t>
      </w:r>
      <w:proofErr w:type="spellEnd"/>
      <w:r w:rsidRPr="0051721B">
        <w:t xml:space="preserve"> </w:t>
      </w:r>
      <w:proofErr w:type="spellStart"/>
      <w:r w:rsidRPr="0051721B">
        <w:t>live</w:t>
      </w:r>
      <w:proofErr w:type="spellEnd"/>
      <w:r w:rsidRPr="0051721B">
        <w:t xml:space="preserve"> in </w:t>
      </w:r>
      <w:proofErr w:type="spellStart"/>
      <w:r w:rsidRPr="0051721B">
        <w:t>this</w:t>
      </w:r>
      <w:proofErr w:type="spellEnd"/>
      <w:r w:rsidRPr="0051721B">
        <w:t xml:space="preserve"> country are </w:t>
      </w:r>
      <w:proofErr w:type="spellStart"/>
      <w:r w:rsidRPr="0051721B">
        <w:t>entitled</w:t>
      </w:r>
      <w:proofErr w:type="spellEnd"/>
      <w:r w:rsidRPr="0051721B">
        <w:t xml:space="preserve"> </w:t>
      </w:r>
      <w:proofErr w:type="spellStart"/>
      <w:r w:rsidRPr="0051721B">
        <w:t>to</w:t>
      </w:r>
      <w:proofErr w:type="spellEnd"/>
      <w:r w:rsidRPr="0051721B">
        <w:t xml:space="preserve"> </w:t>
      </w:r>
      <w:proofErr w:type="spellStart"/>
      <w:r w:rsidRPr="0051721B">
        <w:t>respect</w:t>
      </w:r>
      <w:proofErr w:type="spellEnd"/>
      <w:r w:rsidRPr="0051721B">
        <w:t xml:space="preserve"> and </w:t>
      </w:r>
      <w:proofErr w:type="spellStart"/>
      <w:r w:rsidRPr="0051721B">
        <w:t>dignity</w:t>
      </w:r>
      <w:proofErr w:type="spellEnd"/>
      <w:r w:rsidRPr="0051721B">
        <w:t xml:space="preserve">; </w:t>
      </w:r>
      <w:proofErr w:type="spellStart"/>
      <w:r w:rsidRPr="0051721B">
        <w:t>all</w:t>
      </w:r>
      <w:proofErr w:type="spellEnd"/>
      <w:r w:rsidRPr="0051721B">
        <w:t xml:space="preserve"> are </w:t>
      </w:r>
      <w:proofErr w:type="spellStart"/>
      <w:r w:rsidRPr="0051721B">
        <w:t>entitled</w:t>
      </w:r>
      <w:proofErr w:type="spellEnd"/>
      <w:r w:rsidRPr="0051721B">
        <w:t xml:space="preserve"> </w:t>
      </w:r>
      <w:proofErr w:type="spellStart"/>
      <w:r w:rsidRPr="0051721B">
        <w:t>to</w:t>
      </w:r>
      <w:proofErr w:type="spellEnd"/>
      <w:r w:rsidRPr="0051721B">
        <w:t xml:space="preserve"> </w:t>
      </w:r>
      <w:proofErr w:type="spellStart"/>
      <w:r w:rsidRPr="0051721B">
        <w:t>live</w:t>
      </w:r>
      <w:proofErr w:type="spellEnd"/>
      <w:r w:rsidRPr="0051721B">
        <w:t xml:space="preserve"> </w:t>
      </w:r>
      <w:proofErr w:type="spellStart"/>
      <w:r w:rsidRPr="0051721B">
        <w:t>meaningful</w:t>
      </w:r>
      <w:proofErr w:type="spellEnd"/>
      <w:r w:rsidRPr="0051721B">
        <w:t xml:space="preserve"> </w:t>
      </w:r>
      <w:proofErr w:type="spellStart"/>
      <w:r w:rsidRPr="0051721B">
        <w:t>lives</w:t>
      </w:r>
      <w:proofErr w:type="spellEnd"/>
      <w:r w:rsidRPr="0051721B">
        <w:t xml:space="preserve">; </w:t>
      </w:r>
      <w:proofErr w:type="spellStart"/>
      <w:r w:rsidRPr="0051721B">
        <w:t>all</w:t>
      </w:r>
      <w:proofErr w:type="spellEnd"/>
      <w:r w:rsidRPr="0051721B">
        <w:t xml:space="preserve"> are </w:t>
      </w:r>
      <w:proofErr w:type="spellStart"/>
      <w:r w:rsidRPr="0051721B">
        <w:t>entitled</w:t>
      </w:r>
      <w:proofErr w:type="spellEnd"/>
      <w:r w:rsidRPr="0051721B">
        <w:t xml:space="preserve"> </w:t>
      </w:r>
      <w:proofErr w:type="spellStart"/>
      <w:r w:rsidRPr="0051721B">
        <w:t>to</w:t>
      </w:r>
      <w:proofErr w:type="spellEnd"/>
      <w:r w:rsidRPr="0051721B">
        <w:t xml:space="preserve"> </w:t>
      </w:r>
      <w:proofErr w:type="spellStart"/>
      <w:r w:rsidRPr="0051721B">
        <w:t>care</w:t>
      </w:r>
      <w:proofErr w:type="spellEnd"/>
      <w:r w:rsidRPr="0051721B">
        <w:t xml:space="preserve"> and </w:t>
      </w:r>
      <w:proofErr w:type="spellStart"/>
      <w:r w:rsidRPr="0051721B">
        <w:t>compassion</w:t>
      </w:r>
      <w:proofErr w:type="spellEnd"/>
      <w:r w:rsidRPr="0051721B">
        <w:t xml:space="preserve">. </w:t>
      </w:r>
      <w:proofErr w:type="spellStart"/>
      <w:r w:rsidRPr="0051721B">
        <w:t>Everuone</w:t>
      </w:r>
      <w:proofErr w:type="spellEnd"/>
      <w:r w:rsidRPr="0051721B">
        <w:t xml:space="preserve"> </w:t>
      </w:r>
      <w:proofErr w:type="spellStart"/>
      <w:r w:rsidRPr="0051721B">
        <w:t>should</w:t>
      </w:r>
      <w:proofErr w:type="spellEnd"/>
      <w:r w:rsidRPr="0051721B">
        <w:t xml:space="preserve"> </w:t>
      </w:r>
      <w:proofErr w:type="spellStart"/>
      <w:r w:rsidRPr="0051721B">
        <w:t>have</w:t>
      </w:r>
      <w:proofErr w:type="spellEnd"/>
      <w:r w:rsidRPr="0051721B">
        <w:t xml:space="preserve"> a </w:t>
      </w:r>
      <w:proofErr w:type="spellStart"/>
      <w:r w:rsidRPr="0051721B">
        <w:t>roof</w:t>
      </w:r>
      <w:proofErr w:type="spellEnd"/>
      <w:r w:rsidRPr="0051721B">
        <w:t xml:space="preserve"> </w:t>
      </w:r>
      <w:proofErr w:type="spellStart"/>
      <w:r w:rsidRPr="0051721B">
        <w:t>over</w:t>
      </w:r>
      <w:proofErr w:type="spellEnd"/>
      <w:r w:rsidRPr="0051721B">
        <w:t xml:space="preserve"> </w:t>
      </w:r>
      <w:proofErr w:type="spellStart"/>
      <w:r w:rsidRPr="0051721B">
        <w:t>their</w:t>
      </w:r>
      <w:proofErr w:type="spellEnd"/>
      <w:r w:rsidRPr="0051721B">
        <w:t xml:space="preserve"> head and be </w:t>
      </w:r>
      <w:proofErr w:type="spellStart"/>
      <w:r w:rsidRPr="0051721B">
        <w:t>warm</w:t>
      </w:r>
      <w:proofErr w:type="spellEnd"/>
      <w:r w:rsidRPr="0051721B">
        <w:t xml:space="preserve"> in </w:t>
      </w:r>
      <w:proofErr w:type="spellStart"/>
      <w:r w:rsidRPr="0051721B">
        <w:t>winter</w:t>
      </w:r>
      <w:proofErr w:type="spellEnd"/>
      <w:r w:rsidRPr="0051721B">
        <w:t xml:space="preserve">. </w:t>
      </w:r>
      <w:proofErr w:type="spellStart"/>
      <w:r w:rsidRPr="0051721B">
        <w:t>Everyone</w:t>
      </w:r>
      <w:proofErr w:type="spellEnd"/>
      <w:r w:rsidRPr="0051721B">
        <w:t xml:space="preserve"> </w:t>
      </w:r>
      <w:proofErr w:type="spellStart"/>
      <w:r w:rsidRPr="0051721B">
        <w:t>should</w:t>
      </w:r>
      <w:proofErr w:type="spellEnd"/>
      <w:r w:rsidRPr="0051721B">
        <w:t xml:space="preserve"> </w:t>
      </w:r>
      <w:proofErr w:type="spellStart"/>
      <w:r w:rsidRPr="0051721B">
        <w:t>have</w:t>
      </w:r>
      <w:proofErr w:type="spellEnd"/>
      <w:r w:rsidRPr="0051721B">
        <w:t xml:space="preserve"> </w:t>
      </w:r>
      <w:proofErr w:type="spellStart"/>
      <w:r w:rsidRPr="0051721B">
        <w:t>food</w:t>
      </w:r>
      <w:proofErr w:type="spellEnd"/>
      <w:r w:rsidRPr="0051721B">
        <w:t xml:space="preserve"> and a table </w:t>
      </w:r>
      <w:proofErr w:type="spellStart"/>
      <w:r w:rsidRPr="0051721B">
        <w:t>to</w:t>
      </w:r>
      <w:proofErr w:type="spellEnd"/>
      <w:r w:rsidRPr="0051721B">
        <w:t xml:space="preserve"> </w:t>
      </w:r>
      <w:proofErr w:type="spellStart"/>
      <w:r w:rsidRPr="0051721B">
        <w:t>put</w:t>
      </w:r>
      <w:proofErr w:type="spellEnd"/>
      <w:r w:rsidRPr="0051721B">
        <w:t xml:space="preserve"> </w:t>
      </w:r>
      <w:proofErr w:type="spellStart"/>
      <w:r w:rsidRPr="0051721B">
        <w:t>it</w:t>
      </w:r>
      <w:proofErr w:type="spellEnd"/>
      <w:r w:rsidRPr="0051721B">
        <w:t xml:space="preserve"> </w:t>
      </w:r>
      <w:proofErr w:type="spellStart"/>
      <w:r w:rsidRPr="0051721B">
        <w:t>on</w:t>
      </w:r>
      <w:proofErr w:type="spellEnd"/>
      <w:r w:rsidRPr="0051721B">
        <w:t>.</w:t>
      </w:r>
      <w:r>
        <w:t xml:space="preserve">” </w:t>
      </w:r>
    </w:p>
  </w:endnote>
  <w:endnote w:id="10">
    <w:p w14:paraId="7D0B6210" w14:textId="77777777" w:rsidR="003665BE" w:rsidRPr="000664BE"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The</w:t>
      </w:r>
      <w:proofErr w:type="spellEnd"/>
      <w:r w:rsidRPr="0051721B">
        <w:t xml:space="preserve"> </w:t>
      </w:r>
      <w:proofErr w:type="spellStart"/>
      <w:r w:rsidRPr="0051721B">
        <w:t>Welfare</w:t>
      </w:r>
      <w:proofErr w:type="spellEnd"/>
      <w:r w:rsidRPr="0051721B">
        <w:t xml:space="preserve"> Expert </w:t>
      </w:r>
      <w:proofErr w:type="spellStart"/>
      <w:r w:rsidRPr="0051721B">
        <w:t>Advisory</w:t>
      </w:r>
      <w:proofErr w:type="spellEnd"/>
      <w:r w:rsidRPr="0051721B">
        <w:t xml:space="preserve"> </w:t>
      </w:r>
      <w:proofErr w:type="spellStart"/>
      <w:r w:rsidRPr="0051721B">
        <w:t>Group</w:t>
      </w:r>
      <w:proofErr w:type="spellEnd"/>
      <w:r w:rsidRPr="0051721B">
        <w:t xml:space="preserve"> (</w:t>
      </w:r>
      <w:proofErr w:type="spellStart"/>
      <w:r w:rsidRPr="0051721B">
        <w:t>WEAG</w:t>
      </w:r>
      <w:proofErr w:type="spellEnd"/>
      <w:r w:rsidRPr="0051721B">
        <w:t xml:space="preserve">) </w:t>
      </w:r>
      <w:proofErr w:type="spellStart"/>
      <w:r w:rsidRPr="0051721B">
        <w:t>is</w:t>
      </w:r>
      <w:proofErr w:type="spellEnd"/>
      <w:r w:rsidRPr="0051721B">
        <w:t xml:space="preserve"> a </w:t>
      </w:r>
      <w:proofErr w:type="spellStart"/>
      <w:r w:rsidRPr="0051721B">
        <w:t>group</w:t>
      </w:r>
      <w:proofErr w:type="spellEnd"/>
      <w:r w:rsidRPr="0051721B">
        <w:t xml:space="preserve"> </w:t>
      </w:r>
      <w:proofErr w:type="spellStart"/>
      <w:r w:rsidRPr="0051721B">
        <w:t>of</w:t>
      </w:r>
      <w:proofErr w:type="spellEnd"/>
      <w:r w:rsidRPr="0051721B">
        <w:t xml:space="preserve"> </w:t>
      </w:r>
      <w:proofErr w:type="spellStart"/>
      <w:r w:rsidRPr="0051721B">
        <w:t>experts</w:t>
      </w:r>
      <w:proofErr w:type="spellEnd"/>
      <w:r w:rsidRPr="0051721B">
        <w:t xml:space="preserve"> </w:t>
      </w:r>
      <w:proofErr w:type="spellStart"/>
      <w:r w:rsidRPr="0051721B">
        <w:t>who</w:t>
      </w:r>
      <w:proofErr w:type="spellEnd"/>
      <w:r w:rsidRPr="0051721B">
        <w:t xml:space="preserve"> </w:t>
      </w:r>
      <w:proofErr w:type="spellStart"/>
      <w:r w:rsidRPr="0051721B">
        <w:t>advise</w:t>
      </w:r>
      <w:proofErr w:type="spellEnd"/>
      <w:r w:rsidRPr="0051721B">
        <w:t xml:space="preserve"> </w:t>
      </w:r>
      <w:proofErr w:type="spellStart"/>
      <w:r w:rsidRPr="0051721B">
        <w:t>the</w:t>
      </w:r>
      <w:proofErr w:type="spellEnd"/>
      <w:r w:rsidRPr="0051721B">
        <w:t xml:space="preserve"> </w:t>
      </w:r>
      <w:proofErr w:type="spellStart"/>
      <w:r w:rsidRPr="0051721B">
        <w:t>Government</w:t>
      </w:r>
      <w:proofErr w:type="spellEnd"/>
      <w:r w:rsidRPr="0051721B">
        <w:t xml:space="preserve"> </w:t>
      </w:r>
      <w:proofErr w:type="spellStart"/>
      <w:r w:rsidRPr="0051721B">
        <w:t>on</w:t>
      </w:r>
      <w:proofErr w:type="spellEnd"/>
      <w:r w:rsidRPr="0051721B">
        <w:t xml:space="preserve"> </w:t>
      </w:r>
      <w:proofErr w:type="spellStart"/>
      <w:r w:rsidRPr="0051721B">
        <w:t>the</w:t>
      </w:r>
      <w:proofErr w:type="spellEnd"/>
      <w:r w:rsidRPr="0051721B">
        <w:t xml:space="preserve"> </w:t>
      </w:r>
      <w:proofErr w:type="spellStart"/>
      <w:r w:rsidRPr="0051721B">
        <w:t>future</w:t>
      </w:r>
      <w:proofErr w:type="spellEnd"/>
      <w:r w:rsidRPr="0051721B">
        <w:t xml:space="preserve"> </w:t>
      </w:r>
      <w:proofErr w:type="spellStart"/>
      <w:r w:rsidRPr="0051721B">
        <w:t>of</w:t>
      </w:r>
      <w:proofErr w:type="spellEnd"/>
      <w:r w:rsidRPr="0051721B">
        <w:t xml:space="preserve"> </w:t>
      </w:r>
      <w:proofErr w:type="spellStart"/>
      <w:r w:rsidRPr="0051721B">
        <w:t>the</w:t>
      </w:r>
      <w:proofErr w:type="spellEnd"/>
      <w:r w:rsidRPr="0051721B">
        <w:t xml:space="preserve"> </w:t>
      </w:r>
      <w:proofErr w:type="spellStart"/>
      <w:r w:rsidRPr="0051721B">
        <w:t>welfare</w:t>
      </w:r>
      <w:proofErr w:type="spellEnd"/>
      <w:r w:rsidRPr="0051721B">
        <w:t xml:space="preserve"> </w:t>
      </w:r>
      <w:proofErr w:type="spellStart"/>
      <w:r w:rsidRPr="0051721B">
        <w:t>system</w:t>
      </w:r>
      <w:proofErr w:type="spellEnd"/>
      <w:r w:rsidRPr="0051721B">
        <w:t>.</w:t>
      </w:r>
    </w:p>
  </w:endnote>
  <w:endnote w:id="11">
    <w:p w14:paraId="38BDFD18" w14:textId="77777777" w:rsidR="003665BE" w:rsidRPr="000664BE"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Ministry</w:t>
      </w:r>
      <w:proofErr w:type="spellEnd"/>
      <w:r w:rsidRPr="0051721B">
        <w:t xml:space="preserve"> </w:t>
      </w:r>
      <w:proofErr w:type="spellStart"/>
      <w:r w:rsidRPr="0051721B">
        <w:t>of</w:t>
      </w:r>
      <w:proofErr w:type="spellEnd"/>
      <w:r w:rsidRPr="0051721B">
        <w:t xml:space="preserve"> </w:t>
      </w:r>
      <w:proofErr w:type="spellStart"/>
      <w:r w:rsidRPr="0051721B">
        <w:t>Health</w:t>
      </w:r>
      <w:proofErr w:type="spellEnd"/>
      <w:r w:rsidRPr="0051721B">
        <w:t xml:space="preserve"> </w:t>
      </w:r>
      <w:proofErr w:type="spellStart"/>
      <w:r w:rsidRPr="0051721B">
        <w:t>Disability</w:t>
      </w:r>
      <w:proofErr w:type="spellEnd"/>
      <w:r w:rsidRPr="0051721B">
        <w:t xml:space="preserve"> </w:t>
      </w:r>
      <w:proofErr w:type="spellStart"/>
      <w:r w:rsidRPr="0051721B">
        <w:t>Support</w:t>
      </w:r>
      <w:proofErr w:type="spellEnd"/>
      <w:r w:rsidRPr="0051721B">
        <w:t xml:space="preserve"> </w:t>
      </w:r>
      <w:proofErr w:type="spellStart"/>
      <w:r w:rsidRPr="0051721B">
        <w:t>Services</w:t>
      </w:r>
      <w:proofErr w:type="spellEnd"/>
      <w:r w:rsidRPr="0051721B">
        <w:t xml:space="preserve"> ($</w:t>
      </w:r>
      <w:proofErr w:type="spellStart"/>
      <w:r w:rsidRPr="0051721B">
        <w:t>210.628m</w:t>
      </w:r>
      <w:proofErr w:type="spellEnd"/>
      <w:r w:rsidRPr="0051721B">
        <w:t xml:space="preserve">); </w:t>
      </w:r>
      <w:proofErr w:type="spellStart"/>
      <w:r w:rsidRPr="0051721B">
        <w:t>Ministry</w:t>
      </w:r>
      <w:proofErr w:type="spellEnd"/>
      <w:r w:rsidRPr="0051721B">
        <w:t xml:space="preserve"> </w:t>
      </w:r>
      <w:proofErr w:type="spellStart"/>
      <w:r w:rsidRPr="0051721B">
        <w:t>of</w:t>
      </w:r>
      <w:proofErr w:type="spellEnd"/>
      <w:r w:rsidRPr="0051721B">
        <w:t xml:space="preserve"> </w:t>
      </w:r>
      <w:proofErr w:type="spellStart"/>
      <w:r w:rsidRPr="0051721B">
        <w:t>Education</w:t>
      </w:r>
      <w:proofErr w:type="spellEnd"/>
      <w:r w:rsidRPr="0051721B">
        <w:t xml:space="preserve"> </w:t>
      </w:r>
      <w:proofErr w:type="spellStart"/>
      <w:r w:rsidRPr="0051721B">
        <w:t>Learning</w:t>
      </w:r>
      <w:proofErr w:type="spellEnd"/>
      <w:r w:rsidRPr="0051721B">
        <w:t xml:space="preserve"> </w:t>
      </w:r>
      <w:proofErr w:type="spellStart"/>
      <w:r w:rsidRPr="0051721B">
        <w:t>Support</w:t>
      </w:r>
      <w:proofErr w:type="spellEnd"/>
      <w:r w:rsidRPr="0051721B">
        <w:t xml:space="preserve"> ($</w:t>
      </w:r>
      <w:proofErr w:type="spellStart"/>
      <w:r w:rsidRPr="0051721B">
        <w:t>249.323m</w:t>
      </w:r>
      <w:proofErr w:type="spellEnd"/>
      <w:r w:rsidRPr="0051721B">
        <w:t xml:space="preserve">); </w:t>
      </w:r>
      <w:proofErr w:type="spellStart"/>
      <w:r w:rsidRPr="0051721B">
        <w:t>Representation</w:t>
      </w:r>
      <w:proofErr w:type="spellEnd"/>
      <w:r w:rsidRPr="0051721B">
        <w:t xml:space="preserve"> at </w:t>
      </w:r>
      <w:proofErr w:type="spellStart"/>
      <w:r w:rsidRPr="0051721B">
        <w:t>the</w:t>
      </w:r>
      <w:proofErr w:type="spellEnd"/>
      <w:r w:rsidRPr="0051721B">
        <w:t xml:space="preserve"> </w:t>
      </w:r>
      <w:proofErr w:type="spellStart"/>
      <w:r w:rsidRPr="0051721B">
        <w:t>United</w:t>
      </w:r>
      <w:proofErr w:type="spellEnd"/>
      <w:r w:rsidRPr="0051721B">
        <w:t xml:space="preserve"> </w:t>
      </w:r>
      <w:proofErr w:type="spellStart"/>
      <w:r w:rsidRPr="0051721B">
        <w:t>Nations</w:t>
      </w:r>
      <w:proofErr w:type="spellEnd"/>
      <w:r w:rsidRPr="0051721B">
        <w:t xml:space="preserve"> </w:t>
      </w:r>
      <w:proofErr w:type="spellStart"/>
      <w:r w:rsidRPr="0051721B">
        <w:t>Committee</w:t>
      </w:r>
      <w:proofErr w:type="spellEnd"/>
      <w:r w:rsidRPr="0051721B">
        <w:t xml:space="preserve"> </w:t>
      </w:r>
      <w:proofErr w:type="spellStart"/>
      <w:r w:rsidRPr="0051721B">
        <w:t>on</w:t>
      </w:r>
      <w:proofErr w:type="spellEnd"/>
      <w:r w:rsidRPr="0051721B">
        <w:t xml:space="preserve"> </w:t>
      </w:r>
      <w:proofErr w:type="spellStart"/>
      <w:r w:rsidRPr="0051721B">
        <w:t>the</w:t>
      </w:r>
      <w:proofErr w:type="spellEnd"/>
      <w:r w:rsidRPr="0051721B">
        <w:t xml:space="preserve"> </w:t>
      </w:r>
      <w:proofErr w:type="spellStart"/>
      <w:r w:rsidRPr="0051721B">
        <w:t>Rights</w:t>
      </w:r>
      <w:proofErr w:type="spellEnd"/>
      <w:r w:rsidRPr="0051721B">
        <w:t xml:space="preserve"> </w:t>
      </w:r>
      <w:proofErr w:type="spellStart"/>
      <w:r w:rsidRPr="0051721B">
        <w:t>of</w:t>
      </w:r>
      <w:proofErr w:type="spellEnd"/>
      <w:r w:rsidRPr="0051721B">
        <w:t xml:space="preserve"> </w:t>
      </w:r>
      <w:proofErr w:type="spellStart"/>
      <w:r w:rsidRPr="0051721B">
        <w:t>Persons</w:t>
      </w:r>
      <w:proofErr w:type="spellEnd"/>
      <w:r w:rsidRPr="0051721B">
        <w:t xml:space="preserve"> </w:t>
      </w:r>
      <w:proofErr w:type="spellStart"/>
      <w:r w:rsidRPr="0051721B">
        <w:t>with</w:t>
      </w:r>
      <w:proofErr w:type="spellEnd"/>
      <w:r w:rsidRPr="0051721B">
        <w:t xml:space="preserve"> </w:t>
      </w:r>
      <w:proofErr w:type="spellStart"/>
      <w:r w:rsidRPr="0051721B">
        <w:t>Disabilities</w:t>
      </w:r>
      <w:proofErr w:type="spellEnd"/>
      <w:r w:rsidRPr="0051721B">
        <w:t xml:space="preserve"> ($</w:t>
      </w:r>
      <w:proofErr w:type="spellStart"/>
      <w:r w:rsidRPr="0051721B">
        <w:t>0.325m</w:t>
      </w:r>
      <w:proofErr w:type="spellEnd"/>
      <w:r w:rsidRPr="0051721B">
        <w:t>).</w:t>
      </w:r>
    </w:p>
  </w:endnote>
  <w:endnote w:id="12">
    <w:p w14:paraId="6BA3502B" w14:textId="77777777" w:rsidR="003665BE" w:rsidRPr="00A836B0"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See</w:t>
      </w:r>
      <w:proofErr w:type="spellEnd"/>
      <w:r w:rsidRPr="0051721B">
        <w:t xml:space="preserve"> </w:t>
      </w:r>
      <w:proofErr w:type="spellStart"/>
      <w:r w:rsidRPr="00726C15">
        <w:rPr>
          <w:rStyle w:val="Hipervnculo"/>
        </w:rPr>
        <w:t>www.odi.govt.nz</w:t>
      </w:r>
      <w:proofErr w:type="spellEnd"/>
      <w:r w:rsidRPr="00726C15">
        <w:rPr>
          <w:rStyle w:val="Hipervnculo"/>
        </w:rPr>
        <w:t>/</w:t>
      </w:r>
      <w:r w:rsidRPr="0051721B">
        <w:t xml:space="preserve">. </w:t>
      </w:r>
    </w:p>
  </w:endnote>
  <w:endnote w:id="13">
    <w:p w14:paraId="73476247" w14:textId="77777777" w:rsidR="003665BE" w:rsidRPr="00A836B0"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See</w:t>
      </w:r>
      <w:proofErr w:type="spellEnd"/>
      <w:r w:rsidRPr="0051721B">
        <w:t xml:space="preserve"> </w:t>
      </w:r>
      <w:proofErr w:type="spellStart"/>
      <w:r w:rsidRPr="00726C15">
        <w:rPr>
          <w:rStyle w:val="Hipervnculo"/>
        </w:rPr>
        <w:t>www.odi.govt.nz</w:t>
      </w:r>
      <w:proofErr w:type="spellEnd"/>
      <w:r w:rsidRPr="00726C15">
        <w:rPr>
          <w:rStyle w:val="Hipervnculo"/>
        </w:rPr>
        <w:t>/</w:t>
      </w:r>
      <w:r w:rsidRPr="0051721B">
        <w:t xml:space="preserve">. </w:t>
      </w:r>
    </w:p>
  </w:endnote>
  <w:endnote w:id="14">
    <w:p w14:paraId="149223EC" w14:textId="77777777" w:rsidR="003665BE" w:rsidRPr="00A836B0"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See</w:t>
      </w:r>
      <w:proofErr w:type="spellEnd"/>
      <w:r w:rsidRPr="0051721B">
        <w:t xml:space="preserve"> </w:t>
      </w:r>
      <w:r w:rsidRPr="00726C15">
        <w:rPr>
          <w:rStyle w:val="Hipervnculo"/>
        </w:rPr>
        <w:t>www.msd.govt.nz/about-msd-and-our-work/newsroom/2018/accessible-public-information.html</w:t>
      </w:r>
      <w:r w:rsidRPr="0051721B">
        <w:t xml:space="preserve">. </w:t>
      </w:r>
    </w:p>
  </w:endnote>
  <w:endnote w:id="15">
    <w:p w14:paraId="4578DE64" w14:textId="77777777" w:rsidR="003665BE" w:rsidRPr="00A836B0"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See</w:t>
      </w:r>
      <w:proofErr w:type="spellEnd"/>
      <w:r w:rsidRPr="0051721B">
        <w:t xml:space="preserve"> </w:t>
      </w:r>
      <w:r w:rsidRPr="00726C15">
        <w:rPr>
          <w:rStyle w:val="Hipervnculo"/>
        </w:rPr>
        <w:t>www.building.govt.nz/building-code-compliance/d-access/accessible-buildings/</w:t>
      </w:r>
      <w:r w:rsidRPr="0051721B">
        <w:t xml:space="preserve">. </w:t>
      </w:r>
    </w:p>
  </w:endnote>
  <w:endnote w:id="16">
    <w:p w14:paraId="48F86B02" w14:textId="77777777" w:rsidR="003665BE" w:rsidRPr="000664BE"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See</w:t>
      </w:r>
      <w:proofErr w:type="spellEnd"/>
      <w:r w:rsidRPr="0051721B">
        <w:t xml:space="preserve"> </w:t>
      </w:r>
      <w:proofErr w:type="spellStart"/>
      <w:r w:rsidRPr="00726C15">
        <w:rPr>
          <w:rStyle w:val="Hipervnculo"/>
        </w:rPr>
        <w:t>www.washingtongroup-disability.com</w:t>
      </w:r>
      <w:proofErr w:type="spellEnd"/>
      <w:r w:rsidRPr="00726C15">
        <w:rPr>
          <w:rStyle w:val="Hipervnculo"/>
        </w:rPr>
        <w:t>/</w:t>
      </w:r>
      <w:r w:rsidRPr="0051721B">
        <w:t xml:space="preserve">. </w:t>
      </w:r>
    </w:p>
  </w:endnote>
  <w:endnote w:id="17">
    <w:p w14:paraId="7D2E0CE8" w14:textId="77777777" w:rsidR="003665BE" w:rsidRPr="00771F4F"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The</w:t>
      </w:r>
      <w:proofErr w:type="spellEnd"/>
      <w:r w:rsidRPr="0051721B">
        <w:t xml:space="preserve"> Washington </w:t>
      </w:r>
      <w:proofErr w:type="spellStart"/>
      <w:r w:rsidRPr="0051721B">
        <w:t>Group</w:t>
      </w:r>
      <w:proofErr w:type="spellEnd"/>
      <w:r w:rsidRPr="0051721B">
        <w:t xml:space="preserve"> Short Set </w:t>
      </w:r>
      <w:proofErr w:type="spellStart"/>
      <w:r w:rsidRPr="0051721B">
        <w:t>of</w:t>
      </w:r>
      <w:proofErr w:type="spellEnd"/>
      <w:r w:rsidRPr="0051721B">
        <w:t xml:space="preserve"> </w:t>
      </w:r>
      <w:proofErr w:type="spellStart"/>
      <w:r w:rsidRPr="0051721B">
        <w:t>questions</w:t>
      </w:r>
      <w:proofErr w:type="spellEnd"/>
      <w:r w:rsidRPr="0051721B">
        <w:t xml:space="preserve"> </w:t>
      </w:r>
      <w:proofErr w:type="spellStart"/>
      <w:r w:rsidRPr="0051721B">
        <w:t>on</w:t>
      </w:r>
      <w:proofErr w:type="spellEnd"/>
      <w:r w:rsidRPr="0051721B">
        <w:t xml:space="preserve"> </w:t>
      </w:r>
      <w:proofErr w:type="spellStart"/>
      <w:r w:rsidRPr="0051721B">
        <w:t>disability</w:t>
      </w:r>
      <w:proofErr w:type="spellEnd"/>
      <w:r w:rsidRPr="0051721B">
        <w:t xml:space="preserve"> </w:t>
      </w:r>
      <w:proofErr w:type="spellStart"/>
      <w:r w:rsidRPr="0051721B">
        <w:t>were</w:t>
      </w:r>
      <w:proofErr w:type="spellEnd"/>
      <w:r w:rsidRPr="0051721B">
        <w:t xml:space="preserve"> </w:t>
      </w:r>
      <w:proofErr w:type="spellStart"/>
      <w:r w:rsidRPr="0051721B">
        <w:t>recently</w:t>
      </w:r>
      <w:proofErr w:type="spellEnd"/>
      <w:r w:rsidRPr="0051721B">
        <w:t xml:space="preserve"> </w:t>
      </w:r>
      <w:proofErr w:type="spellStart"/>
      <w:r w:rsidRPr="0051721B">
        <w:t>included</w:t>
      </w:r>
      <w:proofErr w:type="spellEnd"/>
      <w:r w:rsidRPr="0051721B">
        <w:t xml:space="preserve"> in: </w:t>
      </w:r>
      <w:proofErr w:type="spellStart"/>
      <w:r w:rsidRPr="0051721B">
        <w:t>the</w:t>
      </w:r>
      <w:proofErr w:type="spellEnd"/>
      <w:r w:rsidRPr="0051721B">
        <w:t xml:space="preserve"> 2018 </w:t>
      </w:r>
      <w:proofErr w:type="spellStart"/>
      <w:r w:rsidRPr="0051721B">
        <w:t>Census</w:t>
      </w:r>
      <w:proofErr w:type="spellEnd"/>
      <w:r w:rsidRPr="0051721B">
        <w:t xml:space="preserve"> </w:t>
      </w:r>
      <w:proofErr w:type="spellStart"/>
      <w:r w:rsidRPr="0051721B">
        <w:t>of</w:t>
      </w:r>
      <w:proofErr w:type="spellEnd"/>
      <w:r w:rsidRPr="0051721B">
        <w:t xml:space="preserve"> </w:t>
      </w:r>
      <w:proofErr w:type="spellStart"/>
      <w:r w:rsidRPr="0051721B">
        <w:t>Population</w:t>
      </w:r>
      <w:proofErr w:type="spellEnd"/>
      <w:r w:rsidRPr="0051721B">
        <w:t xml:space="preserve"> and </w:t>
      </w:r>
      <w:proofErr w:type="spellStart"/>
      <w:r w:rsidRPr="0051721B">
        <w:t>Dwellings</w:t>
      </w:r>
      <w:proofErr w:type="spellEnd"/>
      <w:r w:rsidRPr="0051721B">
        <w:t xml:space="preserve"> (</w:t>
      </w:r>
      <w:proofErr w:type="spellStart"/>
      <w:r w:rsidRPr="0051721B">
        <w:t>this</w:t>
      </w:r>
      <w:proofErr w:type="spellEnd"/>
      <w:r w:rsidRPr="0051721B">
        <w:t xml:space="preserve"> data </w:t>
      </w:r>
      <w:proofErr w:type="spellStart"/>
      <w:r w:rsidRPr="0051721B">
        <w:t>is</w:t>
      </w:r>
      <w:proofErr w:type="spellEnd"/>
      <w:r w:rsidRPr="0051721B">
        <w:t xml:space="preserve"> </w:t>
      </w:r>
      <w:proofErr w:type="spellStart"/>
      <w:r w:rsidRPr="0051721B">
        <w:t>not</w:t>
      </w:r>
      <w:proofErr w:type="spellEnd"/>
      <w:r w:rsidRPr="0051721B">
        <w:t xml:space="preserve"> </w:t>
      </w:r>
      <w:proofErr w:type="spellStart"/>
      <w:r w:rsidRPr="0051721B">
        <w:t>yet</w:t>
      </w:r>
      <w:proofErr w:type="spellEnd"/>
      <w:r w:rsidRPr="0051721B">
        <w:t xml:space="preserve"> </w:t>
      </w:r>
      <w:proofErr w:type="spellStart"/>
      <w:r w:rsidRPr="0051721B">
        <w:t>available</w:t>
      </w:r>
      <w:proofErr w:type="spellEnd"/>
      <w:r w:rsidRPr="0051721B">
        <w:t xml:space="preserve">), </w:t>
      </w:r>
      <w:proofErr w:type="spellStart"/>
      <w:r w:rsidRPr="0051721B">
        <w:t>NZ</w:t>
      </w:r>
      <w:proofErr w:type="spellEnd"/>
      <w:r w:rsidRPr="0051721B">
        <w:t xml:space="preserve"> General Social </w:t>
      </w:r>
      <w:proofErr w:type="spellStart"/>
      <w:r w:rsidRPr="0051721B">
        <w:t>Survey</w:t>
      </w:r>
      <w:proofErr w:type="spellEnd"/>
      <w:r w:rsidRPr="0051721B">
        <w:t xml:space="preserve"> (</w:t>
      </w:r>
      <w:proofErr w:type="spellStart"/>
      <w:r w:rsidRPr="0051721B">
        <w:t>See</w:t>
      </w:r>
      <w:proofErr w:type="spellEnd"/>
      <w:r w:rsidRPr="0051721B">
        <w:t xml:space="preserve"> </w:t>
      </w:r>
      <w:r w:rsidRPr="00726C15">
        <w:rPr>
          <w:rStyle w:val="Hipervnculo"/>
        </w:rPr>
        <w:t>www.stats.govt.nz/information-releases/well-being-statistics-2016</w:t>
      </w:r>
      <w:r w:rsidRPr="0051721B">
        <w:t xml:space="preserve">, in </w:t>
      </w:r>
      <w:proofErr w:type="spellStart"/>
      <w:r w:rsidRPr="0051721B">
        <w:t>the</w:t>
      </w:r>
      <w:proofErr w:type="spellEnd"/>
      <w:r w:rsidRPr="0051721B">
        <w:t xml:space="preserve"> 2016/17 </w:t>
      </w:r>
      <w:proofErr w:type="spellStart"/>
      <w:r w:rsidRPr="0051721B">
        <w:t>survey</w:t>
      </w:r>
      <w:proofErr w:type="spellEnd"/>
      <w:r w:rsidRPr="0051721B">
        <w:t xml:space="preserve"> </w:t>
      </w:r>
      <w:proofErr w:type="spellStart"/>
      <w:r w:rsidRPr="0051721B">
        <w:t>year</w:t>
      </w:r>
      <w:proofErr w:type="spellEnd"/>
      <w:r w:rsidRPr="0051721B">
        <w:t xml:space="preserve"> and </w:t>
      </w:r>
      <w:proofErr w:type="spellStart"/>
      <w:r w:rsidRPr="0051721B">
        <w:t>every</w:t>
      </w:r>
      <w:proofErr w:type="spellEnd"/>
      <w:r w:rsidRPr="0051721B">
        <w:t xml:space="preserve"> </w:t>
      </w:r>
      <w:proofErr w:type="spellStart"/>
      <w:r w:rsidRPr="0051721B">
        <w:t>two</w:t>
      </w:r>
      <w:proofErr w:type="spellEnd"/>
      <w:r w:rsidRPr="0051721B">
        <w:t xml:space="preserve"> </w:t>
      </w:r>
      <w:proofErr w:type="spellStart"/>
      <w:r w:rsidRPr="0051721B">
        <w:t>years</w:t>
      </w:r>
      <w:proofErr w:type="spellEnd"/>
      <w:r w:rsidRPr="0051721B">
        <w:t xml:space="preserve"> </w:t>
      </w:r>
      <w:proofErr w:type="spellStart"/>
      <w:r w:rsidRPr="0051721B">
        <w:t>subsequent</w:t>
      </w:r>
      <w:proofErr w:type="spellEnd"/>
      <w:r w:rsidRPr="0051721B">
        <w:t xml:space="preserve">), </w:t>
      </w:r>
      <w:proofErr w:type="spellStart"/>
      <w:r w:rsidRPr="0051721B">
        <w:t>the</w:t>
      </w:r>
      <w:proofErr w:type="spellEnd"/>
      <w:r w:rsidRPr="0051721B">
        <w:t xml:space="preserve"> </w:t>
      </w:r>
      <w:proofErr w:type="spellStart"/>
      <w:r w:rsidRPr="0051721B">
        <w:t>Household</w:t>
      </w:r>
      <w:proofErr w:type="spellEnd"/>
      <w:r w:rsidRPr="0051721B">
        <w:t xml:space="preserve"> </w:t>
      </w:r>
      <w:proofErr w:type="spellStart"/>
      <w:r w:rsidRPr="0051721B">
        <w:t>Labour</w:t>
      </w:r>
      <w:proofErr w:type="spellEnd"/>
      <w:r w:rsidRPr="0051721B">
        <w:t xml:space="preserve"> </w:t>
      </w:r>
      <w:proofErr w:type="spellStart"/>
      <w:r w:rsidRPr="0051721B">
        <w:t>Force</w:t>
      </w:r>
      <w:proofErr w:type="spellEnd"/>
      <w:r w:rsidRPr="0051721B">
        <w:t xml:space="preserve"> </w:t>
      </w:r>
      <w:proofErr w:type="spellStart"/>
      <w:r w:rsidRPr="0051721B">
        <w:t>Survey</w:t>
      </w:r>
      <w:proofErr w:type="spellEnd"/>
      <w:r w:rsidRPr="0051721B">
        <w:t xml:space="preserve"> (</w:t>
      </w:r>
      <w:proofErr w:type="spellStart"/>
      <w:r w:rsidRPr="0051721B">
        <w:t>See</w:t>
      </w:r>
      <w:proofErr w:type="spellEnd"/>
      <w:r w:rsidRPr="0051721B">
        <w:t xml:space="preserve"> </w:t>
      </w:r>
      <w:r w:rsidRPr="00726C15">
        <w:rPr>
          <w:rStyle w:val="Hipervnculo"/>
        </w:rPr>
        <w:t>www.stats.govt.nz/information-releases/labour-market-statistics-june-2018-quarter</w:t>
      </w:r>
      <w:r w:rsidRPr="0051721B">
        <w:t xml:space="preserve">, June </w:t>
      </w:r>
      <w:proofErr w:type="spellStart"/>
      <w:r w:rsidRPr="0051721B">
        <w:t>quarters</w:t>
      </w:r>
      <w:proofErr w:type="spellEnd"/>
      <w:r w:rsidRPr="0051721B">
        <w:t xml:space="preserve"> </w:t>
      </w:r>
      <w:proofErr w:type="spellStart"/>
      <w:r w:rsidRPr="0051721B">
        <w:t>from</w:t>
      </w:r>
      <w:proofErr w:type="spellEnd"/>
      <w:r w:rsidRPr="0051721B">
        <w:t xml:space="preserve"> 2017), </w:t>
      </w:r>
      <w:proofErr w:type="spellStart"/>
      <w:r w:rsidRPr="0051721B">
        <w:t>NZ</w:t>
      </w:r>
      <w:proofErr w:type="spellEnd"/>
      <w:r w:rsidRPr="0051721B">
        <w:t xml:space="preserve"> </w:t>
      </w:r>
      <w:proofErr w:type="spellStart"/>
      <w:r w:rsidRPr="0051721B">
        <w:t>Health</w:t>
      </w:r>
      <w:proofErr w:type="spellEnd"/>
      <w:r w:rsidRPr="0051721B">
        <w:t xml:space="preserve"> </w:t>
      </w:r>
      <w:proofErr w:type="spellStart"/>
      <w:r w:rsidRPr="0051721B">
        <w:t>Survey</w:t>
      </w:r>
      <w:proofErr w:type="spellEnd"/>
      <w:r w:rsidRPr="0051721B">
        <w:t xml:space="preserve"> (in </w:t>
      </w:r>
      <w:proofErr w:type="spellStart"/>
      <w:r w:rsidRPr="0051721B">
        <w:t>the</w:t>
      </w:r>
      <w:proofErr w:type="spellEnd"/>
      <w:r w:rsidRPr="0051721B">
        <w:t xml:space="preserve"> </w:t>
      </w:r>
      <w:proofErr w:type="spellStart"/>
      <w:r w:rsidRPr="0051721B">
        <w:t>field</w:t>
      </w:r>
      <w:proofErr w:type="spellEnd"/>
      <w:r w:rsidRPr="0051721B">
        <w:t xml:space="preserve"> in 2018), </w:t>
      </w:r>
      <w:proofErr w:type="spellStart"/>
      <w:r w:rsidRPr="0051721B">
        <w:t>NZ</w:t>
      </w:r>
      <w:proofErr w:type="spellEnd"/>
      <w:r w:rsidRPr="0051721B">
        <w:t xml:space="preserve"> </w:t>
      </w:r>
      <w:proofErr w:type="spellStart"/>
      <w:r w:rsidRPr="0051721B">
        <w:t>Crime</w:t>
      </w:r>
      <w:proofErr w:type="spellEnd"/>
      <w:r w:rsidRPr="0051721B">
        <w:t xml:space="preserve"> and </w:t>
      </w:r>
      <w:proofErr w:type="spellStart"/>
      <w:r w:rsidRPr="0051721B">
        <w:t>Victimisation</w:t>
      </w:r>
      <w:proofErr w:type="spellEnd"/>
      <w:r w:rsidRPr="0051721B">
        <w:t xml:space="preserve"> </w:t>
      </w:r>
      <w:proofErr w:type="spellStart"/>
      <w:r w:rsidRPr="0051721B">
        <w:t>Survey</w:t>
      </w:r>
      <w:proofErr w:type="spellEnd"/>
      <w:r w:rsidRPr="0051721B">
        <w:t xml:space="preserve"> (2019), </w:t>
      </w:r>
      <w:proofErr w:type="spellStart"/>
      <w:r w:rsidRPr="0051721B">
        <w:t>Public</w:t>
      </w:r>
      <w:proofErr w:type="spellEnd"/>
      <w:r w:rsidRPr="0051721B">
        <w:t xml:space="preserve"> </w:t>
      </w:r>
      <w:proofErr w:type="spellStart"/>
      <w:r w:rsidRPr="0051721B">
        <w:t>Service</w:t>
      </w:r>
      <w:proofErr w:type="spellEnd"/>
      <w:r w:rsidRPr="0051721B">
        <w:t xml:space="preserve"> </w:t>
      </w:r>
      <w:proofErr w:type="spellStart"/>
      <w:r w:rsidRPr="0051721B">
        <w:t>Census</w:t>
      </w:r>
      <w:proofErr w:type="spellEnd"/>
      <w:r w:rsidRPr="0051721B">
        <w:t xml:space="preserve"> (</w:t>
      </w:r>
      <w:proofErr w:type="spellStart"/>
      <w:r w:rsidRPr="0051721B">
        <w:t>February</w:t>
      </w:r>
      <w:proofErr w:type="spellEnd"/>
      <w:r w:rsidRPr="0051721B">
        <w:t xml:space="preserve"> 2019).</w:t>
      </w:r>
    </w:p>
  </w:endnote>
  <w:endnote w:id="18">
    <w:p w14:paraId="6AB210AC" w14:textId="77777777" w:rsidR="003665BE" w:rsidRPr="00105A50"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The</w:t>
      </w:r>
      <w:proofErr w:type="spellEnd"/>
      <w:r w:rsidRPr="0051721B">
        <w:t xml:space="preserve"> Washington </w:t>
      </w:r>
      <w:proofErr w:type="spellStart"/>
      <w:r w:rsidRPr="0051721B">
        <w:t>Group</w:t>
      </w:r>
      <w:proofErr w:type="spellEnd"/>
      <w:r w:rsidRPr="0051721B">
        <w:t xml:space="preserve"> Short Set </w:t>
      </w:r>
      <w:proofErr w:type="spellStart"/>
      <w:r w:rsidRPr="0051721B">
        <w:t>of</w:t>
      </w:r>
      <w:proofErr w:type="spellEnd"/>
      <w:r w:rsidRPr="0051721B">
        <w:t xml:space="preserve"> </w:t>
      </w:r>
      <w:proofErr w:type="spellStart"/>
      <w:r w:rsidRPr="0051721B">
        <w:t>questions</w:t>
      </w:r>
      <w:proofErr w:type="spellEnd"/>
      <w:r w:rsidRPr="0051721B">
        <w:t xml:space="preserve"> </w:t>
      </w:r>
      <w:proofErr w:type="spellStart"/>
      <w:r w:rsidRPr="0051721B">
        <w:t>on</w:t>
      </w:r>
      <w:proofErr w:type="spellEnd"/>
      <w:r w:rsidRPr="0051721B">
        <w:t xml:space="preserve"> </w:t>
      </w:r>
      <w:proofErr w:type="spellStart"/>
      <w:r w:rsidRPr="0051721B">
        <w:t>disability</w:t>
      </w:r>
      <w:proofErr w:type="spellEnd"/>
      <w:r w:rsidRPr="0051721B">
        <w:t xml:space="preserve"> are </w:t>
      </w:r>
      <w:proofErr w:type="spellStart"/>
      <w:r w:rsidRPr="0051721B">
        <w:t>not</w:t>
      </w:r>
      <w:proofErr w:type="spellEnd"/>
      <w:r w:rsidRPr="0051721B">
        <w:t xml:space="preserve"> </w:t>
      </w:r>
      <w:proofErr w:type="spellStart"/>
      <w:r w:rsidRPr="0051721B">
        <w:t>designed</w:t>
      </w:r>
      <w:proofErr w:type="spellEnd"/>
      <w:r w:rsidRPr="0051721B">
        <w:t xml:space="preserve"> </w:t>
      </w:r>
      <w:proofErr w:type="spellStart"/>
      <w:r w:rsidRPr="0051721B">
        <w:t>to</w:t>
      </w:r>
      <w:proofErr w:type="spellEnd"/>
      <w:r w:rsidRPr="0051721B">
        <w:t xml:space="preserve"> produce </w:t>
      </w:r>
      <w:proofErr w:type="spellStart"/>
      <w:r w:rsidRPr="0051721B">
        <w:t>counts</w:t>
      </w:r>
      <w:proofErr w:type="spellEnd"/>
      <w:r w:rsidRPr="0051721B">
        <w:t xml:space="preserve"> </w:t>
      </w:r>
      <w:proofErr w:type="spellStart"/>
      <w:r w:rsidRPr="0051721B">
        <w:t>or</w:t>
      </w:r>
      <w:proofErr w:type="spellEnd"/>
      <w:r w:rsidRPr="0051721B">
        <w:t xml:space="preserve"> </w:t>
      </w:r>
      <w:proofErr w:type="spellStart"/>
      <w:r w:rsidRPr="0051721B">
        <w:t>rates</w:t>
      </w:r>
      <w:proofErr w:type="spellEnd"/>
      <w:r w:rsidRPr="0051721B">
        <w:t xml:space="preserve"> </w:t>
      </w:r>
      <w:proofErr w:type="spellStart"/>
      <w:r w:rsidRPr="0051721B">
        <w:t>of</w:t>
      </w:r>
      <w:proofErr w:type="spellEnd"/>
      <w:r w:rsidRPr="0051721B">
        <w:t xml:space="preserve"> </w:t>
      </w:r>
      <w:proofErr w:type="spellStart"/>
      <w:r w:rsidRPr="0051721B">
        <w:t>disabled</w:t>
      </w:r>
      <w:proofErr w:type="spellEnd"/>
      <w:r w:rsidRPr="0051721B">
        <w:t xml:space="preserve"> </w:t>
      </w:r>
      <w:proofErr w:type="spellStart"/>
      <w:r w:rsidRPr="0051721B">
        <w:t>people</w:t>
      </w:r>
      <w:proofErr w:type="spellEnd"/>
      <w:r w:rsidRPr="0051721B">
        <w:t xml:space="preserve"> in New </w:t>
      </w:r>
      <w:proofErr w:type="spellStart"/>
      <w:r w:rsidRPr="0051721B">
        <w:t>Zealand</w:t>
      </w:r>
      <w:proofErr w:type="spellEnd"/>
      <w:r w:rsidRPr="0051721B">
        <w:t xml:space="preserve">. </w:t>
      </w:r>
      <w:proofErr w:type="spellStart"/>
      <w:r w:rsidRPr="0051721B">
        <w:t>They</w:t>
      </w:r>
      <w:proofErr w:type="spellEnd"/>
      <w:r w:rsidRPr="0051721B">
        <w:t xml:space="preserve"> are </w:t>
      </w:r>
      <w:proofErr w:type="spellStart"/>
      <w:r w:rsidRPr="0051721B">
        <w:t>used</w:t>
      </w:r>
      <w:proofErr w:type="spellEnd"/>
      <w:r w:rsidRPr="0051721B">
        <w:t xml:space="preserve">, </w:t>
      </w:r>
      <w:proofErr w:type="spellStart"/>
      <w:r w:rsidRPr="0051721B">
        <w:t>like</w:t>
      </w:r>
      <w:proofErr w:type="spellEnd"/>
      <w:r w:rsidRPr="0051721B">
        <w:t xml:space="preserve"> </w:t>
      </w:r>
      <w:proofErr w:type="spellStart"/>
      <w:r w:rsidRPr="0051721B">
        <w:t>other</w:t>
      </w:r>
      <w:proofErr w:type="spellEnd"/>
      <w:r w:rsidRPr="0051721B">
        <w:t xml:space="preserve"> </w:t>
      </w:r>
      <w:proofErr w:type="spellStart"/>
      <w:r w:rsidRPr="0051721B">
        <w:t>demographic</w:t>
      </w:r>
      <w:proofErr w:type="spellEnd"/>
      <w:r w:rsidRPr="0051721B">
        <w:t xml:space="preserve"> </w:t>
      </w:r>
      <w:proofErr w:type="spellStart"/>
      <w:r w:rsidRPr="0051721B">
        <w:t>characteristics</w:t>
      </w:r>
      <w:proofErr w:type="spellEnd"/>
      <w:r w:rsidRPr="0051721B">
        <w:t xml:space="preserve"> </w:t>
      </w:r>
      <w:proofErr w:type="spellStart"/>
      <w:r w:rsidRPr="0051721B">
        <w:t>including</w:t>
      </w:r>
      <w:proofErr w:type="spellEnd"/>
      <w:r w:rsidRPr="0051721B">
        <w:t xml:space="preserve"> sex and </w:t>
      </w:r>
      <w:proofErr w:type="spellStart"/>
      <w:r w:rsidRPr="0051721B">
        <w:t>ethnic</w:t>
      </w:r>
      <w:proofErr w:type="spellEnd"/>
      <w:r w:rsidRPr="0051721B">
        <w:t xml:space="preserve"> </w:t>
      </w:r>
      <w:proofErr w:type="spellStart"/>
      <w:r w:rsidRPr="0051721B">
        <w:t>group</w:t>
      </w:r>
      <w:proofErr w:type="spellEnd"/>
      <w:r w:rsidRPr="0051721B">
        <w:t xml:space="preserve">, </w:t>
      </w:r>
      <w:proofErr w:type="spellStart"/>
      <w:r w:rsidRPr="0051721B">
        <w:t>to</w:t>
      </w:r>
      <w:proofErr w:type="spellEnd"/>
      <w:r w:rsidRPr="0051721B">
        <w:t xml:space="preserve"> </w:t>
      </w:r>
      <w:proofErr w:type="spellStart"/>
      <w:r w:rsidRPr="0051721B">
        <w:t>allow</w:t>
      </w:r>
      <w:proofErr w:type="spellEnd"/>
      <w:r w:rsidRPr="0051721B">
        <w:t xml:space="preserve"> </w:t>
      </w:r>
      <w:proofErr w:type="spellStart"/>
      <w:r w:rsidRPr="0051721B">
        <w:t>the</w:t>
      </w:r>
      <w:proofErr w:type="spellEnd"/>
      <w:r w:rsidRPr="0051721B">
        <w:t xml:space="preserve"> </w:t>
      </w:r>
      <w:proofErr w:type="spellStart"/>
      <w:r w:rsidRPr="0051721B">
        <w:t>comparison</w:t>
      </w:r>
      <w:proofErr w:type="spellEnd"/>
      <w:r w:rsidRPr="0051721B">
        <w:t xml:space="preserve"> </w:t>
      </w:r>
      <w:proofErr w:type="spellStart"/>
      <w:r w:rsidRPr="0051721B">
        <w:t>of</w:t>
      </w:r>
      <w:proofErr w:type="spellEnd"/>
      <w:r w:rsidRPr="0051721B">
        <w:t xml:space="preserve"> </w:t>
      </w:r>
      <w:proofErr w:type="spellStart"/>
      <w:r w:rsidRPr="0051721B">
        <w:t>outcomes</w:t>
      </w:r>
      <w:proofErr w:type="spellEnd"/>
      <w:r w:rsidRPr="0051721B">
        <w:t xml:space="preserve"> </w:t>
      </w:r>
      <w:proofErr w:type="spellStart"/>
      <w:r w:rsidRPr="0051721B">
        <w:t>for</w:t>
      </w:r>
      <w:proofErr w:type="spellEnd"/>
      <w:r w:rsidRPr="0051721B">
        <w:t xml:space="preserve"> </w:t>
      </w:r>
      <w:proofErr w:type="spellStart"/>
      <w:r w:rsidRPr="0051721B">
        <w:t>different</w:t>
      </w:r>
      <w:proofErr w:type="spellEnd"/>
      <w:r w:rsidRPr="0051721B">
        <w:t xml:space="preserve"> </w:t>
      </w:r>
      <w:proofErr w:type="spellStart"/>
      <w:r w:rsidRPr="0051721B">
        <w:t>population</w:t>
      </w:r>
      <w:proofErr w:type="spellEnd"/>
      <w:r w:rsidRPr="0051721B">
        <w:t xml:space="preserve"> </w:t>
      </w:r>
      <w:proofErr w:type="spellStart"/>
      <w:r w:rsidRPr="0051721B">
        <w:t>sub-groups</w:t>
      </w:r>
      <w:proofErr w:type="spellEnd"/>
      <w:r w:rsidRPr="0051721B">
        <w:t>.</w:t>
      </w:r>
    </w:p>
  </w:endnote>
  <w:endnote w:id="19">
    <w:p w14:paraId="4C368202" w14:textId="77777777" w:rsidR="003665BE" w:rsidRPr="00A836B0" w:rsidRDefault="003665BE" w:rsidP="00011964">
      <w:pPr>
        <w:pStyle w:val="Textonotaalfinal"/>
      </w:pPr>
      <w:r w:rsidRPr="0051721B">
        <w:tab/>
      </w:r>
      <w:r w:rsidRPr="00154216">
        <w:rPr>
          <w:rStyle w:val="Refdenotaalfinal"/>
        </w:rPr>
        <w:endnoteRef/>
      </w:r>
      <w:r w:rsidRPr="00154216">
        <w:rPr>
          <w:rStyle w:val="Refdenotaalfinal"/>
        </w:rPr>
        <w:tab/>
      </w:r>
      <w:r>
        <w:t>“</w:t>
      </w:r>
      <w:proofErr w:type="spellStart"/>
      <w:r w:rsidRPr="0051721B">
        <w:t>Oranga</w:t>
      </w:r>
      <w:proofErr w:type="spellEnd"/>
      <w:r w:rsidRPr="0051721B">
        <w:t xml:space="preserve"> </w:t>
      </w:r>
      <w:proofErr w:type="spellStart"/>
      <w:r w:rsidRPr="0051721B">
        <w:t>mahi</w:t>
      </w:r>
      <w:proofErr w:type="spellEnd"/>
      <w:r>
        <w:t>”</w:t>
      </w:r>
      <w:r w:rsidRPr="0051721B">
        <w:t xml:space="preserve"> </w:t>
      </w:r>
      <w:proofErr w:type="spellStart"/>
      <w:r w:rsidRPr="0051721B">
        <w:t>is</w:t>
      </w:r>
      <w:proofErr w:type="spellEnd"/>
      <w:r w:rsidRPr="0051721B">
        <w:t xml:space="preserve"> Te Reo </w:t>
      </w:r>
      <w:proofErr w:type="spellStart"/>
      <w:r w:rsidRPr="0051721B">
        <w:t>meaning</w:t>
      </w:r>
      <w:proofErr w:type="spellEnd"/>
      <w:r w:rsidRPr="0051721B">
        <w:t xml:space="preserve"> </w:t>
      </w:r>
      <w:proofErr w:type="spellStart"/>
      <w:r w:rsidRPr="0051721B">
        <w:t>wellness</w:t>
      </w:r>
      <w:proofErr w:type="spellEnd"/>
      <w:r w:rsidRPr="0051721B">
        <w:t xml:space="preserve"> </w:t>
      </w:r>
      <w:proofErr w:type="spellStart"/>
      <w:r w:rsidRPr="0051721B">
        <w:t>through</w:t>
      </w:r>
      <w:proofErr w:type="spellEnd"/>
      <w:r w:rsidRPr="0051721B">
        <w:t xml:space="preserve"> </w:t>
      </w:r>
      <w:proofErr w:type="spellStart"/>
      <w:r w:rsidRPr="0051721B">
        <w:t>work</w:t>
      </w:r>
      <w:proofErr w:type="spellEnd"/>
      <w:r w:rsidRPr="0051721B">
        <w:t>.</w:t>
      </w:r>
    </w:p>
  </w:endnote>
  <w:endnote w:id="20">
    <w:p w14:paraId="6226534D" w14:textId="77777777" w:rsidR="003665BE" w:rsidRPr="00C52D9C"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See</w:t>
      </w:r>
      <w:proofErr w:type="spellEnd"/>
      <w:r w:rsidRPr="0051721B">
        <w:t xml:space="preserve">: </w:t>
      </w:r>
      <w:r w:rsidRPr="00726C15">
        <w:rPr>
          <w:rStyle w:val="Hipervnculo"/>
        </w:rPr>
        <w:t>www.msd.govt.nz/about-msd-and-our-work/publications-resources/corporate/annual-report/2016-2017/reducing-the-welfare-liability.html</w:t>
      </w:r>
      <w:r w:rsidRPr="0051721B">
        <w:t xml:space="preserve">. </w:t>
      </w:r>
    </w:p>
  </w:endnote>
  <w:endnote w:id="21">
    <w:p w14:paraId="7356A33C" w14:textId="77777777" w:rsidR="003665BE" w:rsidRPr="00322249"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The</w:t>
      </w:r>
      <w:proofErr w:type="spellEnd"/>
      <w:r w:rsidRPr="0051721B">
        <w:t xml:space="preserve"> New </w:t>
      </w:r>
      <w:proofErr w:type="spellStart"/>
      <w:r w:rsidRPr="0051721B">
        <w:t>Zealand</w:t>
      </w:r>
      <w:proofErr w:type="spellEnd"/>
      <w:r w:rsidRPr="0051721B">
        <w:t xml:space="preserve"> </w:t>
      </w:r>
      <w:proofErr w:type="spellStart"/>
      <w:r w:rsidRPr="0051721B">
        <w:t>Public</w:t>
      </w:r>
      <w:proofErr w:type="spellEnd"/>
      <w:r w:rsidRPr="0051721B">
        <w:t xml:space="preserve"> </w:t>
      </w:r>
      <w:proofErr w:type="spellStart"/>
      <w:r w:rsidRPr="0051721B">
        <w:t>Health</w:t>
      </w:r>
      <w:proofErr w:type="spellEnd"/>
      <w:r w:rsidRPr="0051721B">
        <w:t xml:space="preserve"> and </w:t>
      </w:r>
      <w:proofErr w:type="spellStart"/>
      <w:r w:rsidRPr="0051721B">
        <w:t>Disability</w:t>
      </w:r>
      <w:proofErr w:type="spellEnd"/>
      <w:r w:rsidRPr="0051721B">
        <w:t xml:space="preserve"> </w:t>
      </w:r>
      <w:proofErr w:type="spellStart"/>
      <w:r w:rsidRPr="0051721B">
        <w:t>Act</w:t>
      </w:r>
      <w:proofErr w:type="spellEnd"/>
      <w:r w:rsidRPr="0051721B">
        <w:t xml:space="preserve"> 2000 </w:t>
      </w:r>
      <w:proofErr w:type="spellStart"/>
      <w:r w:rsidRPr="0051721B">
        <w:t>created</w:t>
      </w:r>
      <w:proofErr w:type="spellEnd"/>
      <w:r w:rsidRPr="0051721B">
        <w:t xml:space="preserve"> </w:t>
      </w:r>
      <w:proofErr w:type="spellStart"/>
      <w:r w:rsidRPr="0051721B">
        <w:t>District</w:t>
      </w:r>
      <w:proofErr w:type="spellEnd"/>
      <w:r w:rsidRPr="0051721B">
        <w:t xml:space="preserve"> </w:t>
      </w:r>
      <w:proofErr w:type="spellStart"/>
      <w:r w:rsidRPr="0051721B">
        <w:t>Health</w:t>
      </w:r>
      <w:proofErr w:type="spellEnd"/>
      <w:r w:rsidRPr="0051721B">
        <w:t xml:space="preserve"> </w:t>
      </w:r>
      <w:proofErr w:type="spellStart"/>
      <w:r w:rsidRPr="0051721B">
        <w:t>Boards</w:t>
      </w:r>
      <w:proofErr w:type="spellEnd"/>
      <w:r w:rsidRPr="0051721B">
        <w:t xml:space="preserve">. </w:t>
      </w:r>
      <w:proofErr w:type="spellStart"/>
      <w:r w:rsidRPr="0051721B">
        <w:t>District</w:t>
      </w:r>
      <w:proofErr w:type="spellEnd"/>
      <w:r w:rsidRPr="0051721B">
        <w:t xml:space="preserve"> </w:t>
      </w:r>
      <w:proofErr w:type="spellStart"/>
      <w:r w:rsidRPr="0051721B">
        <w:t>Health</w:t>
      </w:r>
      <w:proofErr w:type="spellEnd"/>
      <w:r w:rsidRPr="0051721B">
        <w:t xml:space="preserve"> </w:t>
      </w:r>
      <w:proofErr w:type="spellStart"/>
      <w:r w:rsidRPr="0051721B">
        <w:t>Boards</w:t>
      </w:r>
      <w:proofErr w:type="spellEnd"/>
      <w:r w:rsidRPr="0051721B">
        <w:t xml:space="preserve"> are </w:t>
      </w:r>
      <w:proofErr w:type="spellStart"/>
      <w:r w:rsidRPr="0051721B">
        <w:t>responsible</w:t>
      </w:r>
      <w:proofErr w:type="spellEnd"/>
      <w:r w:rsidRPr="0051721B">
        <w:t xml:space="preserve"> </w:t>
      </w:r>
      <w:proofErr w:type="spellStart"/>
      <w:r w:rsidRPr="0051721B">
        <w:t>for</w:t>
      </w:r>
      <w:proofErr w:type="spellEnd"/>
      <w:r w:rsidRPr="0051721B">
        <w:t xml:space="preserve"> </w:t>
      </w:r>
      <w:proofErr w:type="spellStart"/>
      <w:r w:rsidRPr="0051721B">
        <w:t>providing</w:t>
      </w:r>
      <w:proofErr w:type="spellEnd"/>
      <w:r w:rsidRPr="0051721B">
        <w:t xml:space="preserve"> </w:t>
      </w:r>
      <w:proofErr w:type="spellStart"/>
      <w:r w:rsidRPr="0051721B">
        <w:t>or</w:t>
      </w:r>
      <w:proofErr w:type="spellEnd"/>
      <w:r w:rsidRPr="0051721B">
        <w:t xml:space="preserve"> </w:t>
      </w:r>
      <w:proofErr w:type="spellStart"/>
      <w:r w:rsidRPr="0051721B">
        <w:t>funding</w:t>
      </w:r>
      <w:proofErr w:type="spellEnd"/>
      <w:r w:rsidRPr="0051721B">
        <w:t xml:space="preserve"> </w:t>
      </w:r>
      <w:proofErr w:type="spellStart"/>
      <w:r w:rsidRPr="0051721B">
        <w:t>the</w:t>
      </w:r>
      <w:proofErr w:type="spellEnd"/>
      <w:r w:rsidRPr="0051721B">
        <w:t xml:space="preserve"> </w:t>
      </w:r>
      <w:proofErr w:type="spellStart"/>
      <w:r w:rsidRPr="0051721B">
        <w:t>provision</w:t>
      </w:r>
      <w:proofErr w:type="spellEnd"/>
      <w:r w:rsidRPr="0051721B">
        <w:t xml:space="preserve"> </w:t>
      </w:r>
      <w:proofErr w:type="spellStart"/>
      <w:r w:rsidRPr="0051721B">
        <w:t>of</w:t>
      </w:r>
      <w:proofErr w:type="spellEnd"/>
      <w:r w:rsidRPr="0051721B">
        <w:t xml:space="preserve"> </w:t>
      </w:r>
      <w:proofErr w:type="spellStart"/>
      <w:r w:rsidRPr="0051721B">
        <w:t>health</w:t>
      </w:r>
      <w:proofErr w:type="spellEnd"/>
      <w:r w:rsidRPr="0051721B">
        <w:t xml:space="preserve"> </w:t>
      </w:r>
      <w:proofErr w:type="spellStart"/>
      <w:r w:rsidRPr="0051721B">
        <w:t>services</w:t>
      </w:r>
      <w:proofErr w:type="spellEnd"/>
      <w:r w:rsidRPr="0051721B">
        <w:t xml:space="preserve"> in </w:t>
      </w:r>
      <w:proofErr w:type="spellStart"/>
      <w:r w:rsidRPr="0051721B">
        <w:t>their</w:t>
      </w:r>
      <w:proofErr w:type="spellEnd"/>
      <w:r w:rsidRPr="0051721B">
        <w:t xml:space="preserve"> </w:t>
      </w:r>
      <w:proofErr w:type="spellStart"/>
      <w:r w:rsidRPr="0051721B">
        <w:t>geographical</w:t>
      </w:r>
      <w:proofErr w:type="spellEnd"/>
      <w:r w:rsidRPr="0051721B">
        <w:t xml:space="preserve"> </w:t>
      </w:r>
      <w:proofErr w:type="spellStart"/>
      <w:r w:rsidRPr="0051721B">
        <w:t>district</w:t>
      </w:r>
      <w:proofErr w:type="spellEnd"/>
      <w:r w:rsidRPr="0051721B">
        <w:t xml:space="preserve"> </w:t>
      </w:r>
      <w:proofErr w:type="spellStart"/>
      <w:r w:rsidRPr="0051721B">
        <w:t>There</w:t>
      </w:r>
      <w:proofErr w:type="spellEnd"/>
      <w:r w:rsidRPr="0051721B">
        <w:t xml:space="preserve"> are </w:t>
      </w:r>
      <w:proofErr w:type="spellStart"/>
      <w:r w:rsidRPr="0051721B">
        <w:t>currently</w:t>
      </w:r>
      <w:proofErr w:type="spellEnd"/>
      <w:r w:rsidRPr="0051721B">
        <w:t xml:space="preserve"> 20 </w:t>
      </w:r>
      <w:proofErr w:type="spellStart"/>
      <w:r w:rsidRPr="0051721B">
        <w:t>District</w:t>
      </w:r>
      <w:proofErr w:type="spellEnd"/>
      <w:r w:rsidRPr="0051721B">
        <w:t xml:space="preserve"> </w:t>
      </w:r>
      <w:proofErr w:type="spellStart"/>
      <w:r w:rsidRPr="0051721B">
        <w:t>Health</w:t>
      </w:r>
      <w:proofErr w:type="spellEnd"/>
      <w:r w:rsidRPr="0051721B">
        <w:t xml:space="preserve"> </w:t>
      </w:r>
      <w:proofErr w:type="spellStart"/>
      <w:r w:rsidRPr="0051721B">
        <w:t>Boards</w:t>
      </w:r>
      <w:proofErr w:type="spellEnd"/>
      <w:r w:rsidRPr="0051721B">
        <w:t xml:space="preserve"> in New </w:t>
      </w:r>
      <w:proofErr w:type="spellStart"/>
      <w:r w:rsidRPr="0051721B">
        <w:t>Zealand</w:t>
      </w:r>
      <w:proofErr w:type="spellEnd"/>
      <w:r w:rsidRPr="0051721B">
        <w:t xml:space="preserve">. </w:t>
      </w:r>
      <w:proofErr w:type="spellStart"/>
      <w:r w:rsidRPr="0051721B">
        <w:t>Available</w:t>
      </w:r>
      <w:proofErr w:type="spellEnd"/>
      <w:r w:rsidRPr="0051721B">
        <w:t xml:space="preserve"> at: </w:t>
      </w:r>
      <w:r w:rsidRPr="00726C15">
        <w:rPr>
          <w:rStyle w:val="Hipervnculo"/>
        </w:rPr>
        <w:t>www.health.govt.nz/new-zealand-health-system/key-health-sector-organisations-and-people/district-health-boards</w:t>
      </w:r>
      <w:r w:rsidRPr="0051721B">
        <w:t>.</w:t>
      </w:r>
    </w:p>
  </w:endnote>
  <w:endnote w:id="22">
    <w:p w14:paraId="5DC13513" w14:textId="77777777" w:rsidR="003665BE" w:rsidRPr="00507E45" w:rsidRDefault="003665BE" w:rsidP="00011964">
      <w:pPr>
        <w:pStyle w:val="Textonotaalfinal"/>
      </w:pPr>
      <w:r w:rsidRPr="0051721B">
        <w:tab/>
      </w:r>
      <w:r w:rsidRPr="00154216">
        <w:rPr>
          <w:rStyle w:val="Refdenotaalfinal"/>
        </w:rPr>
        <w:endnoteRef/>
      </w:r>
      <w:r w:rsidRPr="00154216">
        <w:rPr>
          <w:rStyle w:val="Refdenotaalfinal"/>
        </w:rPr>
        <w:tab/>
      </w:r>
      <w:r w:rsidRPr="0051721B">
        <w:t xml:space="preserve">Mana </w:t>
      </w:r>
      <w:proofErr w:type="spellStart"/>
      <w:r w:rsidRPr="0051721B">
        <w:t>Whaikaha</w:t>
      </w:r>
      <w:proofErr w:type="spellEnd"/>
      <w:r w:rsidRPr="0051721B">
        <w:t xml:space="preserve"> </w:t>
      </w:r>
      <w:proofErr w:type="spellStart"/>
      <w:r w:rsidRPr="0051721B">
        <w:t>reflects</w:t>
      </w:r>
      <w:proofErr w:type="spellEnd"/>
      <w:r w:rsidRPr="0051721B">
        <w:t xml:space="preserve"> </w:t>
      </w:r>
      <w:proofErr w:type="spellStart"/>
      <w:r w:rsidRPr="0051721B">
        <w:t>people’s</w:t>
      </w:r>
      <w:proofErr w:type="spellEnd"/>
      <w:r w:rsidRPr="0051721B">
        <w:t xml:space="preserve"> </w:t>
      </w:r>
      <w:proofErr w:type="spellStart"/>
      <w:r w:rsidRPr="0051721B">
        <w:t>strength</w:t>
      </w:r>
      <w:proofErr w:type="spellEnd"/>
      <w:r w:rsidRPr="0051721B">
        <w:t>, mana (</w:t>
      </w:r>
      <w:proofErr w:type="spellStart"/>
      <w:r w:rsidRPr="0051721B">
        <w:t>influence</w:t>
      </w:r>
      <w:proofErr w:type="spellEnd"/>
      <w:r w:rsidRPr="0051721B">
        <w:t xml:space="preserve">, </w:t>
      </w:r>
      <w:proofErr w:type="spellStart"/>
      <w:r w:rsidRPr="0051721B">
        <w:t>dignity</w:t>
      </w:r>
      <w:proofErr w:type="spellEnd"/>
      <w:r w:rsidRPr="0051721B">
        <w:t>) and mauri (</w:t>
      </w:r>
      <w:proofErr w:type="spellStart"/>
      <w:r w:rsidRPr="0051721B">
        <w:t>life</w:t>
      </w:r>
      <w:proofErr w:type="spellEnd"/>
      <w:r w:rsidRPr="0051721B">
        <w:t xml:space="preserve"> </w:t>
      </w:r>
      <w:proofErr w:type="spellStart"/>
      <w:r w:rsidRPr="0051721B">
        <w:t>essence</w:t>
      </w:r>
      <w:proofErr w:type="spellEnd"/>
      <w:r w:rsidRPr="0051721B">
        <w:t xml:space="preserve">). </w:t>
      </w:r>
      <w:proofErr w:type="spellStart"/>
      <w:r w:rsidRPr="0051721B">
        <w:t>Whaikaha</w:t>
      </w:r>
      <w:proofErr w:type="spellEnd"/>
      <w:r w:rsidRPr="0051721B">
        <w:t xml:space="preserve"> </w:t>
      </w:r>
      <w:proofErr w:type="spellStart"/>
      <w:r w:rsidRPr="0051721B">
        <w:t>means</w:t>
      </w:r>
      <w:proofErr w:type="spellEnd"/>
      <w:r w:rsidRPr="0051721B">
        <w:t xml:space="preserve"> </w:t>
      </w:r>
      <w:proofErr w:type="spellStart"/>
      <w:r w:rsidRPr="0051721B">
        <w:t>to</w:t>
      </w:r>
      <w:proofErr w:type="spellEnd"/>
      <w:r w:rsidRPr="0051721B">
        <w:t xml:space="preserve"> </w:t>
      </w:r>
      <w:proofErr w:type="spellStart"/>
      <w:r w:rsidRPr="0051721B">
        <w:t>have</w:t>
      </w:r>
      <w:proofErr w:type="spellEnd"/>
      <w:r w:rsidRPr="0051721B">
        <w:t xml:space="preserve"> </w:t>
      </w:r>
      <w:proofErr w:type="spellStart"/>
      <w:r w:rsidRPr="0051721B">
        <w:t>strength</w:t>
      </w:r>
      <w:proofErr w:type="spellEnd"/>
      <w:r w:rsidRPr="0051721B">
        <w:t xml:space="preserve">, </w:t>
      </w:r>
      <w:proofErr w:type="spellStart"/>
      <w:r w:rsidRPr="0051721B">
        <w:t>to</w:t>
      </w:r>
      <w:proofErr w:type="spellEnd"/>
      <w:r w:rsidRPr="0051721B">
        <w:t xml:space="preserve"> </w:t>
      </w:r>
      <w:proofErr w:type="spellStart"/>
      <w:r w:rsidRPr="0051721B">
        <w:t>have</w:t>
      </w:r>
      <w:proofErr w:type="spellEnd"/>
      <w:r w:rsidRPr="0051721B">
        <w:t xml:space="preserve"> </w:t>
      </w:r>
      <w:proofErr w:type="spellStart"/>
      <w:r w:rsidRPr="0051721B">
        <w:t>ability</w:t>
      </w:r>
      <w:proofErr w:type="spellEnd"/>
      <w:r w:rsidRPr="0051721B">
        <w:t xml:space="preserve">, </w:t>
      </w:r>
      <w:proofErr w:type="spellStart"/>
      <w:r w:rsidRPr="0051721B">
        <w:t>to</w:t>
      </w:r>
      <w:proofErr w:type="spellEnd"/>
      <w:r w:rsidRPr="0051721B">
        <w:t xml:space="preserve"> be </w:t>
      </w:r>
      <w:proofErr w:type="spellStart"/>
      <w:r w:rsidRPr="0051721B">
        <w:t>otherly</w:t>
      </w:r>
      <w:proofErr w:type="spellEnd"/>
      <w:r w:rsidRPr="0051721B">
        <w:t xml:space="preserve"> </w:t>
      </w:r>
      <w:proofErr w:type="spellStart"/>
      <w:r w:rsidRPr="0051721B">
        <w:t>abled</w:t>
      </w:r>
      <w:proofErr w:type="spellEnd"/>
      <w:r w:rsidRPr="0051721B">
        <w:t xml:space="preserve">, and </w:t>
      </w:r>
      <w:proofErr w:type="spellStart"/>
      <w:r w:rsidRPr="0051721B">
        <w:t>to</w:t>
      </w:r>
      <w:proofErr w:type="spellEnd"/>
      <w:r w:rsidRPr="0051721B">
        <w:t xml:space="preserve"> be </w:t>
      </w:r>
      <w:proofErr w:type="spellStart"/>
      <w:r w:rsidRPr="0051721B">
        <w:t>enabled</w:t>
      </w:r>
      <w:proofErr w:type="spellEnd"/>
      <w:r w:rsidRPr="0051721B">
        <w:t xml:space="preserve">. </w:t>
      </w:r>
      <w:proofErr w:type="spellStart"/>
      <w:r w:rsidRPr="0051721B">
        <w:t>See</w:t>
      </w:r>
      <w:proofErr w:type="spellEnd"/>
      <w:r w:rsidRPr="0051721B">
        <w:t xml:space="preserve"> </w:t>
      </w:r>
      <w:r w:rsidRPr="00726C15">
        <w:rPr>
          <w:rStyle w:val="Hipervnculo"/>
        </w:rPr>
        <w:t>https://</w:t>
      </w:r>
      <w:proofErr w:type="spellStart"/>
      <w:r w:rsidRPr="00726C15">
        <w:rPr>
          <w:rStyle w:val="Hipervnculo"/>
        </w:rPr>
        <w:t>manawhaikaha.co.nz</w:t>
      </w:r>
      <w:proofErr w:type="spellEnd"/>
      <w:r w:rsidRPr="00726C15">
        <w:rPr>
          <w:rStyle w:val="Hipervnculo"/>
        </w:rPr>
        <w:t>/</w:t>
      </w:r>
      <w:proofErr w:type="spellStart"/>
      <w:r w:rsidRPr="00726C15">
        <w:rPr>
          <w:rStyle w:val="Hipervnculo"/>
        </w:rPr>
        <w:t>about-us</w:t>
      </w:r>
      <w:proofErr w:type="spellEnd"/>
      <w:r w:rsidRPr="00726C15">
        <w:rPr>
          <w:rStyle w:val="Hipervnculo"/>
        </w:rPr>
        <w:t>/mana-</w:t>
      </w:r>
      <w:proofErr w:type="spellStart"/>
      <w:r w:rsidRPr="00726C15">
        <w:rPr>
          <w:rStyle w:val="Hipervnculo"/>
        </w:rPr>
        <w:t>whaikaha</w:t>
      </w:r>
      <w:proofErr w:type="spellEnd"/>
      <w:r w:rsidRPr="00726C15">
        <w:rPr>
          <w:rStyle w:val="Hipervnculo"/>
        </w:rPr>
        <w:t>-</w:t>
      </w:r>
      <w:proofErr w:type="spellStart"/>
      <w:r w:rsidRPr="00726C15">
        <w:rPr>
          <w:rStyle w:val="Hipervnculo"/>
        </w:rPr>
        <w:t>korero</w:t>
      </w:r>
      <w:proofErr w:type="spellEnd"/>
      <w:r w:rsidRPr="00726C15">
        <w:rPr>
          <w:rStyle w:val="Hipervnculo"/>
        </w:rPr>
        <w:t>/</w:t>
      </w:r>
      <w:r w:rsidRPr="0051721B">
        <w:t xml:space="preserve">. </w:t>
      </w:r>
    </w:p>
  </w:endnote>
  <w:endnote w:id="23">
    <w:p w14:paraId="581DF28B" w14:textId="77777777" w:rsidR="003665BE" w:rsidRPr="00744887"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Connectors</w:t>
      </w:r>
      <w:proofErr w:type="spellEnd"/>
      <w:r w:rsidRPr="0051721B">
        <w:t>/</w:t>
      </w:r>
      <w:proofErr w:type="spellStart"/>
      <w:r w:rsidRPr="0051721B">
        <w:t>Kaitūhono</w:t>
      </w:r>
      <w:proofErr w:type="spellEnd"/>
      <w:r w:rsidRPr="0051721B">
        <w:t xml:space="preserve"> are </w:t>
      </w:r>
      <w:proofErr w:type="spellStart"/>
      <w:r w:rsidRPr="0051721B">
        <w:t>the</w:t>
      </w:r>
      <w:proofErr w:type="spellEnd"/>
      <w:r w:rsidRPr="0051721B">
        <w:t xml:space="preserve"> </w:t>
      </w:r>
      <w:proofErr w:type="spellStart"/>
      <w:r w:rsidRPr="0051721B">
        <w:t>people</w:t>
      </w:r>
      <w:proofErr w:type="spellEnd"/>
      <w:r w:rsidRPr="0051721B">
        <w:t xml:space="preserve"> in </w:t>
      </w:r>
      <w:proofErr w:type="spellStart"/>
      <w:r w:rsidRPr="0051721B">
        <w:t>the</w:t>
      </w:r>
      <w:proofErr w:type="spellEnd"/>
      <w:r w:rsidRPr="0051721B">
        <w:t xml:space="preserve"> </w:t>
      </w:r>
      <w:proofErr w:type="spellStart"/>
      <w:r w:rsidRPr="0051721B">
        <w:t>transformed</w:t>
      </w:r>
      <w:proofErr w:type="spellEnd"/>
      <w:r w:rsidRPr="0051721B">
        <w:t xml:space="preserve"> </w:t>
      </w:r>
      <w:proofErr w:type="spellStart"/>
      <w:r w:rsidRPr="0051721B">
        <w:t>system</w:t>
      </w:r>
      <w:proofErr w:type="spellEnd"/>
      <w:r w:rsidRPr="0051721B">
        <w:t xml:space="preserve"> </w:t>
      </w:r>
      <w:proofErr w:type="spellStart"/>
      <w:r w:rsidRPr="0051721B">
        <w:t>who</w:t>
      </w:r>
      <w:proofErr w:type="spellEnd"/>
      <w:r w:rsidRPr="0051721B">
        <w:t xml:space="preserve"> can </w:t>
      </w:r>
      <w:proofErr w:type="spellStart"/>
      <w:r w:rsidRPr="0051721B">
        <w:t>walk</w:t>
      </w:r>
      <w:proofErr w:type="spellEnd"/>
      <w:r w:rsidRPr="0051721B">
        <w:t xml:space="preserve"> </w:t>
      </w:r>
      <w:proofErr w:type="spellStart"/>
      <w:r w:rsidRPr="0051721B">
        <w:t>alongside</w:t>
      </w:r>
      <w:proofErr w:type="spellEnd"/>
      <w:r w:rsidRPr="0051721B">
        <w:t xml:space="preserve"> </w:t>
      </w:r>
      <w:proofErr w:type="spellStart"/>
      <w:r w:rsidRPr="0051721B">
        <w:t>disabled</w:t>
      </w:r>
      <w:proofErr w:type="spellEnd"/>
      <w:r w:rsidRPr="0051721B">
        <w:t xml:space="preserve"> </w:t>
      </w:r>
      <w:proofErr w:type="spellStart"/>
      <w:r w:rsidRPr="0051721B">
        <w:t>people</w:t>
      </w:r>
      <w:proofErr w:type="spellEnd"/>
      <w:r w:rsidRPr="0051721B">
        <w:t xml:space="preserve"> and </w:t>
      </w:r>
      <w:proofErr w:type="spellStart"/>
      <w:r w:rsidRPr="0051721B">
        <w:t>family</w:t>
      </w:r>
      <w:proofErr w:type="spellEnd"/>
      <w:r w:rsidRPr="0051721B">
        <w:t>/</w:t>
      </w:r>
      <w:proofErr w:type="spellStart"/>
      <w:r w:rsidRPr="0051721B">
        <w:t>whānau</w:t>
      </w:r>
      <w:proofErr w:type="spellEnd"/>
      <w:r w:rsidRPr="0051721B">
        <w:t xml:space="preserve"> </w:t>
      </w:r>
      <w:proofErr w:type="spellStart"/>
      <w:r w:rsidRPr="0051721B">
        <w:t>if</w:t>
      </w:r>
      <w:proofErr w:type="spellEnd"/>
      <w:r w:rsidRPr="0051721B">
        <w:t xml:space="preserve"> </w:t>
      </w:r>
      <w:proofErr w:type="spellStart"/>
      <w:r w:rsidRPr="0051721B">
        <w:t>they</w:t>
      </w:r>
      <w:proofErr w:type="spellEnd"/>
      <w:r w:rsidRPr="0051721B">
        <w:t xml:space="preserve"> </w:t>
      </w:r>
      <w:proofErr w:type="spellStart"/>
      <w:r w:rsidRPr="0051721B">
        <w:t>choose</w:t>
      </w:r>
      <w:proofErr w:type="spellEnd"/>
      <w:r w:rsidRPr="0051721B">
        <w:t xml:space="preserve">, </w:t>
      </w:r>
      <w:proofErr w:type="spellStart"/>
      <w:r w:rsidRPr="0051721B">
        <w:t>to</w:t>
      </w:r>
      <w:proofErr w:type="spellEnd"/>
      <w:r w:rsidRPr="0051721B">
        <w:t xml:space="preserve"> </w:t>
      </w:r>
      <w:proofErr w:type="spellStart"/>
      <w:r w:rsidRPr="0051721B">
        <w:t>help</w:t>
      </w:r>
      <w:proofErr w:type="spellEnd"/>
      <w:r w:rsidRPr="0051721B">
        <w:t xml:space="preserve"> </w:t>
      </w:r>
      <w:proofErr w:type="spellStart"/>
      <w:r w:rsidRPr="0051721B">
        <w:t>them</w:t>
      </w:r>
      <w:proofErr w:type="spellEnd"/>
      <w:r w:rsidRPr="0051721B">
        <w:t xml:space="preserve"> </w:t>
      </w:r>
      <w:proofErr w:type="spellStart"/>
      <w:r w:rsidRPr="0051721B">
        <w:t>identify</w:t>
      </w:r>
      <w:proofErr w:type="spellEnd"/>
      <w:r w:rsidRPr="0051721B">
        <w:t xml:space="preserve"> </w:t>
      </w:r>
      <w:proofErr w:type="spellStart"/>
      <w:r w:rsidRPr="0051721B">
        <w:t>what</w:t>
      </w:r>
      <w:proofErr w:type="spellEnd"/>
      <w:r w:rsidRPr="0051721B">
        <w:t xml:space="preserve"> </w:t>
      </w:r>
      <w:proofErr w:type="spellStart"/>
      <w:r w:rsidRPr="0051721B">
        <w:t>they</w:t>
      </w:r>
      <w:proofErr w:type="spellEnd"/>
      <w:r w:rsidRPr="0051721B">
        <w:t xml:space="preserve"> </w:t>
      </w:r>
      <w:proofErr w:type="spellStart"/>
      <w:r w:rsidRPr="0051721B">
        <w:t>want</w:t>
      </w:r>
      <w:proofErr w:type="spellEnd"/>
      <w:r w:rsidRPr="0051721B">
        <w:t xml:space="preserve"> in </w:t>
      </w:r>
      <w:proofErr w:type="spellStart"/>
      <w:r w:rsidRPr="0051721B">
        <w:t>their</w:t>
      </w:r>
      <w:proofErr w:type="spellEnd"/>
      <w:r w:rsidRPr="0051721B">
        <w:t xml:space="preserve"> </w:t>
      </w:r>
      <w:proofErr w:type="spellStart"/>
      <w:r w:rsidRPr="0051721B">
        <w:t>lives</w:t>
      </w:r>
      <w:proofErr w:type="spellEnd"/>
      <w:r w:rsidRPr="0051721B">
        <w:t xml:space="preserve">, </w:t>
      </w:r>
      <w:proofErr w:type="spellStart"/>
      <w:r w:rsidRPr="0051721B">
        <w:t>how</w:t>
      </w:r>
      <w:proofErr w:type="spellEnd"/>
      <w:r w:rsidRPr="0051721B">
        <w:t xml:space="preserve"> </w:t>
      </w:r>
      <w:proofErr w:type="spellStart"/>
      <w:r w:rsidRPr="0051721B">
        <w:t>to</w:t>
      </w:r>
      <w:proofErr w:type="spellEnd"/>
      <w:r w:rsidRPr="0051721B">
        <w:t xml:space="preserve"> </w:t>
      </w:r>
      <w:proofErr w:type="spellStart"/>
      <w:r w:rsidRPr="0051721B">
        <w:t>build</w:t>
      </w:r>
      <w:proofErr w:type="spellEnd"/>
      <w:r w:rsidRPr="0051721B">
        <w:t xml:space="preserve"> </w:t>
      </w:r>
      <w:proofErr w:type="spellStart"/>
      <w:r w:rsidRPr="0051721B">
        <w:t>their</w:t>
      </w:r>
      <w:proofErr w:type="spellEnd"/>
      <w:r w:rsidRPr="0051721B">
        <w:t xml:space="preserve"> </w:t>
      </w:r>
      <w:proofErr w:type="spellStart"/>
      <w:r w:rsidRPr="0051721B">
        <w:t>life</w:t>
      </w:r>
      <w:proofErr w:type="spellEnd"/>
      <w:r w:rsidRPr="0051721B">
        <w:t xml:space="preserve">, and </w:t>
      </w:r>
      <w:proofErr w:type="spellStart"/>
      <w:r w:rsidRPr="0051721B">
        <w:t>the</w:t>
      </w:r>
      <w:proofErr w:type="spellEnd"/>
      <w:r w:rsidRPr="0051721B">
        <w:t xml:space="preserve"> </w:t>
      </w:r>
      <w:proofErr w:type="spellStart"/>
      <w:r w:rsidRPr="0051721B">
        <w:t>range</w:t>
      </w:r>
      <w:proofErr w:type="spellEnd"/>
      <w:r w:rsidRPr="0051721B">
        <w:t xml:space="preserve"> </w:t>
      </w:r>
      <w:proofErr w:type="spellStart"/>
      <w:r w:rsidRPr="0051721B">
        <w:t>of</w:t>
      </w:r>
      <w:proofErr w:type="spellEnd"/>
      <w:r w:rsidRPr="0051721B">
        <w:t xml:space="preserve"> </w:t>
      </w:r>
      <w:proofErr w:type="spellStart"/>
      <w:r w:rsidRPr="0051721B">
        <w:t>supports</w:t>
      </w:r>
      <w:proofErr w:type="spellEnd"/>
      <w:r w:rsidRPr="0051721B">
        <w:t xml:space="preserve"> </w:t>
      </w:r>
      <w:proofErr w:type="spellStart"/>
      <w:r w:rsidRPr="0051721B">
        <w:t>available</w:t>
      </w:r>
      <w:proofErr w:type="spellEnd"/>
      <w:r w:rsidRPr="0051721B">
        <w:t xml:space="preserve"> </w:t>
      </w:r>
      <w:proofErr w:type="spellStart"/>
      <w:r w:rsidRPr="0051721B">
        <w:t>to</w:t>
      </w:r>
      <w:proofErr w:type="spellEnd"/>
      <w:r w:rsidRPr="0051721B">
        <w:t xml:space="preserve"> </w:t>
      </w:r>
      <w:proofErr w:type="spellStart"/>
      <w:r w:rsidRPr="0051721B">
        <w:t>live</w:t>
      </w:r>
      <w:proofErr w:type="spellEnd"/>
      <w:r w:rsidRPr="0051721B">
        <w:t xml:space="preserve"> </w:t>
      </w:r>
      <w:proofErr w:type="spellStart"/>
      <w:r w:rsidRPr="0051721B">
        <w:t>their</w:t>
      </w:r>
      <w:proofErr w:type="spellEnd"/>
      <w:r w:rsidRPr="0051721B">
        <w:t xml:space="preserve"> </w:t>
      </w:r>
      <w:proofErr w:type="spellStart"/>
      <w:r w:rsidRPr="0051721B">
        <w:t>life</w:t>
      </w:r>
      <w:proofErr w:type="spellEnd"/>
      <w:r w:rsidRPr="0051721B">
        <w:t>.</w:t>
      </w:r>
    </w:p>
  </w:endnote>
  <w:endnote w:id="24">
    <w:p w14:paraId="0FEE93C5" w14:textId="77777777" w:rsidR="003665BE" w:rsidRPr="00507E45" w:rsidRDefault="003665BE" w:rsidP="00011964">
      <w:pPr>
        <w:pStyle w:val="Textonotaalfinal"/>
      </w:pPr>
      <w:r w:rsidRPr="0051721B">
        <w:tab/>
      </w:r>
      <w:r w:rsidRPr="00154216">
        <w:rPr>
          <w:rStyle w:val="Refdenotaalfinal"/>
        </w:rPr>
        <w:endnoteRef/>
      </w:r>
      <w:r w:rsidRPr="00154216">
        <w:rPr>
          <w:rStyle w:val="Refdenotaalfinal"/>
        </w:rPr>
        <w:tab/>
      </w:r>
      <w:r>
        <w:t>“</w:t>
      </w:r>
      <w:proofErr w:type="spellStart"/>
      <w:r w:rsidRPr="0051721B">
        <w:t>Oranga</w:t>
      </w:r>
      <w:proofErr w:type="spellEnd"/>
      <w:r w:rsidRPr="0051721B">
        <w:t xml:space="preserve"> </w:t>
      </w:r>
      <w:proofErr w:type="spellStart"/>
      <w:r w:rsidRPr="0051721B">
        <w:t>Tamariki</w:t>
      </w:r>
      <w:proofErr w:type="spellEnd"/>
      <w:r>
        <w:t>”</w:t>
      </w:r>
      <w:r w:rsidRPr="0051721B">
        <w:t xml:space="preserve"> </w:t>
      </w:r>
      <w:proofErr w:type="spellStart"/>
      <w:r w:rsidRPr="0051721B">
        <w:t>is</w:t>
      </w:r>
      <w:proofErr w:type="spellEnd"/>
      <w:r w:rsidRPr="0051721B">
        <w:t xml:space="preserve"> Te Reo </w:t>
      </w:r>
      <w:proofErr w:type="spellStart"/>
      <w:r w:rsidRPr="0051721B">
        <w:t>meaning</w:t>
      </w:r>
      <w:proofErr w:type="spellEnd"/>
      <w:r w:rsidRPr="0051721B">
        <w:t xml:space="preserve"> </w:t>
      </w:r>
      <w:r>
        <w:t>“</w:t>
      </w:r>
      <w:proofErr w:type="spellStart"/>
      <w:r w:rsidRPr="0051721B">
        <w:t>the</w:t>
      </w:r>
      <w:proofErr w:type="spellEnd"/>
      <w:r w:rsidRPr="0051721B">
        <w:t xml:space="preserve"> </w:t>
      </w:r>
      <w:proofErr w:type="spellStart"/>
      <w:r w:rsidRPr="0051721B">
        <w:t>wellbeing</w:t>
      </w:r>
      <w:proofErr w:type="spellEnd"/>
      <w:r w:rsidRPr="0051721B">
        <w:t xml:space="preserve"> </w:t>
      </w:r>
      <w:proofErr w:type="spellStart"/>
      <w:r w:rsidRPr="0051721B">
        <w:t>of</w:t>
      </w:r>
      <w:proofErr w:type="spellEnd"/>
      <w:r w:rsidRPr="0051721B">
        <w:t xml:space="preserve"> </w:t>
      </w:r>
      <w:proofErr w:type="spellStart"/>
      <w:r w:rsidRPr="0051721B">
        <w:t>children</w:t>
      </w:r>
      <w:proofErr w:type="spellEnd"/>
      <w:r>
        <w:t>”</w:t>
      </w:r>
      <w:r w:rsidRPr="0051721B">
        <w:t>.</w:t>
      </w:r>
    </w:p>
  </w:endnote>
  <w:endnote w:id="25">
    <w:p w14:paraId="4EA794CD" w14:textId="77777777" w:rsidR="003665BE" w:rsidRPr="00F056B9"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See</w:t>
      </w:r>
      <w:proofErr w:type="spellEnd"/>
      <w:r w:rsidRPr="0051721B">
        <w:t xml:space="preserve"> </w:t>
      </w:r>
      <w:proofErr w:type="spellStart"/>
      <w:r w:rsidRPr="00726C15">
        <w:rPr>
          <w:rStyle w:val="Hipervnculo"/>
        </w:rPr>
        <w:t>www.legislation.govt.nz</w:t>
      </w:r>
      <w:proofErr w:type="spellEnd"/>
      <w:r w:rsidRPr="00726C15">
        <w:rPr>
          <w:rStyle w:val="Hipervnculo"/>
        </w:rPr>
        <w:t>/</w:t>
      </w:r>
      <w:proofErr w:type="spellStart"/>
      <w:r w:rsidRPr="00726C15">
        <w:rPr>
          <w:rStyle w:val="Hipervnculo"/>
        </w:rPr>
        <w:t>act</w:t>
      </w:r>
      <w:proofErr w:type="spellEnd"/>
      <w:r w:rsidRPr="00726C15">
        <w:rPr>
          <w:rStyle w:val="Hipervnculo"/>
        </w:rPr>
        <w:t>/</w:t>
      </w:r>
      <w:proofErr w:type="spellStart"/>
      <w:r w:rsidRPr="00726C15">
        <w:rPr>
          <w:rStyle w:val="Hipervnculo"/>
        </w:rPr>
        <w:t>public</w:t>
      </w:r>
      <w:proofErr w:type="spellEnd"/>
      <w:r w:rsidRPr="00726C15">
        <w:rPr>
          <w:rStyle w:val="Hipervnculo"/>
        </w:rPr>
        <w:t>/2018/0032/</w:t>
      </w:r>
      <w:proofErr w:type="spellStart"/>
      <w:r w:rsidRPr="00726C15">
        <w:rPr>
          <w:rStyle w:val="Hipervnculo"/>
        </w:rPr>
        <w:t>latest</w:t>
      </w:r>
      <w:proofErr w:type="spellEnd"/>
      <w:r w:rsidRPr="00726C15">
        <w:rPr>
          <w:rStyle w:val="Hipervnculo"/>
        </w:rPr>
        <w:t>/</w:t>
      </w:r>
      <w:proofErr w:type="spellStart"/>
      <w:r w:rsidRPr="00726C15">
        <w:rPr>
          <w:rStyle w:val="Hipervnculo"/>
        </w:rPr>
        <w:t>whole.html</w:t>
      </w:r>
      <w:proofErr w:type="spellEnd"/>
      <w:r w:rsidRPr="0051721B">
        <w:t xml:space="preserve">. </w:t>
      </w:r>
    </w:p>
  </w:endnote>
  <w:endnote w:id="26">
    <w:p w14:paraId="0E046B12" w14:textId="77777777" w:rsidR="003665BE" w:rsidRPr="0061093A"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See</w:t>
      </w:r>
      <w:proofErr w:type="spellEnd"/>
      <w:r w:rsidRPr="0051721B">
        <w:t xml:space="preserve"> </w:t>
      </w:r>
      <w:r w:rsidRPr="00726C15">
        <w:rPr>
          <w:rStyle w:val="Hipervnculo"/>
        </w:rPr>
        <w:t>http://</w:t>
      </w:r>
      <w:proofErr w:type="spellStart"/>
      <w:r w:rsidRPr="00726C15">
        <w:rPr>
          <w:rStyle w:val="Hipervnculo"/>
        </w:rPr>
        <w:t>legislation.govt</w:t>
      </w:r>
      <w:proofErr w:type="spellEnd"/>
      <w:r w:rsidRPr="00726C15">
        <w:rPr>
          <w:rStyle w:val="Hipervnculo"/>
        </w:rPr>
        <w:t xml:space="preserve">. </w:t>
      </w:r>
      <w:proofErr w:type="spellStart"/>
      <w:r w:rsidRPr="00726C15">
        <w:rPr>
          <w:rStyle w:val="Hipervnculo"/>
        </w:rPr>
        <w:t>Nz</w:t>
      </w:r>
      <w:proofErr w:type="spellEnd"/>
      <w:r w:rsidRPr="00726C15">
        <w:rPr>
          <w:rStyle w:val="Hipervnculo"/>
        </w:rPr>
        <w:t>/</w:t>
      </w:r>
      <w:proofErr w:type="spellStart"/>
      <w:r w:rsidRPr="00726C15">
        <w:rPr>
          <w:rStyle w:val="Hipervnculo"/>
        </w:rPr>
        <w:t>act</w:t>
      </w:r>
      <w:proofErr w:type="spellEnd"/>
      <w:r w:rsidRPr="00726C15">
        <w:rPr>
          <w:rStyle w:val="Hipervnculo"/>
        </w:rPr>
        <w:t>/</w:t>
      </w:r>
      <w:proofErr w:type="spellStart"/>
      <w:r w:rsidRPr="00726C15">
        <w:rPr>
          <w:rStyle w:val="Hipervnculo"/>
        </w:rPr>
        <w:t>public</w:t>
      </w:r>
      <w:proofErr w:type="spellEnd"/>
      <w:r w:rsidRPr="00726C15">
        <w:rPr>
          <w:rStyle w:val="Hipervnculo"/>
        </w:rPr>
        <w:t>/2000/0091/72.0 /</w:t>
      </w:r>
      <w:proofErr w:type="spellStart"/>
      <w:r w:rsidRPr="00726C15">
        <w:rPr>
          <w:rStyle w:val="Hipervnculo"/>
        </w:rPr>
        <w:t>DLM80051.html</w:t>
      </w:r>
      <w:proofErr w:type="spellEnd"/>
      <w:r w:rsidRPr="0051721B">
        <w:t xml:space="preserve">. </w:t>
      </w:r>
    </w:p>
  </w:endnote>
  <w:endnote w:id="27">
    <w:p w14:paraId="5A8C48E9" w14:textId="77777777" w:rsidR="003665BE" w:rsidRPr="00C46F0F"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See</w:t>
      </w:r>
      <w:proofErr w:type="spellEnd"/>
      <w:r w:rsidRPr="0051721B">
        <w:t xml:space="preserve"> </w:t>
      </w:r>
      <w:proofErr w:type="spellStart"/>
      <w:r w:rsidRPr="00726C15">
        <w:rPr>
          <w:rStyle w:val="Hipervnculo"/>
        </w:rPr>
        <w:t>www.odi.govt.nz</w:t>
      </w:r>
      <w:proofErr w:type="spellEnd"/>
      <w:r w:rsidRPr="00726C15">
        <w:rPr>
          <w:rStyle w:val="Hipervnculo"/>
        </w:rPr>
        <w:t>/</w:t>
      </w:r>
      <w:proofErr w:type="spellStart"/>
      <w:r w:rsidRPr="00726C15">
        <w:rPr>
          <w:rStyle w:val="Hipervnculo"/>
        </w:rPr>
        <w:t>nz-disability-strategy</w:t>
      </w:r>
      <w:proofErr w:type="spellEnd"/>
      <w:r w:rsidRPr="00726C15">
        <w:rPr>
          <w:rStyle w:val="Hipervnculo"/>
        </w:rPr>
        <w:t>/</w:t>
      </w:r>
      <w:proofErr w:type="spellStart"/>
      <w:r w:rsidRPr="00726C15">
        <w:rPr>
          <w:rStyle w:val="Hipervnculo"/>
        </w:rPr>
        <w:t>disability</w:t>
      </w:r>
      <w:proofErr w:type="spellEnd"/>
      <w:r w:rsidRPr="00726C15">
        <w:rPr>
          <w:rStyle w:val="Hipervnculo"/>
        </w:rPr>
        <w:t>-</w:t>
      </w:r>
      <w:proofErr w:type="spellStart"/>
      <w:r w:rsidRPr="00726C15">
        <w:rPr>
          <w:rStyle w:val="Hipervnculo"/>
        </w:rPr>
        <w:t>action</w:t>
      </w:r>
      <w:proofErr w:type="spellEnd"/>
      <w:r w:rsidRPr="00726C15">
        <w:rPr>
          <w:rStyle w:val="Hipervnculo"/>
        </w:rPr>
        <w:t>-plan/</w:t>
      </w:r>
      <w:r w:rsidRPr="0051721B">
        <w:t xml:space="preserve">. </w:t>
      </w:r>
    </w:p>
  </w:endnote>
  <w:endnote w:id="28">
    <w:p w14:paraId="52D5F566" w14:textId="77777777" w:rsidR="003665BE" w:rsidRPr="00C46F0F"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Action</w:t>
      </w:r>
      <w:proofErr w:type="spellEnd"/>
      <w:r w:rsidRPr="0051721B">
        <w:t xml:space="preserve"> 9 (f) </w:t>
      </w:r>
      <w:proofErr w:type="spellStart"/>
      <w:r w:rsidRPr="0051721B">
        <w:t>refers</w:t>
      </w:r>
      <w:proofErr w:type="spellEnd"/>
      <w:r w:rsidRPr="0051721B">
        <w:t xml:space="preserve">. </w:t>
      </w:r>
      <w:proofErr w:type="spellStart"/>
      <w:r w:rsidRPr="0051721B">
        <w:t>See</w:t>
      </w:r>
      <w:proofErr w:type="spellEnd"/>
      <w:r w:rsidRPr="0051721B">
        <w:t xml:space="preserve">: </w:t>
      </w:r>
      <w:proofErr w:type="spellStart"/>
      <w:r w:rsidRPr="00726C15">
        <w:rPr>
          <w:rStyle w:val="Hipervnculo"/>
        </w:rPr>
        <w:t>www.odi.govt.nz</w:t>
      </w:r>
      <w:proofErr w:type="spellEnd"/>
      <w:r w:rsidRPr="00726C15">
        <w:rPr>
          <w:rStyle w:val="Hipervnculo"/>
        </w:rPr>
        <w:t>/</w:t>
      </w:r>
      <w:proofErr w:type="spellStart"/>
      <w:r w:rsidRPr="00726C15">
        <w:rPr>
          <w:rStyle w:val="Hipervnculo"/>
        </w:rPr>
        <w:t>nz-disability-strategy</w:t>
      </w:r>
      <w:proofErr w:type="spellEnd"/>
      <w:r w:rsidRPr="00726C15">
        <w:rPr>
          <w:rStyle w:val="Hipervnculo"/>
        </w:rPr>
        <w:t>/</w:t>
      </w:r>
      <w:proofErr w:type="spellStart"/>
      <w:r w:rsidRPr="00726C15">
        <w:rPr>
          <w:rStyle w:val="Hipervnculo"/>
        </w:rPr>
        <w:t>outcome</w:t>
      </w:r>
      <w:proofErr w:type="spellEnd"/>
      <w:r w:rsidRPr="00726C15">
        <w:rPr>
          <w:rStyle w:val="Hipervnculo"/>
        </w:rPr>
        <w:t>-8-</w:t>
      </w:r>
      <w:proofErr w:type="spellStart"/>
      <w:r w:rsidRPr="00726C15">
        <w:rPr>
          <w:rStyle w:val="Hipervnculo"/>
        </w:rPr>
        <w:t>leadership</w:t>
      </w:r>
      <w:proofErr w:type="spellEnd"/>
      <w:r w:rsidRPr="0051721B">
        <w:t xml:space="preserve">. </w:t>
      </w:r>
    </w:p>
  </w:endnote>
  <w:endnote w:id="29">
    <w:p w14:paraId="75343353" w14:textId="77777777" w:rsidR="003665BE" w:rsidRPr="00CC4B32"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The</w:t>
      </w:r>
      <w:proofErr w:type="spellEnd"/>
      <w:r w:rsidRPr="0051721B">
        <w:t xml:space="preserve"> </w:t>
      </w:r>
      <w:proofErr w:type="spellStart"/>
      <w:r w:rsidRPr="0051721B">
        <w:t>six</w:t>
      </w:r>
      <w:proofErr w:type="spellEnd"/>
      <w:r w:rsidRPr="0051721B">
        <w:t xml:space="preserve"> </w:t>
      </w:r>
      <w:proofErr w:type="spellStart"/>
      <w:r w:rsidRPr="0051721B">
        <w:t>key</w:t>
      </w:r>
      <w:proofErr w:type="spellEnd"/>
      <w:r w:rsidRPr="0051721B">
        <w:t xml:space="preserve"> </w:t>
      </w:r>
      <w:proofErr w:type="spellStart"/>
      <w:r w:rsidRPr="0051721B">
        <w:t>issues</w:t>
      </w:r>
      <w:proofErr w:type="spellEnd"/>
      <w:r w:rsidRPr="0051721B">
        <w:t xml:space="preserve"> are: data, </w:t>
      </w:r>
      <w:proofErr w:type="spellStart"/>
      <w:r w:rsidRPr="0051721B">
        <w:t>education</w:t>
      </w:r>
      <w:proofErr w:type="spellEnd"/>
      <w:r w:rsidRPr="0051721B">
        <w:t xml:space="preserve">, </w:t>
      </w:r>
      <w:proofErr w:type="spellStart"/>
      <w:r w:rsidRPr="0051721B">
        <w:t>employment</w:t>
      </w:r>
      <w:proofErr w:type="spellEnd"/>
      <w:r w:rsidRPr="0051721B">
        <w:t xml:space="preserve">, </w:t>
      </w:r>
      <w:proofErr w:type="spellStart"/>
      <w:r w:rsidRPr="0051721B">
        <w:t>access</w:t>
      </w:r>
      <w:proofErr w:type="spellEnd"/>
      <w:r w:rsidRPr="0051721B">
        <w:t xml:space="preserve"> </w:t>
      </w:r>
      <w:proofErr w:type="spellStart"/>
      <w:r w:rsidRPr="0051721B">
        <w:t>to</w:t>
      </w:r>
      <w:proofErr w:type="spellEnd"/>
      <w:r w:rsidRPr="0051721B">
        <w:t xml:space="preserve"> </w:t>
      </w:r>
      <w:proofErr w:type="spellStart"/>
      <w:r w:rsidRPr="0051721B">
        <w:t>information</w:t>
      </w:r>
      <w:proofErr w:type="spellEnd"/>
      <w:r w:rsidRPr="0051721B">
        <w:t xml:space="preserve">, </w:t>
      </w:r>
      <w:proofErr w:type="spellStart"/>
      <w:r w:rsidRPr="0051721B">
        <w:t>seclusion</w:t>
      </w:r>
      <w:proofErr w:type="spellEnd"/>
      <w:r w:rsidRPr="0051721B">
        <w:t xml:space="preserve"> and </w:t>
      </w:r>
      <w:proofErr w:type="spellStart"/>
      <w:r w:rsidRPr="0051721B">
        <w:t>restraint</w:t>
      </w:r>
      <w:proofErr w:type="spellEnd"/>
      <w:r w:rsidRPr="0051721B">
        <w:t xml:space="preserve"> and housing. </w:t>
      </w:r>
      <w:proofErr w:type="spellStart"/>
      <w:r w:rsidRPr="0051721B">
        <w:t>These</w:t>
      </w:r>
      <w:proofErr w:type="spellEnd"/>
      <w:r w:rsidRPr="0051721B">
        <w:t xml:space="preserve"> </w:t>
      </w:r>
      <w:proofErr w:type="spellStart"/>
      <w:r w:rsidRPr="0051721B">
        <w:t>issues</w:t>
      </w:r>
      <w:proofErr w:type="spellEnd"/>
      <w:r w:rsidRPr="0051721B">
        <w:t xml:space="preserve"> </w:t>
      </w:r>
      <w:proofErr w:type="spellStart"/>
      <w:r w:rsidRPr="0051721B">
        <w:t>were</w:t>
      </w:r>
      <w:proofErr w:type="spellEnd"/>
      <w:r w:rsidRPr="0051721B">
        <w:t xml:space="preserve"> </w:t>
      </w:r>
      <w:proofErr w:type="spellStart"/>
      <w:r w:rsidRPr="0051721B">
        <w:t>identified</w:t>
      </w:r>
      <w:proofErr w:type="spellEnd"/>
      <w:r w:rsidRPr="0051721B">
        <w:t xml:space="preserve"> </w:t>
      </w:r>
      <w:proofErr w:type="spellStart"/>
      <w:r w:rsidRPr="0051721B">
        <w:t>by</w:t>
      </w:r>
      <w:proofErr w:type="spellEnd"/>
      <w:r w:rsidRPr="0051721B">
        <w:t xml:space="preserve"> </w:t>
      </w:r>
      <w:proofErr w:type="spellStart"/>
      <w:r w:rsidRPr="0051721B">
        <w:t>the</w:t>
      </w:r>
      <w:proofErr w:type="spellEnd"/>
      <w:r w:rsidRPr="0051721B">
        <w:t xml:space="preserve"> </w:t>
      </w:r>
      <w:proofErr w:type="spellStart"/>
      <w:r w:rsidRPr="0051721B">
        <w:t>Independent</w:t>
      </w:r>
      <w:proofErr w:type="spellEnd"/>
      <w:r w:rsidRPr="0051721B">
        <w:t xml:space="preserve"> </w:t>
      </w:r>
      <w:proofErr w:type="spellStart"/>
      <w:r w:rsidRPr="0051721B">
        <w:t>Monitoring</w:t>
      </w:r>
      <w:proofErr w:type="spellEnd"/>
      <w:r w:rsidRPr="0051721B">
        <w:t xml:space="preserve"> </w:t>
      </w:r>
      <w:proofErr w:type="spellStart"/>
      <w:r w:rsidRPr="0051721B">
        <w:t>Mechanism</w:t>
      </w:r>
      <w:proofErr w:type="spellEnd"/>
      <w:r w:rsidRPr="0051721B">
        <w:t xml:space="preserve"> in </w:t>
      </w:r>
      <w:proofErr w:type="spellStart"/>
      <w:r w:rsidRPr="0051721B">
        <w:t>their</w:t>
      </w:r>
      <w:proofErr w:type="spellEnd"/>
      <w:r w:rsidRPr="0051721B">
        <w:t xml:space="preserve"> </w:t>
      </w:r>
      <w:proofErr w:type="spellStart"/>
      <w:r w:rsidRPr="0051721B">
        <w:t>report</w:t>
      </w:r>
      <w:proofErr w:type="spellEnd"/>
      <w:r w:rsidRPr="0051721B">
        <w:t xml:space="preserve"> </w:t>
      </w:r>
      <w:proofErr w:type="spellStart"/>
      <w:r w:rsidRPr="0051721B">
        <w:t>to</w:t>
      </w:r>
      <w:proofErr w:type="spellEnd"/>
      <w:r w:rsidRPr="0051721B">
        <w:t xml:space="preserve"> </w:t>
      </w:r>
      <w:proofErr w:type="spellStart"/>
      <w:r w:rsidRPr="0051721B">
        <w:t>the</w:t>
      </w:r>
      <w:proofErr w:type="spellEnd"/>
      <w:r w:rsidRPr="0051721B">
        <w:t xml:space="preserve"> </w:t>
      </w:r>
      <w:proofErr w:type="spellStart"/>
      <w:r w:rsidRPr="0051721B">
        <w:t>Committee</w:t>
      </w:r>
      <w:proofErr w:type="spellEnd"/>
      <w:r w:rsidRPr="0051721B">
        <w:t xml:space="preserve"> (</w:t>
      </w:r>
      <w:proofErr w:type="spellStart"/>
      <w:r w:rsidRPr="0051721B">
        <w:t>November</w:t>
      </w:r>
      <w:proofErr w:type="spellEnd"/>
      <w:r w:rsidRPr="0051721B">
        <w:t xml:space="preserve"> 2017) </w:t>
      </w:r>
      <w:r w:rsidRPr="00726C15">
        <w:rPr>
          <w:rStyle w:val="Hipervnculo"/>
        </w:rPr>
        <w:t>www.hrc.co.nz/your-rights/people-disabilities/our-work/making-disability-rights-real/</w:t>
      </w:r>
      <w:r w:rsidRPr="0051721B">
        <w:t>.</w:t>
      </w:r>
    </w:p>
  </w:endnote>
  <w:endnote w:id="30">
    <w:p w14:paraId="6EA1FF38" w14:textId="77777777" w:rsidR="003665BE" w:rsidRPr="00C46F0F"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See</w:t>
      </w:r>
      <w:proofErr w:type="spellEnd"/>
      <w:r w:rsidRPr="0051721B">
        <w:t xml:space="preserve"> </w:t>
      </w:r>
      <w:r w:rsidRPr="00726C15">
        <w:rPr>
          <w:rStyle w:val="Hipervnculo"/>
        </w:rPr>
        <w:t>www.odi.govt.nz/nz-disability-strategy/about-the-strategy/new-zealand-disability-strategy-2016-2026/</w:t>
      </w:r>
      <w:r w:rsidRPr="0051721B">
        <w:t xml:space="preserve">. </w:t>
      </w:r>
    </w:p>
  </w:endnote>
  <w:endnote w:id="31">
    <w:p w14:paraId="57C90226" w14:textId="77777777" w:rsidR="003665BE" w:rsidRPr="00BD284F"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The</w:t>
      </w:r>
      <w:proofErr w:type="spellEnd"/>
      <w:r w:rsidRPr="0051721B">
        <w:t xml:space="preserve"> New </w:t>
      </w:r>
      <w:proofErr w:type="spellStart"/>
      <w:r w:rsidRPr="0051721B">
        <w:t>Zealand</w:t>
      </w:r>
      <w:proofErr w:type="spellEnd"/>
      <w:r w:rsidRPr="0051721B">
        <w:t xml:space="preserve"> </w:t>
      </w:r>
      <w:proofErr w:type="spellStart"/>
      <w:r w:rsidRPr="0051721B">
        <w:t>Disability</w:t>
      </w:r>
      <w:proofErr w:type="spellEnd"/>
      <w:r w:rsidRPr="0051721B">
        <w:t xml:space="preserve"> </w:t>
      </w:r>
      <w:proofErr w:type="spellStart"/>
      <w:r w:rsidRPr="0051721B">
        <w:t>Strategy</w:t>
      </w:r>
      <w:proofErr w:type="spellEnd"/>
      <w:r w:rsidRPr="0051721B">
        <w:t xml:space="preserve"> </w:t>
      </w:r>
      <w:proofErr w:type="spellStart"/>
      <w:r w:rsidRPr="0051721B">
        <w:t>Revision</w:t>
      </w:r>
      <w:proofErr w:type="spellEnd"/>
      <w:r w:rsidRPr="0051721B">
        <w:t xml:space="preserve"> Reference </w:t>
      </w:r>
      <w:proofErr w:type="spellStart"/>
      <w:r w:rsidRPr="0051721B">
        <w:t>Group</w:t>
      </w:r>
      <w:proofErr w:type="spellEnd"/>
      <w:r w:rsidRPr="0051721B">
        <w:t xml:space="preserve"> and </w:t>
      </w:r>
      <w:proofErr w:type="spellStart"/>
      <w:r w:rsidRPr="0051721B">
        <w:t>the</w:t>
      </w:r>
      <w:proofErr w:type="spellEnd"/>
      <w:r w:rsidRPr="0051721B">
        <w:t xml:space="preserve"> </w:t>
      </w:r>
      <w:proofErr w:type="spellStart"/>
      <w:r w:rsidRPr="0051721B">
        <w:t>DPO</w:t>
      </w:r>
      <w:proofErr w:type="spellEnd"/>
      <w:r w:rsidRPr="0051721B">
        <w:t xml:space="preserve"> </w:t>
      </w:r>
      <w:proofErr w:type="spellStart"/>
      <w:r w:rsidRPr="0051721B">
        <w:t>Coalition</w:t>
      </w:r>
      <w:proofErr w:type="spellEnd"/>
      <w:r w:rsidRPr="0051721B">
        <w:t>.</w:t>
      </w:r>
    </w:p>
  </w:endnote>
  <w:endnote w:id="32">
    <w:p w14:paraId="556460EB" w14:textId="77777777" w:rsidR="003665BE"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See</w:t>
      </w:r>
      <w:proofErr w:type="spellEnd"/>
      <w:r w:rsidRPr="0051721B">
        <w:t xml:space="preserve"> </w:t>
      </w:r>
      <w:r w:rsidRPr="00726C15">
        <w:rPr>
          <w:rStyle w:val="Hipervnculo"/>
        </w:rPr>
        <w:t>www.odi.govt.nz/nz-disability-strategy/about-the-strategy/new-zealand-disability-strategy-2016-2026/2016-revision-of-the-strategy/new-zealand-disability-strategy-revision-reference-group/</w:t>
      </w:r>
      <w:r w:rsidRPr="0051721B">
        <w:t>.</w:t>
      </w:r>
    </w:p>
  </w:endnote>
  <w:endnote w:id="33">
    <w:p w14:paraId="06E6ED8B" w14:textId="77777777" w:rsidR="003665BE" w:rsidRPr="00027302"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See</w:t>
      </w:r>
      <w:proofErr w:type="spellEnd"/>
      <w:r w:rsidRPr="0051721B">
        <w:t xml:space="preserve">: </w:t>
      </w:r>
      <w:r w:rsidRPr="00726C15">
        <w:rPr>
          <w:rStyle w:val="Hipervnculo"/>
        </w:rPr>
        <w:t>www.odi.govt.nz/united-nations-convention-on-the-rights-of-persons-with-disabilities/nzs-monitoring-framework/report-on-the-review-of-disabled-people-led-monitoring</w:t>
      </w:r>
      <w:r w:rsidRPr="0051721B">
        <w:t xml:space="preserve">. </w:t>
      </w:r>
    </w:p>
  </w:endnote>
  <w:endnote w:id="34">
    <w:p w14:paraId="64339CA0" w14:textId="77777777" w:rsidR="003665BE" w:rsidRPr="00507E45"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See</w:t>
      </w:r>
      <w:proofErr w:type="spellEnd"/>
      <w:r w:rsidRPr="0051721B">
        <w:t xml:space="preserve"> </w:t>
      </w:r>
      <w:r w:rsidRPr="00726C15">
        <w:rPr>
          <w:rStyle w:val="Hipervnculo"/>
        </w:rPr>
        <w:t>http://</w:t>
      </w:r>
      <w:proofErr w:type="spellStart"/>
      <w:r w:rsidRPr="00726C15">
        <w:rPr>
          <w:rStyle w:val="Hipervnculo"/>
        </w:rPr>
        <w:t>www.donaldbeasley.org.nz</w:t>
      </w:r>
      <w:proofErr w:type="spellEnd"/>
      <w:r w:rsidRPr="00726C15">
        <w:rPr>
          <w:rStyle w:val="Hipervnculo"/>
        </w:rPr>
        <w:t>/</w:t>
      </w:r>
      <w:r w:rsidRPr="0051721B">
        <w:t xml:space="preserve">. </w:t>
      </w:r>
    </w:p>
  </w:endnote>
  <w:endnote w:id="35">
    <w:p w14:paraId="2B0C89A2" w14:textId="77777777" w:rsidR="003665BE" w:rsidRPr="00C46F0F"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Including</w:t>
      </w:r>
      <w:proofErr w:type="spellEnd"/>
      <w:r w:rsidRPr="0051721B">
        <w:t xml:space="preserve"> </w:t>
      </w:r>
      <w:proofErr w:type="spellStart"/>
      <w:r w:rsidRPr="0051721B">
        <w:t>but</w:t>
      </w:r>
      <w:proofErr w:type="spellEnd"/>
      <w:r w:rsidRPr="0051721B">
        <w:t xml:space="preserve"> </w:t>
      </w:r>
      <w:proofErr w:type="spellStart"/>
      <w:r w:rsidRPr="0051721B">
        <w:t>not</w:t>
      </w:r>
      <w:proofErr w:type="spellEnd"/>
      <w:r w:rsidRPr="0051721B">
        <w:t xml:space="preserve"> </w:t>
      </w:r>
      <w:proofErr w:type="spellStart"/>
      <w:r w:rsidRPr="0051721B">
        <w:t>limited</w:t>
      </w:r>
      <w:proofErr w:type="spellEnd"/>
      <w:r w:rsidRPr="0051721B">
        <w:t xml:space="preserve"> </w:t>
      </w:r>
      <w:proofErr w:type="spellStart"/>
      <w:r w:rsidRPr="0051721B">
        <w:t>to</w:t>
      </w:r>
      <w:proofErr w:type="spellEnd"/>
      <w:r w:rsidRPr="0051721B">
        <w:t xml:space="preserve"> </w:t>
      </w:r>
      <w:proofErr w:type="spellStart"/>
      <w:r w:rsidRPr="0051721B">
        <w:t>employment</w:t>
      </w:r>
      <w:proofErr w:type="spellEnd"/>
      <w:r w:rsidRPr="0051721B">
        <w:t xml:space="preserve"> </w:t>
      </w:r>
      <w:proofErr w:type="spellStart"/>
      <w:r w:rsidRPr="0051721B">
        <w:t>matters</w:t>
      </w:r>
      <w:proofErr w:type="spellEnd"/>
      <w:r w:rsidRPr="0051721B">
        <w:t xml:space="preserve">, </w:t>
      </w:r>
      <w:proofErr w:type="spellStart"/>
      <w:r w:rsidRPr="0051721B">
        <w:t>provision</w:t>
      </w:r>
      <w:proofErr w:type="spellEnd"/>
      <w:r w:rsidRPr="0051721B">
        <w:t xml:space="preserve"> </w:t>
      </w:r>
      <w:proofErr w:type="spellStart"/>
      <w:r w:rsidRPr="0051721B">
        <w:t>of</w:t>
      </w:r>
      <w:proofErr w:type="spellEnd"/>
      <w:r w:rsidRPr="0051721B">
        <w:t xml:space="preserve"> </w:t>
      </w:r>
      <w:proofErr w:type="spellStart"/>
      <w:r w:rsidRPr="0051721B">
        <w:t>goods</w:t>
      </w:r>
      <w:proofErr w:type="spellEnd"/>
      <w:r w:rsidRPr="0051721B">
        <w:t xml:space="preserve"> and </w:t>
      </w:r>
      <w:proofErr w:type="spellStart"/>
      <w:r w:rsidRPr="0051721B">
        <w:t>services</w:t>
      </w:r>
      <w:proofErr w:type="spellEnd"/>
      <w:r w:rsidRPr="0051721B">
        <w:t xml:space="preserve">, and </w:t>
      </w:r>
      <w:proofErr w:type="spellStart"/>
      <w:r w:rsidRPr="0051721B">
        <w:t>access</w:t>
      </w:r>
      <w:proofErr w:type="spellEnd"/>
      <w:r w:rsidRPr="0051721B">
        <w:t xml:space="preserve"> </w:t>
      </w:r>
      <w:proofErr w:type="spellStart"/>
      <w:r w:rsidRPr="0051721B">
        <w:t>to</w:t>
      </w:r>
      <w:proofErr w:type="spellEnd"/>
      <w:r w:rsidRPr="0051721B">
        <w:t xml:space="preserve"> </w:t>
      </w:r>
      <w:proofErr w:type="spellStart"/>
      <w:r w:rsidRPr="0051721B">
        <w:t>public</w:t>
      </w:r>
      <w:proofErr w:type="spellEnd"/>
      <w:r w:rsidRPr="0051721B">
        <w:t xml:space="preserve"> places and </w:t>
      </w:r>
      <w:proofErr w:type="spellStart"/>
      <w:r w:rsidRPr="0051721B">
        <w:t>facilities</w:t>
      </w:r>
      <w:proofErr w:type="spellEnd"/>
      <w:r w:rsidRPr="0051721B">
        <w:t>.</w:t>
      </w:r>
    </w:p>
  </w:endnote>
  <w:endnote w:id="36">
    <w:p w14:paraId="1B08C7B9" w14:textId="77777777" w:rsidR="003665BE" w:rsidRPr="000239B1" w:rsidRDefault="003665BE" w:rsidP="00011964">
      <w:pPr>
        <w:pStyle w:val="Textonotaalfinal"/>
      </w:pPr>
      <w:r w:rsidRPr="0051721B">
        <w:tab/>
      </w:r>
      <w:r w:rsidRPr="00154216">
        <w:rPr>
          <w:rStyle w:val="Refdenotaalfinal"/>
        </w:rPr>
        <w:endnoteRef/>
      </w:r>
      <w:r w:rsidRPr="00154216">
        <w:rPr>
          <w:rStyle w:val="Refdenotaalfinal"/>
        </w:rPr>
        <w:tab/>
      </w:r>
      <w:r w:rsidRPr="0051721B">
        <w:t xml:space="preserve">In </w:t>
      </w:r>
      <w:proofErr w:type="spellStart"/>
      <w:r w:rsidRPr="0051721B">
        <w:t>the</w:t>
      </w:r>
      <w:proofErr w:type="spellEnd"/>
      <w:r w:rsidRPr="0051721B">
        <w:t xml:space="preserve"> </w:t>
      </w:r>
      <w:proofErr w:type="spellStart"/>
      <w:r w:rsidRPr="0051721B">
        <w:t>Act</w:t>
      </w:r>
      <w:proofErr w:type="spellEnd"/>
      <w:r w:rsidRPr="0051721B">
        <w:t xml:space="preserve">, </w:t>
      </w:r>
      <w:proofErr w:type="spellStart"/>
      <w:r w:rsidRPr="0051721B">
        <w:t>disability</w:t>
      </w:r>
      <w:proofErr w:type="spellEnd"/>
      <w:r w:rsidRPr="0051721B">
        <w:t xml:space="preserve"> </w:t>
      </w:r>
      <w:proofErr w:type="spellStart"/>
      <w:r w:rsidRPr="0051721B">
        <w:t>is</w:t>
      </w:r>
      <w:proofErr w:type="spellEnd"/>
      <w:r w:rsidRPr="0051721B">
        <w:t xml:space="preserve"> </w:t>
      </w:r>
      <w:proofErr w:type="spellStart"/>
      <w:r w:rsidRPr="0051721B">
        <w:t>defined</w:t>
      </w:r>
      <w:proofErr w:type="spellEnd"/>
      <w:r w:rsidRPr="0051721B">
        <w:t xml:space="preserve"> as: </w:t>
      </w:r>
      <w:proofErr w:type="spellStart"/>
      <w:r w:rsidRPr="0051721B">
        <w:t>physical</w:t>
      </w:r>
      <w:proofErr w:type="spellEnd"/>
      <w:r w:rsidRPr="0051721B">
        <w:t xml:space="preserve"> </w:t>
      </w:r>
      <w:proofErr w:type="spellStart"/>
      <w:r w:rsidRPr="0051721B">
        <w:t>disability</w:t>
      </w:r>
      <w:proofErr w:type="spellEnd"/>
      <w:r w:rsidRPr="0051721B">
        <w:t xml:space="preserve"> </w:t>
      </w:r>
      <w:proofErr w:type="spellStart"/>
      <w:r w:rsidRPr="0051721B">
        <w:t>or</w:t>
      </w:r>
      <w:proofErr w:type="spellEnd"/>
      <w:r w:rsidRPr="0051721B">
        <w:t xml:space="preserve"> </w:t>
      </w:r>
      <w:proofErr w:type="spellStart"/>
      <w:r w:rsidRPr="0051721B">
        <w:t>impairment</w:t>
      </w:r>
      <w:proofErr w:type="spellEnd"/>
      <w:r w:rsidRPr="0051721B">
        <w:t xml:space="preserve">, </w:t>
      </w:r>
      <w:proofErr w:type="spellStart"/>
      <w:r w:rsidRPr="0051721B">
        <w:t>physical</w:t>
      </w:r>
      <w:proofErr w:type="spellEnd"/>
      <w:r w:rsidRPr="0051721B">
        <w:t xml:space="preserve"> </w:t>
      </w:r>
      <w:proofErr w:type="spellStart"/>
      <w:r w:rsidRPr="0051721B">
        <w:t>illness</w:t>
      </w:r>
      <w:proofErr w:type="spellEnd"/>
      <w:r w:rsidRPr="0051721B">
        <w:t xml:space="preserve">, </w:t>
      </w:r>
      <w:proofErr w:type="spellStart"/>
      <w:r w:rsidRPr="0051721B">
        <w:t>psychiatric</w:t>
      </w:r>
      <w:proofErr w:type="spellEnd"/>
      <w:r w:rsidRPr="0051721B">
        <w:t xml:space="preserve"> </w:t>
      </w:r>
      <w:proofErr w:type="spellStart"/>
      <w:r w:rsidRPr="0051721B">
        <w:t>illness</w:t>
      </w:r>
      <w:proofErr w:type="spellEnd"/>
      <w:r w:rsidRPr="0051721B">
        <w:t xml:space="preserve">, </w:t>
      </w:r>
      <w:proofErr w:type="spellStart"/>
      <w:r w:rsidRPr="0051721B">
        <w:t>intellectual</w:t>
      </w:r>
      <w:proofErr w:type="spellEnd"/>
      <w:r w:rsidRPr="0051721B">
        <w:t xml:space="preserve"> </w:t>
      </w:r>
      <w:proofErr w:type="spellStart"/>
      <w:r w:rsidRPr="0051721B">
        <w:t>or</w:t>
      </w:r>
      <w:proofErr w:type="spellEnd"/>
      <w:r w:rsidRPr="0051721B">
        <w:t xml:space="preserve"> </w:t>
      </w:r>
      <w:proofErr w:type="spellStart"/>
      <w:r w:rsidRPr="0051721B">
        <w:t>psychological</w:t>
      </w:r>
      <w:proofErr w:type="spellEnd"/>
      <w:r w:rsidRPr="0051721B">
        <w:t xml:space="preserve"> </w:t>
      </w:r>
      <w:proofErr w:type="spellStart"/>
      <w:r w:rsidRPr="0051721B">
        <w:t>disability</w:t>
      </w:r>
      <w:proofErr w:type="spellEnd"/>
      <w:r w:rsidRPr="0051721B">
        <w:t xml:space="preserve"> </w:t>
      </w:r>
      <w:proofErr w:type="spellStart"/>
      <w:r w:rsidRPr="0051721B">
        <w:t>or</w:t>
      </w:r>
      <w:proofErr w:type="spellEnd"/>
      <w:r w:rsidRPr="0051721B">
        <w:t xml:space="preserve"> </w:t>
      </w:r>
      <w:proofErr w:type="spellStart"/>
      <w:r w:rsidRPr="0051721B">
        <w:t>impairment</w:t>
      </w:r>
      <w:proofErr w:type="spellEnd"/>
      <w:r w:rsidRPr="0051721B">
        <w:t xml:space="preserve">, </w:t>
      </w:r>
      <w:proofErr w:type="spellStart"/>
      <w:r w:rsidRPr="0051721B">
        <w:t>any</w:t>
      </w:r>
      <w:proofErr w:type="spellEnd"/>
      <w:r w:rsidRPr="0051721B">
        <w:t xml:space="preserve"> </w:t>
      </w:r>
      <w:proofErr w:type="spellStart"/>
      <w:r w:rsidRPr="0051721B">
        <w:t>other</w:t>
      </w:r>
      <w:proofErr w:type="spellEnd"/>
      <w:r w:rsidRPr="0051721B">
        <w:t xml:space="preserve"> </w:t>
      </w:r>
      <w:proofErr w:type="spellStart"/>
      <w:r w:rsidRPr="0051721B">
        <w:t>loss</w:t>
      </w:r>
      <w:proofErr w:type="spellEnd"/>
      <w:r w:rsidRPr="0051721B">
        <w:t xml:space="preserve"> </w:t>
      </w:r>
      <w:proofErr w:type="spellStart"/>
      <w:r w:rsidRPr="0051721B">
        <w:t>or</w:t>
      </w:r>
      <w:proofErr w:type="spellEnd"/>
      <w:r w:rsidRPr="0051721B">
        <w:t xml:space="preserve"> </w:t>
      </w:r>
      <w:proofErr w:type="spellStart"/>
      <w:r w:rsidRPr="0051721B">
        <w:t>abnormality</w:t>
      </w:r>
      <w:proofErr w:type="spellEnd"/>
      <w:r w:rsidRPr="0051721B">
        <w:t xml:space="preserve"> </w:t>
      </w:r>
      <w:proofErr w:type="spellStart"/>
      <w:r w:rsidRPr="0051721B">
        <w:t>of</w:t>
      </w:r>
      <w:proofErr w:type="spellEnd"/>
      <w:r w:rsidRPr="0051721B">
        <w:t xml:space="preserve"> </w:t>
      </w:r>
      <w:proofErr w:type="spellStart"/>
      <w:r w:rsidRPr="0051721B">
        <w:t>psychological</w:t>
      </w:r>
      <w:proofErr w:type="spellEnd"/>
      <w:r w:rsidRPr="0051721B">
        <w:t xml:space="preserve">, </w:t>
      </w:r>
      <w:proofErr w:type="spellStart"/>
      <w:r w:rsidRPr="0051721B">
        <w:t>physiological</w:t>
      </w:r>
      <w:proofErr w:type="spellEnd"/>
      <w:r w:rsidRPr="0051721B">
        <w:t xml:space="preserve">, </w:t>
      </w:r>
      <w:proofErr w:type="spellStart"/>
      <w:r w:rsidRPr="0051721B">
        <w:t>or</w:t>
      </w:r>
      <w:proofErr w:type="spellEnd"/>
      <w:r w:rsidRPr="0051721B">
        <w:t xml:space="preserve"> </w:t>
      </w:r>
      <w:proofErr w:type="spellStart"/>
      <w:r w:rsidRPr="0051721B">
        <w:t>anatomical</w:t>
      </w:r>
      <w:proofErr w:type="spellEnd"/>
      <w:r w:rsidRPr="0051721B">
        <w:t xml:space="preserve"> </w:t>
      </w:r>
      <w:proofErr w:type="spellStart"/>
      <w:r w:rsidRPr="0051721B">
        <w:t>structure</w:t>
      </w:r>
      <w:proofErr w:type="spellEnd"/>
      <w:r w:rsidRPr="0051721B">
        <w:t xml:space="preserve"> </w:t>
      </w:r>
      <w:proofErr w:type="spellStart"/>
      <w:r w:rsidRPr="0051721B">
        <w:t>or</w:t>
      </w:r>
      <w:proofErr w:type="spellEnd"/>
      <w:r w:rsidRPr="0051721B">
        <w:t xml:space="preserve"> </w:t>
      </w:r>
      <w:proofErr w:type="spellStart"/>
      <w:r w:rsidRPr="0051721B">
        <w:t>function</w:t>
      </w:r>
      <w:proofErr w:type="spellEnd"/>
      <w:r w:rsidRPr="0051721B">
        <w:t xml:space="preserve">, </w:t>
      </w:r>
      <w:proofErr w:type="spellStart"/>
      <w:r w:rsidRPr="0051721B">
        <w:t>reliance</w:t>
      </w:r>
      <w:proofErr w:type="spellEnd"/>
      <w:r w:rsidRPr="0051721B">
        <w:t xml:space="preserve"> </w:t>
      </w:r>
      <w:proofErr w:type="spellStart"/>
      <w:r w:rsidRPr="0051721B">
        <w:t>on</w:t>
      </w:r>
      <w:proofErr w:type="spellEnd"/>
      <w:r w:rsidRPr="0051721B">
        <w:t xml:space="preserve"> a </w:t>
      </w:r>
      <w:proofErr w:type="spellStart"/>
      <w:r w:rsidRPr="0051721B">
        <w:t>guide</w:t>
      </w:r>
      <w:proofErr w:type="spellEnd"/>
      <w:r w:rsidRPr="0051721B">
        <w:t xml:space="preserve"> </w:t>
      </w:r>
      <w:proofErr w:type="spellStart"/>
      <w:r w:rsidRPr="0051721B">
        <w:t>dog</w:t>
      </w:r>
      <w:proofErr w:type="spellEnd"/>
      <w:r w:rsidRPr="0051721B">
        <w:t xml:space="preserve">, </w:t>
      </w:r>
      <w:proofErr w:type="spellStart"/>
      <w:r w:rsidRPr="0051721B">
        <w:t>wheelchair</w:t>
      </w:r>
      <w:proofErr w:type="spellEnd"/>
      <w:r w:rsidRPr="0051721B">
        <w:t xml:space="preserve">, </w:t>
      </w:r>
      <w:proofErr w:type="spellStart"/>
      <w:r w:rsidRPr="0051721B">
        <w:t>or</w:t>
      </w:r>
      <w:proofErr w:type="spellEnd"/>
      <w:r w:rsidRPr="0051721B">
        <w:t xml:space="preserve"> </w:t>
      </w:r>
      <w:proofErr w:type="spellStart"/>
      <w:r w:rsidRPr="0051721B">
        <w:t>other</w:t>
      </w:r>
      <w:proofErr w:type="spellEnd"/>
      <w:r w:rsidRPr="0051721B">
        <w:t xml:space="preserve"> remedial </w:t>
      </w:r>
      <w:proofErr w:type="spellStart"/>
      <w:r w:rsidRPr="0051721B">
        <w:t>means</w:t>
      </w:r>
      <w:proofErr w:type="spellEnd"/>
      <w:r w:rsidRPr="0051721B">
        <w:t xml:space="preserve">, and </w:t>
      </w:r>
      <w:proofErr w:type="spellStart"/>
      <w:r w:rsidRPr="0051721B">
        <w:t>the</w:t>
      </w:r>
      <w:proofErr w:type="spellEnd"/>
      <w:r w:rsidRPr="0051721B">
        <w:t xml:space="preserve"> </w:t>
      </w:r>
      <w:proofErr w:type="spellStart"/>
      <w:r w:rsidRPr="0051721B">
        <w:t>presence</w:t>
      </w:r>
      <w:proofErr w:type="spellEnd"/>
      <w:r w:rsidRPr="0051721B">
        <w:t xml:space="preserve"> in </w:t>
      </w:r>
      <w:proofErr w:type="spellStart"/>
      <w:r w:rsidRPr="0051721B">
        <w:t>the</w:t>
      </w:r>
      <w:proofErr w:type="spellEnd"/>
      <w:r w:rsidRPr="0051721B">
        <w:t xml:space="preserve"> </w:t>
      </w:r>
      <w:proofErr w:type="spellStart"/>
      <w:r w:rsidRPr="0051721B">
        <w:t>body</w:t>
      </w:r>
      <w:proofErr w:type="spellEnd"/>
      <w:r w:rsidRPr="0051721B">
        <w:t xml:space="preserve"> </w:t>
      </w:r>
      <w:proofErr w:type="spellStart"/>
      <w:r w:rsidRPr="0051721B">
        <w:t>of</w:t>
      </w:r>
      <w:proofErr w:type="spellEnd"/>
      <w:r w:rsidRPr="0051721B">
        <w:t xml:space="preserve"> </w:t>
      </w:r>
      <w:proofErr w:type="spellStart"/>
      <w:r w:rsidRPr="0051721B">
        <w:t>organisms</w:t>
      </w:r>
      <w:proofErr w:type="spellEnd"/>
      <w:r w:rsidRPr="0051721B">
        <w:t xml:space="preserve"> </w:t>
      </w:r>
      <w:proofErr w:type="spellStart"/>
      <w:r w:rsidRPr="0051721B">
        <w:t>capable</w:t>
      </w:r>
      <w:proofErr w:type="spellEnd"/>
      <w:r w:rsidRPr="0051721B">
        <w:t xml:space="preserve"> </w:t>
      </w:r>
      <w:proofErr w:type="spellStart"/>
      <w:r w:rsidRPr="0051721B">
        <w:t>of</w:t>
      </w:r>
      <w:proofErr w:type="spellEnd"/>
      <w:r w:rsidRPr="0051721B">
        <w:t xml:space="preserve"> </w:t>
      </w:r>
      <w:proofErr w:type="spellStart"/>
      <w:r w:rsidRPr="0051721B">
        <w:t>causing</w:t>
      </w:r>
      <w:proofErr w:type="spellEnd"/>
      <w:r w:rsidRPr="0051721B">
        <w:t xml:space="preserve"> </w:t>
      </w:r>
      <w:proofErr w:type="spellStart"/>
      <w:r w:rsidRPr="0051721B">
        <w:t>illness</w:t>
      </w:r>
      <w:proofErr w:type="spellEnd"/>
      <w:r w:rsidRPr="0051721B">
        <w:t>.</w:t>
      </w:r>
    </w:p>
  </w:endnote>
  <w:endnote w:id="37">
    <w:p w14:paraId="3AE2BCB4" w14:textId="77777777" w:rsidR="003665BE" w:rsidRDefault="003665BE" w:rsidP="00011964">
      <w:pPr>
        <w:pStyle w:val="Textonotaalfinal"/>
      </w:pPr>
      <w:r w:rsidRPr="0051721B">
        <w:rPr>
          <w:i/>
        </w:rPr>
        <w:tab/>
      </w:r>
      <w:r w:rsidRPr="00154216">
        <w:rPr>
          <w:rStyle w:val="Refdenotaalfinal"/>
        </w:rPr>
        <w:endnoteRef/>
      </w:r>
      <w:r w:rsidRPr="00154216">
        <w:rPr>
          <w:rStyle w:val="Refdenotaalfinal"/>
        </w:rPr>
        <w:tab/>
      </w:r>
      <w:r w:rsidRPr="0051721B">
        <w:t xml:space="preserve">Smith v Air New </w:t>
      </w:r>
      <w:proofErr w:type="spellStart"/>
      <w:r w:rsidRPr="0051721B">
        <w:t>Zealand</w:t>
      </w:r>
      <w:proofErr w:type="spellEnd"/>
      <w:r w:rsidRPr="0051721B">
        <w:t xml:space="preserve"> </w:t>
      </w:r>
      <w:proofErr w:type="spellStart"/>
      <w:r w:rsidRPr="0051721B">
        <w:t>Limited</w:t>
      </w:r>
      <w:proofErr w:type="spellEnd"/>
      <w:r w:rsidRPr="0051721B">
        <w:t xml:space="preserve"> [2011] </w:t>
      </w:r>
      <w:proofErr w:type="spellStart"/>
      <w:r w:rsidRPr="0051721B">
        <w:t>NZCA</w:t>
      </w:r>
      <w:proofErr w:type="spellEnd"/>
      <w:r w:rsidRPr="0051721B">
        <w:t xml:space="preserve"> 20.</w:t>
      </w:r>
    </w:p>
  </w:endnote>
  <w:endnote w:id="38">
    <w:p w14:paraId="276E1D95" w14:textId="77777777" w:rsidR="003665BE" w:rsidRPr="00972A92"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Guidelines</w:t>
      </w:r>
      <w:proofErr w:type="spellEnd"/>
      <w:r w:rsidRPr="0051721B">
        <w:t xml:space="preserve"> </w:t>
      </w:r>
      <w:proofErr w:type="spellStart"/>
      <w:r w:rsidRPr="0051721B">
        <w:t>on</w:t>
      </w:r>
      <w:proofErr w:type="spellEnd"/>
      <w:r w:rsidRPr="0051721B">
        <w:t xml:space="preserve"> </w:t>
      </w:r>
      <w:proofErr w:type="spellStart"/>
      <w:r w:rsidRPr="0051721B">
        <w:t>reasonable</w:t>
      </w:r>
      <w:proofErr w:type="spellEnd"/>
      <w:r w:rsidRPr="0051721B">
        <w:t xml:space="preserve"> </w:t>
      </w:r>
      <w:proofErr w:type="spellStart"/>
      <w:r w:rsidRPr="0051721B">
        <w:t>accommodations</w:t>
      </w:r>
      <w:proofErr w:type="spellEnd"/>
      <w:r w:rsidRPr="0051721B">
        <w:t xml:space="preserve"> </w:t>
      </w:r>
      <w:proofErr w:type="spellStart"/>
      <w:r w:rsidRPr="0051721B">
        <w:t>include</w:t>
      </w:r>
      <w:proofErr w:type="spellEnd"/>
      <w:r w:rsidRPr="0051721B">
        <w:t xml:space="preserve">: </w:t>
      </w:r>
      <w:proofErr w:type="spellStart"/>
      <w:r w:rsidRPr="0051721B">
        <w:t>the</w:t>
      </w:r>
      <w:proofErr w:type="spellEnd"/>
      <w:r w:rsidRPr="0051721B">
        <w:t xml:space="preserve"> </w:t>
      </w:r>
      <w:proofErr w:type="spellStart"/>
      <w:r w:rsidRPr="0051721B">
        <w:t>Independent</w:t>
      </w:r>
      <w:proofErr w:type="spellEnd"/>
      <w:r w:rsidRPr="0051721B">
        <w:t xml:space="preserve"> </w:t>
      </w:r>
      <w:proofErr w:type="spellStart"/>
      <w:r w:rsidRPr="0051721B">
        <w:t>Monitoring</w:t>
      </w:r>
      <w:proofErr w:type="spellEnd"/>
      <w:r w:rsidRPr="0051721B">
        <w:t xml:space="preserve"> </w:t>
      </w:r>
      <w:proofErr w:type="spellStart"/>
      <w:r w:rsidRPr="0051721B">
        <w:t>Mechanism’s</w:t>
      </w:r>
      <w:proofErr w:type="spellEnd"/>
      <w:r w:rsidRPr="0051721B">
        <w:t xml:space="preserve"> </w:t>
      </w:r>
      <w:r>
        <w:t>“</w:t>
      </w:r>
      <w:proofErr w:type="spellStart"/>
      <w:r w:rsidRPr="0051721B">
        <w:t>Reasonable</w:t>
      </w:r>
      <w:proofErr w:type="spellEnd"/>
      <w:r w:rsidRPr="0051721B">
        <w:t xml:space="preserve"> </w:t>
      </w:r>
      <w:proofErr w:type="spellStart"/>
      <w:r w:rsidRPr="0051721B">
        <w:t>accommodation</w:t>
      </w:r>
      <w:proofErr w:type="spellEnd"/>
      <w:r w:rsidRPr="0051721B">
        <w:t xml:space="preserve"> </w:t>
      </w:r>
      <w:proofErr w:type="spellStart"/>
      <w:r w:rsidRPr="0051721B">
        <w:t>guide</w:t>
      </w:r>
      <w:proofErr w:type="spellEnd"/>
      <w:r w:rsidRPr="0051721B">
        <w:t xml:space="preserve"> </w:t>
      </w:r>
      <w:proofErr w:type="spellStart"/>
      <w:r w:rsidRPr="0051721B">
        <w:t>focussing</w:t>
      </w:r>
      <w:proofErr w:type="spellEnd"/>
      <w:r w:rsidRPr="0051721B">
        <w:t xml:space="preserve"> </w:t>
      </w:r>
      <w:proofErr w:type="spellStart"/>
      <w:r w:rsidRPr="0051721B">
        <w:t>on</w:t>
      </w:r>
      <w:proofErr w:type="spellEnd"/>
      <w:r w:rsidRPr="0051721B">
        <w:t xml:space="preserve"> </w:t>
      </w:r>
      <w:proofErr w:type="spellStart"/>
      <w:r w:rsidRPr="0051721B">
        <w:t>persons</w:t>
      </w:r>
      <w:proofErr w:type="spellEnd"/>
      <w:r w:rsidRPr="0051721B">
        <w:t xml:space="preserve"> </w:t>
      </w:r>
      <w:proofErr w:type="spellStart"/>
      <w:r w:rsidRPr="0051721B">
        <w:t>with</w:t>
      </w:r>
      <w:proofErr w:type="spellEnd"/>
      <w:r w:rsidRPr="0051721B">
        <w:t xml:space="preserve"> </w:t>
      </w:r>
      <w:proofErr w:type="spellStart"/>
      <w:r w:rsidRPr="0051721B">
        <w:t>disabilities</w:t>
      </w:r>
      <w:proofErr w:type="spellEnd"/>
      <w:r>
        <w:t>”</w:t>
      </w:r>
      <w:r w:rsidRPr="0051721B">
        <w:t xml:space="preserve">, and </w:t>
      </w:r>
      <w:proofErr w:type="spellStart"/>
      <w:r w:rsidRPr="0051721B">
        <w:t>Government</w:t>
      </w:r>
      <w:proofErr w:type="spellEnd"/>
      <w:r w:rsidRPr="0051721B">
        <w:t xml:space="preserve"> </w:t>
      </w:r>
      <w:proofErr w:type="spellStart"/>
      <w:r w:rsidRPr="0051721B">
        <w:t>guidelines</w:t>
      </w:r>
      <w:proofErr w:type="spellEnd"/>
      <w:r w:rsidRPr="0051721B">
        <w:t xml:space="preserve"> </w:t>
      </w:r>
      <w:proofErr w:type="spellStart"/>
      <w:r w:rsidRPr="0051721B">
        <w:t>for</w:t>
      </w:r>
      <w:proofErr w:type="spellEnd"/>
      <w:r w:rsidRPr="0051721B">
        <w:t xml:space="preserve"> </w:t>
      </w:r>
      <w:proofErr w:type="spellStart"/>
      <w:r w:rsidRPr="0051721B">
        <w:t>employers</w:t>
      </w:r>
      <w:proofErr w:type="spellEnd"/>
      <w:r w:rsidRPr="0051721B">
        <w:t xml:space="preserve"> and </w:t>
      </w:r>
      <w:proofErr w:type="spellStart"/>
      <w:r w:rsidRPr="0051721B">
        <w:t>employees</w:t>
      </w:r>
      <w:proofErr w:type="spellEnd"/>
      <w:r w:rsidRPr="0051721B">
        <w:t xml:space="preserve"> </w:t>
      </w:r>
      <w:proofErr w:type="spellStart"/>
      <w:r w:rsidRPr="0051721B">
        <w:t>which</w:t>
      </w:r>
      <w:proofErr w:type="spellEnd"/>
      <w:r w:rsidRPr="0051721B">
        <w:t xml:space="preserve"> are </w:t>
      </w:r>
      <w:proofErr w:type="spellStart"/>
      <w:r w:rsidRPr="0051721B">
        <w:t>available</w:t>
      </w:r>
      <w:proofErr w:type="spellEnd"/>
      <w:r w:rsidRPr="0051721B">
        <w:t xml:space="preserve"> </w:t>
      </w:r>
      <w:proofErr w:type="spellStart"/>
      <w:r w:rsidRPr="0051721B">
        <w:t>from</w:t>
      </w:r>
      <w:proofErr w:type="spellEnd"/>
      <w:r w:rsidRPr="0051721B">
        <w:t xml:space="preserve"> </w:t>
      </w:r>
      <w:proofErr w:type="spellStart"/>
      <w:r w:rsidRPr="0051721B">
        <w:t>the</w:t>
      </w:r>
      <w:proofErr w:type="spellEnd"/>
      <w:r w:rsidRPr="0051721B">
        <w:t xml:space="preserve"> </w:t>
      </w:r>
      <w:proofErr w:type="spellStart"/>
      <w:r w:rsidRPr="0051721B">
        <w:t>Ministry</w:t>
      </w:r>
      <w:proofErr w:type="spellEnd"/>
      <w:r w:rsidRPr="0051721B">
        <w:t xml:space="preserve"> </w:t>
      </w:r>
      <w:proofErr w:type="spellStart"/>
      <w:r w:rsidRPr="0051721B">
        <w:t>of</w:t>
      </w:r>
      <w:proofErr w:type="spellEnd"/>
      <w:r w:rsidRPr="0051721B">
        <w:t xml:space="preserve"> Business </w:t>
      </w:r>
      <w:proofErr w:type="spellStart"/>
      <w:r w:rsidRPr="0051721B">
        <w:t>Innovation</w:t>
      </w:r>
      <w:proofErr w:type="spellEnd"/>
      <w:r w:rsidRPr="0051721B">
        <w:t xml:space="preserve"> and </w:t>
      </w:r>
      <w:proofErr w:type="spellStart"/>
      <w:r w:rsidRPr="0051721B">
        <w:t>Employment</w:t>
      </w:r>
      <w:proofErr w:type="spellEnd"/>
      <w:r w:rsidRPr="0051721B">
        <w:t xml:space="preserve">, </w:t>
      </w:r>
      <w:proofErr w:type="spellStart"/>
      <w:r w:rsidRPr="0051721B">
        <w:t>the</w:t>
      </w:r>
      <w:proofErr w:type="spellEnd"/>
      <w:r w:rsidRPr="0051721B">
        <w:t xml:space="preserve"> Office </w:t>
      </w:r>
      <w:proofErr w:type="spellStart"/>
      <w:r w:rsidRPr="0051721B">
        <w:t>for</w:t>
      </w:r>
      <w:proofErr w:type="spellEnd"/>
      <w:r w:rsidRPr="0051721B">
        <w:t xml:space="preserve"> </w:t>
      </w:r>
      <w:proofErr w:type="spellStart"/>
      <w:r w:rsidRPr="0051721B">
        <w:t>Disability</w:t>
      </w:r>
      <w:proofErr w:type="spellEnd"/>
      <w:r w:rsidRPr="0051721B">
        <w:t xml:space="preserve"> Issues and </w:t>
      </w:r>
      <w:proofErr w:type="spellStart"/>
      <w:r w:rsidRPr="0051721B">
        <w:t>the</w:t>
      </w:r>
      <w:proofErr w:type="spellEnd"/>
      <w:r w:rsidRPr="0051721B">
        <w:t xml:space="preserve"> </w:t>
      </w:r>
      <w:proofErr w:type="spellStart"/>
      <w:r w:rsidRPr="0051721B">
        <w:t>Ministry</w:t>
      </w:r>
      <w:proofErr w:type="spellEnd"/>
      <w:r w:rsidRPr="0051721B">
        <w:t xml:space="preserve"> </w:t>
      </w:r>
      <w:proofErr w:type="spellStart"/>
      <w:r w:rsidRPr="0051721B">
        <w:t>of</w:t>
      </w:r>
      <w:proofErr w:type="spellEnd"/>
      <w:r w:rsidRPr="0051721B">
        <w:t xml:space="preserve"> Social </w:t>
      </w:r>
      <w:proofErr w:type="spellStart"/>
      <w:r w:rsidRPr="0051721B">
        <w:t>Development’s</w:t>
      </w:r>
      <w:proofErr w:type="spellEnd"/>
      <w:r w:rsidRPr="0051721B">
        <w:t xml:space="preserve"> </w:t>
      </w:r>
      <w:proofErr w:type="spellStart"/>
      <w:r w:rsidRPr="0051721B">
        <w:t>websites</w:t>
      </w:r>
      <w:proofErr w:type="spellEnd"/>
      <w:r w:rsidRPr="0051721B">
        <w:t>.</w:t>
      </w:r>
    </w:p>
  </w:endnote>
  <w:endnote w:id="39">
    <w:p w14:paraId="4671AEF3" w14:textId="77777777" w:rsidR="003665BE" w:rsidRPr="00A429DD"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The</w:t>
      </w:r>
      <w:proofErr w:type="spellEnd"/>
      <w:r w:rsidRPr="0051721B">
        <w:t xml:space="preserve"> </w:t>
      </w:r>
      <w:proofErr w:type="spellStart"/>
      <w:r w:rsidRPr="0051721B">
        <w:t>outcome</w:t>
      </w:r>
      <w:proofErr w:type="spellEnd"/>
      <w:r w:rsidRPr="0051721B">
        <w:t xml:space="preserve"> </w:t>
      </w:r>
      <w:proofErr w:type="spellStart"/>
      <w:r w:rsidRPr="0051721B">
        <w:t>of</w:t>
      </w:r>
      <w:proofErr w:type="spellEnd"/>
      <w:r w:rsidRPr="0051721B">
        <w:t xml:space="preserve"> </w:t>
      </w:r>
      <w:proofErr w:type="spellStart"/>
      <w:r w:rsidRPr="0051721B">
        <w:t>that</w:t>
      </w:r>
      <w:proofErr w:type="spellEnd"/>
      <w:r w:rsidRPr="0051721B">
        <w:t xml:space="preserve"> </w:t>
      </w:r>
      <w:proofErr w:type="spellStart"/>
      <w:r w:rsidRPr="0051721B">
        <w:t>engagement</w:t>
      </w:r>
      <w:proofErr w:type="spellEnd"/>
      <w:r w:rsidRPr="0051721B">
        <w:t xml:space="preserve"> </w:t>
      </w:r>
      <w:proofErr w:type="spellStart"/>
      <w:r w:rsidRPr="0051721B">
        <w:t>is</w:t>
      </w:r>
      <w:proofErr w:type="spellEnd"/>
      <w:r w:rsidRPr="0051721B">
        <w:t xml:space="preserve"> </w:t>
      </w:r>
      <w:proofErr w:type="spellStart"/>
      <w:r w:rsidRPr="0051721B">
        <w:t>available</w:t>
      </w:r>
      <w:proofErr w:type="spellEnd"/>
      <w:r w:rsidRPr="0051721B">
        <w:t xml:space="preserve"> </w:t>
      </w:r>
      <w:proofErr w:type="spellStart"/>
      <w:r w:rsidRPr="0051721B">
        <w:t>on</w:t>
      </w:r>
      <w:proofErr w:type="spellEnd"/>
      <w:r w:rsidRPr="0051721B">
        <w:t xml:space="preserve"> </w:t>
      </w:r>
      <w:proofErr w:type="spellStart"/>
      <w:r w:rsidRPr="0051721B">
        <w:t>the</w:t>
      </w:r>
      <w:proofErr w:type="spellEnd"/>
      <w:r w:rsidRPr="0051721B">
        <w:t xml:space="preserve"> </w:t>
      </w:r>
      <w:proofErr w:type="spellStart"/>
      <w:r w:rsidRPr="0051721B">
        <w:t>Ministry</w:t>
      </w:r>
      <w:proofErr w:type="spellEnd"/>
      <w:r w:rsidRPr="0051721B">
        <w:t xml:space="preserve"> </w:t>
      </w:r>
      <w:proofErr w:type="spellStart"/>
      <w:r w:rsidRPr="0051721B">
        <w:t>of</w:t>
      </w:r>
      <w:proofErr w:type="spellEnd"/>
      <w:r w:rsidRPr="0051721B">
        <w:t xml:space="preserve"> </w:t>
      </w:r>
      <w:proofErr w:type="spellStart"/>
      <w:r w:rsidRPr="0051721B">
        <w:t>Health’s</w:t>
      </w:r>
      <w:proofErr w:type="spellEnd"/>
      <w:r w:rsidRPr="0051721B">
        <w:t xml:space="preserve"> </w:t>
      </w:r>
      <w:proofErr w:type="spellStart"/>
      <w:r w:rsidRPr="0051721B">
        <w:t>website</w:t>
      </w:r>
      <w:proofErr w:type="spellEnd"/>
      <w:r w:rsidRPr="0051721B">
        <w:t xml:space="preserve"> (</w:t>
      </w:r>
      <w:r w:rsidRPr="00726C15">
        <w:rPr>
          <w:rStyle w:val="Hipervnculo"/>
        </w:rPr>
        <w:t>www.health.govt.nz/publication/targeted-engagement-funded-family-care-and-paid-family-care</w:t>
      </w:r>
      <w:r w:rsidRPr="0051721B">
        <w:t xml:space="preserve">) and </w:t>
      </w:r>
      <w:proofErr w:type="spellStart"/>
      <w:r w:rsidRPr="0051721B">
        <w:t>opportunities</w:t>
      </w:r>
      <w:proofErr w:type="spellEnd"/>
      <w:r w:rsidRPr="0051721B">
        <w:t xml:space="preserve"> </w:t>
      </w:r>
      <w:proofErr w:type="spellStart"/>
      <w:r w:rsidRPr="0051721B">
        <w:t>for</w:t>
      </w:r>
      <w:proofErr w:type="spellEnd"/>
      <w:r w:rsidRPr="0051721B">
        <w:t xml:space="preserve"> </w:t>
      </w:r>
      <w:proofErr w:type="spellStart"/>
      <w:r w:rsidRPr="0051721B">
        <w:t>further</w:t>
      </w:r>
      <w:proofErr w:type="spellEnd"/>
      <w:r w:rsidRPr="0051721B">
        <w:t xml:space="preserve"> </w:t>
      </w:r>
      <w:proofErr w:type="spellStart"/>
      <w:r w:rsidRPr="0051721B">
        <w:t>engagement</w:t>
      </w:r>
      <w:proofErr w:type="spellEnd"/>
      <w:r w:rsidRPr="0051721B">
        <w:t xml:space="preserve">, </w:t>
      </w:r>
      <w:proofErr w:type="spellStart"/>
      <w:r w:rsidRPr="0051721B">
        <w:t>including</w:t>
      </w:r>
      <w:proofErr w:type="spellEnd"/>
      <w:r w:rsidRPr="0051721B">
        <w:t xml:space="preserve"> </w:t>
      </w:r>
      <w:proofErr w:type="spellStart"/>
      <w:r w:rsidRPr="0051721B">
        <w:t>with</w:t>
      </w:r>
      <w:proofErr w:type="spellEnd"/>
      <w:r w:rsidRPr="0051721B">
        <w:t xml:space="preserve"> </w:t>
      </w:r>
      <w:proofErr w:type="spellStart"/>
      <w:r w:rsidRPr="0051721B">
        <w:t>Māori</w:t>
      </w:r>
      <w:proofErr w:type="spellEnd"/>
      <w:r w:rsidRPr="0051721B">
        <w:t xml:space="preserve"> and </w:t>
      </w:r>
      <w:proofErr w:type="spellStart"/>
      <w:r w:rsidRPr="0051721B">
        <w:t>Pasifika</w:t>
      </w:r>
      <w:proofErr w:type="spellEnd"/>
      <w:r w:rsidRPr="0051721B">
        <w:t xml:space="preserve"> are </w:t>
      </w:r>
      <w:proofErr w:type="spellStart"/>
      <w:r w:rsidRPr="0051721B">
        <w:t>being</w:t>
      </w:r>
      <w:proofErr w:type="spellEnd"/>
      <w:r w:rsidRPr="0051721B">
        <w:t xml:space="preserve"> </w:t>
      </w:r>
      <w:proofErr w:type="spellStart"/>
      <w:r w:rsidRPr="0051721B">
        <w:t>considered</w:t>
      </w:r>
      <w:proofErr w:type="spellEnd"/>
      <w:r w:rsidRPr="0051721B">
        <w:t xml:space="preserve"> </w:t>
      </w:r>
      <w:proofErr w:type="spellStart"/>
      <w:r w:rsidRPr="0051721B">
        <w:t>by</w:t>
      </w:r>
      <w:proofErr w:type="spellEnd"/>
      <w:r w:rsidRPr="0051721B">
        <w:t xml:space="preserve"> </w:t>
      </w:r>
      <w:proofErr w:type="spellStart"/>
      <w:r w:rsidRPr="0051721B">
        <w:t>the</w:t>
      </w:r>
      <w:proofErr w:type="spellEnd"/>
      <w:r w:rsidRPr="0051721B">
        <w:t xml:space="preserve"> </w:t>
      </w:r>
      <w:proofErr w:type="spellStart"/>
      <w:r w:rsidRPr="0051721B">
        <w:t>Ministry</w:t>
      </w:r>
      <w:proofErr w:type="spellEnd"/>
      <w:r w:rsidRPr="0051721B">
        <w:t xml:space="preserve"> </w:t>
      </w:r>
      <w:proofErr w:type="spellStart"/>
      <w:r w:rsidRPr="0051721B">
        <w:t>for</w:t>
      </w:r>
      <w:proofErr w:type="spellEnd"/>
      <w:r w:rsidRPr="0051721B">
        <w:t xml:space="preserve"> </w:t>
      </w:r>
      <w:proofErr w:type="spellStart"/>
      <w:r w:rsidRPr="0051721B">
        <w:t>early</w:t>
      </w:r>
      <w:proofErr w:type="spellEnd"/>
      <w:r w:rsidRPr="0051721B">
        <w:t xml:space="preserve"> 2019.</w:t>
      </w:r>
    </w:p>
  </w:endnote>
  <w:endnote w:id="40">
    <w:p w14:paraId="1251879B" w14:textId="77777777" w:rsidR="003665BE" w:rsidRPr="00C46F0F"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See</w:t>
      </w:r>
      <w:proofErr w:type="spellEnd"/>
      <w:r w:rsidRPr="0051721B">
        <w:t xml:space="preserve"> </w:t>
      </w:r>
      <w:proofErr w:type="spellStart"/>
      <w:r w:rsidRPr="00726C15">
        <w:rPr>
          <w:rStyle w:val="Hipervnculo"/>
        </w:rPr>
        <w:t>www.health.govt.nz</w:t>
      </w:r>
      <w:proofErr w:type="spellEnd"/>
      <w:r w:rsidRPr="00726C15">
        <w:rPr>
          <w:rStyle w:val="Hipervnculo"/>
        </w:rPr>
        <w:t>/</w:t>
      </w:r>
      <w:proofErr w:type="spellStart"/>
      <w:r w:rsidRPr="00726C15">
        <w:rPr>
          <w:rStyle w:val="Hipervnculo"/>
        </w:rPr>
        <w:t>publication</w:t>
      </w:r>
      <w:proofErr w:type="spellEnd"/>
      <w:r w:rsidRPr="00726C15">
        <w:rPr>
          <w:rStyle w:val="Hipervnculo"/>
        </w:rPr>
        <w:t>/</w:t>
      </w:r>
      <w:proofErr w:type="spellStart"/>
      <w:r w:rsidRPr="00726C15">
        <w:rPr>
          <w:rStyle w:val="Hipervnculo"/>
        </w:rPr>
        <w:t>evaluation-funded-family-care</w:t>
      </w:r>
      <w:proofErr w:type="spellEnd"/>
      <w:r w:rsidRPr="0051721B">
        <w:t>.</w:t>
      </w:r>
    </w:p>
  </w:endnote>
  <w:endnote w:id="41">
    <w:p w14:paraId="5CCC0B4A" w14:textId="77777777" w:rsidR="003665BE" w:rsidRPr="00C46F0F"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There</w:t>
      </w:r>
      <w:proofErr w:type="spellEnd"/>
      <w:r w:rsidRPr="0051721B">
        <w:t xml:space="preserve"> </w:t>
      </w:r>
      <w:proofErr w:type="spellStart"/>
      <w:r w:rsidRPr="0051721B">
        <w:t>were</w:t>
      </w:r>
      <w:proofErr w:type="spellEnd"/>
      <w:r w:rsidRPr="0051721B">
        <w:t xml:space="preserve"> 13 </w:t>
      </w:r>
      <w:proofErr w:type="spellStart"/>
      <w:r w:rsidRPr="0051721B">
        <w:t>claims</w:t>
      </w:r>
      <w:proofErr w:type="spellEnd"/>
      <w:r w:rsidRPr="0051721B">
        <w:t xml:space="preserve"> </w:t>
      </w:r>
      <w:proofErr w:type="spellStart"/>
      <w:r w:rsidRPr="0051721B">
        <w:t>for</w:t>
      </w:r>
      <w:proofErr w:type="spellEnd"/>
      <w:r w:rsidRPr="0051721B">
        <w:t xml:space="preserve"> </w:t>
      </w:r>
      <w:proofErr w:type="spellStart"/>
      <w:r w:rsidRPr="0051721B">
        <w:t>compensation</w:t>
      </w:r>
      <w:proofErr w:type="spellEnd"/>
      <w:r w:rsidRPr="0051721B">
        <w:t xml:space="preserve"> </w:t>
      </w:r>
      <w:proofErr w:type="spellStart"/>
      <w:r w:rsidRPr="0051721B">
        <w:t>for</w:t>
      </w:r>
      <w:proofErr w:type="spellEnd"/>
      <w:r w:rsidRPr="0051721B">
        <w:t xml:space="preserve"> non-</w:t>
      </w:r>
      <w:proofErr w:type="spellStart"/>
      <w:r w:rsidRPr="0051721B">
        <w:t>payment</w:t>
      </w:r>
      <w:proofErr w:type="spellEnd"/>
      <w:r w:rsidRPr="0051721B">
        <w:t xml:space="preserve"> </w:t>
      </w:r>
      <w:proofErr w:type="spellStart"/>
      <w:r w:rsidRPr="0051721B">
        <w:t>of</w:t>
      </w:r>
      <w:proofErr w:type="spellEnd"/>
      <w:r w:rsidRPr="0051721B">
        <w:t xml:space="preserve"> </w:t>
      </w:r>
      <w:proofErr w:type="spellStart"/>
      <w:r w:rsidRPr="0051721B">
        <w:t>family</w:t>
      </w:r>
      <w:proofErr w:type="spellEnd"/>
      <w:r w:rsidRPr="0051721B">
        <w:t xml:space="preserve"> </w:t>
      </w:r>
      <w:proofErr w:type="spellStart"/>
      <w:r w:rsidRPr="0051721B">
        <w:t>carers</w:t>
      </w:r>
      <w:proofErr w:type="spellEnd"/>
      <w:r w:rsidRPr="0051721B">
        <w:t xml:space="preserve"> </w:t>
      </w:r>
      <w:proofErr w:type="spellStart"/>
      <w:r w:rsidRPr="0051721B">
        <w:t>before</w:t>
      </w:r>
      <w:proofErr w:type="spellEnd"/>
      <w:r w:rsidRPr="0051721B">
        <w:t xml:space="preserve"> </w:t>
      </w:r>
      <w:proofErr w:type="spellStart"/>
      <w:r w:rsidRPr="0051721B">
        <w:t>October</w:t>
      </w:r>
      <w:proofErr w:type="spellEnd"/>
      <w:r w:rsidRPr="0051721B">
        <w:t xml:space="preserve"> 2013. </w:t>
      </w:r>
      <w:proofErr w:type="spellStart"/>
      <w:r w:rsidRPr="0051721B">
        <w:t>Those</w:t>
      </w:r>
      <w:proofErr w:type="spellEnd"/>
      <w:r w:rsidRPr="0051721B">
        <w:t xml:space="preserve"> </w:t>
      </w:r>
      <w:proofErr w:type="spellStart"/>
      <w:r w:rsidRPr="0051721B">
        <w:t>claims</w:t>
      </w:r>
      <w:proofErr w:type="spellEnd"/>
      <w:r w:rsidRPr="0051721B">
        <w:t xml:space="preserve"> </w:t>
      </w:r>
      <w:proofErr w:type="spellStart"/>
      <w:r w:rsidRPr="0051721B">
        <w:t>were</w:t>
      </w:r>
      <w:proofErr w:type="spellEnd"/>
      <w:r w:rsidRPr="0051721B">
        <w:t xml:space="preserve"> </w:t>
      </w:r>
      <w:proofErr w:type="spellStart"/>
      <w:r w:rsidRPr="0051721B">
        <w:t>amalgamated</w:t>
      </w:r>
      <w:proofErr w:type="spellEnd"/>
      <w:r w:rsidRPr="0051721B">
        <w:t xml:space="preserve"> </w:t>
      </w:r>
      <w:proofErr w:type="spellStart"/>
      <w:r w:rsidRPr="0051721B">
        <w:t>into</w:t>
      </w:r>
      <w:proofErr w:type="spellEnd"/>
      <w:r w:rsidRPr="0051721B">
        <w:t xml:space="preserve"> </w:t>
      </w:r>
      <w:proofErr w:type="spellStart"/>
      <w:r w:rsidRPr="0051721B">
        <w:t>one</w:t>
      </w:r>
      <w:proofErr w:type="spellEnd"/>
      <w:r w:rsidRPr="0051721B">
        <w:t xml:space="preserve"> set </w:t>
      </w:r>
      <w:proofErr w:type="spellStart"/>
      <w:r w:rsidRPr="0051721B">
        <w:t>of</w:t>
      </w:r>
      <w:proofErr w:type="spellEnd"/>
      <w:r w:rsidRPr="0051721B">
        <w:t xml:space="preserve"> </w:t>
      </w:r>
      <w:proofErr w:type="spellStart"/>
      <w:r w:rsidRPr="0051721B">
        <w:t>proceedings</w:t>
      </w:r>
      <w:proofErr w:type="spellEnd"/>
      <w:r w:rsidRPr="0051721B">
        <w:t xml:space="preserve"> </w:t>
      </w:r>
      <w:proofErr w:type="spellStart"/>
      <w:r w:rsidRPr="0051721B">
        <w:t>which</w:t>
      </w:r>
      <w:proofErr w:type="spellEnd"/>
      <w:r w:rsidRPr="0051721B">
        <w:t xml:space="preserve"> </w:t>
      </w:r>
      <w:proofErr w:type="spellStart"/>
      <w:r w:rsidRPr="0051721B">
        <w:t>were</w:t>
      </w:r>
      <w:proofErr w:type="spellEnd"/>
      <w:r w:rsidRPr="0051721B">
        <w:t xml:space="preserve"> </w:t>
      </w:r>
      <w:proofErr w:type="spellStart"/>
      <w:r w:rsidRPr="0051721B">
        <w:t>due</w:t>
      </w:r>
      <w:proofErr w:type="spellEnd"/>
      <w:r w:rsidRPr="0051721B">
        <w:t xml:space="preserve"> </w:t>
      </w:r>
      <w:proofErr w:type="spellStart"/>
      <w:r w:rsidRPr="0051721B">
        <w:t>for</w:t>
      </w:r>
      <w:proofErr w:type="spellEnd"/>
      <w:r w:rsidRPr="0051721B">
        <w:t xml:space="preserve"> </w:t>
      </w:r>
      <w:proofErr w:type="spellStart"/>
      <w:r w:rsidRPr="0051721B">
        <w:t>hearing</w:t>
      </w:r>
      <w:proofErr w:type="spellEnd"/>
      <w:r w:rsidRPr="0051721B">
        <w:t xml:space="preserve"> in </w:t>
      </w:r>
      <w:proofErr w:type="spellStart"/>
      <w:r w:rsidRPr="0051721B">
        <w:t>February</w:t>
      </w:r>
      <w:proofErr w:type="spellEnd"/>
      <w:r w:rsidRPr="0051721B">
        <w:t xml:space="preserve"> 2019, </w:t>
      </w:r>
      <w:proofErr w:type="spellStart"/>
      <w:r w:rsidRPr="0051721B">
        <w:t>before</w:t>
      </w:r>
      <w:proofErr w:type="spellEnd"/>
      <w:r w:rsidRPr="0051721B">
        <w:t xml:space="preserve"> </w:t>
      </w:r>
      <w:proofErr w:type="spellStart"/>
      <w:r w:rsidRPr="0051721B">
        <w:t>being</w:t>
      </w:r>
      <w:proofErr w:type="spellEnd"/>
      <w:r w:rsidRPr="0051721B">
        <w:t xml:space="preserve"> </w:t>
      </w:r>
      <w:proofErr w:type="spellStart"/>
      <w:r w:rsidRPr="0051721B">
        <w:t>discontinued</w:t>
      </w:r>
      <w:proofErr w:type="spellEnd"/>
      <w:r w:rsidRPr="0051721B">
        <w:t>.</w:t>
      </w:r>
    </w:p>
  </w:endnote>
  <w:endnote w:id="42">
    <w:p w14:paraId="1ADA08C0" w14:textId="77777777" w:rsidR="003665BE" w:rsidRPr="00CB6C9C"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See</w:t>
      </w:r>
      <w:proofErr w:type="spellEnd"/>
      <w:r w:rsidRPr="0051721B">
        <w:t xml:space="preserve"> </w:t>
      </w:r>
      <w:proofErr w:type="spellStart"/>
      <w:r w:rsidRPr="0051721B">
        <w:t>the</w:t>
      </w:r>
      <w:proofErr w:type="spellEnd"/>
      <w:r w:rsidRPr="0051721B">
        <w:t xml:space="preserve"> Child </w:t>
      </w:r>
      <w:proofErr w:type="spellStart"/>
      <w:r w:rsidRPr="0051721B">
        <w:t>Poverty</w:t>
      </w:r>
      <w:proofErr w:type="spellEnd"/>
      <w:r w:rsidRPr="0051721B">
        <w:t xml:space="preserve"> </w:t>
      </w:r>
      <w:proofErr w:type="spellStart"/>
      <w:r w:rsidRPr="0051721B">
        <w:t>Act</w:t>
      </w:r>
      <w:proofErr w:type="spellEnd"/>
      <w:r w:rsidRPr="0051721B">
        <w:t xml:space="preserve"> 2018 and </w:t>
      </w:r>
      <w:proofErr w:type="spellStart"/>
      <w:r w:rsidRPr="0051721B">
        <w:t>amendments</w:t>
      </w:r>
      <w:proofErr w:type="spellEnd"/>
      <w:r w:rsidRPr="0051721B">
        <w:t xml:space="preserve"> </w:t>
      </w:r>
      <w:proofErr w:type="spellStart"/>
      <w:r w:rsidRPr="0051721B">
        <w:t>to</w:t>
      </w:r>
      <w:proofErr w:type="spellEnd"/>
      <w:r w:rsidRPr="0051721B">
        <w:t xml:space="preserve"> </w:t>
      </w:r>
      <w:proofErr w:type="spellStart"/>
      <w:r w:rsidRPr="0051721B">
        <w:t>the</w:t>
      </w:r>
      <w:proofErr w:type="spellEnd"/>
      <w:r w:rsidRPr="0051721B">
        <w:t xml:space="preserve"> </w:t>
      </w:r>
      <w:proofErr w:type="spellStart"/>
      <w:r w:rsidRPr="0051721B">
        <w:t>Children’s</w:t>
      </w:r>
      <w:proofErr w:type="spellEnd"/>
      <w:r w:rsidRPr="0051721B">
        <w:t xml:space="preserve"> </w:t>
      </w:r>
      <w:proofErr w:type="spellStart"/>
      <w:r w:rsidRPr="0051721B">
        <w:t>Act</w:t>
      </w:r>
      <w:proofErr w:type="spellEnd"/>
      <w:r w:rsidRPr="0051721B">
        <w:t xml:space="preserve"> 2014. </w:t>
      </w:r>
    </w:p>
  </w:endnote>
  <w:endnote w:id="43">
    <w:p w14:paraId="398E72AF" w14:textId="77777777" w:rsidR="003665BE" w:rsidRPr="00610FD9" w:rsidRDefault="003665BE" w:rsidP="00011964">
      <w:pPr>
        <w:pStyle w:val="Textonotaalfinal"/>
      </w:pPr>
      <w:r w:rsidRPr="0051721B">
        <w:tab/>
      </w:r>
      <w:r w:rsidRPr="00154216">
        <w:rPr>
          <w:rStyle w:val="Refdenotaalfinal"/>
        </w:rPr>
        <w:endnoteRef/>
      </w:r>
      <w:r w:rsidRPr="00154216">
        <w:rPr>
          <w:rStyle w:val="Refdenotaalfinal"/>
        </w:rPr>
        <w:tab/>
      </w:r>
      <w:r>
        <w:t>“</w:t>
      </w:r>
      <w:proofErr w:type="spellStart"/>
      <w:r w:rsidRPr="0051721B">
        <w:t>Whānau</w:t>
      </w:r>
      <w:proofErr w:type="spellEnd"/>
      <w:r>
        <w:t>”</w:t>
      </w:r>
      <w:r w:rsidRPr="0051721B">
        <w:t xml:space="preserve"> </w:t>
      </w:r>
      <w:proofErr w:type="spellStart"/>
      <w:r w:rsidRPr="0051721B">
        <w:t>is</w:t>
      </w:r>
      <w:proofErr w:type="spellEnd"/>
      <w:r w:rsidRPr="0051721B">
        <w:t xml:space="preserve"> </w:t>
      </w:r>
      <w:proofErr w:type="spellStart"/>
      <w:r w:rsidRPr="0051721B">
        <w:t>the</w:t>
      </w:r>
      <w:proofErr w:type="spellEnd"/>
      <w:r w:rsidRPr="0051721B">
        <w:t xml:space="preserve"> Te Reo </w:t>
      </w:r>
      <w:proofErr w:type="spellStart"/>
      <w:r w:rsidRPr="0051721B">
        <w:t>word</w:t>
      </w:r>
      <w:proofErr w:type="spellEnd"/>
      <w:r w:rsidRPr="0051721B">
        <w:t xml:space="preserve"> </w:t>
      </w:r>
      <w:proofErr w:type="spellStart"/>
      <w:r w:rsidRPr="0051721B">
        <w:t>for</w:t>
      </w:r>
      <w:proofErr w:type="spellEnd"/>
      <w:r w:rsidRPr="0051721B">
        <w:t xml:space="preserve"> </w:t>
      </w:r>
      <w:r>
        <w:t>“</w:t>
      </w:r>
      <w:r w:rsidRPr="0051721B">
        <w:t xml:space="preserve">extended </w:t>
      </w:r>
      <w:proofErr w:type="spellStart"/>
      <w:r w:rsidRPr="0051721B">
        <w:t>family</w:t>
      </w:r>
      <w:proofErr w:type="spellEnd"/>
      <w:r w:rsidRPr="0051721B">
        <w:t xml:space="preserve">, </w:t>
      </w:r>
      <w:proofErr w:type="spellStart"/>
      <w:r w:rsidRPr="0051721B">
        <w:t>family</w:t>
      </w:r>
      <w:proofErr w:type="spellEnd"/>
      <w:r w:rsidRPr="0051721B">
        <w:t xml:space="preserve"> </w:t>
      </w:r>
      <w:proofErr w:type="spellStart"/>
      <w:r w:rsidRPr="0051721B">
        <w:t>group</w:t>
      </w:r>
      <w:proofErr w:type="spellEnd"/>
      <w:r w:rsidRPr="0051721B">
        <w:t xml:space="preserve">, a familiar </w:t>
      </w:r>
      <w:proofErr w:type="spellStart"/>
      <w:r w:rsidRPr="0051721B">
        <w:t>term</w:t>
      </w:r>
      <w:proofErr w:type="spellEnd"/>
      <w:r w:rsidRPr="0051721B">
        <w:t xml:space="preserve"> </w:t>
      </w:r>
      <w:proofErr w:type="spellStart"/>
      <w:r w:rsidRPr="0051721B">
        <w:t>of</w:t>
      </w:r>
      <w:proofErr w:type="spellEnd"/>
      <w:r w:rsidRPr="0051721B">
        <w:t xml:space="preserve"> </w:t>
      </w:r>
      <w:proofErr w:type="spellStart"/>
      <w:r w:rsidRPr="0051721B">
        <w:t>address</w:t>
      </w:r>
      <w:proofErr w:type="spellEnd"/>
      <w:r w:rsidRPr="0051721B">
        <w:t xml:space="preserve"> </w:t>
      </w:r>
      <w:proofErr w:type="spellStart"/>
      <w:r w:rsidRPr="0051721B">
        <w:t>to</w:t>
      </w:r>
      <w:proofErr w:type="spellEnd"/>
      <w:r w:rsidRPr="0051721B">
        <w:t xml:space="preserve"> a </w:t>
      </w:r>
      <w:proofErr w:type="spellStart"/>
      <w:r w:rsidRPr="0051721B">
        <w:t>number</w:t>
      </w:r>
      <w:proofErr w:type="spellEnd"/>
      <w:r w:rsidRPr="0051721B">
        <w:t xml:space="preserve"> </w:t>
      </w:r>
      <w:proofErr w:type="spellStart"/>
      <w:r w:rsidRPr="0051721B">
        <w:t>of</w:t>
      </w:r>
      <w:proofErr w:type="spellEnd"/>
      <w:r w:rsidRPr="0051721B">
        <w:t xml:space="preserve"> </w:t>
      </w:r>
      <w:proofErr w:type="spellStart"/>
      <w:r w:rsidRPr="0051721B">
        <w:t>people</w:t>
      </w:r>
      <w:proofErr w:type="spellEnd"/>
      <w:r w:rsidRPr="0051721B">
        <w:t xml:space="preserve"> – </w:t>
      </w:r>
      <w:proofErr w:type="spellStart"/>
      <w:r w:rsidRPr="0051721B">
        <w:t>the</w:t>
      </w:r>
      <w:proofErr w:type="spellEnd"/>
      <w:r w:rsidRPr="0051721B">
        <w:t xml:space="preserve"> </w:t>
      </w:r>
      <w:proofErr w:type="spellStart"/>
      <w:r w:rsidRPr="0051721B">
        <w:t>primary</w:t>
      </w:r>
      <w:proofErr w:type="spellEnd"/>
      <w:r w:rsidRPr="0051721B">
        <w:t xml:space="preserve"> </w:t>
      </w:r>
      <w:proofErr w:type="spellStart"/>
      <w:r w:rsidRPr="0051721B">
        <w:t>economic</w:t>
      </w:r>
      <w:proofErr w:type="spellEnd"/>
      <w:r w:rsidRPr="0051721B">
        <w:t xml:space="preserve"> </w:t>
      </w:r>
      <w:proofErr w:type="spellStart"/>
      <w:r w:rsidRPr="0051721B">
        <w:t>unit</w:t>
      </w:r>
      <w:proofErr w:type="spellEnd"/>
      <w:r w:rsidRPr="0051721B">
        <w:t xml:space="preserve"> </w:t>
      </w:r>
      <w:proofErr w:type="spellStart"/>
      <w:r w:rsidRPr="0051721B">
        <w:t>of</w:t>
      </w:r>
      <w:proofErr w:type="spellEnd"/>
      <w:r w:rsidRPr="0051721B">
        <w:t xml:space="preserve"> </w:t>
      </w:r>
      <w:proofErr w:type="spellStart"/>
      <w:r w:rsidRPr="0051721B">
        <w:t>traditional</w:t>
      </w:r>
      <w:proofErr w:type="spellEnd"/>
      <w:r w:rsidRPr="0051721B">
        <w:t xml:space="preserve"> </w:t>
      </w:r>
      <w:proofErr w:type="spellStart"/>
      <w:r w:rsidRPr="0051721B">
        <w:t>Māori</w:t>
      </w:r>
      <w:proofErr w:type="spellEnd"/>
      <w:r w:rsidRPr="0051721B">
        <w:t xml:space="preserve"> </w:t>
      </w:r>
      <w:proofErr w:type="spellStart"/>
      <w:r w:rsidRPr="0051721B">
        <w:t>society</w:t>
      </w:r>
      <w:proofErr w:type="spellEnd"/>
      <w:r w:rsidRPr="0051721B">
        <w:t xml:space="preserve">. In </w:t>
      </w:r>
      <w:proofErr w:type="spellStart"/>
      <w:r w:rsidRPr="0051721B">
        <w:t>the</w:t>
      </w:r>
      <w:proofErr w:type="spellEnd"/>
      <w:r w:rsidRPr="0051721B">
        <w:t xml:space="preserve"> </w:t>
      </w:r>
      <w:proofErr w:type="spellStart"/>
      <w:r w:rsidRPr="0051721B">
        <w:t>modern</w:t>
      </w:r>
      <w:proofErr w:type="spellEnd"/>
      <w:r w:rsidRPr="0051721B">
        <w:t xml:space="preserve"> </w:t>
      </w:r>
      <w:proofErr w:type="spellStart"/>
      <w:r w:rsidRPr="0051721B">
        <w:t>context</w:t>
      </w:r>
      <w:proofErr w:type="spellEnd"/>
      <w:r w:rsidRPr="0051721B">
        <w:t xml:space="preserve"> </w:t>
      </w:r>
      <w:proofErr w:type="spellStart"/>
      <w:r w:rsidRPr="0051721B">
        <w:t>the</w:t>
      </w:r>
      <w:proofErr w:type="spellEnd"/>
      <w:r w:rsidRPr="0051721B">
        <w:t xml:space="preserve"> </w:t>
      </w:r>
      <w:proofErr w:type="spellStart"/>
      <w:r w:rsidRPr="0051721B">
        <w:t>term</w:t>
      </w:r>
      <w:proofErr w:type="spellEnd"/>
      <w:r w:rsidRPr="0051721B">
        <w:t xml:space="preserve"> </w:t>
      </w:r>
      <w:proofErr w:type="spellStart"/>
      <w:r w:rsidRPr="0051721B">
        <w:t>is</w:t>
      </w:r>
      <w:proofErr w:type="spellEnd"/>
      <w:r w:rsidRPr="0051721B">
        <w:t xml:space="preserve"> </w:t>
      </w:r>
      <w:proofErr w:type="spellStart"/>
      <w:r w:rsidRPr="0051721B">
        <w:t>sometimes</w:t>
      </w:r>
      <w:proofErr w:type="spellEnd"/>
      <w:r w:rsidRPr="0051721B">
        <w:t xml:space="preserve"> </w:t>
      </w:r>
      <w:proofErr w:type="spellStart"/>
      <w:r w:rsidRPr="0051721B">
        <w:t>used</w:t>
      </w:r>
      <w:proofErr w:type="spellEnd"/>
      <w:r w:rsidRPr="0051721B">
        <w:t xml:space="preserve"> </w:t>
      </w:r>
      <w:proofErr w:type="spellStart"/>
      <w:r w:rsidRPr="0051721B">
        <w:t>to</w:t>
      </w:r>
      <w:proofErr w:type="spellEnd"/>
      <w:r w:rsidRPr="0051721B">
        <w:t xml:space="preserve"> </w:t>
      </w:r>
      <w:proofErr w:type="spellStart"/>
      <w:r w:rsidRPr="0051721B">
        <w:t>include</w:t>
      </w:r>
      <w:proofErr w:type="spellEnd"/>
      <w:r w:rsidRPr="0051721B">
        <w:t xml:space="preserve"> </w:t>
      </w:r>
      <w:proofErr w:type="spellStart"/>
      <w:r w:rsidRPr="0051721B">
        <w:t>friends</w:t>
      </w:r>
      <w:proofErr w:type="spellEnd"/>
      <w:r w:rsidRPr="0051721B">
        <w:t xml:space="preserve"> </w:t>
      </w:r>
      <w:proofErr w:type="spellStart"/>
      <w:r w:rsidRPr="0051721B">
        <w:t>who</w:t>
      </w:r>
      <w:proofErr w:type="spellEnd"/>
      <w:r w:rsidRPr="0051721B">
        <w:t xml:space="preserve"> </w:t>
      </w:r>
      <w:proofErr w:type="spellStart"/>
      <w:r w:rsidRPr="0051721B">
        <w:t>may</w:t>
      </w:r>
      <w:proofErr w:type="spellEnd"/>
      <w:r w:rsidRPr="0051721B">
        <w:t xml:space="preserve"> </w:t>
      </w:r>
      <w:proofErr w:type="spellStart"/>
      <w:r w:rsidRPr="0051721B">
        <w:t>not</w:t>
      </w:r>
      <w:proofErr w:type="spellEnd"/>
      <w:r w:rsidRPr="0051721B">
        <w:t xml:space="preserve"> </w:t>
      </w:r>
      <w:proofErr w:type="spellStart"/>
      <w:r w:rsidRPr="0051721B">
        <w:t>have</w:t>
      </w:r>
      <w:proofErr w:type="spellEnd"/>
      <w:r w:rsidRPr="0051721B">
        <w:t xml:space="preserve"> </w:t>
      </w:r>
      <w:proofErr w:type="spellStart"/>
      <w:r w:rsidRPr="0051721B">
        <w:t>any</w:t>
      </w:r>
      <w:proofErr w:type="spellEnd"/>
      <w:r w:rsidRPr="0051721B">
        <w:t xml:space="preserve"> </w:t>
      </w:r>
      <w:proofErr w:type="spellStart"/>
      <w:r w:rsidRPr="0051721B">
        <w:t>kinship</w:t>
      </w:r>
      <w:proofErr w:type="spellEnd"/>
      <w:r w:rsidRPr="0051721B">
        <w:t xml:space="preserve"> </w:t>
      </w:r>
      <w:proofErr w:type="spellStart"/>
      <w:r w:rsidRPr="0051721B">
        <w:t>ties</w:t>
      </w:r>
      <w:proofErr w:type="spellEnd"/>
      <w:r w:rsidRPr="0051721B">
        <w:t xml:space="preserve"> </w:t>
      </w:r>
      <w:proofErr w:type="spellStart"/>
      <w:r w:rsidRPr="0051721B">
        <w:t>to</w:t>
      </w:r>
      <w:proofErr w:type="spellEnd"/>
      <w:r w:rsidRPr="0051721B">
        <w:t xml:space="preserve"> </w:t>
      </w:r>
      <w:proofErr w:type="spellStart"/>
      <w:r w:rsidRPr="0051721B">
        <w:t>other</w:t>
      </w:r>
      <w:proofErr w:type="spellEnd"/>
      <w:r w:rsidRPr="0051721B">
        <w:t xml:space="preserve"> </w:t>
      </w:r>
      <w:proofErr w:type="spellStart"/>
      <w:r w:rsidRPr="0051721B">
        <w:t>members</w:t>
      </w:r>
      <w:proofErr w:type="spellEnd"/>
      <w:r w:rsidRPr="0051721B">
        <w:t xml:space="preserve">. </w:t>
      </w:r>
      <w:r>
        <w:t>“</w:t>
      </w:r>
      <w:r w:rsidRPr="0051721B">
        <w:t>Ora</w:t>
      </w:r>
      <w:r>
        <w:t>”</w:t>
      </w:r>
      <w:r w:rsidRPr="0051721B">
        <w:t xml:space="preserve"> </w:t>
      </w:r>
      <w:proofErr w:type="spellStart"/>
      <w:r w:rsidRPr="0051721B">
        <w:t>is</w:t>
      </w:r>
      <w:proofErr w:type="spellEnd"/>
      <w:r w:rsidRPr="0051721B">
        <w:t xml:space="preserve"> </w:t>
      </w:r>
      <w:proofErr w:type="spellStart"/>
      <w:r w:rsidRPr="0051721B">
        <w:t>the</w:t>
      </w:r>
      <w:proofErr w:type="spellEnd"/>
      <w:r w:rsidRPr="0051721B">
        <w:t xml:space="preserve"> Te Reo </w:t>
      </w:r>
      <w:proofErr w:type="spellStart"/>
      <w:r w:rsidRPr="0051721B">
        <w:t>word</w:t>
      </w:r>
      <w:proofErr w:type="spellEnd"/>
      <w:r w:rsidRPr="0051721B">
        <w:t xml:space="preserve"> </w:t>
      </w:r>
      <w:proofErr w:type="spellStart"/>
      <w:r w:rsidRPr="0051721B">
        <w:t>for</w:t>
      </w:r>
      <w:proofErr w:type="spellEnd"/>
      <w:r w:rsidRPr="0051721B">
        <w:t xml:space="preserve"> </w:t>
      </w:r>
      <w:r>
        <w:t>“</w:t>
      </w:r>
      <w:proofErr w:type="spellStart"/>
      <w:r w:rsidRPr="0051721B">
        <w:t>to</w:t>
      </w:r>
      <w:proofErr w:type="spellEnd"/>
      <w:r w:rsidRPr="0051721B">
        <w:t xml:space="preserve"> be </w:t>
      </w:r>
      <w:proofErr w:type="spellStart"/>
      <w:r w:rsidRPr="0051721B">
        <w:t>alive</w:t>
      </w:r>
      <w:proofErr w:type="spellEnd"/>
      <w:r w:rsidRPr="0051721B">
        <w:t xml:space="preserve">, </w:t>
      </w:r>
      <w:proofErr w:type="spellStart"/>
      <w:r w:rsidRPr="0051721B">
        <w:t>well</w:t>
      </w:r>
      <w:proofErr w:type="spellEnd"/>
      <w:r w:rsidRPr="0051721B">
        <w:t xml:space="preserve">, </w:t>
      </w:r>
      <w:proofErr w:type="spellStart"/>
      <w:r w:rsidRPr="0051721B">
        <w:t>safe</w:t>
      </w:r>
      <w:proofErr w:type="spellEnd"/>
      <w:r w:rsidRPr="0051721B">
        <w:t xml:space="preserve">, </w:t>
      </w:r>
      <w:proofErr w:type="spellStart"/>
      <w:r w:rsidRPr="0051721B">
        <w:t>cured</w:t>
      </w:r>
      <w:proofErr w:type="spellEnd"/>
      <w:r w:rsidRPr="0051721B">
        <w:t xml:space="preserve">, </w:t>
      </w:r>
      <w:proofErr w:type="spellStart"/>
      <w:r w:rsidRPr="0051721B">
        <w:t>recovered</w:t>
      </w:r>
      <w:proofErr w:type="spellEnd"/>
      <w:r w:rsidRPr="0051721B">
        <w:t xml:space="preserve">, </w:t>
      </w:r>
      <w:proofErr w:type="spellStart"/>
      <w:r w:rsidRPr="0051721B">
        <w:t>healthy</w:t>
      </w:r>
      <w:proofErr w:type="spellEnd"/>
      <w:r w:rsidRPr="0051721B">
        <w:t xml:space="preserve">, </w:t>
      </w:r>
      <w:proofErr w:type="spellStart"/>
      <w:r w:rsidRPr="0051721B">
        <w:t>fit</w:t>
      </w:r>
      <w:proofErr w:type="spellEnd"/>
      <w:r w:rsidRPr="0051721B">
        <w:t xml:space="preserve">, </w:t>
      </w:r>
      <w:proofErr w:type="spellStart"/>
      <w:r w:rsidRPr="0051721B">
        <w:t>healed</w:t>
      </w:r>
      <w:proofErr w:type="spellEnd"/>
      <w:r>
        <w:t>”</w:t>
      </w:r>
      <w:r w:rsidRPr="0051721B">
        <w:t xml:space="preserve">. </w:t>
      </w:r>
      <w:proofErr w:type="spellStart"/>
      <w:r w:rsidRPr="0051721B">
        <w:t>See</w:t>
      </w:r>
      <w:proofErr w:type="spellEnd"/>
      <w:r w:rsidRPr="0051721B">
        <w:t xml:space="preserve">: </w:t>
      </w:r>
      <w:proofErr w:type="spellStart"/>
      <w:r w:rsidRPr="00726C15">
        <w:rPr>
          <w:rStyle w:val="Hipervnculo"/>
        </w:rPr>
        <w:t>www.tpk.govt.nz</w:t>
      </w:r>
      <w:proofErr w:type="spellEnd"/>
      <w:r w:rsidRPr="00726C15">
        <w:rPr>
          <w:rStyle w:val="Hipervnculo"/>
        </w:rPr>
        <w:t>/en/</w:t>
      </w:r>
      <w:proofErr w:type="spellStart"/>
      <w:r w:rsidRPr="00726C15">
        <w:rPr>
          <w:rStyle w:val="Hipervnculo"/>
        </w:rPr>
        <w:t>whakamahia</w:t>
      </w:r>
      <w:proofErr w:type="spellEnd"/>
      <w:r w:rsidRPr="00726C15">
        <w:rPr>
          <w:rStyle w:val="Hipervnculo"/>
        </w:rPr>
        <w:t>/</w:t>
      </w:r>
      <w:proofErr w:type="spellStart"/>
      <w:r w:rsidRPr="00726C15">
        <w:rPr>
          <w:rStyle w:val="Hipervnculo"/>
        </w:rPr>
        <w:t>whanau</w:t>
      </w:r>
      <w:proofErr w:type="spellEnd"/>
      <w:r w:rsidRPr="00726C15">
        <w:rPr>
          <w:rStyle w:val="Hipervnculo"/>
        </w:rPr>
        <w:t>-ora</w:t>
      </w:r>
      <w:r w:rsidRPr="0051721B">
        <w:t>.</w:t>
      </w:r>
    </w:p>
  </w:endnote>
  <w:endnote w:id="44">
    <w:p w14:paraId="28D2819C" w14:textId="77777777" w:rsidR="003665BE" w:rsidRPr="003955E1"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See</w:t>
      </w:r>
      <w:proofErr w:type="spellEnd"/>
      <w:r w:rsidRPr="0051721B">
        <w:t xml:space="preserve"> </w:t>
      </w:r>
      <w:r w:rsidRPr="00726C15">
        <w:rPr>
          <w:rStyle w:val="Hipervnculo"/>
        </w:rPr>
        <w:t>www.education.govt.nz/early-childhood/teaching-and-learning/learning-tools-and-resources/early-intervention/</w:t>
      </w:r>
      <w:r w:rsidRPr="0051721B">
        <w:t>.</w:t>
      </w:r>
    </w:p>
  </w:endnote>
  <w:endnote w:id="45">
    <w:p w14:paraId="2EC315F0" w14:textId="77777777" w:rsidR="003665BE" w:rsidRPr="00726C15" w:rsidRDefault="003665BE" w:rsidP="00726C15">
      <w:pPr>
        <w:pStyle w:val="Textonotaalfinal"/>
      </w:pPr>
      <w:r w:rsidRPr="0051721B">
        <w:tab/>
      </w:r>
      <w:r w:rsidRPr="00154216">
        <w:rPr>
          <w:rStyle w:val="Refdenotaalfinal"/>
        </w:rPr>
        <w:endnoteRef/>
      </w:r>
      <w:r w:rsidRPr="00154216">
        <w:rPr>
          <w:rStyle w:val="Refdenotaalfinal"/>
        </w:rPr>
        <w:tab/>
      </w:r>
      <w:proofErr w:type="spellStart"/>
      <w:r w:rsidRPr="0051721B">
        <w:t>See</w:t>
      </w:r>
      <w:proofErr w:type="spellEnd"/>
      <w:r w:rsidRPr="0051721B">
        <w:t xml:space="preserve"> </w:t>
      </w:r>
      <w:r w:rsidRPr="00726C15">
        <w:rPr>
          <w:rStyle w:val="Hipervnculo"/>
        </w:rPr>
        <w:t>www.health.govt.nz/our-work/life-stages/child-health/b4-school-check</w:t>
      </w:r>
      <w:r w:rsidRPr="00726C15">
        <w:t>.</w:t>
      </w:r>
    </w:p>
  </w:endnote>
  <w:endnote w:id="46">
    <w:p w14:paraId="0D2D70FB" w14:textId="77777777" w:rsidR="003665BE" w:rsidRPr="00D247C6"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See</w:t>
      </w:r>
      <w:proofErr w:type="spellEnd"/>
      <w:r w:rsidRPr="0051721B">
        <w:t xml:space="preserve"> </w:t>
      </w:r>
      <w:r w:rsidRPr="00726C15">
        <w:rPr>
          <w:rStyle w:val="Hipervnculo"/>
        </w:rPr>
        <w:t>www.education.govt.nz/school/student-support/special-education/day-special-schools-for-students-with-high-needs/</w:t>
      </w:r>
      <w:r w:rsidRPr="0051721B">
        <w:t>.</w:t>
      </w:r>
    </w:p>
  </w:endnote>
  <w:endnote w:id="47">
    <w:p w14:paraId="23540A07" w14:textId="77777777" w:rsidR="003665BE" w:rsidRPr="00D247C6"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See</w:t>
      </w:r>
      <w:proofErr w:type="spellEnd"/>
      <w:r w:rsidRPr="0051721B">
        <w:t xml:space="preserve"> </w:t>
      </w:r>
      <w:r w:rsidRPr="00726C15">
        <w:rPr>
          <w:rStyle w:val="Hipervnculo"/>
        </w:rPr>
        <w:t>https://education.govt.nz/school/student-support/special-education/intensive-wraparound-service-iws/</w:t>
      </w:r>
      <w:r w:rsidRPr="0051721B">
        <w:t>.</w:t>
      </w:r>
    </w:p>
  </w:endnote>
  <w:endnote w:id="48">
    <w:p w14:paraId="6A1174E6" w14:textId="77777777" w:rsidR="003665BE" w:rsidRPr="00C46808"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See</w:t>
      </w:r>
      <w:proofErr w:type="spellEnd"/>
      <w:r w:rsidRPr="0051721B">
        <w:t xml:space="preserve"> </w:t>
      </w:r>
      <w:r w:rsidRPr="00726C15">
        <w:rPr>
          <w:rStyle w:val="Hipervnculo"/>
        </w:rPr>
        <w:t>http://</w:t>
      </w:r>
      <w:proofErr w:type="spellStart"/>
      <w:r w:rsidRPr="00726C15">
        <w:rPr>
          <w:rStyle w:val="Hipervnculo"/>
        </w:rPr>
        <w:t>inclusive.tki.org.nz</w:t>
      </w:r>
      <w:proofErr w:type="spellEnd"/>
      <w:r w:rsidRPr="00726C15">
        <w:rPr>
          <w:rStyle w:val="Hipervnculo"/>
        </w:rPr>
        <w:t>/</w:t>
      </w:r>
      <w:proofErr w:type="spellStart"/>
      <w:r w:rsidRPr="00726C15">
        <w:rPr>
          <w:rStyle w:val="Hipervnculo"/>
        </w:rPr>
        <w:t>guides</w:t>
      </w:r>
      <w:proofErr w:type="spellEnd"/>
      <w:r w:rsidRPr="0051721B">
        <w:t>.</w:t>
      </w:r>
    </w:p>
  </w:endnote>
  <w:endnote w:id="49">
    <w:p w14:paraId="3ABE8AE6" w14:textId="77777777" w:rsidR="003665BE" w:rsidRPr="00BD284F"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This</w:t>
      </w:r>
      <w:proofErr w:type="spellEnd"/>
      <w:r w:rsidRPr="0051721B">
        <w:t xml:space="preserve"> </w:t>
      </w:r>
      <w:proofErr w:type="spellStart"/>
      <w:r w:rsidRPr="0051721B">
        <w:t>survey</w:t>
      </w:r>
      <w:proofErr w:type="spellEnd"/>
      <w:r w:rsidRPr="0051721B">
        <w:t xml:space="preserve"> </w:t>
      </w:r>
      <w:proofErr w:type="spellStart"/>
      <w:r w:rsidRPr="0051721B">
        <w:t>provides</w:t>
      </w:r>
      <w:proofErr w:type="spellEnd"/>
      <w:r w:rsidRPr="0051721B">
        <w:t xml:space="preserve"> </w:t>
      </w:r>
      <w:proofErr w:type="spellStart"/>
      <w:r w:rsidRPr="0051721B">
        <w:t>the</w:t>
      </w:r>
      <w:proofErr w:type="spellEnd"/>
      <w:r w:rsidRPr="0051721B">
        <w:t xml:space="preserve"> </w:t>
      </w:r>
      <w:proofErr w:type="spellStart"/>
      <w:r w:rsidRPr="0051721B">
        <w:t>most</w:t>
      </w:r>
      <w:proofErr w:type="spellEnd"/>
      <w:r w:rsidRPr="0051721B">
        <w:t xml:space="preserve"> </w:t>
      </w:r>
      <w:proofErr w:type="spellStart"/>
      <w:r w:rsidRPr="0051721B">
        <w:t>comprehensive</w:t>
      </w:r>
      <w:proofErr w:type="spellEnd"/>
      <w:r w:rsidRPr="0051721B">
        <w:t xml:space="preserve"> </w:t>
      </w:r>
      <w:proofErr w:type="spellStart"/>
      <w:r w:rsidRPr="0051721B">
        <w:t>current</w:t>
      </w:r>
      <w:proofErr w:type="spellEnd"/>
      <w:r w:rsidRPr="0051721B">
        <w:t xml:space="preserve"> data </w:t>
      </w:r>
      <w:proofErr w:type="spellStart"/>
      <w:r w:rsidRPr="0051721B">
        <w:t>on</w:t>
      </w:r>
      <w:proofErr w:type="spellEnd"/>
      <w:r w:rsidRPr="0051721B">
        <w:t xml:space="preserve"> </w:t>
      </w:r>
      <w:proofErr w:type="spellStart"/>
      <w:r w:rsidRPr="0051721B">
        <w:t>disabled</w:t>
      </w:r>
      <w:proofErr w:type="spellEnd"/>
      <w:r w:rsidRPr="0051721B">
        <w:t xml:space="preserve"> </w:t>
      </w:r>
      <w:proofErr w:type="spellStart"/>
      <w:r w:rsidRPr="0051721B">
        <w:t>women</w:t>
      </w:r>
      <w:proofErr w:type="spellEnd"/>
      <w:r w:rsidRPr="0051721B">
        <w:t xml:space="preserve">. </w:t>
      </w:r>
      <w:proofErr w:type="spellStart"/>
      <w:r w:rsidRPr="0051721B">
        <w:t>See</w:t>
      </w:r>
      <w:proofErr w:type="spellEnd"/>
      <w:r w:rsidRPr="0051721B">
        <w:t xml:space="preserve"> </w:t>
      </w:r>
      <w:proofErr w:type="spellStart"/>
      <w:r w:rsidRPr="00726C15">
        <w:rPr>
          <w:rStyle w:val="Hipervnculo"/>
        </w:rPr>
        <w:t>www.stats.govt</w:t>
      </w:r>
      <w:proofErr w:type="spellEnd"/>
      <w:r w:rsidRPr="00726C15">
        <w:rPr>
          <w:rStyle w:val="Hipervnculo"/>
        </w:rPr>
        <w:t xml:space="preserve">. </w:t>
      </w:r>
      <w:proofErr w:type="spellStart"/>
      <w:r w:rsidRPr="00726C15">
        <w:rPr>
          <w:rStyle w:val="Hipervnculo"/>
        </w:rPr>
        <w:t>Nz</w:t>
      </w:r>
      <w:proofErr w:type="spellEnd"/>
      <w:r w:rsidRPr="00726C15">
        <w:rPr>
          <w:rStyle w:val="Hipervnculo"/>
        </w:rPr>
        <w:t>/</w:t>
      </w:r>
      <w:proofErr w:type="spellStart"/>
      <w:r w:rsidRPr="00726C15">
        <w:rPr>
          <w:rStyle w:val="Hipervnculo"/>
        </w:rPr>
        <w:t>information-releases</w:t>
      </w:r>
      <w:proofErr w:type="spellEnd"/>
      <w:r w:rsidRPr="00726C15">
        <w:rPr>
          <w:rStyle w:val="Hipervnculo"/>
        </w:rPr>
        <w:t>/</w:t>
      </w:r>
      <w:proofErr w:type="spellStart"/>
      <w:r w:rsidRPr="00726C15">
        <w:rPr>
          <w:rStyle w:val="Hipervnculo"/>
        </w:rPr>
        <w:t>disability</w:t>
      </w:r>
      <w:proofErr w:type="spellEnd"/>
      <w:r w:rsidRPr="00726C15">
        <w:rPr>
          <w:rStyle w:val="Hipervnculo"/>
        </w:rPr>
        <w:t>-</w:t>
      </w:r>
      <w:proofErr w:type="spellStart"/>
      <w:r w:rsidRPr="00726C15">
        <w:rPr>
          <w:rStyle w:val="Hipervnculo"/>
        </w:rPr>
        <w:t>survey</w:t>
      </w:r>
      <w:proofErr w:type="spellEnd"/>
      <w:r w:rsidRPr="00726C15">
        <w:rPr>
          <w:rStyle w:val="Hipervnculo"/>
        </w:rPr>
        <w:t>-2013</w:t>
      </w:r>
      <w:r w:rsidRPr="0051721B">
        <w:t>.</w:t>
      </w:r>
    </w:p>
  </w:endnote>
  <w:endnote w:id="50">
    <w:p w14:paraId="3AE3703F" w14:textId="77777777" w:rsidR="003665BE" w:rsidRPr="00BA5F3C"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The</w:t>
      </w:r>
      <w:proofErr w:type="spellEnd"/>
      <w:r w:rsidRPr="0051721B">
        <w:t xml:space="preserve"> Sexual </w:t>
      </w:r>
      <w:proofErr w:type="spellStart"/>
      <w:r w:rsidRPr="0051721B">
        <w:t>Violence</w:t>
      </w:r>
      <w:proofErr w:type="spellEnd"/>
      <w:r w:rsidRPr="0051721B">
        <w:t xml:space="preserve"> </w:t>
      </w:r>
      <w:proofErr w:type="spellStart"/>
      <w:r w:rsidRPr="0051721B">
        <w:t>Prevention</w:t>
      </w:r>
      <w:proofErr w:type="spellEnd"/>
      <w:r w:rsidRPr="0051721B">
        <w:t xml:space="preserve"> </w:t>
      </w:r>
      <w:proofErr w:type="spellStart"/>
      <w:r w:rsidRPr="0051721B">
        <w:t>Advisory</w:t>
      </w:r>
      <w:proofErr w:type="spellEnd"/>
      <w:r w:rsidRPr="0051721B">
        <w:t xml:space="preserve"> </w:t>
      </w:r>
      <w:proofErr w:type="spellStart"/>
      <w:r w:rsidRPr="0051721B">
        <w:t>Board</w:t>
      </w:r>
      <w:proofErr w:type="spellEnd"/>
      <w:r w:rsidRPr="0051721B">
        <w:t xml:space="preserve"> (</w:t>
      </w:r>
      <w:proofErr w:type="spellStart"/>
      <w:r w:rsidRPr="0051721B">
        <w:t>the</w:t>
      </w:r>
      <w:proofErr w:type="spellEnd"/>
      <w:r w:rsidRPr="0051721B">
        <w:t xml:space="preserve"> </w:t>
      </w:r>
      <w:proofErr w:type="spellStart"/>
      <w:r w:rsidRPr="0051721B">
        <w:t>Advisory</w:t>
      </w:r>
      <w:proofErr w:type="spellEnd"/>
      <w:r w:rsidRPr="0051721B">
        <w:t xml:space="preserve"> </w:t>
      </w:r>
      <w:proofErr w:type="spellStart"/>
      <w:r w:rsidRPr="0051721B">
        <w:t>Board</w:t>
      </w:r>
      <w:proofErr w:type="spellEnd"/>
      <w:r w:rsidRPr="0051721B">
        <w:t xml:space="preserve">) </w:t>
      </w:r>
      <w:proofErr w:type="spellStart"/>
      <w:r w:rsidRPr="0051721B">
        <w:t>comprises</w:t>
      </w:r>
      <w:proofErr w:type="spellEnd"/>
      <w:r w:rsidRPr="0051721B">
        <w:t xml:space="preserve"> </w:t>
      </w:r>
      <w:proofErr w:type="spellStart"/>
      <w:r w:rsidRPr="0051721B">
        <w:t>officials</w:t>
      </w:r>
      <w:proofErr w:type="spellEnd"/>
      <w:r w:rsidRPr="0051721B">
        <w:t xml:space="preserve"> </w:t>
      </w:r>
      <w:proofErr w:type="spellStart"/>
      <w:r w:rsidRPr="0051721B">
        <w:t>from</w:t>
      </w:r>
      <w:proofErr w:type="spellEnd"/>
      <w:r w:rsidRPr="0051721B">
        <w:t xml:space="preserve"> agencies </w:t>
      </w:r>
      <w:proofErr w:type="spellStart"/>
      <w:r w:rsidRPr="0051721B">
        <w:t>involved</w:t>
      </w:r>
      <w:proofErr w:type="spellEnd"/>
      <w:r w:rsidRPr="0051721B">
        <w:t xml:space="preserve"> in </w:t>
      </w:r>
      <w:proofErr w:type="spellStart"/>
      <w:r w:rsidRPr="0051721B">
        <w:t>the</w:t>
      </w:r>
      <w:proofErr w:type="spellEnd"/>
      <w:r w:rsidRPr="0051721B">
        <w:t xml:space="preserve"> </w:t>
      </w:r>
      <w:proofErr w:type="spellStart"/>
      <w:r w:rsidRPr="0051721B">
        <w:t>funding</w:t>
      </w:r>
      <w:proofErr w:type="spellEnd"/>
      <w:r w:rsidRPr="0051721B">
        <w:t xml:space="preserve">, </w:t>
      </w:r>
      <w:proofErr w:type="spellStart"/>
      <w:r w:rsidRPr="0051721B">
        <w:t>management</w:t>
      </w:r>
      <w:proofErr w:type="spellEnd"/>
      <w:r w:rsidRPr="0051721B">
        <w:t xml:space="preserve"> and </w:t>
      </w:r>
      <w:proofErr w:type="spellStart"/>
      <w:r w:rsidRPr="0051721B">
        <w:t>delivery</w:t>
      </w:r>
      <w:proofErr w:type="spellEnd"/>
      <w:r w:rsidRPr="0051721B">
        <w:t xml:space="preserve"> </w:t>
      </w:r>
      <w:proofErr w:type="spellStart"/>
      <w:r w:rsidRPr="0051721B">
        <w:t>of</w:t>
      </w:r>
      <w:proofErr w:type="spellEnd"/>
      <w:r w:rsidRPr="0051721B">
        <w:t xml:space="preserve"> sexual </w:t>
      </w:r>
      <w:proofErr w:type="spellStart"/>
      <w:r w:rsidRPr="0051721B">
        <w:t>violence</w:t>
      </w:r>
      <w:proofErr w:type="spellEnd"/>
      <w:r w:rsidRPr="0051721B">
        <w:t xml:space="preserve"> </w:t>
      </w:r>
      <w:proofErr w:type="spellStart"/>
      <w:r w:rsidRPr="0051721B">
        <w:t>prevention</w:t>
      </w:r>
      <w:proofErr w:type="spellEnd"/>
      <w:r w:rsidRPr="0051721B">
        <w:t xml:space="preserve"> </w:t>
      </w:r>
      <w:proofErr w:type="spellStart"/>
      <w:r w:rsidRPr="0051721B">
        <w:t>activities</w:t>
      </w:r>
      <w:proofErr w:type="spellEnd"/>
      <w:r w:rsidRPr="0051721B">
        <w:t xml:space="preserve">, as </w:t>
      </w:r>
      <w:proofErr w:type="spellStart"/>
      <w:r w:rsidRPr="0051721B">
        <w:t>well</w:t>
      </w:r>
      <w:proofErr w:type="spellEnd"/>
      <w:r w:rsidRPr="0051721B">
        <w:t xml:space="preserve"> as sector </w:t>
      </w:r>
      <w:proofErr w:type="spellStart"/>
      <w:r w:rsidRPr="0051721B">
        <w:t>representatives</w:t>
      </w:r>
      <w:proofErr w:type="spellEnd"/>
      <w:r w:rsidRPr="0051721B">
        <w:t xml:space="preserve">, and </w:t>
      </w:r>
      <w:proofErr w:type="spellStart"/>
      <w:r w:rsidRPr="0051721B">
        <w:t>independent</w:t>
      </w:r>
      <w:proofErr w:type="spellEnd"/>
      <w:r w:rsidRPr="0051721B">
        <w:t xml:space="preserve"> </w:t>
      </w:r>
      <w:proofErr w:type="spellStart"/>
      <w:r w:rsidRPr="0051721B">
        <w:t>representatives</w:t>
      </w:r>
      <w:proofErr w:type="spellEnd"/>
      <w:r w:rsidRPr="0051721B">
        <w:t xml:space="preserve"> </w:t>
      </w:r>
      <w:proofErr w:type="spellStart"/>
      <w:r w:rsidRPr="0051721B">
        <w:t>from</w:t>
      </w:r>
      <w:proofErr w:type="spellEnd"/>
      <w:r w:rsidRPr="0051721B">
        <w:t xml:space="preserve"> </w:t>
      </w:r>
      <w:proofErr w:type="spellStart"/>
      <w:r w:rsidRPr="0051721B">
        <w:t>key</w:t>
      </w:r>
      <w:proofErr w:type="spellEnd"/>
      <w:r w:rsidRPr="0051721B">
        <w:t xml:space="preserve"> </w:t>
      </w:r>
      <w:proofErr w:type="spellStart"/>
      <w:r w:rsidRPr="0051721B">
        <w:t>population</w:t>
      </w:r>
      <w:proofErr w:type="spellEnd"/>
      <w:r w:rsidRPr="0051721B">
        <w:t xml:space="preserve"> </w:t>
      </w:r>
      <w:proofErr w:type="spellStart"/>
      <w:r w:rsidRPr="0051721B">
        <w:t>groups</w:t>
      </w:r>
      <w:proofErr w:type="spellEnd"/>
      <w:r w:rsidRPr="0051721B">
        <w:t>.</w:t>
      </w:r>
    </w:p>
  </w:endnote>
  <w:endnote w:id="51">
    <w:p w14:paraId="425600CC" w14:textId="77777777" w:rsidR="003665BE" w:rsidRPr="00532D67"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See</w:t>
      </w:r>
      <w:proofErr w:type="spellEnd"/>
      <w:r w:rsidRPr="0051721B">
        <w:t xml:space="preserve"> </w:t>
      </w:r>
      <w:r w:rsidRPr="00726C15">
        <w:rPr>
          <w:rStyle w:val="Hipervnculo"/>
        </w:rPr>
        <w:t>http://www.areyouok.org.nz/assets/AreyouOK/Resources/disability-booklet-newest-1.pdf</w:t>
      </w:r>
      <w:r w:rsidRPr="0051721B">
        <w:t>.</w:t>
      </w:r>
    </w:p>
  </w:endnote>
  <w:endnote w:id="52">
    <w:p w14:paraId="786958C3" w14:textId="77777777" w:rsidR="003665BE" w:rsidRPr="00CB1C87"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See</w:t>
      </w:r>
      <w:proofErr w:type="spellEnd"/>
      <w:r w:rsidRPr="0051721B">
        <w:t xml:space="preserve"> </w:t>
      </w:r>
      <w:r w:rsidRPr="00726C15">
        <w:rPr>
          <w:rStyle w:val="Hipervnculo"/>
        </w:rPr>
        <w:t>https://</w:t>
      </w:r>
      <w:proofErr w:type="spellStart"/>
      <w:r w:rsidRPr="00726C15">
        <w:rPr>
          <w:rStyle w:val="Hipervnculo"/>
        </w:rPr>
        <w:t>women.govt.nz</w:t>
      </w:r>
      <w:proofErr w:type="spellEnd"/>
      <w:r w:rsidRPr="00726C15">
        <w:rPr>
          <w:rStyle w:val="Hipervnculo"/>
        </w:rPr>
        <w:t>/</w:t>
      </w:r>
      <w:proofErr w:type="spellStart"/>
      <w:r w:rsidRPr="00726C15">
        <w:rPr>
          <w:rStyle w:val="Hipervnculo"/>
        </w:rPr>
        <w:t>news</w:t>
      </w:r>
      <w:proofErr w:type="spellEnd"/>
      <w:r w:rsidRPr="00726C15">
        <w:rPr>
          <w:rStyle w:val="Hipervnculo"/>
        </w:rPr>
        <w:t>/more-</w:t>
      </w:r>
      <w:proofErr w:type="spellStart"/>
      <w:r w:rsidRPr="00726C15">
        <w:rPr>
          <w:rStyle w:val="Hipervnculo"/>
        </w:rPr>
        <w:t>women</w:t>
      </w:r>
      <w:proofErr w:type="spellEnd"/>
      <w:r w:rsidRPr="00726C15">
        <w:rPr>
          <w:rStyle w:val="Hipervnculo"/>
        </w:rPr>
        <w:t>-</w:t>
      </w:r>
      <w:proofErr w:type="spellStart"/>
      <w:r w:rsidRPr="00726C15">
        <w:rPr>
          <w:rStyle w:val="Hipervnculo"/>
        </w:rPr>
        <w:t>public-boards</w:t>
      </w:r>
      <w:proofErr w:type="spellEnd"/>
      <w:r w:rsidRPr="0051721B">
        <w:t>.</w:t>
      </w:r>
    </w:p>
  </w:endnote>
  <w:endnote w:id="53">
    <w:p w14:paraId="7C7F3C0E" w14:textId="77777777" w:rsidR="003665BE" w:rsidRPr="00532D67"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See</w:t>
      </w:r>
      <w:proofErr w:type="spellEnd"/>
      <w:r w:rsidRPr="0051721B">
        <w:t xml:space="preserve"> </w:t>
      </w:r>
      <w:r w:rsidRPr="00726C15">
        <w:rPr>
          <w:rStyle w:val="Hipervnculo"/>
        </w:rPr>
        <w:t>www.odi.govt.nz/nz-disability-strategy/about-the-strategy/new-zealand-disability-strategy-2016-2026/2016-revision-of-the-strategy/new-zealand-disability-strategy-revision-reference-group/</w:t>
      </w:r>
      <w:r w:rsidRPr="0051721B">
        <w:t>.</w:t>
      </w:r>
    </w:p>
  </w:endnote>
  <w:endnote w:id="54">
    <w:p w14:paraId="382FD1CF" w14:textId="77777777" w:rsidR="003665BE" w:rsidRPr="00020800"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The</w:t>
      </w:r>
      <w:proofErr w:type="spellEnd"/>
      <w:r w:rsidRPr="0051721B">
        <w:t xml:space="preserve"> New </w:t>
      </w:r>
      <w:proofErr w:type="spellStart"/>
      <w:r w:rsidRPr="0051721B">
        <w:t>Zealand</w:t>
      </w:r>
      <w:proofErr w:type="spellEnd"/>
      <w:r w:rsidRPr="0051721B">
        <w:t xml:space="preserve"> </w:t>
      </w:r>
      <w:proofErr w:type="spellStart"/>
      <w:r w:rsidRPr="0051721B">
        <w:t>Sign</w:t>
      </w:r>
      <w:proofErr w:type="spellEnd"/>
      <w:r w:rsidRPr="0051721B">
        <w:t xml:space="preserve"> </w:t>
      </w:r>
      <w:proofErr w:type="spellStart"/>
      <w:r w:rsidRPr="0051721B">
        <w:t>Language</w:t>
      </w:r>
      <w:proofErr w:type="spellEnd"/>
      <w:r w:rsidRPr="0051721B">
        <w:t xml:space="preserve"> </w:t>
      </w:r>
      <w:proofErr w:type="spellStart"/>
      <w:r w:rsidRPr="0051721B">
        <w:t>Board</w:t>
      </w:r>
      <w:proofErr w:type="spellEnd"/>
      <w:r w:rsidRPr="0051721B">
        <w:t xml:space="preserve"> </w:t>
      </w:r>
      <w:proofErr w:type="spellStart"/>
      <w:r w:rsidRPr="0051721B">
        <w:t>of</w:t>
      </w:r>
      <w:proofErr w:type="spellEnd"/>
      <w:r w:rsidRPr="0051721B">
        <w:t xml:space="preserve"> ten </w:t>
      </w:r>
      <w:proofErr w:type="spellStart"/>
      <w:r w:rsidRPr="0051721B">
        <w:t>currently</w:t>
      </w:r>
      <w:proofErr w:type="spellEnd"/>
      <w:r w:rsidRPr="0051721B">
        <w:t xml:space="preserve"> </w:t>
      </w:r>
      <w:proofErr w:type="spellStart"/>
      <w:r w:rsidRPr="0051721B">
        <w:t>includes</w:t>
      </w:r>
      <w:proofErr w:type="spellEnd"/>
      <w:r w:rsidRPr="0051721B">
        <w:t xml:space="preserve"> </w:t>
      </w:r>
      <w:proofErr w:type="spellStart"/>
      <w:r w:rsidRPr="0051721B">
        <w:t>four</w:t>
      </w:r>
      <w:proofErr w:type="spellEnd"/>
      <w:r w:rsidRPr="0051721B">
        <w:t xml:space="preserve"> </w:t>
      </w:r>
      <w:proofErr w:type="spellStart"/>
      <w:r w:rsidRPr="0051721B">
        <w:t>women</w:t>
      </w:r>
      <w:proofErr w:type="spellEnd"/>
      <w:r w:rsidRPr="0051721B">
        <w:t xml:space="preserve">, </w:t>
      </w:r>
      <w:proofErr w:type="spellStart"/>
      <w:r w:rsidRPr="0051721B">
        <w:t>two</w:t>
      </w:r>
      <w:proofErr w:type="spellEnd"/>
      <w:r w:rsidRPr="0051721B">
        <w:t xml:space="preserve"> </w:t>
      </w:r>
      <w:proofErr w:type="spellStart"/>
      <w:r w:rsidRPr="0051721B">
        <w:t>of</w:t>
      </w:r>
      <w:proofErr w:type="spellEnd"/>
      <w:r w:rsidRPr="0051721B">
        <w:t xml:space="preserve"> </w:t>
      </w:r>
      <w:proofErr w:type="spellStart"/>
      <w:r w:rsidRPr="0051721B">
        <w:t>whom</w:t>
      </w:r>
      <w:proofErr w:type="spellEnd"/>
      <w:r w:rsidRPr="0051721B">
        <w:t xml:space="preserve"> are </w:t>
      </w:r>
      <w:proofErr w:type="spellStart"/>
      <w:r w:rsidRPr="0051721B">
        <w:t>Deaf</w:t>
      </w:r>
      <w:proofErr w:type="spellEnd"/>
      <w:r w:rsidRPr="0051721B">
        <w:t xml:space="preserve">. </w:t>
      </w:r>
      <w:proofErr w:type="spellStart"/>
      <w:r w:rsidRPr="0051721B">
        <w:t>The</w:t>
      </w:r>
      <w:proofErr w:type="spellEnd"/>
      <w:r w:rsidRPr="0051721B">
        <w:t xml:space="preserve"> </w:t>
      </w:r>
      <w:proofErr w:type="spellStart"/>
      <w:r w:rsidRPr="0051721B">
        <w:t>Chair</w:t>
      </w:r>
      <w:proofErr w:type="spellEnd"/>
      <w:r w:rsidRPr="0051721B">
        <w:t xml:space="preserve"> </w:t>
      </w:r>
      <w:proofErr w:type="spellStart"/>
      <w:r w:rsidRPr="0051721B">
        <w:t>is</w:t>
      </w:r>
      <w:proofErr w:type="spellEnd"/>
      <w:r w:rsidRPr="0051721B">
        <w:t xml:space="preserve"> a </w:t>
      </w:r>
      <w:proofErr w:type="spellStart"/>
      <w:r w:rsidRPr="0051721B">
        <w:t>Deaf</w:t>
      </w:r>
      <w:proofErr w:type="spellEnd"/>
      <w:r w:rsidRPr="0051721B">
        <w:t xml:space="preserve"> </w:t>
      </w:r>
      <w:proofErr w:type="spellStart"/>
      <w:r w:rsidRPr="0051721B">
        <w:t>woman</w:t>
      </w:r>
      <w:proofErr w:type="spellEnd"/>
      <w:r w:rsidRPr="0051721B">
        <w:t xml:space="preserve">. In line </w:t>
      </w:r>
      <w:proofErr w:type="spellStart"/>
      <w:r w:rsidRPr="0051721B">
        <w:t>with</w:t>
      </w:r>
      <w:proofErr w:type="spellEnd"/>
      <w:r w:rsidRPr="0051721B">
        <w:t xml:space="preserve"> </w:t>
      </w:r>
      <w:proofErr w:type="spellStart"/>
      <w:r w:rsidRPr="0051721B">
        <w:t>its</w:t>
      </w:r>
      <w:proofErr w:type="spellEnd"/>
      <w:r w:rsidRPr="0051721B">
        <w:t xml:space="preserve"> </w:t>
      </w:r>
      <w:proofErr w:type="spellStart"/>
      <w:r w:rsidRPr="0051721B">
        <w:t>Terms</w:t>
      </w:r>
      <w:proofErr w:type="spellEnd"/>
      <w:r w:rsidRPr="0051721B">
        <w:t xml:space="preserve"> </w:t>
      </w:r>
      <w:proofErr w:type="spellStart"/>
      <w:r w:rsidRPr="0051721B">
        <w:t>of</w:t>
      </w:r>
      <w:proofErr w:type="spellEnd"/>
      <w:r w:rsidRPr="0051721B">
        <w:t xml:space="preserve"> Reference, </w:t>
      </w:r>
      <w:proofErr w:type="spellStart"/>
      <w:r w:rsidRPr="0051721B">
        <w:t>recruitment</w:t>
      </w:r>
      <w:proofErr w:type="spellEnd"/>
      <w:r w:rsidRPr="0051721B">
        <w:t xml:space="preserve"> </w:t>
      </w:r>
      <w:proofErr w:type="spellStart"/>
      <w:r w:rsidRPr="0051721B">
        <w:t>by</w:t>
      </w:r>
      <w:proofErr w:type="spellEnd"/>
      <w:r w:rsidRPr="0051721B">
        <w:t xml:space="preserve"> June 2019 </w:t>
      </w:r>
      <w:proofErr w:type="spellStart"/>
      <w:r w:rsidRPr="0051721B">
        <w:t>to</w:t>
      </w:r>
      <w:proofErr w:type="spellEnd"/>
      <w:r w:rsidRPr="0051721B">
        <w:t xml:space="preserve"> </w:t>
      </w:r>
      <w:proofErr w:type="spellStart"/>
      <w:r w:rsidRPr="0051721B">
        <w:t>replace</w:t>
      </w:r>
      <w:proofErr w:type="spellEnd"/>
      <w:r w:rsidRPr="0051721B">
        <w:t xml:space="preserve"> </w:t>
      </w:r>
      <w:proofErr w:type="spellStart"/>
      <w:r w:rsidRPr="0051721B">
        <w:t>members</w:t>
      </w:r>
      <w:proofErr w:type="spellEnd"/>
      <w:r w:rsidRPr="0051721B">
        <w:t xml:space="preserve"> </w:t>
      </w:r>
      <w:proofErr w:type="spellStart"/>
      <w:r w:rsidRPr="0051721B">
        <w:t>who</w:t>
      </w:r>
      <w:proofErr w:type="spellEnd"/>
      <w:r w:rsidRPr="0051721B">
        <w:t xml:space="preserve"> are standing </w:t>
      </w:r>
      <w:proofErr w:type="spellStart"/>
      <w:r w:rsidRPr="0051721B">
        <w:t>down</w:t>
      </w:r>
      <w:proofErr w:type="spellEnd"/>
      <w:r w:rsidRPr="0051721B">
        <w:t xml:space="preserve"> </w:t>
      </w:r>
      <w:proofErr w:type="spellStart"/>
      <w:r w:rsidRPr="0051721B">
        <w:t>is</w:t>
      </w:r>
      <w:proofErr w:type="spellEnd"/>
      <w:r w:rsidRPr="0051721B">
        <w:t xml:space="preserve"> </w:t>
      </w:r>
      <w:proofErr w:type="spellStart"/>
      <w:r w:rsidRPr="0051721B">
        <w:t>expected</w:t>
      </w:r>
      <w:proofErr w:type="spellEnd"/>
      <w:r w:rsidRPr="0051721B">
        <w:t xml:space="preserve"> </w:t>
      </w:r>
      <w:proofErr w:type="spellStart"/>
      <w:r w:rsidRPr="0051721B">
        <w:t>to</w:t>
      </w:r>
      <w:proofErr w:type="spellEnd"/>
      <w:r w:rsidRPr="0051721B">
        <w:t xml:space="preserve"> </w:t>
      </w:r>
      <w:proofErr w:type="spellStart"/>
      <w:r w:rsidRPr="0051721B">
        <w:t>further</w:t>
      </w:r>
      <w:proofErr w:type="spellEnd"/>
      <w:r w:rsidRPr="0051721B">
        <w:t xml:space="preserve"> </w:t>
      </w:r>
      <w:proofErr w:type="spellStart"/>
      <w:r w:rsidRPr="0051721B">
        <w:t>improve</w:t>
      </w:r>
      <w:proofErr w:type="spellEnd"/>
      <w:r w:rsidRPr="0051721B">
        <w:t xml:space="preserve"> </w:t>
      </w:r>
      <w:proofErr w:type="spellStart"/>
      <w:r w:rsidRPr="0051721B">
        <w:t>representation</w:t>
      </w:r>
      <w:proofErr w:type="spellEnd"/>
      <w:r w:rsidRPr="0051721B">
        <w:t xml:space="preserve"> </w:t>
      </w:r>
      <w:proofErr w:type="spellStart"/>
      <w:r w:rsidRPr="0051721B">
        <w:t>on</w:t>
      </w:r>
      <w:proofErr w:type="spellEnd"/>
      <w:r w:rsidRPr="0051721B">
        <w:t xml:space="preserve"> </w:t>
      </w:r>
      <w:proofErr w:type="spellStart"/>
      <w:r w:rsidRPr="0051721B">
        <w:t>the</w:t>
      </w:r>
      <w:proofErr w:type="spellEnd"/>
      <w:r w:rsidRPr="0051721B">
        <w:t xml:space="preserve"> </w:t>
      </w:r>
      <w:proofErr w:type="spellStart"/>
      <w:r w:rsidRPr="0051721B">
        <w:t>Board</w:t>
      </w:r>
      <w:proofErr w:type="spellEnd"/>
      <w:r w:rsidRPr="0051721B">
        <w:t>.</w:t>
      </w:r>
    </w:p>
  </w:endnote>
  <w:endnote w:id="55">
    <w:p w14:paraId="1D90BB42" w14:textId="77777777" w:rsidR="003665BE" w:rsidRPr="003955E1" w:rsidRDefault="003665BE" w:rsidP="00011964">
      <w:pPr>
        <w:pStyle w:val="Textonotaalfinal"/>
      </w:pPr>
      <w:r w:rsidRPr="0051721B">
        <w:tab/>
      </w:r>
      <w:r w:rsidRPr="00154216">
        <w:rPr>
          <w:rStyle w:val="Refdenotaalfinal"/>
        </w:rPr>
        <w:endnoteRef/>
      </w:r>
      <w:r w:rsidRPr="00154216">
        <w:rPr>
          <w:rStyle w:val="Refdenotaalfinal"/>
        </w:rPr>
        <w:tab/>
      </w:r>
      <w:r w:rsidRPr="0051721B">
        <w:t>‘</w:t>
      </w:r>
      <w:proofErr w:type="spellStart"/>
      <w:r w:rsidRPr="0051721B">
        <w:t>Whaia</w:t>
      </w:r>
      <w:proofErr w:type="spellEnd"/>
      <w:r w:rsidRPr="0051721B">
        <w:t xml:space="preserve"> te </w:t>
      </w:r>
      <w:proofErr w:type="spellStart"/>
      <w:r w:rsidRPr="0051721B">
        <w:t>Ao</w:t>
      </w:r>
      <w:proofErr w:type="spellEnd"/>
      <w:r w:rsidRPr="0051721B">
        <w:t xml:space="preserve"> </w:t>
      </w:r>
      <w:proofErr w:type="spellStart"/>
      <w:r w:rsidRPr="0051721B">
        <w:t>Marama</w:t>
      </w:r>
      <w:proofErr w:type="spellEnd"/>
      <w:r w:rsidRPr="0051721B">
        <w:t xml:space="preserve">’ in Te Reo </w:t>
      </w:r>
      <w:proofErr w:type="spellStart"/>
      <w:r w:rsidRPr="0051721B">
        <w:t>means</w:t>
      </w:r>
      <w:proofErr w:type="spellEnd"/>
      <w:r w:rsidRPr="0051721B">
        <w:t xml:space="preserve"> </w:t>
      </w:r>
      <w:proofErr w:type="spellStart"/>
      <w:r w:rsidRPr="0051721B">
        <w:t>pursuing</w:t>
      </w:r>
      <w:proofErr w:type="spellEnd"/>
      <w:r w:rsidRPr="0051721B">
        <w:t xml:space="preserve"> </w:t>
      </w:r>
      <w:proofErr w:type="spellStart"/>
      <w:r w:rsidRPr="0051721B">
        <w:t>the</w:t>
      </w:r>
      <w:proofErr w:type="spellEnd"/>
      <w:r w:rsidRPr="0051721B">
        <w:t xml:space="preserve"> </w:t>
      </w:r>
      <w:proofErr w:type="spellStart"/>
      <w:r w:rsidRPr="0051721B">
        <w:t>world</w:t>
      </w:r>
      <w:proofErr w:type="spellEnd"/>
      <w:r w:rsidRPr="0051721B">
        <w:t xml:space="preserve"> </w:t>
      </w:r>
      <w:proofErr w:type="spellStart"/>
      <w:r w:rsidRPr="0051721B">
        <w:t>of</w:t>
      </w:r>
      <w:proofErr w:type="spellEnd"/>
      <w:r w:rsidRPr="0051721B">
        <w:t xml:space="preserve"> </w:t>
      </w:r>
      <w:proofErr w:type="spellStart"/>
      <w:r w:rsidRPr="0051721B">
        <w:t>enlightenment</w:t>
      </w:r>
      <w:proofErr w:type="spellEnd"/>
      <w:r w:rsidRPr="0051721B">
        <w:t xml:space="preserve">. </w:t>
      </w:r>
      <w:proofErr w:type="spellStart"/>
      <w:r w:rsidRPr="0051721B">
        <w:t>For</w:t>
      </w:r>
      <w:proofErr w:type="spellEnd"/>
      <w:r w:rsidRPr="0051721B">
        <w:t xml:space="preserve"> </w:t>
      </w:r>
      <w:proofErr w:type="spellStart"/>
      <w:r w:rsidRPr="0051721B">
        <w:t>the</w:t>
      </w:r>
      <w:proofErr w:type="spellEnd"/>
      <w:r w:rsidRPr="0051721B">
        <w:t xml:space="preserve"> </w:t>
      </w:r>
      <w:proofErr w:type="spellStart"/>
      <w:r w:rsidRPr="0051721B">
        <w:t>purposes</w:t>
      </w:r>
      <w:proofErr w:type="spellEnd"/>
      <w:r w:rsidRPr="0051721B">
        <w:t xml:space="preserve"> </w:t>
      </w:r>
      <w:proofErr w:type="spellStart"/>
      <w:r w:rsidRPr="0051721B">
        <w:t>of</w:t>
      </w:r>
      <w:proofErr w:type="spellEnd"/>
      <w:r w:rsidRPr="0051721B">
        <w:t xml:space="preserve"> </w:t>
      </w:r>
      <w:proofErr w:type="spellStart"/>
      <w:r w:rsidRPr="0051721B">
        <w:t>the</w:t>
      </w:r>
      <w:proofErr w:type="spellEnd"/>
      <w:r w:rsidRPr="0051721B">
        <w:t xml:space="preserve"> plan, ‘</w:t>
      </w:r>
      <w:proofErr w:type="spellStart"/>
      <w:r w:rsidRPr="0051721B">
        <w:t>Whāia</w:t>
      </w:r>
      <w:proofErr w:type="spellEnd"/>
      <w:r w:rsidRPr="0051721B">
        <w:t xml:space="preserve"> te </w:t>
      </w:r>
      <w:proofErr w:type="spellStart"/>
      <w:r w:rsidRPr="0051721B">
        <w:t>ao</w:t>
      </w:r>
      <w:proofErr w:type="spellEnd"/>
      <w:r w:rsidRPr="0051721B">
        <w:t xml:space="preserve"> </w:t>
      </w:r>
      <w:proofErr w:type="spellStart"/>
      <w:r w:rsidRPr="0051721B">
        <w:t>mārama</w:t>
      </w:r>
      <w:proofErr w:type="spellEnd"/>
      <w:r w:rsidRPr="0051721B">
        <w:t xml:space="preserve">’ </w:t>
      </w:r>
      <w:proofErr w:type="spellStart"/>
      <w:r w:rsidRPr="0051721B">
        <w:t>means</w:t>
      </w:r>
      <w:proofErr w:type="spellEnd"/>
      <w:r w:rsidRPr="0051721B">
        <w:t xml:space="preserve"> </w:t>
      </w:r>
      <w:proofErr w:type="spellStart"/>
      <w:r w:rsidRPr="0051721B">
        <w:t>to</w:t>
      </w:r>
      <w:proofErr w:type="spellEnd"/>
      <w:r w:rsidRPr="0051721B">
        <w:t xml:space="preserve"> </w:t>
      </w:r>
      <w:proofErr w:type="spellStart"/>
      <w:r w:rsidRPr="0051721B">
        <w:t>pursue</w:t>
      </w:r>
      <w:proofErr w:type="spellEnd"/>
      <w:r w:rsidRPr="0051721B">
        <w:t xml:space="preserve"> and </w:t>
      </w:r>
      <w:proofErr w:type="spellStart"/>
      <w:r w:rsidRPr="0051721B">
        <w:t>enable</w:t>
      </w:r>
      <w:proofErr w:type="spellEnd"/>
      <w:r w:rsidRPr="0051721B">
        <w:t xml:space="preserve"> a </w:t>
      </w:r>
      <w:proofErr w:type="spellStart"/>
      <w:r w:rsidRPr="0051721B">
        <w:t>good</w:t>
      </w:r>
      <w:proofErr w:type="spellEnd"/>
      <w:r w:rsidRPr="0051721B">
        <w:t xml:space="preserve"> </w:t>
      </w:r>
      <w:proofErr w:type="spellStart"/>
      <w:r w:rsidRPr="0051721B">
        <w:t>life</w:t>
      </w:r>
      <w:proofErr w:type="spellEnd"/>
      <w:r w:rsidRPr="0051721B">
        <w:t xml:space="preserve"> </w:t>
      </w:r>
      <w:proofErr w:type="spellStart"/>
      <w:r w:rsidRPr="0051721B">
        <w:t>that</w:t>
      </w:r>
      <w:proofErr w:type="spellEnd"/>
      <w:r w:rsidRPr="0051721B">
        <w:t xml:space="preserve"> </w:t>
      </w:r>
      <w:proofErr w:type="spellStart"/>
      <w:r w:rsidRPr="0051721B">
        <w:t>is</w:t>
      </w:r>
      <w:proofErr w:type="spellEnd"/>
      <w:r w:rsidRPr="0051721B">
        <w:t xml:space="preserve"> </w:t>
      </w:r>
      <w:proofErr w:type="spellStart"/>
      <w:r w:rsidRPr="0051721B">
        <w:t>self-determined</w:t>
      </w:r>
      <w:proofErr w:type="spellEnd"/>
      <w:r w:rsidRPr="0051721B">
        <w:t xml:space="preserve">, </w:t>
      </w:r>
      <w:proofErr w:type="spellStart"/>
      <w:r w:rsidRPr="0051721B">
        <w:t>through</w:t>
      </w:r>
      <w:proofErr w:type="spellEnd"/>
      <w:r w:rsidRPr="0051721B">
        <w:t xml:space="preserve"> </w:t>
      </w:r>
      <w:proofErr w:type="spellStart"/>
      <w:r w:rsidRPr="0051721B">
        <w:t>enlightened</w:t>
      </w:r>
      <w:proofErr w:type="spellEnd"/>
      <w:r w:rsidRPr="0051721B">
        <w:t xml:space="preserve"> </w:t>
      </w:r>
      <w:proofErr w:type="spellStart"/>
      <w:r w:rsidRPr="0051721B">
        <w:t>supports</w:t>
      </w:r>
      <w:proofErr w:type="spellEnd"/>
      <w:r w:rsidRPr="0051721B">
        <w:t xml:space="preserve">. </w:t>
      </w:r>
      <w:proofErr w:type="spellStart"/>
      <w:r w:rsidRPr="0051721B">
        <w:t>See</w:t>
      </w:r>
      <w:proofErr w:type="spellEnd"/>
      <w:r w:rsidRPr="0051721B">
        <w:t xml:space="preserve"> </w:t>
      </w:r>
      <w:r w:rsidRPr="00726C15">
        <w:rPr>
          <w:rStyle w:val="Hipervnculo"/>
        </w:rPr>
        <w:t>www.health.govt.nz/our-work/disability-services/maori-disability-support-services/te-ao-marama-group</w:t>
      </w:r>
      <w:r w:rsidRPr="0051721B">
        <w:t>.</w:t>
      </w:r>
    </w:p>
  </w:endnote>
  <w:endnote w:id="56">
    <w:p w14:paraId="546C8A46" w14:textId="77777777" w:rsidR="003665BE"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We</w:t>
      </w:r>
      <w:proofErr w:type="spellEnd"/>
      <w:r w:rsidRPr="0051721B">
        <w:t xml:space="preserve"> </w:t>
      </w:r>
      <w:proofErr w:type="spellStart"/>
      <w:r w:rsidRPr="0051721B">
        <w:t>did</w:t>
      </w:r>
      <w:proofErr w:type="spellEnd"/>
      <w:r w:rsidRPr="0051721B">
        <w:t xml:space="preserve"> </w:t>
      </w:r>
      <w:proofErr w:type="spellStart"/>
      <w:r w:rsidRPr="0051721B">
        <w:t>not</w:t>
      </w:r>
      <w:proofErr w:type="spellEnd"/>
      <w:r w:rsidRPr="0051721B">
        <w:t xml:space="preserve"> </w:t>
      </w:r>
      <w:proofErr w:type="spellStart"/>
      <w:r w:rsidRPr="0051721B">
        <w:t>collect</w:t>
      </w:r>
      <w:proofErr w:type="spellEnd"/>
      <w:r w:rsidRPr="0051721B">
        <w:t xml:space="preserve"> data </w:t>
      </w:r>
      <w:proofErr w:type="spellStart"/>
      <w:r w:rsidRPr="0051721B">
        <w:t>on</w:t>
      </w:r>
      <w:proofErr w:type="spellEnd"/>
      <w:r w:rsidRPr="0051721B">
        <w:t xml:space="preserve"> </w:t>
      </w:r>
      <w:proofErr w:type="spellStart"/>
      <w:r w:rsidRPr="0051721B">
        <w:t>the</w:t>
      </w:r>
      <w:proofErr w:type="spellEnd"/>
      <w:r w:rsidRPr="0051721B">
        <w:t xml:space="preserve"> </w:t>
      </w:r>
      <w:proofErr w:type="spellStart"/>
      <w:r w:rsidRPr="0051721B">
        <w:t>number</w:t>
      </w:r>
      <w:proofErr w:type="spellEnd"/>
      <w:r w:rsidRPr="0051721B">
        <w:t xml:space="preserve"> </w:t>
      </w:r>
      <w:proofErr w:type="spellStart"/>
      <w:r w:rsidRPr="0051721B">
        <w:t>of</w:t>
      </w:r>
      <w:proofErr w:type="spellEnd"/>
      <w:r w:rsidRPr="0051721B">
        <w:t xml:space="preserve"> </w:t>
      </w:r>
      <w:proofErr w:type="spellStart"/>
      <w:r w:rsidRPr="0051721B">
        <w:t>disabled</w:t>
      </w:r>
      <w:proofErr w:type="spellEnd"/>
      <w:r w:rsidRPr="0051721B">
        <w:t xml:space="preserve"> </w:t>
      </w:r>
      <w:proofErr w:type="spellStart"/>
      <w:r w:rsidRPr="0051721B">
        <w:t>women</w:t>
      </w:r>
      <w:proofErr w:type="spellEnd"/>
      <w:r w:rsidRPr="0051721B">
        <w:t xml:space="preserve"> </w:t>
      </w:r>
      <w:proofErr w:type="spellStart"/>
      <w:r w:rsidRPr="0051721B">
        <w:t>who</w:t>
      </w:r>
      <w:proofErr w:type="spellEnd"/>
      <w:r w:rsidRPr="0051721B">
        <w:t xml:space="preserve"> </w:t>
      </w:r>
      <w:proofErr w:type="spellStart"/>
      <w:r w:rsidRPr="0051721B">
        <w:t>have</w:t>
      </w:r>
      <w:proofErr w:type="spellEnd"/>
      <w:r w:rsidRPr="0051721B">
        <w:t xml:space="preserve"> </w:t>
      </w:r>
      <w:proofErr w:type="spellStart"/>
      <w:r w:rsidRPr="0051721B">
        <w:t>been</w:t>
      </w:r>
      <w:proofErr w:type="spellEnd"/>
      <w:r w:rsidRPr="0051721B">
        <w:t xml:space="preserve"> </w:t>
      </w:r>
      <w:proofErr w:type="spellStart"/>
      <w:r w:rsidRPr="0051721B">
        <w:t>involved</w:t>
      </w:r>
      <w:proofErr w:type="spellEnd"/>
      <w:r w:rsidRPr="0051721B">
        <w:t xml:space="preserve"> in </w:t>
      </w:r>
      <w:proofErr w:type="spellStart"/>
      <w:r w:rsidRPr="0051721B">
        <w:t>the</w:t>
      </w:r>
      <w:proofErr w:type="spellEnd"/>
      <w:r w:rsidRPr="0051721B">
        <w:t xml:space="preserve"> </w:t>
      </w:r>
      <w:proofErr w:type="spellStart"/>
      <w:r w:rsidRPr="0051721B">
        <w:t>co-design</w:t>
      </w:r>
      <w:proofErr w:type="spellEnd"/>
      <w:r w:rsidRPr="0051721B">
        <w:t xml:space="preserve"> </w:t>
      </w:r>
      <w:proofErr w:type="spellStart"/>
      <w:r w:rsidRPr="0051721B">
        <w:t>of</w:t>
      </w:r>
      <w:proofErr w:type="spellEnd"/>
      <w:r w:rsidRPr="0051721B">
        <w:t xml:space="preserve"> </w:t>
      </w:r>
      <w:proofErr w:type="spellStart"/>
      <w:r w:rsidRPr="0051721B">
        <w:t>the</w:t>
      </w:r>
      <w:proofErr w:type="spellEnd"/>
      <w:r w:rsidRPr="0051721B">
        <w:t xml:space="preserve"> </w:t>
      </w:r>
      <w:proofErr w:type="spellStart"/>
      <w:r w:rsidRPr="0051721B">
        <w:t>disability</w:t>
      </w:r>
      <w:proofErr w:type="spellEnd"/>
      <w:r w:rsidRPr="0051721B">
        <w:t xml:space="preserve"> </w:t>
      </w:r>
      <w:proofErr w:type="spellStart"/>
      <w:r w:rsidRPr="0051721B">
        <w:t>support</w:t>
      </w:r>
      <w:proofErr w:type="spellEnd"/>
      <w:r w:rsidRPr="0051721B">
        <w:t xml:space="preserve"> </w:t>
      </w:r>
      <w:proofErr w:type="spellStart"/>
      <w:r w:rsidRPr="0051721B">
        <w:t>system</w:t>
      </w:r>
      <w:proofErr w:type="spellEnd"/>
      <w:r w:rsidRPr="0051721B">
        <w:t xml:space="preserve"> </w:t>
      </w:r>
      <w:proofErr w:type="spellStart"/>
      <w:r w:rsidRPr="0051721B">
        <w:t>transformation</w:t>
      </w:r>
      <w:proofErr w:type="spellEnd"/>
      <w:r w:rsidRPr="0051721B">
        <w:t>.</w:t>
      </w:r>
    </w:p>
  </w:endnote>
  <w:endnote w:id="57">
    <w:p w14:paraId="63017B37" w14:textId="77777777" w:rsidR="003665BE"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Disabled</w:t>
      </w:r>
      <w:proofErr w:type="spellEnd"/>
      <w:r w:rsidRPr="0051721B">
        <w:t xml:space="preserve"> </w:t>
      </w:r>
      <w:proofErr w:type="spellStart"/>
      <w:r w:rsidRPr="0051721B">
        <w:t>people</w:t>
      </w:r>
      <w:proofErr w:type="spellEnd"/>
      <w:r w:rsidRPr="0051721B">
        <w:t xml:space="preserve"> </w:t>
      </w:r>
      <w:proofErr w:type="spellStart"/>
      <w:r w:rsidRPr="0051721B">
        <w:t>had</w:t>
      </w:r>
      <w:proofErr w:type="spellEnd"/>
      <w:r w:rsidRPr="0051721B">
        <w:t xml:space="preserve"> </w:t>
      </w:r>
      <w:proofErr w:type="spellStart"/>
      <w:r w:rsidRPr="0051721B">
        <w:t>an</w:t>
      </w:r>
      <w:proofErr w:type="spellEnd"/>
      <w:r w:rsidRPr="0051721B">
        <w:t xml:space="preserve"> </w:t>
      </w:r>
      <w:proofErr w:type="spellStart"/>
      <w:r w:rsidRPr="0051721B">
        <w:t>additional</w:t>
      </w:r>
      <w:proofErr w:type="spellEnd"/>
      <w:r w:rsidRPr="0051721B">
        <w:t xml:space="preserve"> place </w:t>
      </w:r>
      <w:proofErr w:type="spellStart"/>
      <w:r w:rsidRPr="0051721B">
        <w:t>on</w:t>
      </w:r>
      <w:proofErr w:type="spellEnd"/>
      <w:r w:rsidRPr="0051721B">
        <w:t xml:space="preserve"> </w:t>
      </w:r>
      <w:proofErr w:type="spellStart"/>
      <w:r w:rsidRPr="0051721B">
        <w:t>the</w:t>
      </w:r>
      <w:proofErr w:type="spellEnd"/>
      <w:r w:rsidRPr="0051721B">
        <w:t xml:space="preserve"> </w:t>
      </w:r>
      <w:proofErr w:type="spellStart"/>
      <w:r w:rsidRPr="0051721B">
        <w:t>Governance</w:t>
      </w:r>
      <w:proofErr w:type="spellEnd"/>
      <w:r w:rsidRPr="0051721B">
        <w:t xml:space="preserve"> </w:t>
      </w:r>
      <w:proofErr w:type="spellStart"/>
      <w:r w:rsidRPr="0051721B">
        <w:t>Group</w:t>
      </w:r>
      <w:proofErr w:type="spellEnd"/>
      <w:r w:rsidRPr="0051721B">
        <w:t xml:space="preserve">, </w:t>
      </w:r>
      <w:proofErr w:type="spellStart"/>
      <w:r w:rsidRPr="0051721B">
        <w:t>but</w:t>
      </w:r>
      <w:proofErr w:type="spellEnd"/>
      <w:r w:rsidRPr="0051721B">
        <w:t xml:space="preserve"> </w:t>
      </w:r>
      <w:proofErr w:type="spellStart"/>
      <w:r w:rsidRPr="0051721B">
        <w:t>chose</w:t>
      </w:r>
      <w:proofErr w:type="spellEnd"/>
      <w:r w:rsidRPr="0051721B">
        <w:t xml:space="preserve"> </w:t>
      </w:r>
      <w:proofErr w:type="spellStart"/>
      <w:r w:rsidRPr="0051721B">
        <w:t>to</w:t>
      </w:r>
      <w:proofErr w:type="spellEnd"/>
      <w:r w:rsidRPr="0051721B">
        <w:t xml:space="preserve"> </w:t>
      </w:r>
      <w:proofErr w:type="spellStart"/>
      <w:r w:rsidRPr="0051721B">
        <w:t>increase</w:t>
      </w:r>
      <w:proofErr w:type="spellEnd"/>
      <w:r w:rsidRPr="0051721B">
        <w:t xml:space="preserve"> </w:t>
      </w:r>
      <w:proofErr w:type="spellStart"/>
      <w:r w:rsidRPr="0051721B">
        <w:t>the</w:t>
      </w:r>
      <w:proofErr w:type="spellEnd"/>
      <w:r w:rsidRPr="0051721B">
        <w:t xml:space="preserve"> </w:t>
      </w:r>
      <w:proofErr w:type="spellStart"/>
      <w:r w:rsidRPr="0051721B">
        <w:t>representation</w:t>
      </w:r>
      <w:proofErr w:type="spellEnd"/>
      <w:r w:rsidRPr="0051721B">
        <w:t xml:space="preserve"> </w:t>
      </w:r>
      <w:proofErr w:type="spellStart"/>
      <w:r w:rsidRPr="0051721B">
        <w:t>of</w:t>
      </w:r>
      <w:proofErr w:type="spellEnd"/>
      <w:r w:rsidRPr="0051721B">
        <w:t xml:space="preserve"> </w:t>
      </w:r>
      <w:proofErr w:type="spellStart"/>
      <w:r w:rsidRPr="0051721B">
        <w:t>Pacific</w:t>
      </w:r>
      <w:proofErr w:type="spellEnd"/>
      <w:r w:rsidRPr="0051721B">
        <w:t xml:space="preserve"> </w:t>
      </w:r>
      <w:proofErr w:type="spellStart"/>
      <w:r w:rsidRPr="0051721B">
        <w:t>people</w:t>
      </w:r>
      <w:proofErr w:type="spellEnd"/>
      <w:r w:rsidRPr="0051721B">
        <w:t xml:space="preserve"> </w:t>
      </w:r>
      <w:proofErr w:type="spellStart"/>
      <w:r w:rsidRPr="0051721B">
        <w:t>by</w:t>
      </w:r>
      <w:proofErr w:type="spellEnd"/>
      <w:r w:rsidRPr="0051721B">
        <w:t xml:space="preserve"> </w:t>
      </w:r>
      <w:proofErr w:type="spellStart"/>
      <w:r w:rsidRPr="0051721B">
        <w:t>including</w:t>
      </w:r>
      <w:proofErr w:type="spellEnd"/>
      <w:r w:rsidRPr="0051721B">
        <w:t xml:space="preserve"> a </w:t>
      </w:r>
      <w:proofErr w:type="spellStart"/>
      <w:r w:rsidRPr="0051721B">
        <w:t>Pacific</w:t>
      </w:r>
      <w:proofErr w:type="spellEnd"/>
      <w:r w:rsidRPr="0051721B">
        <w:t xml:space="preserve"> </w:t>
      </w:r>
      <w:proofErr w:type="spellStart"/>
      <w:r w:rsidRPr="0051721B">
        <w:t>representative</w:t>
      </w:r>
      <w:proofErr w:type="spellEnd"/>
      <w:r w:rsidRPr="0051721B">
        <w:t xml:space="preserve"> </w:t>
      </w:r>
      <w:proofErr w:type="spellStart"/>
      <w:r w:rsidRPr="0051721B">
        <w:t>instead</w:t>
      </w:r>
      <w:proofErr w:type="spellEnd"/>
      <w:r w:rsidRPr="0051721B">
        <w:t xml:space="preserve">. </w:t>
      </w:r>
    </w:p>
  </w:endnote>
  <w:endnote w:id="58">
    <w:p w14:paraId="4AE0DA60" w14:textId="77777777" w:rsidR="003665BE" w:rsidRPr="00887878" w:rsidRDefault="003665BE" w:rsidP="00011964">
      <w:pPr>
        <w:pStyle w:val="Textonotaalfinal"/>
      </w:pPr>
      <w:r w:rsidRPr="0051721B">
        <w:tab/>
      </w:r>
      <w:r w:rsidRPr="00154216">
        <w:rPr>
          <w:rStyle w:val="Refdenotaalfinal"/>
        </w:rPr>
        <w:endnoteRef/>
      </w:r>
      <w:r w:rsidRPr="00154216">
        <w:rPr>
          <w:rStyle w:val="Refdenotaalfinal"/>
        </w:rPr>
        <w:tab/>
      </w:r>
      <w:r w:rsidRPr="0051721B">
        <w:t>‘</w:t>
      </w:r>
      <w:proofErr w:type="spellStart"/>
      <w:r w:rsidRPr="0051721B">
        <w:t>Faiva</w:t>
      </w:r>
      <w:proofErr w:type="spellEnd"/>
      <w:r w:rsidRPr="0051721B">
        <w:t xml:space="preserve"> Ora’ </w:t>
      </w:r>
      <w:proofErr w:type="spellStart"/>
      <w:r w:rsidRPr="0051721B">
        <w:t>is</w:t>
      </w:r>
      <w:proofErr w:type="spellEnd"/>
      <w:r w:rsidRPr="0051721B">
        <w:t xml:space="preserve"> </w:t>
      </w:r>
      <w:proofErr w:type="spellStart"/>
      <w:r w:rsidRPr="0051721B">
        <w:t>the</w:t>
      </w:r>
      <w:proofErr w:type="spellEnd"/>
      <w:r w:rsidRPr="0051721B">
        <w:t xml:space="preserve"> </w:t>
      </w:r>
      <w:proofErr w:type="spellStart"/>
      <w:r w:rsidRPr="0051721B">
        <w:t>name</w:t>
      </w:r>
      <w:proofErr w:type="spellEnd"/>
      <w:r w:rsidRPr="0051721B">
        <w:t xml:space="preserve"> </w:t>
      </w:r>
      <w:proofErr w:type="spellStart"/>
      <w:r w:rsidRPr="0051721B">
        <w:t>of</w:t>
      </w:r>
      <w:proofErr w:type="spellEnd"/>
      <w:r w:rsidRPr="0051721B">
        <w:t xml:space="preserve"> </w:t>
      </w:r>
      <w:proofErr w:type="spellStart"/>
      <w:r w:rsidRPr="0051721B">
        <w:t>the</w:t>
      </w:r>
      <w:proofErr w:type="spellEnd"/>
      <w:r w:rsidRPr="0051721B">
        <w:t xml:space="preserve"> </w:t>
      </w:r>
      <w:proofErr w:type="spellStart"/>
      <w:r w:rsidRPr="0051721B">
        <w:t>National</w:t>
      </w:r>
      <w:proofErr w:type="spellEnd"/>
      <w:r w:rsidRPr="0051721B">
        <w:t xml:space="preserve"> </w:t>
      </w:r>
      <w:proofErr w:type="spellStart"/>
      <w:r w:rsidRPr="0051721B">
        <w:t>Pasifika</w:t>
      </w:r>
      <w:proofErr w:type="spellEnd"/>
      <w:r w:rsidRPr="0051721B">
        <w:t xml:space="preserve"> </w:t>
      </w:r>
      <w:proofErr w:type="spellStart"/>
      <w:r w:rsidRPr="0051721B">
        <w:t>Disability</w:t>
      </w:r>
      <w:proofErr w:type="spellEnd"/>
      <w:r w:rsidRPr="0051721B">
        <w:t xml:space="preserve"> Plan. </w:t>
      </w:r>
      <w:proofErr w:type="spellStart"/>
      <w:r w:rsidRPr="0051721B">
        <w:t>Faiva</w:t>
      </w:r>
      <w:proofErr w:type="spellEnd"/>
      <w:r w:rsidRPr="0051721B">
        <w:t xml:space="preserve"> Ora </w:t>
      </w:r>
      <w:proofErr w:type="spellStart"/>
      <w:r w:rsidRPr="0051721B">
        <w:t>translates</w:t>
      </w:r>
      <w:proofErr w:type="spellEnd"/>
      <w:r w:rsidRPr="0051721B">
        <w:t xml:space="preserve"> </w:t>
      </w:r>
      <w:proofErr w:type="spellStart"/>
      <w:r w:rsidRPr="0051721B">
        <w:t>to</w:t>
      </w:r>
      <w:proofErr w:type="spellEnd"/>
      <w:r w:rsidRPr="0051721B">
        <w:t xml:space="preserve"> ‘</w:t>
      </w:r>
      <w:proofErr w:type="spellStart"/>
      <w:r w:rsidRPr="0051721B">
        <w:t>the</w:t>
      </w:r>
      <w:proofErr w:type="spellEnd"/>
      <w:r w:rsidRPr="0051721B">
        <w:t xml:space="preserve"> </w:t>
      </w:r>
      <w:proofErr w:type="spellStart"/>
      <w:r w:rsidRPr="0051721B">
        <w:t>work</w:t>
      </w:r>
      <w:proofErr w:type="spellEnd"/>
      <w:r w:rsidRPr="0051721B">
        <w:t xml:space="preserve"> </w:t>
      </w:r>
      <w:proofErr w:type="spellStart"/>
      <w:r w:rsidRPr="0051721B">
        <w:t>for</w:t>
      </w:r>
      <w:proofErr w:type="spellEnd"/>
      <w:r w:rsidRPr="0051721B">
        <w:t xml:space="preserve"> </w:t>
      </w:r>
      <w:proofErr w:type="spellStart"/>
      <w:r w:rsidRPr="0051721B">
        <w:t>life</w:t>
      </w:r>
      <w:proofErr w:type="spellEnd"/>
      <w:r w:rsidRPr="0051721B">
        <w:t xml:space="preserve">’. </w:t>
      </w:r>
      <w:proofErr w:type="spellStart"/>
      <w:r w:rsidRPr="0051721B">
        <w:t>It</w:t>
      </w:r>
      <w:proofErr w:type="spellEnd"/>
      <w:r w:rsidRPr="0051721B">
        <w:t xml:space="preserve"> </w:t>
      </w:r>
      <w:proofErr w:type="spellStart"/>
      <w:r w:rsidRPr="0051721B">
        <w:t>embodies</w:t>
      </w:r>
      <w:proofErr w:type="spellEnd"/>
      <w:r w:rsidRPr="0051721B">
        <w:t xml:space="preserve"> </w:t>
      </w:r>
      <w:proofErr w:type="spellStart"/>
      <w:r w:rsidRPr="0051721B">
        <w:t>the</w:t>
      </w:r>
      <w:proofErr w:type="spellEnd"/>
      <w:r w:rsidRPr="0051721B">
        <w:t xml:space="preserve"> </w:t>
      </w:r>
      <w:proofErr w:type="spellStart"/>
      <w:r w:rsidRPr="0051721B">
        <w:t>Pasifika</w:t>
      </w:r>
      <w:proofErr w:type="spellEnd"/>
      <w:r w:rsidRPr="0051721B">
        <w:t xml:space="preserve"> </w:t>
      </w:r>
      <w:proofErr w:type="spellStart"/>
      <w:r w:rsidRPr="0051721B">
        <w:t>spirit</w:t>
      </w:r>
      <w:proofErr w:type="spellEnd"/>
      <w:r w:rsidRPr="0051721B">
        <w:t xml:space="preserve"> </w:t>
      </w:r>
      <w:proofErr w:type="spellStart"/>
      <w:r w:rsidRPr="0051721B">
        <w:t>of</w:t>
      </w:r>
      <w:proofErr w:type="spellEnd"/>
      <w:r w:rsidRPr="0051721B">
        <w:t xml:space="preserve"> </w:t>
      </w:r>
      <w:proofErr w:type="spellStart"/>
      <w:r w:rsidRPr="0051721B">
        <w:t>working</w:t>
      </w:r>
      <w:proofErr w:type="spellEnd"/>
      <w:r w:rsidRPr="0051721B">
        <w:t xml:space="preserve"> </w:t>
      </w:r>
      <w:proofErr w:type="spellStart"/>
      <w:r w:rsidRPr="0051721B">
        <w:t>together</w:t>
      </w:r>
      <w:proofErr w:type="spellEnd"/>
      <w:r w:rsidRPr="0051721B">
        <w:t xml:space="preserve"> </w:t>
      </w:r>
      <w:proofErr w:type="spellStart"/>
      <w:r w:rsidRPr="0051721B">
        <w:t>to</w:t>
      </w:r>
      <w:proofErr w:type="spellEnd"/>
      <w:r w:rsidRPr="0051721B">
        <w:t xml:space="preserve"> </w:t>
      </w:r>
      <w:proofErr w:type="spellStart"/>
      <w:r w:rsidRPr="0051721B">
        <w:t>support</w:t>
      </w:r>
      <w:proofErr w:type="spellEnd"/>
      <w:r w:rsidRPr="0051721B">
        <w:t xml:space="preserve"> </w:t>
      </w:r>
      <w:proofErr w:type="spellStart"/>
      <w:r w:rsidRPr="0051721B">
        <w:t>Pacific</w:t>
      </w:r>
      <w:proofErr w:type="spellEnd"/>
      <w:r w:rsidRPr="0051721B">
        <w:t xml:space="preserve"> </w:t>
      </w:r>
      <w:proofErr w:type="spellStart"/>
      <w:r w:rsidRPr="0051721B">
        <w:t>disabled</w:t>
      </w:r>
      <w:proofErr w:type="spellEnd"/>
      <w:r w:rsidRPr="0051721B">
        <w:t xml:space="preserve"> </w:t>
      </w:r>
      <w:proofErr w:type="spellStart"/>
      <w:r w:rsidRPr="0051721B">
        <w:t>peoples</w:t>
      </w:r>
      <w:proofErr w:type="spellEnd"/>
      <w:r w:rsidRPr="0051721B">
        <w:t xml:space="preserve"> and </w:t>
      </w:r>
      <w:proofErr w:type="spellStart"/>
      <w:r w:rsidRPr="0051721B">
        <w:t>their</w:t>
      </w:r>
      <w:proofErr w:type="spellEnd"/>
      <w:r w:rsidRPr="0051721B">
        <w:t xml:space="preserve"> </w:t>
      </w:r>
      <w:proofErr w:type="spellStart"/>
      <w:r w:rsidRPr="0051721B">
        <w:t>families</w:t>
      </w:r>
      <w:proofErr w:type="spellEnd"/>
      <w:r w:rsidRPr="0051721B">
        <w:t xml:space="preserve"> </w:t>
      </w:r>
      <w:proofErr w:type="spellStart"/>
      <w:r w:rsidRPr="0051721B">
        <w:t>to</w:t>
      </w:r>
      <w:proofErr w:type="spellEnd"/>
      <w:r w:rsidRPr="0051721B">
        <w:t xml:space="preserve"> </w:t>
      </w:r>
      <w:proofErr w:type="spellStart"/>
      <w:r w:rsidRPr="0051721B">
        <w:t>live</w:t>
      </w:r>
      <w:proofErr w:type="spellEnd"/>
      <w:r w:rsidRPr="0051721B">
        <w:t xml:space="preserve"> inclusive and </w:t>
      </w:r>
      <w:proofErr w:type="spellStart"/>
      <w:r w:rsidRPr="0051721B">
        <w:t>fulfilling</w:t>
      </w:r>
      <w:proofErr w:type="spellEnd"/>
      <w:r w:rsidRPr="0051721B">
        <w:t xml:space="preserve"> </w:t>
      </w:r>
      <w:proofErr w:type="spellStart"/>
      <w:r w:rsidRPr="0051721B">
        <w:t>lives</w:t>
      </w:r>
      <w:proofErr w:type="spellEnd"/>
      <w:r w:rsidRPr="0051721B">
        <w:t xml:space="preserve"> and </w:t>
      </w:r>
      <w:proofErr w:type="spellStart"/>
      <w:r w:rsidRPr="0051721B">
        <w:t>to</w:t>
      </w:r>
      <w:proofErr w:type="spellEnd"/>
      <w:r w:rsidRPr="0051721B">
        <w:t xml:space="preserve"> </w:t>
      </w:r>
      <w:proofErr w:type="spellStart"/>
      <w:r w:rsidRPr="0051721B">
        <w:t>participate</w:t>
      </w:r>
      <w:proofErr w:type="spellEnd"/>
      <w:r w:rsidRPr="0051721B">
        <w:t xml:space="preserve"> in </w:t>
      </w:r>
      <w:proofErr w:type="spellStart"/>
      <w:r w:rsidRPr="0051721B">
        <w:t>their</w:t>
      </w:r>
      <w:proofErr w:type="spellEnd"/>
      <w:r w:rsidRPr="0051721B">
        <w:t xml:space="preserve"> </w:t>
      </w:r>
      <w:proofErr w:type="spellStart"/>
      <w:r w:rsidRPr="0051721B">
        <w:t>communities</w:t>
      </w:r>
      <w:proofErr w:type="spellEnd"/>
      <w:r w:rsidRPr="0051721B">
        <w:t xml:space="preserve">. </w:t>
      </w:r>
      <w:proofErr w:type="spellStart"/>
      <w:r w:rsidRPr="0051721B">
        <w:t>See</w:t>
      </w:r>
      <w:proofErr w:type="spellEnd"/>
      <w:r w:rsidRPr="0051721B">
        <w:t xml:space="preserve"> </w:t>
      </w:r>
      <w:r w:rsidRPr="00726C15">
        <w:rPr>
          <w:rStyle w:val="Hipervnculo"/>
        </w:rPr>
        <w:t>www.health.govt.nz/our-work/disability-services/maori-disability-support-services/te-ao-marama-group</w:t>
      </w:r>
      <w:r w:rsidRPr="0051721B">
        <w:t>.</w:t>
      </w:r>
    </w:p>
  </w:endnote>
  <w:endnote w:id="59">
    <w:p w14:paraId="2F267635" w14:textId="77777777" w:rsidR="003665BE" w:rsidRPr="00532D67"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See</w:t>
      </w:r>
      <w:proofErr w:type="spellEnd"/>
      <w:r w:rsidRPr="0051721B">
        <w:t xml:space="preserve"> </w:t>
      </w:r>
      <w:r w:rsidRPr="00726C15">
        <w:rPr>
          <w:rStyle w:val="Hipervnculo"/>
        </w:rPr>
        <w:t>www.msd.govt.nz/documents/about-msd-and-our-work/work-programmes/initiatives/weag/welfare-expert-advisory-group-appointment-of-members-cabinet-paper.pdf</w:t>
      </w:r>
      <w:r w:rsidRPr="0051721B">
        <w:t>.</w:t>
      </w:r>
    </w:p>
  </w:endnote>
  <w:endnote w:id="60">
    <w:p w14:paraId="7191A738" w14:textId="77777777" w:rsidR="003665BE" w:rsidRPr="00EE3301"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See</w:t>
      </w:r>
      <w:proofErr w:type="spellEnd"/>
      <w:r w:rsidRPr="0051721B">
        <w:t xml:space="preserve"> </w:t>
      </w:r>
      <w:r w:rsidRPr="00726C15">
        <w:rPr>
          <w:rStyle w:val="Hipervnculo"/>
        </w:rPr>
        <w:t>https://</w:t>
      </w:r>
      <w:proofErr w:type="spellStart"/>
      <w:r w:rsidRPr="00726C15">
        <w:rPr>
          <w:rStyle w:val="Hipervnculo"/>
        </w:rPr>
        <w:t>www.hnzc.co.nz</w:t>
      </w:r>
      <w:proofErr w:type="spellEnd"/>
      <w:r w:rsidRPr="00726C15">
        <w:rPr>
          <w:rStyle w:val="Hipervnculo"/>
        </w:rPr>
        <w:t>/</w:t>
      </w:r>
      <w:proofErr w:type="spellStart"/>
      <w:r w:rsidRPr="00726C15">
        <w:rPr>
          <w:rStyle w:val="Hipervnculo"/>
        </w:rPr>
        <w:t>about-us</w:t>
      </w:r>
      <w:proofErr w:type="spellEnd"/>
      <w:r w:rsidRPr="00726C15">
        <w:rPr>
          <w:rStyle w:val="Hipervnculo"/>
        </w:rPr>
        <w:t>/</w:t>
      </w:r>
      <w:proofErr w:type="spellStart"/>
      <w:r w:rsidRPr="00726C15">
        <w:rPr>
          <w:rStyle w:val="Hipervnculo"/>
        </w:rPr>
        <w:t>our-structure</w:t>
      </w:r>
      <w:proofErr w:type="spellEnd"/>
      <w:r w:rsidRPr="00726C15">
        <w:rPr>
          <w:rStyle w:val="Hipervnculo"/>
        </w:rPr>
        <w:t>/</w:t>
      </w:r>
      <w:r w:rsidRPr="0051721B">
        <w:t>.</w:t>
      </w:r>
    </w:p>
  </w:endnote>
  <w:endnote w:id="61">
    <w:p w14:paraId="7BC8F29F" w14:textId="77777777" w:rsidR="003665BE" w:rsidRPr="00584385"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Section</w:t>
      </w:r>
      <w:proofErr w:type="spellEnd"/>
      <w:r w:rsidRPr="0051721B">
        <w:t xml:space="preserve"> 11(2)(c), </w:t>
      </w:r>
      <w:proofErr w:type="spellStart"/>
      <w:r w:rsidRPr="0051721B">
        <w:t>Oranga</w:t>
      </w:r>
      <w:proofErr w:type="spellEnd"/>
      <w:r w:rsidRPr="0051721B">
        <w:t xml:space="preserve"> </w:t>
      </w:r>
      <w:proofErr w:type="spellStart"/>
      <w:r w:rsidRPr="0051721B">
        <w:t>Tamariki</w:t>
      </w:r>
      <w:proofErr w:type="spellEnd"/>
      <w:r w:rsidRPr="0051721B">
        <w:t xml:space="preserve"> </w:t>
      </w:r>
      <w:proofErr w:type="spellStart"/>
      <w:r w:rsidRPr="0051721B">
        <w:t>Act</w:t>
      </w:r>
      <w:proofErr w:type="spellEnd"/>
      <w:r w:rsidRPr="0051721B">
        <w:t xml:space="preserve"> 1989.</w:t>
      </w:r>
    </w:p>
  </w:endnote>
  <w:endnote w:id="62">
    <w:p w14:paraId="6710B186" w14:textId="77777777" w:rsidR="003665BE" w:rsidRPr="00552E45"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Kōrero</w:t>
      </w:r>
      <w:proofErr w:type="spellEnd"/>
      <w:r w:rsidRPr="0051721B">
        <w:t xml:space="preserve"> </w:t>
      </w:r>
      <w:proofErr w:type="spellStart"/>
      <w:r w:rsidRPr="0051721B">
        <w:t>refers</w:t>
      </w:r>
      <w:proofErr w:type="spellEnd"/>
      <w:r w:rsidRPr="0051721B">
        <w:t xml:space="preserve"> </w:t>
      </w:r>
      <w:proofErr w:type="spellStart"/>
      <w:r w:rsidRPr="0051721B">
        <w:t>to</w:t>
      </w:r>
      <w:proofErr w:type="spellEnd"/>
      <w:r w:rsidRPr="0051721B">
        <w:t xml:space="preserve"> </w:t>
      </w:r>
      <w:r>
        <w:t>“</w:t>
      </w:r>
      <w:proofErr w:type="spellStart"/>
      <w:r w:rsidRPr="0051721B">
        <w:t>speech</w:t>
      </w:r>
      <w:proofErr w:type="spellEnd"/>
      <w:r w:rsidRPr="0051721B">
        <w:t xml:space="preserve">, </w:t>
      </w:r>
      <w:proofErr w:type="spellStart"/>
      <w:r w:rsidRPr="0051721B">
        <w:t>narrative</w:t>
      </w:r>
      <w:proofErr w:type="spellEnd"/>
      <w:r w:rsidRPr="0051721B">
        <w:t xml:space="preserve">, </w:t>
      </w:r>
      <w:proofErr w:type="spellStart"/>
      <w:r w:rsidRPr="0051721B">
        <w:t>story</w:t>
      </w:r>
      <w:proofErr w:type="spellEnd"/>
      <w:r w:rsidRPr="0051721B">
        <w:t xml:space="preserve">, </w:t>
      </w:r>
      <w:proofErr w:type="spellStart"/>
      <w:r w:rsidRPr="0051721B">
        <w:t>news</w:t>
      </w:r>
      <w:proofErr w:type="spellEnd"/>
      <w:r w:rsidRPr="0051721B">
        <w:t xml:space="preserve">, </w:t>
      </w:r>
      <w:proofErr w:type="spellStart"/>
      <w:r w:rsidRPr="0051721B">
        <w:t>account</w:t>
      </w:r>
      <w:proofErr w:type="spellEnd"/>
      <w:r w:rsidRPr="0051721B">
        <w:t xml:space="preserve">, </w:t>
      </w:r>
      <w:proofErr w:type="spellStart"/>
      <w:r w:rsidRPr="0051721B">
        <w:t>discussion</w:t>
      </w:r>
      <w:proofErr w:type="spellEnd"/>
      <w:r w:rsidRPr="0051721B">
        <w:t xml:space="preserve">, </w:t>
      </w:r>
      <w:proofErr w:type="spellStart"/>
      <w:r w:rsidRPr="0051721B">
        <w:t>conversation</w:t>
      </w:r>
      <w:proofErr w:type="spellEnd"/>
      <w:r w:rsidRPr="0051721B">
        <w:t xml:space="preserve">, </w:t>
      </w:r>
      <w:proofErr w:type="spellStart"/>
      <w:r w:rsidRPr="0051721B">
        <w:t>discourse</w:t>
      </w:r>
      <w:proofErr w:type="spellEnd"/>
      <w:r w:rsidRPr="0051721B">
        <w:t xml:space="preserve">, </w:t>
      </w:r>
      <w:proofErr w:type="spellStart"/>
      <w:r w:rsidRPr="0051721B">
        <w:t>statement</w:t>
      </w:r>
      <w:proofErr w:type="spellEnd"/>
      <w:r w:rsidRPr="0051721B">
        <w:t xml:space="preserve">, </w:t>
      </w:r>
      <w:proofErr w:type="spellStart"/>
      <w:r w:rsidRPr="0051721B">
        <w:t>information</w:t>
      </w:r>
      <w:proofErr w:type="spellEnd"/>
      <w:r>
        <w:t>”</w:t>
      </w:r>
      <w:r w:rsidRPr="0051721B">
        <w:t xml:space="preserve">. </w:t>
      </w:r>
      <w:proofErr w:type="spellStart"/>
      <w:r w:rsidRPr="0051721B">
        <w:t>Mātauranga</w:t>
      </w:r>
      <w:proofErr w:type="spellEnd"/>
      <w:r w:rsidRPr="0051721B">
        <w:t xml:space="preserve"> </w:t>
      </w:r>
      <w:proofErr w:type="spellStart"/>
      <w:r w:rsidRPr="0051721B">
        <w:t>refers</w:t>
      </w:r>
      <w:proofErr w:type="spellEnd"/>
      <w:r w:rsidRPr="0051721B">
        <w:t xml:space="preserve"> </w:t>
      </w:r>
      <w:proofErr w:type="spellStart"/>
      <w:r w:rsidRPr="0051721B">
        <w:t>to</w:t>
      </w:r>
      <w:proofErr w:type="spellEnd"/>
      <w:r w:rsidRPr="0051721B">
        <w:t xml:space="preserve"> </w:t>
      </w:r>
      <w:r>
        <w:t>“</w:t>
      </w:r>
      <w:proofErr w:type="spellStart"/>
      <w:r w:rsidRPr="0051721B">
        <w:t>knowledge</w:t>
      </w:r>
      <w:proofErr w:type="spellEnd"/>
      <w:r w:rsidRPr="0051721B">
        <w:t xml:space="preserve">, </w:t>
      </w:r>
      <w:proofErr w:type="spellStart"/>
      <w:r w:rsidRPr="0051721B">
        <w:t>wisdom</w:t>
      </w:r>
      <w:proofErr w:type="spellEnd"/>
      <w:r w:rsidRPr="0051721B">
        <w:t xml:space="preserve">, </w:t>
      </w:r>
      <w:proofErr w:type="spellStart"/>
      <w:r w:rsidRPr="0051721B">
        <w:t>understanding</w:t>
      </w:r>
      <w:proofErr w:type="spellEnd"/>
      <w:r w:rsidRPr="0051721B">
        <w:t xml:space="preserve">, </w:t>
      </w:r>
      <w:proofErr w:type="spellStart"/>
      <w:r w:rsidRPr="0051721B">
        <w:t>skill</w:t>
      </w:r>
      <w:proofErr w:type="spellEnd"/>
      <w:r w:rsidRPr="0051721B">
        <w:t xml:space="preserve">. </w:t>
      </w:r>
      <w:proofErr w:type="spellStart"/>
      <w:r w:rsidRPr="0051721B">
        <w:t>It</w:t>
      </w:r>
      <w:proofErr w:type="spellEnd"/>
      <w:r w:rsidRPr="0051721B">
        <w:t xml:space="preserve"> </w:t>
      </w:r>
      <w:proofErr w:type="spellStart"/>
      <w:r w:rsidRPr="0051721B">
        <w:t>also</w:t>
      </w:r>
      <w:proofErr w:type="spellEnd"/>
      <w:r w:rsidRPr="0051721B">
        <w:t xml:space="preserve"> </w:t>
      </w:r>
      <w:proofErr w:type="spellStart"/>
      <w:r w:rsidRPr="0051721B">
        <w:t>means</w:t>
      </w:r>
      <w:proofErr w:type="spellEnd"/>
      <w:r w:rsidRPr="0051721B">
        <w:t xml:space="preserve"> </w:t>
      </w:r>
      <w:proofErr w:type="spellStart"/>
      <w:r w:rsidRPr="0051721B">
        <w:t>education</w:t>
      </w:r>
      <w:proofErr w:type="spellEnd"/>
      <w:r w:rsidRPr="0051721B">
        <w:t xml:space="preserve"> – </w:t>
      </w:r>
      <w:proofErr w:type="spellStart"/>
      <w:r w:rsidRPr="0051721B">
        <w:t>an</w:t>
      </w:r>
      <w:proofErr w:type="spellEnd"/>
      <w:r w:rsidRPr="0051721B">
        <w:t xml:space="preserve"> </w:t>
      </w:r>
      <w:proofErr w:type="spellStart"/>
      <w:r w:rsidRPr="0051721B">
        <w:t>extension</w:t>
      </w:r>
      <w:proofErr w:type="spellEnd"/>
      <w:r w:rsidRPr="0051721B">
        <w:t xml:space="preserve"> </w:t>
      </w:r>
      <w:proofErr w:type="spellStart"/>
      <w:r w:rsidRPr="0051721B">
        <w:t>of</w:t>
      </w:r>
      <w:proofErr w:type="spellEnd"/>
      <w:r w:rsidRPr="0051721B">
        <w:t xml:space="preserve"> </w:t>
      </w:r>
      <w:proofErr w:type="spellStart"/>
      <w:r w:rsidRPr="0051721B">
        <w:t>the</w:t>
      </w:r>
      <w:proofErr w:type="spellEnd"/>
      <w:r w:rsidRPr="0051721B">
        <w:t xml:space="preserve"> original </w:t>
      </w:r>
      <w:proofErr w:type="spellStart"/>
      <w:r w:rsidRPr="0051721B">
        <w:t>meaning</w:t>
      </w:r>
      <w:proofErr w:type="spellEnd"/>
      <w:r w:rsidRPr="0051721B">
        <w:t xml:space="preserve"> and </w:t>
      </w:r>
      <w:proofErr w:type="spellStart"/>
      <w:r w:rsidRPr="0051721B">
        <w:t>commonly</w:t>
      </w:r>
      <w:proofErr w:type="spellEnd"/>
      <w:r w:rsidRPr="0051721B">
        <w:t xml:space="preserve"> </w:t>
      </w:r>
      <w:proofErr w:type="spellStart"/>
      <w:r w:rsidRPr="0051721B">
        <w:t>used</w:t>
      </w:r>
      <w:proofErr w:type="spellEnd"/>
      <w:r w:rsidRPr="0051721B">
        <w:t xml:space="preserve"> in </w:t>
      </w:r>
      <w:proofErr w:type="spellStart"/>
      <w:r w:rsidRPr="0051721B">
        <w:t>modern</w:t>
      </w:r>
      <w:proofErr w:type="spellEnd"/>
      <w:r w:rsidRPr="0051721B">
        <w:t xml:space="preserve"> </w:t>
      </w:r>
      <w:proofErr w:type="spellStart"/>
      <w:r w:rsidRPr="0051721B">
        <w:t>Māori</w:t>
      </w:r>
      <w:proofErr w:type="spellEnd"/>
      <w:r w:rsidRPr="0051721B">
        <w:t xml:space="preserve"> </w:t>
      </w:r>
      <w:proofErr w:type="spellStart"/>
      <w:r w:rsidRPr="0051721B">
        <w:t>with</w:t>
      </w:r>
      <w:proofErr w:type="spellEnd"/>
      <w:r w:rsidRPr="0051721B">
        <w:t xml:space="preserve"> </w:t>
      </w:r>
      <w:proofErr w:type="spellStart"/>
      <w:r w:rsidRPr="0051721B">
        <w:t>this</w:t>
      </w:r>
      <w:proofErr w:type="spellEnd"/>
      <w:r w:rsidRPr="0051721B">
        <w:t xml:space="preserve"> </w:t>
      </w:r>
      <w:proofErr w:type="spellStart"/>
      <w:r w:rsidRPr="0051721B">
        <w:t>meaning</w:t>
      </w:r>
      <w:proofErr w:type="spellEnd"/>
      <w:r w:rsidRPr="0051721B">
        <w:t>.</w:t>
      </w:r>
    </w:p>
  </w:endnote>
  <w:endnote w:id="63">
    <w:p w14:paraId="067753F3" w14:textId="77777777" w:rsidR="003665BE" w:rsidRPr="000D0118"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See</w:t>
      </w:r>
      <w:proofErr w:type="spellEnd"/>
      <w:r w:rsidRPr="0051721B">
        <w:t xml:space="preserve"> </w:t>
      </w:r>
      <w:r w:rsidRPr="00726C15">
        <w:rPr>
          <w:rStyle w:val="Hipervnculo"/>
        </w:rPr>
        <w:t>www.msd.govt.nz/about-msd-and-our-work/publications-resources/resources/child-impact-assessment.html</w:t>
      </w:r>
      <w:r w:rsidRPr="0051721B">
        <w:t>.</w:t>
      </w:r>
    </w:p>
  </w:endnote>
  <w:endnote w:id="64">
    <w:p w14:paraId="2ADC44D4" w14:textId="77777777" w:rsidR="003665BE" w:rsidRPr="000D0118"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See</w:t>
      </w:r>
      <w:proofErr w:type="spellEnd"/>
      <w:r w:rsidRPr="0051721B">
        <w:t xml:space="preserve"> </w:t>
      </w:r>
      <w:r w:rsidRPr="00726C15">
        <w:rPr>
          <w:rStyle w:val="Hipervnculo"/>
        </w:rPr>
        <w:t>www.msd.govt.nz/documents/about-msd-and-our-work/publications-resources/resources/child-impact-assessment-guide.pdf</w:t>
      </w:r>
      <w:r w:rsidRPr="0051721B">
        <w:t>.</w:t>
      </w:r>
    </w:p>
  </w:endnote>
  <w:endnote w:id="65">
    <w:p w14:paraId="5F4951A7" w14:textId="77777777" w:rsidR="003665BE" w:rsidRPr="00C46F0F"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Oranga</w:t>
      </w:r>
      <w:proofErr w:type="spellEnd"/>
      <w:r w:rsidRPr="0051721B">
        <w:t xml:space="preserve"> </w:t>
      </w:r>
      <w:proofErr w:type="spellStart"/>
      <w:r w:rsidRPr="0051721B">
        <w:t>Tamariki</w:t>
      </w:r>
      <w:proofErr w:type="spellEnd"/>
      <w:r w:rsidRPr="0051721B">
        <w:t xml:space="preserve"> </w:t>
      </w:r>
      <w:proofErr w:type="spellStart"/>
      <w:r w:rsidRPr="0051721B">
        <w:t>Act</w:t>
      </w:r>
      <w:proofErr w:type="spellEnd"/>
      <w:r w:rsidRPr="0051721B">
        <w:t xml:space="preserve"> 1989, </w:t>
      </w:r>
      <w:proofErr w:type="spellStart"/>
      <w:r w:rsidRPr="0051721B">
        <w:t>section</w:t>
      </w:r>
      <w:proofErr w:type="spellEnd"/>
      <w:r w:rsidRPr="0051721B">
        <w:t xml:space="preserve"> 5(1)(b)(i).</w:t>
      </w:r>
    </w:p>
  </w:endnote>
  <w:endnote w:id="66">
    <w:p w14:paraId="1ACE6F4D" w14:textId="77777777" w:rsidR="003665BE" w:rsidRPr="00F658E9"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See</w:t>
      </w:r>
      <w:proofErr w:type="spellEnd"/>
      <w:r w:rsidRPr="0051721B">
        <w:t xml:space="preserve"> </w:t>
      </w:r>
      <w:r w:rsidRPr="00726C15">
        <w:rPr>
          <w:rStyle w:val="Hipervnculo"/>
        </w:rPr>
        <w:t>https://practice.orangatamariki.govt.nz/knowledge-base-practice-frameworks/</w:t>
      </w:r>
      <w:r w:rsidRPr="0051721B">
        <w:t>.</w:t>
      </w:r>
    </w:p>
  </w:endnote>
  <w:endnote w:id="67">
    <w:p w14:paraId="7C90AB92" w14:textId="77777777" w:rsidR="003665BE" w:rsidRPr="00F658E9"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See</w:t>
      </w:r>
      <w:proofErr w:type="spellEnd"/>
      <w:r w:rsidRPr="0051721B">
        <w:t xml:space="preserve"> </w:t>
      </w:r>
      <w:r w:rsidRPr="00726C15">
        <w:rPr>
          <w:rStyle w:val="Hipervnculo"/>
        </w:rPr>
        <w:t>http://</w:t>
      </w:r>
      <w:proofErr w:type="spellStart"/>
      <w:r w:rsidRPr="00726C15">
        <w:rPr>
          <w:rStyle w:val="Hipervnculo"/>
        </w:rPr>
        <w:t>www.hcn.govt.nz</w:t>
      </w:r>
      <w:proofErr w:type="spellEnd"/>
      <w:r w:rsidRPr="00726C15">
        <w:rPr>
          <w:rStyle w:val="Hipervnculo"/>
        </w:rPr>
        <w:t>/</w:t>
      </w:r>
      <w:proofErr w:type="spellStart"/>
      <w:r w:rsidRPr="00726C15">
        <w:rPr>
          <w:rStyle w:val="Hipervnculo"/>
        </w:rPr>
        <w:t>about-hcn</w:t>
      </w:r>
      <w:proofErr w:type="spellEnd"/>
      <w:r w:rsidRPr="00726C15">
        <w:rPr>
          <w:rStyle w:val="Hipervnculo"/>
        </w:rPr>
        <w:t>/</w:t>
      </w:r>
      <w:proofErr w:type="spellStart"/>
      <w:r w:rsidRPr="00726C15">
        <w:rPr>
          <w:rStyle w:val="Hipervnculo"/>
        </w:rPr>
        <w:t>index.html</w:t>
      </w:r>
      <w:proofErr w:type="spellEnd"/>
      <w:r w:rsidRPr="0051721B">
        <w:t>.</w:t>
      </w:r>
    </w:p>
  </w:endnote>
  <w:endnote w:id="68">
    <w:p w14:paraId="5512EEA2" w14:textId="77777777" w:rsidR="003665BE" w:rsidRPr="00F658E9" w:rsidRDefault="003665BE" w:rsidP="00011964">
      <w:pPr>
        <w:pStyle w:val="Textonotaalfinal"/>
      </w:pPr>
      <w:r w:rsidRPr="0051721B">
        <w:tab/>
      </w:r>
      <w:r w:rsidRPr="00154216">
        <w:rPr>
          <w:rStyle w:val="Refdenotaalfinal"/>
        </w:rPr>
        <w:endnoteRef/>
      </w:r>
      <w:r w:rsidRPr="00154216">
        <w:rPr>
          <w:rStyle w:val="Refdenotaalfinal"/>
        </w:rPr>
        <w:tab/>
      </w:r>
      <w:r w:rsidRPr="0051721B">
        <w:t xml:space="preserve">Mana </w:t>
      </w:r>
      <w:proofErr w:type="spellStart"/>
      <w:r w:rsidRPr="0051721B">
        <w:t>Whaikaha</w:t>
      </w:r>
      <w:proofErr w:type="spellEnd"/>
      <w:r w:rsidRPr="0051721B">
        <w:t xml:space="preserve"> </w:t>
      </w:r>
      <w:proofErr w:type="spellStart"/>
      <w:r w:rsidRPr="0051721B">
        <w:t>reflects</w:t>
      </w:r>
      <w:proofErr w:type="spellEnd"/>
      <w:r w:rsidRPr="0051721B">
        <w:t xml:space="preserve"> </w:t>
      </w:r>
      <w:proofErr w:type="spellStart"/>
      <w:r w:rsidRPr="0051721B">
        <w:t>people’s</w:t>
      </w:r>
      <w:proofErr w:type="spellEnd"/>
      <w:r w:rsidRPr="0051721B">
        <w:t xml:space="preserve"> </w:t>
      </w:r>
      <w:proofErr w:type="spellStart"/>
      <w:r w:rsidRPr="0051721B">
        <w:t>strength</w:t>
      </w:r>
      <w:proofErr w:type="spellEnd"/>
      <w:r w:rsidRPr="0051721B">
        <w:t>, mana (</w:t>
      </w:r>
      <w:proofErr w:type="spellStart"/>
      <w:r w:rsidRPr="0051721B">
        <w:t>influence</w:t>
      </w:r>
      <w:proofErr w:type="spellEnd"/>
      <w:r w:rsidRPr="0051721B">
        <w:t xml:space="preserve">, </w:t>
      </w:r>
      <w:proofErr w:type="spellStart"/>
      <w:r w:rsidRPr="0051721B">
        <w:t>dignity</w:t>
      </w:r>
      <w:proofErr w:type="spellEnd"/>
      <w:r w:rsidRPr="0051721B">
        <w:t>) and mauri (</w:t>
      </w:r>
      <w:proofErr w:type="spellStart"/>
      <w:r w:rsidRPr="0051721B">
        <w:t>life</w:t>
      </w:r>
      <w:proofErr w:type="spellEnd"/>
      <w:r w:rsidRPr="0051721B">
        <w:t xml:space="preserve"> </w:t>
      </w:r>
      <w:proofErr w:type="spellStart"/>
      <w:r w:rsidRPr="0051721B">
        <w:t>essence</w:t>
      </w:r>
      <w:proofErr w:type="spellEnd"/>
      <w:r w:rsidRPr="0051721B">
        <w:t xml:space="preserve">). </w:t>
      </w:r>
      <w:proofErr w:type="spellStart"/>
      <w:r w:rsidRPr="0051721B">
        <w:t>Whaikaha</w:t>
      </w:r>
      <w:proofErr w:type="spellEnd"/>
      <w:r w:rsidRPr="0051721B">
        <w:t xml:space="preserve"> </w:t>
      </w:r>
      <w:proofErr w:type="spellStart"/>
      <w:r w:rsidRPr="0051721B">
        <w:t>means</w:t>
      </w:r>
      <w:proofErr w:type="spellEnd"/>
      <w:r w:rsidRPr="0051721B">
        <w:t xml:space="preserve"> </w:t>
      </w:r>
      <w:proofErr w:type="spellStart"/>
      <w:r w:rsidRPr="0051721B">
        <w:t>to</w:t>
      </w:r>
      <w:proofErr w:type="spellEnd"/>
      <w:r w:rsidRPr="0051721B">
        <w:t xml:space="preserve"> </w:t>
      </w:r>
      <w:proofErr w:type="spellStart"/>
      <w:r w:rsidRPr="0051721B">
        <w:t>have</w:t>
      </w:r>
      <w:proofErr w:type="spellEnd"/>
      <w:r w:rsidRPr="0051721B">
        <w:t xml:space="preserve"> </w:t>
      </w:r>
      <w:proofErr w:type="spellStart"/>
      <w:r w:rsidRPr="0051721B">
        <w:t>strength</w:t>
      </w:r>
      <w:proofErr w:type="spellEnd"/>
      <w:r w:rsidRPr="0051721B">
        <w:t xml:space="preserve">, </w:t>
      </w:r>
      <w:proofErr w:type="spellStart"/>
      <w:r w:rsidRPr="0051721B">
        <w:t>to</w:t>
      </w:r>
      <w:proofErr w:type="spellEnd"/>
      <w:r w:rsidRPr="0051721B">
        <w:t xml:space="preserve"> </w:t>
      </w:r>
      <w:proofErr w:type="spellStart"/>
      <w:r w:rsidRPr="0051721B">
        <w:t>have</w:t>
      </w:r>
      <w:proofErr w:type="spellEnd"/>
      <w:r w:rsidRPr="0051721B">
        <w:t xml:space="preserve"> </w:t>
      </w:r>
      <w:proofErr w:type="spellStart"/>
      <w:r w:rsidRPr="0051721B">
        <w:t>ability</w:t>
      </w:r>
      <w:proofErr w:type="spellEnd"/>
      <w:r w:rsidRPr="0051721B">
        <w:t xml:space="preserve">, </w:t>
      </w:r>
      <w:proofErr w:type="spellStart"/>
      <w:r w:rsidRPr="0051721B">
        <w:t>to</w:t>
      </w:r>
      <w:proofErr w:type="spellEnd"/>
      <w:r w:rsidRPr="0051721B">
        <w:t xml:space="preserve"> be </w:t>
      </w:r>
      <w:proofErr w:type="spellStart"/>
      <w:r w:rsidRPr="0051721B">
        <w:t>otherly</w:t>
      </w:r>
      <w:proofErr w:type="spellEnd"/>
      <w:r w:rsidRPr="0051721B">
        <w:t xml:space="preserve"> </w:t>
      </w:r>
      <w:proofErr w:type="spellStart"/>
      <w:r w:rsidRPr="0051721B">
        <w:t>abled</w:t>
      </w:r>
      <w:proofErr w:type="spellEnd"/>
      <w:r w:rsidRPr="0051721B">
        <w:t xml:space="preserve">, and </w:t>
      </w:r>
      <w:proofErr w:type="spellStart"/>
      <w:r w:rsidRPr="0051721B">
        <w:t>to</w:t>
      </w:r>
      <w:proofErr w:type="spellEnd"/>
      <w:r w:rsidRPr="0051721B">
        <w:t xml:space="preserve"> be </w:t>
      </w:r>
      <w:proofErr w:type="spellStart"/>
      <w:r w:rsidRPr="0051721B">
        <w:t>enabled</w:t>
      </w:r>
      <w:proofErr w:type="spellEnd"/>
      <w:r w:rsidRPr="0051721B">
        <w:t xml:space="preserve">. </w:t>
      </w:r>
      <w:proofErr w:type="spellStart"/>
      <w:r w:rsidRPr="0051721B">
        <w:t>See</w:t>
      </w:r>
      <w:proofErr w:type="spellEnd"/>
      <w:r w:rsidRPr="0051721B">
        <w:t xml:space="preserve"> </w:t>
      </w:r>
      <w:r w:rsidRPr="00726C15">
        <w:rPr>
          <w:rStyle w:val="Hipervnculo"/>
        </w:rPr>
        <w:t>https://</w:t>
      </w:r>
      <w:proofErr w:type="spellStart"/>
      <w:r w:rsidRPr="00726C15">
        <w:rPr>
          <w:rStyle w:val="Hipervnculo"/>
        </w:rPr>
        <w:t>manawhaikaha.co.nz</w:t>
      </w:r>
      <w:proofErr w:type="spellEnd"/>
      <w:r w:rsidRPr="00726C15">
        <w:rPr>
          <w:rStyle w:val="Hipervnculo"/>
        </w:rPr>
        <w:t>/</w:t>
      </w:r>
      <w:proofErr w:type="spellStart"/>
      <w:r w:rsidRPr="00726C15">
        <w:rPr>
          <w:rStyle w:val="Hipervnculo"/>
        </w:rPr>
        <w:t>about-us</w:t>
      </w:r>
      <w:proofErr w:type="spellEnd"/>
      <w:r w:rsidRPr="00726C15">
        <w:rPr>
          <w:rStyle w:val="Hipervnculo"/>
        </w:rPr>
        <w:t>/mana-</w:t>
      </w:r>
      <w:proofErr w:type="spellStart"/>
      <w:r w:rsidRPr="00726C15">
        <w:rPr>
          <w:rStyle w:val="Hipervnculo"/>
        </w:rPr>
        <w:t>whaikaha</w:t>
      </w:r>
      <w:proofErr w:type="spellEnd"/>
      <w:r w:rsidRPr="00726C15">
        <w:rPr>
          <w:rStyle w:val="Hipervnculo"/>
        </w:rPr>
        <w:t>-</w:t>
      </w:r>
      <w:proofErr w:type="spellStart"/>
      <w:r w:rsidRPr="00726C15">
        <w:rPr>
          <w:rStyle w:val="Hipervnculo"/>
        </w:rPr>
        <w:t>korero</w:t>
      </w:r>
      <w:proofErr w:type="spellEnd"/>
      <w:r w:rsidRPr="00726C15">
        <w:rPr>
          <w:rStyle w:val="Hipervnculo"/>
        </w:rPr>
        <w:t>/</w:t>
      </w:r>
      <w:r w:rsidRPr="0051721B">
        <w:t>.</w:t>
      </w:r>
    </w:p>
  </w:endnote>
  <w:endnote w:id="69">
    <w:p w14:paraId="52599A96" w14:textId="77777777" w:rsidR="003665BE" w:rsidRPr="00825040"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Anyone</w:t>
      </w:r>
      <w:proofErr w:type="spellEnd"/>
      <w:r w:rsidRPr="0051721B">
        <w:t xml:space="preserve"> in </w:t>
      </w:r>
      <w:proofErr w:type="spellStart"/>
      <w:r w:rsidRPr="0051721B">
        <w:t>MidCentral</w:t>
      </w:r>
      <w:proofErr w:type="spellEnd"/>
      <w:r w:rsidRPr="0051721B">
        <w:t xml:space="preserve"> can </w:t>
      </w:r>
      <w:proofErr w:type="spellStart"/>
      <w:r w:rsidRPr="0051721B">
        <w:t>ask</w:t>
      </w:r>
      <w:proofErr w:type="spellEnd"/>
      <w:r w:rsidRPr="0051721B">
        <w:t xml:space="preserve"> </w:t>
      </w:r>
      <w:proofErr w:type="spellStart"/>
      <w:r w:rsidRPr="0051721B">
        <w:t>for</w:t>
      </w:r>
      <w:proofErr w:type="spellEnd"/>
      <w:r w:rsidRPr="0051721B">
        <w:t xml:space="preserve"> </w:t>
      </w:r>
      <w:proofErr w:type="spellStart"/>
      <w:r w:rsidRPr="0051721B">
        <w:t>support</w:t>
      </w:r>
      <w:proofErr w:type="spellEnd"/>
      <w:r w:rsidRPr="0051721B">
        <w:t xml:space="preserve"> </w:t>
      </w:r>
      <w:proofErr w:type="spellStart"/>
      <w:r w:rsidRPr="0051721B">
        <w:t>for</w:t>
      </w:r>
      <w:proofErr w:type="spellEnd"/>
      <w:r w:rsidRPr="0051721B">
        <w:t xml:space="preserve"> a </w:t>
      </w:r>
      <w:proofErr w:type="spellStart"/>
      <w:r w:rsidRPr="0051721B">
        <w:t>child</w:t>
      </w:r>
      <w:proofErr w:type="spellEnd"/>
      <w:r w:rsidRPr="0051721B">
        <w:t xml:space="preserve"> </w:t>
      </w:r>
      <w:proofErr w:type="spellStart"/>
      <w:r w:rsidRPr="0051721B">
        <w:t>or</w:t>
      </w:r>
      <w:proofErr w:type="spellEnd"/>
      <w:r w:rsidRPr="0051721B">
        <w:t xml:space="preserve"> </w:t>
      </w:r>
      <w:proofErr w:type="spellStart"/>
      <w:r w:rsidRPr="0051721B">
        <w:t>young</w:t>
      </w:r>
      <w:proofErr w:type="spellEnd"/>
      <w:r w:rsidRPr="0051721B">
        <w:t xml:space="preserve"> </w:t>
      </w:r>
      <w:proofErr w:type="spellStart"/>
      <w:r w:rsidRPr="0051721B">
        <w:t>person</w:t>
      </w:r>
      <w:proofErr w:type="spellEnd"/>
      <w:r w:rsidRPr="0051721B">
        <w:t xml:space="preserve"> </w:t>
      </w:r>
      <w:proofErr w:type="spellStart"/>
      <w:r w:rsidRPr="0051721B">
        <w:t>who</w:t>
      </w:r>
      <w:proofErr w:type="spellEnd"/>
      <w:r w:rsidRPr="0051721B">
        <w:t xml:space="preserve"> </w:t>
      </w:r>
      <w:proofErr w:type="spellStart"/>
      <w:r w:rsidRPr="0051721B">
        <w:t>may</w:t>
      </w:r>
      <w:proofErr w:type="spellEnd"/>
      <w:r w:rsidRPr="0051721B">
        <w:t xml:space="preserve"> </w:t>
      </w:r>
      <w:proofErr w:type="spellStart"/>
      <w:r w:rsidRPr="0051721B">
        <w:t>or</w:t>
      </w:r>
      <w:proofErr w:type="spellEnd"/>
      <w:r w:rsidRPr="0051721B">
        <w:t xml:space="preserve"> </w:t>
      </w:r>
      <w:proofErr w:type="spellStart"/>
      <w:r w:rsidRPr="0051721B">
        <w:t>may</w:t>
      </w:r>
      <w:proofErr w:type="spellEnd"/>
      <w:r w:rsidRPr="0051721B">
        <w:t xml:space="preserve"> </w:t>
      </w:r>
      <w:proofErr w:type="spellStart"/>
      <w:r w:rsidRPr="0051721B">
        <w:t>not</w:t>
      </w:r>
      <w:proofErr w:type="spellEnd"/>
      <w:r w:rsidRPr="0051721B">
        <w:t xml:space="preserve"> </w:t>
      </w:r>
      <w:proofErr w:type="spellStart"/>
      <w:r w:rsidRPr="0051721B">
        <w:t>have</w:t>
      </w:r>
      <w:proofErr w:type="spellEnd"/>
      <w:r w:rsidRPr="0051721B">
        <w:t xml:space="preserve"> a diagnosis and </w:t>
      </w:r>
      <w:proofErr w:type="spellStart"/>
      <w:r w:rsidRPr="0051721B">
        <w:t>needs</w:t>
      </w:r>
      <w:proofErr w:type="spellEnd"/>
      <w:r w:rsidRPr="0051721B">
        <w:t xml:space="preserve"> </w:t>
      </w:r>
      <w:proofErr w:type="spellStart"/>
      <w:r w:rsidRPr="0051721B">
        <w:t>additional</w:t>
      </w:r>
      <w:proofErr w:type="spellEnd"/>
      <w:r w:rsidRPr="0051721B">
        <w:t xml:space="preserve"> </w:t>
      </w:r>
      <w:proofErr w:type="spellStart"/>
      <w:r w:rsidRPr="0051721B">
        <w:t>support</w:t>
      </w:r>
      <w:proofErr w:type="spellEnd"/>
      <w:r w:rsidRPr="0051721B">
        <w:t xml:space="preserve"> </w:t>
      </w:r>
      <w:proofErr w:type="spellStart"/>
      <w:r w:rsidRPr="0051721B">
        <w:t>to</w:t>
      </w:r>
      <w:proofErr w:type="spellEnd"/>
      <w:r w:rsidRPr="0051721B">
        <w:t xml:space="preserve"> </w:t>
      </w:r>
      <w:proofErr w:type="spellStart"/>
      <w:r w:rsidRPr="0051721B">
        <w:t>thrive</w:t>
      </w:r>
      <w:proofErr w:type="spellEnd"/>
      <w:r w:rsidRPr="0051721B">
        <w:t xml:space="preserve">. </w:t>
      </w:r>
      <w:proofErr w:type="spellStart"/>
      <w:r w:rsidRPr="0051721B">
        <w:t>Requests</w:t>
      </w:r>
      <w:proofErr w:type="spellEnd"/>
      <w:r w:rsidRPr="0051721B">
        <w:t xml:space="preserve"> </w:t>
      </w:r>
      <w:proofErr w:type="spellStart"/>
      <w:r w:rsidRPr="0051721B">
        <w:t>for</w:t>
      </w:r>
      <w:proofErr w:type="spellEnd"/>
      <w:r w:rsidRPr="0051721B">
        <w:t xml:space="preserve"> </w:t>
      </w:r>
      <w:proofErr w:type="spellStart"/>
      <w:r w:rsidRPr="0051721B">
        <w:t>support</w:t>
      </w:r>
      <w:proofErr w:type="spellEnd"/>
      <w:r w:rsidRPr="0051721B">
        <w:t xml:space="preserve"> can be </w:t>
      </w:r>
      <w:proofErr w:type="spellStart"/>
      <w:r w:rsidRPr="0051721B">
        <w:t>from</w:t>
      </w:r>
      <w:proofErr w:type="spellEnd"/>
      <w:r w:rsidRPr="0051721B">
        <w:t xml:space="preserve"> </w:t>
      </w:r>
      <w:proofErr w:type="spellStart"/>
      <w:r w:rsidRPr="0051721B">
        <w:t>parents</w:t>
      </w:r>
      <w:proofErr w:type="spellEnd"/>
      <w:r w:rsidRPr="0051721B">
        <w:t xml:space="preserve">, </w:t>
      </w:r>
      <w:proofErr w:type="spellStart"/>
      <w:r w:rsidRPr="0051721B">
        <w:t>health</w:t>
      </w:r>
      <w:proofErr w:type="spellEnd"/>
      <w:r w:rsidRPr="0051721B">
        <w:t xml:space="preserve"> </w:t>
      </w:r>
      <w:proofErr w:type="spellStart"/>
      <w:r w:rsidRPr="0051721B">
        <w:t>professionals</w:t>
      </w:r>
      <w:proofErr w:type="spellEnd"/>
      <w:r w:rsidRPr="0051721B">
        <w:t xml:space="preserve">, </w:t>
      </w:r>
      <w:proofErr w:type="spellStart"/>
      <w:r w:rsidRPr="0051721B">
        <w:t>teachers</w:t>
      </w:r>
      <w:proofErr w:type="spellEnd"/>
      <w:r w:rsidRPr="0051721B">
        <w:t xml:space="preserve">, </w:t>
      </w:r>
      <w:proofErr w:type="spellStart"/>
      <w:r w:rsidRPr="0051721B">
        <w:t>Connectors</w:t>
      </w:r>
      <w:proofErr w:type="spellEnd"/>
      <w:r w:rsidRPr="0051721B">
        <w:t xml:space="preserve">, </w:t>
      </w:r>
      <w:proofErr w:type="spellStart"/>
      <w:r w:rsidRPr="0051721B">
        <w:t>or</w:t>
      </w:r>
      <w:proofErr w:type="spellEnd"/>
      <w:r w:rsidRPr="0051721B">
        <w:t xml:space="preserve"> ACC. </w:t>
      </w:r>
      <w:proofErr w:type="spellStart"/>
      <w:r w:rsidRPr="0051721B">
        <w:t>The</w:t>
      </w:r>
      <w:proofErr w:type="spellEnd"/>
      <w:r w:rsidRPr="0051721B">
        <w:t xml:space="preserve"> </w:t>
      </w:r>
      <w:proofErr w:type="spellStart"/>
      <w:r w:rsidRPr="0051721B">
        <w:t>group</w:t>
      </w:r>
      <w:proofErr w:type="spellEnd"/>
      <w:r w:rsidRPr="0051721B">
        <w:t xml:space="preserve"> </w:t>
      </w:r>
      <w:proofErr w:type="spellStart"/>
      <w:r w:rsidRPr="0051721B">
        <w:t>is</w:t>
      </w:r>
      <w:proofErr w:type="spellEnd"/>
      <w:r w:rsidRPr="0051721B">
        <w:t xml:space="preserve"> </w:t>
      </w:r>
      <w:proofErr w:type="spellStart"/>
      <w:r w:rsidRPr="0051721B">
        <w:t>supported</w:t>
      </w:r>
      <w:proofErr w:type="spellEnd"/>
      <w:r w:rsidRPr="0051721B">
        <w:t xml:space="preserve"> </w:t>
      </w:r>
      <w:proofErr w:type="spellStart"/>
      <w:r w:rsidRPr="0051721B">
        <w:t>by</w:t>
      </w:r>
      <w:proofErr w:type="spellEnd"/>
      <w:r w:rsidRPr="0051721B">
        <w:t xml:space="preserve"> </w:t>
      </w:r>
      <w:proofErr w:type="spellStart"/>
      <w:r w:rsidRPr="0051721B">
        <w:t>paediatricians</w:t>
      </w:r>
      <w:proofErr w:type="spellEnd"/>
      <w:r w:rsidRPr="0051721B">
        <w:t xml:space="preserve">, Child </w:t>
      </w:r>
      <w:proofErr w:type="spellStart"/>
      <w:r w:rsidRPr="0051721B">
        <w:t>Development</w:t>
      </w:r>
      <w:proofErr w:type="spellEnd"/>
      <w:r w:rsidRPr="0051721B">
        <w:t xml:space="preserve"> </w:t>
      </w:r>
      <w:proofErr w:type="spellStart"/>
      <w:r w:rsidRPr="0051721B">
        <w:t>Services</w:t>
      </w:r>
      <w:proofErr w:type="spellEnd"/>
      <w:r w:rsidRPr="0051721B">
        <w:t xml:space="preserve">, Explore, Child, </w:t>
      </w:r>
      <w:proofErr w:type="spellStart"/>
      <w:r w:rsidRPr="0051721B">
        <w:t>Adolescent</w:t>
      </w:r>
      <w:proofErr w:type="spellEnd"/>
      <w:r w:rsidRPr="0051721B">
        <w:t xml:space="preserve"> and </w:t>
      </w:r>
      <w:proofErr w:type="spellStart"/>
      <w:r w:rsidRPr="0051721B">
        <w:t>Family</w:t>
      </w:r>
      <w:proofErr w:type="spellEnd"/>
      <w:r w:rsidRPr="0051721B">
        <w:t xml:space="preserve"> Mental </w:t>
      </w:r>
      <w:proofErr w:type="spellStart"/>
      <w:r w:rsidRPr="0051721B">
        <w:t>Health</w:t>
      </w:r>
      <w:proofErr w:type="spellEnd"/>
      <w:r w:rsidRPr="0051721B">
        <w:t xml:space="preserve"> </w:t>
      </w:r>
      <w:proofErr w:type="spellStart"/>
      <w:r w:rsidRPr="0051721B">
        <w:t>Services</w:t>
      </w:r>
      <w:proofErr w:type="spellEnd"/>
      <w:r w:rsidRPr="0051721B">
        <w:t xml:space="preserve">, </w:t>
      </w:r>
      <w:proofErr w:type="spellStart"/>
      <w:r w:rsidRPr="0051721B">
        <w:t>Community</w:t>
      </w:r>
      <w:proofErr w:type="spellEnd"/>
      <w:r w:rsidRPr="0051721B">
        <w:t xml:space="preserve"> Mental </w:t>
      </w:r>
      <w:proofErr w:type="spellStart"/>
      <w:r w:rsidRPr="0051721B">
        <w:t>Health</w:t>
      </w:r>
      <w:proofErr w:type="spellEnd"/>
      <w:r w:rsidRPr="0051721B">
        <w:t xml:space="preserve"> </w:t>
      </w:r>
      <w:proofErr w:type="spellStart"/>
      <w:r w:rsidRPr="0051721B">
        <w:t>Services</w:t>
      </w:r>
      <w:proofErr w:type="spellEnd"/>
      <w:r w:rsidRPr="0051721B">
        <w:t xml:space="preserve">, </w:t>
      </w:r>
      <w:proofErr w:type="spellStart"/>
      <w:r w:rsidRPr="0051721B">
        <w:t>Ministry</w:t>
      </w:r>
      <w:proofErr w:type="spellEnd"/>
      <w:r w:rsidRPr="0051721B">
        <w:t xml:space="preserve"> </w:t>
      </w:r>
      <w:proofErr w:type="spellStart"/>
      <w:r w:rsidRPr="0051721B">
        <w:t>of</w:t>
      </w:r>
      <w:proofErr w:type="spellEnd"/>
      <w:r w:rsidRPr="0051721B">
        <w:t xml:space="preserve"> </w:t>
      </w:r>
      <w:proofErr w:type="spellStart"/>
      <w:r w:rsidRPr="0051721B">
        <w:t>Education</w:t>
      </w:r>
      <w:proofErr w:type="spellEnd"/>
      <w:r w:rsidRPr="0051721B">
        <w:t xml:space="preserve"> – </w:t>
      </w:r>
      <w:proofErr w:type="spellStart"/>
      <w:r w:rsidRPr="0051721B">
        <w:t>Learning</w:t>
      </w:r>
      <w:proofErr w:type="spellEnd"/>
      <w:r w:rsidRPr="0051721B">
        <w:t xml:space="preserve"> </w:t>
      </w:r>
      <w:proofErr w:type="spellStart"/>
      <w:r w:rsidRPr="0051721B">
        <w:t>Support</w:t>
      </w:r>
      <w:proofErr w:type="spellEnd"/>
      <w:r w:rsidRPr="0051721B">
        <w:t xml:space="preserve">, </w:t>
      </w:r>
      <w:proofErr w:type="spellStart"/>
      <w:r w:rsidRPr="0051721B">
        <w:t>Oranga</w:t>
      </w:r>
      <w:proofErr w:type="spellEnd"/>
      <w:r w:rsidRPr="0051721B">
        <w:t xml:space="preserve"> </w:t>
      </w:r>
      <w:proofErr w:type="spellStart"/>
      <w:r w:rsidRPr="0051721B">
        <w:t>Tamariki</w:t>
      </w:r>
      <w:proofErr w:type="spellEnd"/>
      <w:r w:rsidRPr="0051721B">
        <w:t xml:space="preserve">, Mana </w:t>
      </w:r>
      <w:proofErr w:type="spellStart"/>
      <w:r w:rsidRPr="0051721B">
        <w:t>Whaikaha</w:t>
      </w:r>
      <w:proofErr w:type="spellEnd"/>
      <w:r w:rsidRPr="0051721B">
        <w:t xml:space="preserve">, </w:t>
      </w:r>
      <w:proofErr w:type="spellStart"/>
      <w:r w:rsidRPr="0051721B">
        <w:t>Accident</w:t>
      </w:r>
      <w:proofErr w:type="spellEnd"/>
      <w:r w:rsidRPr="0051721B">
        <w:t xml:space="preserve"> </w:t>
      </w:r>
      <w:proofErr w:type="spellStart"/>
      <w:r w:rsidRPr="0051721B">
        <w:t>Compensation</w:t>
      </w:r>
      <w:proofErr w:type="spellEnd"/>
      <w:r w:rsidRPr="0051721B">
        <w:t xml:space="preserve"> </w:t>
      </w:r>
      <w:proofErr w:type="spellStart"/>
      <w:r w:rsidRPr="0051721B">
        <w:t>Corporation</w:t>
      </w:r>
      <w:proofErr w:type="spellEnd"/>
      <w:r w:rsidRPr="0051721B">
        <w:t xml:space="preserve"> (ACC), and </w:t>
      </w:r>
      <w:proofErr w:type="spellStart"/>
      <w:r w:rsidRPr="0051721B">
        <w:t>other</w:t>
      </w:r>
      <w:proofErr w:type="spellEnd"/>
      <w:r w:rsidRPr="0051721B">
        <w:t xml:space="preserve"> agencies.</w:t>
      </w:r>
    </w:p>
  </w:endnote>
  <w:endnote w:id="70">
    <w:p w14:paraId="528C4F3F" w14:textId="77777777" w:rsidR="003665BE" w:rsidRPr="00AB67F0"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See</w:t>
      </w:r>
      <w:proofErr w:type="spellEnd"/>
      <w:r w:rsidRPr="0051721B">
        <w:t xml:space="preserve"> </w:t>
      </w:r>
      <w:proofErr w:type="spellStart"/>
      <w:r w:rsidRPr="00726C15">
        <w:rPr>
          <w:rStyle w:val="Hipervnculo"/>
        </w:rPr>
        <w:t>www.legislation.govt.nz</w:t>
      </w:r>
      <w:proofErr w:type="spellEnd"/>
      <w:r w:rsidRPr="00726C15">
        <w:rPr>
          <w:rStyle w:val="Hipervnculo"/>
        </w:rPr>
        <w:t>/</w:t>
      </w:r>
      <w:proofErr w:type="spellStart"/>
      <w:r w:rsidRPr="00726C15">
        <w:rPr>
          <w:rStyle w:val="Hipervnculo"/>
        </w:rPr>
        <w:t>act</w:t>
      </w:r>
      <w:proofErr w:type="spellEnd"/>
      <w:r w:rsidRPr="00726C15">
        <w:rPr>
          <w:rStyle w:val="Hipervnculo"/>
        </w:rPr>
        <w:t>/</w:t>
      </w:r>
      <w:proofErr w:type="spellStart"/>
      <w:r w:rsidRPr="00726C15">
        <w:rPr>
          <w:rStyle w:val="Hipervnculo"/>
        </w:rPr>
        <w:t>public</w:t>
      </w:r>
      <w:proofErr w:type="spellEnd"/>
      <w:r w:rsidRPr="00726C15">
        <w:rPr>
          <w:rStyle w:val="Hipervnculo"/>
        </w:rPr>
        <w:t>/2018/0032/</w:t>
      </w:r>
      <w:proofErr w:type="spellStart"/>
      <w:r w:rsidRPr="00726C15">
        <w:rPr>
          <w:rStyle w:val="Hipervnculo"/>
        </w:rPr>
        <w:t>latest</w:t>
      </w:r>
      <w:proofErr w:type="spellEnd"/>
      <w:r w:rsidRPr="00726C15">
        <w:rPr>
          <w:rStyle w:val="Hipervnculo"/>
        </w:rPr>
        <w:t>/</w:t>
      </w:r>
      <w:proofErr w:type="spellStart"/>
      <w:r w:rsidRPr="00726C15">
        <w:rPr>
          <w:rStyle w:val="Hipervnculo"/>
        </w:rPr>
        <w:t>whole.html</w:t>
      </w:r>
      <w:proofErr w:type="spellEnd"/>
      <w:r w:rsidRPr="0051721B">
        <w:t xml:space="preserve">. </w:t>
      </w:r>
    </w:p>
  </w:endnote>
  <w:endnote w:id="71">
    <w:p w14:paraId="6BC90D29" w14:textId="77777777" w:rsidR="003665BE" w:rsidRPr="00887878"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LGBTQI</w:t>
      </w:r>
      <w:proofErr w:type="spellEnd"/>
      <w:r w:rsidRPr="0051721B">
        <w:t xml:space="preserve"> </w:t>
      </w:r>
      <w:proofErr w:type="spellStart"/>
      <w:r w:rsidRPr="0051721B">
        <w:t>is</w:t>
      </w:r>
      <w:proofErr w:type="spellEnd"/>
      <w:r w:rsidRPr="0051721B">
        <w:t xml:space="preserve"> </w:t>
      </w:r>
      <w:proofErr w:type="spellStart"/>
      <w:r w:rsidRPr="0051721B">
        <w:t>an</w:t>
      </w:r>
      <w:proofErr w:type="spellEnd"/>
      <w:r w:rsidRPr="0051721B">
        <w:t xml:space="preserve"> </w:t>
      </w:r>
      <w:proofErr w:type="spellStart"/>
      <w:r w:rsidRPr="0051721B">
        <w:t>abbreviation</w:t>
      </w:r>
      <w:proofErr w:type="spellEnd"/>
      <w:r w:rsidRPr="0051721B">
        <w:t xml:space="preserve"> </w:t>
      </w:r>
      <w:proofErr w:type="spellStart"/>
      <w:r w:rsidRPr="0051721B">
        <w:t>of</w:t>
      </w:r>
      <w:proofErr w:type="spellEnd"/>
      <w:r w:rsidRPr="0051721B">
        <w:t xml:space="preserve"> </w:t>
      </w:r>
      <w:proofErr w:type="spellStart"/>
      <w:r w:rsidRPr="0051721B">
        <w:t>lesbian</w:t>
      </w:r>
      <w:proofErr w:type="spellEnd"/>
      <w:r w:rsidRPr="0051721B">
        <w:t xml:space="preserve">, gay, bisexual, </w:t>
      </w:r>
      <w:proofErr w:type="spellStart"/>
      <w:r w:rsidRPr="0051721B">
        <w:t>transgender</w:t>
      </w:r>
      <w:proofErr w:type="spellEnd"/>
      <w:r w:rsidRPr="0051721B">
        <w:t xml:space="preserve">, </w:t>
      </w:r>
      <w:proofErr w:type="spellStart"/>
      <w:r w:rsidRPr="0051721B">
        <w:t>questioning</w:t>
      </w:r>
      <w:proofErr w:type="spellEnd"/>
      <w:r w:rsidRPr="0051721B">
        <w:t xml:space="preserve"> (</w:t>
      </w:r>
      <w:proofErr w:type="spellStart"/>
      <w:r w:rsidRPr="0051721B">
        <w:t>or</w:t>
      </w:r>
      <w:proofErr w:type="spellEnd"/>
      <w:r w:rsidRPr="0051721B">
        <w:t xml:space="preserve">: </w:t>
      </w:r>
      <w:proofErr w:type="spellStart"/>
      <w:r w:rsidRPr="0051721B">
        <w:t>queer</w:t>
      </w:r>
      <w:proofErr w:type="spellEnd"/>
      <w:r w:rsidRPr="0051721B">
        <w:t xml:space="preserve">), </w:t>
      </w:r>
      <w:proofErr w:type="spellStart"/>
      <w:r w:rsidRPr="0051721B">
        <w:t>intersex</w:t>
      </w:r>
      <w:proofErr w:type="spellEnd"/>
      <w:r w:rsidRPr="0051721B">
        <w:t>.</w:t>
      </w:r>
    </w:p>
  </w:endnote>
  <w:endnote w:id="72">
    <w:p w14:paraId="1B0ABF9B" w14:textId="77777777" w:rsidR="003665BE" w:rsidRPr="00726C15" w:rsidRDefault="003665BE" w:rsidP="00726C15">
      <w:pPr>
        <w:pStyle w:val="Textonotaalfinal"/>
      </w:pPr>
      <w:r w:rsidRPr="0051721B">
        <w:tab/>
      </w:r>
      <w:r w:rsidRPr="00154216">
        <w:rPr>
          <w:rStyle w:val="Refdenotaalfinal"/>
        </w:rPr>
        <w:endnoteRef/>
      </w:r>
      <w:r w:rsidRPr="00154216">
        <w:rPr>
          <w:rStyle w:val="Refdenotaalfinal"/>
        </w:rPr>
        <w:tab/>
      </w:r>
      <w:proofErr w:type="spellStart"/>
      <w:r w:rsidRPr="0051721B">
        <w:t>See</w:t>
      </w:r>
      <w:proofErr w:type="spellEnd"/>
      <w:r w:rsidRPr="0051721B">
        <w:t xml:space="preserve"> </w:t>
      </w:r>
      <w:r w:rsidRPr="00726C15">
        <w:rPr>
          <w:rStyle w:val="Hipervnculo"/>
        </w:rPr>
        <w:t>https://www.orangatamariki.govt.nz/news/care-standards-support-tamariki-and-caregivers/</w:t>
      </w:r>
      <w:r w:rsidRPr="00726C15">
        <w:t>.</w:t>
      </w:r>
    </w:p>
  </w:endnote>
  <w:endnote w:id="73">
    <w:p w14:paraId="06654B65" w14:textId="77777777" w:rsidR="003665BE" w:rsidRPr="00BB6EBF" w:rsidRDefault="003665BE" w:rsidP="00011964">
      <w:pPr>
        <w:pStyle w:val="Textonotaalfinal"/>
      </w:pPr>
      <w:r w:rsidRPr="0051721B">
        <w:tab/>
      </w:r>
      <w:r w:rsidRPr="00154216">
        <w:rPr>
          <w:rStyle w:val="Refdenotaalfinal"/>
        </w:rPr>
        <w:endnoteRef/>
      </w:r>
      <w:r w:rsidRPr="00154216">
        <w:rPr>
          <w:rStyle w:val="Refdenotaalfinal"/>
        </w:rPr>
        <w:tab/>
      </w:r>
      <w:r w:rsidRPr="0051721B">
        <w:t xml:space="preserve">Reference </w:t>
      </w:r>
      <w:proofErr w:type="spellStart"/>
      <w:r w:rsidRPr="0051721B">
        <w:t>to</w:t>
      </w:r>
      <w:proofErr w:type="spellEnd"/>
      <w:r w:rsidRPr="0051721B">
        <w:t xml:space="preserve"> 1993 relates </w:t>
      </w:r>
      <w:proofErr w:type="spellStart"/>
      <w:r w:rsidRPr="0051721B">
        <w:t>to</w:t>
      </w:r>
      <w:proofErr w:type="spellEnd"/>
      <w:r w:rsidRPr="0051721B">
        <w:t xml:space="preserve"> </w:t>
      </w:r>
      <w:proofErr w:type="spellStart"/>
      <w:r w:rsidRPr="0051721B">
        <w:t>two</w:t>
      </w:r>
      <w:proofErr w:type="spellEnd"/>
      <w:r w:rsidRPr="0051721B">
        <w:t xml:space="preserve"> </w:t>
      </w:r>
      <w:proofErr w:type="spellStart"/>
      <w:r w:rsidRPr="0051721B">
        <w:t>events</w:t>
      </w:r>
      <w:proofErr w:type="spellEnd"/>
      <w:r w:rsidRPr="0051721B">
        <w:t xml:space="preserve"> – </w:t>
      </w:r>
      <w:proofErr w:type="spellStart"/>
      <w:r w:rsidRPr="0051721B">
        <w:t>when</w:t>
      </w:r>
      <w:proofErr w:type="spellEnd"/>
      <w:r w:rsidRPr="0051721B">
        <w:t xml:space="preserve"> </w:t>
      </w:r>
      <w:proofErr w:type="spellStart"/>
      <w:r w:rsidRPr="0051721B">
        <w:t>the</w:t>
      </w:r>
      <w:proofErr w:type="spellEnd"/>
      <w:r w:rsidRPr="0051721B">
        <w:t xml:space="preserve"> Mental </w:t>
      </w:r>
      <w:proofErr w:type="spellStart"/>
      <w:r w:rsidRPr="0051721B">
        <w:t>Health</w:t>
      </w:r>
      <w:proofErr w:type="spellEnd"/>
      <w:r w:rsidRPr="0051721B">
        <w:t xml:space="preserve"> (</w:t>
      </w:r>
      <w:proofErr w:type="spellStart"/>
      <w:r w:rsidRPr="0051721B">
        <w:t>Compulsory</w:t>
      </w:r>
      <w:proofErr w:type="spellEnd"/>
      <w:r w:rsidRPr="0051721B">
        <w:t xml:space="preserve"> </w:t>
      </w:r>
      <w:proofErr w:type="spellStart"/>
      <w:r w:rsidRPr="0051721B">
        <w:t>Assessment</w:t>
      </w:r>
      <w:proofErr w:type="spellEnd"/>
      <w:r w:rsidRPr="0051721B">
        <w:t xml:space="preserve"> and </w:t>
      </w:r>
      <w:proofErr w:type="spellStart"/>
      <w:r w:rsidRPr="0051721B">
        <w:t>Treatment</w:t>
      </w:r>
      <w:proofErr w:type="spellEnd"/>
      <w:r w:rsidRPr="0051721B">
        <w:t xml:space="preserve">) </w:t>
      </w:r>
      <w:proofErr w:type="spellStart"/>
      <w:r w:rsidRPr="0051721B">
        <w:t>Act</w:t>
      </w:r>
      <w:proofErr w:type="spellEnd"/>
      <w:r w:rsidRPr="0051721B">
        <w:t xml:space="preserve"> 1992 </w:t>
      </w:r>
      <w:proofErr w:type="spellStart"/>
      <w:r w:rsidRPr="0051721B">
        <w:t>came</w:t>
      </w:r>
      <w:proofErr w:type="spellEnd"/>
      <w:r w:rsidRPr="0051721B">
        <w:t xml:space="preserve"> </w:t>
      </w:r>
      <w:proofErr w:type="spellStart"/>
      <w:r w:rsidRPr="0051721B">
        <w:t>into</w:t>
      </w:r>
      <w:proofErr w:type="spellEnd"/>
      <w:r w:rsidRPr="0051721B">
        <w:t xml:space="preserve"> </w:t>
      </w:r>
      <w:proofErr w:type="spellStart"/>
      <w:r w:rsidRPr="0051721B">
        <w:t>force</w:t>
      </w:r>
      <w:proofErr w:type="spellEnd"/>
      <w:r w:rsidRPr="0051721B">
        <w:t xml:space="preserve"> and </w:t>
      </w:r>
      <w:proofErr w:type="spellStart"/>
      <w:r w:rsidRPr="0051721B">
        <w:t>the</w:t>
      </w:r>
      <w:proofErr w:type="spellEnd"/>
      <w:r w:rsidRPr="0051721B">
        <w:t xml:space="preserve"> establishment </w:t>
      </w:r>
      <w:proofErr w:type="spellStart"/>
      <w:r w:rsidRPr="0051721B">
        <w:t>of</w:t>
      </w:r>
      <w:proofErr w:type="spellEnd"/>
      <w:r w:rsidRPr="0051721B">
        <w:t xml:space="preserve"> Regional </w:t>
      </w:r>
      <w:proofErr w:type="spellStart"/>
      <w:r w:rsidRPr="0051721B">
        <w:t>Health</w:t>
      </w:r>
      <w:proofErr w:type="spellEnd"/>
      <w:r w:rsidRPr="0051721B">
        <w:t xml:space="preserve"> </w:t>
      </w:r>
      <w:proofErr w:type="spellStart"/>
      <w:r w:rsidRPr="0051721B">
        <w:t>Authorities</w:t>
      </w:r>
      <w:proofErr w:type="spellEnd"/>
      <w:r w:rsidRPr="0051721B">
        <w:t xml:space="preserve"> and Crown </w:t>
      </w:r>
      <w:proofErr w:type="spellStart"/>
      <w:r w:rsidRPr="0051721B">
        <w:t>Health</w:t>
      </w:r>
      <w:proofErr w:type="spellEnd"/>
      <w:r w:rsidRPr="0051721B">
        <w:t xml:space="preserve"> </w:t>
      </w:r>
      <w:proofErr w:type="spellStart"/>
      <w:r w:rsidRPr="0051721B">
        <w:t>Enterprises</w:t>
      </w:r>
      <w:proofErr w:type="spellEnd"/>
      <w:r w:rsidRPr="0051721B">
        <w:t xml:space="preserve"> </w:t>
      </w:r>
      <w:proofErr w:type="spellStart"/>
      <w:r w:rsidRPr="0051721B">
        <w:t>on</w:t>
      </w:r>
      <w:proofErr w:type="spellEnd"/>
      <w:r w:rsidRPr="0051721B">
        <w:t xml:space="preserve"> 1 </w:t>
      </w:r>
      <w:proofErr w:type="spellStart"/>
      <w:r w:rsidRPr="0051721B">
        <w:t>July</w:t>
      </w:r>
      <w:proofErr w:type="spellEnd"/>
      <w:r w:rsidRPr="0051721B">
        <w:t xml:space="preserve"> 1993. After 1993, </w:t>
      </w:r>
      <w:proofErr w:type="spellStart"/>
      <w:r w:rsidRPr="0051721B">
        <w:t>there</w:t>
      </w:r>
      <w:proofErr w:type="spellEnd"/>
      <w:r w:rsidRPr="0051721B">
        <w:t xml:space="preserve"> </w:t>
      </w:r>
      <w:proofErr w:type="spellStart"/>
      <w:r w:rsidRPr="0051721B">
        <w:t>was</w:t>
      </w:r>
      <w:proofErr w:type="spellEnd"/>
      <w:r w:rsidRPr="0051721B">
        <w:t xml:space="preserve"> a </w:t>
      </w:r>
      <w:proofErr w:type="spellStart"/>
      <w:r w:rsidRPr="0051721B">
        <w:t>range</w:t>
      </w:r>
      <w:proofErr w:type="spellEnd"/>
      <w:r w:rsidRPr="0051721B">
        <w:t xml:space="preserve"> </w:t>
      </w:r>
      <w:proofErr w:type="spellStart"/>
      <w:r w:rsidRPr="0051721B">
        <w:t>of</w:t>
      </w:r>
      <w:proofErr w:type="spellEnd"/>
      <w:r w:rsidRPr="0051721B">
        <w:t xml:space="preserve"> new </w:t>
      </w:r>
      <w:proofErr w:type="spellStart"/>
      <w:r w:rsidRPr="0051721B">
        <w:t>mechanisms</w:t>
      </w:r>
      <w:proofErr w:type="spellEnd"/>
      <w:r w:rsidRPr="0051721B">
        <w:t xml:space="preserve"> </w:t>
      </w:r>
      <w:proofErr w:type="spellStart"/>
      <w:r w:rsidRPr="0051721B">
        <w:t>established</w:t>
      </w:r>
      <w:proofErr w:type="spellEnd"/>
      <w:r w:rsidRPr="0051721B">
        <w:t xml:space="preserve">, </w:t>
      </w:r>
      <w:proofErr w:type="spellStart"/>
      <w:r w:rsidRPr="0051721B">
        <w:t>including</w:t>
      </w:r>
      <w:proofErr w:type="spellEnd"/>
      <w:r w:rsidRPr="0051721B">
        <w:t xml:space="preserve"> </w:t>
      </w:r>
      <w:proofErr w:type="spellStart"/>
      <w:r w:rsidRPr="0051721B">
        <w:t>the</w:t>
      </w:r>
      <w:proofErr w:type="spellEnd"/>
      <w:r w:rsidRPr="0051721B">
        <w:t xml:space="preserve"> </w:t>
      </w:r>
      <w:proofErr w:type="spellStart"/>
      <w:r w:rsidRPr="0051721B">
        <w:t>Health</w:t>
      </w:r>
      <w:proofErr w:type="spellEnd"/>
      <w:r w:rsidRPr="0051721B">
        <w:t xml:space="preserve"> and </w:t>
      </w:r>
      <w:proofErr w:type="spellStart"/>
      <w:r w:rsidRPr="0051721B">
        <w:t>Disability</w:t>
      </w:r>
      <w:proofErr w:type="spellEnd"/>
      <w:r w:rsidRPr="0051721B">
        <w:t xml:space="preserve"> </w:t>
      </w:r>
      <w:proofErr w:type="spellStart"/>
      <w:r w:rsidRPr="0051721B">
        <w:t>Commissioner</w:t>
      </w:r>
      <w:proofErr w:type="spellEnd"/>
      <w:r w:rsidRPr="0051721B">
        <w:t xml:space="preserve">, </w:t>
      </w:r>
      <w:proofErr w:type="spellStart"/>
      <w:r w:rsidRPr="0051721B">
        <w:t>appointment</w:t>
      </w:r>
      <w:proofErr w:type="spellEnd"/>
      <w:r w:rsidRPr="0051721B">
        <w:t xml:space="preserve"> </w:t>
      </w:r>
      <w:proofErr w:type="spellStart"/>
      <w:r w:rsidRPr="0051721B">
        <w:t>of</w:t>
      </w:r>
      <w:proofErr w:type="spellEnd"/>
      <w:r w:rsidRPr="0051721B">
        <w:t xml:space="preserve"> </w:t>
      </w:r>
      <w:proofErr w:type="spellStart"/>
      <w:r w:rsidRPr="0051721B">
        <w:t>District</w:t>
      </w:r>
      <w:proofErr w:type="spellEnd"/>
      <w:r w:rsidRPr="0051721B">
        <w:t xml:space="preserve"> </w:t>
      </w:r>
      <w:proofErr w:type="spellStart"/>
      <w:r w:rsidRPr="0051721B">
        <w:t>Inspectors</w:t>
      </w:r>
      <w:proofErr w:type="spellEnd"/>
      <w:r w:rsidRPr="0051721B">
        <w:t xml:space="preserve">, </w:t>
      </w:r>
      <w:proofErr w:type="spellStart"/>
      <w:r w:rsidRPr="0051721B">
        <w:t>audit</w:t>
      </w:r>
      <w:proofErr w:type="spellEnd"/>
      <w:r w:rsidRPr="0051721B">
        <w:t xml:space="preserve"> agencies </w:t>
      </w:r>
      <w:proofErr w:type="spellStart"/>
      <w:r w:rsidRPr="0051721B">
        <w:t>for</w:t>
      </w:r>
      <w:proofErr w:type="spellEnd"/>
      <w:r w:rsidRPr="0051721B">
        <w:t xml:space="preserve"> </w:t>
      </w:r>
      <w:proofErr w:type="spellStart"/>
      <w:r w:rsidRPr="0051721B">
        <w:t>aged</w:t>
      </w:r>
      <w:proofErr w:type="spellEnd"/>
      <w:r w:rsidRPr="0051721B">
        <w:t xml:space="preserve"> </w:t>
      </w:r>
      <w:proofErr w:type="spellStart"/>
      <w:r w:rsidRPr="0051721B">
        <w:t>care</w:t>
      </w:r>
      <w:proofErr w:type="spellEnd"/>
      <w:r w:rsidRPr="0051721B">
        <w:t xml:space="preserve"> and </w:t>
      </w:r>
      <w:proofErr w:type="spellStart"/>
      <w:r w:rsidRPr="0051721B">
        <w:t>residential</w:t>
      </w:r>
      <w:proofErr w:type="spellEnd"/>
      <w:r w:rsidRPr="0051721B">
        <w:t xml:space="preserve"> </w:t>
      </w:r>
      <w:proofErr w:type="spellStart"/>
      <w:r w:rsidRPr="0051721B">
        <w:t>care</w:t>
      </w:r>
      <w:proofErr w:type="spellEnd"/>
      <w:r w:rsidRPr="0051721B">
        <w:t xml:space="preserve"> </w:t>
      </w:r>
      <w:proofErr w:type="spellStart"/>
      <w:r w:rsidRPr="0051721B">
        <w:t>facilities</w:t>
      </w:r>
      <w:proofErr w:type="spellEnd"/>
      <w:r w:rsidRPr="0051721B">
        <w:t xml:space="preserve"> </w:t>
      </w:r>
      <w:proofErr w:type="spellStart"/>
      <w:r w:rsidRPr="0051721B">
        <w:t>etc</w:t>
      </w:r>
      <w:proofErr w:type="spellEnd"/>
      <w:r w:rsidRPr="0051721B">
        <w:t xml:space="preserve">, </w:t>
      </w:r>
      <w:proofErr w:type="spellStart"/>
      <w:r w:rsidRPr="0051721B">
        <w:t>for</w:t>
      </w:r>
      <w:proofErr w:type="spellEnd"/>
      <w:r w:rsidRPr="0051721B">
        <w:t xml:space="preserve"> </w:t>
      </w:r>
      <w:proofErr w:type="spellStart"/>
      <w:r w:rsidRPr="0051721B">
        <w:t>investigation</w:t>
      </w:r>
      <w:proofErr w:type="spellEnd"/>
      <w:r w:rsidRPr="0051721B">
        <w:t xml:space="preserve"> </w:t>
      </w:r>
      <w:proofErr w:type="spellStart"/>
      <w:r w:rsidRPr="0051721B">
        <w:t>of</w:t>
      </w:r>
      <w:proofErr w:type="spellEnd"/>
      <w:r w:rsidRPr="0051721B">
        <w:t xml:space="preserve"> </w:t>
      </w:r>
      <w:proofErr w:type="spellStart"/>
      <w:r w:rsidRPr="0051721B">
        <w:t>complaints</w:t>
      </w:r>
      <w:proofErr w:type="spellEnd"/>
      <w:r w:rsidRPr="0051721B">
        <w:t xml:space="preserve"> and </w:t>
      </w:r>
      <w:proofErr w:type="spellStart"/>
      <w:r w:rsidRPr="0051721B">
        <w:t>to</w:t>
      </w:r>
      <w:proofErr w:type="spellEnd"/>
      <w:r w:rsidRPr="0051721B">
        <w:t xml:space="preserve"> </w:t>
      </w:r>
      <w:proofErr w:type="spellStart"/>
      <w:r w:rsidRPr="0051721B">
        <w:t>seek</w:t>
      </w:r>
      <w:proofErr w:type="spellEnd"/>
      <w:r w:rsidRPr="0051721B">
        <w:t xml:space="preserve"> </w:t>
      </w:r>
      <w:proofErr w:type="spellStart"/>
      <w:r w:rsidRPr="0051721B">
        <w:t>redress</w:t>
      </w:r>
      <w:proofErr w:type="spellEnd"/>
      <w:r w:rsidRPr="0051721B">
        <w:t xml:space="preserve"> </w:t>
      </w:r>
      <w:proofErr w:type="spellStart"/>
      <w:r w:rsidRPr="0051721B">
        <w:t>from</w:t>
      </w:r>
      <w:proofErr w:type="spellEnd"/>
      <w:r w:rsidRPr="0051721B">
        <w:t xml:space="preserve"> agencies.</w:t>
      </w:r>
    </w:p>
  </w:endnote>
  <w:endnote w:id="74">
    <w:p w14:paraId="770A0A00" w14:textId="77777777" w:rsidR="003665BE" w:rsidRPr="00BD34D2"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See</w:t>
      </w:r>
      <w:proofErr w:type="spellEnd"/>
      <w:r w:rsidRPr="0051721B">
        <w:t xml:space="preserve"> </w:t>
      </w:r>
      <w:proofErr w:type="spellStart"/>
      <w:r w:rsidRPr="00726C15">
        <w:rPr>
          <w:rStyle w:val="Hipervnculo"/>
        </w:rPr>
        <w:t>www.hdc.org.nz</w:t>
      </w:r>
      <w:proofErr w:type="spellEnd"/>
      <w:r w:rsidRPr="00726C15">
        <w:rPr>
          <w:rStyle w:val="Hipervnculo"/>
        </w:rPr>
        <w:t>/</w:t>
      </w:r>
      <w:r w:rsidRPr="0051721B">
        <w:t>.</w:t>
      </w:r>
    </w:p>
  </w:endnote>
  <w:endnote w:id="75">
    <w:p w14:paraId="572E9790" w14:textId="77777777" w:rsidR="003665BE" w:rsidRPr="0049486A"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See</w:t>
      </w:r>
      <w:proofErr w:type="spellEnd"/>
      <w:r w:rsidRPr="0051721B">
        <w:t xml:space="preserve"> </w:t>
      </w:r>
      <w:r w:rsidRPr="00726C15">
        <w:rPr>
          <w:rStyle w:val="Hipervnculo"/>
        </w:rPr>
        <w:t>http://</w:t>
      </w:r>
      <w:proofErr w:type="spellStart"/>
      <w:r w:rsidRPr="00726C15">
        <w:rPr>
          <w:rStyle w:val="Hipervnculo"/>
        </w:rPr>
        <w:t>www.ombudsman.parliament.nz</w:t>
      </w:r>
      <w:proofErr w:type="spellEnd"/>
      <w:r w:rsidRPr="00726C15">
        <w:rPr>
          <w:rStyle w:val="Hipervnculo"/>
        </w:rPr>
        <w:t>/</w:t>
      </w:r>
      <w:r w:rsidRPr="0051721B">
        <w:t>.</w:t>
      </w:r>
    </w:p>
  </w:endnote>
  <w:endnote w:id="76">
    <w:p w14:paraId="31794901" w14:textId="77777777" w:rsidR="003665BE" w:rsidRPr="00BA5F3C"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See</w:t>
      </w:r>
      <w:proofErr w:type="spellEnd"/>
      <w:r w:rsidRPr="0051721B">
        <w:t xml:space="preserve"> </w:t>
      </w:r>
      <w:proofErr w:type="spellStart"/>
      <w:r w:rsidRPr="00726C15">
        <w:rPr>
          <w:rStyle w:val="Hipervnculo"/>
        </w:rPr>
        <w:t>www.corrections.govt.nz</w:t>
      </w:r>
      <w:proofErr w:type="spellEnd"/>
      <w:r w:rsidRPr="00726C15">
        <w:rPr>
          <w:rStyle w:val="Hipervnculo"/>
        </w:rPr>
        <w:t>/</w:t>
      </w:r>
      <w:proofErr w:type="spellStart"/>
      <w:r w:rsidRPr="00726C15">
        <w:rPr>
          <w:rStyle w:val="Hipervnculo"/>
        </w:rPr>
        <w:t>about</w:t>
      </w:r>
      <w:proofErr w:type="spellEnd"/>
      <w:r w:rsidRPr="00726C15">
        <w:rPr>
          <w:rStyle w:val="Hipervnculo"/>
        </w:rPr>
        <w:t xml:space="preserve"> </w:t>
      </w:r>
      <w:proofErr w:type="spellStart"/>
      <w:r w:rsidRPr="00726C15">
        <w:rPr>
          <w:rStyle w:val="Hipervnculo"/>
        </w:rPr>
        <w:t>us</w:t>
      </w:r>
      <w:proofErr w:type="spellEnd"/>
      <w:r w:rsidRPr="00726C15">
        <w:rPr>
          <w:rStyle w:val="Hipervnculo"/>
        </w:rPr>
        <w:t>/</w:t>
      </w:r>
      <w:proofErr w:type="spellStart"/>
      <w:r w:rsidRPr="00726C15">
        <w:rPr>
          <w:rStyle w:val="Hipervnculo"/>
        </w:rPr>
        <w:t>who</w:t>
      </w:r>
      <w:proofErr w:type="spellEnd"/>
      <w:r w:rsidRPr="00726C15">
        <w:rPr>
          <w:rStyle w:val="Hipervnculo"/>
        </w:rPr>
        <w:t xml:space="preserve"> </w:t>
      </w:r>
      <w:proofErr w:type="spellStart"/>
      <w:r w:rsidRPr="00726C15">
        <w:rPr>
          <w:rStyle w:val="Hipervnculo"/>
        </w:rPr>
        <w:t>we</w:t>
      </w:r>
      <w:proofErr w:type="spellEnd"/>
      <w:r w:rsidRPr="00726C15">
        <w:rPr>
          <w:rStyle w:val="Hipervnculo"/>
        </w:rPr>
        <w:t xml:space="preserve"> are/office </w:t>
      </w:r>
      <w:proofErr w:type="spellStart"/>
      <w:r w:rsidRPr="00726C15">
        <w:rPr>
          <w:rStyle w:val="Hipervnculo"/>
        </w:rPr>
        <w:t>of</w:t>
      </w:r>
      <w:proofErr w:type="spellEnd"/>
      <w:r w:rsidRPr="00726C15">
        <w:rPr>
          <w:rStyle w:val="Hipervnculo"/>
        </w:rPr>
        <w:t xml:space="preserve"> </w:t>
      </w:r>
      <w:proofErr w:type="spellStart"/>
      <w:r w:rsidRPr="00726C15">
        <w:rPr>
          <w:rStyle w:val="Hipervnculo"/>
        </w:rPr>
        <w:t>the</w:t>
      </w:r>
      <w:proofErr w:type="spellEnd"/>
      <w:r w:rsidRPr="00726C15">
        <w:rPr>
          <w:rStyle w:val="Hipervnculo"/>
        </w:rPr>
        <w:t xml:space="preserve"> </w:t>
      </w:r>
      <w:proofErr w:type="spellStart"/>
      <w:r w:rsidRPr="00726C15">
        <w:rPr>
          <w:rStyle w:val="Hipervnculo"/>
        </w:rPr>
        <w:t>inspectorate.html</w:t>
      </w:r>
      <w:proofErr w:type="spellEnd"/>
      <w:r w:rsidRPr="0051721B">
        <w:t>.</w:t>
      </w:r>
    </w:p>
  </w:endnote>
  <w:endnote w:id="77">
    <w:p w14:paraId="14F26F1A" w14:textId="77777777" w:rsidR="003665BE"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Oranga</w:t>
      </w:r>
      <w:proofErr w:type="spellEnd"/>
      <w:r w:rsidRPr="0051721B">
        <w:t xml:space="preserve"> </w:t>
      </w:r>
      <w:proofErr w:type="spellStart"/>
      <w:r w:rsidRPr="0051721B">
        <w:t>Tamariki</w:t>
      </w:r>
      <w:proofErr w:type="spellEnd"/>
      <w:r w:rsidRPr="0051721B">
        <w:t xml:space="preserve"> (</w:t>
      </w:r>
      <w:proofErr w:type="spellStart"/>
      <w:r w:rsidRPr="0051721B">
        <w:t>National</w:t>
      </w:r>
      <w:proofErr w:type="spellEnd"/>
      <w:r w:rsidRPr="0051721B">
        <w:t xml:space="preserve"> </w:t>
      </w:r>
      <w:proofErr w:type="spellStart"/>
      <w:r w:rsidRPr="0051721B">
        <w:t>Care</w:t>
      </w:r>
      <w:proofErr w:type="spellEnd"/>
      <w:r w:rsidRPr="0051721B">
        <w:t xml:space="preserve"> </w:t>
      </w:r>
      <w:proofErr w:type="spellStart"/>
      <w:r w:rsidRPr="0051721B">
        <w:t>Standards</w:t>
      </w:r>
      <w:proofErr w:type="spellEnd"/>
      <w:r w:rsidRPr="0051721B">
        <w:t xml:space="preserve"> and </w:t>
      </w:r>
      <w:proofErr w:type="spellStart"/>
      <w:r w:rsidRPr="0051721B">
        <w:t>Related</w:t>
      </w:r>
      <w:proofErr w:type="spellEnd"/>
      <w:r w:rsidRPr="0051721B">
        <w:t xml:space="preserve"> </w:t>
      </w:r>
      <w:proofErr w:type="spellStart"/>
      <w:r w:rsidRPr="0051721B">
        <w:t>Matters</w:t>
      </w:r>
      <w:proofErr w:type="spellEnd"/>
      <w:r w:rsidRPr="0051721B">
        <w:t xml:space="preserve">) </w:t>
      </w:r>
      <w:proofErr w:type="spellStart"/>
      <w:r w:rsidRPr="0051721B">
        <w:t>Regulations</w:t>
      </w:r>
      <w:proofErr w:type="spellEnd"/>
      <w:r w:rsidRPr="0051721B">
        <w:t xml:space="preserve"> 2018. </w:t>
      </w:r>
      <w:proofErr w:type="spellStart"/>
      <w:r w:rsidRPr="0051721B">
        <w:t>See</w:t>
      </w:r>
      <w:proofErr w:type="spellEnd"/>
      <w:r w:rsidRPr="0051721B">
        <w:t xml:space="preserve"> </w:t>
      </w:r>
      <w:proofErr w:type="spellStart"/>
      <w:r w:rsidRPr="00726C15">
        <w:rPr>
          <w:rStyle w:val="Hipervnculo"/>
        </w:rPr>
        <w:t>www.legislation.govt.nz</w:t>
      </w:r>
      <w:proofErr w:type="spellEnd"/>
      <w:r w:rsidRPr="00726C15">
        <w:rPr>
          <w:rStyle w:val="Hipervnculo"/>
        </w:rPr>
        <w:t>/</w:t>
      </w:r>
      <w:proofErr w:type="spellStart"/>
      <w:r w:rsidRPr="00726C15">
        <w:rPr>
          <w:rStyle w:val="Hipervnculo"/>
        </w:rPr>
        <w:t>act</w:t>
      </w:r>
      <w:proofErr w:type="spellEnd"/>
      <w:r w:rsidRPr="00726C15">
        <w:rPr>
          <w:rStyle w:val="Hipervnculo"/>
        </w:rPr>
        <w:t>/</w:t>
      </w:r>
      <w:proofErr w:type="spellStart"/>
      <w:r w:rsidRPr="00726C15">
        <w:rPr>
          <w:rStyle w:val="Hipervnculo"/>
        </w:rPr>
        <w:t>public</w:t>
      </w:r>
      <w:proofErr w:type="spellEnd"/>
      <w:r w:rsidRPr="00726C15">
        <w:rPr>
          <w:rStyle w:val="Hipervnculo"/>
        </w:rPr>
        <w:t>/2018/0032/</w:t>
      </w:r>
      <w:proofErr w:type="spellStart"/>
      <w:r w:rsidRPr="00726C15">
        <w:rPr>
          <w:rStyle w:val="Hipervnculo"/>
        </w:rPr>
        <w:t>latest</w:t>
      </w:r>
      <w:proofErr w:type="spellEnd"/>
      <w:r w:rsidRPr="00726C15">
        <w:rPr>
          <w:rStyle w:val="Hipervnculo"/>
        </w:rPr>
        <w:t>/</w:t>
      </w:r>
      <w:proofErr w:type="spellStart"/>
      <w:r w:rsidRPr="00726C15">
        <w:rPr>
          <w:rStyle w:val="Hipervnculo"/>
        </w:rPr>
        <w:t>whole.html</w:t>
      </w:r>
      <w:proofErr w:type="spellEnd"/>
      <w:r w:rsidRPr="0051721B">
        <w:t>.</w:t>
      </w:r>
    </w:p>
  </w:endnote>
  <w:endnote w:id="78">
    <w:p w14:paraId="339CF3B7" w14:textId="77777777" w:rsidR="003665BE" w:rsidRPr="004A0F5D" w:rsidRDefault="003665BE" w:rsidP="00011964">
      <w:pPr>
        <w:pStyle w:val="Textonotaalfinal"/>
      </w:pPr>
      <w:r w:rsidRPr="0051721B">
        <w:tab/>
      </w:r>
      <w:r w:rsidRPr="00154216">
        <w:rPr>
          <w:rStyle w:val="Refdenotaalfinal"/>
        </w:rPr>
        <w:endnoteRef/>
      </w:r>
      <w:r w:rsidRPr="00154216">
        <w:rPr>
          <w:rStyle w:val="Refdenotaalfinal"/>
        </w:rPr>
        <w:tab/>
      </w:r>
      <w:r>
        <w:t>“</w:t>
      </w:r>
      <w:proofErr w:type="spellStart"/>
      <w:r w:rsidRPr="0051721B">
        <w:t>Hapū</w:t>
      </w:r>
      <w:proofErr w:type="spellEnd"/>
      <w:r>
        <w:t>”</w:t>
      </w:r>
      <w:r w:rsidRPr="0051721B">
        <w:t xml:space="preserve"> </w:t>
      </w:r>
      <w:proofErr w:type="spellStart"/>
      <w:r w:rsidRPr="0051721B">
        <w:t>is</w:t>
      </w:r>
      <w:proofErr w:type="spellEnd"/>
      <w:r w:rsidRPr="0051721B">
        <w:t xml:space="preserve"> </w:t>
      </w:r>
      <w:proofErr w:type="spellStart"/>
      <w:r w:rsidRPr="0051721B">
        <w:t>the</w:t>
      </w:r>
      <w:proofErr w:type="spellEnd"/>
      <w:r w:rsidRPr="0051721B">
        <w:t xml:space="preserve"> Te Reo </w:t>
      </w:r>
      <w:proofErr w:type="spellStart"/>
      <w:r w:rsidRPr="0051721B">
        <w:t>word</w:t>
      </w:r>
      <w:proofErr w:type="spellEnd"/>
      <w:r w:rsidRPr="0051721B">
        <w:t xml:space="preserve"> </w:t>
      </w:r>
      <w:proofErr w:type="spellStart"/>
      <w:r w:rsidRPr="0051721B">
        <w:t>meaning</w:t>
      </w:r>
      <w:proofErr w:type="spellEnd"/>
      <w:r w:rsidRPr="0051721B">
        <w:t xml:space="preserve"> </w:t>
      </w:r>
      <w:r>
        <w:t>“</w:t>
      </w:r>
      <w:r w:rsidRPr="0051721B">
        <w:t>(</w:t>
      </w:r>
      <w:proofErr w:type="spellStart"/>
      <w:r w:rsidRPr="0051721B">
        <w:t>noun</w:t>
      </w:r>
      <w:proofErr w:type="spellEnd"/>
      <w:r w:rsidRPr="0051721B">
        <w:t xml:space="preserve">) </w:t>
      </w:r>
      <w:proofErr w:type="spellStart"/>
      <w:r w:rsidRPr="0051721B">
        <w:t>kinship</w:t>
      </w:r>
      <w:proofErr w:type="spellEnd"/>
      <w:r w:rsidRPr="0051721B">
        <w:t xml:space="preserve"> </w:t>
      </w:r>
      <w:proofErr w:type="spellStart"/>
      <w:r w:rsidRPr="0051721B">
        <w:t>group</w:t>
      </w:r>
      <w:proofErr w:type="spellEnd"/>
      <w:r w:rsidRPr="0051721B">
        <w:t xml:space="preserve">, clan, </w:t>
      </w:r>
      <w:proofErr w:type="spellStart"/>
      <w:r w:rsidRPr="0051721B">
        <w:t>tribe</w:t>
      </w:r>
      <w:proofErr w:type="spellEnd"/>
      <w:r w:rsidRPr="0051721B">
        <w:t xml:space="preserve">, </w:t>
      </w:r>
      <w:proofErr w:type="spellStart"/>
      <w:r w:rsidRPr="0051721B">
        <w:t>subtribe</w:t>
      </w:r>
      <w:proofErr w:type="spellEnd"/>
      <w:r w:rsidRPr="0051721B">
        <w:t xml:space="preserve"> – </w:t>
      </w:r>
      <w:proofErr w:type="spellStart"/>
      <w:r w:rsidRPr="0051721B">
        <w:t>section</w:t>
      </w:r>
      <w:proofErr w:type="spellEnd"/>
      <w:r w:rsidRPr="0051721B">
        <w:t xml:space="preserve"> </w:t>
      </w:r>
      <w:proofErr w:type="spellStart"/>
      <w:r w:rsidRPr="0051721B">
        <w:t>of</w:t>
      </w:r>
      <w:proofErr w:type="spellEnd"/>
      <w:r w:rsidRPr="0051721B">
        <w:t xml:space="preserve"> a </w:t>
      </w:r>
      <w:proofErr w:type="spellStart"/>
      <w:r w:rsidRPr="0051721B">
        <w:t>large</w:t>
      </w:r>
      <w:proofErr w:type="spellEnd"/>
      <w:r w:rsidRPr="0051721B">
        <w:t xml:space="preserve"> </w:t>
      </w:r>
      <w:proofErr w:type="spellStart"/>
      <w:r w:rsidRPr="0051721B">
        <w:t>kinship</w:t>
      </w:r>
      <w:proofErr w:type="spellEnd"/>
      <w:r w:rsidRPr="0051721B">
        <w:t xml:space="preserve"> </w:t>
      </w:r>
      <w:proofErr w:type="spellStart"/>
      <w:r w:rsidRPr="0051721B">
        <w:t>group</w:t>
      </w:r>
      <w:proofErr w:type="spellEnd"/>
      <w:r w:rsidRPr="0051721B">
        <w:t xml:space="preserve"> and </w:t>
      </w:r>
      <w:proofErr w:type="spellStart"/>
      <w:r w:rsidRPr="0051721B">
        <w:t>the</w:t>
      </w:r>
      <w:proofErr w:type="spellEnd"/>
      <w:r w:rsidRPr="0051721B">
        <w:t xml:space="preserve"> </w:t>
      </w:r>
      <w:proofErr w:type="spellStart"/>
      <w:r w:rsidRPr="0051721B">
        <w:t>primary</w:t>
      </w:r>
      <w:proofErr w:type="spellEnd"/>
      <w:r w:rsidRPr="0051721B">
        <w:t xml:space="preserve"> </w:t>
      </w:r>
      <w:proofErr w:type="spellStart"/>
      <w:r w:rsidRPr="0051721B">
        <w:t>political</w:t>
      </w:r>
      <w:proofErr w:type="spellEnd"/>
      <w:r w:rsidRPr="0051721B">
        <w:t xml:space="preserve"> </w:t>
      </w:r>
      <w:proofErr w:type="spellStart"/>
      <w:r w:rsidRPr="0051721B">
        <w:t>unit</w:t>
      </w:r>
      <w:proofErr w:type="spellEnd"/>
      <w:r w:rsidRPr="0051721B">
        <w:t xml:space="preserve"> in </w:t>
      </w:r>
      <w:proofErr w:type="spellStart"/>
      <w:r w:rsidRPr="0051721B">
        <w:t>traditional</w:t>
      </w:r>
      <w:proofErr w:type="spellEnd"/>
      <w:r w:rsidRPr="0051721B">
        <w:t xml:space="preserve"> </w:t>
      </w:r>
      <w:proofErr w:type="spellStart"/>
      <w:r w:rsidRPr="0051721B">
        <w:t>Māori</w:t>
      </w:r>
      <w:proofErr w:type="spellEnd"/>
      <w:r w:rsidRPr="0051721B">
        <w:t xml:space="preserve"> </w:t>
      </w:r>
      <w:proofErr w:type="spellStart"/>
      <w:r w:rsidRPr="0051721B">
        <w:t>society</w:t>
      </w:r>
      <w:proofErr w:type="spellEnd"/>
      <w:r w:rsidRPr="0051721B">
        <w:t xml:space="preserve">. </w:t>
      </w:r>
      <w:proofErr w:type="spellStart"/>
      <w:r w:rsidRPr="0051721B">
        <w:t>It</w:t>
      </w:r>
      <w:proofErr w:type="spellEnd"/>
      <w:r w:rsidRPr="0051721B">
        <w:t xml:space="preserve"> </w:t>
      </w:r>
      <w:proofErr w:type="spellStart"/>
      <w:r w:rsidRPr="0051721B">
        <w:t>consisted</w:t>
      </w:r>
      <w:proofErr w:type="spellEnd"/>
      <w:r w:rsidRPr="0051721B">
        <w:t xml:space="preserve"> </w:t>
      </w:r>
      <w:proofErr w:type="spellStart"/>
      <w:r w:rsidRPr="0051721B">
        <w:t>of</w:t>
      </w:r>
      <w:proofErr w:type="spellEnd"/>
      <w:r w:rsidRPr="0051721B">
        <w:t xml:space="preserve"> a </w:t>
      </w:r>
      <w:proofErr w:type="spellStart"/>
      <w:r w:rsidRPr="0051721B">
        <w:t>number</w:t>
      </w:r>
      <w:proofErr w:type="spellEnd"/>
      <w:r w:rsidRPr="0051721B">
        <w:t xml:space="preserve"> </w:t>
      </w:r>
      <w:proofErr w:type="spellStart"/>
      <w:r w:rsidRPr="0051721B">
        <w:t>of</w:t>
      </w:r>
      <w:proofErr w:type="spellEnd"/>
      <w:r w:rsidRPr="0051721B">
        <w:t xml:space="preserve"> </w:t>
      </w:r>
      <w:proofErr w:type="spellStart"/>
      <w:r w:rsidRPr="0051721B">
        <w:t>whānau</w:t>
      </w:r>
      <w:proofErr w:type="spellEnd"/>
      <w:r w:rsidRPr="0051721B">
        <w:t xml:space="preserve"> </w:t>
      </w:r>
      <w:proofErr w:type="spellStart"/>
      <w:r w:rsidRPr="0051721B">
        <w:t>sharing</w:t>
      </w:r>
      <w:proofErr w:type="spellEnd"/>
      <w:r w:rsidRPr="0051721B">
        <w:t xml:space="preserve"> </w:t>
      </w:r>
      <w:proofErr w:type="spellStart"/>
      <w:r w:rsidRPr="0051721B">
        <w:t>descent</w:t>
      </w:r>
      <w:proofErr w:type="spellEnd"/>
      <w:r w:rsidRPr="0051721B">
        <w:t xml:space="preserve"> </w:t>
      </w:r>
      <w:proofErr w:type="spellStart"/>
      <w:r w:rsidRPr="0051721B">
        <w:t>from</w:t>
      </w:r>
      <w:proofErr w:type="spellEnd"/>
      <w:r w:rsidRPr="0051721B">
        <w:t xml:space="preserve"> a </w:t>
      </w:r>
      <w:proofErr w:type="spellStart"/>
      <w:r w:rsidRPr="0051721B">
        <w:t>common</w:t>
      </w:r>
      <w:proofErr w:type="spellEnd"/>
      <w:r w:rsidRPr="0051721B">
        <w:t xml:space="preserve"> </w:t>
      </w:r>
      <w:proofErr w:type="spellStart"/>
      <w:r w:rsidRPr="0051721B">
        <w:t>ancestor</w:t>
      </w:r>
      <w:proofErr w:type="spellEnd"/>
      <w:r w:rsidRPr="0051721B">
        <w:t xml:space="preserve">, </w:t>
      </w:r>
      <w:proofErr w:type="spellStart"/>
      <w:r w:rsidRPr="0051721B">
        <w:t>usually</w:t>
      </w:r>
      <w:proofErr w:type="spellEnd"/>
      <w:r w:rsidRPr="0051721B">
        <w:t xml:space="preserve"> </w:t>
      </w:r>
      <w:proofErr w:type="spellStart"/>
      <w:r w:rsidRPr="0051721B">
        <w:t>being</w:t>
      </w:r>
      <w:proofErr w:type="spellEnd"/>
      <w:r w:rsidRPr="0051721B">
        <w:t xml:space="preserve"> </w:t>
      </w:r>
      <w:proofErr w:type="spellStart"/>
      <w:r w:rsidRPr="0051721B">
        <w:t>named</w:t>
      </w:r>
      <w:proofErr w:type="spellEnd"/>
      <w:r w:rsidRPr="0051721B">
        <w:t xml:space="preserve"> after </w:t>
      </w:r>
      <w:proofErr w:type="spellStart"/>
      <w:r w:rsidRPr="0051721B">
        <w:t>the</w:t>
      </w:r>
      <w:proofErr w:type="spellEnd"/>
      <w:r w:rsidRPr="0051721B">
        <w:t xml:space="preserve"> </w:t>
      </w:r>
      <w:proofErr w:type="spellStart"/>
      <w:r w:rsidRPr="0051721B">
        <w:t>ancestor</w:t>
      </w:r>
      <w:proofErr w:type="spellEnd"/>
      <w:r w:rsidRPr="0051721B">
        <w:t xml:space="preserve">, </w:t>
      </w:r>
      <w:proofErr w:type="spellStart"/>
      <w:r w:rsidRPr="0051721B">
        <w:t>but</w:t>
      </w:r>
      <w:proofErr w:type="spellEnd"/>
      <w:r w:rsidRPr="0051721B">
        <w:t xml:space="preserve"> </w:t>
      </w:r>
      <w:proofErr w:type="spellStart"/>
      <w:r w:rsidRPr="0051721B">
        <w:t>sometimes</w:t>
      </w:r>
      <w:proofErr w:type="spellEnd"/>
      <w:r w:rsidRPr="0051721B">
        <w:t xml:space="preserve"> </w:t>
      </w:r>
      <w:proofErr w:type="spellStart"/>
      <w:r w:rsidRPr="0051721B">
        <w:t>from</w:t>
      </w:r>
      <w:proofErr w:type="spellEnd"/>
      <w:r w:rsidRPr="0051721B">
        <w:t xml:space="preserve"> </w:t>
      </w:r>
      <w:proofErr w:type="spellStart"/>
      <w:r w:rsidRPr="0051721B">
        <w:t>an</w:t>
      </w:r>
      <w:proofErr w:type="spellEnd"/>
      <w:r w:rsidRPr="0051721B">
        <w:t xml:space="preserve"> </w:t>
      </w:r>
      <w:proofErr w:type="spellStart"/>
      <w:r w:rsidRPr="0051721B">
        <w:t>important</w:t>
      </w:r>
      <w:proofErr w:type="spellEnd"/>
      <w:r w:rsidRPr="0051721B">
        <w:t xml:space="preserve"> </w:t>
      </w:r>
      <w:proofErr w:type="spellStart"/>
      <w:r w:rsidRPr="0051721B">
        <w:t>event</w:t>
      </w:r>
      <w:proofErr w:type="spellEnd"/>
      <w:r w:rsidRPr="0051721B">
        <w:t xml:space="preserve"> in </w:t>
      </w:r>
      <w:proofErr w:type="spellStart"/>
      <w:r w:rsidRPr="0051721B">
        <w:t>the</w:t>
      </w:r>
      <w:proofErr w:type="spellEnd"/>
      <w:r w:rsidRPr="0051721B">
        <w:t xml:space="preserve"> </w:t>
      </w:r>
      <w:proofErr w:type="spellStart"/>
      <w:r w:rsidRPr="0051721B">
        <w:t>group’s</w:t>
      </w:r>
      <w:proofErr w:type="spellEnd"/>
      <w:r w:rsidRPr="0051721B">
        <w:t xml:space="preserve"> </w:t>
      </w:r>
      <w:proofErr w:type="spellStart"/>
      <w:r w:rsidRPr="0051721B">
        <w:t>history</w:t>
      </w:r>
      <w:proofErr w:type="spellEnd"/>
      <w:r w:rsidRPr="0051721B">
        <w:t xml:space="preserve">. A </w:t>
      </w:r>
      <w:proofErr w:type="spellStart"/>
      <w:r w:rsidRPr="0051721B">
        <w:t>number</w:t>
      </w:r>
      <w:proofErr w:type="spellEnd"/>
      <w:r w:rsidRPr="0051721B">
        <w:t xml:space="preserve"> </w:t>
      </w:r>
      <w:proofErr w:type="spellStart"/>
      <w:r w:rsidRPr="0051721B">
        <w:t>of</w:t>
      </w:r>
      <w:proofErr w:type="spellEnd"/>
      <w:r w:rsidRPr="0051721B">
        <w:t xml:space="preserve"> </w:t>
      </w:r>
      <w:proofErr w:type="spellStart"/>
      <w:r w:rsidRPr="0051721B">
        <w:t>related</w:t>
      </w:r>
      <w:proofErr w:type="spellEnd"/>
      <w:r w:rsidRPr="0051721B">
        <w:t xml:space="preserve"> </w:t>
      </w:r>
      <w:proofErr w:type="spellStart"/>
      <w:r w:rsidRPr="0051721B">
        <w:t>hapū</w:t>
      </w:r>
      <w:proofErr w:type="spellEnd"/>
      <w:r w:rsidRPr="0051721B">
        <w:t xml:space="preserve"> </w:t>
      </w:r>
      <w:proofErr w:type="spellStart"/>
      <w:r w:rsidRPr="0051721B">
        <w:t>usually</w:t>
      </w:r>
      <w:proofErr w:type="spellEnd"/>
      <w:r w:rsidRPr="0051721B">
        <w:t xml:space="preserve"> </w:t>
      </w:r>
      <w:proofErr w:type="spellStart"/>
      <w:r w:rsidRPr="0051721B">
        <w:t>shared</w:t>
      </w:r>
      <w:proofErr w:type="spellEnd"/>
      <w:r w:rsidRPr="0051721B">
        <w:t xml:space="preserve"> </w:t>
      </w:r>
      <w:proofErr w:type="spellStart"/>
      <w:r w:rsidRPr="0051721B">
        <w:t>adjacent</w:t>
      </w:r>
      <w:proofErr w:type="spellEnd"/>
      <w:r w:rsidRPr="0051721B">
        <w:t xml:space="preserve"> </w:t>
      </w:r>
      <w:proofErr w:type="spellStart"/>
      <w:r w:rsidRPr="0051721B">
        <w:t>territories</w:t>
      </w:r>
      <w:proofErr w:type="spellEnd"/>
      <w:r w:rsidRPr="0051721B">
        <w:t xml:space="preserve"> </w:t>
      </w:r>
      <w:proofErr w:type="spellStart"/>
      <w:r w:rsidRPr="0051721B">
        <w:t>forming</w:t>
      </w:r>
      <w:proofErr w:type="spellEnd"/>
      <w:r w:rsidRPr="0051721B">
        <w:t xml:space="preserve"> a </w:t>
      </w:r>
      <w:proofErr w:type="spellStart"/>
      <w:r w:rsidRPr="0051721B">
        <w:t>looser</w:t>
      </w:r>
      <w:proofErr w:type="spellEnd"/>
      <w:r w:rsidRPr="0051721B">
        <w:t xml:space="preserve"> tribal </w:t>
      </w:r>
      <w:proofErr w:type="spellStart"/>
      <w:r w:rsidRPr="0051721B">
        <w:t>federation</w:t>
      </w:r>
      <w:proofErr w:type="spellEnd"/>
      <w:r w:rsidRPr="0051721B">
        <w:t xml:space="preserve"> (</w:t>
      </w:r>
      <w:proofErr w:type="spellStart"/>
      <w:r w:rsidRPr="0051721B">
        <w:t>iwi</w:t>
      </w:r>
      <w:proofErr w:type="spellEnd"/>
      <w:r w:rsidRPr="0051721B">
        <w:t>).</w:t>
      </w:r>
      <w:r>
        <w:t>”</w:t>
      </w:r>
    </w:p>
  </w:endnote>
  <w:endnote w:id="79">
    <w:p w14:paraId="273E80F5" w14:textId="77777777" w:rsidR="003665BE" w:rsidRPr="004A0F5D" w:rsidRDefault="003665BE" w:rsidP="00011964">
      <w:pPr>
        <w:pStyle w:val="Textonotaalfinal"/>
      </w:pPr>
      <w:r w:rsidRPr="0051721B">
        <w:tab/>
      </w:r>
      <w:r w:rsidRPr="00154216">
        <w:rPr>
          <w:rStyle w:val="Refdenotaalfinal"/>
        </w:rPr>
        <w:endnoteRef/>
      </w:r>
      <w:r w:rsidRPr="00154216">
        <w:rPr>
          <w:rStyle w:val="Refdenotaalfinal"/>
        </w:rPr>
        <w:tab/>
      </w:r>
      <w:r>
        <w:t>“</w:t>
      </w:r>
      <w:proofErr w:type="spellStart"/>
      <w:r w:rsidRPr="0051721B">
        <w:t>Iwi</w:t>
      </w:r>
      <w:proofErr w:type="spellEnd"/>
      <w:r>
        <w:t>”</w:t>
      </w:r>
      <w:r w:rsidRPr="0051721B">
        <w:t xml:space="preserve"> </w:t>
      </w:r>
      <w:proofErr w:type="spellStart"/>
      <w:r w:rsidRPr="0051721B">
        <w:t>is</w:t>
      </w:r>
      <w:proofErr w:type="spellEnd"/>
      <w:r w:rsidRPr="0051721B">
        <w:t xml:space="preserve"> </w:t>
      </w:r>
      <w:proofErr w:type="spellStart"/>
      <w:r w:rsidRPr="0051721B">
        <w:t>the</w:t>
      </w:r>
      <w:proofErr w:type="spellEnd"/>
      <w:r w:rsidRPr="0051721B">
        <w:t xml:space="preserve"> Te reo </w:t>
      </w:r>
      <w:proofErr w:type="spellStart"/>
      <w:r w:rsidRPr="0051721B">
        <w:t>word</w:t>
      </w:r>
      <w:proofErr w:type="spellEnd"/>
      <w:r w:rsidRPr="0051721B">
        <w:t xml:space="preserve"> </w:t>
      </w:r>
      <w:proofErr w:type="spellStart"/>
      <w:r w:rsidRPr="0051721B">
        <w:t>meaning</w:t>
      </w:r>
      <w:proofErr w:type="spellEnd"/>
      <w:r w:rsidRPr="0051721B">
        <w:t xml:space="preserve"> </w:t>
      </w:r>
      <w:r>
        <w:t>“</w:t>
      </w:r>
      <w:r w:rsidRPr="0051721B">
        <w:t>(</w:t>
      </w:r>
      <w:proofErr w:type="spellStart"/>
      <w:r w:rsidRPr="0051721B">
        <w:t>noun</w:t>
      </w:r>
      <w:proofErr w:type="spellEnd"/>
      <w:r w:rsidRPr="0051721B">
        <w:t xml:space="preserve">) extended </w:t>
      </w:r>
      <w:proofErr w:type="spellStart"/>
      <w:r w:rsidRPr="0051721B">
        <w:t>kinship</w:t>
      </w:r>
      <w:proofErr w:type="spellEnd"/>
      <w:r w:rsidRPr="0051721B">
        <w:t xml:space="preserve"> </w:t>
      </w:r>
      <w:proofErr w:type="spellStart"/>
      <w:r w:rsidRPr="0051721B">
        <w:t>group</w:t>
      </w:r>
      <w:proofErr w:type="spellEnd"/>
      <w:r w:rsidRPr="0051721B">
        <w:t xml:space="preserve">, </w:t>
      </w:r>
      <w:proofErr w:type="spellStart"/>
      <w:r w:rsidRPr="0051721B">
        <w:t>tribe</w:t>
      </w:r>
      <w:proofErr w:type="spellEnd"/>
      <w:r w:rsidRPr="0051721B">
        <w:t xml:space="preserve">, </w:t>
      </w:r>
      <w:proofErr w:type="spellStart"/>
      <w:r w:rsidRPr="0051721B">
        <w:t>nation</w:t>
      </w:r>
      <w:proofErr w:type="spellEnd"/>
      <w:r w:rsidRPr="0051721B">
        <w:t xml:space="preserve">, </w:t>
      </w:r>
      <w:proofErr w:type="spellStart"/>
      <w:r w:rsidRPr="0051721B">
        <w:t>people</w:t>
      </w:r>
      <w:proofErr w:type="spellEnd"/>
      <w:r w:rsidRPr="0051721B">
        <w:t xml:space="preserve">, </w:t>
      </w:r>
      <w:proofErr w:type="spellStart"/>
      <w:r w:rsidRPr="0051721B">
        <w:t>nationality</w:t>
      </w:r>
      <w:proofErr w:type="spellEnd"/>
      <w:r w:rsidRPr="0051721B">
        <w:t xml:space="preserve">, </w:t>
      </w:r>
      <w:proofErr w:type="spellStart"/>
      <w:r w:rsidRPr="0051721B">
        <w:t>race</w:t>
      </w:r>
      <w:proofErr w:type="spellEnd"/>
      <w:r w:rsidRPr="0051721B">
        <w:t xml:space="preserve"> – </w:t>
      </w:r>
      <w:proofErr w:type="spellStart"/>
      <w:r w:rsidRPr="0051721B">
        <w:t>often</w:t>
      </w:r>
      <w:proofErr w:type="spellEnd"/>
      <w:r w:rsidRPr="0051721B">
        <w:t xml:space="preserve"> </w:t>
      </w:r>
      <w:proofErr w:type="spellStart"/>
      <w:r w:rsidRPr="0051721B">
        <w:t>refers</w:t>
      </w:r>
      <w:proofErr w:type="spellEnd"/>
      <w:r w:rsidRPr="0051721B">
        <w:t xml:space="preserve"> </w:t>
      </w:r>
      <w:proofErr w:type="spellStart"/>
      <w:r w:rsidRPr="0051721B">
        <w:t>to</w:t>
      </w:r>
      <w:proofErr w:type="spellEnd"/>
      <w:r w:rsidRPr="0051721B">
        <w:t xml:space="preserve"> a </w:t>
      </w:r>
      <w:proofErr w:type="spellStart"/>
      <w:r w:rsidRPr="0051721B">
        <w:t>large</w:t>
      </w:r>
      <w:proofErr w:type="spellEnd"/>
      <w:r w:rsidRPr="0051721B">
        <w:t xml:space="preserve"> </w:t>
      </w:r>
      <w:proofErr w:type="spellStart"/>
      <w:r w:rsidRPr="0051721B">
        <w:t>group</w:t>
      </w:r>
      <w:proofErr w:type="spellEnd"/>
      <w:r w:rsidRPr="0051721B">
        <w:t xml:space="preserve"> </w:t>
      </w:r>
      <w:proofErr w:type="spellStart"/>
      <w:r w:rsidRPr="0051721B">
        <w:t>of</w:t>
      </w:r>
      <w:proofErr w:type="spellEnd"/>
      <w:r w:rsidRPr="0051721B">
        <w:t xml:space="preserve"> </w:t>
      </w:r>
      <w:proofErr w:type="spellStart"/>
      <w:r w:rsidRPr="0051721B">
        <w:t>people</w:t>
      </w:r>
      <w:proofErr w:type="spellEnd"/>
      <w:r w:rsidRPr="0051721B">
        <w:t xml:space="preserve"> descended </w:t>
      </w:r>
      <w:proofErr w:type="spellStart"/>
      <w:r w:rsidRPr="0051721B">
        <w:t>from</w:t>
      </w:r>
      <w:proofErr w:type="spellEnd"/>
      <w:r w:rsidRPr="0051721B">
        <w:t xml:space="preserve"> a </w:t>
      </w:r>
      <w:proofErr w:type="spellStart"/>
      <w:r w:rsidRPr="0051721B">
        <w:t>common</w:t>
      </w:r>
      <w:proofErr w:type="spellEnd"/>
      <w:r w:rsidRPr="0051721B">
        <w:t xml:space="preserve"> </w:t>
      </w:r>
      <w:proofErr w:type="spellStart"/>
      <w:r w:rsidRPr="0051721B">
        <w:t>ancestor</w:t>
      </w:r>
      <w:proofErr w:type="spellEnd"/>
      <w:r w:rsidRPr="0051721B">
        <w:t xml:space="preserve"> and </w:t>
      </w:r>
      <w:proofErr w:type="spellStart"/>
      <w:r w:rsidRPr="0051721B">
        <w:t>associated</w:t>
      </w:r>
      <w:proofErr w:type="spellEnd"/>
      <w:r w:rsidRPr="0051721B">
        <w:t xml:space="preserve"> </w:t>
      </w:r>
      <w:proofErr w:type="spellStart"/>
      <w:r w:rsidRPr="0051721B">
        <w:t>with</w:t>
      </w:r>
      <w:proofErr w:type="spellEnd"/>
      <w:r w:rsidRPr="0051721B">
        <w:t xml:space="preserve"> a </w:t>
      </w:r>
      <w:proofErr w:type="spellStart"/>
      <w:r w:rsidRPr="0051721B">
        <w:t>distinct</w:t>
      </w:r>
      <w:proofErr w:type="spellEnd"/>
      <w:r w:rsidRPr="0051721B">
        <w:t xml:space="preserve"> </w:t>
      </w:r>
      <w:proofErr w:type="spellStart"/>
      <w:r w:rsidRPr="0051721B">
        <w:t>territory</w:t>
      </w:r>
      <w:proofErr w:type="spellEnd"/>
      <w:r w:rsidRPr="0051721B">
        <w:t>.</w:t>
      </w:r>
      <w:r>
        <w:t>”</w:t>
      </w:r>
    </w:p>
  </w:endnote>
  <w:endnote w:id="80">
    <w:p w14:paraId="23E609CD" w14:textId="77777777" w:rsidR="003665BE" w:rsidRPr="00803D65"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See</w:t>
      </w:r>
      <w:proofErr w:type="spellEnd"/>
      <w:r w:rsidRPr="0051721B">
        <w:t xml:space="preserve"> </w:t>
      </w:r>
      <w:r w:rsidRPr="00726C15">
        <w:rPr>
          <w:rStyle w:val="Hipervnculo"/>
        </w:rPr>
        <w:t>https://</w:t>
      </w:r>
      <w:proofErr w:type="spellStart"/>
      <w:r w:rsidRPr="00726C15">
        <w:rPr>
          <w:rStyle w:val="Hipervnculo"/>
        </w:rPr>
        <w:t>www.likeminds.org.nz</w:t>
      </w:r>
      <w:proofErr w:type="spellEnd"/>
      <w:r w:rsidRPr="00726C15">
        <w:rPr>
          <w:rStyle w:val="Hipervnculo"/>
        </w:rPr>
        <w:t>/</w:t>
      </w:r>
      <w:r w:rsidRPr="0051721B">
        <w:t>.</w:t>
      </w:r>
    </w:p>
  </w:endnote>
  <w:endnote w:id="81">
    <w:p w14:paraId="4B12CC4C" w14:textId="77777777" w:rsidR="003665BE" w:rsidRPr="00714AEB"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The</w:t>
      </w:r>
      <w:proofErr w:type="spellEnd"/>
      <w:r w:rsidRPr="0051721B">
        <w:t xml:space="preserve"> </w:t>
      </w:r>
      <w:proofErr w:type="spellStart"/>
      <w:r w:rsidRPr="0051721B">
        <w:t>programme</w:t>
      </w:r>
      <w:proofErr w:type="spellEnd"/>
      <w:r w:rsidRPr="0051721B">
        <w:t xml:space="preserve"> </w:t>
      </w:r>
      <w:proofErr w:type="spellStart"/>
      <w:r w:rsidRPr="0051721B">
        <w:t>is</w:t>
      </w:r>
      <w:proofErr w:type="spellEnd"/>
      <w:r w:rsidRPr="0051721B">
        <w:t xml:space="preserve"> </w:t>
      </w:r>
      <w:proofErr w:type="spellStart"/>
      <w:r w:rsidRPr="0051721B">
        <w:t>currently</w:t>
      </w:r>
      <w:proofErr w:type="spellEnd"/>
      <w:r w:rsidRPr="0051721B">
        <w:t xml:space="preserve"> </w:t>
      </w:r>
      <w:proofErr w:type="spellStart"/>
      <w:r w:rsidRPr="0051721B">
        <w:t>focusing</w:t>
      </w:r>
      <w:proofErr w:type="spellEnd"/>
      <w:r w:rsidRPr="0051721B">
        <w:t xml:space="preserve"> </w:t>
      </w:r>
      <w:proofErr w:type="spellStart"/>
      <w:r w:rsidRPr="0051721B">
        <w:t>its</w:t>
      </w:r>
      <w:proofErr w:type="spellEnd"/>
      <w:r w:rsidRPr="0051721B">
        <w:t xml:space="preserve"> </w:t>
      </w:r>
      <w:proofErr w:type="spellStart"/>
      <w:r w:rsidRPr="0051721B">
        <w:t>efforts</w:t>
      </w:r>
      <w:proofErr w:type="spellEnd"/>
      <w:r w:rsidRPr="0051721B">
        <w:t xml:space="preserve"> </w:t>
      </w:r>
      <w:proofErr w:type="spellStart"/>
      <w:r w:rsidRPr="0051721B">
        <w:t>particularly</w:t>
      </w:r>
      <w:proofErr w:type="spellEnd"/>
      <w:r w:rsidRPr="0051721B">
        <w:t xml:space="preserve"> </w:t>
      </w:r>
      <w:proofErr w:type="spellStart"/>
      <w:r w:rsidRPr="0051721B">
        <w:t>on</w:t>
      </w:r>
      <w:proofErr w:type="spellEnd"/>
      <w:r w:rsidRPr="0051721B">
        <w:t xml:space="preserve"> </w:t>
      </w:r>
      <w:proofErr w:type="spellStart"/>
      <w:r w:rsidRPr="0051721B">
        <w:t>workplaces</w:t>
      </w:r>
      <w:proofErr w:type="spellEnd"/>
      <w:r w:rsidRPr="0051721B">
        <w:t xml:space="preserve">, media, and </w:t>
      </w:r>
      <w:proofErr w:type="spellStart"/>
      <w:r w:rsidRPr="0051721B">
        <w:t>champions</w:t>
      </w:r>
      <w:proofErr w:type="spellEnd"/>
      <w:r w:rsidRPr="0051721B">
        <w:t xml:space="preserve"> </w:t>
      </w:r>
      <w:proofErr w:type="spellStart"/>
      <w:r w:rsidRPr="0051721B">
        <w:t>or</w:t>
      </w:r>
      <w:proofErr w:type="spellEnd"/>
      <w:r w:rsidRPr="0051721B">
        <w:t xml:space="preserve"> leads in </w:t>
      </w:r>
      <w:proofErr w:type="spellStart"/>
      <w:r w:rsidRPr="0051721B">
        <w:t>community</w:t>
      </w:r>
      <w:proofErr w:type="spellEnd"/>
      <w:r w:rsidRPr="0051721B">
        <w:t xml:space="preserve"> </w:t>
      </w:r>
      <w:proofErr w:type="spellStart"/>
      <w:r w:rsidRPr="0051721B">
        <w:t>activities</w:t>
      </w:r>
      <w:proofErr w:type="spellEnd"/>
      <w:r w:rsidRPr="0051721B">
        <w:t xml:space="preserve">, and </w:t>
      </w:r>
      <w:proofErr w:type="spellStart"/>
      <w:r w:rsidRPr="0051721B">
        <w:t>family</w:t>
      </w:r>
      <w:proofErr w:type="spellEnd"/>
      <w:r w:rsidRPr="0051721B">
        <w:t xml:space="preserve">, </w:t>
      </w:r>
      <w:proofErr w:type="spellStart"/>
      <w:r w:rsidRPr="0051721B">
        <w:t>whānau</w:t>
      </w:r>
      <w:proofErr w:type="spellEnd"/>
      <w:r w:rsidRPr="0051721B">
        <w:t xml:space="preserve"> and </w:t>
      </w:r>
      <w:proofErr w:type="spellStart"/>
      <w:r w:rsidRPr="0051721B">
        <w:t>friends</w:t>
      </w:r>
      <w:proofErr w:type="spellEnd"/>
      <w:r w:rsidRPr="0051721B">
        <w:t xml:space="preserve"> </w:t>
      </w:r>
      <w:proofErr w:type="spellStart"/>
      <w:r w:rsidRPr="0051721B">
        <w:t>of</w:t>
      </w:r>
      <w:proofErr w:type="spellEnd"/>
      <w:r w:rsidRPr="0051721B">
        <w:t xml:space="preserve"> </w:t>
      </w:r>
      <w:proofErr w:type="spellStart"/>
      <w:r w:rsidRPr="0051721B">
        <w:t>people</w:t>
      </w:r>
      <w:proofErr w:type="spellEnd"/>
      <w:r w:rsidRPr="0051721B">
        <w:t xml:space="preserve"> </w:t>
      </w:r>
      <w:proofErr w:type="spellStart"/>
      <w:r w:rsidRPr="0051721B">
        <w:t>experiencing</w:t>
      </w:r>
      <w:proofErr w:type="spellEnd"/>
      <w:r w:rsidRPr="0051721B">
        <w:t xml:space="preserve"> mental </w:t>
      </w:r>
      <w:proofErr w:type="spellStart"/>
      <w:r w:rsidRPr="0051721B">
        <w:t>distress</w:t>
      </w:r>
      <w:proofErr w:type="spellEnd"/>
      <w:r w:rsidRPr="0051721B">
        <w:t xml:space="preserve">. </w:t>
      </w:r>
      <w:proofErr w:type="spellStart"/>
      <w:r w:rsidRPr="0051721B">
        <w:t>Further</w:t>
      </w:r>
      <w:proofErr w:type="spellEnd"/>
      <w:r w:rsidRPr="0051721B">
        <w:t xml:space="preserve"> </w:t>
      </w:r>
      <w:proofErr w:type="spellStart"/>
      <w:r w:rsidRPr="0051721B">
        <w:t>information</w:t>
      </w:r>
      <w:proofErr w:type="spellEnd"/>
      <w:r w:rsidRPr="0051721B">
        <w:t xml:space="preserve"> </w:t>
      </w:r>
      <w:proofErr w:type="spellStart"/>
      <w:r w:rsidRPr="0051721B">
        <w:t>about</w:t>
      </w:r>
      <w:proofErr w:type="spellEnd"/>
      <w:r w:rsidRPr="0051721B">
        <w:t xml:space="preserve"> </w:t>
      </w:r>
      <w:proofErr w:type="spellStart"/>
      <w:r w:rsidRPr="0051721B">
        <w:t>the</w:t>
      </w:r>
      <w:proofErr w:type="spellEnd"/>
      <w:r w:rsidRPr="0051721B">
        <w:t xml:space="preserve"> </w:t>
      </w:r>
      <w:proofErr w:type="spellStart"/>
      <w:r w:rsidRPr="0051721B">
        <w:t>programme</w:t>
      </w:r>
      <w:proofErr w:type="spellEnd"/>
      <w:r w:rsidRPr="0051721B">
        <w:t xml:space="preserve"> </w:t>
      </w:r>
      <w:proofErr w:type="spellStart"/>
      <w:r w:rsidRPr="0051721B">
        <w:t>is</w:t>
      </w:r>
      <w:proofErr w:type="spellEnd"/>
      <w:r w:rsidRPr="0051721B">
        <w:t xml:space="preserve"> </w:t>
      </w:r>
      <w:proofErr w:type="spellStart"/>
      <w:r w:rsidRPr="0051721B">
        <w:t>available</w:t>
      </w:r>
      <w:proofErr w:type="spellEnd"/>
      <w:r w:rsidRPr="0051721B">
        <w:t xml:space="preserve"> in </w:t>
      </w:r>
      <w:proofErr w:type="spellStart"/>
      <w:r w:rsidRPr="0051721B">
        <w:t>the</w:t>
      </w:r>
      <w:proofErr w:type="spellEnd"/>
      <w:r w:rsidRPr="0051721B">
        <w:t xml:space="preserve"> </w:t>
      </w:r>
      <w:proofErr w:type="spellStart"/>
      <w:r w:rsidRPr="0051721B">
        <w:t>Like</w:t>
      </w:r>
      <w:proofErr w:type="spellEnd"/>
      <w:r w:rsidRPr="0051721B">
        <w:t xml:space="preserve"> </w:t>
      </w:r>
      <w:proofErr w:type="spellStart"/>
      <w:r w:rsidRPr="0051721B">
        <w:t>Minds</w:t>
      </w:r>
      <w:proofErr w:type="spellEnd"/>
      <w:r w:rsidRPr="0051721B">
        <w:t xml:space="preserve">, </w:t>
      </w:r>
      <w:proofErr w:type="spellStart"/>
      <w:r w:rsidRPr="0051721B">
        <w:t>Like</w:t>
      </w:r>
      <w:proofErr w:type="spellEnd"/>
      <w:r w:rsidRPr="0051721B">
        <w:t xml:space="preserve"> Mine </w:t>
      </w:r>
      <w:proofErr w:type="spellStart"/>
      <w:r w:rsidRPr="0051721B">
        <w:t>National</w:t>
      </w:r>
      <w:proofErr w:type="spellEnd"/>
      <w:r w:rsidRPr="0051721B">
        <w:t xml:space="preserve"> Plan 2014–2019: </w:t>
      </w:r>
      <w:proofErr w:type="spellStart"/>
      <w:r w:rsidRPr="0051721B">
        <w:t>Programme</w:t>
      </w:r>
      <w:proofErr w:type="spellEnd"/>
      <w:r w:rsidRPr="0051721B">
        <w:t xml:space="preserve"> </w:t>
      </w:r>
      <w:proofErr w:type="spellStart"/>
      <w:r w:rsidRPr="0051721B">
        <w:t>to</w:t>
      </w:r>
      <w:proofErr w:type="spellEnd"/>
      <w:r w:rsidRPr="0051721B">
        <w:t xml:space="preserve"> </w:t>
      </w:r>
      <w:proofErr w:type="spellStart"/>
      <w:r w:rsidRPr="0051721B">
        <w:t>Increase</w:t>
      </w:r>
      <w:proofErr w:type="spellEnd"/>
      <w:r w:rsidRPr="0051721B">
        <w:t xml:space="preserve"> Social </w:t>
      </w:r>
      <w:proofErr w:type="spellStart"/>
      <w:r w:rsidRPr="0051721B">
        <w:t>Inclusion</w:t>
      </w:r>
      <w:proofErr w:type="spellEnd"/>
      <w:r w:rsidRPr="0051721B">
        <w:t xml:space="preserve"> and Reduce </w:t>
      </w:r>
      <w:proofErr w:type="spellStart"/>
      <w:r w:rsidRPr="0051721B">
        <w:t>Stigma</w:t>
      </w:r>
      <w:proofErr w:type="spellEnd"/>
      <w:r w:rsidRPr="0051721B">
        <w:t xml:space="preserve"> and </w:t>
      </w:r>
      <w:proofErr w:type="spellStart"/>
      <w:r w:rsidRPr="0051721B">
        <w:t>Discrimination</w:t>
      </w:r>
      <w:proofErr w:type="spellEnd"/>
      <w:r w:rsidRPr="0051721B">
        <w:t xml:space="preserve"> </w:t>
      </w:r>
      <w:proofErr w:type="spellStart"/>
      <w:r w:rsidRPr="0051721B">
        <w:t>for</w:t>
      </w:r>
      <w:proofErr w:type="spellEnd"/>
      <w:r w:rsidRPr="0051721B">
        <w:t xml:space="preserve"> People </w:t>
      </w:r>
      <w:proofErr w:type="spellStart"/>
      <w:r w:rsidRPr="0051721B">
        <w:t>with</w:t>
      </w:r>
      <w:proofErr w:type="spellEnd"/>
      <w:r w:rsidRPr="0051721B">
        <w:t xml:space="preserve"> </w:t>
      </w:r>
      <w:proofErr w:type="spellStart"/>
      <w:r w:rsidRPr="0051721B">
        <w:t>Experience</w:t>
      </w:r>
      <w:proofErr w:type="spellEnd"/>
      <w:r w:rsidRPr="0051721B">
        <w:t xml:space="preserve"> </w:t>
      </w:r>
      <w:proofErr w:type="spellStart"/>
      <w:r w:rsidRPr="0051721B">
        <w:t>of</w:t>
      </w:r>
      <w:proofErr w:type="spellEnd"/>
      <w:r w:rsidRPr="0051721B">
        <w:t xml:space="preserve"> Mental </w:t>
      </w:r>
      <w:proofErr w:type="spellStart"/>
      <w:r w:rsidRPr="0051721B">
        <w:t>Illness</w:t>
      </w:r>
      <w:proofErr w:type="spellEnd"/>
      <w:r w:rsidRPr="0051721B">
        <w:t xml:space="preserve">, at </w:t>
      </w:r>
      <w:r w:rsidRPr="00726C15">
        <w:rPr>
          <w:rStyle w:val="Hipervnculo"/>
        </w:rPr>
        <w:t>https://www.health.govt.nz/publication/minds-mine-national-plan-2014-2019</w:t>
      </w:r>
      <w:r w:rsidRPr="0051721B">
        <w:t>.</w:t>
      </w:r>
    </w:p>
  </w:endnote>
  <w:endnote w:id="82">
    <w:p w14:paraId="2B345CBF" w14:textId="77777777" w:rsidR="003665BE" w:rsidRPr="00803D65" w:rsidRDefault="003665BE" w:rsidP="00011964">
      <w:pPr>
        <w:pStyle w:val="Textonotaalfinal"/>
      </w:pPr>
      <w:r w:rsidRPr="0051721B">
        <w:tab/>
      </w:r>
      <w:r w:rsidRPr="00154216">
        <w:rPr>
          <w:rStyle w:val="Refdenotaalfinal"/>
        </w:rPr>
        <w:endnoteRef/>
      </w:r>
      <w:r w:rsidRPr="00154216">
        <w:rPr>
          <w:rStyle w:val="Refdenotaalfinal"/>
        </w:rPr>
        <w:tab/>
      </w:r>
      <w:proofErr w:type="spellStart"/>
      <w:r w:rsidRPr="0051721B">
        <w:t>See</w:t>
      </w:r>
      <w:proofErr w:type="spellEnd"/>
      <w:r w:rsidRPr="0051721B">
        <w:t xml:space="preserve"> </w:t>
      </w:r>
      <w:r w:rsidRPr="00726C15">
        <w:rPr>
          <w:rStyle w:val="Hipervnculo"/>
        </w:rPr>
        <w:t>http://msd.govt.nz/about-msd-and-our-work/work-programmes/initiatives/disabilityconfidentnz/</w:t>
      </w:r>
      <w:r>
        <w:rPr>
          <w:rStyle w:val="Hipervnculo"/>
        </w:rPr>
        <w:br/>
      </w:r>
      <w:proofErr w:type="spellStart"/>
      <w:r w:rsidRPr="00726C15">
        <w:rPr>
          <w:rStyle w:val="Hipervnculo"/>
        </w:rPr>
        <w:t>index.html</w:t>
      </w:r>
      <w:proofErr w:type="spellEnd"/>
      <w:r w:rsidRPr="0051721B">
        <w:t>.</w:t>
      </w:r>
    </w:p>
  </w:endnote>
  <w:endnote w:id="83">
    <w:p w14:paraId="12D6DCC3" w14:textId="77777777" w:rsidR="003665BE" w:rsidRPr="00803D65" w:rsidRDefault="003665BE" w:rsidP="003742F5">
      <w:pPr>
        <w:pStyle w:val="Textonotaalfinal"/>
      </w:pPr>
      <w:r w:rsidRPr="0051721B">
        <w:tab/>
      </w:r>
      <w:r w:rsidRPr="00154216">
        <w:rPr>
          <w:rStyle w:val="Refdenotaalfinal"/>
        </w:rPr>
        <w:endnoteRef/>
      </w:r>
      <w:r w:rsidRPr="00154216">
        <w:rPr>
          <w:rStyle w:val="Refdenotaalfinal"/>
        </w:rPr>
        <w:tab/>
      </w:r>
      <w:proofErr w:type="spellStart"/>
      <w:r w:rsidRPr="0051721B">
        <w:t>See</w:t>
      </w:r>
      <w:proofErr w:type="spellEnd"/>
      <w:r w:rsidRPr="0051721B">
        <w:t xml:space="preserve"> </w:t>
      </w:r>
      <w:r w:rsidRPr="00726C15">
        <w:rPr>
          <w:rStyle w:val="Hipervnculo"/>
        </w:rPr>
        <w:t>https://www.health.govt.nz/our-work/mental-health-and-addictions/national-depression-initiative</w:t>
      </w:r>
      <w:r w:rsidRPr="0051721B">
        <w:t>.</w:t>
      </w:r>
    </w:p>
  </w:endnote>
  <w:endnote w:id="84">
    <w:p w14:paraId="57DFE25B"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Action</w:t>
      </w:r>
      <w:proofErr w:type="spellEnd"/>
      <w:r w:rsidRPr="00103FBA">
        <w:t xml:space="preserve"> 10(b) </w:t>
      </w:r>
      <w:proofErr w:type="spellStart"/>
      <w:r w:rsidRPr="00103FBA">
        <w:t>refers</w:t>
      </w:r>
      <w:proofErr w:type="spellEnd"/>
      <w:r w:rsidRPr="00103FBA">
        <w:t xml:space="preserve">, </w:t>
      </w:r>
      <w:proofErr w:type="spellStart"/>
      <w:r w:rsidRPr="00103FBA">
        <w:t>Disability</w:t>
      </w:r>
      <w:proofErr w:type="spellEnd"/>
      <w:r w:rsidRPr="00103FBA">
        <w:t xml:space="preserve"> </w:t>
      </w:r>
      <w:proofErr w:type="spellStart"/>
      <w:r w:rsidRPr="00103FBA">
        <w:t>Action</w:t>
      </w:r>
      <w:proofErr w:type="spellEnd"/>
      <w:r w:rsidRPr="00103FBA">
        <w:t xml:space="preserve"> Plan 2014–2018, </w:t>
      </w:r>
      <w:proofErr w:type="spellStart"/>
      <w:r w:rsidRPr="00726C15">
        <w:rPr>
          <w:rStyle w:val="Hipervnculo"/>
        </w:rPr>
        <w:t>www.odi.govt.nz</w:t>
      </w:r>
      <w:proofErr w:type="spellEnd"/>
      <w:r w:rsidRPr="00726C15">
        <w:rPr>
          <w:rStyle w:val="Hipervnculo"/>
        </w:rPr>
        <w:t>/</w:t>
      </w:r>
      <w:proofErr w:type="spellStart"/>
      <w:r w:rsidRPr="00726C15">
        <w:rPr>
          <w:rStyle w:val="Hipervnculo"/>
        </w:rPr>
        <w:t>nz-disability-strategy</w:t>
      </w:r>
      <w:proofErr w:type="spellEnd"/>
      <w:r w:rsidRPr="00726C15">
        <w:rPr>
          <w:rStyle w:val="Hipervnculo"/>
        </w:rPr>
        <w:t>/</w:t>
      </w:r>
      <w:proofErr w:type="spellStart"/>
      <w:r w:rsidRPr="00726C15">
        <w:rPr>
          <w:rStyle w:val="Hipervnculo"/>
        </w:rPr>
        <w:t>outcome</w:t>
      </w:r>
      <w:proofErr w:type="spellEnd"/>
      <w:r w:rsidRPr="00726C15">
        <w:rPr>
          <w:rStyle w:val="Hipervnculo"/>
        </w:rPr>
        <w:t>-5-</w:t>
      </w:r>
      <w:proofErr w:type="spellStart"/>
      <w:r w:rsidRPr="00726C15">
        <w:rPr>
          <w:rStyle w:val="Hipervnculo"/>
        </w:rPr>
        <w:t>accessibility</w:t>
      </w:r>
      <w:proofErr w:type="spellEnd"/>
      <w:r w:rsidRPr="00726C15">
        <w:rPr>
          <w:rStyle w:val="Hipervnculo"/>
        </w:rPr>
        <w:t>/</w:t>
      </w:r>
      <w:r w:rsidRPr="00103FBA">
        <w:t>.</w:t>
      </w:r>
    </w:p>
  </w:endnote>
  <w:endnote w:id="85">
    <w:p w14:paraId="42FB9BC5"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r w:rsidRPr="00103FBA">
        <w:t xml:space="preserve">March 2005. </w:t>
      </w:r>
      <w:proofErr w:type="spellStart"/>
      <w:r w:rsidRPr="00103FBA">
        <w:t>See</w:t>
      </w:r>
      <w:proofErr w:type="spellEnd"/>
      <w:r w:rsidRPr="00103FBA">
        <w:t xml:space="preserve"> </w:t>
      </w:r>
      <w:r w:rsidRPr="00193DD1">
        <w:rPr>
          <w:rStyle w:val="Hipervnculo"/>
        </w:rPr>
        <w:t>www.mfe.govt.nz/sites/default/files/urban-design-protocol-colour.pdf</w:t>
      </w:r>
      <w:r w:rsidRPr="00103FBA">
        <w:t xml:space="preserve">. </w:t>
      </w:r>
    </w:p>
  </w:endnote>
  <w:endnote w:id="86">
    <w:p w14:paraId="49939ED2"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The</w:t>
      </w:r>
      <w:proofErr w:type="spellEnd"/>
      <w:r w:rsidRPr="00103FBA">
        <w:t xml:space="preserve"> </w:t>
      </w:r>
      <w:proofErr w:type="spellStart"/>
      <w:r w:rsidRPr="00103FBA">
        <w:t>guidelines</w:t>
      </w:r>
      <w:proofErr w:type="spellEnd"/>
      <w:r w:rsidRPr="00103FBA">
        <w:t xml:space="preserve"> </w:t>
      </w:r>
      <w:proofErr w:type="spellStart"/>
      <w:r w:rsidRPr="00103FBA">
        <w:t>cover</w:t>
      </w:r>
      <w:proofErr w:type="spellEnd"/>
      <w:r w:rsidRPr="00103FBA">
        <w:t xml:space="preserve"> a </w:t>
      </w:r>
      <w:proofErr w:type="spellStart"/>
      <w:r w:rsidRPr="00103FBA">
        <w:t>wide</w:t>
      </w:r>
      <w:proofErr w:type="spellEnd"/>
      <w:r w:rsidRPr="00103FBA">
        <w:t xml:space="preserve"> </w:t>
      </w:r>
      <w:proofErr w:type="spellStart"/>
      <w:r w:rsidRPr="00103FBA">
        <w:t>range</w:t>
      </w:r>
      <w:proofErr w:type="spellEnd"/>
      <w:r w:rsidRPr="00103FBA">
        <w:t xml:space="preserve"> </w:t>
      </w:r>
      <w:proofErr w:type="spellStart"/>
      <w:r w:rsidRPr="00103FBA">
        <w:t>of</w:t>
      </w:r>
      <w:proofErr w:type="spellEnd"/>
      <w:r w:rsidRPr="00103FBA">
        <w:t xml:space="preserve"> </w:t>
      </w:r>
      <w:proofErr w:type="spellStart"/>
      <w:r w:rsidRPr="00103FBA">
        <w:t>design</w:t>
      </w:r>
      <w:proofErr w:type="spellEnd"/>
      <w:r w:rsidRPr="00103FBA">
        <w:t xml:space="preserve"> </w:t>
      </w:r>
      <w:proofErr w:type="spellStart"/>
      <w:r w:rsidRPr="00103FBA">
        <w:t>features</w:t>
      </w:r>
      <w:proofErr w:type="spellEnd"/>
      <w:r w:rsidRPr="00103FBA">
        <w:t xml:space="preserve"> </w:t>
      </w:r>
      <w:proofErr w:type="spellStart"/>
      <w:r w:rsidRPr="00103FBA">
        <w:t>including</w:t>
      </w:r>
      <w:proofErr w:type="spellEnd"/>
      <w:r w:rsidRPr="00103FBA">
        <w:t xml:space="preserve"> </w:t>
      </w:r>
      <w:proofErr w:type="spellStart"/>
      <w:r w:rsidRPr="00103FBA">
        <w:t>pedestrian</w:t>
      </w:r>
      <w:proofErr w:type="spellEnd"/>
      <w:r w:rsidRPr="00103FBA">
        <w:t xml:space="preserve"> </w:t>
      </w:r>
      <w:proofErr w:type="spellStart"/>
      <w:r w:rsidRPr="00103FBA">
        <w:t>facility</w:t>
      </w:r>
      <w:proofErr w:type="spellEnd"/>
      <w:r w:rsidRPr="00103FBA">
        <w:t xml:space="preserve"> </w:t>
      </w:r>
      <w:proofErr w:type="spellStart"/>
      <w:r w:rsidRPr="00103FBA">
        <w:t>design</w:t>
      </w:r>
      <w:proofErr w:type="spellEnd"/>
      <w:r w:rsidRPr="00103FBA">
        <w:t xml:space="preserve">, </w:t>
      </w:r>
      <w:proofErr w:type="spellStart"/>
      <w:r w:rsidRPr="00103FBA">
        <w:t>tactile</w:t>
      </w:r>
      <w:proofErr w:type="spellEnd"/>
      <w:r w:rsidRPr="00103FBA">
        <w:t xml:space="preserve"> </w:t>
      </w:r>
      <w:proofErr w:type="spellStart"/>
      <w:r w:rsidRPr="00103FBA">
        <w:t>ground</w:t>
      </w:r>
      <w:proofErr w:type="spellEnd"/>
      <w:r w:rsidRPr="00103FBA">
        <w:t xml:space="preserve"> </w:t>
      </w:r>
      <w:proofErr w:type="spellStart"/>
      <w:r w:rsidRPr="00103FBA">
        <w:t>surface</w:t>
      </w:r>
      <w:proofErr w:type="spellEnd"/>
      <w:r w:rsidRPr="00103FBA">
        <w:t xml:space="preserve"> </w:t>
      </w:r>
      <w:proofErr w:type="spellStart"/>
      <w:r w:rsidRPr="00103FBA">
        <w:t>indicators</w:t>
      </w:r>
      <w:proofErr w:type="spellEnd"/>
      <w:r w:rsidRPr="00103FBA">
        <w:t xml:space="preserve">, audible </w:t>
      </w:r>
      <w:proofErr w:type="spellStart"/>
      <w:r w:rsidRPr="00103FBA">
        <w:t>tactile</w:t>
      </w:r>
      <w:proofErr w:type="spellEnd"/>
      <w:r w:rsidRPr="00103FBA">
        <w:t xml:space="preserve"> </w:t>
      </w:r>
      <w:proofErr w:type="spellStart"/>
      <w:r w:rsidRPr="00103FBA">
        <w:t>traffic</w:t>
      </w:r>
      <w:proofErr w:type="spellEnd"/>
      <w:r w:rsidRPr="00103FBA">
        <w:t xml:space="preserve"> </w:t>
      </w:r>
      <w:proofErr w:type="spellStart"/>
      <w:r w:rsidRPr="00103FBA">
        <w:t>signals</w:t>
      </w:r>
      <w:proofErr w:type="spellEnd"/>
      <w:r w:rsidRPr="00103FBA">
        <w:t xml:space="preserve">, </w:t>
      </w:r>
      <w:proofErr w:type="spellStart"/>
      <w:r w:rsidRPr="00103FBA">
        <w:t>kerb</w:t>
      </w:r>
      <w:proofErr w:type="spellEnd"/>
      <w:r w:rsidRPr="00103FBA">
        <w:t xml:space="preserve"> </w:t>
      </w:r>
      <w:proofErr w:type="spellStart"/>
      <w:r w:rsidRPr="00103FBA">
        <w:t>crossing</w:t>
      </w:r>
      <w:proofErr w:type="spellEnd"/>
      <w:r w:rsidRPr="00103FBA">
        <w:t xml:space="preserve"> </w:t>
      </w:r>
      <w:proofErr w:type="spellStart"/>
      <w:r w:rsidRPr="00103FBA">
        <w:t>design</w:t>
      </w:r>
      <w:proofErr w:type="spellEnd"/>
      <w:r w:rsidRPr="00103FBA">
        <w:t xml:space="preserve"> and universal </w:t>
      </w:r>
      <w:proofErr w:type="spellStart"/>
      <w:r w:rsidRPr="00103FBA">
        <w:t>access</w:t>
      </w:r>
      <w:proofErr w:type="spellEnd"/>
      <w:r w:rsidRPr="00103FBA">
        <w:t xml:space="preserve"> </w:t>
      </w:r>
      <w:proofErr w:type="spellStart"/>
      <w:r w:rsidRPr="00103FBA">
        <w:t>to</w:t>
      </w:r>
      <w:proofErr w:type="spellEnd"/>
      <w:r w:rsidRPr="00103FBA">
        <w:t xml:space="preserve"> </w:t>
      </w:r>
      <w:proofErr w:type="spellStart"/>
      <w:r w:rsidRPr="00103FBA">
        <w:t>public</w:t>
      </w:r>
      <w:proofErr w:type="spellEnd"/>
      <w:r w:rsidRPr="00103FBA">
        <w:t xml:space="preserve"> </w:t>
      </w:r>
      <w:proofErr w:type="spellStart"/>
      <w:r w:rsidRPr="00103FBA">
        <w:t>transport</w:t>
      </w:r>
      <w:proofErr w:type="spellEnd"/>
      <w:r w:rsidRPr="00103FBA">
        <w:t xml:space="preserve">. </w:t>
      </w:r>
      <w:proofErr w:type="spellStart"/>
      <w:r w:rsidRPr="00103FBA">
        <w:t>The</w:t>
      </w:r>
      <w:proofErr w:type="spellEnd"/>
      <w:r w:rsidRPr="00103FBA">
        <w:t xml:space="preserve"> </w:t>
      </w:r>
      <w:proofErr w:type="spellStart"/>
      <w:r w:rsidRPr="00103FBA">
        <w:t>guide</w:t>
      </w:r>
      <w:proofErr w:type="spellEnd"/>
      <w:r w:rsidRPr="00103FBA">
        <w:t xml:space="preserve"> uses universal </w:t>
      </w:r>
      <w:proofErr w:type="spellStart"/>
      <w:r w:rsidRPr="00103FBA">
        <w:t>design</w:t>
      </w:r>
      <w:proofErr w:type="spellEnd"/>
      <w:r w:rsidRPr="00103FBA">
        <w:t xml:space="preserve"> </w:t>
      </w:r>
      <w:proofErr w:type="spellStart"/>
      <w:r w:rsidRPr="00103FBA">
        <w:t>principles</w:t>
      </w:r>
      <w:proofErr w:type="spellEnd"/>
      <w:r w:rsidRPr="00103FBA">
        <w:t>.</w:t>
      </w:r>
    </w:p>
  </w:endnote>
  <w:endnote w:id="87">
    <w:p w14:paraId="3F40B85A"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The</w:t>
      </w:r>
      <w:proofErr w:type="spellEnd"/>
      <w:r w:rsidRPr="00103FBA">
        <w:t xml:space="preserve"> </w:t>
      </w:r>
      <w:proofErr w:type="spellStart"/>
      <w:r w:rsidRPr="00103FBA">
        <w:t>Pedestrian</w:t>
      </w:r>
      <w:proofErr w:type="spellEnd"/>
      <w:r w:rsidRPr="00103FBA">
        <w:t xml:space="preserve"> </w:t>
      </w:r>
      <w:proofErr w:type="spellStart"/>
      <w:r w:rsidRPr="00103FBA">
        <w:t>Planning</w:t>
      </w:r>
      <w:proofErr w:type="spellEnd"/>
      <w:r w:rsidRPr="00103FBA">
        <w:t xml:space="preserve"> and </w:t>
      </w:r>
      <w:proofErr w:type="spellStart"/>
      <w:r w:rsidRPr="00103FBA">
        <w:t>Design</w:t>
      </w:r>
      <w:proofErr w:type="spellEnd"/>
      <w:r w:rsidRPr="00103FBA">
        <w:t xml:space="preserve"> </w:t>
      </w:r>
      <w:proofErr w:type="spellStart"/>
      <w:r w:rsidRPr="00103FBA">
        <w:t>Guide</w:t>
      </w:r>
      <w:proofErr w:type="spellEnd"/>
      <w:r w:rsidRPr="00103FBA">
        <w:t xml:space="preserve"> </w:t>
      </w:r>
      <w:proofErr w:type="spellStart"/>
      <w:r w:rsidRPr="00103FBA">
        <w:t>provides</w:t>
      </w:r>
      <w:proofErr w:type="spellEnd"/>
      <w:r w:rsidRPr="00103FBA">
        <w:t xml:space="preserve"> </w:t>
      </w:r>
      <w:proofErr w:type="spellStart"/>
      <w:r w:rsidRPr="00103FBA">
        <w:t>guidance</w:t>
      </w:r>
      <w:proofErr w:type="spellEnd"/>
      <w:r w:rsidRPr="00103FBA">
        <w:t xml:space="preserve"> </w:t>
      </w:r>
      <w:proofErr w:type="spellStart"/>
      <w:r w:rsidRPr="00103FBA">
        <w:t>for</w:t>
      </w:r>
      <w:proofErr w:type="spellEnd"/>
      <w:r w:rsidRPr="00103FBA">
        <w:t xml:space="preserve"> </w:t>
      </w:r>
      <w:proofErr w:type="spellStart"/>
      <w:r w:rsidRPr="00103FBA">
        <w:t>planning</w:t>
      </w:r>
      <w:proofErr w:type="spellEnd"/>
      <w:r w:rsidRPr="00103FBA">
        <w:t xml:space="preserve"> and </w:t>
      </w:r>
      <w:proofErr w:type="spellStart"/>
      <w:r w:rsidRPr="00103FBA">
        <w:t>designing</w:t>
      </w:r>
      <w:proofErr w:type="spellEnd"/>
      <w:r w:rsidRPr="00103FBA">
        <w:t xml:space="preserve"> </w:t>
      </w:r>
      <w:proofErr w:type="spellStart"/>
      <w:r w:rsidRPr="00103FBA">
        <w:t>for</w:t>
      </w:r>
      <w:proofErr w:type="spellEnd"/>
      <w:r w:rsidRPr="00103FBA">
        <w:t xml:space="preserve"> </w:t>
      </w:r>
      <w:proofErr w:type="spellStart"/>
      <w:r w:rsidRPr="00103FBA">
        <w:t>the</w:t>
      </w:r>
      <w:proofErr w:type="spellEnd"/>
      <w:r w:rsidRPr="00103FBA">
        <w:t xml:space="preserve"> </w:t>
      </w:r>
      <w:proofErr w:type="spellStart"/>
      <w:r w:rsidRPr="00103FBA">
        <w:t>walking</w:t>
      </w:r>
      <w:proofErr w:type="spellEnd"/>
      <w:r w:rsidRPr="00103FBA">
        <w:t xml:space="preserve"> </w:t>
      </w:r>
      <w:proofErr w:type="spellStart"/>
      <w:r w:rsidRPr="00103FBA">
        <w:t>environment</w:t>
      </w:r>
      <w:proofErr w:type="spellEnd"/>
      <w:r w:rsidRPr="00103FBA">
        <w:t xml:space="preserve"> </w:t>
      </w:r>
      <w:proofErr w:type="spellStart"/>
      <w:r w:rsidRPr="00103FBA">
        <w:t>for</w:t>
      </w:r>
      <w:proofErr w:type="spellEnd"/>
      <w:r w:rsidRPr="00103FBA">
        <w:t xml:space="preserve"> a </w:t>
      </w:r>
      <w:proofErr w:type="spellStart"/>
      <w:r w:rsidRPr="00103FBA">
        <w:t>wide</w:t>
      </w:r>
      <w:proofErr w:type="spellEnd"/>
      <w:r w:rsidRPr="00103FBA">
        <w:t xml:space="preserve"> </w:t>
      </w:r>
      <w:proofErr w:type="spellStart"/>
      <w:r w:rsidRPr="00103FBA">
        <w:t>range</w:t>
      </w:r>
      <w:proofErr w:type="spellEnd"/>
      <w:r w:rsidRPr="00103FBA">
        <w:t xml:space="preserve"> </w:t>
      </w:r>
      <w:proofErr w:type="spellStart"/>
      <w:r w:rsidRPr="00103FBA">
        <w:t>of</w:t>
      </w:r>
      <w:proofErr w:type="spellEnd"/>
      <w:r w:rsidRPr="00103FBA">
        <w:t xml:space="preserve"> </w:t>
      </w:r>
      <w:proofErr w:type="spellStart"/>
      <w:r w:rsidRPr="00103FBA">
        <w:t>users</w:t>
      </w:r>
      <w:proofErr w:type="spellEnd"/>
      <w:r w:rsidRPr="00103FBA">
        <w:t xml:space="preserve">, </w:t>
      </w:r>
      <w:proofErr w:type="spellStart"/>
      <w:r w:rsidRPr="00103FBA">
        <w:t>including</w:t>
      </w:r>
      <w:proofErr w:type="spellEnd"/>
      <w:r w:rsidRPr="00103FBA">
        <w:t xml:space="preserve"> </w:t>
      </w:r>
      <w:proofErr w:type="spellStart"/>
      <w:r w:rsidRPr="00103FBA">
        <w:t>mobility</w:t>
      </w:r>
      <w:proofErr w:type="spellEnd"/>
      <w:r w:rsidRPr="00103FBA">
        <w:t xml:space="preserve"> </w:t>
      </w:r>
      <w:proofErr w:type="spellStart"/>
      <w:r w:rsidRPr="00103FBA">
        <w:t>impaired</w:t>
      </w:r>
      <w:proofErr w:type="spellEnd"/>
      <w:r w:rsidRPr="00103FBA">
        <w:t xml:space="preserve"> and </w:t>
      </w:r>
      <w:proofErr w:type="spellStart"/>
      <w:r w:rsidRPr="00103FBA">
        <w:t>wheeled</w:t>
      </w:r>
      <w:proofErr w:type="spellEnd"/>
      <w:r w:rsidRPr="00103FBA">
        <w:t xml:space="preserve"> </w:t>
      </w:r>
      <w:proofErr w:type="spellStart"/>
      <w:r w:rsidRPr="00103FBA">
        <w:t>pedestrians</w:t>
      </w:r>
      <w:proofErr w:type="spellEnd"/>
      <w:r w:rsidRPr="00103FBA">
        <w:t>.</w:t>
      </w:r>
    </w:p>
  </w:endnote>
  <w:endnote w:id="88">
    <w:p w14:paraId="30ED3B46"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The</w:t>
      </w:r>
      <w:proofErr w:type="spellEnd"/>
      <w:r w:rsidRPr="00103FBA">
        <w:t xml:space="preserve"> </w:t>
      </w:r>
      <w:proofErr w:type="spellStart"/>
      <w:r w:rsidRPr="00103FBA">
        <w:t>Minister</w:t>
      </w:r>
      <w:proofErr w:type="spellEnd"/>
      <w:r w:rsidRPr="00103FBA">
        <w:t xml:space="preserve"> </w:t>
      </w:r>
      <w:proofErr w:type="spellStart"/>
      <w:r w:rsidRPr="00103FBA">
        <w:t>for</w:t>
      </w:r>
      <w:proofErr w:type="spellEnd"/>
      <w:r w:rsidRPr="00103FBA">
        <w:t xml:space="preserve"> Housing and Urban </w:t>
      </w:r>
      <w:proofErr w:type="spellStart"/>
      <w:r w:rsidRPr="00103FBA">
        <w:t>Development</w:t>
      </w:r>
      <w:proofErr w:type="spellEnd"/>
      <w:r w:rsidRPr="00103FBA">
        <w:t xml:space="preserve"> and </w:t>
      </w:r>
      <w:proofErr w:type="spellStart"/>
      <w:r w:rsidRPr="00103FBA">
        <w:t>Transport</w:t>
      </w:r>
      <w:proofErr w:type="spellEnd"/>
      <w:r w:rsidRPr="00103FBA">
        <w:t xml:space="preserve"> </w:t>
      </w:r>
      <w:proofErr w:type="spellStart"/>
      <w:r w:rsidRPr="00103FBA">
        <w:t>is</w:t>
      </w:r>
      <w:proofErr w:type="spellEnd"/>
      <w:r w:rsidRPr="00103FBA">
        <w:t xml:space="preserve"> </w:t>
      </w:r>
      <w:proofErr w:type="spellStart"/>
      <w:r w:rsidRPr="00103FBA">
        <w:t>Hon</w:t>
      </w:r>
      <w:proofErr w:type="spellEnd"/>
      <w:r w:rsidRPr="00103FBA">
        <w:t xml:space="preserve"> Phil </w:t>
      </w:r>
      <w:proofErr w:type="spellStart"/>
      <w:r w:rsidRPr="00103FBA">
        <w:t>Twyford</w:t>
      </w:r>
      <w:proofErr w:type="spellEnd"/>
      <w:r w:rsidRPr="00103FBA">
        <w:t>.</w:t>
      </w:r>
    </w:p>
  </w:endnote>
  <w:endnote w:id="89">
    <w:p w14:paraId="1807B975"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r w:rsidRPr="00103FBA">
        <w:t xml:space="preserve">Housing </w:t>
      </w:r>
      <w:proofErr w:type="spellStart"/>
      <w:r w:rsidRPr="00103FBA">
        <w:t>NZ</w:t>
      </w:r>
      <w:proofErr w:type="spellEnd"/>
      <w:r w:rsidRPr="00103FBA">
        <w:t xml:space="preserve"> </w:t>
      </w:r>
      <w:proofErr w:type="spellStart"/>
      <w:r w:rsidRPr="00103FBA">
        <w:t>Corporation</w:t>
      </w:r>
      <w:proofErr w:type="spellEnd"/>
      <w:r w:rsidRPr="00103FBA">
        <w:t xml:space="preserve"> </w:t>
      </w:r>
      <w:proofErr w:type="spellStart"/>
      <w:r w:rsidRPr="00103FBA">
        <w:t>is</w:t>
      </w:r>
      <w:proofErr w:type="spellEnd"/>
      <w:r w:rsidRPr="00103FBA">
        <w:t xml:space="preserve"> a Crown </w:t>
      </w:r>
      <w:proofErr w:type="spellStart"/>
      <w:r w:rsidRPr="00103FBA">
        <w:t>agent</w:t>
      </w:r>
      <w:proofErr w:type="spellEnd"/>
      <w:r w:rsidRPr="00103FBA">
        <w:t xml:space="preserve"> </w:t>
      </w:r>
      <w:proofErr w:type="spellStart"/>
      <w:r w:rsidRPr="00103FBA">
        <w:t>that</w:t>
      </w:r>
      <w:proofErr w:type="spellEnd"/>
      <w:r w:rsidRPr="00103FBA">
        <w:t xml:space="preserve"> </w:t>
      </w:r>
      <w:proofErr w:type="spellStart"/>
      <w:r w:rsidRPr="00103FBA">
        <w:t>provides</w:t>
      </w:r>
      <w:proofErr w:type="spellEnd"/>
      <w:r w:rsidRPr="00103FBA">
        <w:t xml:space="preserve"> housing </w:t>
      </w:r>
      <w:proofErr w:type="spellStart"/>
      <w:r w:rsidRPr="00103FBA">
        <w:t>services</w:t>
      </w:r>
      <w:proofErr w:type="spellEnd"/>
      <w:r w:rsidRPr="00103FBA">
        <w:t xml:space="preserve"> </w:t>
      </w:r>
      <w:proofErr w:type="spellStart"/>
      <w:r w:rsidRPr="00103FBA">
        <w:t>for</w:t>
      </w:r>
      <w:proofErr w:type="spellEnd"/>
      <w:r w:rsidRPr="00103FBA">
        <w:t xml:space="preserve"> New </w:t>
      </w:r>
      <w:proofErr w:type="spellStart"/>
      <w:r w:rsidRPr="00103FBA">
        <w:t>Zealanders</w:t>
      </w:r>
      <w:proofErr w:type="spellEnd"/>
      <w:r w:rsidRPr="00103FBA">
        <w:t xml:space="preserve"> in </w:t>
      </w:r>
      <w:proofErr w:type="spellStart"/>
      <w:r w:rsidRPr="00103FBA">
        <w:t>need</w:t>
      </w:r>
      <w:proofErr w:type="spellEnd"/>
      <w:r w:rsidRPr="00103FBA">
        <w:t xml:space="preserve">. Housing </w:t>
      </w:r>
      <w:proofErr w:type="spellStart"/>
      <w:r w:rsidRPr="00103FBA">
        <w:t>NZ</w:t>
      </w:r>
      <w:proofErr w:type="spellEnd"/>
      <w:r w:rsidRPr="00103FBA">
        <w:t xml:space="preserve"> </w:t>
      </w:r>
      <w:proofErr w:type="spellStart"/>
      <w:r w:rsidRPr="00103FBA">
        <w:t>Corporation</w:t>
      </w:r>
      <w:proofErr w:type="spellEnd"/>
      <w:r w:rsidRPr="00103FBA">
        <w:t xml:space="preserve"> </w:t>
      </w:r>
      <w:proofErr w:type="spellStart"/>
      <w:r w:rsidRPr="00103FBA">
        <w:t>owns</w:t>
      </w:r>
      <w:proofErr w:type="spellEnd"/>
      <w:r w:rsidRPr="00103FBA">
        <w:t xml:space="preserve"> </w:t>
      </w:r>
      <w:proofErr w:type="spellStart"/>
      <w:r w:rsidRPr="00103FBA">
        <w:t>or</w:t>
      </w:r>
      <w:proofErr w:type="spellEnd"/>
      <w:r w:rsidRPr="00103FBA">
        <w:t xml:space="preserve"> </w:t>
      </w:r>
      <w:proofErr w:type="spellStart"/>
      <w:r w:rsidRPr="00103FBA">
        <w:t>manages</w:t>
      </w:r>
      <w:proofErr w:type="spellEnd"/>
      <w:r w:rsidRPr="00103FBA">
        <w:t xml:space="preserve"> a </w:t>
      </w:r>
      <w:proofErr w:type="spellStart"/>
      <w:r w:rsidRPr="00103FBA">
        <w:t>rental</w:t>
      </w:r>
      <w:proofErr w:type="spellEnd"/>
      <w:r w:rsidRPr="00103FBA">
        <w:t xml:space="preserve"> housing portfolio </w:t>
      </w:r>
      <w:proofErr w:type="spellStart"/>
      <w:r w:rsidRPr="00103FBA">
        <w:t>of</w:t>
      </w:r>
      <w:proofErr w:type="spellEnd"/>
      <w:r w:rsidRPr="00103FBA">
        <w:t xml:space="preserve"> </w:t>
      </w:r>
      <w:proofErr w:type="spellStart"/>
      <w:r w:rsidRPr="00103FBA">
        <w:t>over</w:t>
      </w:r>
      <w:proofErr w:type="spellEnd"/>
      <w:r w:rsidRPr="00103FBA">
        <w:t xml:space="preserve"> 64,000 </w:t>
      </w:r>
      <w:proofErr w:type="spellStart"/>
      <w:r w:rsidRPr="00103FBA">
        <w:t>homes</w:t>
      </w:r>
      <w:proofErr w:type="spellEnd"/>
      <w:r w:rsidRPr="00103FBA">
        <w:t xml:space="preserve"> </w:t>
      </w:r>
      <w:proofErr w:type="spellStart"/>
      <w:r w:rsidRPr="00103FBA">
        <w:t>for</w:t>
      </w:r>
      <w:proofErr w:type="spellEnd"/>
      <w:r w:rsidRPr="00103FBA">
        <w:t xml:space="preserve"> </w:t>
      </w:r>
      <w:proofErr w:type="spellStart"/>
      <w:r w:rsidRPr="00103FBA">
        <w:t>approximately</w:t>
      </w:r>
      <w:proofErr w:type="spellEnd"/>
      <w:r w:rsidRPr="00103FBA">
        <w:t xml:space="preserve"> 184,000 </w:t>
      </w:r>
      <w:proofErr w:type="spellStart"/>
      <w:r w:rsidRPr="00103FBA">
        <w:t>people</w:t>
      </w:r>
      <w:proofErr w:type="spellEnd"/>
      <w:r w:rsidRPr="00103FBA">
        <w:t>.</w:t>
      </w:r>
    </w:p>
  </w:endnote>
  <w:endnote w:id="90">
    <w:p w14:paraId="7B628CDA"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See</w:t>
      </w:r>
      <w:proofErr w:type="spellEnd"/>
      <w:r w:rsidRPr="00103FBA">
        <w:t xml:space="preserve"> </w:t>
      </w:r>
      <w:r w:rsidRPr="00193DD1">
        <w:rPr>
          <w:rStyle w:val="Hipervnculo"/>
        </w:rPr>
        <w:t>https://</w:t>
      </w:r>
      <w:proofErr w:type="spellStart"/>
      <w:r w:rsidRPr="00193DD1">
        <w:rPr>
          <w:rStyle w:val="Hipervnculo"/>
        </w:rPr>
        <w:t>www.hud.govt.nz</w:t>
      </w:r>
      <w:proofErr w:type="spellEnd"/>
      <w:r w:rsidRPr="00193DD1">
        <w:rPr>
          <w:rStyle w:val="Hipervnculo"/>
        </w:rPr>
        <w:t>/</w:t>
      </w:r>
      <w:proofErr w:type="spellStart"/>
      <w:r w:rsidRPr="00193DD1">
        <w:rPr>
          <w:rStyle w:val="Hipervnculo"/>
        </w:rPr>
        <w:t>residential</w:t>
      </w:r>
      <w:proofErr w:type="spellEnd"/>
      <w:r w:rsidRPr="00193DD1">
        <w:rPr>
          <w:rStyle w:val="Hipervnculo"/>
        </w:rPr>
        <w:t>-housing/</w:t>
      </w:r>
      <w:proofErr w:type="spellStart"/>
      <w:r w:rsidRPr="00193DD1">
        <w:rPr>
          <w:rStyle w:val="Hipervnculo"/>
        </w:rPr>
        <w:t>kiwibuild</w:t>
      </w:r>
      <w:proofErr w:type="spellEnd"/>
      <w:r w:rsidRPr="00193DD1">
        <w:rPr>
          <w:rStyle w:val="Hipervnculo"/>
        </w:rPr>
        <w:t>/</w:t>
      </w:r>
      <w:r w:rsidRPr="00103FBA">
        <w:t>.</w:t>
      </w:r>
    </w:p>
  </w:endnote>
  <w:endnote w:id="91">
    <w:p w14:paraId="0EC26EC0"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The</w:t>
      </w:r>
      <w:proofErr w:type="spellEnd"/>
      <w:r w:rsidRPr="00103FBA">
        <w:t xml:space="preserve"> </w:t>
      </w:r>
      <w:proofErr w:type="spellStart"/>
      <w:r w:rsidRPr="00103FBA">
        <w:t>measure</w:t>
      </w:r>
      <w:proofErr w:type="spellEnd"/>
      <w:r w:rsidRPr="00103FBA">
        <w:t xml:space="preserve"> </w:t>
      </w:r>
      <w:proofErr w:type="spellStart"/>
      <w:r w:rsidRPr="00103FBA">
        <w:t>for</w:t>
      </w:r>
      <w:proofErr w:type="spellEnd"/>
      <w:r w:rsidRPr="00103FBA">
        <w:t xml:space="preserve"> </w:t>
      </w:r>
      <w:proofErr w:type="spellStart"/>
      <w:r w:rsidRPr="00103FBA">
        <w:t>wheelchair</w:t>
      </w:r>
      <w:proofErr w:type="spellEnd"/>
      <w:r w:rsidRPr="00103FBA">
        <w:t xml:space="preserve"> </w:t>
      </w:r>
      <w:proofErr w:type="spellStart"/>
      <w:r w:rsidRPr="00103FBA">
        <w:t>accessible</w:t>
      </w:r>
      <w:proofErr w:type="spellEnd"/>
      <w:r w:rsidRPr="00103FBA">
        <w:t xml:space="preserve"> taxis </w:t>
      </w:r>
      <w:proofErr w:type="spellStart"/>
      <w:r w:rsidRPr="00103FBA">
        <w:t>is</w:t>
      </w:r>
      <w:proofErr w:type="spellEnd"/>
      <w:r w:rsidRPr="00103FBA">
        <w:t xml:space="preserve"> </w:t>
      </w:r>
      <w:proofErr w:type="spellStart"/>
      <w:r w:rsidRPr="00103FBA">
        <w:t>reported</w:t>
      </w:r>
      <w:proofErr w:type="spellEnd"/>
      <w:r w:rsidRPr="00103FBA">
        <w:t xml:space="preserve"> </w:t>
      </w:r>
      <w:proofErr w:type="spellStart"/>
      <w:r w:rsidRPr="00103FBA">
        <w:t>via</w:t>
      </w:r>
      <w:proofErr w:type="spellEnd"/>
      <w:r w:rsidRPr="00103FBA">
        <w:t xml:space="preserve"> regional </w:t>
      </w:r>
      <w:proofErr w:type="spellStart"/>
      <w:r w:rsidRPr="00103FBA">
        <w:t>councils</w:t>
      </w:r>
      <w:proofErr w:type="spellEnd"/>
      <w:r w:rsidRPr="00103FBA">
        <w:t xml:space="preserve"> and Auckland </w:t>
      </w:r>
      <w:proofErr w:type="spellStart"/>
      <w:r w:rsidRPr="00103FBA">
        <w:t>Transport</w:t>
      </w:r>
      <w:proofErr w:type="spellEnd"/>
      <w:r w:rsidRPr="00103FBA">
        <w:t xml:space="preserve"> and </w:t>
      </w:r>
      <w:proofErr w:type="spellStart"/>
      <w:r w:rsidRPr="00103FBA">
        <w:t>is</w:t>
      </w:r>
      <w:proofErr w:type="spellEnd"/>
      <w:r w:rsidRPr="00103FBA">
        <w:t xml:space="preserve"> </w:t>
      </w:r>
      <w:proofErr w:type="spellStart"/>
      <w:r w:rsidRPr="00103FBA">
        <w:t>measured</w:t>
      </w:r>
      <w:proofErr w:type="spellEnd"/>
      <w:r w:rsidRPr="00103FBA">
        <w:t xml:space="preserve"> </w:t>
      </w:r>
      <w:proofErr w:type="spellStart"/>
      <w:r w:rsidRPr="00103FBA">
        <w:t>by</w:t>
      </w:r>
      <w:proofErr w:type="spellEnd"/>
      <w:r w:rsidRPr="00103FBA">
        <w:t xml:space="preserve"> </w:t>
      </w:r>
      <w:proofErr w:type="spellStart"/>
      <w:r w:rsidRPr="00103FBA">
        <w:t>the</w:t>
      </w:r>
      <w:proofErr w:type="spellEnd"/>
      <w:r w:rsidRPr="00103FBA">
        <w:t xml:space="preserve"> </w:t>
      </w:r>
      <w:proofErr w:type="spellStart"/>
      <w:r w:rsidRPr="00103FBA">
        <w:t>number</w:t>
      </w:r>
      <w:proofErr w:type="spellEnd"/>
      <w:r w:rsidRPr="00103FBA">
        <w:t xml:space="preserve"> </w:t>
      </w:r>
      <w:proofErr w:type="spellStart"/>
      <w:r w:rsidRPr="00103FBA">
        <w:t>of</w:t>
      </w:r>
      <w:proofErr w:type="spellEnd"/>
      <w:r w:rsidRPr="00103FBA">
        <w:t xml:space="preserve"> </w:t>
      </w:r>
      <w:proofErr w:type="spellStart"/>
      <w:r w:rsidRPr="00103FBA">
        <w:t>hoist</w:t>
      </w:r>
      <w:proofErr w:type="spellEnd"/>
      <w:r w:rsidRPr="00103FBA">
        <w:t xml:space="preserve"> </w:t>
      </w:r>
      <w:proofErr w:type="spellStart"/>
      <w:r w:rsidRPr="00103FBA">
        <w:t>vehicles</w:t>
      </w:r>
      <w:proofErr w:type="spellEnd"/>
      <w:r w:rsidRPr="00103FBA">
        <w:t xml:space="preserve"> </w:t>
      </w:r>
      <w:proofErr w:type="spellStart"/>
      <w:r w:rsidRPr="00103FBA">
        <w:t>available</w:t>
      </w:r>
      <w:proofErr w:type="spellEnd"/>
      <w:r w:rsidRPr="00103FBA">
        <w:t xml:space="preserve"> </w:t>
      </w:r>
      <w:proofErr w:type="spellStart"/>
      <w:r w:rsidRPr="00103FBA">
        <w:t>on</w:t>
      </w:r>
      <w:proofErr w:type="spellEnd"/>
      <w:r w:rsidRPr="00103FBA">
        <w:t xml:space="preserve"> </w:t>
      </w:r>
      <w:proofErr w:type="spellStart"/>
      <w:r w:rsidRPr="00103FBA">
        <w:t>the</w:t>
      </w:r>
      <w:proofErr w:type="spellEnd"/>
      <w:r w:rsidRPr="00103FBA">
        <w:t xml:space="preserve"> Total </w:t>
      </w:r>
      <w:proofErr w:type="spellStart"/>
      <w:r w:rsidRPr="00103FBA">
        <w:t>Mobility</w:t>
      </w:r>
      <w:proofErr w:type="spellEnd"/>
      <w:r w:rsidRPr="00103FBA">
        <w:t xml:space="preserve"> </w:t>
      </w:r>
      <w:proofErr w:type="spellStart"/>
      <w:r w:rsidRPr="00103FBA">
        <w:t>Scheme</w:t>
      </w:r>
      <w:proofErr w:type="spellEnd"/>
      <w:r w:rsidRPr="00103FBA">
        <w:t xml:space="preserve">. In 2016/17, </w:t>
      </w:r>
      <w:proofErr w:type="spellStart"/>
      <w:r w:rsidRPr="00103FBA">
        <w:t>there</w:t>
      </w:r>
      <w:proofErr w:type="spellEnd"/>
      <w:r w:rsidRPr="00103FBA">
        <w:t xml:space="preserve"> </w:t>
      </w:r>
      <w:proofErr w:type="spellStart"/>
      <w:r w:rsidRPr="00103FBA">
        <w:t>were</w:t>
      </w:r>
      <w:proofErr w:type="spellEnd"/>
      <w:r w:rsidRPr="00103FBA">
        <w:t xml:space="preserve"> 382 </w:t>
      </w:r>
      <w:proofErr w:type="spellStart"/>
      <w:r w:rsidRPr="00103FBA">
        <w:t>hoist</w:t>
      </w:r>
      <w:proofErr w:type="spellEnd"/>
      <w:r w:rsidRPr="00103FBA">
        <w:t xml:space="preserve"> </w:t>
      </w:r>
      <w:proofErr w:type="spellStart"/>
      <w:r w:rsidRPr="00103FBA">
        <w:t>vehicles</w:t>
      </w:r>
      <w:proofErr w:type="spellEnd"/>
      <w:r w:rsidRPr="00103FBA">
        <w:t xml:space="preserve"> </w:t>
      </w:r>
      <w:proofErr w:type="spellStart"/>
      <w:r w:rsidRPr="00103FBA">
        <w:t>registered</w:t>
      </w:r>
      <w:proofErr w:type="spellEnd"/>
      <w:r w:rsidRPr="00103FBA">
        <w:t xml:space="preserve"> </w:t>
      </w:r>
      <w:proofErr w:type="spellStart"/>
      <w:r w:rsidRPr="00103FBA">
        <w:t>on</w:t>
      </w:r>
      <w:proofErr w:type="spellEnd"/>
      <w:r w:rsidRPr="00103FBA">
        <w:t xml:space="preserve"> </w:t>
      </w:r>
      <w:proofErr w:type="spellStart"/>
      <w:r w:rsidRPr="00103FBA">
        <w:t>the</w:t>
      </w:r>
      <w:proofErr w:type="spellEnd"/>
      <w:r w:rsidRPr="00103FBA">
        <w:t xml:space="preserve"> Total </w:t>
      </w:r>
      <w:proofErr w:type="spellStart"/>
      <w:r w:rsidRPr="00103FBA">
        <w:t>Mobility</w:t>
      </w:r>
      <w:proofErr w:type="spellEnd"/>
      <w:r w:rsidRPr="00103FBA">
        <w:t xml:space="preserve"> </w:t>
      </w:r>
      <w:proofErr w:type="spellStart"/>
      <w:r w:rsidRPr="00103FBA">
        <w:t>Scheme</w:t>
      </w:r>
      <w:proofErr w:type="spellEnd"/>
      <w:r w:rsidRPr="00103FBA">
        <w:t xml:space="preserve">, </w:t>
      </w:r>
      <w:proofErr w:type="spellStart"/>
      <w:r w:rsidRPr="00103FBA">
        <w:t>made</w:t>
      </w:r>
      <w:proofErr w:type="spellEnd"/>
      <w:r w:rsidRPr="00103FBA">
        <w:t xml:space="preserve"> up </w:t>
      </w:r>
      <w:proofErr w:type="spellStart"/>
      <w:r w:rsidRPr="00103FBA">
        <w:t>of</w:t>
      </w:r>
      <w:proofErr w:type="spellEnd"/>
      <w:r w:rsidRPr="00103FBA">
        <w:t xml:space="preserve"> </w:t>
      </w:r>
      <w:proofErr w:type="spellStart"/>
      <w:r w:rsidRPr="00103FBA">
        <w:t>the</w:t>
      </w:r>
      <w:proofErr w:type="spellEnd"/>
      <w:r w:rsidRPr="00103FBA">
        <w:t xml:space="preserve"> taxi </w:t>
      </w:r>
      <w:proofErr w:type="spellStart"/>
      <w:r w:rsidRPr="00103FBA">
        <w:t>fleet</w:t>
      </w:r>
      <w:proofErr w:type="spellEnd"/>
      <w:r w:rsidRPr="00103FBA">
        <w:t xml:space="preserve"> and </w:t>
      </w:r>
      <w:proofErr w:type="spellStart"/>
      <w:r w:rsidRPr="00103FBA">
        <w:t>other</w:t>
      </w:r>
      <w:proofErr w:type="spellEnd"/>
      <w:r w:rsidRPr="00103FBA">
        <w:t xml:space="preserve"> </w:t>
      </w:r>
      <w:proofErr w:type="spellStart"/>
      <w:r w:rsidRPr="00103FBA">
        <w:t>small</w:t>
      </w:r>
      <w:proofErr w:type="spellEnd"/>
      <w:r w:rsidRPr="00103FBA">
        <w:t xml:space="preserve"> </w:t>
      </w:r>
      <w:proofErr w:type="spellStart"/>
      <w:r w:rsidRPr="00103FBA">
        <w:t>passenger</w:t>
      </w:r>
      <w:proofErr w:type="spellEnd"/>
      <w:r w:rsidRPr="00103FBA">
        <w:t xml:space="preserve"> </w:t>
      </w:r>
      <w:proofErr w:type="spellStart"/>
      <w:r w:rsidRPr="00103FBA">
        <w:t>service</w:t>
      </w:r>
      <w:proofErr w:type="spellEnd"/>
      <w:r w:rsidRPr="00103FBA">
        <w:t xml:space="preserve"> </w:t>
      </w:r>
      <w:proofErr w:type="spellStart"/>
      <w:r w:rsidRPr="00103FBA">
        <w:t>vehicles</w:t>
      </w:r>
      <w:proofErr w:type="spellEnd"/>
      <w:r w:rsidRPr="00103FBA">
        <w:t xml:space="preserve"> </w:t>
      </w:r>
      <w:proofErr w:type="spellStart"/>
      <w:r w:rsidRPr="00103FBA">
        <w:t>operating</w:t>
      </w:r>
      <w:proofErr w:type="spellEnd"/>
      <w:r w:rsidRPr="00103FBA">
        <w:t xml:space="preserve"> </w:t>
      </w:r>
      <w:proofErr w:type="spellStart"/>
      <w:r w:rsidRPr="00103FBA">
        <w:t>hoists</w:t>
      </w:r>
      <w:proofErr w:type="spellEnd"/>
      <w:r w:rsidRPr="00103FBA">
        <w:t xml:space="preserve"> </w:t>
      </w:r>
      <w:proofErr w:type="spellStart"/>
      <w:r w:rsidRPr="00103FBA">
        <w:t>under</w:t>
      </w:r>
      <w:proofErr w:type="spellEnd"/>
      <w:r w:rsidRPr="00103FBA">
        <w:t xml:space="preserve"> </w:t>
      </w:r>
      <w:proofErr w:type="spellStart"/>
      <w:r w:rsidRPr="00103FBA">
        <w:t>this</w:t>
      </w:r>
      <w:proofErr w:type="spellEnd"/>
      <w:r w:rsidRPr="00103FBA">
        <w:t xml:space="preserve"> </w:t>
      </w:r>
      <w:proofErr w:type="spellStart"/>
      <w:r w:rsidRPr="00103FBA">
        <w:t>scheme</w:t>
      </w:r>
      <w:proofErr w:type="spellEnd"/>
      <w:r w:rsidRPr="00103FBA">
        <w:t xml:space="preserve">. </w:t>
      </w:r>
      <w:proofErr w:type="spellStart"/>
      <w:r w:rsidRPr="00103FBA">
        <w:t>The</w:t>
      </w:r>
      <w:proofErr w:type="spellEnd"/>
      <w:r w:rsidRPr="00103FBA">
        <w:t xml:space="preserve"> Total </w:t>
      </w:r>
      <w:proofErr w:type="spellStart"/>
      <w:r w:rsidRPr="00103FBA">
        <w:t>Mobility</w:t>
      </w:r>
      <w:proofErr w:type="spellEnd"/>
      <w:r w:rsidRPr="00103FBA">
        <w:t xml:space="preserve"> </w:t>
      </w:r>
      <w:proofErr w:type="spellStart"/>
      <w:r w:rsidRPr="00103FBA">
        <w:t>Scheme</w:t>
      </w:r>
      <w:proofErr w:type="spellEnd"/>
      <w:r w:rsidRPr="00103FBA">
        <w:t xml:space="preserve"> </w:t>
      </w:r>
      <w:proofErr w:type="spellStart"/>
      <w:r w:rsidRPr="00103FBA">
        <w:t>assists</w:t>
      </w:r>
      <w:proofErr w:type="spellEnd"/>
      <w:r w:rsidRPr="00103FBA">
        <w:t xml:space="preserve"> eligible </w:t>
      </w:r>
      <w:proofErr w:type="spellStart"/>
      <w:r w:rsidRPr="00103FBA">
        <w:t>people</w:t>
      </w:r>
      <w:proofErr w:type="spellEnd"/>
      <w:r w:rsidRPr="00103FBA">
        <w:t xml:space="preserve">, </w:t>
      </w:r>
      <w:proofErr w:type="spellStart"/>
      <w:r w:rsidRPr="00103FBA">
        <w:t>with</w:t>
      </w:r>
      <w:proofErr w:type="spellEnd"/>
      <w:r w:rsidRPr="00103FBA">
        <w:t xml:space="preserve"> </w:t>
      </w:r>
      <w:proofErr w:type="spellStart"/>
      <w:r w:rsidRPr="00103FBA">
        <w:t>long</w:t>
      </w:r>
      <w:proofErr w:type="spellEnd"/>
      <w:r w:rsidRPr="00103FBA">
        <w:t xml:space="preserve"> </w:t>
      </w:r>
      <w:proofErr w:type="spellStart"/>
      <w:r w:rsidRPr="00103FBA">
        <w:t>term</w:t>
      </w:r>
      <w:proofErr w:type="spellEnd"/>
      <w:r w:rsidRPr="00103FBA">
        <w:t xml:space="preserve"> </w:t>
      </w:r>
      <w:proofErr w:type="spellStart"/>
      <w:r w:rsidRPr="00103FBA">
        <w:t>impairments</w:t>
      </w:r>
      <w:proofErr w:type="spellEnd"/>
      <w:r w:rsidRPr="00103FBA">
        <w:t xml:space="preserve"> </w:t>
      </w:r>
      <w:proofErr w:type="spellStart"/>
      <w:r w:rsidRPr="00103FBA">
        <w:t>to</w:t>
      </w:r>
      <w:proofErr w:type="spellEnd"/>
      <w:r w:rsidRPr="00103FBA">
        <w:t xml:space="preserve"> </w:t>
      </w:r>
      <w:proofErr w:type="spellStart"/>
      <w:r w:rsidRPr="00103FBA">
        <w:t>access</w:t>
      </w:r>
      <w:proofErr w:type="spellEnd"/>
      <w:r w:rsidRPr="00103FBA">
        <w:t xml:space="preserve"> </w:t>
      </w:r>
      <w:proofErr w:type="spellStart"/>
      <w:r w:rsidRPr="00103FBA">
        <w:t>appropriate</w:t>
      </w:r>
      <w:proofErr w:type="spellEnd"/>
      <w:r w:rsidRPr="00103FBA">
        <w:t xml:space="preserve"> </w:t>
      </w:r>
      <w:proofErr w:type="spellStart"/>
      <w:r w:rsidRPr="00103FBA">
        <w:t>transport</w:t>
      </w:r>
      <w:proofErr w:type="spellEnd"/>
      <w:r w:rsidRPr="00103FBA">
        <w:t xml:space="preserve"> </w:t>
      </w:r>
      <w:proofErr w:type="spellStart"/>
      <w:r w:rsidRPr="00103FBA">
        <w:t>to</w:t>
      </w:r>
      <w:proofErr w:type="spellEnd"/>
      <w:r w:rsidRPr="00103FBA">
        <w:t xml:space="preserve"> </w:t>
      </w:r>
      <w:proofErr w:type="spellStart"/>
      <w:r w:rsidRPr="00103FBA">
        <w:t>meet</w:t>
      </w:r>
      <w:proofErr w:type="spellEnd"/>
      <w:r w:rsidRPr="00103FBA">
        <w:t xml:space="preserve"> </w:t>
      </w:r>
      <w:proofErr w:type="spellStart"/>
      <w:r w:rsidRPr="00103FBA">
        <w:t>their</w:t>
      </w:r>
      <w:proofErr w:type="spellEnd"/>
      <w:r w:rsidRPr="00103FBA">
        <w:t xml:space="preserve"> </w:t>
      </w:r>
      <w:proofErr w:type="spellStart"/>
      <w:r w:rsidRPr="00103FBA">
        <w:t>daily</w:t>
      </w:r>
      <w:proofErr w:type="spellEnd"/>
      <w:r w:rsidRPr="00103FBA">
        <w:t xml:space="preserve"> </w:t>
      </w:r>
      <w:proofErr w:type="spellStart"/>
      <w:r w:rsidRPr="00103FBA">
        <w:t>needs</w:t>
      </w:r>
      <w:proofErr w:type="spellEnd"/>
      <w:r w:rsidRPr="00103FBA">
        <w:t xml:space="preserve"> and </w:t>
      </w:r>
      <w:proofErr w:type="spellStart"/>
      <w:r w:rsidRPr="00103FBA">
        <w:t>enhance</w:t>
      </w:r>
      <w:proofErr w:type="spellEnd"/>
      <w:r w:rsidRPr="00103FBA">
        <w:t xml:space="preserve"> </w:t>
      </w:r>
      <w:proofErr w:type="spellStart"/>
      <w:r w:rsidRPr="00103FBA">
        <w:t>their</w:t>
      </w:r>
      <w:proofErr w:type="spellEnd"/>
      <w:r w:rsidRPr="00103FBA">
        <w:t xml:space="preserve"> </w:t>
      </w:r>
      <w:proofErr w:type="spellStart"/>
      <w:r w:rsidRPr="00103FBA">
        <w:t>community</w:t>
      </w:r>
      <w:proofErr w:type="spellEnd"/>
      <w:r w:rsidRPr="00103FBA">
        <w:t xml:space="preserve"> </w:t>
      </w:r>
      <w:proofErr w:type="spellStart"/>
      <w:r w:rsidRPr="00103FBA">
        <w:t>participation</w:t>
      </w:r>
      <w:proofErr w:type="spellEnd"/>
      <w:r w:rsidRPr="00103FBA">
        <w:t xml:space="preserve">. </w:t>
      </w:r>
      <w:proofErr w:type="spellStart"/>
      <w:r w:rsidRPr="00103FBA">
        <w:t>This</w:t>
      </w:r>
      <w:proofErr w:type="spellEnd"/>
      <w:r w:rsidRPr="00103FBA">
        <w:t xml:space="preserve"> </w:t>
      </w:r>
      <w:proofErr w:type="spellStart"/>
      <w:r w:rsidRPr="00103FBA">
        <w:t>assistance</w:t>
      </w:r>
      <w:proofErr w:type="spellEnd"/>
      <w:r w:rsidRPr="00103FBA">
        <w:t xml:space="preserve"> </w:t>
      </w:r>
      <w:proofErr w:type="spellStart"/>
      <w:r w:rsidRPr="00103FBA">
        <w:t>is</w:t>
      </w:r>
      <w:proofErr w:type="spellEnd"/>
      <w:r w:rsidRPr="00103FBA">
        <w:t xml:space="preserve"> </w:t>
      </w:r>
      <w:proofErr w:type="spellStart"/>
      <w:r w:rsidRPr="00103FBA">
        <w:t>provided</w:t>
      </w:r>
      <w:proofErr w:type="spellEnd"/>
      <w:r w:rsidRPr="00103FBA">
        <w:t xml:space="preserve"> in </w:t>
      </w:r>
      <w:proofErr w:type="spellStart"/>
      <w:r w:rsidRPr="00103FBA">
        <w:t>the</w:t>
      </w:r>
      <w:proofErr w:type="spellEnd"/>
      <w:r w:rsidRPr="00103FBA">
        <w:t xml:space="preserve"> </w:t>
      </w:r>
      <w:proofErr w:type="spellStart"/>
      <w:r w:rsidRPr="00103FBA">
        <w:t>form</w:t>
      </w:r>
      <w:proofErr w:type="spellEnd"/>
      <w:r w:rsidRPr="00103FBA">
        <w:t xml:space="preserve"> </w:t>
      </w:r>
      <w:proofErr w:type="spellStart"/>
      <w:r w:rsidRPr="00103FBA">
        <w:t>of</w:t>
      </w:r>
      <w:proofErr w:type="spellEnd"/>
      <w:r w:rsidRPr="00103FBA">
        <w:t xml:space="preserve"> </w:t>
      </w:r>
      <w:proofErr w:type="spellStart"/>
      <w:r w:rsidRPr="00103FBA">
        <w:t>subsidised</w:t>
      </w:r>
      <w:proofErr w:type="spellEnd"/>
      <w:r w:rsidRPr="00103FBA">
        <w:t xml:space="preserve"> </w:t>
      </w:r>
      <w:proofErr w:type="spellStart"/>
      <w:r w:rsidRPr="00103FBA">
        <w:t>door</w:t>
      </w:r>
      <w:proofErr w:type="spellEnd"/>
      <w:r w:rsidRPr="00103FBA">
        <w:t xml:space="preserve"> </w:t>
      </w:r>
      <w:proofErr w:type="spellStart"/>
      <w:r w:rsidRPr="00103FBA">
        <w:t>to</w:t>
      </w:r>
      <w:proofErr w:type="spellEnd"/>
      <w:r w:rsidRPr="00103FBA">
        <w:t xml:space="preserve"> </w:t>
      </w:r>
      <w:proofErr w:type="spellStart"/>
      <w:r w:rsidRPr="00103FBA">
        <w:t>door</w:t>
      </w:r>
      <w:proofErr w:type="spellEnd"/>
      <w:r w:rsidRPr="00103FBA">
        <w:t xml:space="preserve"> </w:t>
      </w:r>
      <w:proofErr w:type="spellStart"/>
      <w:r w:rsidRPr="00103FBA">
        <w:t>transport</w:t>
      </w:r>
      <w:proofErr w:type="spellEnd"/>
      <w:r w:rsidRPr="00103FBA">
        <w:t xml:space="preserve"> </w:t>
      </w:r>
      <w:proofErr w:type="spellStart"/>
      <w:r w:rsidRPr="00103FBA">
        <w:t>services</w:t>
      </w:r>
      <w:proofErr w:type="spellEnd"/>
      <w:r w:rsidRPr="00103FBA">
        <w:t xml:space="preserve"> </w:t>
      </w:r>
      <w:proofErr w:type="spellStart"/>
      <w:r w:rsidRPr="00103FBA">
        <w:t>wherever</w:t>
      </w:r>
      <w:proofErr w:type="spellEnd"/>
      <w:r w:rsidRPr="00103FBA">
        <w:t xml:space="preserve"> </w:t>
      </w:r>
      <w:proofErr w:type="spellStart"/>
      <w:r w:rsidRPr="00103FBA">
        <w:t>scheme</w:t>
      </w:r>
      <w:proofErr w:type="spellEnd"/>
      <w:r w:rsidRPr="00103FBA">
        <w:t xml:space="preserve"> </w:t>
      </w:r>
      <w:proofErr w:type="spellStart"/>
      <w:r w:rsidRPr="00103FBA">
        <w:t>transport</w:t>
      </w:r>
      <w:proofErr w:type="spellEnd"/>
      <w:r w:rsidRPr="00103FBA">
        <w:t xml:space="preserve"> </w:t>
      </w:r>
      <w:proofErr w:type="spellStart"/>
      <w:r w:rsidRPr="00103FBA">
        <w:t>providers</w:t>
      </w:r>
      <w:proofErr w:type="spellEnd"/>
      <w:r w:rsidRPr="00103FBA">
        <w:t xml:space="preserve"> </w:t>
      </w:r>
      <w:proofErr w:type="spellStart"/>
      <w:r w:rsidRPr="00103FBA">
        <w:t>operate</w:t>
      </w:r>
      <w:proofErr w:type="spellEnd"/>
      <w:r w:rsidRPr="00103FBA">
        <w:t>.</w:t>
      </w:r>
    </w:p>
  </w:endnote>
  <w:endnote w:id="92">
    <w:p w14:paraId="541F706C"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Source</w:t>
      </w:r>
      <w:proofErr w:type="spellEnd"/>
      <w:r w:rsidRPr="00103FBA">
        <w:t xml:space="preserve"> </w:t>
      </w:r>
      <w:proofErr w:type="spellStart"/>
      <w:r w:rsidRPr="00103FBA">
        <w:t>NZTA’s</w:t>
      </w:r>
      <w:proofErr w:type="spellEnd"/>
      <w:r w:rsidRPr="00103FBA">
        <w:t xml:space="preserve"> PT Performance data </w:t>
      </w:r>
      <w:proofErr w:type="spellStart"/>
      <w:r w:rsidRPr="00103FBA">
        <w:t>tool</w:t>
      </w:r>
      <w:proofErr w:type="spellEnd"/>
      <w:r w:rsidRPr="00103FBA">
        <w:t xml:space="preserve"> </w:t>
      </w:r>
      <w:r w:rsidRPr="00193DD1">
        <w:rPr>
          <w:rStyle w:val="Hipervnculo"/>
        </w:rPr>
        <w:t>http://www.nzta.govt.nz/assets/userfiles/transport-data/PTPerformance.html</w:t>
      </w:r>
      <w:r w:rsidRPr="00103FBA">
        <w:t xml:space="preserve">. </w:t>
      </w:r>
      <w:proofErr w:type="spellStart"/>
      <w:r w:rsidRPr="00103FBA">
        <w:t>Reported</w:t>
      </w:r>
      <w:proofErr w:type="spellEnd"/>
      <w:r w:rsidRPr="00103FBA">
        <w:t xml:space="preserve"> </w:t>
      </w:r>
      <w:proofErr w:type="spellStart"/>
      <w:r w:rsidRPr="00103FBA">
        <w:t>to</w:t>
      </w:r>
      <w:proofErr w:type="spellEnd"/>
      <w:r w:rsidRPr="00103FBA">
        <w:t xml:space="preserve"> </w:t>
      </w:r>
      <w:proofErr w:type="spellStart"/>
      <w:r w:rsidRPr="00103FBA">
        <w:t>NZTA</w:t>
      </w:r>
      <w:proofErr w:type="spellEnd"/>
      <w:r w:rsidRPr="00103FBA">
        <w:t xml:space="preserve"> </w:t>
      </w:r>
      <w:proofErr w:type="spellStart"/>
      <w:r w:rsidRPr="00103FBA">
        <w:t>by</w:t>
      </w:r>
      <w:proofErr w:type="spellEnd"/>
      <w:r w:rsidRPr="00103FBA">
        <w:t xml:space="preserve"> regional </w:t>
      </w:r>
      <w:proofErr w:type="spellStart"/>
      <w:r w:rsidRPr="00103FBA">
        <w:t>councils</w:t>
      </w:r>
      <w:proofErr w:type="spellEnd"/>
      <w:r w:rsidRPr="00103FBA">
        <w:t xml:space="preserve"> and Auckland </w:t>
      </w:r>
      <w:proofErr w:type="spellStart"/>
      <w:r w:rsidRPr="00103FBA">
        <w:t>Transport</w:t>
      </w:r>
      <w:proofErr w:type="spellEnd"/>
      <w:r w:rsidRPr="00103FBA">
        <w:t xml:space="preserve">. </w:t>
      </w:r>
      <w:proofErr w:type="spellStart"/>
      <w:r w:rsidRPr="00103FBA">
        <w:t>See</w:t>
      </w:r>
      <w:proofErr w:type="spellEnd"/>
      <w:r w:rsidRPr="00103FBA">
        <w:t xml:space="preserve"> </w:t>
      </w:r>
      <w:r w:rsidRPr="00193DD1">
        <w:rPr>
          <w:rStyle w:val="Hipervnculo"/>
        </w:rPr>
        <w:t>www.transport.govt.nz/assets/Uploads/About/Documents/Accessibility-report.pdf</w:t>
      </w:r>
      <w:r>
        <w:t xml:space="preserve">. </w:t>
      </w:r>
      <w:proofErr w:type="spellStart"/>
      <w:r w:rsidRPr="00103FBA">
        <w:t>All</w:t>
      </w:r>
      <w:proofErr w:type="spellEnd"/>
      <w:r w:rsidRPr="00103FBA">
        <w:t xml:space="preserve"> buses </w:t>
      </w:r>
      <w:proofErr w:type="spellStart"/>
      <w:r w:rsidRPr="00103FBA">
        <w:t>operating</w:t>
      </w:r>
      <w:proofErr w:type="spellEnd"/>
      <w:r w:rsidRPr="00103FBA">
        <w:t xml:space="preserve"> in </w:t>
      </w:r>
      <w:proofErr w:type="spellStart"/>
      <w:r w:rsidRPr="00103FBA">
        <w:t>Rotorua</w:t>
      </w:r>
      <w:proofErr w:type="spellEnd"/>
      <w:r w:rsidRPr="00103FBA">
        <w:t xml:space="preserve">, Canterbury, </w:t>
      </w:r>
      <w:proofErr w:type="spellStart"/>
      <w:r w:rsidRPr="00103FBA">
        <w:t>Gisborne</w:t>
      </w:r>
      <w:proofErr w:type="spellEnd"/>
      <w:r w:rsidRPr="00103FBA">
        <w:t xml:space="preserve">, </w:t>
      </w:r>
      <w:proofErr w:type="spellStart"/>
      <w:r w:rsidRPr="00103FBA">
        <w:t>Hawkes</w:t>
      </w:r>
      <w:proofErr w:type="spellEnd"/>
      <w:r w:rsidRPr="00103FBA">
        <w:t xml:space="preserve"> Bay, </w:t>
      </w:r>
      <w:proofErr w:type="spellStart"/>
      <w:r w:rsidRPr="00103FBA">
        <w:t>Marlborough</w:t>
      </w:r>
      <w:proofErr w:type="spellEnd"/>
      <w:r w:rsidRPr="00103FBA">
        <w:t xml:space="preserve">, </w:t>
      </w:r>
      <w:proofErr w:type="spellStart"/>
      <w:r w:rsidRPr="00103FBA">
        <w:t>Whangarei</w:t>
      </w:r>
      <w:proofErr w:type="spellEnd"/>
      <w:r w:rsidRPr="00103FBA">
        <w:t xml:space="preserve"> and </w:t>
      </w:r>
      <w:proofErr w:type="spellStart"/>
      <w:r w:rsidRPr="00103FBA">
        <w:t>Waikato</w:t>
      </w:r>
      <w:proofErr w:type="spellEnd"/>
      <w:r w:rsidRPr="00103FBA">
        <w:t xml:space="preserve"> are </w:t>
      </w:r>
      <w:proofErr w:type="spellStart"/>
      <w:r w:rsidRPr="00103FBA">
        <w:t>accessible</w:t>
      </w:r>
      <w:proofErr w:type="spellEnd"/>
      <w:r w:rsidRPr="00103FBA">
        <w:t>.</w:t>
      </w:r>
    </w:p>
  </w:endnote>
  <w:endnote w:id="93">
    <w:p w14:paraId="5528D3AC"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CDEM</w:t>
      </w:r>
      <w:proofErr w:type="spellEnd"/>
      <w:r w:rsidRPr="00103FBA">
        <w:t xml:space="preserve"> agencies are </w:t>
      </w:r>
      <w:proofErr w:type="spellStart"/>
      <w:r w:rsidRPr="00103FBA">
        <w:t>all</w:t>
      </w:r>
      <w:proofErr w:type="spellEnd"/>
      <w:r w:rsidRPr="00103FBA">
        <w:t xml:space="preserve"> </w:t>
      </w:r>
      <w:proofErr w:type="spellStart"/>
      <w:r w:rsidRPr="00103FBA">
        <w:t>those</w:t>
      </w:r>
      <w:proofErr w:type="spellEnd"/>
      <w:r w:rsidRPr="00103FBA">
        <w:t xml:space="preserve"> agencies </w:t>
      </w:r>
      <w:proofErr w:type="spellStart"/>
      <w:r w:rsidRPr="00103FBA">
        <w:t>with</w:t>
      </w:r>
      <w:proofErr w:type="spellEnd"/>
      <w:r w:rsidRPr="00103FBA">
        <w:t xml:space="preserve"> roles and </w:t>
      </w:r>
      <w:proofErr w:type="spellStart"/>
      <w:r w:rsidRPr="00103FBA">
        <w:t>responsibilities</w:t>
      </w:r>
      <w:proofErr w:type="spellEnd"/>
      <w:r w:rsidRPr="00103FBA">
        <w:t xml:space="preserve"> as set </w:t>
      </w:r>
      <w:proofErr w:type="spellStart"/>
      <w:r w:rsidRPr="00103FBA">
        <w:t>out</w:t>
      </w:r>
      <w:proofErr w:type="spellEnd"/>
      <w:r w:rsidRPr="00103FBA">
        <w:t xml:space="preserve"> in </w:t>
      </w:r>
      <w:proofErr w:type="spellStart"/>
      <w:r w:rsidRPr="00103FBA">
        <w:t>the</w:t>
      </w:r>
      <w:proofErr w:type="spellEnd"/>
      <w:r w:rsidRPr="00103FBA">
        <w:t xml:space="preserve"> </w:t>
      </w:r>
      <w:proofErr w:type="spellStart"/>
      <w:r w:rsidRPr="00103FBA">
        <w:t>National</w:t>
      </w:r>
      <w:proofErr w:type="spellEnd"/>
      <w:r w:rsidRPr="00103FBA">
        <w:t xml:space="preserve"> Civil </w:t>
      </w:r>
      <w:proofErr w:type="spellStart"/>
      <w:r w:rsidRPr="00103FBA">
        <w:t>Defence</w:t>
      </w:r>
      <w:proofErr w:type="spellEnd"/>
      <w:r w:rsidRPr="00103FBA">
        <w:t xml:space="preserve"> </w:t>
      </w:r>
      <w:proofErr w:type="spellStart"/>
      <w:r w:rsidRPr="00103FBA">
        <w:t>Emergency</w:t>
      </w:r>
      <w:proofErr w:type="spellEnd"/>
      <w:r w:rsidRPr="00103FBA">
        <w:t xml:space="preserve"> Management Plan </w:t>
      </w:r>
      <w:proofErr w:type="spellStart"/>
      <w:r w:rsidRPr="00103FBA">
        <w:t>Order</w:t>
      </w:r>
      <w:proofErr w:type="spellEnd"/>
      <w:r w:rsidRPr="00103FBA">
        <w:t xml:space="preserve"> 2015. </w:t>
      </w:r>
      <w:proofErr w:type="spellStart"/>
      <w:r w:rsidRPr="00103FBA">
        <w:t>This</w:t>
      </w:r>
      <w:proofErr w:type="spellEnd"/>
      <w:r w:rsidRPr="00103FBA">
        <w:t xml:space="preserve"> </w:t>
      </w:r>
      <w:proofErr w:type="spellStart"/>
      <w:r w:rsidRPr="00103FBA">
        <w:t>totals</w:t>
      </w:r>
      <w:proofErr w:type="spellEnd"/>
      <w:r w:rsidRPr="00103FBA">
        <w:t xml:space="preserve"> </w:t>
      </w:r>
      <w:proofErr w:type="spellStart"/>
      <w:r w:rsidRPr="00103FBA">
        <w:t>over</w:t>
      </w:r>
      <w:proofErr w:type="spellEnd"/>
      <w:r w:rsidRPr="00103FBA">
        <w:t xml:space="preserve"> 60 </w:t>
      </w:r>
      <w:proofErr w:type="spellStart"/>
      <w:r w:rsidRPr="00103FBA">
        <w:t>organisations</w:t>
      </w:r>
      <w:proofErr w:type="spellEnd"/>
      <w:r w:rsidRPr="00103FBA">
        <w:t xml:space="preserve"> </w:t>
      </w:r>
      <w:proofErr w:type="spellStart"/>
      <w:r w:rsidRPr="00103FBA">
        <w:t>including</w:t>
      </w:r>
      <w:proofErr w:type="spellEnd"/>
      <w:r w:rsidRPr="00103FBA">
        <w:t xml:space="preserve"> central </w:t>
      </w:r>
      <w:proofErr w:type="spellStart"/>
      <w:r w:rsidRPr="00103FBA">
        <w:t>government</w:t>
      </w:r>
      <w:proofErr w:type="spellEnd"/>
      <w:r w:rsidRPr="00103FBA">
        <w:t xml:space="preserve">, local </w:t>
      </w:r>
      <w:proofErr w:type="spellStart"/>
      <w:r w:rsidRPr="00103FBA">
        <w:t>government</w:t>
      </w:r>
      <w:proofErr w:type="spellEnd"/>
      <w:r w:rsidRPr="00103FBA">
        <w:t xml:space="preserve">, </w:t>
      </w:r>
      <w:proofErr w:type="spellStart"/>
      <w:r w:rsidRPr="00103FBA">
        <w:t>lifeline</w:t>
      </w:r>
      <w:proofErr w:type="spellEnd"/>
      <w:r w:rsidRPr="00103FBA">
        <w:t xml:space="preserve"> </w:t>
      </w:r>
      <w:proofErr w:type="spellStart"/>
      <w:r w:rsidRPr="00103FBA">
        <w:t>utilities</w:t>
      </w:r>
      <w:proofErr w:type="spellEnd"/>
      <w:r w:rsidRPr="00103FBA">
        <w:t>, and non-</w:t>
      </w:r>
      <w:proofErr w:type="spellStart"/>
      <w:r w:rsidRPr="00103FBA">
        <w:t>government</w:t>
      </w:r>
      <w:proofErr w:type="spellEnd"/>
      <w:r w:rsidRPr="00103FBA">
        <w:t xml:space="preserve"> </w:t>
      </w:r>
      <w:proofErr w:type="spellStart"/>
      <w:r w:rsidRPr="00103FBA">
        <w:t>organisations</w:t>
      </w:r>
      <w:proofErr w:type="spellEnd"/>
      <w:r w:rsidRPr="00103FBA">
        <w:t>.</w:t>
      </w:r>
    </w:p>
  </w:endnote>
  <w:endnote w:id="94">
    <w:p w14:paraId="1A4D51AB"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Deaf</w:t>
      </w:r>
      <w:proofErr w:type="spellEnd"/>
      <w:r w:rsidRPr="00103FBA">
        <w:t xml:space="preserve"> </w:t>
      </w:r>
      <w:proofErr w:type="spellStart"/>
      <w:r w:rsidRPr="00103FBA">
        <w:t>Aotearoa</w:t>
      </w:r>
      <w:proofErr w:type="spellEnd"/>
      <w:r w:rsidRPr="00103FBA">
        <w:t xml:space="preserve"> New </w:t>
      </w:r>
      <w:proofErr w:type="spellStart"/>
      <w:r w:rsidRPr="00103FBA">
        <w:t>Zealand</w:t>
      </w:r>
      <w:proofErr w:type="spellEnd"/>
      <w:r w:rsidRPr="00103FBA">
        <w:t xml:space="preserve"> </w:t>
      </w:r>
      <w:proofErr w:type="spellStart"/>
      <w:r w:rsidRPr="00103FBA">
        <w:t>Tāngata</w:t>
      </w:r>
      <w:proofErr w:type="spellEnd"/>
      <w:r w:rsidRPr="00103FBA">
        <w:t xml:space="preserve"> Turi </w:t>
      </w:r>
      <w:proofErr w:type="spellStart"/>
      <w:r w:rsidRPr="00103FBA">
        <w:t>is</w:t>
      </w:r>
      <w:proofErr w:type="spellEnd"/>
      <w:r w:rsidRPr="00103FBA">
        <w:t xml:space="preserve"> </w:t>
      </w:r>
      <w:r>
        <w:t>“</w:t>
      </w:r>
      <w:r w:rsidRPr="00103FBA">
        <w:t xml:space="preserve">a </w:t>
      </w:r>
      <w:proofErr w:type="spellStart"/>
      <w:r w:rsidRPr="00103FBA">
        <w:t>national</w:t>
      </w:r>
      <w:proofErr w:type="spellEnd"/>
      <w:r w:rsidRPr="00103FBA">
        <w:t xml:space="preserve"> </w:t>
      </w:r>
      <w:proofErr w:type="spellStart"/>
      <w:r w:rsidRPr="00103FBA">
        <w:t>organisation</w:t>
      </w:r>
      <w:proofErr w:type="spellEnd"/>
      <w:r w:rsidRPr="00103FBA">
        <w:t xml:space="preserve"> </w:t>
      </w:r>
      <w:proofErr w:type="spellStart"/>
      <w:r w:rsidRPr="00103FBA">
        <w:t>representing</w:t>
      </w:r>
      <w:proofErr w:type="spellEnd"/>
      <w:r w:rsidRPr="00103FBA">
        <w:t xml:space="preserve"> </w:t>
      </w:r>
      <w:proofErr w:type="spellStart"/>
      <w:r w:rsidRPr="00103FBA">
        <w:t>the</w:t>
      </w:r>
      <w:proofErr w:type="spellEnd"/>
      <w:r w:rsidRPr="00103FBA">
        <w:t xml:space="preserve"> </w:t>
      </w:r>
      <w:proofErr w:type="spellStart"/>
      <w:r w:rsidRPr="00103FBA">
        <w:t>voice</w:t>
      </w:r>
      <w:proofErr w:type="spellEnd"/>
      <w:r w:rsidRPr="00103FBA">
        <w:t xml:space="preserve"> </w:t>
      </w:r>
      <w:proofErr w:type="spellStart"/>
      <w:r w:rsidRPr="00103FBA">
        <w:t>of</w:t>
      </w:r>
      <w:proofErr w:type="spellEnd"/>
      <w:r w:rsidRPr="00103FBA">
        <w:t xml:space="preserve"> </w:t>
      </w:r>
      <w:proofErr w:type="spellStart"/>
      <w:r w:rsidRPr="00103FBA">
        <w:t>Deaf</w:t>
      </w:r>
      <w:proofErr w:type="spellEnd"/>
      <w:r w:rsidRPr="00103FBA">
        <w:t xml:space="preserve"> </w:t>
      </w:r>
      <w:proofErr w:type="spellStart"/>
      <w:r w:rsidRPr="00103FBA">
        <w:t>people</w:t>
      </w:r>
      <w:proofErr w:type="spellEnd"/>
      <w:r w:rsidRPr="00103FBA">
        <w:t xml:space="preserve">, and </w:t>
      </w:r>
      <w:proofErr w:type="spellStart"/>
      <w:r w:rsidRPr="00103FBA">
        <w:t>the</w:t>
      </w:r>
      <w:proofErr w:type="spellEnd"/>
      <w:r w:rsidRPr="00103FBA">
        <w:t xml:space="preserve"> </w:t>
      </w:r>
      <w:proofErr w:type="spellStart"/>
      <w:r w:rsidRPr="00103FBA">
        <w:t>national</w:t>
      </w:r>
      <w:proofErr w:type="spellEnd"/>
      <w:r w:rsidRPr="00103FBA">
        <w:t xml:space="preserve"> </w:t>
      </w:r>
      <w:proofErr w:type="spellStart"/>
      <w:r w:rsidRPr="00103FBA">
        <w:t>service</w:t>
      </w:r>
      <w:proofErr w:type="spellEnd"/>
      <w:r w:rsidRPr="00103FBA">
        <w:t xml:space="preserve"> </w:t>
      </w:r>
      <w:proofErr w:type="spellStart"/>
      <w:r w:rsidRPr="00103FBA">
        <w:t>provider</w:t>
      </w:r>
      <w:proofErr w:type="spellEnd"/>
      <w:r w:rsidRPr="00103FBA">
        <w:t xml:space="preserve"> </w:t>
      </w:r>
      <w:proofErr w:type="spellStart"/>
      <w:r w:rsidRPr="00103FBA">
        <w:t>for</w:t>
      </w:r>
      <w:proofErr w:type="spellEnd"/>
      <w:r w:rsidRPr="00103FBA">
        <w:t xml:space="preserve"> </w:t>
      </w:r>
      <w:proofErr w:type="spellStart"/>
      <w:r w:rsidRPr="00103FBA">
        <w:t>Deaf</w:t>
      </w:r>
      <w:proofErr w:type="spellEnd"/>
      <w:r w:rsidRPr="00103FBA">
        <w:t xml:space="preserve"> </w:t>
      </w:r>
      <w:proofErr w:type="spellStart"/>
      <w:r w:rsidRPr="00103FBA">
        <w:t>people</w:t>
      </w:r>
      <w:proofErr w:type="spellEnd"/>
      <w:r w:rsidRPr="00103FBA">
        <w:t xml:space="preserve"> in New </w:t>
      </w:r>
      <w:proofErr w:type="spellStart"/>
      <w:r w:rsidRPr="00103FBA">
        <w:t>Zealand</w:t>
      </w:r>
      <w:proofErr w:type="spellEnd"/>
      <w:r>
        <w:t>”</w:t>
      </w:r>
      <w:r w:rsidRPr="00103FBA">
        <w:t xml:space="preserve">. </w:t>
      </w:r>
      <w:proofErr w:type="spellStart"/>
      <w:r w:rsidRPr="00103FBA">
        <w:t>See</w:t>
      </w:r>
      <w:proofErr w:type="spellEnd"/>
      <w:r w:rsidRPr="00103FBA">
        <w:t xml:space="preserve"> </w:t>
      </w:r>
      <w:r w:rsidRPr="00193DD1">
        <w:rPr>
          <w:rStyle w:val="Hipervnculo"/>
        </w:rPr>
        <w:t>http://</w:t>
      </w:r>
      <w:proofErr w:type="spellStart"/>
      <w:r w:rsidRPr="00193DD1">
        <w:rPr>
          <w:rStyle w:val="Hipervnculo"/>
        </w:rPr>
        <w:t>deaf.org.nz</w:t>
      </w:r>
      <w:proofErr w:type="spellEnd"/>
      <w:r w:rsidRPr="00193DD1">
        <w:rPr>
          <w:rStyle w:val="Hipervnculo"/>
        </w:rPr>
        <w:t>/</w:t>
      </w:r>
      <w:r w:rsidRPr="00103FBA">
        <w:t xml:space="preserve">. </w:t>
      </w:r>
    </w:p>
  </w:endnote>
  <w:endnote w:id="95">
    <w:p w14:paraId="2342BAFB"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These</w:t>
      </w:r>
      <w:proofErr w:type="spellEnd"/>
      <w:r w:rsidRPr="00103FBA">
        <w:t xml:space="preserve"> </w:t>
      </w:r>
      <w:proofErr w:type="spellStart"/>
      <w:r w:rsidRPr="00103FBA">
        <w:t>interpreters</w:t>
      </w:r>
      <w:proofErr w:type="spellEnd"/>
      <w:r w:rsidRPr="00103FBA">
        <w:t xml:space="preserve"> are </w:t>
      </w:r>
      <w:proofErr w:type="spellStart"/>
      <w:r w:rsidRPr="00103FBA">
        <w:t>mindful</w:t>
      </w:r>
      <w:proofErr w:type="spellEnd"/>
      <w:r w:rsidRPr="00103FBA">
        <w:t xml:space="preserve"> </w:t>
      </w:r>
      <w:proofErr w:type="spellStart"/>
      <w:r w:rsidRPr="00103FBA">
        <w:t>of</w:t>
      </w:r>
      <w:proofErr w:type="spellEnd"/>
      <w:r w:rsidRPr="00103FBA">
        <w:t xml:space="preserve"> </w:t>
      </w:r>
      <w:proofErr w:type="spellStart"/>
      <w:r w:rsidRPr="00103FBA">
        <w:t>the</w:t>
      </w:r>
      <w:proofErr w:type="spellEnd"/>
      <w:r w:rsidRPr="00103FBA">
        <w:t xml:space="preserve"> </w:t>
      </w:r>
      <w:proofErr w:type="spellStart"/>
      <w:r w:rsidRPr="00103FBA">
        <w:t>need</w:t>
      </w:r>
      <w:proofErr w:type="spellEnd"/>
      <w:r w:rsidRPr="00103FBA">
        <w:t xml:space="preserve"> </w:t>
      </w:r>
      <w:proofErr w:type="spellStart"/>
      <w:r w:rsidRPr="00103FBA">
        <w:t>to</w:t>
      </w:r>
      <w:proofErr w:type="spellEnd"/>
      <w:r w:rsidRPr="00103FBA">
        <w:t xml:space="preserve"> </w:t>
      </w:r>
      <w:proofErr w:type="spellStart"/>
      <w:r w:rsidRPr="00103FBA">
        <w:t>communicate</w:t>
      </w:r>
      <w:proofErr w:type="spellEnd"/>
      <w:r w:rsidRPr="00103FBA">
        <w:t xml:space="preserve"> </w:t>
      </w:r>
      <w:proofErr w:type="spellStart"/>
      <w:r w:rsidRPr="00103FBA">
        <w:t>information</w:t>
      </w:r>
      <w:proofErr w:type="spellEnd"/>
      <w:r w:rsidRPr="00103FBA">
        <w:t xml:space="preserve"> in </w:t>
      </w:r>
      <w:proofErr w:type="spellStart"/>
      <w:r w:rsidRPr="00103FBA">
        <w:t>ways</w:t>
      </w:r>
      <w:proofErr w:type="spellEnd"/>
      <w:r w:rsidRPr="00103FBA">
        <w:t xml:space="preserve"> </w:t>
      </w:r>
      <w:proofErr w:type="spellStart"/>
      <w:r w:rsidRPr="00103FBA">
        <w:t>that</w:t>
      </w:r>
      <w:proofErr w:type="spellEnd"/>
      <w:r w:rsidRPr="00103FBA">
        <w:t xml:space="preserve"> </w:t>
      </w:r>
      <w:proofErr w:type="spellStart"/>
      <w:r w:rsidRPr="00103FBA">
        <w:t>Deaf</w:t>
      </w:r>
      <w:proofErr w:type="spellEnd"/>
      <w:r w:rsidRPr="00103FBA">
        <w:t xml:space="preserve"> </w:t>
      </w:r>
      <w:proofErr w:type="spellStart"/>
      <w:r w:rsidRPr="00103FBA">
        <w:t>people</w:t>
      </w:r>
      <w:proofErr w:type="spellEnd"/>
      <w:r w:rsidRPr="00103FBA">
        <w:t xml:space="preserve"> </w:t>
      </w:r>
      <w:proofErr w:type="spellStart"/>
      <w:r w:rsidRPr="00103FBA">
        <w:t>with</w:t>
      </w:r>
      <w:proofErr w:type="spellEnd"/>
      <w:r w:rsidRPr="00103FBA">
        <w:t xml:space="preserve"> </w:t>
      </w:r>
      <w:proofErr w:type="spellStart"/>
      <w:r w:rsidRPr="00103FBA">
        <w:t>lower</w:t>
      </w:r>
      <w:proofErr w:type="spellEnd"/>
      <w:r w:rsidRPr="00103FBA">
        <w:t xml:space="preserve"> </w:t>
      </w:r>
      <w:proofErr w:type="spellStart"/>
      <w:r w:rsidRPr="00103FBA">
        <w:t>levels</w:t>
      </w:r>
      <w:proofErr w:type="spellEnd"/>
      <w:r w:rsidRPr="00103FBA">
        <w:t xml:space="preserve"> </w:t>
      </w:r>
      <w:proofErr w:type="spellStart"/>
      <w:r w:rsidRPr="00103FBA">
        <w:t>of</w:t>
      </w:r>
      <w:proofErr w:type="spellEnd"/>
      <w:r w:rsidRPr="00103FBA">
        <w:t xml:space="preserve"> </w:t>
      </w:r>
      <w:proofErr w:type="spellStart"/>
      <w:r w:rsidRPr="00103FBA">
        <w:t>literacy</w:t>
      </w:r>
      <w:proofErr w:type="spellEnd"/>
      <w:r w:rsidRPr="00103FBA">
        <w:t xml:space="preserve"> can </w:t>
      </w:r>
      <w:proofErr w:type="spellStart"/>
      <w:r w:rsidRPr="00103FBA">
        <w:t>understand</w:t>
      </w:r>
      <w:proofErr w:type="spellEnd"/>
      <w:r w:rsidRPr="00103FBA">
        <w:t>.</w:t>
      </w:r>
    </w:p>
  </w:endnote>
  <w:endnote w:id="96">
    <w:p w14:paraId="520BE8F4"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The</w:t>
      </w:r>
      <w:proofErr w:type="spellEnd"/>
      <w:r w:rsidRPr="00103FBA">
        <w:t xml:space="preserve"> </w:t>
      </w:r>
      <w:proofErr w:type="spellStart"/>
      <w:r w:rsidRPr="00103FBA">
        <w:t>Protection</w:t>
      </w:r>
      <w:proofErr w:type="spellEnd"/>
      <w:r w:rsidRPr="00103FBA">
        <w:t xml:space="preserve"> </w:t>
      </w:r>
      <w:proofErr w:type="spellStart"/>
      <w:r w:rsidRPr="00103FBA">
        <w:t>of</w:t>
      </w:r>
      <w:proofErr w:type="spellEnd"/>
      <w:r w:rsidRPr="00103FBA">
        <w:t xml:space="preserve"> Personal and </w:t>
      </w:r>
      <w:proofErr w:type="spellStart"/>
      <w:r w:rsidRPr="00103FBA">
        <w:t>Property</w:t>
      </w:r>
      <w:proofErr w:type="spellEnd"/>
      <w:r w:rsidRPr="00103FBA">
        <w:t xml:space="preserve"> </w:t>
      </w:r>
      <w:proofErr w:type="spellStart"/>
      <w:r w:rsidRPr="00103FBA">
        <w:t>Rights</w:t>
      </w:r>
      <w:proofErr w:type="spellEnd"/>
      <w:r w:rsidRPr="00103FBA">
        <w:t xml:space="preserve"> </w:t>
      </w:r>
      <w:proofErr w:type="spellStart"/>
      <w:r w:rsidRPr="00103FBA">
        <w:t>Act</w:t>
      </w:r>
      <w:proofErr w:type="spellEnd"/>
      <w:r w:rsidRPr="00103FBA">
        <w:t xml:space="preserve"> 1988 </w:t>
      </w:r>
      <w:proofErr w:type="spellStart"/>
      <w:r w:rsidRPr="00103FBA">
        <w:t>provides</w:t>
      </w:r>
      <w:proofErr w:type="spellEnd"/>
      <w:r w:rsidRPr="00103FBA">
        <w:t xml:space="preserve"> </w:t>
      </w:r>
      <w:proofErr w:type="spellStart"/>
      <w:r w:rsidRPr="00103FBA">
        <w:t>for</w:t>
      </w:r>
      <w:proofErr w:type="spellEnd"/>
      <w:r w:rsidRPr="00103FBA">
        <w:t xml:space="preserve"> </w:t>
      </w:r>
      <w:proofErr w:type="spellStart"/>
      <w:r w:rsidRPr="00103FBA">
        <w:t>the</w:t>
      </w:r>
      <w:proofErr w:type="spellEnd"/>
      <w:r w:rsidRPr="00103FBA">
        <w:t xml:space="preserve"> </w:t>
      </w:r>
      <w:proofErr w:type="spellStart"/>
      <w:r w:rsidRPr="00103FBA">
        <w:t>protection</w:t>
      </w:r>
      <w:proofErr w:type="spellEnd"/>
      <w:r w:rsidRPr="00103FBA">
        <w:t xml:space="preserve"> and </w:t>
      </w:r>
      <w:proofErr w:type="spellStart"/>
      <w:r w:rsidRPr="00103FBA">
        <w:t>promotion</w:t>
      </w:r>
      <w:proofErr w:type="spellEnd"/>
      <w:r w:rsidRPr="00103FBA">
        <w:t xml:space="preserve"> </w:t>
      </w:r>
      <w:proofErr w:type="spellStart"/>
      <w:r w:rsidRPr="00103FBA">
        <w:t>of</w:t>
      </w:r>
      <w:proofErr w:type="spellEnd"/>
      <w:r w:rsidRPr="00103FBA">
        <w:t xml:space="preserve"> </w:t>
      </w:r>
      <w:proofErr w:type="spellStart"/>
      <w:r w:rsidRPr="00103FBA">
        <w:t>the</w:t>
      </w:r>
      <w:proofErr w:type="spellEnd"/>
      <w:r w:rsidRPr="00103FBA">
        <w:t xml:space="preserve"> personal and </w:t>
      </w:r>
      <w:proofErr w:type="spellStart"/>
      <w:r w:rsidRPr="00103FBA">
        <w:t>property</w:t>
      </w:r>
      <w:proofErr w:type="spellEnd"/>
      <w:r w:rsidRPr="00103FBA">
        <w:t xml:space="preserve"> </w:t>
      </w:r>
      <w:proofErr w:type="spellStart"/>
      <w:r w:rsidRPr="00103FBA">
        <w:t>rights</w:t>
      </w:r>
      <w:proofErr w:type="spellEnd"/>
      <w:r w:rsidRPr="00103FBA">
        <w:t xml:space="preserve"> </w:t>
      </w:r>
      <w:proofErr w:type="spellStart"/>
      <w:r w:rsidRPr="00103FBA">
        <w:t>of</w:t>
      </w:r>
      <w:proofErr w:type="spellEnd"/>
      <w:r w:rsidRPr="00103FBA">
        <w:t xml:space="preserve"> </w:t>
      </w:r>
      <w:proofErr w:type="spellStart"/>
      <w:r w:rsidRPr="00103FBA">
        <w:t>persons</w:t>
      </w:r>
      <w:proofErr w:type="spellEnd"/>
      <w:r w:rsidRPr="00103FBA">
        <w:t xml:space="preserve"> </w:t>
      </w:r>
      <w:proofErr w:type="spellStart"/>
      <w:r w:rsidRPr="00103FBA">
        <w:t>who</w:t>
      </w:r>
      <w:proofErr w:type="spellEnd"/>
      <w:r w:rsidRPr="00103FBA">
        <w:t xml:space="preserve"> are </w:t>
      </w:r>
      <w:proofErr w:type="spellStart"/>
      <w:r w:rsidRPr="00103FBA">
        <w:t>not</w:t>
      </w:r>
      <w:proofErr w:type="spellEnd"/>
      <w:r w:rsidRPr="00103FBA">
        <w:t xml:space="preserve"> </w:t>
      </w:r>
      <w:proofErr w:type="spellStart"/>
      <w:r w:rsidRPr="00103FBA">
        <w:t>fully</w:t>
      </w:r>
      <w:proofErr w:type="spellEnd"/>
      <w:r w:rsidRPr="00103FBA">
        <w:t xml:space="preserve"> </w:t>
      </w:r>
      <w:proofErr w:type="spellStart"/>
      <w:r w:rsidRPr="00103FBA">
        <w:t>able</w:t>
      </w:r>
      <w:proofErr w:type="spellEnd"/>
      <w:r w:rsidRPr="00103FBA">
        <w:t xml:space="preserve"> </w:t>
      </w:r>
      <w:proofErr w:type="spellStart"/>
      <w:r w:rsidRPr="00103FBA">
        <w:t>to</w:t>
      </w:r>
      <w:proofErr w:type="spellEnd"/>
      <w:r w:rsidRPr="00103FBA">
        <w:t xml:space="preserve"> </w:t>
      </w:r>
      <w:proofErr w:type="spellStart"/>
      <w:r w:rsidRPr="00103FBA">
        <w:t>manage</w:t>
      </w:r>
      <w:proofErr w:type="spellEnd"/>
      <w:r w:rsidRPr="00103FBA">
        <w:t xml:space="preserve"> </w:t>
      </w:r>
      <w:proofErr w:type="spellStart"/>
      <w:r w:rsidRPr="00103FBA">
        <w:t>their</w:t>
      </w:r>
      <w:proofErr w:type="spellEnd"/>
      <w:r w:rsidRPr="00103FBA">
        <w:t xml:space="preserve"> </w:t>
      </w:r>
      <w:proofErr w:type="spellStart"/>
      <w:r w:rsidRPr="00103FBA">
        <w:t>own</w:t>
      </w:r>
      <w:proofErr w:type="spellEnd"/>
      <w:r w:rsidRPr="00103FBA">
        <w:t xml:space="preserve"> </w:t>
      </w:r>
      <w:proofErr w:type="spellStart"/>
      <w:r w:rsidRPr="00103FBA">
        <w:t>affairs</w:t>
      </w:r>
      <w:proofErr w:type="spellEnd"/>
      <w:r w:rsidRPr="00103FBA">
        <w:t xml:space="preserve">. </w:t>
      </w:r>
      <w:proofErr w:type="spellStart"/>
      <w:r w:rsidRPr="00103FBA">
        <w:t>There</w:t>
      </w:r>
      <w:proofErr w:type="spellEnd"/>
      <w:r w:rsidRPr="00103FBA">
        <w:t xml:space="preserve"> are </w:t>
      </w:r>
      <w:proofErr w:type="spellStart"/>
      <w:r w:rsidRPr="00103FBA">
        <w:t>currently</w:t>
      </w:r>
      <w:proofErr w:type="spellEnd"/>
      <w:r w:rsidRPr="00103FBA">
        <w:t xml:space="preserve"> no </w:t>
      </w:r>
      <w:proofErr w:type="spellStart"/>
      <w:r w:rsidRPr="00103FBA">
        <w:t>plans</w:t>
      </w:r>
      <w:proofErr w:type="spellEnd"/>
      <w:r w:rsidRPr="00103FBA">
        <w:t xml:space="preserve"> </w:t>
      </w:r>
      <w:proofErr w:type="spellStart"/>
      <w:r w:rsidRPr="00103FBA">
        <w:t>to</w:t>
      </w:r>
      <w:proofErr w:type="spellEnd"/>
      <w:r w:rsidRPr="00103FBA">
        <w:t xml:space="preserve"> revise </w:t>
      </w:r>
      <w:proofErr w:type="spellStart"/>
      <w:r w:rsidRPr="00103FBA">
        <w:t>this</w:t>
      </w:r>
      <w:proofErr w:type="spellEnd"/>
      <w:r w:rsidRPr="00103FBA">
        <w:t xml:space="preserve"> </w:t>
      </w:r>
      <w:proofErr w:type="spellStart"/>
      <w:r w:rsidRPr="00103FBA">
        <w:t>Act</w:t>
      </w:r>
      <w:proofErr w:type="spellEnd"/>
      <w:r w:rsidRPr="00103FBA">
        <w:t>.</w:t>
      </w:r>
    </w:p>
  </w:endnote>
  <w:endnote w:id="97">
    <w:p w14:paraId="2DF4B434"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See</w:t>
      </w:r>
      <w:proofErr w:type="spellEnd"/>
      <w:r w:rsidRPr="00103FBA">
        <w:t xml:space="preserve"> </w:t>
      </w:r>
      <w:r w:rsidRPr="00193DD1">
        <w:rPr>
          <w:rStyle w:val="Hipervnculo"/>
        </w:rPr>
        <w:t>www.hdc.org.nz/your-rights/about-the-code/code-of-health-and-disability-services-consumers-rights/</w:t>
      </w:r>
      <w:r w:rsidRPr="00193DD1">
        <w:t>.</w:t>
      </w:r>
    </w:p>
  </w:endnote>
  <w:endnote w:id="98">
    <w:p w14:paraId="1FB20762"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See</w:t>
      </w:r>
      <w:proofErr w:type="spellEnd"/>
      <w:r w:rsidRPr="00103FBA">
        <w:t xml:space="preserve"> </w:t>
      </w:r>
      <w:r w:rsidRPr="00193DD1">
        <w:rPr>
          <w:rStyle w:val="Hipervnculo"/>
        </w:rPr>
        <w:t>www.hdc.org.nz/your-rights/about-the-code/code-of-health-and-disability-services-consumers-rights/</w:t>
      </w:r>
      <w:r w:rsidRPr="00103FBA">
        <w:t>.</w:t>
      </w:r>
    </w:p>
  </w:endnote>
  <w:endnote w:id="99">
    <w:p w14:paraId="0BD201F0"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See</w:t>
      </w:r>
      <w:proofErr w:type="spellEnd"/>
      <w:r w:rsidRPr="00103FBA">
        <w:t xml:space="preserve"> </w:t>
      </w:r>
      <w:r w:rsidRPr="00193DD1">
        <w:rPr>
          <w:rStyle w:val="Hipervnculo"/>
        </w:rPr>
        <w:t>www.health.govt.nz/publication/funded-family-care-operational-policy</w:t>
      </w:r>
      <w:r w:rsidRPr="00103FBA">
        <w:t>.</w:t>
      </w:r>
    </w:p>
  </w:endnote>
  <w:endnote w:id="100">
    <w:p w14:paraId="12A104AB"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Ministry</w:t>
      </w:r>
      <w:proofErr w:type="spellEnd"/>
      <w:r w:rsidRPr="00103FBA">
        <w:t xml:space="preserve"> </w:t>
      </w:r>
      <w:proofErr w:type="spellStart"/>
      <w:r w:rsidRPr="00103FBA">
        <w:t>of</w:t>
      </w:r>
      <w:proofErr w:type="spellEnd"/>
      <w:r w:rsidRPr="00103FBA">
        <w:t xml:space="preserve"> </w:t>
      </w:r>
      <w:proofErr w:type="spellStart"/>
      <w:r w:rsidRPr="00103FBA">
        <w:t>Justice</w:t>
      </w:r>
      <w:proofErr w:type="spellEnd"/>
      <w:r w:rsidRPr="00103FBA">
        <w:t xml:space="preserve"> data.</w:t>
      </w:r>
    </w:p>
  </w:endnote>
  <w:endnote w:id="101">
    <w:p w14:paraId="463CDB9A"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The</w:t>
      </w:r>
      <w:proofErr w:type="spellEnd"/>
      <w:r w:rsidRPr="00103FBA">
        <w:t xml:space="preserve"> </w:t>
      </w:r>
      <w:proofErr w:type="spellStart"/>
      <w:r w:rsidRPr="00103FBA">
        <w:t>Accident</w:t>
      </w:r>
      <w:proofErr w:type="spellEnd"/>
      <w:r w:rsidRPr="00103FBA">
        <w:t xml:space="preserve"> </w:t>
      </w:r>
      <w:proofErr w:type="spellStart"/>
      <w:r w:rsidRPr="00103FBA">
        <w:t>Compensation</w:t>
      </w:r>
      <w:proofErr w:type="spellEnd"/>
      <w:r w:rsidRPr="00103FBA">
        <w:t xml:space="preserve"> (</w:t>
      </w:r>
      <w:proofErr w:type="spellStart"/>
      <w:r w:rsidRPr="00103FBA">
        <w:t>Review</w:t>
      </w:r>
      <w:proofErr w:type="spellEnd"/>
      <w:r w:rsidRPr="00103FBA">
        <w:t xml:space="preserve"> </w:t>
      </w:r>
      <w:proofErr w:type="spellStart"/>
      <w:r w:rsidRPr="00103FBA">
        <w:t>Costs</w:t>
      </w:r>
      <w:proofErr w:type="spellEnd"/>
      <w:r w:rsidRPr="00103FBA">
        <w:t xml:space="preserve"> and Appeals) </w:t>
      </w:r>
      <w:proofErr w:type="spellStart"/>
      <w:r w:rsidRPr="00103FBA">
        <w:t>Regulations</w:t>
      </w:r>
      <w:proofErr w:type="spellEnd"/>
      <w:r w:rsidRPr="00103FBA">
        <w:t xml:space="preserve"> 2002 </w:t>
      </w:r>
      <w:proofErr w:type="spellStart"/>
      <w:r w:rsidRPr="00103FBA">
        <w:t>stipulate</w:t>
      </w:r>
      <w:proofErr w:type="spellEnd"/>
      <w:r w:rsidRPr="00103FBA">
        <w:t xml:space="preserve"> </w:t>
      </w:r>
      <w:proofErr w:type="spellStart"/>
      <w:r w:rsidRPr="00103FBA">
        <w:t>amounts</w:t>
      </w:r>
      <w:proofErr w:type="spellEnd"/>
      <w:r w:rsidRPr="00103FBA">
        <w:t xml:space="preserve">. </w:t>
      </w:r>
      <w:proofErr w:type="spellStart"/>
      <w:r w:rsidRPr="00103FBA">
        <w:t>The</w:t>
      </w:r>
      <w:proofErr w:type="spellEnd"/>
      <w:r w:rsidRPr="00103FBA">
        <w:t xml:space="preserve"> </w:t>
      </w:r>
      <w:proofErr w:type="spellStart"/>
      <w:r w:rsidRPr="00103FBA">
        <w:t>prescribed</w:t>
      </w:r>
      <w:proofErr w:type="spellEnd"/>
      <w:r w:rsidRPr="00103FBA">
        <w:t xml:space="preserve"> </w:t>
      </w:r>
      <w:proofErr w:type="spellStart"/>
      <w:r w:rsidRPr="00103FBA">
        <w:t>amounts</w:t>
      </w:r>
      <w:proofErr w:type="spellEnd"/>
      <w:r w:rsidRPr="00103FBA">
        <w:t xml:space="preserve"> </w:t>
      </w:r>
      <w:proofErr w:type="spellStart"/>
      <w:r w:rsidRPr="00103FBA">
        <w:t>were</w:t>
      </w:r>
      <w:proofErr w:type="spellEnd"/>
      <w:r w:rsidRPr="00103FBA">
        <w:t xml:space="preserve"> </w:t>
      </w:r>
      <w:proofErr w:type="spellStart"/>
      <w:r w:rsidRPr="00103FBA">
        <w:t>increased</w:t>
      </w:r>
      <w:proofErr w:type="spellEnd"/>
      <w:r w:rsidRPr="00103FBA">
        <w:t xml:space="preserve"> in June 2017 and are </w:t>
      </w:r>
      <w:proofErr w:type="spellStart"/>
      <w:r w:rsidRPr="00103FBA">
        <w:t>being</w:t>
      </w:r>
      <w:proofErr w:type="spellEnd"/>
      <w:r w:rsidRPr="00103FBA">
        <w:t xml:space="preserve"> </w:t>
      </w:r>
      <w:proofErr w:type="spellStart"/>
      <w:r w:rsidRPr="00103FBA">
        <w:t>further</w:t>
      </w:r>
      <w:proofErr w:type="spellEnd"/>
      <w:r w:rsidRPr="00103FBA">
        <w:t xml:space="preserve"> </w:t>
      </w:r>
      <w:proofErr w:type="spellStart"/>
      <w:r w:rsidRPr="00103FBA">
        <w:t>reviewed</w:t>
      </w:r>
      <w:proofErr w:type="spellEnd"/>
      <w:r w:rsidRPr="00103FBA">
        <w:t xml:space="preserve"> </w:t>
      </w:r>
      <w:proofErr w:type="spellStart"/>
      <w:r w:rsidRPr="00103FBA">
        <w:t>by</w:t>
      </w:r>
      <w:proofErr w:type="spellEnd"/>
      <w:r w:rsidRPr="00103FBA">
        <w:t xml:space="preserve"> </w:t>
      </w:r>
      <w:proofErr w:type="spellStart"/>
      <w:r w:rsidRPr="00103FBA">
        <w:t>the</w:t>
      </w:r>
      <w:proofErr w:type="spellEnd"/>
      <w:r w:rsidRPr="00103FBA">
        <w:t xml:space="preserve"> </w:t>
      </w:r>
      <w:proofErr w:type="spellStart"/>
      <w:r w:rsidRPr="00103FBA">
        <w:t>Ministry</w:t>
      </w:r>
      <w:proofErr w:type="spellEnd"/>
      <w:r w:rsidRPr="00103FBA">
        <w:t xml:space="preserve"> </w:t>
      </w:r>
      <w:proofErr w:type="spellStart"/>
      <w:r w:rsidRPr="00103FBA">
        <w:t>of</w:t>
      </w:r>
      <w:proofErr w:type="spellEnd"/>
      <w:r w:rsidRPr="00103FBA">
        <w:t xml:space="preserve"> Business, </w:t>
      </w:r>
      <w:proofErr w:type="spellStart"/>
      <w:r w:rsidRPr="00103FBA">
        <w:t>Innovation</w:t>
      </w:r>
      <w:proofErr w:type="spellEnd"/>
      <w:r w:rsidRPr="00103FBA">
        <w:t xml:space="preserve"> and </w:t>
      </w:r>
      <w:proofErr w:type="spellStart"/>
      <w:r w:rsidRPr="00103FBA">
        <w:t>Employment</w:t>
      </w:r>
      <w:proofErr w:type="spellEnd"/>
      <w:r w:rsidRPr="00103FBA">
        <w:t>.</w:t>
      </w:r>
    </w:p>
  </w:endnote>
  <w:endnote w:id="102">
    <w:p w14:paraId="27C187BA"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This</w:t>
      </w:r>
      <w:proofErr w:type="spellEnd"/>
      <w:r w:rsidRPr="00103FBA">
        <w:t xml:space="preserve"> </w:t>
      </w:r>
      <w:proofErr w:type="spellStart"/>
      <w:r w:rsidRPr="00103FBA">
        <w:t>is</w:t>
      </w:r>
      <w:proofErr w:type="spellEnd"/>
      <w:r w:rsidRPr="00103FBA">
        <w:t xml:space="preserve"> more </w:t>
      </w:r>
      <w:proofErr w:type="spellStart"/>
      <w:r w:rsidRPr="00103FBA">
        <w:t>than</w:t>
      </w:r>
      <w:proofErr w:type="spellEnd"/>
      <w:r w:rsidRPr="00103FBA">
        <w:t xml:space="preserve"> </w:t>
      </w:r>
      <w:proofErr w:type="spellStart"/>
      <w:r w:rsidRPr="00103FBA">
        <w:t>four</w:t>
      </w:r>
      <w:proofErr w:type="spellEnd"/>
      <w:r w:rsidRPr="00103FBA">
        <w:t xml:space="preserve"> times </w:t>
      </w:r>
      <w:proofErr w:type="spellStart"/>
      <w:r w:rsidRPr="00103FBA">
        <w:t>the</w:t>
      </w:r>
      <w:proofErr w:type="spellEnd"/>
      <w:r w:rsidRPr="00103FBA">
        <w:t xml:space="preserve"> </w:t>
      </w:r>
      <w:proofErr w:type="spellStart"/>
      <w:r w:rsidRPr="00103FBA">
        <w:t>number</w:t>
      </w:r>
      <w:proofErr w:type="spellEnd"/>
      <w:r w:rsidRPr="00103FBA">
        <w:t xml:space="preserve"> </w:t>
      </w:r>
      <w:proofErr w:type="spellStart"/>
      <w:r w:rsidRPr="00103FBA">
        <w:t>served</w:t>
      </w:r>
      <w:proofErr w:type="spellEnd"/>
      <w:r w:rsidRPr="00103FBA">
        <w:t xml:space="preserve"> </w:t>
      </w:r>
      <w:proofErr w:type="spellStart"/>
      <w:r w:rsidRPr="00103FBA">
        <w:t>by</w:t>
      </w:r>
      <w:proofErr w:type="spellEnd"/>
      <w:r w:rsidRPr="00103FBA">
        <w:t xml:space="preserve"> </w:t>
      </w:r>
      <w:proofErr w:type="spellStart"/>
      <w:r w:rsidRPr="00103FBA">
        <w:t>the</w:t>
      </w:r>
      <w:proofErr w:type="spellEnd"/>
      <w:r w:rsidRPr="00103FBA">
        <w:t xml:space="preserve"> </w:t>
      </w:r>
      <w:proofErr w:type="spellStart"/>
      <w:r w:rsidRPr="00103FBA">
        <w:t>existing</w:t>
      </w:r>
      <w:proofErr w:type="spellEnd"/>
      <w:r w:rsidRPr="00103FBA">
        <w:t xml:space="preserve"> ACC-</w:t>
      </w:r>
      <w:proofErr w:type="spellStart"/>
      <w:r w:rsidRPr="00103FBA">
        <w:t>funded</w:t>
      </w:r>
      <w:proofErr w:type="spellEnd"/>
      <w:r w:rsidRPr="00103FBA">
        <w:t xml:space="preserve"> </w:t>
      </w:r>
      <w:proofErr w:type="spellStart"/>
      <w:r w:rsidRPr="00103FBA">
        <w:t>advocacy</w:t>
      </w:r>
      <w:proofErr w:type="spellEnd"/>
      <w:r w:rsidRPr="00103FBA">
        <w:t xml:space="preserve"> </w:t>
      </w:r>
      <w:proofErr w:type="spellStart"/>
      <w:r w:rsidRPr="00103FBA">
        <w:t>services</w:t>
      </w:r>
      <w:proofErr w:type="spellEnd"/>
    </w:p>
  </w:endnote>
  <w:endnote w:id="103">
    <w:p w14:paraId="4680A9CF" w14:textId="77777777" w:rsidR="003665BE" w:rsidRDefault="003665BE" w:rsidP="00011964">
      <w:pPr>
        <w:pStyle w:val="Textonotaalfinal"/>
        <w:rPr>
          <w:rFonts w:asciiTheme="minorHAnsi" w:hAnsiTheme="minorHAnsi" w:cstheme="minorBidi"/>
          <w:sz w:val="20"/>
        </w:rPr>
      </w:pPr>
      <w:r w:rsidRPr="00103FBA">
        <w:tab/>
      </w:r>
      <w:r w:rsidRPr="00154216">
        <w:rPr>
          <w:rStyle w:val="Refdenotaalfinal"/>
        </w:rPr>
        <w:endnoteRef/>
      </w:r>
      <w:r w:rsidRPr="00154216">
        <w:rPr>
          <w:rStyle w:val="Refdenotaalfinal"/>
        </w:rPr>
        <w:tab/>
      </w:r>
      <w:proofErr w:type="spellStart"/>
      <w:r w:rsidRPr="00103FBA">
        <w:t>This</w:t>
      </w:r>
      <w:proofErr w:type="spellEnd"/>
      <w:r w:rsidRPr="00103FBA">
        <w:t xml:space="preserve"> </w:t>
      </w:r>
      <w:proofErr w:type="spellStart"/>
      <w:r w:rsidRPr="00103FBA">
        <w:t>was</w:t>
      </w:r>
      <w:proofErr w:type="spellEnd"/>
      <w:r w:rsidRPr="00103FBA">
        <w:t xml:space="preserve"> a </w:t>
      </w:r>
      <w:proofErr w:type="spellStart"/>
      <w:r w:rsidRPr="00103FBA">
        <w:t>recommendation</w:t>
      </w:r>
      <w:proofErr w:type="spellEnd"/>
      <w:r w:rsidRPr="00103FBA">
        <w:t xml:space="preserve"> </w:t>
      </w:r>
      <w:proofErr w:type="spellStart"/>
      <w:r w:rsidRPr="00103FBA">
        <w:t>from</w:t>
      </w:r>
      <w:proofErr w:type="spellEnd"/>
      <w:r w:rsidRPr="00103FBA">
        <w:t xml:space="preserve"> ‘Miriam Dean </w:t>
      </w:r>
      <w:proofErr w:type="spellStart"/>
      <w:r w:rsidRPr="00103FBA">
        <w:t>QCs</w:t>
      </w:r>
      <w:proofErr w:type="spellEnd"/>
      <w:r w:rsidRPr="00103FBA">
        <w:t xml:space="preserve"> </w:t>
      </w:r>
      <w:proofErr w:type="spellStart"/>
      <w:r w:rsidRPr="00103FBA">
        <w:t>Independent</w:t>
      </w:r>
      <w:proofErr w:type="spellEnd"/>
      <w:r w:rsidRPr="00103FBA">
        <w:t xml:space="preserve"> </w:t>
      </w:r>
      <w:proofErr w:type="spellStart"/>
      <w:r w:rsidRPr="00103FBA">
        <w:t>Review</w:t>
      </w:r>
      <w:proofErr w:type="spellEnd"/>
      <w:r w:rsidRPr="00103FBA">
        <w:t xml:space="preserve"> </w:t>
      </w:r>
      <w:proofErr w:type="spellStart"/>
      <w:r w:rsidRPr="00103FBA">
        <w:t>of</w:t>
      </w:r>
      <w:proofErr w:type="spellEnd"/>
      <w:r w:rsidRPr="00103FBA">
        <w:t xml:space="preserve"> </w:t>
      </w:r>
      <w:proofErr w:type="spellStart"/>
      <w:r w:rsidRPr="00103FBA">
        <w:t>Acclaim</w:t>
      </w:r>
      <w:proofErr w:type="spellEnd"/>
      <w:r w:rsidRPr="00103FBA">
        <w:t xml:space="preserve"> </w:t>
      </w:r>
      <w:proofErr w:type="spellStart"/>
      <w:r w:rsidRPr="00103FBA">
        <w:t>Otago’s</w:t>
      </w:r>
      <w:proofErr w:type="spellEnd"/>
      <w:r w:rsidRPr="00103FBA">
        <w:t xml:space="preserve"> </w:t>
      </w:r>
      <w:proofErr w:type="spellStart"/>
      <w:r w:rsidRPr="00103FBA">
        <w:t>Report</w:t>
      </w:r>
      <w:proofErr w:type="spellEnd"/>
      <w:r w:rsidRPr="00103FBA">
        <w:t xml:space="preserve"> </w:t>
      </w:r>
      <w:proofErr w:type="spellStart"/>
      <w:r w:rsidRPr="00103FBA">
        <w:t>into</w:t>
      </w:r>
      <w:proofErr w:type="spellEnd"/>
      <w:r w:rsidRPr="00103FBA">
        <w:t xml:space="preserve"> </w:t>
      </w:r>
      <w:proofErr w:type="spellStart"/>
      <w:r w:rsidRPr="00103FBA">
        <w:t>Accident</w:t>
      </w:r>
      <w:proofErr w:type="spellEnd"/>
      <w:r w:rsidRPr="00103FBA">
        <w:t xml:space="preserve"> </w:t>
      </w:r>
      <w:proofErr w:type="spellStart"/>
      <w:r w:rsidRPr="00103FBA">
        <w:t>Compensation</w:t>
      </w:r>
      <w:proofErr w:type="spellEnd"/>
      <w:r w:rsidRPr="00103FBA">
        <w:t xml:space="preserve"> Dispute </w:t>
      </w:r>
      <w:proofErr w:type="spellStart"/>
      <w:r w:rsidRPr="00103FBA">
        <w:t>Resolution</w:t>
      </w:r>
      <w:proofErr w:type="spellEnd"/>
      <w:r w:rsidRPr="00103FBA">
        <w:t xml:space="preserve"> </w:t>
      </w:r>
      <w:proofErr w:type="spellStart"/>
      <w:r w:rsidRPr="00103FBA">
        <w:t>Processes</w:t>
      </w:r>
      <w:proofErr w:type="spellEnd"/>
      <w:r w:rsidRPr="00103FBA">
        <w:t xml:space="preserve"> (</w:t>
      </w:r>
      <w:proofErr w:type="spellStart"/>
      <w:r w:rsidRPr="00103FBA">
        <w:t>the</w:t>
      </w:r>
      <w:proofErr w:type="spellEnd"/>
      <w:r w:rsidRPr="00103FBA">
        <w:t xml:space="preserve"> </w:t>
      </w:r>
      <w:proofErr w:type="spellStart"/>
      <w:r w:rsidRPr="00103FBA">
        <w:t>Independent</w:t>
      </w:r>
      <w:proofErr w:type="spellEnd"/>
      <w:r w:rsidRPr="00103FBA">
        <w:t xml:space="preserve"> </w:t>
      </w:r>
      <w:proofErr w:type="spellStart"/>
      <w:r w:rsidRPr="00103FBA">
        <w:t>Review</w:t>
      </w:r>
      <w:proofErr w:type="spellEnd"/>
      <w:r w:rsidRPr="00103FBA">
        <w:t xml:space="preserve">)’. </w:t>
      </w:r>
      <w:proofErr w:type="spellStart"/>
      <w:r w:rsidRPr="00103FBA">
        <w:t>One</w:t>
      </w:r>
      <w:proofErr w:type="spellEnd"/>
      <w:r w:rsidRPr="00103FBA">
        <w:t xml:space="preserve"> </w:t>
      </w:r>
      <w:proofErr w:type="spellStart"/>
      <w:r w:rsidRPr="00103FBA">
        <w:t>of</w:t>
      </w:r>
      <w:proofErr w:type="spellEnd"/>
      <w:r w:rsidRPr="00103FBA">
        <w:t xml:space="preserve"> </w:t>
      </w:r>
      <w:proofErr w:type="spellStart"/>
      <w:r w:rsidRPr="00103FBA">
        <w:t>the</w:t>
      </w:r>
      <w:proofErr w:type="spellEnd"/>
      <w:r w:rsidRPr="00103FBA">
        <w:t xml:space="preserve"> </w:t>
      </w:r>
      <w:proofErr w:type="spellStart"/>
      <w:r w:rsidRPr="00103FBA">
        <w:t>Independent</w:t>
      </w:r>
      <w:proofErr w:type="spellEnd"/>
      <w:r w:rsidRPr="00103FBA">
        <w:t xml:space="preserve"> </w:t>
      </w:r>
      <w:proofErr w:type="spellStart"/>
      <w:r w:rsidRPr="00103FBA">
        <w:t>Review’s</w:t>
      </w:r>
      <w:proofErr w:type="spellEnd"/>
      <w:r w:rsidRPr="00103FBA">
        <w:t xml:space="preserve"> </w:t>
      </w:r>
      <w:proofErr w:type="spellStart"/>
      <w:r w:rsidRPr="00103FBA">
        <w:t>recommendations</w:t>
      </w:r>
      <w:proofErr w:type="spellEnd"/>
      <w:r w:rsidRPr="00103FBA">
        <w:t xml:space="preserve"> </w:t>
      </w:r>
      <w:proofErr w:type="spellStart"/>
      <w:r w:rsidRPr="00103FBA">
        <w:t>is</w:t>
      </w:r>
      <w:proofErr w:type="spellEnd"/>
      <w:r w:rsidRPr="00103FBA">
        <w:t xml:space="preserve"> </w:t>
      </w:r>
      <w:proofErr w:type="spellStart"/>
      <w:r w:rsidRPr="00103FBA">
        <w:t>for</w:t>
      </w:r>
      <w:proofErr w:type="spellEnd"/>
      <w:r w:rsidRPr="00103FBA">
        <w:t xml:space="preserve"> ACC </w:t>
      </w:r>
      <w:proofErr w:type="spellStart"/>
      <w:r w:rsidRPr="00103FBA">
        <w:t>to</w:t>
      </w:r>
      <w:proofErr w:type="spellEnd"/>
      <w:r w:rsidRPr="00103FBA">
        <w:t xml:space="preserve"> </w:t>
      </w:r>
      <w:proofErr w:type="spellStart"/>
      <w:r w:rsidRPr="00103FBA">
        <w:t>consider</w:t>
      </w:r>
      <w:proofErr w:type="spellEnd"/>
      <w:r w:rsidRPr="00103FBA">
        <w:t xml:space="preserve"> </w:t>
      </w:r>
      <w:proofErr w:type="spellStart"/>
      <w:r w:rsidRPr="00103FBA">
        <w:t>funding</w:t>
      </w:r>
      <w:proofErr w:type="spellEnd"/>
      <w:r w:rsidRPr="00103FBA">
        <w:t xml:space="preserve"> a free </w:t>
      </w:r>
      <w:proofErr w:type="spellStart"/>
      <w:r w:rsidRPr="00103FBA">
        <w:t>nationwide</w:t>
      </w:r>
      <w:proofErr w:type="spellEnd"/>
      <w:r w:rsidRPr="00103FBA">
        <w:t xml:space="preserve"> </w:t>
      </w:r>
      <w:proofErr w:type="spellStart"/>
      <w:r w:rsidRPr="00103FBA">
        <w:t>advocacy</w:t>
      </w:r>
      <w:proofErr w:type="spellEnd"/>
      <w:r w:rsidRPr="00103FBA">
        <w:t xml:space="preserve"> </w:t>
      </w:r>
      <w:proofErr w:type="spellStart"/>
      <w:r w:rsidRPr="00103FBA">
        <w:t>service</w:t>
      </w:r>
      <w:proofErr w:type="spellEnd"/>
      <w:r w:rsidRPr="00103FBA">
        <w:t xml:space="preserve"> and </w:t>
      </w:r>
      <w:proofErr w:type="spellStart"/>
      <w:r w:rsidRPr="00103FBA">
        <w:t>promote</w:t>
      </w:r>
      <w:proofErr w:type="spellEnd"/>
      <w:r w:rsidRPr="00103FBA">
        <w:t xml:space="preserve"> </w:t>
      </w:r>
      <w:proofErr w:type="spellStart"/>
      <w:r w:rsidRPr="00103FBA">
        <w:t>advocacy</w:t>
      </w:r>
      <w:proofErr w:type="spellEnd"/>
      <w:r w:rsidRPr="00103FBA">
        <w:t xml:space="preserve"> </w:t>
      </w:r>
      <w:proofErr w:type="spellStart"/>
      <w:r w:rsidRPr="00103FBA">
        <w:t>organisations</w:t>
      </w:r>
      <w:proofErr w:type="spellEnd"/>
      <w:r w:rsidRPr="00103FBA">
        <w:t>.</w:t>
      </w:r>
    </w:p>
  </w:endnote>
  <w:endnote w:id="104">
    <w:p w14:paraId="50FF4FBA"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Reviewers</w:t>
      </w:r>
      <w:proofErr w:type="spellEnd"/>
      <w:r w:rsidRPr="00103FBA">
        <w:t xml:space="preserve"> are </w:t>
      </w:r>
      <w:proofErr w:type="spellStart"/>
      <w:r w:rsidRPr="00103FBA">
        <w:t>independent</w:t>
      </w:r>
      <w:proofErr w:type="spellEnd"/>
      <w:r w:rsidRPr="00103FBA">
        <w:t xml:space="preserve"> </w:t>
      </w:r>
      <w:proofErr w:type="spellStart"/>
      <w:r w:rsidRPr="00103FBA">
        <w:t>contractors</w:t>
      </w:r>
      <w:proofErr w:type="spellEnd"/>
      <w:r w:rsidRPr="00103FBA">
        <w:t xml:space="preserve"> </w:t>
      </w:r>
      <w:proofErr w:type="spellStart"/>
      <w:r w:rsidRPr="00103FBA">
        <w:t>who</w:t>
      </w:r>
      <w:proofErr w:type="spellEnd"/>
      <w:r w:rsidRPr="00103FBA">
        <w:t xml:space="preserve"> serve as </w:t>
      </w:r>
      <w:proofErr w:type="spellStart"/>
      <w:r w:rsidRPr="00103FBA">
        <w:t>adjudicators</w:t>
      </w:r>
      <w:proofErr w:type="spellEnd"/>
      <w:r w:rsidRPr="00103FBA">
        <w:t>.</w:t>
      </w:r>
    </w:p>
  </w:endnote>
  <w:endnote w:id="105">
    <w:p w14:paraId="6DA27121"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The</w:t>
      </w:r>
      <w:proofErr w:type="spellEnd"/>
      <w:r w:rsidRPr="00103FBA">
        <w:t xml:space="preserve"> </w:t>
      </w:r>
      <w:proofErr w:type="spellStart"/>
      <w:r w:rsidRPr="00103FBA">
        <w:t>Tribunals</w:t>
      </w:r>
      <w:proofErr w:type="spellEnd"/>
      <w:r w:rsidRPr="00103FBA">
        <w:t xml:space="preserve"> Powers and </w:t>
      </w:r>
      <w:proofErr w:type="spellStart"/>
      <w:r w:rsidRPr="00103FBA">
        <w:t>Procedures</w:t>
      </w:r>
      <w:proofErr w:type="spellEnd"/>
      <w:r w:rsidRPr="00103FBA">
        <w:t xml:space="preserve"> Bill – </w:t>
      </w:r>
      <w:proofErr w:type="spellStart"/>
      <w:r w:rsidRPr="00103FBA">
        <w:t>enacted</w:t>
      </w:r>
      <w:proofErr w:type="spellEnd"/>
      <w:r w:rsidRPr="00103FBA">
        <w:t xml:space="preserve"> 13 </w:t>
      </w:r>
      <w:proofErr w:type="spellStart"/>
      <w:r w:rsidRPr="00103FBA">
        <w:t>November</w:t>
      </w:r>
      <w:proofErr w:type="spellEnd"/>
      <w:r w:rsidRPr="00103FBA">
        <w:t xml:space="preserve"> 2018.</w:t>
      </w:r>
    </w:p>
  </w:endnote>
  <w:endnote w:id="106">
    <w:p w14:paraId="0BDAE1AC"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r w:rsidRPr="00103FBA">
        <w:t xml:space="preserve">Legal </w:t>
      </w:r>
      <w:proofErr w:type="spellStart"/>
      <w:r w:rsidRPr="00103FBA">
        <w:t>aid</w:t>
      </w:r>
      <w:proofErr w:type="spellEnd"/>
      <w:r w:rsidRPr="00103FBA">
        <w:t xml:space="preserve"> </w:t>
      </w:r>
      <w:proofErr w:type="spellStart"/>
      <w:r w:rsidRPr="00103FBA">
        <w:t>is</w:t>
      </w:r>
      <w:proofErr w:type="spellEnd"/>
      <w:r w:rsidRPr="00103FBA">
        <w:t xml:space="preserve"> </w:t>
      </w:r>
      <w:proofErr w:type="spellStart"/>
      <w:r w:rsidRPr="00103FBA">
        <w:t>available</w:t>
      </w:r>
      <w:proofErr w:type="spellEnd"/>
      <w:r w:rsidRPr="00103FBA">
        <w:t xml:space="preserve"> </w:t>
      </w:r>
      <w:proofErr w:type="spellStart"/>
      <w:r w:rsidRPr="00103FBA">
        <w:t>for</w:t>
      </w:r>
      <w:proofErr w:type="spellEnd"/>
      <w:r w:rsidRPr="00103FBA">
        <w:t xml:space="preserve"> </w:t>
      </w:r>
      <w:proofErr w:type="spellStart"/>
      <w:r w:rsidRPr="00103FBA">
        <w:t>proceedings</w:t>
      </w:r>
      <w:proofErr w:type="spellEnd"/>
      <w:r w:rsidRPr="00103FBA">
        <w:t xml:space="preserve"> in </w:t>
      </w:r>
      <w:proofErr w:type="spellStart"/>
      <w:r w:rsidRPr="00103FBA">
        <w:t>some</w:t>
      </w:r>
      <w:proofErr w:type="spellEnd"/>
      <w:r w:rsidRPr="00103FBA">
        <w:t xml:space="preserve"> </w:t>
      </w:r>
      <w:proofErr w:type="spellStart"/>
      <w:r w:rsidRPr="00103FBA">
        <w:t>tribunals</w:t>
      </w:r>
      <w:proofErr w:type="spellEnd"/>
      <w:r w:rsidRPr="00103FBA">
        <w:t xml:space="preserve"> </w:t>
      </w:r>
      <w:proofErr w:type="spellStart"/>
      <w:r w:rsidRPr="00103FBA">
        <w:t>including</w:t>
      </w:r>
      <w:proofErr w:type="spellEnd"/>
      <w:r w:rsidRPr="00103FBA">
        <w:t xml:space="preserve"> </w:t>
      </w:r>
      <w:proofErr w:type="spellStart"/>
      <w:r w:rsidRPr="00103FBA">
        <w:t>the</w:t>
      </w:r>
      <w:proofErr w:type="spellEnd"/>
      <w:r w:rsidRPr="00103FBA">
        <w:t xml:space="preserve"> </w:t>
      </w:r>
      <w:proofErr w:type="spellStart"/>
      <w:r w:rsidRPr="00103FBA">
        <w:t>Tenancy</w:t>
      </w:r>
      <w:proofErr w:type="spellEnd"/>
      <w:r w:rsidRPr="00103FBA">
        <w:t xml:space="preserve"> Tribunal, Social Security Appeal </w:t>
      </w:r>
      <w:proofErr w:type="spellStart"/>
      <w:r w:rsidRPr="00103FBA">
        <w:t>Authority</w:t>
      </w:r>
      <w:proofErr w:type="spellEnd"/>
      <w:r w:rsidRPr="00103FBA">
        <w:t xml:space="preserve">, and </w:t>
      </w:r>
      <w:proofErr w:type="spellStart"/>
      <w:r w:rsidRPr="00103FBA">
        <w:t>Waitangi</w:t>
      </w:r>
      <w:proofErr w:type="spellEnd"/>
      <w:r w:rsidRPr="00103FBA">
        <w:t xml:space="preserve"> Tribunal.</w:t>
      </w:r>
    </w:p>
  </w:endnote>
  <w:endnote w:id="107">
    <w:p w14:paraId="67103F80"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See</w:t>
      </w:r>
      <w:proofErr w:type="spellEnd"/>
      <w:r w:rsidRPr="00103FBA">
        <w:t xml:space="preserve"> </w:t>
      </w:r>
      <w:r w:rsidRPr="00193DD1">
        <w:rPr>
          <w:rStyle w:val="Hipervnculo"/>
        </w:rPr>
        <w:t>www.pmcsa.org.nz/wp-content/uploads/Discussion-paper-on-preventing-youth-offending-in-NZ.pdf</w:t>
      </w:r>
      <w:r w:rsidRPr="00103FBA">
        <w:t xml:space="preserve"> </w:t>
      </w:r>
      <w:proofErr w:type="spellStart"/>
      <w:r w:rsidRPr="00103FBA">
        <w:t>for</w:t>
      </w:r>
      <w:proofErr w:type="spellEnd"/>
      <w:r w:rsidRPr="00103FBA">
        <w:t xml:space="preserve">: </w:t>
      </w:r>
      <w:proofErr w:type="spellStart"/>
      <w:r w:rsidRPr="00103FBA">
        <w:t>It’s</w:t>
      </w:r>
      <w:proofErr w:type="spellEnd"/>
      <w:r w:rsidRPr="00103FBA">
        <w:t xml:space="preserve"> </w:t>
      </w:r>
      <w:proofErr w:type="spellStart"/>
      <w:r w:rsidRPr="00103FBA">
        <w:t>never</w:t>
      </w:r>
      <w:proofErr w:type="spellEnd"/>
      <w:r w:rsidRPr="00103FBA">
        <w:t xml:space="preserve"> </w:t>
      </w:r>
      <w:proofErr w:type="spellStart"/>
      <w:r w:rsidRPr="00103FBA">
        <w:t>too</w:t>
      </w:r>
      <w:proofErr w:type="spellEnd"/>
      <w:r w:rsidRPr="00103FBA">
        <w:t xml:space="preserve"> </w:t>
      </w:r>
      <w:proofErr w:type="spellStart"/>
      <w:r w:rsidRPr="00103FBA">
        <w:t>early</w:t>
      </w:r>
      <w:proofErr w:type="spellEnd"/>
      <w:r w:rsidRPr="00103FBA">
        <w:t xml:space="preserve">, </w:t>
      </w:r>
      <w:proofErr w:type="spellStart"/>
      <w:r w:rsidRPr="00103FBA">
        <w:t>never</w:t>
      </w:r>
      <w:proofErr w:type="spellEnd"/>
      <w:r w:rsidRPr="00103FBA">
        <w:t xml:space="preserve"> </w:t>
      </w:r>
      <w:proofErr w:type="spellStart"/>
      <w:r w:rsidRPr="00103FBA">
        <w:t>too</w:t>
      </w:r>
      <w:proofErr w:type="spellEnd"/>
      <w:r w:rsidRPr="00103FBA">
        <w:t xml:space="preserve"> late: A </w:t>
      </w:r>
      <w:proofErr w:type="spellStart"/>
      <w:r w:rsidRPr="00103FBA">
        <w:t>discussion</w:t>
      </w:r>
      <w:proofErr w:type="spellEnd"/>
      <w:r w:rsidRPr="00103FBA">
        <w:t xml:space="preserve"> </w:t>
      </w:r>
      <w:proofErr w:type="spellStart"/>
      <w:r w:rsidRPr="00103FBA">
        <w:t>paper</w:t>
      </w:r>
      <w:proofErr w:type="spellEnd"/>
      <w:r w:rsidRPr="00103FBA">
        <w:t xml:space="preserve"> </w:t>
      </w:r>
      <w:proofErr w:type="spellStart"/>
      <w:r w:rsidRPr="00103FBA">
        <w:t>on</w:t>
      </w:r>
      <w:proofErr w:type="spellEnd"/>
      <w:r w:rsidRPr="00103FBA">
        <w:t xml:space="preserve"> </w:t>
      </w:r>
      <w:proofErr w:type="spellStart"/>
      <w:r w:rsidRPr="00103FBA">
        <w:t>preventing</w:t>
      </w:r>
      <w:proofErr w:type="spellEnd"/>
      <w:r w:rsidRPr="00103FBA">
        <w:t xml:space="preserve"> </w:t>
      </w:r>
      <w:proofErr w:type="spellStart"/>
      <w:r w:rsidRPr="00103FBA">
        <w:t>youth</w:t>
      </w:r>
      <w:proofErr w:type="spellEnd"/>
      <w:r w:rsidRPr="00103FBA">
        <w:t xml:space="preserve"> </w:t>
      </w:r>
      <w:proofErr w:type="spellStart"/>
      <w:r w:rsidRPr="00103FBA">
        <w:t>offending</w:t>
      </w:r>
      <w:proofErr w:type="spellEnd"/>
      <w:r w:rsidRPr="00103FBA">
        <w:t xml:space="preserve"> in New </w:t>
      </w:r>
      <w:proofErr w:type="spellStart"/>
      <w:r w:rsidRPr="00103FBA">
        <w:t>Zealand</w:t>
      </w:r>
      <w:proofErr w:type="spellEnd"/>
      <w:r w:rsidRPr="00103FBA">
        <w:t xml:space="preserve">, 12 June 2018, Office </w:t>
      </w:r>
      <w:proofErr w:type="spellStart"/>
      <w:r w:rsidRPr="00103FBA">
        <w:t>of</w:t>
      </w:r>
      <w:proofErr w:type="spellEnd"/>
      <w:r w:rsidRPr="00103FBA">
        <w:t xml:space="preserve"> </w:t>
      </w:r>
      <w:proofErr w:type="spellStart"/>
      <w:r w:rsidRPr="00103FBA">
        <w:t>the</w:t>
      </w:r>
      <w:proofErr w:type="spellEnd"/>
      <w:r w:rsidRPr="00103FBA">
        <w:t xml:space="preserve"> Prime </w:t>
      </w:r>
      <w:proofErr w:type="spellStart"/>
      <w:r w:rsidRPr="00103FBA">
        <w:t>Minister’s</w:t>
      </w:r>
      <w:proofErr w:type="spellEnd"/>
      <w:r w:rsidRPr="00103FBA">
        <w:t xml:space="preserve"> </w:t>
      </w:r>
      <w:proofErr w:type="spellStart"/>
      <w:r w:rsidRPr="00103FBA">
        <w:t>Chief</w:t>
      </w:r>
      <w:proofErr w:type="spellEnd"/>
      <w:r w:rsidRPr="00103FBA">
        <w:t xml:space="preserve"> </w:t>
      </w:r>
      <w:proofErr w:type="spellStart"/>
      <w:r w:rsidRPr="00103FBA">
        <w:t>Science</w:t>
      </w:r>
      <w:proofErr w:type="spellEnd"/>
      <w:r w:rsidRPr="00103FBA">
        <w:t xml:space="preserve"> </w:t>
      </w:r>
      <w:proofErr w:type="spellStart"/>
      <w:r w:rsidRPr="00103FBA">
        <w:t>Advisor</w:t>
      </w:r>
      <w:proofErr w:type="spellEnd"/>
      <w:r w:rsidRPr="00103FBA">
        <w:t xml:space="preserve">. Page 18 </w:t>
      </w:r>
      <w:proofErr w:type="spellStart"/>
      <w:r w:rsidRPr="00103FBA">
        <w:t>draws</w:t>
      </w:r>
      <w:proofErr w:type="spellEnd"/>
      <w:r w:rsidRPr="00103FBA">
        <w:t xml:space="preserve"> </w:t>
      </w:r>
      <w:proofErr w:type="spellStart"/>
      <w:r w:rsidRPr="00103FBA">
        <w:t>on</w:t>
      </w:r>
      <w:proofErr w:type="spellEnd"/>
      <w:r w:rsidRPr="00103FBA">
        <w:t xml:space="preserve"> </w:t>
      </w:r>
      <w:proofErr w:type="spellStart"/>
      <w:r w:rsidRPr="00103FBA">
        <w:t>international</w:t>
      </w:r>
      <w:proofErr w:type="spellEnd"/>
      <w:r w:rsidRPr="00103FBA">
        <w:t xml:space="preserve"> </w:t>
      </w:r>
      <w:proofErr w:type="spellStart"/>
      <w:r w:rsidRPr="00103FBA">
        <w:t>evidence</w:t>
      </w:r>
      <w:proofErr w:type="spellEnd"/>
      <w:r w:rsidRPr="00103FBA">
        <w:t xml:space="preserve"> </w:t>
      </w:r>
      <w:proofErr w:type="spellStart"/>
      <w:r w:rsidRPr="00103FBA">
        <w:t>on</w:t>
      </w:r>
      <w:proofErr w:type="spellEnd"/>
      <w:r w:rsidRPr="00103FBA">
        <w:t xml:space="preserve"> mental </w:t>
      </w:r>
      <w:proofErr w:type="spellStart"/>
      <w:r w:rsidRPr="00103FBA">
        <w:t>health</w:t>
      </w:r>
      <w:proofErr w:type="spellEnd"/>
      <w:r w:rsidRPr="00103FBA">
        <w:t xml:space="preserve"> and </w:t>
      </w:r>
      <w:proofErr w:type="spellStart"/>
      <w:r w:rsidRPr="00103FBA">
        <w:t>developmental</w:t>
      </w:r>
      <w:proofErr w:type="spellEnd"/>
      <w:r w:rsidRPr="00103FBA">
        <w:t xml:space="preserve"> </w:t>
      </w:r>
      <w:proofErr w:type="spellStart"/>
      <w:r w:rsidRPr="00103FBA">
        <w:t>disorders</w:t>
      </w:r>
      <w:proofErr w:type="spellEnd"/>
      <w:r w:rsidRPr="00103FBA">
        <w:t xml:space="preserve">, </w:t>
      </w:r>
      <w:proofErr w:type="spellStart"/>
      <w:r w:rsidRPr="00103FBA">
        <w:t>noting</w:t>
      </w:r>
      <w:proofErr w:type="spellEnd"/>
      <w:r w:rsidRPr="00103FBA">
        <w:t xml:space="preserve"> </w:t>
      </w:r>
      <w:proofErr w:type="spellStart"/>
      <w:r w:rsidRPr="00103FBA">
        <w:t>that</w:t>
      </w:r>
      <w:proofErr w:type="spellEnd"/>
      <w:r w:rsidRPr="00103FBA">
        <w:t xml:space="preserve"> in </w:t>
      </w:r>
      <w:proofErr w:type="spellStart"/>
      <w:r w:rsidRPr="00103FBA">
        <w:t>NZ</w:t>
      </w:r>
      <w:proofErr w:type="spellEnd"/>
      <w:r w:rsidRPr="00103FBA">
        <w:t>, 92</w:t>
      </w:r>
      <w:r>
        <w:t> %</w:t>
      </w:r>
      <w:r w:rsidRPr="00103FBA">
        <w:t xml:space="preserve"> </w:t>
      </w:r>
      <w:proofErr w:type="spellStart"/>
      <w:r w:rsidRPr="00103FBA">
        <w:t>of</w:t>
      </w:r>
      <w:proofErr w:type="spellEnd"/>
      <w:r w:rsidRPr="00103FBA">
        <w:t xml:space="preserve"> </w:t>
      </w:r>
      <w:proofErr w:type="spellStart"/>
      <w:r w:rsidRPr="00103FBA">
        <w:t>young</w:t>
      </w:r>
      <w:proofErr w:type="spellEnd"/>
      <w:r w:rsidRPr="00103FBA">
        <w:t xml:space="preserve"> </w:t>
      </w:r>
      <w:proofErr w:type="spellStart"/>
      <w:r w:rsidRPr="00103FBA">
        <w:t>people</w:t>
      </w:r>
      <w:proofErr w:type="spellEnd"/>
      <w:r w:rsidRPr="00103FBA">
        <w:t xml:space="preserve"> in </w:t>
      </w:r>
      <w:proofErr w:type="spellStart"/>
      <w:r w:rsidRPr="00103FBA">
        <w:t>youth-justice</w:t>
      </w:r>
      <w:proofErr w:type="spellEnd"/>
      <w:r w:rsidRPr="00103FBA">
        <w:t xml:space="preserve"> </w:t>
      </w:r>
      <w:proofErr w:type="spellStart"/>
      <w:r w:rsidRPr="00103FBA">
        <w:t>residences</w:t>
      </w:r>
      <w:proofErr w:type="spellEnd"/>
      <w:r w:rsidRPr="00103FBA">
        <w:t xml:space="preserve"> </w:t>
      </w:r>
      <w:proofErr w:type="spellStart"/>
      <w:r w:rsidRPr="00103FBA">
        <w:t>showed</w:t>
      </w:r>
      <w:proofErr w:type="spellEnd"/>
      <w:r w:rsidRPr="00103FBA">
        <w:t xml:space="preserve"> </w:t>
      </w:r>
      <w:proofErr w:type="spellStart"/>
      <w:r w:rsidRPr="00103FBA">
        <w:t>significant</w:t>
      </w:r>
      <w:proofErr w:type="spellEnd"/>
      <w:r w:rsidRPr="00103FBA">
        <w:t xml:space="preserve"> </w:t>
      </w:r>
      <w:proofErr w:type="spellStart"/>
      <w:r w:rsidRPr="00103FBA">
        <w:t>difficulties</w:t>
      </w:r>
      <w:proofErr w:type="spellEnd"/>
      <w:r w:rsidRPr="00103FBA">
        <w:t xml:space="preserve"> in at </w:t>
      </w:r>
      <w:proofErr w:type="spellStart"/>
      <w:r w:rsidRPr="00103FBA">
        <w:t>least</w:t>
      </w:r>
      <w:proofErr w:type="spellEnd"/>
      <w:r w:rsidRPr="00103FBA">
        <w:t xml:space="preserve"> </w:t>
      </w:r>
      <w:proofErr w:type="spellStart"/>
      <w:r w:rsidRPr="00103FBA">
        <w:t>one</w:t>
      </w:r>
      <w:proofErr w:type="spellEnd"/>
      <w:r w:rsidRPr="00103FBA">
        <w:t xml:space="preserve"> </w:t>
      </w:r>
      <w:proofErr w:type="spellStart"/>
      <w:r w:rsidRPr="00103FBA">
        <w:t>area</w:t>
      </w:r>
      <w:proofErr w:type="spellEnd"/>
      <w:r w:rsidRPr="00103FBA">
        <w:t xml:space="preserve"> </w:t>
      </w:r>
      <w:proofErr w:type="spellStart"/>
      <w:r w:rsidRPr="00103FBA">
        <w:t>of</w:t>
      </w:r>
      <w:proofErr w:type="spellEnd"/>
      <w:r w:rsidRPr="00103FBA">
        <w:t xml:space="preserve"> </w:t>
      </w:r>
      <w:proofErr w:type="spellStart"/>
      <w:r w:rsidRPr="00103FBA">
        <w:t>achievement</w:t>
      </w:r>
      <w:proofErr w:type="spellEnd"/>
      <w:r w:rsidRPr="00103FBA">
        <w:t xml:space="preserve"> (</w:t>
      </w:r>
      <w:proofErr w:type="spellStart"/>
      <w:r w:rsidRPr="00103FBA">
        <w:t>IQ</w:t>
      </w:r>
      <w:proofErr w:type="spellEnd"/>
      <w:r w:rsidRPr="00103FBA">
        <w:t xml:space="preserve">, </w:t>
      </w:r>
      <w:proofErr w:type="spellStart"/>
      <w:r w:rsidRPr="00103FBA">
        <w:t>attention</w:t>
      </w:r>
      <w:proofErr w:type="spellEnd"/>
      <w:r w:rsidRPr="00103FBA">
        <w:t xml:space="preserve">, </w:t>
      </w:r>
      <w:proofErr w:type="spellStart"/>
      <w:r w:rsidRPr="00103FBA">
        <w:t>literacy</w:t>
      </w:r>
      <w:proofErr w:type="spellEnd"/>
      <w:r w:rsidRPr="00103FBA">
        <w:t xml:space="preserve">, </w:t>
      </w:r>
      <w:proofErr w:type="spellStart"/>
      <w:r w:rsidRPr="00103FBA">
        <w:t>numeracy</w:t>
      </w:r>
      <w:proofErr w:type="spellEnd"/>
      <w:r w:rsidRPr="00103FBA">
        <w:t xml:space="preserve">, verbal </w:t>
      </w:r>
      <w:proofErr w:type="spellStart"/>
      <w:r w:rsidRPr="00103FBA">
        <w:t>abilities</w:t>
      </w:r>
      <w:proofErr w:type="spellEnd"/>
      <w:r w:rsidRPr="00103FBA">
        <w:t>).</w:t>
      </w:r>
    </w:p>
  </w:endnote>
  <w:endnote w:id="108">
    <w:p w14:paraId="7560FE4B"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See</w:t>
      </w:r>
      <w:proofErr w:type="spellEnd"/>
      <w:r w:rsidRPr="00103FBA">
        <w:t xml:space="preserve"> </w:t>
      </w:r>
      <w:proofErr w:type="spellStart"/>
      <w:r w:rsidRPr="00103FBA">
        <w:t>www.growingup.co.nz</w:t>
      </w:r>
      <w:proofErr w:type="spellEnd"/>
      <w:r w:rsidRPr="00103FBA">
        <w:t>/</w:t>
      </w:r>
      <w:proofErr w:type="spellStart"/>
      <w:r w:rsidRPr="00103FBA">
        <w:t>en.html</w:t>
      </w:r>
      <w:proofErr w:type="spellEnd"/>
      <w:r w:rsidRPr="00103FBA">
        <w:t>.</w:t>
      </w:r>
    </w:p>
  </w:endnote>
  <w:endnote w:id="109">
    <w:p w14:paraId="2508798F"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r w:rsidRPr="00103FBA">
        <w:t xml:space="preserve">In </w:t>
      </w:r>
      <w:proofErr w:type="spellStart"/>
      <w:r w:rsidRPr="00103FBA">
        <w:t>our</w:t>
      </w:r>
      <w:proofErr w:type="spellEnd"/>
      <w:r w:rsidRPr="00103FBA">
        <w:t xml:space="preserve"> 2015 response </w:t>
      </w:r>
      <w:proofErr w:type="spellStart"/>
      <w:r w:rsidRPr="00103FBA">
        <w:t>to</w:t>
      </w:r>
      <w:proofErr w:type="spellEnd"/>
      <w:r w:rsidRPr="00103FBA">
        <w:t xml:space="preserve"> </w:t>
      </w:r>
      <w:proofErr w:type="spellStart"/>
      <w:r w:rsidRPr="00103FBA">
        <w:t>the</w:t>
      </w:r>
      <w:proofErr w:type="spellEnd"/>
      <w:r w:rsidRPr="00103FBA">
        <w:t xml:space="preserve"> </w:t>
      </w:r>
      <w:proofErr w:type="spellStart"/>
      <w:r w:rsidRPr="00103FBA">
        <w:t>Concluding</w:t>
      </w:r>
      <w:proofErr w:type="spellEnd"/>
      <w:r w:rsidRPr="00103FBA">
        <w:t xml:space="preserve"> </w:t>
      </w:r>
      <w:proofErr w:type="spellStart"/>
      <w:r w:rsidRPr="00103FBA">
        <w:t>Observations</w:t>
      </w:r>
      <w:proofErr w:type="spellEnd"/>
      <w:r w:rsidRPr="00103FBA">
        <w:t xml:space="preserve">, </w:t>
      </w:r>
      <w:proofErr w:type="spellStart"/>
      <w:r w:rsidRPr="00103FBA">
        <w:t>we</w:t>
      </w:r>
      <w:proofErr w:type="spellEnd"/>
      <w:r w:rsidRPr="00103FBA">
        <w:t xml:space="preserve"> </w:t>
      </w:r>
      <w:proofErr w:type="spellStart"/>
      <w:r w:rsidRPr="00103FBA">
        <w:t>noted</w:t>
      </w:r>
      <w:proofErr w:type="spellEnd"/>
      <w:r w:rsidRPr="00103FBA">
        <w:t xml:space="preserve"> </w:t>
      </w:r>
      <w:proofErr w:type="spellStart"/>
      <w:r w:rsidRPr="00103FBA">
        <w:t>that</w:t>
      </w:r>
      <w:proofErr w:type="spellEnd"/>
      <w:r w:rsidRPr="00103FBA">
        <w:t xml:space="preserve"> in New </w:t>
      </w:r>
      <w:proofErr w:type="spellStart"/>
      <w:r w:rsidRPr="00103FBA">
        <w:t>Zealand’s</w:t>
      </w:r>
      <w:proofErr w:type="spellEnd"/>
      <w:r w:rsidRPr="00103FBA">
        <w:t xml:space="preserve"> </w:t>
      </w:r>
      <w:proofErr w:type="spellStart"/>
      <w:r w:rsidRPr="00103FBA">
        <w:t>system</w:t>
      </w:r>
      <w:proofErr w:type="spellEnd"/>
      <w:r w:rsidRPr="00103FBA">
        <w:t xml:space="preserve"> </w:t>
      </w:r>
      <w:proofErr w:type="spellStart"/>
      <w:r w:rsidRPr="00103FBA">
        <w:t>of</w:t>
      </w:r>
      <w:proofErr w:type="spellEnd"/>
      <w:r w:rsidRPr="00103FBA">
        <w:t xml:space="preserve"> </w:t>
      </w:r>
      <w:proofErr w:type="spellStart"/>
      <w:r w:rsidRPr="00103FBA">
        <w:t>government</w:t>
      </w:r>
      <w:proofErr w:type="spellEnd"/>
      <w:r w:rsidRPr="00103FBA">
        <w:t xml:space="preserve">, </w:t>
      </w:r>
      <w:proofErr w:type="spellStart"/>
      <w:r w:rsidRPr="00103FBA">
        <w:t>the</w:t>
      </w:r>
      <w:proofErr w:type="spellEnd"/>
      <w:r w:rsidRPr="00103FBA">
        <w:t xml:space="preserve"> </w:t>
      </w:r>
      <w:proofErr w:type="spellStart"/>
      <w:r w:rsidRPr="00103FBA">
        <w:t>principle</w:t>
      </w:r>
      <w:proofErr w:type="spellEnd"/>
      <w:r w:rsidRPr="00103FBA">
        <w:t xml:space="preserve"> </w:t>
      </w:r>
      <w:proofErr w:type="spellStart"/>
      <w:r w:rsidRPr="00103FBA">
        <w:t>of</w:t>
      </w:r>
      <w:proofErr w:type="spellEnd"/>
      <w:r w:rsidRPr="00103FBA">
        <w:t xml:space="preserve"> judicial </w:t>
      </w:r>
      <w:proofErr w:type="spellStart"/>
      <w:r w:rsidRPr="00103FBA">
        <w:t>independence</w:t>
      </w:r>
      <w:proofErr w:type="spellEnd"/>
      <w:r w:rsidRPr="00103FBA">
        <w:t xml:space="preserve"> </w:t>
      </w:r>
      <w:proofErr w:type="spellStart"/>
      <w:r w:rsidRPr="00103FBA">
        <w:t>requires</w:t>
      </w:r>
      <w:proofErr w:type="spellEnd"/>
      <w:r w:rsidRPr="00103FBA">
        <w:t xml:space="preserve"> </w:t>
      </w:r>
      <w:proofErr w:type="spellStart"/>
      <w:r w:rsidRPr="00103FBA">
        <w:t>that</w:t>
      </w:r>
      <w:proofErr w:type="spellEnd"/>
      <w:r w:rsidRPr="00103FBA">
        <w:t xml:space="preserve"> </w:t>
      </w:r>
      <w:proofErr w:type="spellStart"/>
      <w:r w:rsidRPr="00103FBA">
        <w:t>the</w:t>
      </w:r>
      <w:proofErr w:type="spellEnd"/>
      <w:r w:rsidRPr="00103FBA">
        <w:t xml:space="preserve"> </w:t>
      </w:r>
      <w:proofErr w:type="spellStart"/>
      <w:r w:rsidRPr="00103FBA">
        <w:t>Government</w:t>
      </w:r>
      <w:proofErr w:type="spellEnd"/>
      <w:r w:rsidRPr="00103FBA">
        <w:t xml:space="preserve"> </w:t>
      </w:r>
      <w:proofErr w:type="spellStart"/>
      <w:r w:rsidRPr="00103FBA">
        <w:t>does</w:t>
      </w:r>
      <w:proofErr w:type="spellEnd"/>
      <w:r w:rsidRPr="00103FBA">
        <w:t xml:space="preserve"> </w:t>
      </w:r>
      <w:proofErr w:type="spellStart"/>
      <w:r w:rsidRPr="00103FBA">
        <w:t>not</w:t>
      </w:r>
      <w:proofErr w:type="spellEnd"/>
      <w:r w:rsidRPr="00103FBA">
        <w:t xml:space="preserve"> </w:t>
      </w:r>
      <w:proofErr w:type="spellStart"/>
      <w:r w:rsidRPr="00103FBA">
        <w:t>direct</w:t>
      </w:r>
      <w:proofErr w:type="spellEnd"/>
      <w:r w:rsidRPr="00103FBA">
        <w:t xml:space="preserve"> </w:t>
      </w:r>
      <w:proofErr w:type="spellStart"/>
      <w:r w:rsidRPr="00103FBA">
        <w:t>the</w:t>
      </w:r>
      <w:proofErr w:type="spellEnd"/>
      <w:r w:rsidRPr="00103FBA">
        <w:t xml:space="preserve"> </w:t>
      </w:r>
      <w:proofErr w:type="spellStart"/>
      <w:r w:rsidRPr="00103FBA">
        <w:t>Institute</w:t>
      </w:r>
      <w:proofErr w:type="spellEnd"/>
      <w:r w:rsidRPr="00103FBA">
        <w:t xml:space="preserve"> </w:t>
      </w:r>
      <w:proofErr w:type="spellStart"/>
      <w:r w:rsidRPr="00103FBA">
        <w:t>of</w:t>
      </w:r>
      <w:proofErr w:type="spellEnd"/>
      <w:r w:rsidRPr="00103FBA">
        <w:t xml:space="preserve"> Judicial </w:t>
      </w:r>
      <w:proofErr w:type="spellStart"/>
      <w:r w:rsidRPr="00103FBA">
        <w:t>Studies</w:t>
      </w:r>
      <w:proofErr w:type="spellEnd"/>
      <w:r w:rsidRPr="00103FBA">
        <w:t xml:space="preserve"> as </w:t>
      </w:r>
      <w:proofErr w:type="spellStart"/>
      <w:r w:rsidRPr="00103FBA">
        <w:t>to</w:t>
      </w:r>
      <w:proofErr w:type="spellEnd"/>
      <w:r w:rsidRPr="00103FBA">
        <w:t xml:space="preserve"> </w:t>
      </w:r>
      <w:proofErr w:type="spellStart"/>
      <w:r w:rsidRPr="00103FBA">
        <w:t>the</w:t>
      </w:r>
      <w:proofErr w:type="spellEnd"/>
      <w:r w:rsidRPr="00103FBA">
        <w:t xml:space="preserve"> </w:t>
      </w:r>
      <w:proofErr w:type="spellStart"/>
      <w:r w:rsidRPr="00103FBA">
        <w:t>provision</w:t>
      </w:r>
      <w:proofErr w:type="spellEnd"/>
      <w:r w:rsidRPr="00103FBA">
        <w:t xml:space="preserve"> </w:t>
      </w:r>
      <w:proofErr w:type="spellStart"/>
      <w:r w:rsidRPr="00103FBA">
        <w:t>of</w:t>
      </w:r>
      <w:proofErr w:type="spellEnd"/>
      <w:r w:rsidRPr="00103FBA">
        <w:t xml:space="preserve"> </w:t>
      </w:r>
      <w:proofErr w:type="spellStart"/>
      <w:r w:rsidRPr="00103FBA">
        <w:t>educational</w:t>
      </w:r>
      <w:proofErr w:type="spellEnd"/>
      <w:r w:rsidRPr="00103FBA">
        <w:t xml:space="preserve"> </w:t>
      </w:r>
      <w:proofErr w:type="spellStart"/>
      <w:r w:rsidRPr="00103FBA">
        <w:t>resources</w:t>
      </w:r>
      <w:proofErr w:type="spellEnd"/>
      <w:r w:rsidRPr="00103FBA">
        <w:t xml:space="preserve"> </w:t>
      </w:r>
      <w:proofErr w:type="spellStart"/>
      <w:r w:rsidRPr="00103FBA">
        <w:t>for</w:t>
      </w:r>
      <w:proofErr w:type="spellEnd"/>
      <w:r w:rsidRPr="00103FBA">
        <w:t xml:space="preserve"> </w:t>
      </w:r>
      <w:proofErr w:type="spellStart"/>
      <w:r w:rsidRPr="00103FBA">
        <w:t>the</w:t>
      </w:r>
      <w:proofErr w:type="spellEnd"/>
      <w:r w:rsidRPr="00103FBA">
        <w:t xml:space="preserve"> </w:t>
      </w:r>
      <w:proofErr w:type="spellStart"/>
      <w:r w:rsidRPr="00103FBA">
        <w:t>Judiciary</w:t>
      </w:r>
      <w:proofErr w:type="spellEnd"/>
      <w:r w:rsidRPr="00103FBA">
        <w:t>.</w:t>
      </w:r>
    </w:p>
  </w:endnote>
  <w:endnote w:id="110">
    <w:p w14:paraId="512C3598"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r>
        <w:t>“</w:t>
      </w:r>
      <w:r w:rsidRPr="00103FBA">
        <w:t xml:space="preserve">He ara </w:t>
      </w:r>
      <w:proofErr w:type="spellStart"/>
      <w:r w:rsidRPr="00103FBA">
        <w:t>oranga</w:t>
      </w:r>
      <w:proofErr w:type="spellEnd"/>
      <w:r>
        <w:t>”</w:t>
      </w:r>
      <w:r w:rsidRPr="00103FBA">
        <w:t xml:space="preserve"> </w:t>
      </w:r>
      <w:proofErr w:type="spellStart"/>
      <w:r w:rsidRPr="00103FBA">
        <w:t>is</w:t>
      </w:r>
      <w:proofErr w:type="spellEnd"/>
      <w:r w:rsidRPr="00103FBA">
        <w:t xml:space="preserve"> Te Reo </w:t>
      </w:r>
      <w:proofErr w:type="spellStart"/>
      <w:r w:rsidRPr="00103FBA">
        <w:t>meaning</w:t>
      </w:r>
      <w:proofErr w:type="spellEnd"/>
      <w:r w:rsidRPr="00103FBA">
        <w:t xml:space="preserve"> </w:t>
      </w:r>
      <w:r>
        <w:t>“</w:t>
      </w:r>
      <w:proofErr w:type="spellStart"/>
      <w:r w:rsidRPr="00103FBA">
        <w:t>pathways</w:t>
      </w:r>
      <w:proofErr w:type="spellEnd"/>
      <w:r w:rsidRPr="00103FBA">
        <w:t xml:space="preserve"> </w:t>
      </w:r>
      <w:proofErr w:type="spellStart"/>
      <w:r w:rsidRPr="00103FBA">
        <w:t>to</w:t>
      </w:r>
      <w:proofErr w:type="spellEnd"/>
      <w:r w:rsidRPr="00103FBA">
        <w:t xml:space="preserve"> </w:t>
      </w:r>
      <w:proofErr w:type="spellStart"/>
      <w:r w:rsidRPr="00103FBA">
        <w:t>wellness</w:t>
      </w:r>
      <w:proofErr w:type="spellEnd"/>
      <w:r>
        <w:t>”</w:t>
      </w:r>
      <w:r w:rsidRPr="00103FBA">
        <w:t xml:space="preserve">. </w:t>
      </w:r>
      <w:proofErr w:type="spellStart"/>
      <w:r w:rsidRPr="00103FBA">
        <w:t>See</w:t>
      </w:r>
      <w:proofErr w:type="spellEnd"/>
      <w:r w:rsidRPr="00103FBA">
        <w:t xml:space="preserve"> </w:t>
      </w:r>
      <w:r w:rsidRPr="00193DD1">
        <w:rPr>
          <w:rStyle w:val="Hipervnculo"/>
        </w:rPr>
        <w:t>https://</w:t>
      </w:r>
      <w:proofErr w:type="spellStart"/>
      <w:r w:rsidRPr="00193DD1">
        <w:rPr>
          <w:rStyle w:val="Hipervnculo"/>
        </w:rPr>
        <w:t>www.mentalhealth.inquiry.govt.nz</w:t>
      </w:r>
      <w:proofErr w:type="spellEnd"/>
      <w:r w:rsidRPr="00193DD1">
        <w:rPr>
          <w:rStyle w:val="Hipervnculo"/>
        </w:rPr>
        <w:t>/</w:t>
      </w:r>
      <w:proofErr w:type="spellStart"/>
      <w:r w:rsidRPr="00193DD1">
        <w:rPr>
          <w:rStyle w:val="Hipervnculo"/>
        </w:rPr>
        <w:t>inquiry-report</w:t>
      </w:r>
      <w:proofErr w:type="spellEnd"/>
      <w:r w:rsidRPr="00193DD1">
        <w:rPr>
          <w:rStyle w:val="Hipervnculo"/>
        </w:rPr>
        <w:t>/</w:t>
      </w:r>
      <w:r w:rsidRPr="00103FBA">
        <w:t>.</w:t>
      </w:r>
    </w:p>
  </w:endnote>
  <w:endnote w:id="111">
    <w:p w14:paraId="2810EF79"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r w:rsidRPr="00103FBA">
        <w:t xml:space="preserve">In 2018, </w:t>
      </w:r>
      <w:proofErr w:type="spellStart"/>
      <w:r w:rsidRPr="00103FBA">
        <w:t>the</w:t>
      </w:r>
      <w:proofErr w:type="spellEnd"/>
      <w:r w:rsidRPr="00103FBA">
        <w:t xml:space="preserve"> </w:t>
      </w:r>
      <w:proofErr w:type="spellStart"/>
      <w:r w:rsidRPr="00103FBA">
        <w:t>Government</w:t>
      </w:r>
      <w:proofErr w:type="spellEnd"/>
      <w:r w:rsidRPr="00103FBA">
        <w:t xml:space="preserve"> </w:t>
      </w:r>
      <w:proofErr w:type="spellStart"/>
      <w:r w:rsidRPr="00103FBA">
        <w:t>initiated</w:t>
      </w:r>
      <w:proofErr w:type="spellEnd"/>
      <w:r w:rsidRPr="00103FBA">
        <w:t xml:space="preserve"> </w:t>
      </w:r>
      <w:proofErr w:type="spellStart"/>
      <w:r w:rsidRPr="00103FBA">
        <w:t>an</w:t>
      </w:r>
      <w:proofErr w:type="spellEnd"/>
      <w:r w:rsidRPr="00103FBA">
        <w:t xml:space="preserve"> </w:t>
      </w:r>
      <w:proofErr w:type="spellStart"/>
      <w:r w:rsidRPr="00103FBA">
        <w:t>Inquiry</w:t>
      </w:r>
      <w:proofErr w:type="spellEnd"/>
      <w:r w:rsidRPr="00103FBA">
        <w:t xml:space="preserve"> </w:t>
      </w:r>
      <w:proofErr w:type="spellStart"/>
      <w:r w:rsidRPr="00103FBA">
        <w:t>into</w:t>
      </w:r>
      <w:proofErr w:type="spellEnd"/>
      <w:r w:rsidRPr="00103FBA">
        <w:t xml:space="preserve"> Mental </w:t>
      </w:r>
      <w:proofErr w:type="spellStart"/>
      <w:r w:rsidRPr="00103FBA">
        <w:t>Health</w:t>
      </w:r>
      <w:proofErr w:type="spellEnd"/>
      <w:r w:rsidRPr="00103FBA">
        <w:t xml:space="preserve"> and </w:t>
      </w:r>
      <w:proofErr w:type="spellStart"/>
      <w:r w:rsidRPr="00103FBA">
        <w:t>Addiction</w:t>
      </w:r>
      <w:proofErr w:type="spellEnd"/>
      <w:r w:rsidRPr="00103FBA">
        <w:t xml:space="preserve"> </w:t>
      </w:r>
      <w:proofErr w:type="spellStart"/>
      <w:r w:rsidRPr="00103FBA">
        <w:t>to</w:t>
      </w:r>
      <w:proofErr w:type="spellEnd"/>
      <w:r w:rsidRPr="00103FBA">
        <w:t xml:space="preserve"> </w:t>
      </w:r>
      <w:proofErr w:type="spellStart"/>
      <w:r w:rsidRPr="00103FBA">
        <w:t>identify</w:t>
      </w:r>
      <w:proofErr w:type="spellEnd"/>
      <w:r w:rsidRPr="00103FBA">
        <w:t xml:space="preserve"> </w:t>
      </w:r>
      <w:proofErr w:type="spellStart"/>
      <w:r w:rsidRPr="00103FBA">
        <w:t>how</w:t>
      </w:r>
      <w:proofErr w:type="spellEnd"/>
      <w:r w:rsidRPr="00103FBA">
        <w:t xml:space="preserve"> </w:t>
      </w:r>
      <w:proofErr w:type="spellStart"/>
      <w:r w:rsidRPr="00103FBA">
        <w:t>to</w:t>
      </w:r>
      <w:proofErr w:type="spellEnd"/>
      <w:r w:rsidRPr="00103FBA">
        <w:t xml:space="preserve"> </w:t>
      </w:r>
      <w:proofErr w:type="spellStart"/>
      <w:r w:rsidRPr="00103FBA">
        <w:t>better</w:t>
      </w:r>
      <w:proofErr w:type="spellEnd"/>
      <w:r w:rsidRPr="00103FBA">
        <w:t xml:space="preserve"> serve </w:t>
      </w:r>
      <w:proofErr w:type="spellStart"/>
      <w:r w:rsidRPr="00103FBA">
        <w:t>people’s</w:t>
      </w:r>
      <w:proofErr w:type="spellEnd"/>
      <w:r w:rsidRPr="00103FBA">
        <w:t xml:space="preserve"> </w:t>
      </w:r>
      <w:proofErr w:type="spellStart"/>
      <w:r w:rsidRPr="00103FBA">
        <w:t>needs</w:t>
      </w:r>
      <w:proofErr w:type="spellEnd"/>
      <w:r w:rsidRPr="00103FBA">
        <w:t xml:space="preserve"> and </w:t>
      </w:r>
      <w:proofErr w:type="spellStart"/>
      <w:r w:rsidRPr="00103FBA">
        <w:t>improve</w:t>
      </w:r>
      <w:proofErr w:type="spellEnd"/>
      <w:r w:rsidRPr="00103FBA">
        <w:t xml:space="preserve"> </w:t>
      </w:r>
      <w:proofErr w:type="spellStart"/>
      <w:r w:rsidRPr="00103FBA">
        <w:t>the</w:t>
      </w:r>
      <w:proofErr w:type="spellEnd"/>
      <w:r w:rsidRPr="00103FBA">
        <w:t xml:space="preserve"> mental </w:t>
      </w:r>
      <w:proofErr w:type="spellStart"/>
      <w:r w:rsidRPr="00103FBA">
        <w:t>health</w:t>
      </w:r>
      <w:proofErr w:type="spellEnd"/>
      <w:r w:rsidRPr="00103FBA">
        <w:t xml:space="preserve"> and </w:t>
      </w:r>
      <w:proofErr w:type="spellStart"/>
      <w:r w:rsidRPr="00103FBA">
        <w:t>addiction</w:t>
      </w:r>
      <w:proofErr w:type="spellEnd"/>
      <w:r w:rsidRPr="00103FBA">
        <w:t xml:space="preserve"> </w:t>
      </w:r>
      <w:proofErr w:type="spellStart"/>
      <w:r w:rsidRPr="00103FBA">
        <w:t>system</w:t>
      </w:r>
      <w:proofErr w:type="spellEnd"/>
      <w:r w:rsidRPr="00103FBA">
        <w:t xml:space="preserve">. </w:t>
      </w:r>
      <w:proofErr w:type="spellStart"/>
      <w:r w:rsidRPr="00103FBA">
        <w:t>The</w:t>
      </w:r>
      <w:proofErr w:type="spellEnd"/>
      <w:r w:rsidRPr="00103FBA">
        <w:t xml:space="preserve"> </w:t>
      </w:r>
      <w:proofErr w:type="spellStart"/>
      <w:r w:rsidRPr="00103FBA">
        <w:t>Inquiry</w:t>
      </w:r>
      <w:proofErr w:type="spellEnd"/>
      <w:r w:rsidRPr="00103FBA">
        <w:t xml:space="preserve"> </w:t>
      </w:r>
      <w:proofErr w:type="spellStart"/>
      <w:r w:rsidRPr="00103FBA">
        <w:t>report</w:t>
      </w:r>
      <w:proofErr w:type="spellEnd"/>
      <w:r w:rsidRPr="00103FBA">
        <w:t xml:space="preserve"> </w:t>
      </w:r>
      <w:proofErr w:type="spellStart"/>
      <w:r w:rsidRPr="00103FBA">
        <w:t>is</w:t>
      </w:r>
      <w:proofErr w:type="spellEnd"/>
      <w:r w:rsidRPr="00103FBA">
        <w:t xml:space="preserve"> </w:t>
      </w:r>
      <w:proofErr w:type="spellStart"/>
      <w:r w:rsidRPr="00103FBA">
        <w:t>available</w:t>
      </w:r>
      <w:proofErr w:type="spellEnd"/>
      <w:r w:rsidRPr="00103FBA">
        <w:t xml:space="preserve"> at: </w:t>
      </w:r>
      <w:r w:rsidRPr="00193DD1">
        <w:rPr>
          <w:rStyle w:val="Hipervnculo"/>
        </w:rPr>
        <w:t>https://mentalhealth.inquiry.govt.nz/inquiry-report/he-ara-oranga/</w:t>
      </w:r>
      <w:r w:rsidRPr="00103FBA">
        <w:t>.</w:t>
      </w:r>
    </w:p>
  </w:endnote>
  <w:endnote w:id="112">
    <w:p w14:paraId="2CBFB3F9"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This</w:t>
      </w:r>
      <w:proofErr w:type="spellEnd"/>
      <w:r w:rsidRPr="00103FBA">
        <w:t xml:space="preserve"> </w:t>
      </w:r>
      <w:proofErr w:type="spellStart"/>
      <w:r w:rsidRPr="00103FBA">
        <w:t>was</w:t>
      </w:r>
      <w:proofErr w:type="spellEnd"/>
      <w:r w:rsidRPr="00103FBA">
        <w:t xml:space="preserve"> </w:t>
      </w:r>
      <w:proofErr w:type="spellStart"/>
      <w:r w:rsidRPr="00103FBA">
        <w:t>action</w:t>
      </w:r>
      <w:proofErr w:type="spellEnd"/>
      <w:r w:rsidRPr="00103FBA">
        <w:t xml:space="preserve"> 9(d) </w:t>
      </w:r>
      <w:proofErr w:type="spellStart"/>
      <w:r w:rsidRPr="00103FBA">
        <w:t>of</w:t>
      </w:r>
      <w:proofErr w:type="spellEnd"/>
      <w:r w:rsidRPr="00103FBA">
        <w:t xml:space="preserve"> </w:t>
      </w:r>
      <w:proofErr w:type="spellStart"/>
      <w:r w:rsidRPr="00103FBA">
        <w:t>the</w:t>
      </w:r>
      <w:proofErr w:type="spellEnd"/>
      <w:r w:rsidRPr="00103FBA">
        <w:t xml:space="preserve"> </w:t>
      </w:r>
      <w:proofErr w:type="spellStart"/>
      <w:r w:rsidRPr="00103FBA">
        <w:t>Disability</w:t>
      </w:r>
      <w:proofErr w:type="spellEnd"/>
      <w:r w:rsidRPr="00103FBA">
        <w:t xml:space="preserve"> </w:t>
      </w:r>
      <w:proofErr w:type="spellStart"/>
      <w:r w:rsidRPr="00103FBA">
        <w:t>Action</w:t>
      </w:r>
      <w:proofErr w:type="spellEnd"/>
      <w:r w:rsidRPr="00103FBA">
        <w:t xml:space="preserve"> Plan 2014–2018. </w:t>
      </w:r>
      <w:proofErr w:type="spellStart"/>
      <w:r w:rsidRPr="00103FBA">
        <w:t>See</w:t>
      </w:r>
      <w:proofErr w:type="spellEnd"/>
      <w:r w:rsidRPr="00103FBA">
        <w:t xml:space="preserve"> </w:t>
      </w:r>
      <w:r w:rsidRPr="00193DD1">
        <w:rPr>
          <w:rStyle w:val="Hipervnculo"/>
        </w:rPr>
        <w:t>www.odi.govt.nz/nz-disability-strategy/outcome-7-choice-and-control/</w:t>
      </w:r>
      <w:r w:rsidRPr="00103FBA">
        <w:t>.</w:t>
      </w:r>
    </w:p>
  </w:endnote>
  <w:endnote w:id="113">
    <w:p w14:paraId="51682814"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Further</w:t>
      </w:r>
      <w:proofErr w:type="spellEnd"/>
      <w:r w:rsidRPr="00103FBA">
        <w:t xml:space="preserve"> </w:t>
      </w:r>
      <w:proofErr w:type="spellStart"/>
      <w:r w:rsidRPr="00103FBA">
        <w:t>information</w:t>
      </w:r>
      <w:proofErr w:type="spellEnd"/>
      <w:r w:rsidRPr="00103FBA">
        <w:t xml:space="preserve"> </w:t>
      </w:r>
      <w:proofErr w:type="spellStart"/>
      <w:r w:rsidRPr="00103FBA">
        <w:t>on</w:t>
      </w:r>
      <w:proofErr w:type="spellEnd"/>
      <w:r w:rsidRPr="00103FBA">
        <w:t xml:space="preserve"> </w:t>
      </w:r>
      <w:proofErr w:type="spellStart"/>
      <w:r w:rsidRPr="00103FBA">
        <w:t>the</w:t>
      </w:r>
      <w:proofErr w:type="spellEnd"/>
      <w:r w:rsidRPr="00103FBA">
        <w:t xml:space="preserve"> </w:t>
      </w:r>
      <w:proofErr w:type="spellStart"/>
      <w:r w:rsidRPr="00103FBA">
        <w:t>Tribunal’s</w:t>
      </w:r>
      <w:proofErr w:type="spellEnd"/>
      <w:r w:rsidRPr="00103FBA">
        <w:t xml:space="preserve"> </w:t>
      </w:r>
      <w:proofErr w:type="spellStart"/>
      <w:r w:rsidRPr="00103FBA">
        <w:t>activities</w:t>
      </w:r>
      <w:proofErr w:type="spellEnd"/>
      <w:r w:rsidRPr="00103FBA">
        <w:t xml:space="preserve"> </w:t>
      </w:r>
      <w:proofErr w:type="spellStart"/>
      <w:r w:rsidRPr="00103FBA">
        <w:t>is</w:t>
      </w:r>
      <w:proofErr w:type="spellEnd"/>
      <w:r w:rsidRPr="00103FBA">
        <w:t xml:space="preserve"> </w:t>
      </w:r>
      <w:proofErr w:type="spellStart"/>
      <w:r w:rsidRPr="00103FBA">
        <w:t>published</w:t>
      </w:r>
      <w:proofErr w:type="spellEnd"/>
      <w:r w:rsidRPr="00103FBA">
        <w:t xml:space="preserve"> </w:t>
      </w:r>
      <w:proofErr w:type="spellStart"/>
      <w:r w:rsidRPr="00103FBA">
        <w:t>annually</w:t>
      </w:r>
      <w:proofErr w:type="spellEnd"/>
      <w:r w:rsidRPr="00103FBA">
        <w:t xml:space="preserve"> in </w:t>
      </w:r>
      <w:proofErr w:type="spellStart"/>
      <w:r w:rsidRPr="00103FBA">
        <w:t>the</w:t>
      </w:r>
      <w:proofErr w:type="spellEnd"/>
      <w:r w:rsidRPr="00103FBA">
        <w:t xml:space="preserve"> Office </w:t>
      </w:r>
      <w:proofErr w:type="spellStart"/>
      <w:r w:rsidRPr="00103FBA">
        <w:t>of</w:t>
      </w:r>
      <w:proofErr w:type="spellEnd"/>
      <w:r w:rsidRPr="00103FBA">
        <w:t xml:space="preserve"> </w:t>
      </w:r>
      <w:proofErr w:type="spellStart"/>
      <w:r w:rsidRPr="00103FBA">
        <w:t>the</w:t>
      </w:r>
      <w:proofErr w:type="spellEnd"/>
      <w:r w:rsidRPr="00103FBA">
        <w:t xml:space="preserve"> Director </w:t>
      </w:r>
      <w:proofErr w:type="spellStart"/>
      <w:r w:rsidRPr="00103FBA">
        <w:t>of</w:t>
      </w:r>
      <w:proofErr w:type="spellEnd"/>
      <w:r w:rsidRPr="00103FBA">
        <w:t xml:space="preserve"> Mental </w:t>
      </w:r>
      <w:proofErr w:type="spellStart"/>
      <w:r w:rsidRPr="00103FBA">
        <w:t>Health</w:t>
      </w:r>
      <w:proofErr w:type="spellEnd"/>
      <w:r w:rsidRPr="00103FBA">
        <w:t xml:space="preserve"> </w:t>
      </w:r>
      <w:proofErr w:type="spellStart"/>
      <w:r w:rsidRPr="00103FBA">
        <w:t>Annual</w:t>
      </w:r>
      <w:proofErr w:type="spellEnd"/>
      <w:r w:rsidRPr="00103FBA">
        <w:t xml:space="preserve"> </w:t>
      </w:r>
      <w:proofErr w:type="spellStart"/>
      <w:r w:rsidRPr="00103FBA">
        <w:t>Report</w:t>
      </w:r>
      <w:proofErr w:type="spellEnd"/>
      <w:r w:rsidRPr="00103FBA">
        <w:t xml:space="preserve">, </w:t>
      </w:r>
      <w:proofErr w:type="spellStart"/>
      <w:r w:rsidRPr="00103FBA">
        <w:t>available</w:t>
      </w:r>
      <w:proofErr w:type="spellEnd"/>
      <w:r w:rsidRPr="00103FBA">
        <w:t xml:space="preserve"> </w:t>
      </w:r>
      <w:proofErr w:type="spellStart"/>
      <w:r w:rsidRPr="00103FBA">
        <w:t>on</w:t>
      </w:r>
      <w:proofErr w:type="spellEnd"/>
      <w:r w:rsidRPr="00103FBA">
        <w:t xml:space="preserve"> </w:t>
      </w:r>
      <w:proofErr w:type="spellStart"/>
      <w:r w:rsidRPr="00103FBA">
        <w:t>the</w:t>
      </w:r>
      <w:proofErr w:type="spellEnd"/>
      <w:r w:rsidRPr="00103FBA">
        <w:t xml:space="preserve"> </w:t>
      </w:r>
      <w:proofErr w:type="spellStart"/>
      <w:r w:rsidRPr="00103FBA">
        <w:t>Ministry</w:t>
      </w:r>
      <w:proofErr w:type="spellEnd"/>
      <w:r w:rsidRPr="00103FBA">
        <w:t xml:space="preserve"> </w:t>
      </w:r>
      <w:proofErr w:type="spellStart"/>
      <w:r w:rsidRPr="00103FBA">
        <w:t>of</w:t>
      </w:r>
      <w:proofErr w:type="spellEnd"/>
      <w:r w:rsidRPr="00103FBA">
        <w:t xml:space="preserve"> </w:t>
      </w:r>
      <w:proofErr w:type="spellStart"/>
      <w:r w:rsidRPr="00103FBA">
        <w:t>Health</w:t>
      </w:r>
      <w:proofErr w:type="spellEnd"/>
      <w:r w:rsidRPr="00103FBA">
        <w:t xml:space="preserve"> </w:t>
      </w:r>
      <w:proofErr w:type="spellStart"/>
      <w:r w:rsidRPr="00103FBA">
        <w:t>website</w:t>
      </w:r>
      <w:proofErr w:type="spellEnd"/>
      <w:r w:rsidRPr="00103FBA">
        <w:t>.</w:t>
      </w:r>
    </w:p>
  </w:endnote>
  <w:endnote w:id="114">
    <w:p w14:paraId="23D67231"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Further</w:t>
      </w:r>
      <w:proofErr w:type="spellEnd"/>
      <w:r w:rsidRPr="00103FBA">
        <w:t xml:space="preserve"> </w:t>
      </w:r>
      <w:proofErr w:type="spellStart"/>
      <w:r w:rsidRPr="00103FBA">
        <w:t>information</w:t>
      </w:r>
      <w:proofErr w:type="spellEnd"/>
      <w:r w:rsidRPr="00103FBA">
        <w:t xml:space="preserve"> </w:t>
      </w:r>
      <w:proofErr w:type="spellStart"/>
      <w:r w:rsidRPr="00103FBA">
        <w:t>on</w:t>
      </w:r>
      <w:proofErr w:type="spellEnd"/>
      <w:r w:rsidRPr="00103FBA">
        <w:t xml:space="preserve"> </w:t>
      </w:r>
      <w:proofErr w:type="spellStart"/>
      <w:r w:rsidRPr="00103FBA">
        <w:t>the</w:t>
      </w:r>
      <w:proofErr w:type="spellEnd"/>
      <w:r w:rsidRPr="00103FBA">
        <w:t xml:space="preserve"> </w:t>
      </w:r>
      <w:proofErr w:type="spellStart"/>
      <w:r w:rsidRPr="00103FBA">
        <w:t>Tribunal’s</w:t>
      </w:r>
      <w:proofErr w:type="spellEnd"/>
      <w:r w:rsidRPr="00103FBA">
        <w:t xml:space="preserve"> </w:t>
      </w:r>
      <w:proofErr w:type="spellStart"/>
      <w:r w:rsidRPr="00103FBA">
        <w:t>activities</w:t>
      </w:r>
      <w:proofErr w:type="spellEnd"/>
      <w:r w:rsidRPr="00103FBA">
        <w:t xml:space="preserve"> </w:t>
      </w:r>
      <w:proofErr w:type="spellStart"/>
      <w:r w:rsidRPr="00103FBA">
        <w:t>is</w:t>
      </w:r>
      <w:proofErr w:type="spellEnd"/>
      <w:r w:rsidRPr="00103FBA">
        <w:t xml:space="preserve"> </w:t>
      </w:r>
      <w:proofErr w:type="spellStart"/>
      <w:r w:rsidRPr="00103FBA">
        <w:t>published</w:t>
      </w:r>
      <w:proofErr w:type="spellEnd"/>
      <w:r w:rsidRPr="00103FBA">
        <w:t xml:space="preserve"> </w:t>
      </w:r>
      <w:proofErr w:type="spellStart"/>
      <w:r w:rsidRPr="00103FBA">
        <w:t>annually</w:t>
      </w:r>
      <w:proofErr w:type="spellEnd"/>
      <w:r w:rsidRPr="00103FBA">
        <w:t xml:space="preserve"> in </w:t>
      </w:r>
      <w:proofErr w:type="spellStart"/>
      <w:r w:rsidRPr="00103FBA">
        <w:t>the</w:t>
      </w:r>
      <w:proofErr w:type="spellEnd"/>
      <w:r w:rsidRPr="00103FBA">
        <w:t xml:space="preserve"> Office </w:t>
      </w:r>
      <w:proofErr w:type="spellStart"/>
      <w:r w:rsidRPr="00103FBA">
        <w:t>of</w:t>
      </w:r>
      <w:proofErr w:type="spellEnd"/>
      <w:r w:rsidRPr="00103FBA">
        <w:t xml:space="preserve"> </w:t>
      </w:r>
      <w:proofErr w:type="spellStart"/>
      <w:r w:rsidRPr="00103FBA">
        <w:t>the</w:t>
      </w:r>
      <w:proofErr w:type="spellEnd"/>
      <w:r w:rsidRPr="00103FBA">
        <w:t xml:space="preserve"> Director </w:t>
      </w:r>
      <w:proofErr w:type="spellStart"/>
      <w:r w:rsidRPr="00103FBA">
        <w:t>of</w:t>
      </w:r>
      <w:proofErr w:type="spellEnd"/>
      <w:r w:rsidRPr="00103FBA">
        <w:t xml:space="preserve"> Mental </w:t>
      </w:r>
      <w:proofErr w:type="spellStart"/>
      <w:r w:rsidRPr="00103FBA">
        <w:t>Health</w:t>
      </w:r>
      <w:proofErr w:type="spellEnd"/>
      <w:r w:rsidRPr="00103FBA">
        <w:t xml:space="preserve"> </w:t>
      </w:r>
      <w:proofErr w:type="spellStart"/>
      <w:r w:rsidRPr="00103FBA">
        <w:t>Annual</w:t>
      </w:r>
      <w:proofErr w:type="spellEnd"/>
      <w:r w:rsidRPr="00103FBA">
        <w:t xml:space="preserve"> </w:t>
      </w:r>
      <w:proofErr w:type="spellStart"/>
      <w:r w:rsidRPr="00103FBA">
        <w:t>Report</w:t>
      </w:r>
      <w:proofErr w:type="spellEnd"/>
      <w:r w:rsidRPr="00103FBA">
        <w:t xml:space="preserve">, </w:t>
      </w:r>
      <w:proofErr w:type="spellStart"/>
      <w:r w:rsidRPr="00103FBA">
        <w:t>available</w:t>
      </w:r>
      <w:proofErr w:type="spellEnd"/>
      <w:r w:rsidRPr="00103FBA">
        <w:t xml:space="preserve"> </w:t>
      </w:r>
      <w:proofErr w:type="spellStart"/>
      <w:r w:rsidRPr="00103FBA">
        <w:t>on</w:t>
      </w:r>
      <w:proofErr w:type="spellEnd"/>
      <w:r w:rsidRPr="00103FBA">
        <w:t xml:space="preserve"> </w:t>
      </w:r>
      <w:proofErr w:type="spellStart"/>
      <w:r w:rsidRPr="00103FBA">
        <w:t>the</w:t>
      </w:r>
      <w:proofErr w:type="spellEnd"/>
      <w:r w:rsidRPr="00103FBA">
        <w:t xml:space="preserve"> </w:t>
      </w:r>
      <w:proofErr w:type="spellStart"/>
      <w:r w:rsidRPr="00103FBA">
        <w:t>Ministry</w:t>
      </w:r>
      <w:proofErr w:type="spellEnd"/>
      <w:r w:rsidRPr="00103FBA">
        <w:t xml:space="preserve"> </w:t>
      </w:r>
      <w:proofErr w:type="spellStart"/>
      <w:r w:rsidRPr="00103FBA">
        <w:t>of</w:t>
      </w:r>
      <w:proofErr w:type="spellEnd"/>
      <w:r w:rsidRPr="00103FBA">
        <w:t xml:space="preserve"> </w:t>
      </w:r>
      <w:proofErr w:type="spellStart"/>
      <w:r w:rsidRPr="00103FBA">
        <w:t>Health</w:t>
      </w:r>
      <w:proofErr w:type="spellEnd"/>
      <w:r w:rsidRPr="00103FBA">
        <w:t xml:space="preserve"> </w:t>
      </w:r>
      <w:proofErr w:type="spellStart"/>
      <w:r w:rsidRPr="00103FBA">
        <w:t>website</w:t>
      </w:r>
      <w:proofErr w:type="spellEnd"/>
      <w:r w:rsidRPr="00103FBA">
        <w:t xml:space="preserve">. </w:t>
      </w:r>
    </w:p>
  </w:endnote>
  <w:endnote w:id="115">
    <w:p w14:paraId="74E77CFE"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District</w:t>
      </w:r>
      <w:proofErr w:type="spellEnd"/>
      <w:r w:rsidRPr="00103FBA">
        <w:t xml:space="preserve"> </w:t>
      </w:r>
      <w:proofErr w:type="spellStart"/>
      <w:r w:rsidRPr="00103FBA">
        <w:t>Inspectors</w:t>
      </w:r>
      <w:proofErr w:type="spellEnd"/>
      <w:r w:rsidRPr="00103FBA">
        <w:t xml:space="preserve"> are </w:t>
      </w:r>
      <w:proofErr w:type="spellStart"/>
      <w:r w:rsidRPr="00103FBA">
        <w:t>lawyers</w:t>
      </w:r>
      <w:proofErr w:type="spellEnd"/>
      <w:r w:rsidRPr="00103FBA">
        <w:t xml:space="preserve"> </w:t>
      </w:r>
      <w:proofErr w:type="spellStart"/>
      <w:r w:rsidRPr="00103FBA">
        <w:t>appointed</w:t>
      </w:r>
      <w:proofErr w:type="spellEnd"/>
      <w:r w:rsidRPr="00103FBA">
        <w:t xml:space="preserve"> </w:t>
      </w:r>
      <w:proofErr w:type="spellStart"/>
      <w:r w:rsidRPr="00103FBA">
        <w:t>under</w:t>
      </w:r>
      <w:proofErr w:type="spellEnd"/>
      <w:r w:rsidRPr="00103FBA">
        <w:t xml:space="preserve"> </w:t>
      </w:r>
      <w:proofErr w:type="spellStart"/>
      <w:r w:rsidRPr="00103FBA">
        <w:t>the</w:t>
      </w:r>
      <w:proofErr w:type="spellEnd"/>
      <w:r w:rsidRPr="00103FBA">
        <w:t xml:space="preserve"> Mental </w:t>
      </w:r>
      <w:proofErr w:type="spellStart"/>
      <w:r w:rsidRPr="00103FBA">
        <w:t>Health</w:t>
      </w:r>
      <w:proofErr w:type="spellEnd"/>
      <w:r w:rsidRPr="00103FBA">
        <w:t xml:space="preserve"> </w:t>
      </w:r>
      <w:proofErr w:type="spellStart"/>
      <w:r w:rsidRPr="00103FBA">
        <w:t>Act</w:t>
      </w:r>
      <w:proofErr w:type="spellEnd"/>
      <w:r w:rsidRPr="00103FBA">
        <w:t>.</w:t>
      </w:r>
    </w:p>
  </w:endnote>
  <w:endnote w:id="116">
    <w:p w14:paraId="6FB30924"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Intellectual</w:t>
      </w:r>
      <w:proofErr w:type="spellEnd"/>
      <w:r w:rsidRPr="00103FBA">
        <w:t xml:space="preserve"> </w:t>
      </w:r>
      <w:proofErr w:type="spellStart"/>
      <w:r w:rsidRPr="00103FBA">
        <w:t>Disability</w:t>
      </w:r>
      <w:proofErr w:type="spellEnd"/>
      <w:r w:rsidRPr="00103FBA">
        <w:t xml:space="preserve"> (</w:t>
      </w:r>
      <w:proofErr w:type="spellStart"/>
      <w:r w:rsidRPr="00103FBA">
        <w:t>Compulsory</w:t>
      </w:r>
      <w:proofErr w:type="spellEnd"/>
      <w:r w:rsidRPr="00103FBA">
        <w:t xml:space="preserve"> </w:t>
      </w:r>
      <w:proofErr w:type="spellStart"/>
      <w:r w:rsidRPr="00103FBA">
        <w:t>Care</w:t>
      </w:r>
      <w:proofErr w:type="spellEnd"/>
      <w:r w:rsidRPr="00103FBA">
        <w:t xml:space="preserve"> and </w:t>
      </w:r>
      <w:proofErr w:type="spellStart"/>
      <w:r w:rsidRPr="00103FBA">
        <w:t>Rehabilitation</w:t>
      </w:r>
      <w:proofErr w:type="spellEnd"/>
      <w:r w:rsidRPr="00103FBA">
        <w:t xml:space="preserve">) </w:t>
      </w:r>
      <w:proofErr w:type="spellStart"/>
      <w:r w:rsidRPr="00103FBA">
        <w:t>Act</w:t>
      </w:r>
      <w:proofErr w:type="spellEnd"/>
      <w:r w:rsidRPr="00103FBA">
        <w:t xml:space="preserve"> 2003, </w:t>
      </w:r>
      <w:proofErr w:type="spellStart"/>
      <w:r w:rsidRPr="00103FBA">
        <w:t>Section</w:t>
      </w:r>
      <w:proofErr w:type="spellEnd"/>
      <w:r w:rsidRPr="00103FBA">
        <w:t xml:space="preserve"> 72.</w:t>
      </w:r>
    </w:p>
  </w:endnote>
  <w:endnote w:id="117">
    <w:p w14:paraId="4272A76F"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Intellectual</w:t>
      </w:r>
      <w:proofErr w:type="spellEnd"/>
      <w:r w:rsidRPr="00103FBA">
        <w:t xml:space="preserve"> </w:t>
      </w:r>
      <w:proofErr w:type="spellStart"/>
      <w:r w:rsidRPr="00103FBA">
        <w:t>Disability</w:t>
      </w:r>
      <w:proofErr w:type="spellEnd"/>
      <w:r w:rsidRPr="00103FBA">
        <w:t xml:space="preserve"> (</w:t>
      </w:r>
      <w:proofErr w:type="spellStart"/>
      <w:r w:rsidRPr="00103FBA">
        <w:t>Compulsory</w:t>
      </w:r>
      <w:proofErr w:type="spellEnd"/>
      <w:r w:rsidRPr="00103FBA">
        <w:t xml:space="preserve"> </w:t>
      </w:r>
      <w:proofErr w:type="spellStart"/>
      <w:r w:rsidRPr="00103FBA">
        <w:t>Care</w:t>
      </w:r>
      <w:proofErr w:type="spellEnd"/>
      <w:r w:rsidRPr="00103FBA">
        <w:t xml:space="preserve"> and </w:t>
      </w:r>
      <w:proofErr w:type="spellStart"/>
      <w:r w:rsidRPr="00103FBA">
        <w:t>Rehabilitation</w:t>
      </w:r>
      <w:proofErr w:type="spellEnd"/>
      <w:r w:rsidRPr="00103FBA">
        <w:t xml:space="preserve">) </w:t>
      </w:r>
      <w:proofErr w:type="spellStart"/>
      <w:r w:rsidRPr="00103FBA">
        <w:t>Act</w:t>
      </w:r>
      <w:proofErr w:type="spellEnd"/>
      <w:r w:rsidRPr="00103FBA">
        <w:t xml:space="preserve"> 2003, </w:t>
      </w:r>
      <w:proofErr w:type="spellStart"/>
      <w:r w:rsidRPr="00103FBA">
        <w:t>Section</w:t>
      </w:r>
      <w:proofErr w:type="spellEnd"/>
      <w:r w:rsidRPr="00103FBA">
        <w:t xml:space="preserve"> 74.</w:t>
      </w:r>
    </w:p>
  </w:endnote>
  <w:endnote w:id="118">
    <w:p w14:paraId="438E22D1"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Intellectual</w:t>
      </w:r>
      <w:proofErr w:type="spellEnd"/>
      <w:r w:rsidRPr="00103FBA">
        <w:t xml:space="preserve"> </w:t>
      </w:r>
      <w:proofErr w:type="spellStart"/>
      <w:r w:rsidRPr="00103FBA">
        <w:t>Disability</w:t>
      </w:r>
      <w:proofErr w:type="spellEnd"/>
      <w:r w:rsidRPr="00103FBA">
        <w:t xml:space="preserve"> (</w:t>
      </w:r>
      <w:proofErr w:type="spellStart"/>
      <w:r w:rsidRPr="00103FBA">
        <w:t>Compulsory</w:t>
      </w:r>
      <w:proofErr w:type="spellEnd"/>
      <w:r w:rsidRPr="00103FBA">
        <w:t xml:space="preserve"> </w:t>
      </w:r>
      <w:proofErr w:type="spellStart"/>
      <w:r w:rsidRPr="00103FBA">
        <w:t>Care</w:t>
      </w:r>
      <w:proofErr w:type="spellEnd"/>
      <w:r w:rsidRPr="00103FBA">
        <w:t xml:space="preserve"> and </w:t>
      </w:r>
      <w:proofErr w:type="spellStart"/>
      <w:r w:rsidRPr="00103FBA">
        <w:t>Rehabilitation</w:t>
      </w:r>
      <w:proofErr w:type="spellEnd"/>
      <w:r w:rsidRPr="00103FBA">
        <w:t xml:space="preserve">) </w:t>
      </w:r>
      <w:proofErr w:type="spellStart"/>
      <w:r w:rsidRPr="00103FBA">
        <w:t>Act</w:t>
      </w:r>
      <w:proofErr w:type="spellEnd"/>
      <w:r w:rsidRPr="00103FBA">
        <w:t xml:space="preserve"> 2003, </w:t>
      </w:r>
      <w:proofErr w:type="spellStart"/>
      <w:r w:rsidRPr="00103FBA">
        <w:t>Section</w:t>
      </w:r>
      <w:proofErr w:type="spellEnd"/>
      <w:r w:rsidRPr="00103FBA">
        <w:t xml:space="preserve"> 77.</w:t>
      </w:r>
    </w:p>
  </w:endnote>
  <w:endnote w:id="119">
    <w:p w14:paraId="3EDA8F6E"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Intellectual</w:t>
      </w:r>
      <w:proofErr w:type="spellEnd"/>
      <w:r w:rsidRPr="00103FBA">
        <w:t xml:space="preserve"> </w:t>
      </w:r>
      <w:proofErr w:type="spellStart"/>
      <w:r w:rsidRPr="00103FBA">
        <w:t>Disability</w:t>
      </w:r>
      <w:proofErr w:type="spellEnd"/>
      <w:r w:rsidRPr="00103FBA">
        <w:t xml:space="preserve"> (</w:t>
      </w:r>
      <w:proofErr w:type="spellStart"/>
      <w:r w:rsidRPr="00103FBA">
        <w:t>Compulsory</w:t>
      </w:r>
      <w:proofErr w:type="spellEnd"/>
      <w:r w:rsidRPr="00103FBA">
        <w:t xml:space="preserve"> </w:t>
      </w:r>
      <w:proofErr w:type="spellStart"/>
      <w:r w:rsidRPr="00103FBA">
        <w:t>Care</w:t>
      </w:r>
      <w:proofErr w:type="spellEnd"/>
      <w:r w:rsidRPr="00103FBA">
        <w:t xml:space="preserve"> and </w:t>
      </w:r>
      <w:proofErr w:type="spellStart"/>
      <w:r w:rsidRPr="00103FBA">
        <w:t>Rehabilitation</w:t>
      </w:r>
      <w:proofErr w:type="spellEnd"/>
      <w:r w:rsidRPr="00103FBA">
        <w:t xml:space="preserve">) </w:t>
      </w:r>
      <w:proofErr w:type="spellStart"/>
      <w:r w:rsidRPr="00103FBA">
        <w:t>Act</w:t>
      </w:r>
      <w:proofErr w:type="spellEnd"/>
      <w:r w:rsidRPr="00103FBA">
        <w:t xml:space="preserve"> 2003, </w:t>
      </w:r>
      <w:proofErr w:type="spellStart"/>
      <w:r w:rsidRPr="00103FBA">
        <w:t>Part</w:t>
      </w:r>
      <w:proofErr w:type="spellEnd"/>
      <w:r w:rsidRPr="00103FBA">
        <w:t xml:space="preserve"> 7.</w:t>
      </w:r>
    </w:p>
  </w:endnote>
  <w:endnote w:id="120">
    <w:p w14:paraId="61BD5131"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r w:rsidRPr="00103FBA">
        <w:t xml:space="preserve">Criminal </w:t>
      </w:r>
      <w:proofErr w:type="spellStart"/>
      <w:r w:rsidRPr="00103FBA">
        <w:t>Procedure</w:t>
      </w:r>
      <w:proofErr w:type="spellEnd"/>
      <w:r w:rsidRPr="00103FBA">
        <w:t xml:space="preserve"> (</w:t>
      </w:r>
      <w:proofErr w:type="spellStart"/>
      <w:r w:rsidRPr="00103FBA">
        <w:t>Mentally</w:t>
      </w:r>
      <w:proofErr w:type="spellEnd"/>
      <w:r w:rsidRPr="00103FBA">
        <w:t xml:space="preserve"> </w:t>
      </w:r>
      <w:proofErr w:type="spellStart"/>
      <w:r w:rsidRPr="00103FBA">
        <w:t>Impaired</w:t>
      </w:r>
      <w:proofErr w:type="spellEnd"/>
      <w:r w:rsidRPr="00103FBA">
        <w:t xml:space="preserve"> </w:t>
      </w:r>
      <w:proofErr w:type="spellStart"/>
      <w:r w:rsidRPr="00103FBA">
        <w:t>Persons</w:t>
      </w:r>
      <w:proofErr w:type="spellEnd"/>
      <w:r w:rsidRPr="00103FBA">
        <w:t xml:space="preserve">) </w:t>
      </w:r>
      <w:proofErr w:type="spellStart"/>
      <w:r w:rsidRPr="00103FBA">
        <w:t>Act</w:t>
      </w:r>
      <w:proofErr w:type="spellEnd"/>
      <w:r w:rsidRPr="00103FBA">
        <w:t xml:space="preserve"> 2003, </w:t>
      </w:r>
      <w:proofErr w:type="spellStart"/>
      <w:r w:rsidRPr="00103FBA">
        <w:t>sections</w:t>
      </w:r>
      <w:proofErr w:type="spellEnd"/>
      <w:r w:rsidRPr="00103FBA">
        <w:t xml:space="preserve"> </w:t>
      </w:r>
      <w:proofErr w:type="spellStart"/>
      <w:r w:rsidRPr="00103FBA">
        <w:t>8A</w:t>
      </w:r>
      <w:proofErr w:type="spellEnd"/>
      <w:r w:rsidRPr="00103FBA">
        <w:t>, 10–13.</w:t>
      </w:r>
    </w:p>
  </w:endnote>
  <w:endnote w:id="121">
    <w:p w14:paraId="36E0A3A9"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r w:rsidRPr="00103FBA">
        <w:t xml:space="preserve">Criminal </w:t>
      </w:r>
      <w:proofErr w:type="spellStart"/>
      <w:r w:rsidRPr="00103FBA">
        <w:t>Procedure</w:t>
      </w:r>
      <w:proofErr w:type="spellEnd"/>
      <w:r w:rsidRPr="00103FBA">
        <w:t xml:space="preserve"> (</w:t>
      </w:r>
      <w:proofErr w:type="spellStart"/>
      <w:r w:rsidRPr="00103FBA">
        <w:t>Mentally</w:t>
      </w:r>
      <w:proofErr w:type="spellEnd"/>
      <w:r w:rsidRPr="00103FBA">
        <w:t xml:space="preserve"> </w:t>
      </w:r>
      <w:proofErr w:type="spellStart"/>
      <w:r w:rsidRPr="00103FBA">
        <w:t>Impaired</w:t>
      </w:r>
      <w:proofErr w:type="spellEnd"/>
      <w:r w:rsidRPr="00103FBA">
        <w:t xml:space="preserve"> </w:t>
      </w:r>
      <w:proofErr w:type="spellStart"/>
      <w:r w:rsidRPr="00103FBA">
        <w:t>Persons</w:t>
      </w:r>
      <w:proofErr w:type="spellEnd"/>
      <w:r w:rsidRPr="00103FBA">
        <w:t xml:space="preserve">) </w:t>
      </w:r>
      <w:proofErr w:type="spellStart"/>
      <w:r w:rsidRPr="00103FBA">
        <w:t>Act</w:t>
      </w:r>
      <w:proofErr w:type="spellEnd"/>
      <w:r w:rsidRPr="00103FBA">
        <w:t xml:space="preserve"> 2003, </w:t>
      </w:r>
      <w:proofErr w:type="spellStart"/>
      <w:r w:rsidRPr="00103FBA">
        <w:t>section</w:t>
      </w:r>
      <w:proofErr w:type="spellEnd"/>
      <w:r w:rsidRPr="00103FBA">
        <w:t xml:space="preserve"> 24.</w:t>
      </w:r>
    </w:p>
  </w:endnote>
  <w:endnote w:id="122">
    <w:p w14:paraId="62F36295"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r w:rsidRPr="00103FBA">
        <w:t xml:space="preserve">Between 2014 and 2017, </w:t>
      </w:r>
      <w:proofErr w:type="spellStart"/>
      <w:r w:rsidRPr="00103FBA">
        <w:t>there</w:t>
      </w:r>
      <w:proofErr w:type="spellEnd"/>
      <w:r w:rsidRPr="00103FBA">
        <w:t xml:space="preserve"> </w:t>
      </w:r>
      <w:proofErr w:type="spellStart"/>
      <w:r w:rsidRPr="00103FBA">
        <w:t>was</w:t>
      </w:r>
      <w:proofErr w:type="spellEnd"/>
      <w:r w:rsidRPr="00103FBA">
        <w:t xml:space="preserve"> a 10.5</w:t>
      </w:r>
      <w:r>
        <w:t> %</w:t>
      </w:r>
      <w:r w:rsidRPr="00103FBA">
        <w:t xml:space="preserve"> </w:t>
      </w:r>
      <w:proofErr w:type="spellStart"/>
      <w:r w:rsidRPr="00103FBA">
        <w:t>decrease</w:t>
      </w:r>
      <w:proofErr w:type="spellEnd"/>
      <w:r w:rsidRPr="00103FBA">
        <w:t xml:space="preserve"> in </w:t>
      </w:r>
      <w:proofErr w:type="spellStart"/>
      <w:r w:rsidRPr="00103FBA">
        <w:t>the</w:t>
      </w:r>
      <w:proofErr w:type="spellEnd"/>
      <w:r w:rsidRPr="00103FBA">
        <w:t xml:space="preserve"> </w:t>
      </w:r>
      <w:proofErr w:type="spellStart"/>
      <w:r w:rsidRPr="00103FBA">
        <w:t>number</w:t>
      </w:r>
      <w:proofErr w:type="spellEnd"/>
      <w:r w:rsidRPr="00103FBA">
        <w:t xml:space="preserve"> </w:t>
      </w:r>
      <w:proofErr w:type="spellStart"/>
      <w:r w:rsidRPr="00103FBA">
        <w:t>of</w:t>
      </w:r>
      <w:proofErr w:type="spellEnd"/>
      <w:r w:rsidRPr="00103FBA">
        <w:t xml:space="preserve"> </w:t>
      </w:r>
      <w:proofErr w:type="spellStart"/>
      <w:r w:rsidRPr="00103FBA">
        <w:t>seclusion</w:t>
      </w:r>
      <w:proofErr w:type="spellEnd"/>
      <w:r w:rsidRPr="00103FBA">
        <w:t xml:space="preserve"> </w:t>
      </w:r>
      <w:proofErr w:type="spellStart"/>
      <w:r w:rsidRPr="00103FBA">
        <w:t>hours</w:t>
      </w:r>
      <w:proofErr w:type="spellEnd"/>
      <w:r w:rsidRPr="00103FBA">
        <w:t xml:space="preserve"> </w:t>
      </w:r>
      <w:proofErr w:type="spellStart"/>
      <w:r w:rsidRPr="00103FBA">
        <w:t>but</w:t>
      </w:r>
      <w:proofErr w:type="spellEnd"/>
      <w:r w:rsidRPr="00103FBA">
        <w:t xml:space="preserve"> a 5.3</w:t>
      </w:r>
      <w:r>
        <w:t> %</w:t>
      </w:r>
      <w:r w:rsidRPr="00103FBA">
        <w:t xml:space="preserve"> </w:t>
      </w:r>
      <w:proofErr w:type="spellStart"/>
      <w:r w:rsidRPr="00103FBA">
        <w:t>increase</w:t>
      </w:r>
      <w:proofErr w:type="spellEnd"/>
      <w:r w:rsidRPr="00103FBA">
        <w:t xml:space="preserve"> in </w:t>
      </w:r>
      <w:proofErr w:type="spellStart"/>
      <w:r w:rsidRPr="00103FBA">
        <w:t>the</w:t>
      </w:r>
      <w:proofErr w:type="spellEnd"/>
      <w:r w:rsidRPr="00103FBA">
        <w:t xml:space="preserve"> </w:t>
      </w:r>
      <w:proofErr w:type="spellStart"/>
      <w:r w:rsidRPr="00103FBA">
        <w:t>number</w:t>
      </w:r>
      <w:proofErr w:type="spellEnd"/>
      <w:r w:rsidRPr="00103FBA">
        <w:t xml:space="preserve"> </w:t>
      </w:r>
      <w:proofErr w:type="spellStart"/>
      <w:r w:rsidRPr="00103FBA">
        <w:t>of</w:t>
      </w:r>
      <w:proofErr w:type="spellEnd"/>
      <w:r w:rsidRPr="00103FBA">
        <w:t xml:space="preserve"> </w:t>
      </w:r>
      <w:proofErr w:type="spellStart"/>
      <w:r w:rsidRPr="00103FBA">
        <w:t>people</w:t>
      </w:r>
      <w:proofErr w:type="spellEnd"/>
      <w:r w:rsidRPr="00103FBA">
        <w:t xml:space="preserve"> </w:t>
      </w:r>
      <w:proofErr w:type="spellStart"/>
      <w:r w:rsidRPr="00103FBA">
        <w:t>secluded</w:t>
      </w:r>
      <w:proofErr w:type="spellEnd"/>
      <w:r w:rsidRPr="00103FBA">
        <w:t xml:space="preserve"> in </w:t>
      </w:r>
      <w:proofErr w:type="spellStart"/>
      <w:r w:rsidRPr="00103FBA">
        <w:t>adult</w:t>
      </w:r>
      <w:proofErr w:type="spellEnd"/>
      <w:r w:rsidRPr="00103FBA">
        <w:t xml:space="preserve"> mental </w:t>
      </w:r>
      <w:proofErr w:type="spellStart"/>
      <w:r w:rsidRPr="00103FBA">
        <w:t>health</w:t>
      </w:r>
      <w:proofErr w:type="spellEnd"/>
      <w:r w:rsidRPr="00103FBA">
        <w:t xml:space="preserve"> </w:t>
      </w:r>
      <w:proofErr w:type="spellStart"/>
      <w:r w:rsidRPr="00103FBA">
        <w:t>services</w:t>
      </w:r>
      <w:proofErr w:type="spellEnd"/>
      <w:r w:rsidRPr="00103FBA">
        <w:t xml:space="preserve">. </w:t>
      </w:r>
      <w:proofErr w:type="spellStart"/>
      <w:r w:rsidRPr="00103FBA">
        <w:t>The</w:t>
      </w:r>
      <w:proofErr w:type="spellEnd"/>
      <w:r w:rsidRPr="00103FBA">
        <w:t xml:space="preserve"> </w:t>
      </w:r>
      <w:proofErr w:type="spellStart"/>
      <w:r w:rsidRPr="00103FBA">
        <w:t>downward</w:t>
      </w:r>
      <w:proofErr w:type="spellEnd"/>
      <w:r w:rsidRPr="00103FBA">
        <w:t xml:space="preserve"> </w:t>
      </w:r>
      <w:proofErr w:type="spellStart"/>
      <w:r w:rsidRPr="00103FBA">
        <w:t>trend</w:t>
      </w:r>
      <w:proofErr w:type="spellEnd"/>
      <w:r w:rsidRPr="00103FBA">
        <w:t xml:space="preserve"> in </w:t>
      </w:r>
      <w:proofErr w:type="spellStart"/>
      <w:r w:rsidRPr="00103FBA">
        <w:t>the</w:t>
      </w:r>
      <w:proofErr w:type="spellEnd"/>
      <w:r w:rsidRPr="00103FBA">
        <w:t xml:space="preserve"> use </w:t>
      </w:r>
      <w:proofErr w:type="spellStart"/>
      <w:r w:rsidRPr="00103FBA">
        <w:t>of</w:t>
      </w:r>
      <w:proofErr w:type="spellEnd"/>
      <w:r w:rsidRPr="00103FBA">
        <w:t xml:space="preserve"> </w:t>
      </w:r>
      <w:proofErr w:type="spellStart"/>
      <w:r w:rsidRPr="00103FBA">
        <w:t>seclusion</w:t>
      </w:r>
      <w:proofErr w:type="spellEnd"/>
      <w:r w:rsidRPr="00103FBA">
        <w:t xml:space="preserve"> has </w:t>
      </w:r>
      <w:proofErr w:type="spellStart"/>
      <w:r w:rsidRPr="00103FBA">
        <w:t>recently</w:t>
      </w:r>
      <w:proofErr w:type="spellEnd"/>
      <w:r w:rsidRPr="00103FBA">
        <w:t xml:space="preserve"> </w:t>
      </w:r>
      <w:proofErr w:type="spellStart"/>
      <w:r w:rsidRPr="00103FBA">
        <w:t>steadied</w:t>
      </w:r>
      <w:proofErr w:type="spellEnd"/>
      <w:r w:rsidRPr="00103FBA">
        <w:t>.</w:t>
      </w:r>
    </w:p>
  </w:endnote>
  <w:endnote w:id="123">
    <w:p w14:paraId="2E19E651"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See</w:t>
      </w:r>
      <w:proofErr w:type="spellEnd"/>
      <w:r w:rsidRPr="00103FBA">
        <w:t xml:space="preserve"> </w:t>
      </w:r>
      <w:r w:rsidRPr="00193DD1">
        <w:rPr>
          <w:rStyle w:val="Hipervnculo"/>
        </w:rPr>
        <w:t>www.hqsc.govt.nz/blog/why-eliminating-seclusion-by-2020-is-an-aspirational-goal/</w:t>
      </w:r>
      <w:r w:rsidRPr="00103FBA">
        <w:t>.</w:t>
      </w:r>
    </w:p>
  </w:endnote>
  <w:endnote w:id="124">
    <w:p w14:paraId="32A57264"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Māori</w:t>
      </w:r>
      <w:proofErr w:type="spellEnd"/>
      <w:r w:rsidRPr="00103FBA">
        <w:t xml:space="preserve"> </w:t>
      </w:r>
      <w:proofErr w:type="spellStart"/>
      <w:r w:rsidRPr="00103FBA">
        <w:t>continue</w:t>
      </w:r>
      <w:proofErr w:type="spellEnd"/>
      <w:r w:rsidRPr="00103FBA">
        <w:t xml:space="preserve"> </w:t>
      </w:r>
      <w:proofErr w:type="spellStart"/>
      <w:r w:rsidRPr="00103FBA">
        <w:t>to</w:t>
      </w:r>
      <w:proofErr w:type="spellEnd"/>
      <w:r w:rsidRPr="00103FBA">
        <w:t xml:space="preserve"> be </w:t>
      </w:r>
      <w:proofErr w:type="spellStart"/>
      <w:r w:rsidRPr="00103FBA">
        <w:t>secluded</w:t>
      </w:r>
      <w:proofErr w:type="spellEnd"/>
      <w:r w:rsidRPr="00103FBA">
        <w:t xml:space="preserve"> at a </w:t>
      </w:r>
      <w:proofErr w:type="spellStart"/>
      <w:r w:rsidRPr="00103FBA">
        <w:t>disproportionate</w:t>
      </w:r>
      <w:proofErr w:type="spellEnd"/>
      <w:r w:rsidRPr="00103FBA">
        <w:t xml:space="preserve"> </w:t>
      </w:r>
      <w:proofErr w:type="spellStart"/>
      <w:r w:rsidRPr="00103FBA">
        <w:t>rate</w:t>
      </w:r>
      <w:proofErr w:type="spellEnd"/>
      <w:r w:rsidRPr="00103FBA">
        <w:t xml:space="preserve"> </w:t>
      </w:r>
      <w:proofErr w:type="spellStart"/>
      <w:r w:rsidRPr="00103FBA">
        <w:t>to</w:t>
      </w:r>
      <w:proofErr w:type="spellEnd"/>
      <w:r w:rsidRPr="00103FBA">
        <w:t xml:space="preserve"> </w:t>
      </w:r>
      <w:proofErr w:type="spellStart"/>
      <w:r w:rsidRPr="00103FBA">
        <w:t>other</w:t>
      </w:r>
      <w:proofErr w:type="spellEnd"/>
      <w:r w:rsidRPr="00103FBA">
        <w:t xml:space="preserve"> </w:t>
      </w:r>
      <w:proofErr w:type="spellStart"/>
      <w:r w:rsidRPr="00103FBA">
        <w:t>groups</w:t>
      </w:r>
      <w:proofErr w:type="spellEnd"/>
      <w:r w:rsidRPr="00103FBA">
        <w:t xml:space="preserve"> </w:t>
      </w:r>
      <w:proofErr w:type="spellStart"/>
      <w:r w:rsidRPr="00103FBA">
        <w:t>of</w:t>
      </w:r>
      <w:proofErr w:type="spellEnd"/>
      <w:r w:rsidRPr="00103FBA">
        <w:t xml:space="preserve"> </w:t>
      </w:r>
      <w:proofErr w:type="spellStart"/>
      <w:r w:rsidRPr="00103FBA">
        <w:t>service</w:t>
      </w:r>
      <w:proofErr w:type="spellEnd"/>
      <w:r w:rsidRPr="00103FBA">
        <w:t xml:space="preserve"> </w:t>
      </w:r>
      <w:proofErr w:type="spellStart"/>
      <w:r w:rsidRPr="00103FBA">
        <w:t>users</w:t>
      </w:r>
      <w:proofErr w:type="spellEnd"/>
      <w:r w:rsidRPr="00103FBA">
        <w:t>.</w:t>
      </w:r>
    </w:p>
  </w:endnote>
  <w:endnote w:id="125">
    <w:p w14:paraId="10222C50"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See</w:t>
      </w:r>
      <w:proofErr w:type="spellEnd"/>
      <w:r w:rsidRPr="00103FBA">
        <w:t xml:space="preserve"> </w:t>
      </w:r>
      <w:r w:rsidRPr="00193DD1">
        <w:rPr>
          <w:rStyle w:val="Hipervnculo"/>
        </w:rPr>
        <w:t>www.tepou.co.nz/initiatives/safe-practice-effective-communication/225</w:t>
      </w:r>
      <w:r w:rsidRPr="00103FBA">
        <w:t>.</w:t>
      </w:r>
    </w:p>
  </w:endnote>
  <w:endnote w:id="126">
    <w:p w14:paraId="0A0AC591"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See</w:t>
      </w:r>
      <w:proofErr w:type="spellEnd"/>
      <w:r w:rsidRPr="00103FBA">
        <w:t xml:space="preserve"> </w:t>
      </w:r>
      <w:r w:rsidRPr="00193DD1">
        <w:rPr>
          <w:rStyle w:val="Hipervnculo"/>
        </w:rPr>
        <w:t>www.health.govt.nz/publication/night-safety-procedures-transitional-guideline</w:t>
      </w:r>
      <w:r w:rsidRPr="00103FBA">
        <w:t>.</w:t>
      </w:r>
    </w:p>
  </w:endnote>
  <w:endnote w:id="127">
    <w:p w14:paraId="5A4A109C"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See</w:t>
      </w:r>
      <w:proofErr w:type="spellEnd"/>
      <w:r w:rsidRPr="00103FBA">
        <w:t xml:space="preserve"> </w:t>
      </w:r>
      <w:r w:rsidRPr="00193DD1">
        <w:rPr>
          <w:rStyle w:val="Hipervnculo"/>
        </w:rPr>
        <w:t>www.health.govt.nz/publication/office-director-mental-health-annual-report-2016</w:t>
      </w:r>
      <w:r w:rsidRPr="00103FBA">
        <w:t xml:space="preserve">. </w:t>
      </w:r>
    </w:p>
  </w:endnote>
  <w:endnote w:id="128">
    <w:p w14:paraId="666C0EB4"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Ministry</w:t>
      </w:r>
      <w:proofErr w:type="spellEnd"/>
      <w:r w:rsidRPr="00103FBA">
        <w:t xml:space="preserve"> </w:t>
      </w:r>
      <w:proofErr w:type="spellStart"/>
      <w:r w:rsidRPr="00103FBA">
        <w:t>of</w:t>
      </w:r>
      <w:proofErr w:type="spellEnd"/>
      <w:r w:rsidRPr="00103FBA">
        <w:t xml:space="preserve"> </w:t>
      </w:r>
      <w:proofErr w:type="spellStart"/>
      <w:r w:rsidRPr="00103FBA">
        <w:t>Health</w:t>
      </w:r>
      <w:proofErr w:type="spellEnd"/>
      <w:r w:rsidRPr="00103FBA">
        <w:t xml:space="preserve">, </w:t>
      </w:r>
      <w:proofErr w:type="spellStart"/>
      <w:r w:rsidRPr="00103FBA">
        <w:t>extracted</w:t>
      </w:r>
      <w:proofErr w:type="spellEnd"/>
      <w:r w:rsidRPr="00103FBA">
        <w:t xml:space="preserve"> </w:t>
      </w:r>
      <w:proofErr w:type="spellStart"/>
      <w:r w:rsidRPr="00103FBA">
        <w:t>from</w:t>
      </w:r>
      <w:proofErr w:type="spellEnd"/>
      <w:r w:rsidRPr="00103FBA">
        <w:t xml:space="preserve"> </w:t>
      </w:r>
      <w:proofErr w:type="spellStart"/>
      <w:r w:rsidRPr="00103FBA">
        <w:t>PRIMHD</w:t>
      </w:r>
      <w:proofErr w:type="spellEnd"/>
      <w:r w:rsidRPr="00103FBA">
        <w:t xml:space="preserve"> </w:t>
      </w:r>
      <w:proofErr w:type="spellStart"/>
      <w:r w:rsidRPr="00103FBA">
        <w:t>national</w:t>
      </w:r>
      <w:proofErr w:type="spellEnd"/>
      <w:r w:rsidRPr="00103FBA">
        <w:t xml:space="preserve"> mental </w:t>
      </w:r>
      <w:proofErr w:type="spellStart"/>
      <w:r w:rsidRPr="00103FBA">
        <w:t>health</w:t>
      </w:r>
      <w:proofErr w:type="spellEnd"/>
      <w:r w:rsidRPr="00103FBA">
        <w:t xml:space="preserve"> </w:t>
      </w:r>
      <w:proofErr w:type="spellStart"/>
      <w:r w:rsidRPr="00103FBA">
        <w:t>dataset</w:t>
      </w:r>
      <w:proofErr w:type="spellEnd"/>
      <w:r w:rsidRPr="00103FBA">
        <w:t xml:space="preserve"> </w:t>
      </w:r>
      <w:proofErr w:type="spellStart"/>
      <w:r w:rsidRPr="00103FBA">
        <w:t>on</w:t>
      </w:r>
      <w:proofErr w:type="spellEnd"/>
      <w:r w:rsidRPr="00103FBA">
        <w:t xml:space="preserve"> 21/12/2018.</w:t>
      </w:r>
    </w:p>
  </w:endnote>
  <w:endnote w:id="129">
    <w:p w14:paraId="5A7D0E05"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r w:rsidRPr="00103FBA">
        <w:t xml:space="preserve">In </w:t>
      </w:r>
      <w:proofErr w:type="spellStart"/>
      <w:r w:rsidRPr="00103FBA">
        <w:t>NZ</w:t>
      </w:r>
      <w:proofErr w:type="spellEnd"/>
      <w:r w:rsidRPr="00103FBA">
        <w:t xml:space="preserve">, </w:t>
      </w:r>
      <w:proofErr w:type="spellStart"/>
      <w:r w:rsidRPr="00103FBA">
        <w:t>the</w:t>
      </w:r>
      <w:proofErr w:type="spellEnd"/>
      <w:r w:rsidRPr="00103FBA">
        <w:t xml:space="preserve"> Office </w:t>
      </w:r>
      <w:proofErr w:type="spellStart"/>
      <w:r w:rsidRPr="00103FBA">
        <w:t>of</w:t>
      </w:r>
      <w:proofErr w:type="spellEnd"/>
      <w:r w:rsidRPr="00103FBA">
        <w:t xml:space="preserve"> </w:t>
      </w:r>
      <w:proofErr w:type="spellStart"/>
      <w:r w:rsidRPr="00103FBA">
        <w:t>the</w:t>
      </w:r>
      <w:proofErr w:type="spellEnd"/>
      <w:r w:rsidRPr="00103FBA">
        <w:t xml:space="preserve"> Ombudsman </w:t>
      </w:r>
      <w:proofErr w:type="spellStart"/>
      <w:r w:rsidRPr="00103FBA">
        <w:t>is</w:t>
      </w:r>
      <w:proofErr w:type="spellEnd"/>
      <w:r w:rsidRPr="00103FBA">
        <w:t xml:space="preserve"> </w:t>
      </w:r>
      <w:proofErr w:type="spellStart"/>
      <w:r w:rsidRPr="00103FBA">
        <w:t>the</w:t>
      </w:r>
      <w:proofErr w:type="spellEnd"/>
      <w:r w:rsidRPr="00103FBA">
        <w:t xml:space="preserve"> </w:t>
      </w:r>
      <w:proofErr w:type="spellStart"/>
      <w:r w:rsidRPr="00103FBA">
        <w:t>National</w:t>
      </w:r>
      <w:proofErr w:type="spellEnd"/>
      <w:r w:rsidRPr="00103FBA">
        <w:t xml:space="preserve"> </w:t>
      </w:r>
      <w:proofErr w:type="spellStart"/>
      <w:r w:rsidRPr="00103FBA">
        <w:t>Preventive</w:t>
      </w:r>
      <w:proofErr w:type="spellEnd"/>
      <w:r w:rsidRPr="00103FBA">
        <w:t xml:space="preserve"> </w:t>
      </w:r>
      <w:proofErr w:type="spellStart"/>
      <w:r w:rsidRPr="00103FBA">
        <w:t>Mechanism</w:t>
      </w:r>
      <w:proofErr w:type="spellEnd"/>
      <w:r w:rsidRPr="00103FBA">
        <w:t xml:space="preserve"> </w:t>
      </w:r>
      <w:proofErr w:type="spellStart"/>
      <w:r w:rsidRPr="00103FBA">
        <w:t>under</w:t>
      </w:r>
      <w:proofErr w:type="spellEnd"/>
      <w:r w:rsidRPr="00103FBA">
        <w:t xml:space="preserve"> </w:t>
      </w:r>
      <w:proofErr w:type="spellStart"/>
      <w:r w:rsidRPr="00103FBA">
        <w:t>the</w:t>
      </w:r>
      <w:proofErr w:type="spellEnd"/>
      <w:r w:rsidRPr="00103FBA">
        <w:t xml:space="preserve"> </w:t>
      </w:r>
      <w:proofErr w:type="spellStart"/>
      <w:r w:rsidRPr="00103FBA">
        <w:t>Optional</w:t>
      </w:r>
      <w:proofErr w:type="spellEnd"/>
      <w:r w:rsidRPr="00103FBA">
        <w:t xml:space="preserve"> </w:t>
      </w:r>
      <w:proofErr w:type="spellStart"/>
      <w:r w:rsidRPr="00103FBA">
        <w:t>Protocol</w:t>
      </w:r>
      <w:proofErr w:type="spellEnd"/>
      <w:r w:rsidRPr="00103FBA">
        <w:t xml:space="preserve"> </w:t>
      </w:r>
      <w:proofErr w:type="spellStart"/>
      <w:r w:rsidRPr="00103FBA">
        <w:t>to</w:t>
      </w:r>
      <w:proofErr w:type="spellEnd"/>
      <w:r w:rsidRPr="00103FBA">
        <w:t xml:space="preserve"> </w:t>
      </w:r>
      <w:proofErr w:type="spellStart"/>
      <w:r w:rsidRPr="00103FBA">
        <w:t>the</w:t>
      </w:r>
      <w:proofErr w:type="spellEnd"/>
      <w:r w:rsidRPr="00103FBA">
        <w:t xml:space="preserve"> </w:t>
      </w:r>
      <w:proofErr w:type="spellStart"/>
      <w:r w:rsidRPr="00103FBA">
        <w:t>Convention</w:t>
      </w:r>
      <w:proofErr w:type="spellEnd"/>
      <w:r w:rsidRPr="00103FBA">
        <w:t xml:space="preserve"> </w:t>
      </w:r>
      <w:proofErr w:type="spellStart"/>
      <w:r w:rsidRPr="00103FBA">
        <w:t>against</w:t>
      </w:r>
      <w:proofErr w:type="spellEnd"/>
      <w:r w:rsidRPr="00103FBA">
        <w:t xml:space="preserve"> Torture and </w:t>
      </w:r>
      <w:proofErr w:type="spellStart"/>
      <w:r w:rsidRPr="00103FBA">
        <w:t>Other</w:t>
      </w:r>
      <w:proofErr w:type="spellEnd"/>
      <w:r w:rsidRPr="00103FBA">
        <w:t xml:space="preserve"> Cruel, Inhuman </w:t>
      </w:r>
      <w:proofErr w:type="spellStart"/>
      <w:r w:rsidRPr="00103FBA">
        <w:t>or</w:t>
      </w:r>
      <w:proofErr w:type="spellEnd"/>
      <w:r w:rsidRPr="00103FBA">
        <w:t xml:space="preserve"> </w:t>
      </w:r>
      <w:proofErr w:type="spellStart"/>
      <w:r w:rsidRPr="00103FBA">
        <w:t>Degrading</w:t>
      </w:r>
      <w:proofErr w:type="spellEnd"/>
      <w:r w:rsidRPr="00103FBA">
        <w:t xml:space="preserve"> </w:t>
      </w:r>
      <w:proofErr w:type="spellStart"/>
      <w:r w:rsidRPr="00103FBA">
        <w:t>Treatment</w:t>
      </w:r>
      <w:proofErr w:type="spellEnd"/>
      <w:r w:rsidRPr="00103FBA">
        <w:t xml:space="preserve"> </w:t>
      </w:r>
      <w:proofErr w:type="spellStart"/>
      <w:r w:rsidRPr="00103FBA">
        <w:t>or</w:t>
      </w:r>
      <w:proofErr w:type="spellEnd"/>
      <w:r w:rsidRPr="00103FBA">
        <w:t xml:space="preserve"> </w:t>
      </w:r>
      <w:proofErr w:type="spellStart"/>
      <w:r w:rsidRPr="00103FBA">
        <w:t>Punishment</w:t>
      </w:r>
      <w:proofErr w:type="spellEnd"/>
      <w:r w:rsidRPr="00103FBA">
        <w:t xml:space="preserve"> </w:t>
      </w:r>
      <w:proofErr w:type="spellStart"/>
      <w:r w:rsidRPr="00103FBA">
        <w:t>for</w:t>
      </w:r>
      <w:proofErr w:type="spellEnd"/>
      <w:r w:rsidRPr="00103FBA">
        <w:t xml:space="preserve"> </w:t>
      </w:r>
      <w:proofErr w:type="spellStart"/>
      <w:r w:rsidRPr="00103FBA">
        <w:t>health</w:t>
      </w:r>
      <w:proofErr w:type="spellEnd"/>
      <w:r w:rsidRPr="00103FBA">
        <w:t xml:space="preserve"> and </w:t>
      </w:r>
      <w:proofErr w:type="spellStart"/>
      <w:r w:rsidRPr="00103FBA">
        <w:t>disability</w:t>
      </w:r>
      <w:proofErr w:type="spellEnd"/>
      <w:r w:rsidRPr="00103FBA">
        <w:t xml:space="preserve"> </w:t>
      </w:r>
      <w:proofErr w:type="spellStart"/>
      <w:r w:rsidRPr="00103FBA">
        <w:t>settings</w:t>
      </w:r>
      <w:proofErr w:type="spellEnd"/>
      <w:r w:rsidRPr="00103FBA">
        <w:t>.</w:t>
      </w:r>
    </w:p>
  </w:endnote>
  <w:endnote w:id="130">
    <w:p w14:paraId="0A8FAE9C"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The</w:t>
      </w:r>
      <w:proofErr w:type="spellEnd"/>
      <w:r w:rsidRPr="00103FBA">
        <w:t xml:space="preserve"> </w:t>
      </w:r>
      <w:proofErr w:type="spellStart"/>
      <w:r w:rsidRPr="00103FBA">
        <w:t>gazette</w:t>
      </w:r>
      <w:proofErr w:type="spellEnd"/>
      <w:r w:rsidRPr="00103FBA">
        <w:t xml:space="preserve"> </w:t>
      </w:r>
      <w:proofErr w:type="spellStart"/>
      <w:r w:rsidRPr="00103FBA">
        <w:t>notice</w:t>
      </w:r>
      <w:proofErr w:type="spellEnd"/>
      <w:r w:rsidRPr="00103FBA">
        <w:t xml:space="preserve"> </w:t>
      </w:r>
      <w:proofErr w:type="spellStart"/>
      <w:r w:rsidRPr="00103FBA">
        <w:t>officially</w:t>
      </w:r>
      <w:proofErr w:type="spellEnd"/>
      <w:r w:rsidRPr="00103FBA">
        <w:t xml:space="preserve"> </w:t>
      </w:r>
      <w:proofErr w:type="spellStart"/>
      <w:r w:rsidRPr="00103FBA">
        <w:t>changing</w:t>
      </w:r>
      <w:proofErr w:type="spellEnd"/>
      <w:r w:rsidRPr="00103FBA">
        <w:t xml:space="preserve"> </w:t>
      </w:r>
      <w:proofErr w:type="spellStart"/>
      <w:r w:rsidRPr="00103FBA">
        <w:t>the</w:t>
      </w:r>
      <w:proofErr w:type="spellEnd"/>
      <w:r w:rsidRPr="00103FBA">
        <w:t xml:space="preserve"> </w:t>
      </w:r>
      <w:proofErr w:type="spellStart"/>
      <w:r w:rsidRPr="00103FBA">
        <w:t>Ombudsman’s</w:t>
      </w:r>
      <w:proofErr w:type="spellEnd"/>
      <w:r w:rsidRPr="00103FBA">
        <w:t xml:space="preserve"> </w:t>
      </w:r>
      <w:proofErr w:type="spellStart"/>
      <w:r w:rsidRPr="00103FBA">
        <w:t>designation</w:t>
      </w:r>
      <w:proofErr w:type="spellEnd"/>
      <w:r w:rsidRPr="00103FBA">
        <w:t xml:space="preserve"> can be </w:t>
      </w:r>
      <w:proofErr w:type="spellStart"/>
      <w:r w:rsidRPr="00103FBA">
        <w:t>found</w:t>
      </w:r>
      <w:proofErr w:type="spellEnd"/>
      <w:r w:rsidRPr="00103FBA">
        <w:t xml:space="preserve"> at </w:t>
      </w:r>
      <w:r w:rsidRPr="00193DD1">
        <w:rPr>
          <w:rStyle w:val="Hipervnculo"/>
        </w:rPr>
        <w:t>https://</w:t>
      </w:r>
      <w:proofErr w:type="spellStart"/>
      <w:r w:rsidRPr="00193DD1">
        <w:rPr>
          <w:rStyle w:val="Hipervnculo"/>
        </w:rPr>
        <w:t>gazette.govt.nz</w:t>
      </w:r>
      <w:proofErr w:type="spellEnd"/>
      <w:r w:rsidRPr="00193DD1">
        <w:rPr>
          <w:rStyle w:val="Hipervnculo"/>
        </w:rPr>
        <w:t>/</w:t>
      </w:r>
      <w:proofErr w:type="spellStart"/>
      <w:r w:rsidRPr="00193DD1">
        <w:rPr>
          <w:rStyle w:val="Hipervnculo"/>
        </w:rPr>
        <w:t>notice</w:t>
      </w:r>
      <w:proofErr w:type="spellEnd"/>
      <w:r w:rsidRPr="00193DD1">
        <w:rPr>
          <w:rStyle w:val="Hipervnculo"/>
        </w:rPr>
        <w:t>/id/2018-</w:t>
      </w:r>
      <w:proofErr w:type="spellStart"/>
      <w:r w:rsidRPr="00193DD1">
        <w:rPr>
          <w:rStyle w:val="Hipervnculo"/>
        </w:rPr>
        <w:t>go2603</w:t>
      </w:r>
      <w:proofErr w:type="spellEnd"/>
      <w:r w:rsidRPr="00103FBA">
        <w:t>.</w:t>
      </w:r>
    </w:p>
  </w:endnote>
  <w:endnote w:id="131">
    <w:p w14:paraId="452A5383"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See</w:t>
      </w:r>
      <w:proofErr w:type="spellEnd"/>
      <w:r w:rsidRPr="00103FBA">
        <w:t xml:space="preserve"> </w:t>
      </w:r>
      <w:r w:rsidRPr="00193DD1">
        <w:rPr>
          <w:rStyle w:val="Hipervnculo"/>
        </w:rPr>
        <w:t>www.health.govt.nz/our-work/regulation-health-and-disability-system/certification-health-care-services/services-standards</w:t>
      </w:r>
      <w:r>
        <w:t>.</w:t>
      </w:r>
    </w:p>
  </w:endnote>
  <w:endnote w:id="132">
    <w:p w14:paraId="03D2B551"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Directors</w:t>
      </w:r>
      <w:proofErr w:type="spellEnd"/>
      <w:r w:rsidRPr="00103FBA">
        <w:t xml:space="preserve"> </w:t>
      </w:r>
      <w:proofErr w:type="spellStart"/>
      <w:r w:rsidRPr="00103FBA">
        <w:t>of</w:t>
      </w:r>
      <w:proofErr w:type="spellEnd"/>
      <w:r w:rsidRPr="00103FBA">
        <w:t xml:space="preserve"> </w:t>
      </w:r>
      <w:proofErr w:type="spellStart"/>
      <w:r w:rsidRPr="00103FBA">
        <w:t>Area</w:t>
      </w:r>
      <w:proofErr w:type="spellEnd"/>
      <w:r w:rsidRPr="00103FBA">
        <w:t xml:space="preserve"> Mental </w:t>
      </w:r>
      <w:proofErr w:type="spellStart"/>
      <w:r w:rsidRPr="00103FBA">
        <w:t>Health</w:t>
      </w:r>
      <w:proofErr w:type="spellEnd"/>
      <w:r w:rsidRPr="00103FBA">
        <w:t xml:space="preserve"> </w:t>
      </w:r>
      <w:proofErr w:type="spellStart"/>
      <w:r w:rsidRPr="00103FBA">
        <w:t>Services</w:t>
      </w:r>
      <w:proofErr w:type="spellEnd"/>
      <w:r w:rsidRPr="00103FBA">
        <w:t xml:space="preserve"> </w:t>
      </w:r>
      <w:proofErr w:type="spellStart"/>
      <w:r w:rsidRPr="00103FBA">
        <w:t>under</w:t>
      </w:r>
      <w:proofErr w:type="spellEnd"/>
      <w:r w:rsidRPr="00103FBA">
        <w:t xml:space="preserve"> </w:t>
      </w:r>
      <w:proofErr w:type="spellStart"/>
      <w:r w:rsidRPr="00103FBA">
        <w:t>the</w:t>
      </w:r>
      <w:proofErr w:type="spellEnd"/>
      <w:r w:rsidRPr="00103FBA">
        <w:t xml:space="preserve"> Mental </w:t>
      </w:r>
      <w:proofErr w:type="spellStart"/>
      <w:r w:rsidRPr="00103FBA">
        <w:t>Health</w:t>
      </w:r>
      <w:proofErr w:type="spellEnd"/>
      <w:r w:rsidRPr="00103FBA">
        <w:t xml:space="preserve"> </w:t>
      </w:r>
      <w:proofErr w:type="spellStart"/>
      <w:r w:rsidRPr="00103FBA">
        <w:t>Act</w:t>
      </w:r>
      <w:proofErr w:type="spellEnd"/>
      <w:r w:rsidRPr="00103FBA">
        <w:t xml:space="preserve"> and </w:t>
      </w:r>
      <w:proofErr w:type="spellStart"/>
      <w:r w:rsidRPr="00103FBA">
        <w:t>Compulsory</w:t>
      </w:r>
      <w:proofErr w:type="spellEnd"/>
      <w:r w:rsidRPr="00103FBA">
        <w:t xml:space="preserve"> </w:t>
      </w:r>
      <w:proofErr w:type="spellStart"/>
      <w:r w:rsidRPr="00103FBA">
        <w:t>Care</w:t>
      </w:r>
      <w:proofErr w:type="spellEnd"/>
      <w:r w:rsidRPr="00103FBA">
        <w:t xml:space="preserve"> </w:t>
      </w:r>
      <w:proofErr w:type="spellStart"/>
      <w:r w:rsidRPr="00103FBA">
        <w:t>Coordinators</w:t>
      </w:r>
      <w:proofErr w:type="spellEnd"/>
      <w:r w:rsidRPr="00103FBA">
        <w:t xml:space="preserve"> </w:t>
      </w:r>
      <w:proofErr w:type="spellStart"/>
      <w:r w:rsidRPr="00103FBA">
        <w:t>under</w:t>
      </w:r>
      <w:proofErr w:type="spellEnd"/>
      <w:r w:rsidRPr="00103FBA">
        <w:t xml:space="preserve"> </w:t>
      </w:r>
      <w:proofErr w:type="spellStart"/>
      <w:r w:rsidRPr="00103FBA">
        <w:t>the</w:t>
      </w:r>
      <w:proofErr w:type="spellEnd"/>
      <w:r w:rsidRPr="00103FBA">
        <w:t xml:space="preserve"> </w:t>
      </w:r>
      <w:proofErr w:type="spellStart"/>
      <w:r w:rsidRPr="00103FBA">
        <w:t>Intellectual</w:t>
      </w:r>
      <w:proofErr w:type="spellEnd"/>
      <w:r w:rsidRPr="00103FBA">
        <w:t xml:space="preserve"> </w:t>
      </w:r>
      <w:proofErr w:type="spellStart"/>
      <w:r w:rsidRPr="00103FBA">
        <w:t>Disability</w:t>
      </w:r>
      <w:proofErr w:type="spellEnd"/>
      <w:r w:rsidRPr="00103FBA">
        <w:t xml:space="preserve"> (</w:t>
      </w:r>
      <w:proofErr w:type="spellStart"/>
      <w:r w:rsidRPr="00103FBA">
        <w:t>Compulsory</w:t>
      </w:r>
      <w:proofErr w:type="spellEnd"/>
      <w:r w:rsidRPr="00103FBA">
        <w:t xml:space="preserve"> </w:t>
      </w:r>
      <w:proofErr w:type="spellStart"/>
      <w:r w:rsidRPr="00103FBA">
        <w:t>Care</w:t>
      </w:r>
      <w:proofErr w:type="spellEnd"/>
      <w:r w:rsidRPr="00103FBA">
        <w:t xml:space="preserve"> and </w:t>
      </w:r>
      <w:proofErr w:type="spellStart"/>
      <w:r w:rsidRPr="00103FBA">
        <w:t>Rehabilitation</w:t>
      </w:r>
      <w:proofErr w:type="spellEnd"/>
      <w:r w:rsidRPr="00103FBA">
        <w:t xml:space="preserve">) </w:t>
      </w:r>
      <w:proofErr w:type="spellStart"/>
      <w:r w:rsidRPr="00103FBA">
        <w:t>Act</w:t>
      </w:r>
      <w:proofErr w:type="spellEnd"/>
      <w:r w:rsidRPr="00103FBA">
        <w:t>.</w:t>
      </w:r>
    </w:p>
  </w:endnote>
  <w:endnote w:id="133">
    <w:p w14:paraId="4582870B"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Further</w:t>
      </w:r>
      <w:proofErr w:type="spellEnd"/>
      <w:r w:rsidRPr="00103FBA">
        <w:t xml:space="preserve"> </w:t>
      </w:r>
      <w:proofErr w:type="spellStart"/>
      <w:r w:rsidRPr="00103FBA">
        <w:t>statistics</w:t>
      </w:r>
      <w:proofErr w:type="spellEnd"/>
      <w:r w:rsidRPr="00103FBA">
        <w:t xml:space="preserve"> are </w:t>
      </w:r>
      <w:proofErr w:type="spellStart"/>
      <w:r w:rsidRPr="00103FBA">
        <w:t>provided</w:t>
      </w:r>
      <w:proofErr w:type="spellEnd"/>
      <w:r w:rsidRPr="00103FBA">
        <w:t xml:space="preserve"> in </w:t>
      </w:r>
      <w:proofErr w:type="spellStart"/>
      <w:r w:rsidRPr="00103FBA">
        <w:t>the</w:t>
      </w:r>
      <w:proofErr w:type="spellEnd"/>
      <w:r w:rsidRPr="00103FBA">
        <w:t xml:space="preserve"> Office </w:t>
      </w:r>
      <w:proofErr w:type="spellStart"/>
      <w:r w:rsidRPr="00103FBA">
        <w:t>of</w:t>
      </w:r>
      <w:proofErr w:type="spellEnd"/>
      <w:r w:rsidRPr="00103FBA">
        <w:t xml:space="preserve"> </w:t>
      </w:r>
      <w:proofErr w:type="spellStart"/>
      <w:r w:rsidRPr="00103FBA">
        <w:t>the</w:t>
      </w:r>
      <w:proofErr w:type="spellEnd"/>
      <w:r w:rsidRPr="00103FBA">
        <w:t xml:space="preserve"> Director </w:t>
      </w:r>
      <w:proofErr w:type="spellStart"/>
      <w:r w:rsidRPr="00103FBA">
        <w:t>of</w:t>
      </w:r>
      <w:proofErr w:type="spellEnd"/>
      <w:r w:rsidRPr="00103FBA">
        <w:t xml:space="preserve"> Mental </w:t>
      </w:r>
      <w:proofErr w:type="spellStart"/>
      <w:r w:rsidRPr="00103FBA">
        <w:t>Health</w:t>
      </w:r>
      <w:proofErr w:type="spellEnd"/>
      <w:r w:rsidRPr="00103FBA">
        <w:t xml:space="preserve"> </w:t>
      </w:r>
      <w:proofErr w:type="spellStart"/>
      <w:r w:rsidRPr="00103FBA">
        <w:t>Annual</w:t>
      </w:r>
      <w:proofErr w:type="spellEnd"/>
      <w:r w:rsidRPr="00103FBA">
        <w:t xml:space="preserve"> </w:t>
      </w:r>
      <w:proofErr w:type="spellStart"/>
      <w:r w:rsidRPr="00103FBA">
        <w:t>Reports</w:t>
      </w:r>
      <w:proofErr w:type="spellEnd"/>
      <w:r w:rsidRPr="00103FBA">
        <w:t xml:space="preserve"> </w:t>
      </w:r>
      <w:proofErr w:type="spellStart"/>
      <w:r w:rsidRPr="00103FBA">
        <w:t>on</w:t>
      </w:r>
      <w:proofErr w:type="spellEnd"/>
      <w:r w:rsidRPr="00103FBA">
        <w:t xml:space="preserve"> </w:t>
      </w:r>
      <w:proofErr w:type="spellStart"/>
      <w:r w:rsidRPr="00103FBA">
        <w:t>the</w:t>
      </w:r>
      <w:proofErr w:type="spellEnd"/>
      <w:r w:rsidRPr="00103FBA">
        <w:t xml:space="preserve"> </w:t>
      </w:r>
      <w:proofErr w:type="spellStart"/>
      <w:r w:rsidRPr="00103FBA">
        <w:t>Ministry</w:t>
      </w:r>
      <w:proofErr w:type="spellEnd"/>
      <w:r w:rsidRPr="00103FBA">
        <w:t xml:space="preserve"> </w:t>
      </w:r>
      <w:proofErr w:type="spellStart"/>
      <w:r w:rsidRPr="00103FBA">
        <w:t>of</w:t>
      </w:r>
      <w:proofErr w:type="spellEnd"/>
      <w:r w:rsidRPr="00103FBA">
        <w:t xml:space="preserve"> </w:t>
      </w:r>
      <w:proofErr w:type="spellStart"/>
      <w:r w:rsidRPr="00103FBA">
        <w:t>Health</w:t>
      </w:r>
      <w:proofErr w:type="spellEnd"/>
      <w:r w:rsidRPr="00103FBA">
        <w:t xml:space="preserve"> </w:t>
      </w:r>
      <w:proofErr w:type="spellStart"/>
      <w:r w:rsidRPr="00103FBA">
        <w:t>website</w:t>
      </w:r>
      <w:proofErr w:type="spellEnd"/>
      <w:r w:rsidRPr="00103FBA">
        <w:t xml:space="preserve"> </w:t>
      </w:r>
      <w:proofErr w:type="spellStart"/>
      <w:r w:rsidRPr="00103FBA">
        <w:t>www.health.govt.nz</w:t>
      </w:r>
      <w:proofErr w:type="spellEnd"/>
      <w:r w:rsidRPr="00103FBA">
        <w:t xml:space="preserve">. Note </w:t>
      </w:r>
      <w:proofErr w:type="spellStart"/>
      <w:r w:rsidRPr="00103FBA">
        <w:t>that</w:t>
      </w:r>
      <w:proofErr w:type="spellEnd"/>
      <w:r w:rsidRPr="00103FBA">
        <w:t xml:space="preserve"> 2017 figures are provisional </w:t>
      </w:r>
      <w:proofErr w:type="spellStart"/>
      <w:r w:rsidRPr="00103FBA">
        <w:t>until</w:t>
      </w:r>
      <w:proofErr w:type="spellEnd"/>
      <w:r w:rsidRPr="00103FBA">
        <w:t xml:space="preserve"> </w:t>
      </w:r>
      <w:proofErr w:type="spellStart"/>
      <w:r w:rsidRPr="00103FBA">
        <w:t>published</w:t>
      </w:r>
      <w:proofErr w:type="spellEnd"/>
      <w:r w:rsidRPr="00103FBA">
        <w:t xml:space="preserve"> in </w:t>
      </w:r>
      <w:proofErr w:type="spellStart"/>
      <w:r w:rsidRPr="00103FBA">
        <w:t>early</w:t>
      </w:r>
      <w:proofErr w:type="spellEnd"/>
      <w:r w:rsidRPr="00103FBA">
        <w:t xml:space="preserve"> 2019. </w:t>
      </w:r>
    </w:p>
  </w:endnote>
  <w:endnote w:id="134">
    <w:p w14:paraId="3B8387B0"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The</w:t>
      </w:r>
      <w:proofErr w:type="spellEnd"/>
      <w:r w:rsidRPr="00103FBA">
        <w:t xml:space="preserve"> </w:t>
      </w:r>
      <w:proofErr w:type="spellStart"/>
      <w:r w:rsidRPr="00103FBA">
        <w:t>Health</w:t>
      </w:r>
      <w:proofErr w:type="spellEnd"/>
      <w:r w:rsidRPr="00103FBA">
        <w:t xml:space="preserve"> and </w:t>
      </w:r>
      <w:proofErr w:type="spellStart"/>
      <w:r w:rsidRPr="00103FBA">
        <w:t>Disability</w:t>
      </w:r>
      <w:proofErr w:type="spellEnd"/>
      <w:r w:rsidRPr="00103FBA">
        <w:t xml:space="preserve"> </w:t>
      </w:r>
      <w:proofErr w:type="spellStart"/>
      <w:r w:rsidRPr="00103FBA">
        <w:t>Commissioner</w:t>
      </w:r>
      <w:proofErr w:type="spellEnd"/>
      <w:r w:rsidRPr="00103FBA">
        <w:t xml:space="preserve"> (</w:t>
      </w:r>
      <w:proofErr w:type="spellStart"/>
      <w:r w:rsidRPr="00103FBA">
        <w:t>HDC</w:t>
      </w:r>
      <w:proofErr w:type="spellEnd"/>
      <w:r w:rsidRPr="00103FBA">
        <w:t xml:space="preserve">), </w:t>
      </w:r>
      <w:proofErr w:type="spellStart"/>
      <w:r w:rsidRPr="00103FBA">
        <w:t>the</w:t>
      </w:r>
      <w:proofErr w:type="spellEnd"/>
      <w:r w:rsidRPr="00103FBA">
        <w:t xml:space="preserve"> </w:t>
      </w:r>
      <w:proofErr w:type="spellStart"/>
      <w:r w:rsidRPr="00103FBA">
        <w:t>independent</w:t>
      </w:r>
      <w:proofErr w:type="spellEnd"/>
      <w:r w:rsidRPr="00103FBA">
        <w:t xml:space="preserve"> </w:t>
      </w:r>
      <w:proofErr w:type="spellStart"/>
      <w:r w:rsidRPr="00103FBA">
        <w:t>watchdog</w:t>
      </w:r>
      <w:proofErr w:type="spellEnd"/>
      <w:r w:rsidRPr="00103FBA">
        <w:t xml:space="preserve">, </w:t>
      </w:r>
      <w:proofErr w:type="spellStart"/>
      <w:r w:rsidRPr="00103FBA">
        <w:t>investigates</w:t>
      </w:r>
      <w:proofErr w:type="spellEnd"/>
      <w:r w:rsidRPr="00103FBA">
        <w:t xml:space="preserve"> </w:t>
      </w:r>
      <w:proofErr w:type="spellStart"/>
      <w:r w:rsidRPr="00103FBA">
        <w:t>complaints</w:t>
      </w:r>
      <w:proofErr w:type="spellEnd"/>
      <w:r w:rsidRPr="00103FBA">
        <w:t xml:space="preserve"> and </w:t>
      </w:r>
      <w:proofErr w:type="spellStart"/>
      <w:r w:rsidRPr="00103FBA">
        <w:t>makes</w:t>
      </w:r>
      <w:proofErr w:type="spellEnd"/>
      <w:r w:rsidRPr="00103FBA">
        <w:t xml:space="preserve"> </w:t>
      </w:r>
      <w:proofErr w:type="spellStart"/>
      <w:r w:rsidRPr="00103FBA">
        <w:t>recommendations</w:t>
      </w:r>
      <w:proofErr w:type="spellEnd"/>
      <w:r w:rsidRPr="00103FBA">
        <w:t xml:space="preserve"> </w:t>
      </w:r>
      <w:proofErr w:type="spellStart"/>
      <w:r w:rsidRPr="00103FBA">
        <w:t>to</w:t>
      </w:r>
      <w:proofErr w:type="spellEnd"/>
      <w:r w:rsidRPr="00103FBA">
        <w:t xml:space="preserve"> </w:t>
      </w:r>
      <w:proofErr w:type="spellStart"/>
      <w:r w:rsidRPr="00103FBA">
        <w:t>health</w:t>
      </w:r>
      <w:proofErr w:type="spellEnd"/>
      <w:r w:rsidRPr="00103FBA">
        <w:t xml:space="preserve"> and </w:t>
      </w:r>
      <w:proofErr w:type="spellStart"/>
      <w:r w:rsidRPr="00103FBA">
        <w:t>disability</w:t>
      </w:r>
      <w:proofErr w:type="spellEnd"/>
      <w:r w:rsidRPr="00103FBA">
        <w:t xml:space="preserve"> </w:t>
      </w:r>
      <w:proofErr w:type="spellStart"/>
      <w:r w:rsidRPr="00103FBA">
        <w:t>service</w:t>
      </w:r>
      <w:proofErr w:type="spellEnd"/>
      <w:r w:rsidRPr="00103FBA">
        <w:t xml:space="preserve"> </w:t>
      </w:r>
      <w:proofErr w:type="spellStart"/>
      <w:r w:rsidRPr="00103FBA">
        <w:t>providers</w:t>
      </w:r>
      <w:proofErr w:type="spellEnd"/>
      <w:r w:rsidRPr="00103FBA">
        <w:t xml:space="preserve">. </w:t>
      </w:r>
      <w:proofErr w:type="spellStart"/>
      <w:r w:rsidRPr="00103FBA">
        <w:t>HDC</w:t>
      </w:r>
      <w:proofErr w:type="spellEnd"/>
      <w:r w:rsidRPr="00103FBA">
        <w:t xml:space="preserve"> </w:t>
      </w:r>
      <w:proofErr w:type="spellStart"/>
      <w:r w:rsidRPr="00103FBA">
        <w:t>publishes</w:t>
      </w:r>
      <w:proofErr w:type="spellEnd"/>
      <w:r w:rsidRPr="00103FBA">
        <w:t xml:space="preserve"> </w:t>
      </w:r>
      <w:proofErr w:type="spellStart"/>
      <w:r w:rsidRPr="00103FBA">
        <w:t>annual</w:t>
      </w:r>
      <w:proofErr w:type="spellEnd"/>
      <w:r w:rsidRPr="00103FBA">
        <w:t xml:space="preserve"> </w:t>
      </w:r>
      <w:proofErr w:type="spellStart"/>
      <w:r w:rsidRPr="00103FBA">
        <w:t>reports</w:t>
      </w:r>
      <w:proofErr w:type="spellEnd"/>
      <w:r w:rsidRPr="00103FBA">
        <w:t xml:space="preserve"> </w:t>
      </w:r>
      <w:proofErr w:type="spellStart"/>
      <w:r w:rsidRPr="00103FBA">
        <w:t>on</w:t>
      </w:r>
      <w:proofErr w:type="spellEnd"/>
      <w:r w:rsidRPr="00103FBA">
        <w:t xml:space="preserve"> </w:t>
      </w:r>
      <w:proofErr w:type="spellStart"/>
      <w:r w:rsidRPr="00103FBA">
        <w:t>its</w:t>
      </w:r>
      <w:proofErr w:type="spellEnd"/>
      <w:r w:rsidRPr="00103FBA">
        <w:t xml:space="preserve"> </w:t>
      </w:r>
      <w:proofErr w:type="spellStart"/>
      <w:r w:rsidRPr="00103FBA">
        <w:t>activities</w:t>
      </w:r>
      <w:proofErr w:type="spellEnd"/>
      <w:r w:rsidRPr="00103FBA">
        <w:t xml:space="preserve">. In 2016/17, </w:t>
      </w:r>
      <w:proofErr w:type="spellStart"/>
      <w:r w:rsidRPr="00103FBA">
        <w:t>HDC</w:t>
      </w:r>
      <w:proofErr w:type="spellEnd"/>
      <w:r w:rsidRPr="00103FBA">
        <w:t xml:space="preserve"> </w:t>
      </w:r>
      <w:proofErr w:type="spellStart"/>
      <w:r w:rsidRPr="00103FBA">
        <w:t>received</w:t>
      </w:r>
      <w:proofErr w:type="spellEnd"/>
      <w:r w:rsidRPr="00103FBA">
        <w:t xml:space="preserve"> 2211 </w:t>
      </w:r>
      <w:proofErr w:type="spellStart"/>
      <w:r w:rsidRPr="00103FBA">
        <w:t>complaints</w:t>
      </w:r>
      <w:proofErr w:type="spellEnd"/>
      <w:r w:rsidRPr="00103FBA">
        <w:t xml:space="preserve"> </w:t>
      </w:r>
      <w:proofErr w:type="spellStart"/>
      <w:r w:rsidRPr="00103FBA">
        <w:t>about</w:t>
      </w:r>
      <w:proofErr w:type="spellEnd"/>
      <w:r w:rsidRPr="00103FBA">
        <w:t xml:space="preserve"> </w:t>
      </w:r>
      <w:proofErr w:type="spellStart"/>
      <w:r w:rsidRPr="00103FBA">
        <w:t>health</w:t>
      </w:r>
      <w:proofErr w:type="spellEnd"/>
      <w:r w:rsidRPr="00103FBA">
        <w:t xml:space="preserve"> and </w:t>
      </w:r>
      <w:proofErr w:type="spellStart"/>
      <w:r w:rsidRPr="00103FBA">
        <w:t>disability</w:t>
      </w:r>
      <w:proofErr w:type="spellEnd"/>
      <w:r w:rsidRPr="00103FBA">
        <w:t xml:space="preserve"> </w:t>
      </w:r>
      <w:proofErr w:type="spellStart"/>
      <w:r w:rsidRPr="00103FBA">
        <w:t>services</w:t>
      </w:r>
      <w:proofErr w:type="spellEnd"/>
      <w:r w:rsidRPr="00103FBA">
        <w:t xml:space="preserve"> (</w:t>
      </w:r>
      <w:proofErr w:type="spellStart"/>
      <w:r w:rsidRPr="00103FBA">
        <w:t>compared</w:t>
      </w:r>
      <w:proofErr w:type="spellEnd"/>
      <w:r w:rsidRPr="00103FBA">
        <w:t xml:space="preserve"> </w:t>
      </w:r>
      <w:proofErr w:type="spellStart"/>
      <w:r w:rsidRPr="00103FBA">
        <w:t>with</w:t>
      </w:r>
      <w:proofErr w:type="spellEnd"/>
      <w:r w:rsidRPr="00103FBA">
        <w:t xml:space="preserve"> 1958 </w:t>
      </w:r>
      <w:proofErr w:type="spellStart"/>
      <w:r w:rsidRPr="00103FBA">
        <w:t>complaints</w:t>
      </w:r>
      <w:proofErr w:type="spellEnd"/>
      <w:r w:rsidRPr="00103FBA">
        <w:t xml:space="preserve"> in 2015/16 and 1880 in 2014/15). </w:t>
      </w:r>
      <w:proofErr w:type="spellStart"/>
      <w:r w:rsidRPr="00103FBA">
        <w:t>These</w:t>
      </w:r>
      <w:proofErr w:type="spellEnd"/>
      <w:r w:rsidRPr="00103FBA">
        <w:t xml:space="preserve"> </w:t>
      </w:r>
      <w:proofErr w:type="spellStart"/>
      <w:r w:rsidRPr="00103FBA">
        <w:t>covered</w:t>
      </w:r>
      <w:proofErr w:type="spellEnd"/>
      <w:r w:rsidRPr="00103FBA">
        <w:t xml:space="preserve"> a </w:t>
      </w:r>
      <w:proofErr w:type="spellStart"/>
      <w:r w:rsidRPr="00103FBA">
        <w:t>wide</w:t>
      </w:r>
      <w:proofErr w:type="spellEnd"/>
      <w:r w:rsidRPr="00103FBA">
        <w:t xml:space="preserve"> </w:t>
      </w:r>
      <w:proofErr w:type="spellStart"/>
      <w:r w:rsidRPr="00103FBA">
        <w:t>range</w:t>
      </w:r>
      <w:proofErr w:type="spellEnd"/>
      <w:r w:rsidRPr="00103FBA">
        <w:t xml:space="preserve"> </w:t>
      </w:r>
      <w:proofErr w:type="spellStart"/>
      <w:r w:rsidRPr="00103FBA">
        <w:t>of</w:t>
      </w:r>
      <w:proofErr w:type="spellEnd"/>
      <w:r w:rsidRPr="00103FBA">
        <w:t xml:space="preserve"> </w:t>
      </w:r>
      <w:proofErr w:type="spellStart"/>
      <w:r w:rsidRPr="00103FBA">
        <w:t>complaints</w:t>
      </w:r>
      <w:proofErr w:type="spellEnd"/>
      <w:r w:rsidRPr="00103FBA">
        <w:t xml:space="preserve">, </w:t>
      </w:r>
      <w:proofErr w:type="spellStart"/>
      <w:r w:rsidRPr="00103FBA">
        <w:t>not</w:t>
      </w:r>
      <w:proofErr w:type="spellEnd"/>
      <w:r w:rsidRPr="00103FBA">
        <w:t xml:space="preserve"> </w:t>
      </w:r>
      <w:proofErr w:type="spellStart"/>
      <w:r w:rsidRPr="00103FBA">
        <w:t>just</w:t>
      </w:r>
      <w:proofErr w:type="spellEnd"/>
      <w:r w:rsidRPr="00103FBA">
        <w:t xml:space="preserve"> </w:t>
      </w:r>
      <w:proofErr w:type="spellStart"/>
      <w:r w:rsidRPr="00103FBA">
        <w:t>those</w:t>
      </w:r>
      <w:proofErr w:type="spellEnd"/>
      <w:r w:rsidRPr="00103FBA">
        <w:t xml:space="preserve"> </w:t>
      </w:r>
      <w:proofErr w:type="spellStart"/>
      <w:r w:rsidRPr="00103FBA">
        <w:t>relevant</w:t>
      </w:r>
      <w:proofErr w:type="spellEnd"/>
      <w:r w:rsidRPr="00103FBA">
        <w:t xml:space="preserve"> </w:t>
      </w:r>
      <w:proofErr w:type="spellStart"/>
      <w:r w:rsidRPr="00103FBA">
        <w:t>to</w:t>
      </w:r>
      <w:proofErr w:type="spellEnd"/>
      <w:r w:rsidRPr="00103FBA">
        <w:t xml:space="preserve"> </w:t>
      </w:r>
      <w:proofErr w:type="spellStart"/>
      <w:r w:rsidRPr="00103FBA">
        <w:t>the</w:t>
      </w:r>
      <w:proofErr w:type="spellEnd"/>
      <w:r w:rsidRPr="00103FBA">
        <w:t xml:space="preserve"> </w:t>
      </w:r>
      <w:proofErr w:type="spellStart"/>
      <w:r w:rsidRPr="00103FBA">
        <w:t>Convention</w:t>
      </w:r>
      <w:proofErr w:type="spellEnd"/>
      <w:r w:rsidRPr="00103FBA">
        <w:t xml:space="preserve">. 80 formal </w:t>
      </w:r>
      <w:proofErr w:type="spellStart"/>
      <w:r w:rsidRPr="00103FBA">
        <w:t>investigations</w:t>
      </w:r>
      <w:proofErr w:type="spellEnd"/>
      <w:r w:rsidRPr="00103FBA">
        <w:t xml:space="preserve"> </w:t>
      </w:r>
      <w:proofErr w:type="spellStart"/>
      <w:r w:rsidRPr="00103FBA">
        <w:t>were</w:t>
      </w:r>
      <w:proofErr w:type="spellEnd"/>
      <w:r w:rsidRPr="00103FBA">
        <w:t xml:space="preserve"> </w:t>
      </w:r>
      <w:proofErr w:type="spellStart"/>
      <w:r w:rsidRPr="00103FBA">
        <w:t>completed</w:t>
      </w:r>
      <w:proofErr w:type="spellEnd"/>
      <w:r w:rsidRPr="00103FBA">
        <w:t xml:space="preserve">, </w:t>
      </w:r>
      <w:proofErr w:type="spellStart"/>
      <w:r w:rsidRPr="00103FBA">
        <w:t>of</w:t>
      </w:r>
      <w:proofErr w:type="spellEnd"/>
      <w:r w:rsidRPr="00103FBA">
        <w:t xml:space="preserve"> </w:t>
      </w:r>
      <w:proofErr w:type="spellStart"/>
      <w:r w:rsidRPr="00103FBA">
        <w:t>which</w:t>
      </w:r>
      <w:proofErr w:type="spellEnd"/>
      <w:r w:rsidRPr="00103FBA">
        <w:t xml:space="preserve"> 61 </w:t>
      </w:r>
      <w:proofErr w:type="spellStart"/>
      <w:r w:rsidRPr="00103FBA">
        <w:t>resulted</w:t>
      </w:r>
      <w:proofErr w:type="spellEnd"/>
      <w:r w:rsidRPr="00103FBA">
        <w:t xml:space="preserve"> in </w:t>
      </w:r>
      <w:proofErr w:type="spellStart"/>
      <w:r w:rsidRPr="00103FBA">
        <w:t>breach</w:t>
      </w:r>
      <w:proofErr w:type="spellEnd"/>
      <w:r w:rsidRPr="00103FBA">
        <w:t xml:space="preserve"> </w:t>
      </w:r>
      <w:proofErr w:type="spellStart"/>
      <w:r w:rsidRPr="00103FBA">
        <w:t>opinions</w:t>
      </w:r>
      <w:proofErr w:type="spellEnd"/>
      <w:r w:rsidRPr="00103FBA">
        <w:t xml:space="preserve">, 11 </w:t>
      </w:r>
      <w:proofErr w:type="spellStart"/>
      <w:r w:rsidRPr="00103FBA">
        <w:t>providers</w:t>
      </w:r>
      <w:proofErr w:type="spellEnd"/>
      <w:r w:rsidRPr="00103FBA">
        <w:t xml:space="preserve"> </w:t>
      </w:r>
      <w:proofErr w:type="spellStart"/>
      <w:r w:rsidRPr="00103FBA">
        <w:t>were</w:t>
      </w:r>
      <w:proofErr w:type="spellEnd"/>
      <w:r w:rsidRPr="00103FBA">
        <w:t xml:space="preserve"> </w:t>
      </w:r>
      <w:proofErr w:type="spellStart"/>
      <w:r w:rsidRPr="00103FBA">
        <w:t>referred</w:t>
      </w:r>
      <w:proofErr w:type="spellEnd"/>
      <w:r w:rsidRPr="00103FBA">
        <w:t xml:space="preserve"> </w:t>
      </w:r>
      <w:proofErr w:type="spellStart"/>
      <w:r w:rsidRPr="00103FBA">
        <w:t>to</w:t>
      </w:r>
      <w:proofErr w:type="spellEnd"/>
      <w:r w:rsidRPr="00103FBA">
        <w:t xml:space="preserve"> </w:t>
      </w:r>
      <w:proofErr w:type="spellStart"/>
      <w:r w:rsidRPr="00103FBA">
        <w:t>the</w:t>
      </w:r>
      <w:proofErr w:type="spellEnd"/>
      <w:r w:rsidRPr="00103FBA">
        <w:t xml:space="preserve"> Director </w:t>
      </w:r>
      <w:proofErr w:type="spellStart"/>
      <w:r w:rsidRPr="00103FBA">
        <w:t>of</w:t>
      </w:r>
      <w:proofErr w:type="spellEnd"/>
      <w:r w:rsidRPr="00103FBA">
        <w:t xml:space="preserve"> </w:t>
      </w:r>
      <w:proofErr w:type="spellStart"/>
      <w:r w:rsidRPr="00103FBA">
        <w:t>Proceedings</w:t>
      </w:r>
      <w:proofErr w:type="spellEnd"/>
      <w:r w:rsidRPr="00103FBA">
        <w:t xml:space="preserve"> </w:t>
      </w:r>
      <w:proofErr w:type="spellStart"/>
      <w:r w:rsidRPr="00103FBA">
        <w:t>responsible</w:t>
      </w:r>
      <w:proofErr w:type="spellEnd"/>
      <w:r w:rsidRPr="00103FBA">
        <w:t xml:space="preserve"> </w:t>
      </w:r>
      <w:proofErr w:type="spellStart"/>
      <w:r w:rsidRPr="00103FBA">
        <w:t>for</w:t>
      </w:r>
      <w:proofErr w:type="spellEnd"/>
      <w:r w:rsidRPr="00103FBA">
        <w:t xml:space="preserve"> </w:t>
      </w:r>
      <w:proofErr w:type="spellStart"/>
      <w:r w:rsidRPr="00103FBA">
        <w:t>bringing</w:t>
      </w:r>
      <w:proofErr w:type="spellEnd"/>
      <w:r w:rsidRPr="00103FBA">
        <w:t xml:space="preserve"> a case in </w:t>
      </w:r>
      <w:proofErr w:type="spellStart"/>
      <w:r w:rsidRPr="00103FBA">
        <w:t>front</w:t>
      </w:r>
      <w:proofErr w:type="spellEnd"/>
      <w:r w:rsidRPr="00103FBA">
        <w:t xml:space="preserve"> </w:t>
      </w:r>
      <w:proofErr w:type="spellStart"/>
      <w:r w:rsidRPr="00103FBA">
        <w:t>of</w:t>
      </w:r>
      <w:proofErr w:type="spellEnd"/>
      <w:r w:rsidRPr="00103FBA">
        <w:t xml:space="preserve"> </w:t>
      </w:r>
      <w:proofErr w:type="spellStart"/>
      <w:r w:rsidRPr="00103FBA">
        <w:t>the</w:t>
      </w:r>
      <w:proofErr w:type="spellEnd"/>
      <w:r w:rsidRPr="00103FBA">
        <w:t xml:space="preserve"> </w:t>
      </w:r>
      <w:proofErr w:type="spellStart"/>
      <w:r w:rsidRPr="00103FBA">
        <w:t>Health</w:t>
      </w:r>
      <w:proofErr w:type="spellEnd"/>
      <w:r w:rsidRPr="00103FBA">
        <w:t xml:space="preserve"> </w:t>
      </w:r>
      <w:proofErr w:type="spellStart"/>
      <w:r w:rsidRPr="00103FBA">
        <w:t>Practitioners</w:t>
      </w:r>
      <w:proofErr w:type="spellEnd"/>
      <w:r w:rsidRPr="00103FBA">
        <w:t xml:space="preserve"> </w:t>
      </w:r>
      <w:proofErr w:type="spellStart"/>
      <w:r w:rsidRPr="00103FBA">
        <w:t>Disciplinary</w:t>
      </w:r>
      <w:proofErr w:type="spellEnd"/>
      <w:r w:rsidRPr="00103FBA">
        <w:t xml:space="preserve"> Tribunal </w:t>
      </w:r>
      <w:proofErr w:type="spellStart"/>
      <w:r w:rsidRPr="00103FBA">
        <w:t>or</w:t>
      </w:r>
      <w:proofErr w:type="spellEnd"/>
      <w:r w:rsidRPr="00103FBA">
        <w:t xml:space="preserve"> </w:t>
      </w:r>
      <w:proofErr w:type="spellStart"/>
      <w:r w:rsidRPr="00103FBA">
        <w:t>the</w:t>
      </w:r>
      <w:proofErr w:type="spellEnd"/>
      <w:r w:rsidRPr="00103FBA">
        <w:t xml:space="preserve"> Human </w:t>
      </w:r>
      <w:proofErr w:type="spellStart"/>
      <w:r w:rsidRPr="00103FBA">
        <w:t>Rights</w:t>
      </w:r>
      <w:proofErr w:type="spellEnd"/>
      <w:r w:rsidRPr="00103FBA">
        <w:t xml:space="preserve"> </w:t>
      </w:r>
      <w:proofErr w:type="spellStart"/>
      <w:r w:rsidRPr="00103FBA">
        <w:t>Review</w:t>
      </w:r>
      <w:proofErr w:type="spellEnd"/>
      <w:r w:rsidRPr="00103FBA">
        <w:t xml:space="preserve"> Tribunal. </w:t>
      </w:r>
      <w:proofErr w:type="spellStart"/>
      <w:r w:rsidRPr="00103FBA">
        <w:t>Complaints</w:t>
      </w:r>
      <w:proofErr w:type="spellEnd"/>
      <w:r w:rsidRPr="00103FBA">
        <w:t xml:space="preserve"> </w:t>
      </w:r>
      <w:proofErr w:type="spellStart"/>
      <w:r w:rsidRPr="00103FBA">
        <w:t>received</w:t>
      </w:r>
      <w:proofErr w:type="spellEnd"/>
      <w:r w:rsidRPr="00103FBA">
        <w:t xml:space="preserve"> </w:t>
      </w:r>
      <w:proofErr w:type="spellStart"/>
      <w:r w:rsidRPr="00103FBA">
        <w:t>by</w:t>
      </w:r>
      <w:proofErr w:type="spellEnd"/>
      <w:r w:rsidRPr="00103FBA">
        <w:t xml:space="preserve"> </w:t>
      </w:r>
      <w:proofErr w:type="spellStart"/>
      <w:r w:rsidRPr="00103FBA">
        <w:t>HDC</w:t>
      </w:r>
      <w:proofErr w:type="spellEnd"/>
      <w:r w:rsidRPr="00103FBA">
        <w:t xml:space="preserve"> </w:t>
      </w:r>
      <w:proofErr w:type="spellStart"/>
      <w:r w:rsidRPr="00103FBA">
        <w:t>relating</w:t>
      </w:r>
      <w:proofErr w:type="spellEnd"/>
      <w:r w:rsidRPr="00103FBA">
        <w:t xml:space="preserve"> </w:t>
      </w:r>
      <w:proofErr w:type="spellStart"/>
      <w:r w:rsidRPr="00103FBA">
        <w:t>to</w:t>
      </w:r>
      <w:proofErr w:type="spellEnd"/>
      <w:r w:rsidRPr="00103FBA">
        <w:t xml:space="preserve"> mental </w:t>
      </w:r>
      <w:proofErr w:type="spellStart"/>
      <w:r w:rsidRPr="00103FBA">
        <w:t>health</w:t>
      </w:r>
      <w:proofErr w:type="spellEnd"/>
      <w:r w:rsidRPr="00103FBA">
        <w:t xml:space="preserve"> </w:t>
      </w:r>
      <w:proofErr w:type="spellStart"/>
      <w:r w:rsidRPr="00103FBA">
        <w:t>inpatient</w:t>
      </w:r>
      <w:proofErr w:type="spellEnd"/>
      <w:r w:rsidRPr="00103FBA">
        <w:t xml:space="preserve"> </w:t>
      </w:r>
      <w:proofErr w:type="spellStart"/>
      <w:r w:rsidRPr="00103FBA">
        <w:t>units</w:t>
      </w:r>
      <w:proofErr w:type="spellEnd"/>
      <w:r w:rsidRPr="00103FBA">
        <w:t xml:space="preserve">: 69 in 2015/2016; 85 in 2016/2017; 87 in 2017/2018. </w:t>
      </w:r>
      <w:proofErr w:type="spellStart"/>
      <w:r w:rsidRPr="00103FBA">
        <w:t>If</w:t>
      </w:r>
      <w:proofErr w:type="spellEnd"/>
      <w:r w:rsidRPr="00103FBA">
        <w:t xml:space="preserve"> a </w:t>
      </w:r>
      <w:proofErr w:type="spellStart"/>
      <w:r w:rsidRPr="00103FBA">
        <w:t>patient</w:t>
      </w:r>
      <w:proofErr w:type="spellEnd"/>
      <w:r w:rsidRPr="00103FBA">
        <w:t xml:space="preserve"> </w:t>
      </w:r>
      <w:proofErr w:type="spellStart"/>
      <w:r w:rsidRPr="00103FBA">
        <w:t>is</w:t>
      </w:r>
      <w:proofErr w:type="spellEnd"/>
      <w:r w:rsidRPr="00103FBA">
        <w:t xml:space="preserve"> </w:t>
      </w:r>
      <w:proofErr w:type="spellStart"/>
      <w:r w:rsidRPr="00103FBA">
        <w:t>unhappy</w:t>
      </w:r>
      <w:proofErr w:type="spellEnd"/>
      <w:r w:rsidRPr="00103FBA">
        <w:t xml:space="preserve"> </w:t>
      </w:r>
      <w:proofErr w:type="spellStart"/>
      <w:r w:rsidRPr="00103FBA">
        <w:t>with</w:t>
      </w:r>
      <w:proofErr w:type="spellEnd"/>
      <w:r w:rsidRPr="00103FBA">
        <w:t xml:space="preserve"> </w:t>
      </w:r>
      <w:proofErr w:type="spellStart"/>
      <w:r w:rsidRPr="00103FBA">
        <w:t>the</w:t>
      </w:r>
      <w:proofErr w:type="spellEnd"/>
      <w:r w:rsidRPr="00103FBA">
        <w:t xml:space="preserve"> </w:t>
      </w:r>
      <w:proofErr w:type="spellStart"/>
      <w:r w:rsidRPr="00103FBA">
        <w:t>handling</w:t>
      </w:r>
      <w:proofErr w:type="spellEnd"/>
      <w:r w:rsidRPr="00103FBA">
        <w:t xml:space="preserve"> </w:t>
      </w:r>
      <w:proofErr w:type="spellStart"/>
      <w:r w:rsidRPr="00103FBA">
        <w:t>of</w:t>
      </w:r>
      <w:proofErr w:type="spellEnd"/>
      <w:r w:rsidRPr="00103FBA">
        <w:t xml:space="preserve"> a </w:t>
      </w:r>
      <w:proofErr w:type="spellStart"/>
      <w:r w:rsidRPr="00103FBA">
        <w:t>complaint</w:t>
      </w:r>
      <w:proofErr w:type="spellEnd"/>
      <w:r w:rsidRPr="00103FBA">
        <w:t xml:space="preserve">, </w:t>
      </w:r>
      <w:proofErr w:type="spellStart"/>
      <w:r w:rsidRPr="00103FBA">
        <w:t>they</w:t>
      </w:r>
      <w:proofErr w:type="spellEnd"/>
      <w:r w:rsidRPr="00103FBA">
        <w:t xml:space="preserve"> </w:t>
      </w:r>
      <w:proofErr w:type="spellStart"/>
      <w:r w:rsidRPr="00103FBA">
        <w:t>may</w:t>
      </w:r>
      <w:proofErr w:type="spellEnd"/>
      <w:r w:rsidRPr="00103FBA">
        <w:t xml:space="preserve"> </w:t>
      </w:r>
      <w:proofErr w:type="spellStart"/>
      <w:r w:rsidRPr="00103FBA">
        <w:t>make</w:t>
      </w:r>
      <w:proofErr w:type="spellEnd"/>
      <w:r w:rsidRPr="00103FBA">
        <w:t xml:space="preserve"> a </w:t>
      </w:r>
      <w:proofErr w:type="spellStart"/>
      <w:r w:rsidRPr="00103FBA">
        <w:t>further</w:t>
      </w:r>
      <w:proofErr w:type="spellEnd"/>
      <w:r w:rsidRPr="00103FBA">
        <w:t xml:space="preserve"> </w:t>
      </w:r>
      <w:proofErr w:type="spellStart"/>
      <w:r w:rsidRPr="00103FBA">
        <w:t>complaint</w:t>
      </w:r>
      <w:proofErr w:type="spellEnd"/>
      <w:r w:rsidRPr="00103FBA">
        <w:t xml:space="preserve"> </w:t>
      </w:r>
      <w:proofErr w:type="spellStart"/>
      <w:r w:rsidRPr="00103FBA">
        <w:t>to</w:t>
      </w:r>
      <w:proofErr w:type="spellEnd"/>
      <w:r w:rsidRPr="00103FBA">
        <w:t xml:space="preserve"> </w:t>
      </w:r>
      <w:proofErr w:type="spellStart"/>
      <w:r w:rsidRPr="00103FBA">
        <w:t>the</w:t>
      </w:r>
      <w:proofErr w:type="spellEnd"/>
      <w:r w:rsidRPr="00103FBA">
        <w:t xml:space="preserve"> Ombudsman.</w:t>
      </w:r>
    </w:p>
  </w:endnote>
  <w:endnote w:id="135">
    <w:p w14:paraId="3FF94AD9"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Optional</w:t>
      </w:r>
      <w:proofErr w:type="spellEnd"/>
      <w:r w:rsidRPr="00103FBA">
        <w:t xml:space="preserve"> </w:t>
      </w:r>
      <w:proofErr w:type="spellStart"/>
      <w:r w:rsidRPr="00103FBA">
        <w:t>Protocol</w:t>
      </w:r>
      <w:proofErr w:type="spellEnd"/>
      <w:r w:rsidRPr="00103FBA">
        <w:t xml:space="preserve"> </w:t>
      </w:r>
      <w:proofErr w:type="spellStart"/>
      <w:r w:rsidRPr="00103FBA">
        <w:t>to</w:t>
      </w:r>
      <w:proofErr w:type="spellEnd"/>
      <w:r w:rsidRPr="00103FBA">
        <w:t xml:space="preserve"> </w:t>
      </w:r>
      <w:proofErr w:type="spellStart"/>
      <w:r w:rsidRPr="00103FBA">
        <w:t>the</w:t>
      </w:r>
      <w:proofErr w:type="spellEnd"/>
      <w:r w:rsidRPr="00103FBA">
        <w:t xml:space="preserve"> </w:t>
      </w:r>
      <w:proofErr w:type="spellStart"/>
      <w:r w:rsidRPr="00103FBA">
        <w:t>Convention</w:t>
      </w:r>
      <w:proofErr w:type="spellEnd"/>
      <w:r w:rsidRPr="00103FBA">
        <w:t xml:space="preserve"> </w:t>
      </w:r>
      <w:proofErr w:type="spellStart"/>
      <w:r w:rsidRPr="00103FBA">
        <w:t>against</w:t>
      </w:r>
      <w:proofErr w:type="spellEnd"/>
      <w:r w:rsidRPr="00103FBA">
        <w:t xml:space="preserve"> Torture </w:t>
      </w:r>
      <w:proofErr w:type="spellStart"/>
      <w:r w:rsidRPr="00103FBA">
        <w:t>inspection</w:t>
      </w:r>
      <w:proofErr w:type="spellEnd"/>
      <w:r w:rsidRPr="00103FBA">
        <w:t xml:space="preserve"> </w:t>
      </w:r>
      <w:proofErr w:type="spellStart"/>
      <w:r w:rsidRPr="00103FBA">
        <w:t>reports</w:t>
      </w:r>
      <w:proofErr w:type="spellEnd"/>
      <w:r w:rsidRPr="00103FBA">
        <w:t xml:space="preserve"> are </w:t>
      </w:r>
      <w:proofErr w:type="spellStart"/>
      <w:r w:rsidRPr="00103FBA">
        <w:t>published</w:t>
      </w:r>
      <w:proofErr w:type="spellEnd"/>
      <w:r w:rsidRPr="00103FBA">
        <w:t xml:space="preserve"> </w:t>
      </w:r>
      <w:proofErr w:type="spellStart"/>
      <w:r w:rsidRPr="00103FBA">
        <w:t>on</w:t>
      </w:r>
      <w:proofErr w:type="spellEnd"/>
      <w:r w:rsidRPr="00103FBA">
        <w:t xml:space="preserve"> </w:t>
      </w:r>
      <w:proofErr w:type="spellStart"/>
      <w:r w:rsidRPr="00103FBA">
        <w:t>the</w:t>
      </w:r>
      <w:proofErr w:type="spellEnd"/>
      <w:r w:rsidRPr="00103FBA">
        <w:t xml:space="preserve"> </w:t>
      </w:r>
      <w:proofErr w:type="spellStart"/>
      <w:r w:rsidRPr="00103FBA">
        <w:t>Ombudsman’s</w:t>
      </w:r>
      <w:proofErr w:type="spellEnd"/>
      <w:r w:rsidRPr="00103FBA">
        <w:t xml:space="preserve"> </w:t>
      </w:r>
      <w:proofErr w:type="spellStart"/>
      <w:r w:rsidRPr="00103FBA">
        <w:t>website</w:t>
      </w:r>
      <w:proofErr w:type="spellEnd"/>
      <w:r w:rsidRPr="00103FBA">
        <w:t xml:space="preserve">, </w:t>
      </w:r>
      <w:r w:rsidRPr="00193DD1">
        <w:rPr>
          <w:rStyle w:val="Hipervnculo"/>
        </w:rPr>
        <w:t>www.ombudsman.parliament.nz/what-we-do/protecting-your-rights/monitoring-places-of-detention</w:t>
      </w:r>
      <w:r w:rsidRPr="00103FBA">
        <w:t>.</w:t>
      </w:r>
    </w:p>
  </w:endnote>
  <w:endnote w:id="136">
    <w:p w14:paraId="59B92D7D"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See</w:t>
      </w:r>
      <w:proofErr w:type="spellEnd"/>
      <w:r w:rsidRPr="00103FBA">
        <w:t xml:space="preserve"> </w:t>
      </w:r>
      <w:r w:rsidRPr="00193DD1">
        <w:rPr>
          <w:rStyle w:val="Hipervnculo"/>
        </w:rPr>
        <w:t>www.education.govt.nz/ministry-of-education/legislation/the-education-update-amendment-act/</w:t>
      </w:r>
      <w:r w:rsidRPr="00103FBA">
        <w:t>.</w:t>
      </w:r>
    </w:p>
  </w:endnote>
  <w:endnote w:id="137">
    <w:p w14:paraId="3012F944"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See</w:t>
      </w:r>
      <w:proofErr w:type="spellEnd"/>
      <w:r w:rsidRPr="00103FBA">
        <w:t xml:space="preserve"> </w:t>
      </w:r>
      <w:r w:rsidRPr="00193DD1">
        <w:rPr>
          <w:rStyle w:val="Hipervnculo"/>
        </w:rPr>
        <w:t>www.education.govt.nz/news/new-rules-for-using-physical-restraint-in-schools/</w:t>
      </w:r>
      <w:r>
        <w:t>.</w:t>
      </w:r>
    </w:p>
  </w:endnote>
  <w:endnote w:id="138">
    <w:p w14:paraId="62F16BE9" w14:textId="77777777" w:rsidR="003665BE" w:rsidRDefault="003665BE" w:rsidP="00D6447D">
      <w:pPr>
        <w:pStyle w:val="Textonotaalfinal"/>
      </w:pPr>
      <w:r w:rsidRPr="00103FBA">
        <w:tab/>
      </w:r>
      <w:r w:rsidRPr="00154216">
        <w:rPr>
          <w:rStyle w:val="Refdenotaalfinal"/>
        </w:rPr>
        <w:endnoteRef/>
      </w:r>
      <w:r w:rsidRPr="00154216">
        <w:rPr>
          <w:rStyle w:val="Refdenotaalfinal"/>
        </w:rPr>
        <w:tab/>
      </w:r>
      <w:proofErr w:type="spellStart"/>
      <w:r w:rsidRPr="00103FBA">
        <w:t>See</w:t>
      </w:r>
      <w:proofErr w:type="spellEnd"/>
      <w:r w:rsidRPr="00103FBA">
        <w:t xml:space="preserve"> </w:t>
      </w:r>
      <w:r w:rsidRPr="00193DD1">
        <w:rPr>
          <w:rStyle w:val="Hipervnculo"/>
        </w:rPr>
        <w:t>www.education.govt.nz/assets/Documents/School/Managing-and-supporting-students/Guidance-for-New-Zealand-Schools-on-Behaviour-Mgmt-to-Minimise-Physical-....pdf</w:t>
      </w:r>
      <w:r w:rsidRPr="00103FBA">
        <w:t>.</w:t>
      </w:r>
    </w:p>
  </w:endnote>
  <w:endnote w:id="139">
    <w:p w14:paraId="62C5AB0D"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r w:rsidRPr="00103FBA">
        <w:t xml:space="preserve">Draft </w:t>
      </w:r>
      <w:proofErr w:type="spellStart"/>
      <w:r w:rsidRPr="00103FBA">
        <w:t>Terms</w:t>
      </w:r>
      <w:proofErr w:type="spellEnd"/>
      <w:r w:rsidRPr="00103FBA">
        <w:t xml:space="preserve"> </w:t>
      </w:r>
      <w:proofErr w:type="spellStart"/>
      <w:r w:rsidRPr="00103FBA">
        <w:t>of</w:t>
      </w:r>
      <w:proofErr w:type="spellEnd"/>
      <w:r w:rsidRPr="00103FBA">
        <w:t xml:space="preserve"> Reference </w:t>
      </w:r>
      <w:proofErr w:type="spellStart"/>
      <w:r w:rsidRPr="00103FBA">
        <w:t>for</w:t>
      </w:r>
      <w:proofErr w:type="spellEnd"/>
      <w:r w:rsidRPr="00103FBA">
        <w:t xml:space="preserve"> </w:t>
      </w:r>
      <w:proofErr w:type="spellStart"/>
      <w:r w:rsidRPr="00103FBA">
        <w:t>the</w:t>
      </w:r>
      <w:proofErr w:type="spellEnd"/>
      <w:r w:rsidRPr="00103FBA">
        <w:t xml:space="preserve"> </w:t>
      </w:r>
      <w:proofErr w:type="spellStart"/>
      <w:r w:rsidRPr="00103FBA">
        <w:t>Inquiry</w:t>
      </w:r>
      <w:proofErr w:type="spellEnd"/>
      <w:r w:rsidRPr="00103FBA">
        <w:t xml:space="preserve"> </w:t>
      </w:r>
      <w:proofErr w:type="spellStart"/>
      <w:r w:rsidRPr="00103FBA">
        <w:t>provide</w:t>
      </w:r>
      <w:proofErr w:type="spellEnd"/>
      <w:r w:rsidRPr="00103FBA">
        <w:t xml:space="preserve"> </w:t>
      </w:r>
      <w:proofErr w:type="spellStart"/>
      <w:r w:rsidRPr="00103FBA">
        <w:t>that</w:t>
      </w:r>
      <w:proofErr w:type="spellEnd"/>
      <w:r w:rsidRPr="00103FBA">
        <w:t xml:space="preserve"> </w:t>
      </w:r>
      <w:proofErr w:type="spellStart"/>
      <w:r w:rsidRPr="00103FBA">
        <w:t>the</w:t>
      </w:r>
      <w:proofErr w:type="spellEnd"/>
      <w:r w:rsidRPr="00103FBA">
        <w:t xml:space="preserve"> </w:t>
      </w:r>
      <w:proofErr w:type="spellStart"/>
      <w:r w:rsidRPr="00103FBA">
        <w:t>Inquiry</w:t>
      </w:r>
      <w:proofErr w:type="spellEnd"/>
      <w:r w:rsidRPr="00103FBA">
        <w:t xml:space="preserve"> </w:t>
      </w:r>
      <w:proofErr w:type="spellStart"/>
      <w:r w:rsidRPr="00103FBA">
        <w:t>will</w:t>
      </w:r>
      <w:proofErr w:type="spellEnd"/>
      <w:r w:rsidRPr="00103FBA">
        <w:t xml:space="preserve"> be </w:t>
      </w:r>
      <w:r>
        <w:t>“</w:t>
      </w:r>
      <w:proofErr w:type="spellStart"/>
      <w:r w:rsidRPr="00103FBA">
        <w:t>responsive</w:t>
      </w:r>
      <w:proofErr w:type="spellEnd"/>
      <w:r w:rsidRPr="00103FBA">
        <w:t xml:space="preserve"> </w:t>
      </w:r>
      <w:proofErr w:type="spellStart"/>
      <w:r w:rsidRPr="00103FBA">
        <w:t>where</w:t>
      </w:r>
      <w:proofErr w:type="spellEnd"/>
      <w:r w:rsidRPr="00103FBA">
        <w:t xml:space="preserve"> </w:t>
      </w:r>
      <w:proofErr w:type="spellStart"/>
      <w:r w:rsidRPr="00103FBA">
        <w:t>differential</w:t>
      </w:r>
      <w:proofErr w:type="spellEnd"/>
      <w:r w:rsidRPr="00103FBA">
        <w:t xml:space="preserve"> </w:t>
      </w:r>
      <w:proofErr w:type="spellStart"/>
      <w:r w:rsidRPr="00103FBA">
        <w:t>impact</w:t>
      </w:r>
      <w:proofErr w:type="spellEnd"/>
      <w:r w:rsidRPr="00103FBA">
        <w:t xml:space="preserve"> </w:t>
      </w:r>
      <w:proofErr w:type="spellStart"/>
      <w:r w:rsidRPr="00103FBA">
        <w:t>is</w:t>
      </w:r>
      <w:proofErr w:type="spellEnd"/>
      <w:r w:rsidRPr="00103FBA">
        <w:t xml:space="preserve"> </w:t>
      </w:r>
      <w:proofErr w:type="spellStart"/>
      <w:r w:rsidRPr="00103FBA">
        <w:t>evident</w:t>
      </w:r>
      <w:proofErr w:type="spellEnd"/>
      <w:r w:rsidRPr="00103FBA">
        <w:t xml:space="preserve">, </w:t>
      </w:r>
      <w:proofErr w:type="spellStart"/>
      <w:r w:rsidRPr="00103FBA">
        <w:t>e.g</w:t>
      </w:r>
      <w:proofErr w:type="spellEnd"/>
      <w:r w:rsidRPr="00103FBA">
        <w:t xml:space="preserve">. </w:t>
      </w:r>
      <w:proofErr w:type="spellStart"/>
      <w:r w:rsidRPr="00103FBA">
        <w:t>by</w:t>
      </w:r>
      <w:proofErr w:type="spellEnd"/>
      <w:r w:rsidRPr="00103FBA">
        <w:t xml:space="preserve"> </w:t>
      </w:r>
      <w:proofErr w:type="spellStart"/>
      <w:r w:rsidRPr="00103FBA">
        <w:t>gender</w:t>
      </w:r>
      <w:proofErr w:type="spellEnd"/>
      <w:r w:rsidRPr="00103FBA">
        <w:t xml:space="preserve">, </w:t>
      </w:r>
      <w:proofErr w:type="spellStart"/>
      <w:r w:rsidRPr="00103FBA">
        <w:t>people</w:t>
      </w:r>
      <w:proofErr w:type="spellEnd"/>
      <w:r w:rsidRPr="00103FBA">
        <w:t xml:space="preserve"> </w:t>
      </w:r>
      <w:proofErr w:type="spellStart"/>
      <w:r w:rsidRPr="00103FBA">
        <w:t>identifying</w:t>
      </w:r>
      <w:proofErr w:type="spellEnd"/>
      <w:r w:rsidRPr="00103FBA">
        <w:t xml:space="preserve"> as </w:t>
      </w:r>
      <w:proofErr w:type="spellStart"/>
      <w:r w:rsidRPr="00103FBA">
        <w:t>lesbian</w:t>
      </w:r>
      <w:proofErr w:type="spellEnd"/>
      <w:r w:rsidRPr="00103FBA">
        <w:t xml:space="preserve">, gay, bisexual, </w:t>
      </w:r>
      <w:proofErr w:type="spellStart"/>
      <w:r w:rsidRPr="00103FBA">
        <w:t>transgender</w:t>
      </w:r>
      <w:proofErr w:type="spellEnd"/>
      <w:r w:rsidRPr="00103FBA">
        <w:t xml:space="preserve">, </w:t>
      </w:r>
      <w:proofErr w:type="spellStart"/>
      <w:r w:rsidRPr="00103FBA">
        <w:t>queer</w:t>
      </w:r>
      <w:proofErr w:type="spellEnd"/>
      <w:r w:rsidRPr="00103FBA">
        <w:t xml:space="preserve"> and </w:t>
      </w:r>
      <w:proofErr w:type="spellStart"/>
      <w:r w:rsidRPr="00103FBA">
        <w:t>intersex</w:t>
      </w:r>
      <w:proofErr w:type="spellEnd"/>
      <w:r w:rsidRPr="00103FBA">
        <w:t xml:space="preserve">, </w:t>
      </w:r>
      <w:proofErr w:type="spellStart"/>
      <w:r w:rsidRPr="00103FBA">
        <w:t>Pacific</w:t>
      </w:r>
      <w:proofErr w:type="spellEnd"/>
      <w:r w:rsidRPr="00103FBA">
        <w:t xml:space="preserve"> People, </w:t>
      </w:r>
      <w:proofErr w:type="spellStart"/>
      <w:r w:rsidRPr="00103FBA">
        <w:t>disabled</w:t>
      </w:r>
      <w:proofErr w:type="spellEnd"/>
      <w:r w:rsidRPr="00103FBA">
        <w:t xml:space="preserve"> </w:t>
      </w:r>
      <w:proofErr w:type="spellStart"/>
      <w:r w:rsidRPr="00103FBA">
        <w:t>people</w:t>
      </w:r>
      <w:proofErr w:type="spellEnd"/>
      <w:r w:rsidRPr="00103FBA">
        <w:t xml:space="preserve"> and </w:t>
      </w:r>
      <w:proofErr w:type="spellStart"/>
      <w:r w:rsidRPr="00103FBA">
        <w:t>people</w:t>
      </w:r>
      <w:proofErr w:type="spellEnd"/>
      <w:r w:rsidRPr="00103FBA">
        <w:t xml:space="preserve"> </w:t>
      </w:r>
      <w:proofErr w:type="spellStart"/>
      <w:r w:rsidRPr="00103FBA">
        <w:t>who</w:t>
      </w:r>
      <w:proofErr w:type="spellEnd"/>
      <w:r w:rsidRPr="00103FBA">
        <w:t xml:space="preserve"> </w:t>
      </w:r>
      <w:proofErr w:type="spellStart"/>
      <w:r w:rsidRPr="00103FBA">
        <w:t>have</w:t>
      </w:r>
      <w:proofErr w:type="spellEnd"/>
      <w:r w:rsidRPr="00103FBA">
        <w:t xml:space="preserve"> </w:t>
      </w:r>
      <w:proofErr w:type="spellStart"/>
      <w:r w:rsidRPr="00103FBA">
        <w:t>experienced</w:t>
      </w:r>
      <w:proofErr w:type="spellEnd"/>
      <w:r w:rsidRPr="00103FBA">
        <w:t xml:space="preserve"> mental </w:t>
      </w:r>
      <w:proofErr w:type="spellStart"/>
      <w:r w:rsidRPr="00103FBA">
        <w:t>health</w:t>
      </w:r>
      <w:proofErr w:type="spellEnd"/>
      <w:r w:rsidRPr="00103FBA">
        <w:t xml:space="preserve"> </w:t>
      </w:r>
      <w:proofErr w:type="spellStart"/>
      <w:r w:rsidRPr="00103FBA">
        <w:t>issues</w:t>
      </w:r>
      <w:proofErr w:type="spellEnd"/>
      <w:r>
        <w:t>”</w:t>
      </w:r>
      <w:r w:rsidRPr="00103FBA">
        <w:t xml:space="preserve">. </w:t>
      </w:r>
      <w:proofErr w:type="spellStart"/>
      <w:r w:rsidRPr="00103FBA">
        <w:t>The</w:t>
      </w:r>
      <w:proofErr w:type="spellEnd"/>
      <w:r w:rsidRPr="00103FBA">
        <w:t xml:space="preserve"> draft </w:t>
      </w:r>
      <w:proofErr w:type="spellStart"/>
      <w:r w:rsidRPr="00103FBA">
        <w:t>Terms</w:t>
      </w:r>
      <w:proofErr w:type="spellEnd"/>
      <w:r w:rsidRPr="00103FBA">
        <w:t xml:space="preserve"> </w:t>
      </w:r>
      <w:proofErr w:type="spellStart"/>
      <w:r w:rsidRPr="00103FBA">
        <w:t>of</w:t>
      </w:r>
      <w:proofErr w:type="spellEnd"/>
      <w:r w:rsidRPr="00103FBA">
        <w:t xml:space="preserve"> Reference, and </w:t>
      </w:r>
      <w:proofErr w:type="spellStart"/>
      <w:r w:rsidRPr="00103FBA">
        <w:t>the</w:t>
      </w:r>
      <w:proofErr w:type="spellEnd"/>
      <w:r w:rsidRPr="00103FBA">
        <w:t xml:space="preserve"> </w:t>
      </w:r>
      <w:proofErr w:type="spellStart"/>
      <w:r w:rsidRPr="00103FBA">
        <w:t>language</w:t>
      </w:r>
      <w:proofErr w:type="spellEnd"/>
      <w:r w:rsidRPr="00103FBA">
        <w:t xml:space="preserve"> </w:t>
      </w:r>
      <w:proofErr w:type="spellStart"/>
      <w:r w:rsidRPr="00103FBA">
        <w:t>used</w:t>
      </w:r>
      <w:proofErr w:type="spellEnd"/>
      <w:r w:rsidRPr="00103FBA">
        <w:t xml:space="preserve">, has </w:t>
      </w:r>
      <w:proofErr w:type="spellStart"/>
      <w:r w:rsidRPr="00103FBA">
        <w:t>been</w:t>
      </w:r>
      <w:proofErr w:type="spellEnd"/>
      <w:r w:rsidRPr="00103FBA">
        <w:t xml:space="preserve"> </w:t>
      </w:r>
      <w:proofErr w:type="spellStart"/>
      <w:r w:rsidRPr="00103FBA">
        <w:t>the</w:t>
      </w:r>
      <w:proofErr w:type="spellEnd"/>
      <w:r w:rsidRPr="00103FBA">
        <w:t xml:space="preserve"> </w:t>
      </w:r>
      <w:proofErr w:type="spellStart"/>
      <w:r w:rsidRPr="00103FBA">
        <w:t>subject</w:t>
      </w:r>
      <w:proofErr w:type="spellEnd"/>
      <w:r w:rsidRPr="00103FBA">
        <w:t xml:space="preserve"> </w:t>
      </w:r>
      <w:proofErr w:type="spellStart"/>
      <w:r w:rsidRPr="00103FBA">
        <w:t>of</w:t>
      </w:r>
      <w:proofErr w:type="spellEnd"/>
      <w:r w:rsidRPr="00103FBA">
        <w:t xml:space="preserve"> </w:t>
      </w:r>
      <w:proofErr w:type="spellStart"/>
      <w:r w:rsidRPr="00103FBA">
        <w:t>public</w:t>
      </w:r>
      <w:proofErr w:type="spellEnd"/>
      <w:r w:rsidRPr="00103FBA">
        <w:t xml:space="preserve"> </w:t>
      </w:r>
      <w:proofErr w:type="spellStart"/>
      <w:r w:rsidRPr="00103FBA">
        <w:t>consultation</w:t>
      </w:r>
      <w:proofErr w:type="spellEnd"/>
      <w:r w:rsidRPr="00103FBA">
        <w:t xml:space="preserve"> and </w:t>
      </w:r>
      <w:proofErr w:type="spellStart"/>
      <w:r w:rsidRPr="00103FBA">
        <w:t>remains</w:t>
      </w:r>
      <w:proofErr w:type="spellEnd"/>
      <w:r w:rsidRPr="00103FBA">
        <w:t xml:space="preserve"> </w:t>
      </w:r>
      <w:proofErr w:type="spellStart"/>
      <w:r w:rsidRPr="00103FBA">
        <w:t>subject</w:t>
      </w:r>
      <w:proofErr w:type="spellEnd"/>
      <w:r w:rsidRPr="00103FBA">
        <w:t xml:space="preserve"> </w:t>
      </w:r>
      <w:proofErr w:type="spellStart"/>
      <w:r w:rsidRPr="00103FBA">
        <w:t>to</w:t>
      </w:r>
      <w:proofErr w:type="spellEnd"/>
      <w:r w:rsidRPr="00103FBA">
        <w:t xml:space="preserve"> final </w:t>
      </w:r>
      <w:proofErr w:type="spellStart"/>
      <w:r w:rsidRPr="00103FBA">
        <w:t>Cabinet</w:t>
      </w:r>
      <w:proofErr w:type="spellEnd"/>
      <w:r w:rsidRPr="00103FBA">
        <w:t xml:space="preserve"> </w:t>
      </w:r>
      <w:proofErr w:type="spellStart"/>
      <w:r w:rsidRPr="00103FBA">
        <w:t>approval</w:t>
      </w:r>
      <w:proofErr w:type="spellEnd"/>
      <w:r w:rsidRPr="00103FBA">
        <w:t xml:space="preserve">. </w:t>
      </w:r>
    </w:p>
  </w:endnote>
  <w:endnote w:id="140">
    <w:p w14:paraId="543FF0A8"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NetSafe</w:t>
      </w:r>
      <w:proofErr w:type="spellEnd"/>
      <w:r w:rsidRPr="00103FBA">
        <w:t xml:space="preserve"> </w:t>
      </w:r>
      <w:proofErr w:type="spellStart"/>
      <w:r w:rsidRPr="00103FBA">
        <w:t>is</w:t>
      </w:r>
      <w:proofErr w:type="spellEnd"/>
      <w:r w:rsidRPr="00103FBA">
        <w:t xml:space="preserve"> a </w:t>
      </w:r>
      <w:proofErr w:type="spellStart"/>
      <w:r w:rsidRPr="00103FBA">
        <w:t>not</w:t>
      </w:r>
      <w:proofErr w:type="spellEnd"/>
      <w:r w:rsidRPr="00103FBA">
        <w:t xml:space="preserve"> </w:t>
      </w:r>
      <w:proofErr w:type="spellStart"/>
      <w:r w:rsidRPr="00103FBA">
        <w:t>for</w:t>
      </w:r>
      <w:proofErr w:type="spellEnd"/>
      <w:r w:rsidRPr="00103FBA">
        <w:t xml:space="preserve"> </w:t>
      </w:r>
      <w:proofErr w:type="spellStart"/>
      <w:r w:rsidRPr="00103FBA">
        <w:t>profit</w:t>
      </w:r>
      <w:proofErr w:type="spellEnd"/>
      <w:r w:rsidRPr="00103FBA">
        <w:t xml:space="preserve"> </w:t>
      </w:r>
      <w:proofErr w:type="spellStart"/>
      <w:r w:rsidRPr="00103FBA">
        <w:t>organisation</w:t>
      </w:r>
      <w:proofErr w:type="spellEnd"/>
      <w:r w:rsidRPr="00103FBA">
        <w:t xml:space="preserve"> and </w:t>
      </w:r>
      <w:proofErr w:type="spellStart"/>
      <w:r w:rsidRPr="00103FBA">
        <w:t>is</w:t>
      </w:r>
      <w:proofErr w:type="spellEnd"/>
      <w:r w:rsidRPr="00103FBA">
        <w:t xml:space="preserve"> </w:t>
      </w:r>
      <w:proofErr w:type="spellStart"/>
      <w:r w:rsidRPr="00103FBA">
        <w:t>the</w:t>
      </w:r>
      <w:proofErr w:type="spellEnd"/>
      <w:r w:rsidRPr="00103FBA">
        <w:t xml:space="preserve"> </w:t>
      </w:r>
      <w:proofErr w:type="spellStart"/>
      <w:r w:rsidRPr="00103FBA">
        <w:t>approved</w:t>
      </w:r>
      <w:proofErr w:type="spellEnd"/>
      <w:r w:rsidRPr="00103FBA">
        <w:t xml:space="preserve"> </w:t>
      </w:r>
      <w:proofErr w:type="spellStart"/>
      <w:r w:rsidRPr="00103FBA">
        <w:t>agency</w:t>
      </w:r>
      <w:proofErr w:type="spellEnd"/>
      <w:r w:rsidRPr="00103FBA">
        <w:t xml:space="preserve"> </w:t>
      </w:r>
      <w:proofErr w:type="spellStart"/>
      <w:r w:rsidRPr="00103FBA">
        <w:t>authorised</w:t>
      </w:r>
      <w:proofErr w:type="spellEnd"/>
      <w:r w:rsidRPr="00103FBA">
        <w:t xml:space="preserve"> </w:t>
      </w:r>
      <w:proofErr w:type="spellStart"/>
      <w:r w:rsidRPr="00103FBA">
        <w:t>under</w:t>
      </w:r>
      <w:proofErr w:type="spellEnd"/>
      <w:r w:rsidRPr="00103FBA">
        <w:t xml:space="preserve"> </w:t>
      </w:r>
      <w:proofErr w:type="spellStart"/>
      <w:r w:rsidRPr="00103FBA">
        <w:t>the</w:t>
      </w:r>
      <w:proofErr w:type="spellEnd"/>
      <w:r w:rsidRPr="00103FBA">
        <w:t xml:space="preserve"> </w:t>
      </w:r>
      <w:proofErr w:type="spellStart"/>
      <w:r w:rsidRPr="00103FBA">
        <w:t>Harmful</w:t>
      </w:r>
      <w:proofErr w:type="spellEnd"/>
      <w:r w:rsidRPr="00103FBA">
        <w:t xml:space="preserve"> Digital </w:t>
      </w:r>
      <w:proofErr w:type="spellStart"/>
      <w:r w:rsidRPr="00103FBA">
        <w:t>Communications</w:t>
      </w:r>
      <w:proofErr w:type="spellEnd"/>
      <w:r w:rsidRPr="00103FBA">
        <w:t xml:space="preserve"> </w:t>
      </w:r>
      <w:proofErr w:type="spellStart"/>
      <w:r w:rsidRPr="00103FBA">
        <w:t>Act</w:t>
      </w:r>
      <w:proofErr w:type="spellEnd"/>
      <w:r w:rsidRPr="00103FBA">
        <w:t xml:space="preserve"> </w:t>
      </w:r>
      <w:proofErr w:type="spellStart"/>
      <w:r w:rsidRPr="00103FBA">
        <w:t>2015.See</w:t>
      </w:r>
      <w:proofErr w:type="spellEnd"/>
      <w:r w:rsidRPr="00103FBA">
        <w:t xml:space="preserve"> </w:t>
      </w:r>
      <w:proofErr w:type="spellStart"/>
      <w:r w:rsidRPr="00103FBA">
        <w:t>www.netsafe.org.nz</w:t>
      </w:r>
      <w:proofErr w:type="spellEnd"/>
      <w:r w:rsidRPr="00103FBA">
        <w:t>/.</w:t>
      </w:r>
    </w:p>
  </w:endnote>
  <w:endnote w:id="141">
    <w:p w14:paraId="34003C31"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See</w:t>
      </w:r>
      <w:proofErr w:type="spellEnd"/>
      <w:r w:rsidRPr="00103FBA">
        <w:t xml:space="preserve"> </w:t>
      </w:r>
      <w:r w:rsidRPr="00193DD1">
        <w:rPr>
          <w:rStyle w:val="Hipervnculo"/>
        </w:rPr>
        <w:t>http://</w:t>
      </w:r>
      <w:proofErr w:type="spellStart"/>
      <w:r w:rsidRPr="00193DD1">
        <w:rPr>
          <w:rStyle w:val="Hipervnculo"/>
        </w:rPr>
        <w:t>areyouok.org.nz</w:t>
      </w:r>
      <w:proofErr w:type="spellEnd"/>
      <w:r w:rsidRPr="00193DD1">
        <w:rPr>
          <w:rStyle w:val="Hipervnculo"/>
        </w:rPr>
        <w:t>/</w:t>
      </w:r>
      <w:r w:rsidRPr="00103FBA">
        <w:t>.</w:t>
      </w:r>
    </w:p>
  </w:endnote>
  <w:endnote w:id="142">
    <w:p w14:paraId="0811F181"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See</w:t>
      </w:r>
      <w:proofErr w:type="spellEnd"/>
      <w:r w:rsidRPr="00103FBA">
        <w:t xml:space="preserve"> </w:t>
      </w:r>
      <w:r w:rsidRPr="00193DD1">
        <w:rPr>
          <w:rStyle w:val="Hipervnculo"/>
        </w:rPr>
        <w:t>http://</w:t>
      </w:r>
      <w:proofErr w:type="spellStart"/>
      <w:r w:rsidRPr="00193DD1">
        <w:rPr>
          <w:rStyle w:val="Hipervnculo"/>
        </w:rPr>
        <w:t>www.pasefikaproud.co.nz</w:t>
      </w:r>
      <w:proofErr w:type="spellEnd"/>
      <w:r w:rsidRPr="00193DD1">
        <w:rPr>
          <w:rStyle w:val="Hipervnculo"/>
        </w:rPr>
        <w:t>/</w:t>
      </w:r>
      <w:r w:rsidRPr="00103FBA">
        <w:t>.</w:t>
      </w:r>
    </w:p>
  </w:endnote>
  <w:endnote w:id="143">
    <w:p w14:paraId="336AA334"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See</w:t>
      </w:r>
      <w:proofErr w:type="spellEnd"/>
      <w:r w:rsidRPr="00103FBA">
        <w:t xml:space="preserve"> </w:t>
      </w:r>
      <w:r w:rsidRPr="00193DD1">
        <w:rPr>
          <w:rStyle w:val="Hipervnculo"/>
        </w:rPr>
        <w:t>https://</w:t>
      </w:r>
      <w:proofErr w:type="spellStart"/>
      <w:r w:rsidRPr="00193DD1">
        <w:rPr>
          <w:rStyle w:val="Hipervnculo"/>
        </w:rPr>
        <w:t>etuwhanau.org.nz</w:t>
      </w:r>
      <w:proofErr w:type="spellEnd"/>
      <w:r>
        <w:t>.</w:t>
      </w:r>
    </w:p>
  </w:endnote>
  <w:endnote w:id="144">
    <w:p w14:paraId="1D03C45B"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See</w:t>
      </w:r>
      <w:proofErr w:type="spellEnd"/>
      <w:r w:rsidRPr="00103FBA">
        <w:t xml:space="preserve"> </w:t>
      </w:r>
      <w:r w:rsidRPr="00193DD1">
        <w:rPr>
          <w:rStyle w:val="Hipervnculo"/>
        </w:rPr>
        <w:t>https://</w:t>
      </w:r>
      <w:proofErr w:type="spellStart"/>
      <w:r w:rsidRPr="00193DD1">
        <w:rPr>
          <w:rStyle w:val="Hipervnculo"/>
        </w:rPr>
        <w:t>safetotalk.nz</w:t>
      </w:r>
      <w:proofErr w:type="spellEnd"/>
      <w:r w:rsidRPr="00103FBA">
        <w:t>.</w:t>
      </w:r>
    </w:p>
  </w:endnote>
  <w:endnote w:id="145">
    <w:p w14:paraId="34908EF5"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See</w:t>
      </w:r>
      <w:proofErr w:type="spellEnd"/>
      <w:r w:rsidRPr="00103FBA">
        <w:t xml:space="preserve"> </w:t>
      </w:r>
      <w:proofErr w:type="spellStart"/>
      <w:r w:rsidRPr="00193DD1">
        <w:rPr>
          <w:rStyle w:val="Hipervnculo"/>
        </w:rPr>
        <w:t>www.legislation.govt.nz</w:t>
      </w:r>
      <w:proofErr w:type="spellEnd"/>
      <w:r w:rsidRPr="00193DD1">
        <w:rPr>
          <w:rStyle w:val="Hipervnculo"/>
        </w:rPr>
        <w:t>/</w:t>
      </w:r>
      <w:proofErr w:type="spellStart"/>
      <w:r w:rsidRPr="00193DD1">
        <w:rPr>
          <w:rStyle w:val="Hipervnculo"/>
        </w:rPr>
        <w:t>act</w:t>
      </w:r>
      <w:proofErr w:type="spellEnd"/>
      <w:r w:rsidRPr="00193DD1">
        <w:rPr>
          <w:rStyle w:val="Hipervnculo"/>
        </w:rPr>
        <w:t>/</w:t>
      </w:r>
      <w:proofErr w:type="spellStart"/>
      <w:r w:rsidRPr="00193DD1">
        <w:rPr>
          <w:rStyle w:val="Hipervnculo"/>
        </w:rPr>
        <w:t>public</w:t>
      </w:r>
      <w:proofErr w:type="spellEnd"/>
      <w:r w:rsidRPr="00193DD1">
        <w:rPr>
          <w:rStyle w:val="Hipervnculo"/>
        </w:rPr>
        <w:t>/2018/0032/</w:t>
      </w:r>
      <w:proofErr w:type="spellStart"/>
      <w:r w:rsidRPr="00193DD1">
        <w:rPr>
          <w:rStyle w:val="Hipervnculo"/>
        </w:rPr>
        <w:t>latest</w:t>
      </w:r>
      <w:proofErr w:type="spellEnd"/>
      <w:r w:rsidRPr="00193DD1">
        <w:rPr>
          <w:rStyle w:val="Hipervnculo"/>
        </w:rPr>
        <w:t>/</w:t>
      </w:r>
      <w:proofErr w:type="spellStart"/>
      <w:r w:rsidRPr="00193DD1">
        <w:rPr>
          <w:rStyle w:val="Hipervnculo"/>
        </w:rPr>
        <w:t>whole.html</w:t>
      </w:r>
      <w:proofErr w:type="spellEnd"/>
      <w:r w:rsidRPr="00103FBA">
        <w:t xml:space="preserve">. </w:t>
      </w:r>
      <w:proofErr w:type="spellStart"/>
      <w:r w:rsidRPr="00103FBA">
        <w:t>Changes</w:t>
      </w:r>
      <w:proofErr w:type="spellEnd"/>
      <w:r w:rsidRPr="00103FBA">
        <w:t xml:space="preserve"> </w:t>
      </w:r>
      <w:proofErr w:type="spellStart"/>
      <w:r w:rsidRPr="00103FBA">
        <w:t>to</w:t>
      </w:r>
      <w:proofErr w:type="spellEnd"/>
      <w:r w:rsidRPr="00103FBA">
        <w:t xml:space="preserve"> </w:t>
      </w:r>
      <w:proofErr w:type="spellStart"/>
      <w:r w:rsidRPr="00103FBA">
        <w:t>the</w:t>
      </w:r>
      <w:proofErr w:type="spellEnd"/>
      <w:r w:rsidRPr="00103FBA">
        <w:t xml:space="preserve"> </w:t>
      </w:r>
      <w:proofErr w:type="spellStart"/>
      <w:r w:rsidRPr="00103FBA">
        <w:t>Act</w:t>
      </w:r>
      <w:proofErr w:type="spellEnd"/>
      <w:r w:rsidRPr="00103FBA">
        <w:t xml:space="preserve"> </w:t>
      </w:r>
      <w:proofErr w:type="spellStart"/>
      <w:r w:rsidRPr="00103FBA">
        <w:t>include</w:t>
      </w:r>
      <w:proofErr w:type="spellEnd"/>
      <w:r w:rsidRPr="00103FBA">
        <w:t xml:space="preserve">: </w:t>
      </w:r>
      <w:proofErr w:type="spellStart"/>
      <w:r w:rsidRPr="00103FBA">
        <w:t>recognising</w:t>
      </w:r>
      <w:proofErr w:type="spellEnd"/>
      <w:r w:rsidRPr="00103FBA">
        <w:t xml:space="preserve"> </w:t>
      </w:r>
      <w:proofErr w:type="spellStart"/>
      <w:r w:rsidRPr="00103FBA">
        <w:t>that</w:t>
      </w:r>
      <w:proofErr w:type="spellEnd"/>
      <w:r w:rsidRPr="00103FBA">
        <w:t xml:space="preserve"> </w:t>
      </w:r>
      <w:proofErr w:type="spellStart"/>
      <w:r w:rsidRPr="00103FBA">
        <w:t>disabled</w:t>
      </w:r>
      <w:proofErr w:type="spellEnd"/>
      <w:r w:rsidRPr="00103FBA">
        <w:t xml:space="preserve"> </w:t>
      </w:r>
      <w:proofErr w:type="spellStart"/>
      <w:r w:rsidRPr="00103FBA">
        <w:t>people</w:t>
      </w:r>
      <w:proofErr w:type="spellEnd"/>
      <w:r w:rsidRPr="00103FBA">
        <w:t xml:space="preserve"> </w:t>
      </w:r>
      <w:proofErr w:type="spellStart"/>
      <w:r w:rsidRPr="00103FBA">
        <w:t>may</w:t>
      </w:r>
      <w:proofErr w:type="spellEnd"/>
      <w:r w:rsidRPr="00103FBA">
        <w:t xml:space="preserve"> be </w:t>
      </w:r>
      <w:proofErr w:type="spellStart"/>
      <w:r w:rsidRPr="00103FBA">
        <w:t>particularly</w:t>
      </w:r>
      <w:proofErr w:type="spellEnd"/>
      <w:r w:rsidRPr="00103FBA">
        <w:t xml:space="preserve"> vulnerable </w:t>
      </w:r>
      <w:proofErr w:type="spellStart"/>
      <w:r w:rsidRPr="00103FBA">
        <w:t>to</w:t>
      </w:r>
      <w:proofErr w:type="spellEnd"/>
      <w:r w:rsidRPr="00103FBA">
        <w:t xml:space="preserve"> </w:t>
      </w:r>
      <w:proofErr w:type="spellStart"/>
      <w:r w:rsidRPr="00103FBA">
        <w:t>family</w:t>
      </w:r>
      <w:proofErr w:type="spellEnd"/>
      <w:r w:rsidRPr="00103FBA">
        <w:t xml:space="preserve"> </w:t>
      </w:r>
      <w:proofErr w:type="spellStart"/>
      <w:r w:rsidRPr="00103FBA">
        <w:t>violence</w:t>
      </w:r>
      <w:proofErr w:type="spellEnd"/>
      <w:r w:rsidRPr="00103FBA">
        <w:t xml:space="preserve">; </w:t>
      </w:r>
      <w:proofErr w:type="spellStart"/>
      <w:r w:rsidRPr="00103FBA">
        <w:t>clarifying</w:t>
      </w:r>
      <w:proofErr w:type="spellEnd"/>
      <w:r w:rsidRPr="00103FBA">
        <w:t xml:space="preserve"> </w:t>
      </w:r>
      <w:proofErr w:type="spellStart"/>
      <w:r w:rsidRPr="00103FBA">
        <w:t>that</w:t>
      </w:r>
      <w:proofErr w:type="spellEnd"/>
      <w:r w:rsidRPr="00103FBA">
        <w:t xml:space="preserve"> </w:t>
      </w:r>
      <w:proofErr w:type="spellStart"/>
      <w:r w:rsidRPr="00103FBA">
        <w:t>the</w:t>
      </w:r>
      <w:proofErr w:type="spellEnd"/>
      <w:r w:rsidRPr="00103FBA">
        <w:t xml:space="preserve"> </w:t>
      </w:r>
      <w:proofErr w:type="spellStart"/>
      <w:r w:rsidRPr="00103FBA">
        <w:t>definition</w:t>
      </w:r>
      <w:proofErr w:type="spellEnd"/>
      <w:r w:rsidRPr="00103FBA">
        <w:t xml:space="preserve"> </w:t>
      </w:r>
      <w:proofErr w:type="spellStart"/>
      <w:r w:rsidRPr="00103FBA">
        <w:t>of</w:t>
      </w:r>
      <w:proofErr w:type="spellEnd"/>
      <w:r w:rsidRPr="00103FBA">
        <w:t xml:space="preserve"> </w:t>
      </w:r>
      <w:proofErr w:type="spellStart"/>
      <w:r w:rsidRPr="00103FBA">
        <w:t>psychological</w:t>
      </w:r>
      <w:proofErr w:type="spellEnd"/>
      <w:r w:rsidRPr="00103FBA">
        <w:t xml:space="preserve"> abuse </w:t>
      </w:r>
      <w:proofErr w:type="spellStart"/>
      <w:r w:rsidRPr="00103FBA">
        <w:t>includes</w:t>
      </w:r>
      <w:proofErr w:type="spellEnd"/>
      <w:r w:rsidRPr="00103FBA">
        <w:t xml:space="preserve"> </w:t>
      </w:r>
      <w:proofErr w:type="spellStart"/>
      <w:r w:rsidRPr="00103FBA">
        <w:t>hindering</w:t>
      </w:r>
      <w:proofErr w:type="spellEnd"/>
      <w:r w:rsidRPr="00103FBA">
        <w:t xml:space="preserve"> </w:t>
      </w:r>
      <w:proofErr w:type="spellStart"/>
      <w:r w:rsidRPr="00103FBA">
        <w:t>or</w:t>
      </w:r>
      <w:proofErr w:type="spellEnd"/>
      <w:r w:rsidRPr="00103FBA">
        <w:t xml:space="preserve"> </w:t>
      </w:r>
      <w:proofErr w:type="spellStart"/>
      <w:r w:rsidRPr="00103FBA">
        <w:t>removing</w:t>
      </w:r>
      <w:proofErr w:type="spellEnd"/>
      <w:r w:rsidRPr="00103FBA">
        <w:t xml:space="preserve"> </w:t>
      </w:r>
      <w:proofErr w:type="spellStart"/>
      <w:r w:rsidRPr="00103FBA">
        <w:t>access</w:t>
      </w:r>
      <w:proofErr w:type="spellEnd"/>
      <w:r w:rsidRPr="00103FBA">
        <w:t xml:space="preserve"> </w:t>
      </w:r>
      <w:proofErr w:type="spellStart"/>
      <w:r w:rsidRPr="00103FBA">
        <w:t>to</w:t>
      </w:r>
      <w:proofErr w:type="spellEnd"/>
      <w:r w:rsidRPr="00103FBA">
        <w:t xml:space="preserve"> a </w:t>
      </w:r>
      <w:proofErr w:type="spellStart"/>
      <w:r w:rsidRPr="00103FBA">
        <w:t>person’s</w:t>
      </w:r>
      <w:proofErr w:type="spellEnd"/>
      <w:r w:rsidRPr="00103FBA">
        <w:t xml:space="preserve"> </w:t>
      </w:r>
      <w:proofErr w:type="spellStart"/>
      <w:r w:rsidRPr="00103FBA">
        <w:t>aid</w:t>
      </w:r>
      <w:proofErr w:type="spellEnd"/>
      <w:r w:rsidRPr="00103FBA">
        <w:t xml:space="preserve">, </w:t>
      </w:r>
      <w:proofErr w:type="spellStart"/>
      <w:r w:rsidRPr="00103FBA">
        <w:t>medication</w:t>
      </w:r>
      <w:proofErr w:type="spellEnd"/>
      <w:r w:rsidRPr="00103FBA">
        <w:t xml:space="preserve"> </w:t>
      </w:r>
      <w:proofErr w:type="spellStart"/>
      <w:r w:rsidRPr="00103FBA">
        <w:t>or</w:t>
      </w:r>
      <w:proofErr w:type="spellEnd"/>
      <w:r w:rsidRPr="00103FBA">
        <w:t xml:space="preserve"> </w:t>
      </w:r>
      <w:proofErr w:type="spellStart"/>
      <w:r w:rsidRPr="00103FBA">
        <w:t>other</w:t>
      </w:r>
      <w:proofErr w:type="spellEnd"/>
      <w:r w:rsidRPr="00103FBA">
        <w:t xml:space="preserve"> </w:t>
      </w:r>
      <w:proofErr w:type="spellStart"/>
      <w:r w:rsidRPr="00103FBA">
        <w:t>support</w:t>
      </w:r>
      <w:proofErr w:type="spellEnd"/>
      <w:r w:rsidRPr="00103FBA">
        <w:t xml:space="preserve"> </w:t>
      </w:r>
      <w:proofErr w:type="spellStart"/>
      <w:r w:rsidRPr="00103FBA">
        <w:t>that</w:t>
      </w:r>
      <w:proofErr w:type="spellEnd"/>
      <w:r w:rsidRPr="00103FBA">
        <w:t xml:space="preserve"> </w:t>
      </w:r>
      <w:proofErr w:type="spellStart"/>
      <w:r w:rsidRPr="00103FBA">
        <w:t>affects</w:t>
      </w:r>
      <w:proofErr w:type="spellEnd"/>
      <w:r w:rsidRPr="00103FBA">
        <w:t xml:space="preserve"> </w:t>
      </w:r>
      <w:proofErr w:type="spellStart"/>
      <w:r w:rsidRPr="00103FBA">
        <w:t>their</w:t>
      </w:r>
      <w:proofErr w:type="spellEnd"/>
      <w:r w:rsidRPr="00103FBA">
        <w:t xml:space="preserve"> </w:t>
      </w:r>
      <w:proofErr w:type="spellStart"/>
      <w:r w:rsidRPr="00103FBA">
        <w:t>quality</w:t>
      </w:r>
      <w:proofErr w:type="spellEnd"/>
      <w:r w:rsidRPr="00103FBA">
        <w:t xml:space="preserve"> </w:t>
      </w:r>
      <w:proofErr w:type="spellStart"/>
      <w:r w:rsidRPr="00103FBA">
        <w:t>of</w:t>
      </w:r>
      <w:proofErr w:type="spellEnd"/>
      <w:r w:rsidRPr="00103FBA">
        <w:t xml:space="preserve"> </w:t>
      </w:r>
      <w:proofErr w:type="spellStart"/>
      <w:r w:rsidRPr="00103FBA">
        <w:t>life</w:t>
      </w:r>
      <w:proofErr w:type="spellEnd"/>
      <w:r w:rsidRPr="00103FBA">
        <w:t xml:space="preserve"> in </w:t>
      </w:r>
      <w:proofErr w:type="spellStart"/>
      <w:r w:rsidRPr="00103FBA">
        <w:t>situations</w:t>
      </w:r>
      <w:proofErr w:type="spellEnd"/>
      <w:r w:rsidRPr="00103FBA">
        <w:t xml:space="preserve"> </w:t>
      </w:r>
      <w:proofErr w:type="spellStart"/>
      <w:r w:rsidRPr="00103FBA">
        <w:t>where</w:t>
      </w:r>
      <w:proofErr w:type="spellEnd"/>
      <w:r w:rsidRPr="00103FBA">
        <w:t xml:space="preserve"> a </w:t>
      </w:r>
      <w:proofErr w:type="spellStart"/>
      <w:r w:rsidRPr="00103FBA">
        <w:t>person</w:t>
      </w:r>
      <w:proofErr w:type="spellEnd"/>
      <w:r w:rsidRPr="00103FBA">
        <w:t xml:space="preserve"> </w:t>
      </w:r>
      <w:proofErr w:type="spellStart"/>
      <w:r w:rsidRPr="00103FBA">
        <w:t>cannot</w:t>
      </w:r>
      <w:proofErr w:type="spellEnd"/>
      <w:r w:rsidRPr="00103FBA">
        <w:t xml:space="preserve"> </w:t>
      </w:r>
      <w:proofErr w:type="spellStart"/>
      <w:r w:rsidRPr="00103FBA">
        <w:t>withdraw</w:t>
      </w:r>
      <w:proofErr w:type="spellEnd"/>
      <w:r w:rsidRPr="00103FBA">
        <w:t xml:space="preserve"> </w:t>
      </w:r>
      <w:proofErr w:type="spellStart"/>
      <w:r w:rsidRPr="00103FBA">
        <w:t>from</w:t>
      </w:r>
      <w:proofErr w:type="spellEnd"/>
      <w:r w:rsidRPr="00103FBA">
        <w:t xml:space="preserve"> </w:t>
      </w:r>
      <w:proofErr w:type="spellStart"/>
      <w:r w:rsidRPr="00103FBA">
        <w:t>the</w:t>
      </w:r>
      <w:proofErr w:type="spellEnd"/>
      <w:r w:rsidRPr="00103FBA">
        <w:t xml:space="preserve"> </w:t>
      </w:r>
      <w:proofErr w:type="spellStart"/>
      <w:r w:rsidRPr="00103FBA">
        <w:t>care</w:t>
      </w:r>
      <w:proofErr w:type="spellEnd"/>
      <w:r w:rsidRPr="00103FBA">
        <w:t xml:space="preserve"> </w:t>
      </w:r>
      <w:proofErr w:type="spellStart"/>
      <w:r w:rsidRPr="00103FBA">
        <w:t>of</w:t>
      </w:r>
      <w:proofErr w:type="spellEnd"/>
      <w:r w:rsidRPr="00103FBA">
        <w:t xml:space="preserve"> </w:t>
      </w:r>
      <w:proofErr w:type="spellStart"/>
      <w:r w:rsidRPr="00103FBA">
        <w:t>another</w:t>
      </w:r>
      <w:proofErr w:type="spellEnd"/>
      <w:r w:rsidRPr="00103FBA">
        <w:t xml:space="preserve"> </w:t>
      </w:r>
      <w:proofErr w:type="spellStart"/>
      <w:r w:rsidRPr="00103FBA">
        <w:t>person</w:t>
      </w:r>
      <w:proofErr w:type="spellEnd"/>
      <w:r w:rsidRPr="00103FBA">
        <w:t xml:space="preserve"> </w:t>
      </w:r>
      <w:proofErr w:type="spellStart"/>
      <w:r w:rsidRPr="00103FBA">
        <w:t>due</w:t>
      </w:r>
      <w:proofErr w:type="spellEnd"/>
      <w:r w:rsidRPr="00103FBA">
        <w:t xml:space="preserve"> </w:t>
      </w:r>
      <w:proofErr w:type="spellStart"/>
      <w:r w:rsidRPr="00103FBA">
        <w:t>to</w:t>
      </w:r>
      <w:proofErr w:type="spellEnd"/>
      <w:r w:rsidRPr="00103FBA">
        <w:t xml:space="preserve"> </w:t>
      </w:r>
      <w:proofErr w:type="spellStart"/>
      <w:r w:rsidRPr="00103FBA">
        <w:t>age</w:t>
      </w:r>
      <w:proofErr w:type="spellEnd"/>
      <w:r w:rsidRPr="00103FBA">
        <w:t xml:space="preserve">, </w:t>
      </w:r>
      <w:proofErr w:type="spellStart"/>
      <w:r w:rsidRPr="00103FBA">
        <w:t>disability</w:t>
      </w:r>
      <w:proofErr w:type="spellEnd"/>
      <w:r w:rsidRPr="00103FBA">
        <w:t xml:space="preserve"> </w:t>
      </w:r>
      <w:proofErr w:type="spellStart"/>
      <w:r w:rsidRPr="00103FBA">
        <w:t>or</w:t>
      </w:r>
      <w:proofErr w:type="spellEnd"/>
      <w:r w:rsidRPr="00103FBA">
        <w:t xml:space="preserve"> </w:t>
      </w:r>
      <w:proofErr w:type="spellStart"/>
      <w:r w:rsidRPr="00103FBA">
        <w:t>health</w:t>
      </w:r>
      <w:proofErr w:type="spellEnd"/>
      <w:r w:rsidRPr="00103FBA">
        <w:t xml:space="preserve"> </w:t>
      </w:r>
      <w:proofErr w:type="spellStart"/>
      <w:r w:rsidRPr="00103FBA">
        <w:t>condition</w:t>
      </w:r>
      <w:proofErr w:type="spellEnd"/>
      <w:r w:rsidRPr="00103FBA">
        <w:t xml:space="preserve">; </w:t>
      </w:r>
      <w:proofErr w:type="spellStart"/>
      <w:r w:rsidRPr="00103FBA">
        <w:t>requiring</w:t>
      </w:r>
      <w:proofErr w:type="spellEnd"/>
      <w:r w:rsidRPr="00103FBA">
        <w:t xml:space="preserve"> </w:t>
      </w:r>
      <w:proofErr w:type="spellStart"/>
      <w:r w:rsidRPr="00103FBA">
        <w:t>the</w:t>
      </w:r>
      <w:proofErr w:type="spellEnd"/>
      <w:r w:rsidRPr="00103FBA">
        <w:t xml:space="preserve"> </w:t>
      </w:r>
      <w:proofErr w:type="spellStart"/>
      <w:r w:rsidRPr="00103FBA">
        <w:t>court</w:t>
      </w:r>
      <w:proofErr w:type="spellEnd"/>
      <w:r w:rsidRPr="00103FBA">
        <w:t xml:space="preserve"> </w:t>
      </w:r>
      <w:proofErr w:type="spellStart"/>
      <w:r w:rsidRPr="00103FBA">
        <w:t>to</w:t>
      </w:r>
      <w:proofErr w:type="spellEnd"/>
      <w:r w:rsidRPr="00103FBA">
        <w:t xml:space="preserve"> </w:t>
      </w:r>
      <w:proofErr w:type="spellStart"/>
      <w:r w:rsidRPr="00103FBA">
        <w:t>take</w:t>
      </w:r>
      <w:proofErr w:type="spellEnd"/>
      <w:r w:rsidRPr="00103FBA">
        <w:t xml:space="preserve"> </w:t>
      </w:r>
      <w:proofErr w:type="spellStart"/>
      <w:r w:rsidRPr="00103FBA">
        <w:t>into</w:t>
      </w:r>
      <w:proofErr w:type="spellEnd"/>
      <w:r w:rsidRPr="00103FBA">
        <w:t xml:space="preserve"> </w:t>
      </w:r>
      <w:proofErr w:type="spellStart"/>
      <w:r w:rsidRPr="00103FBA">
        <w:t>account</w:t>
      </w:r>
      <w:proofErr w:type="spellEnd"/>
      <w:r w:rsidRPr="00103FBA">
        <w:t xml:space="preserve"> </w:t>
      </w:r>
      <w:proofErr w:type="spellStart"/>
      <w:r w:rsidRPr="00103FBA">
        <w:t>the</w:t>
      </w:r>
      <w:proofErr w:type="spellEnd"/>
      <w:r w:rsidRPr="00103FBA">
        <w:t xml:space="preserve"> </w:t>
      </w:r>
      <w:proofErr w:type="spellStart"/>
      <w:r w:rsidRPr="00103FBA">
        <w:t>views</w:t>
      </w:r>
      <w:proofErr w:type="spellEnd"/>
      <w:r w:rsidRPr="00103FBA">
        <w:t xml:space="preserve"> </w:t>
      </w:r>
      <w:proofErr w:type="spellStart"/>
      <w:r w:rsidRPr="00103FBA">
        <w:t>of</w:t>
      </w:r>
      <w:proofErr w:type="spellEnd"/>
      <w:r w:rsidRPr="00103FBA">
        <w:t xml:space="preserve"> </w:t>
      </w:r>
      <w:proofErr w:type="spellStart"/>
      <w:r w:rsidRPr="00103FBA">
        <w:t>people</w:t>
      </w:r>
      <w:proofErr w:type="spellEnd"/>
      <w:r w:rsidRPr="00103FBA">
        <w:t xml:space="preserve"> ‘</w:t>
      </w:r>
      <w:proofErr w:type="spellStart"/>
      <w:r w:rsidRPr="00103FBA">
        <w:t>lacking</w:t>
      </w:r>
      <w:proofErr w:type="spellEnd"/>
      <w:r w:rsidRPr="00103FBA">
        <w:t xml:space="preserve"> </w:t>
      </w:r>
      <w:proofErr w:type="spellStart"/>
      <w:r w:rsidRPr="00103FBA">
        <w:t>capacity</w:t>
      </w:r>
      <w:proofErr w:type="spellEnd"/>
      <w:r w:rsidRPr="00103FBA">
        <w:t xml:space="preserve">’ </w:t>
      </w:r>
      <w:proofErr w:type="spellStart"/>
      <w:r w:rsidRPr="00103FBA">
        <w:t>when</w:t>
      </w:r>
      <w:proofErr w:type="spellEnd"/>
      <w:r w:rsidRPr="00103FBA">
        <w:t xml:space="preserve"> </w:t>
      </w:r>
      <w:proofErr w:type="spellStart"/>
      <w:r w:rsidRPr="00103FBA">
        <w:t>making</w:t>
      </w:r>
      <w:proofErr w:type="spellEnd"/>
      <w:r w:rsidRPr="00103FBA">
        <w:t xml:space="preserve"> a </w:t>
      </w:r>
      <w:proofErr w:type="spellStart"/>
      <w:r w:rsidRPr="00103FBA">
        <w:t>protection</w:t>
      </w:r>
      <w:proofErr w:type="spellEnd"/>
      <w:r w:rsidRPr="00103FBA">
        <w:t xml:space="preserve"> </w:t>
      </w:r>
      <w:proofErr w:type="spellStart"/>
      <w:r w:rsidRPr="00103FBA">
        <w:t>order</w:t>
      </w:r>
      <w:proofErr w:type="spellEnd"/>
      <w:r w:rsidRPr="00103FBA">
        <w:t xml:space="preserve"> </w:t>
      </w:r>
      <w:proofErr w:type="spellStart"/>
      <w:r w:rsidRPr="00103FBA">
        <w:t>on</w:t>
      </w:r>
      <w:proofErr w:type="spellEnd"/>
      <w:r w:rsidRPr="00103FBA">
        <w:t xml:space="preserve"> </w:t>
      </w:r>
      <w:proofErr w:type="spellStart"/>
      <w:r w:rsidRPr="00103FBA">
        <w:t>their</w:t>
      </w:r>
      <w:proofErr w:type="spellEnd"/>
      <w:r w:rsidRPr="00103FBA">
        <w:t xml:space="preserve"> </w:t>
      </w:r>
      <w:proofErr w:type="spellStart"/>
      <w:r w:rsidRPr="00103FBA">
        <w:t>behalf</w:t>
      </w:r>
      <w:proofErr w:type="spellEnd"/>
      <w:r w:rsidRPr="00103FBA">
        <w:t xml:space="preserve"> (</w:t>
      </w:r>
      <w:proofErr w:type="spellStart"/>
      <w:r w:rsidRPr="00103FBA">
        <w:t>protection</w:t>
      </w:r>
      <w:proofErr w:type="spellEnd"/>
      <w:r w:rsidRPr="00103FBA">
        <w:t xml:space="preserve"> </w:t>
      </w:r>
      <w:proofErr w:type="spellStart"/>
      <w:r w:rsidRPr="00103FBA">
        <w:t>orders</w:t>
      </w:r>
      <w:proofErr w:type="spellEnd"/>
      <w:r w:rsidRPr="00103FBA">
        <w:t xml:space="preserve"> can stop </w:t>
      </w:r>
      <w:proofErr w:type="spellStart"/>
      <w:r w:rsidRPr="00103FBA">
        <w:t>or</w:t>
      </w:r>
      <w:proofErr w:type="spellEnd"/>
      <w:r w:rsidRPr="00103FBA">
        <w:t xml:space="preserve"> </w:t>
      </w:r>
      <w:proofErr w:type="spellStart"/>
      <w:r w:rsidRPr="00103FBA">
        <w:t>limit</w:t>
      </w:r>
      <w:proofErr w:type="spellEnd"/>
      <w:r w:rsidRPr="00103FBA">
        <w:t xml:space="preserve"> </w:t>
      </w:r>
      <w:proofErr w:type="spellStart"/>
      <w:r w:rsidRPr="00103FBA">
        <w:t>contact</w:t>
      </w:r>
      <w:proofErr w:type="spellEnd"/>
      <w:r w:rsidRPr="00103FBA">
        <w:t xml:space="preserve"> </w:t>
      </w:r>
      <w:proofErr w:type="spellStart"/>
      <w:r w:rsidRPr="00103FBA">
        <w:t>between</w:t>
      </w:r>
      <w:proofErr w:type="spellEnd"/>
      <w:r w:rsidRPr="00103FBA">
        <w:t xml:space="preserve"> </w:t>
      </w:r>
      <w:proofErr w:type="spellStart"/>
      <w:r w:rsidRPr="00103FBA">
        <w:t>people</w:t>
      </w:r>
      <w:proofErr w:type="spellEnd"/>
      <w:r w:rsidRPr="00103FBA">
        <w:t xml:space="preserve">); </w:t>
      </w:r>
      <w:proofErr w:type="spellStart"/>
      <w:r w:rsidRPr="00103FBA">
        <w:t>enabling</w:t>
      </w:r>
      <w:proofErr w:type="spellEnd"/>
      <w:r w:rsidRPr="00103FBA">
        <w:t xml:space="preserve"> </w:t>
      </w:r>
      <w:proofErr w:type="spellStart"/>
      <w:r w:rsidRPr="00103FBA">
        <w:t>the</w:t>
      </w:r>
      <w:proofErr w:type="spellEnd"/>
      <w:r w:rsidRPr="00103FBA">
        <w:t xml:space="preserve"> </w:t>
      </w:r>
      <w:proofErr w:type="spellStart"/>
      <w:r w:rsidRPr="00103FBA">
        <w:t>court</w:t>
      </w:r>
      <w:proofErr w:type="spellEnd"/>
      <w:r w:rsidRPr="00103FBA">
        <w:t xml:space="preserve"> </w:t>
      </w:r>
      <w:proofErr w:type="spellStart"/>
      <w:r w:rsidRPr="00103FBA">
        <w:t>to</w:t>
      </w:r>
      <w:proofErr w:type="spellEnd"/>
      <w:r w:rsidRPr="00103FBA">
        <w:t xml:space="preserve"> </w:t>
      </w:r>
      <w:proofErr w:type="spellStart"/>
      <w:r w:rsidRPr="00103FBA">
        <w:t>make</w:t>
      </w:r>
      <w:proofErr w:type="spellEnd"/>
      <w:r w:rsidRPr="00103FBA">
        <w:t xml:space="preserve"> </w:t>
      </w:r>
      <w:proofErr w:type="spellStart"/>
      <w:r w:rsidRPr="00103FBA">
        <w:t>special</w:t>
      </w:r>
      <w:proofErr w:type="spellEnd"/>
      <w:r w:rsidRPr="00103FBA">
        <w:t xml:space="preserve"> </w:t>
      </w:r>
      <w:proofErr w:type="spellStart"/>
      <w:r w:rsidRPr="00103FBA">
        <w:t>conditions</w:t>
      </w:r>
      <w:proofErr w:type="spellEnd"/>
      <w:r w:rsidRPr="00103FBA">
        <w:t xml:space="preserve"> </w:t>
      </w:r>
      <w:proofErr w:type="spellStart"/>
      <w:r w:rsidRPr="00103FBA">
        <w:t>on</w:t>
      </w:r>
      <w:proofErr w:type="spellEnd"/>
      <w:r w:rsidRPr="00103FBA">
        <w:t xml:space="preserve"> </w:t>
      </w:r>
      <w:proofErr w:type="spellStart"/>
      <w:r w:rsidRPr="00103FBA">
        <w:t>protection</w:t>
      </w:r>
      <w:proofErr w:type="spellEnd"/>
      <w:r w:rsidRPr="00103FBA">
        <w:t xml:space="preserve"> </w:t>
      </w:r>
      <w:proofErr w:type="spellStart"/>
      <w:r w:rsidRPr="00103FBA">
        <w:t>orders</w:t>
      </w:r>
      <w:proofErr w:type="spellEnd"/>
      <w:r w:rsidRPr="00103FBA">
        <w:t xml:space="preserve"> </w:t>
      </w:r>
      <w:proofErr w:type="spellStart"/>
      <w:r w:rsidRPr="00103FBA">
        <w:t>to</w:t>
      </w:r>
      <w:proofErr w:type="spellEnd"/>
      <w:r w:rsidRPr="00103FBA">
        <w:t xml:space="preserve"> </w:t>
      </w:r>
      <w:proofErr w:type="spellStart"/>
      <w:r w:rsidRPr="00103FBA">
        <w:t>address</w:t>
      </w:r>
      <w:proofErr w:type="spellEnd"/>
      <w:r w:rsidRPr="00103FBA">
        <w:t xml:space="preserve"> </w:t>
      </w:r>
      <w:proofErr w:type="spellStart"/>
      <w:r w:rsidRPr="00103FBA">
        <w:t>violence</w:t>
      </w:r>
      <w:proofErr w:type="spellEnd"/>
      <w:r w:rsidRPr="00103FBA">
        <w:t xml:space="preserve"> </w:t>
      </w:r>
      <w:proofErr w:type="spellStart"/>
      <w:r w:rsidRPr="00103FBA">
        <w:t>against</w:t>
      </w:r>
      <w:proofErr w:type="spellEnd"/>
      <w:r w:rsidRPr="00103FBA">
        <w:t xml:space="preserve"> a </w:t>
      </w:r>
      <w:proofErr w:type="spellStart"/>
      <w:r w:rsidRPr="00103FBA">
        <w:t>person</w:t>
      </w:r>
      <w:proofErr w:type="spellEnd"/>
      <w:r w:rsidRPr="00103FBA">
        <w:t xml:space="preserve"> </w:t>
      </w:r>
      <w:proofErr w:type="spellStart"/>
      <w:r w:rsidRPr="00103FBA">
        <w:t>who</w:t>
      </w:r>
      <w:proofErr w:type="spellEnd"/>
      <w:r w:rsidRPr="00103FBA">
        <w:t xml:space="preserve"> </w:t>
      </w:r>
      <w:proofErr w:type="spellStart"/>
      <w:r w:rsidRPr="00103FBA">
        <w:t>is</w:t>
      </w:r>
      <w:proofErr w:type="spellEnd"/>
      <w:r w:rsidRPr="00103FBA">
        <w:t xml:space="preserve"> </w:t>
      </w:r>
      <w:proofErr w:type="spellStart"/>
      <w:r w:rsidRPr="00103FBA">
        <w:t>particularly</w:t>
      </w:r>
      <w:proofErr w:type="spellEnd"/>
      <w:r w:rsidRPr="00103FBA">
        <w:t xml:space="preserve"> vulnerable, </w:t>
      </w:r>
      <w:proofErr w:type="spellStart"/>
      <w:r w:rsidRPr="00103FBA">
        <w:t>due</w:t>
      </w:r>
      <w:proofErr w:type="spellEnd"/>
      <w:r w:rsidRPr="00103FBA">
        <w:t xml:space="preserve"> </w:t>
      </w:r>
      <w:proofErr w:type="spellStart"/>
      <w:r w:rsidRPr="00103FBA">
        <w:t>to</w:t>
      </w:r>
      <w:proofErr w:type="spellEnd"/>
      <w:r w:rsidRPr="00103FBA">
        <w:t xml:space="preserve"> </w:t>
      </w:r>
      <w:proofErr w:type="spellStart"/>
      <w:r w:rsidRPr="00103FBA">
        <w:t>age</w:t>
      </w:r>
      <w:proofErr w:type="spellEnd"/>
      <w:r w:rsidRPr="00103FBA">
        <w:t xml:space="preserve">, </w:t>
      </w:r>
      <w:proofErr w:type="spellStart"/>
      <w:r w:rsidRPr="00103FBA">
        <w:t>disability</w:t>
      </w:r>
      <w:proofErr w:type="spellEnd"/>
      <w:r w:rsidRPr="00103FBA">
        <w:t xml:space="preserve"> </w:t>
      </w:r>
      <w:proofErr w:type="spellStart"/>
      <w:r w:rsidRPr="00103FBA">
        <w:t>or</w:t>
      </w:r>
      <w:proofErr w:type="spellEnd"/>
      <w:r w:rsidRPr="00103FBA">
        <w:t xml:space="preserve"> </w:t>
      </w:r>
      <w:proofErr w:type="spellStart"/>
      <w:r w:rsidRPr="00103FBA">
        <w:t>health</w:t>
      </w:r>
      <w:proofErr w:type="spellEnd"/>
      <w:r w:rsidRPr="00103FBA">
        <w:t xml:space="preserve"> </w:t>
      </w:r>
      <w:proofErr w:type="spellStart"/>
      <w:r w:rsidRPr="00103FBA">
        <w:t>condition</w:t>
      </w:r>
      <w:proofErr w:type="spellEnd"/>
      <w:r w:rsidRPr="00103FBA">
        <w:t>.</w:t>
      </w:r>
    </w:p>
  </w:endnote>
  <w:endnote w:id="146">
    <w:p w14:paraId="28C913D0"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See</w:t>
      </w:r>
      <w:proofErr w:type="spellEnd"/>
      <w:r w:rsidRPr="00103FBA">
        <w:t xml:space="preserve"> </w:t>
      </w:r>
      <w:r w:rsidRPr="00193DD1">
        <w:rPr>
          <w:rStyle w:val="Hipervnculo"/>
        </w:rPr>
        <w:t>www.health.govt.nz/publication/prevention-and-management-abuse-guide-services-funded-disability-support-services</w:t>
      </w:r>
      <w:r w:rsidRPr="00103FBA">
        <w:t>.</w:t>
      </w:r>
    </w:p>
  </w:endnote>
  <w:endnote w:id="147">
    <w:p w14:paraId="4509DEFD"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This</w:t>
      </w:r>
      <w:proofErr w:type="spellEnd"/>
      <w:r w:rsidRPr="00103FBA">
        <w:t xml:space="preserve"> </w:t>
      </w:r>
      <w:proofErr w:type="spellStart"/>
      <w:r w:rsidRPr="00103FBA">
        <w:t>support</w:t>
      </w:r>
      <w:proofErr w:type="spellEnd"/>
      <w:r w:rsidRPr="00103FBA">
        <w:t xml:space="preserve"> </w:t>
      </w:r>
      <w:proofErr w:type="spellStart"/>
      <w:r w:rsidRPr="00103FBA">
        <w:t>is</w:t>
      </w:r>
      <w:proofErr w:type="spellEnd"/>
      <w:r w:rsidRPr="00103FBA">
        <w:t xml:space="preserve"> </w:t>
      </w:r>
      <w:proofErr w:type="spellStart"/>
      <w:r w:rsidRPr="00103FBA">
        <w:t>provided</w:t>
      </w:r>
      <w:proofErr w:type="spellEnd"/>
      <w:r w:rsidRPr="00103FBA">
        <w:t xml:space="preserve"> </w:t>
      </w:r>
      <w:proofErr w:type="spellStart"/>
      <w:r w:rsidRPr="00103FBA">
        <w:t>for</w:t>
      </w:r>
      <w:proofErr w:type="spellEnd"/>
      <w:r w:rsidRPr="00103FBA">
        <w:t xml:space="preserve"> </w:t>
      </w:r>
      <w:proofErr w:type="spellStart"/>
      <w:r w:rsidRPr="00103FBA">
        <w:t>people</w:t>
      </w:r>
      <w:proofErr w:type="spellEnd"/>
      <w:r w:rsidRPr="00103FBA">
        <w:t xml:space="preserve"> </w:t>
      </w:r>
      <w:proofErr w:type="spellStart"/>
      <w:r w:rsidRPr="00103FBA">
        <w:t>who</w:t>
      </w:r>
      <w:proofErr w:type="spellEnd"/>
      <w:r w:rsidRPr="00103FBA">
        <w:t xml:space="preserve"> </w:t>
      </w:r>
      <w:proofErr w:type="spellStart"/>
      <w:r w:rsidRPr="00103FBA">
        <w:t>experience</w:t>
      </w:r>
      <w:proofErr w:type="spellEnd"/>
      <w:r w:rsidRPr="00103FBA">
        <w:t xml:space="preserve"> mental </w:t>
      </w:r>
      <w:proofErr w:type="spellStart"/>
      <w:r w:rsidRPr="00103FBA">
        <w:t>injury</w:t>
      </w:r>
      <w:proofErr w:type="spellEnd"/>
      <w:r w:rsidRPr="00103FBA">
        <w:t xml:space="preserve"> </w:t>
      </w:r>
      <w:proofErr w:type="spellStart"/>
      <w:r w:rsidRPr="00103FBA">
        <w:t>caused</w:t>
      </w:r>
      <w:proofErr w:type="spellEnd"/>
      <w:r w:rsidRPr="00103FBA">
        <w:t xml:space="preserve"> </w:t>
      </w:r>
      <w:proofErr w:type="spellStart"/>
      <w:r w:rsidRPr="00103FBA">
        <w:t>by</w:t>
      </w:r>
      <w:proofErr w:type="spellEnd"/>
      <w:r w:rsidRPr="00103FBA">
        <w:t xml:space="preserve"> </w:t>
      </w:r>
      <w:proofErr w:type="spellStart"/>
      <w:r w:rsidRPr="00103FBA">
        <w:t>certain</w:t>
      </w:r>
      <w:proofErr w:type="spellEnd"/>
      <w:r w:rsidRPr="00103FBA">
        <w:t xml:space="preserve"> criminal </w:t>
      </w:r>
      <w:proofErr w:type="spellStart"/>
      <w:r w:rsidRPr="00103FBA">
        <w:t>acts</w:t>
      </w:r>
      <w:proofErr w:type="spellEnd"/>
      <w:r w:rsidRPr="00103FBA">
        <w:t xml:space="preserve"> (</w:t>
      </w:r>
      <w:proofErr w:type="spellStart"/>
      <w:r w:rsidRPr="00103FBA">
        <w:t>major</w:t>
      </w:r>
      <w:proofErr w:type="spellEnd"/>
      <w:r w:rsidRPr="00103FBA">
        <w:t xml:space="preserve"> sex </w:t>
      </w:r>
      <w:proofErr w:type="spellStart"/>
      <w:r w:rsidRPr="00103FBA">
        <w:t>offences</w:t>
      </w:r>
      <w:proofErr w:type="spellEnd"/>
      <w:r w:rsidRPr="00103FBA">
        <w:t xml:space="preserve"> </w:t>
      </w:r>
      <w:proofErr w:type="spellStart"/>
      <w:r w:rsidRPr="00103FBA">
        <w:t>covered</w:t>
      </w:r>
      <w:proofErr w:type="spellEnd"/>
      <w:r w:rsidRPr="00103FBA">
        <w:t xml:space="preserve"> </w:t>
      </w:r>
      <w:proofErr w:type="spellStart"/>
      <w:r w:rsidRPr="00103FBA">
        <w:t>by</w:t>
      </w:r>
      <w:proofErr w:type="spellEnd"/>
      <w:r w:rsidRPr="00103FBA">
        <w:t xml:space="preserve"> </w:t>
      </w:r>
      <w:proofErr w:type="spellStart"/>
      <w:r w:rsidRPr="00103FBA">
        <w:t>the</w:t>
      </w:r>
      <w:proofErr w:type="spellEnd"/>
      <w:r w:rsidRPr="00103FBA">
        <w:t xml:space="preserve"> </w:t>
      </w:r>
      <w:proofErr w:type="spellStart"/>
      <w:r w:rsidRPr="00103FBA">
        <w:t>Crimes</w:t>
      </w:r>
      <w:proofErr w:type="spellEnd"/>
      <w:r w:rsidRPr="00103FBA">
        <w:t xml:space="preserve"> </w:t>
      </w:r>
      <w:proofErr w:type="spellStart"/>
      <w:r w:rsidRPr="00103FBA">
        <w:t>Act</w:t>
      </w:r>
      <w:proofErr w:type="spellEnd"/>
      <w:r w:rsidRPr="00103FBA">
        <w:t xml:space="preserve"> 1961) </w:t>
      </w:r>
      <w:proofErr w:type="spellStart"/>
      <w:r w:rsidRPr="00103FBA">
        <w:t>referred</w:t>
      </w:r>
      <w:proofErr w:type="spellEnd"/>
      <w:r w:rsidRPr="00103FBA">
        <w:t xml:space="preserve"> </w:t>
      </w:r>
      <w:proofErr w:type="spellStart"/>
      <w:r w:rsidRPr="00103FBA">
        <w:t>to</w:t>
      </w:r>
      <w:proofErr w:type="spellEnd"/>
      <w:r w:rsidRPr="00103FBA">
        <w:t xml:space="preserve"> as </w:t>
      </w:r>
      <w:proofErr w:type="spellStart"/>
      <w:r w:rsidRPr="00103FBA">
        <w:t>sensitive</w:t>
      </w:r>
      <w:proofErr w:type="spellEnd"/>
      <w:r w:rsidRPr="00103FBA">
        <w:t xml:space="preserve"> </w:t>
      </w:r>
      <w:proofErr w:type="spellStart"/>
      <w:r w:rsidRPr="00103FBA">
        <w:t>claims</w:t>
      </w:r>
      <w:proofErr w:type="spellEnd"/>
      <w:r w:rsidRPr="00103FBA">
        <w:t xml:space="preserve">; </w:t>
      </w:r>
      <w:proofErr w:type="spellStart"/>
      <w:r w:rsidRPr="00103FBA">
        <w:t>work-related</w:t>
      </w:r>
      <w:proofErr w:type="spellEnd"/>
      <w:r w:rsidRPr="00103FBA">
        <w:t xml:space="preserve"> mental </w:t>
      </w:r>
      <w:proofErr w:type="spellStart"/>
      <w:r w:rsidRPr="00103FBA">
        <w:t>injury</w:t>
      </w:r>
      <w:proofErr w:type="spellEnd"/>
      <w:r w:rsidRPr="00103FBA">
        <w:t xml:space="preserve">; and mental </w:t>
      </w:r>
      <w:proofErr w:type="spellStart"/>
      <w:r w:rsidRPr="00103FBA">
        <w:t>injury</w:t>
      </w:r>
      <w:proofErr w:type="spellEnd"/>
      <w:r w:rsidRPr="00103FBA">
        <w:t xml:space="preserve"> </w:t>
      </w:r>
      <w:proofErr w:type="spellStart"/>
      <w:r w:rsidRPr="00103FBA">
        <w:t>caused</w:t>
      </w:r>
      <w:proofErr w:type="spellEnd"/>
      <w:r w:rsidRPr="00103FBA">
        <w:t xml:space="preserve"> </w:t>
      </w:r>
      <w:proofErr w:type="spellStart"/>
      <w:r w:rsidRPr="00103FBA">
        <w:t>by</w:t>
      </w:r>
      <w:proofErr w:type="spellEnd"/>
      <w:r w:rsidRPr="00103FBA">
        <w:t xml:space="preserve"> </w:t>
      </w:r>
      <w:proofErr w:type="spellStart"/>
      <w:r w:rsidRPr="00103FBA">
        <w:t>injury</w:t>
      </w:r>
      <w:proofErr w:type="spellEnd"/>
      <w:r w:rsidRPr="00103FBA">
        <w:t>.</w:t>
      </w:r>
    </w:p>
  </w:endnote>
  <w:endnote w:id="148">
    <w:p w14:paraId="26BC743E"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See</w:t>
      </w:r>
      <w:proofErr w:type="spellEnd"/>
      <w:r w:rsidRPr="00103FBA">
        <w:t xml:space="preserve"> </w:t>
      </w:r>
      <w:r w:rsidRPr="00193DD1">
        <w:rPr>
          <w:rStyle w:val="Hipervnculo"/>
        </w:rPr>
        <w:t>www.workandincome.govt.nz/eligibility/health-and-disability/counselling.html</w:t>
      </w:r>
      <w:r w:rsidRPr="00103FBA">
        <w:t xml:space="preserve">. </w:t>
      </w:r>
    </w:p>
  </w:endnote>
  <w:endnote w:id="149">
    <w:p w14:paraId="26C42A51"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Action</w:t>
      </w:r>
      <w:proofErr w:type="spellEnd"/>
      <w:r w:rsidRPr="00103FBA">
        <w:t xml:space="preserve"> 7(b) </w:t>
      </w:r>
      <w:proofErr w:type="spellStart"/>
      <w:r w:rsidRPr="00103FBA">
        <w:t>of</w:t>
      </w:r>
      <w:proofErr w:type="spellEnd"/>
      <w:r w:rsidRPr="00103FBA">
        <w:t xml:space="preserve"> </w:t>
      </w:r>
      <w:proofErr w:type="spellStart"/>
      <w:r w:rsidRPr="00103FBA">
        <w:t>the</w:t>
      </w:r>
      <w:proofErr w:type="spellEnd"/>
      <w:r w:rsidRPr="00103FBA">
        <w:t xml:space="preserve"> </w:t>
      </w:r>
      <w:proofErr w:type="spellStart"/>
      <w:r w:rsidRPr="00103FBA">
        <w:t>Disability</w:t>
      </w:r>
      <w:proofErr w:type="spellEnd"/>
      <w:r w:rsidRPr="00103FBA">
        <w:t xml:space="preserve"> </w:t>
      </w:r>
      <w:proofErr w:type="spellStart"/>
      <w:r w:rsidRPr="00103FBA">
        <w:t>Action</w:t>
      </w:r>
      <w:proofErr w:type="spellEnd"/>
      <w:r w:rsidRPr="00103FBA">
        <w:t xml:space="preserve"> Plan 2014–2018 </w:t>
      </w:r>
      <w:proofErr w:type="spellStart"/>
      <w:r w:rsidRPr="00103FBA">
        <w:t>refers</w:t>
      </w:r>
      <w:proofErr w:type="spellEnd"/>
      <w:r w:rsidRPr="00103FBA">
        <w:t xml:space="preserve">: Explore </w:t>
      </w:r>
      <w:proofErr w:type="spellStart"/>
      <w:r w:rsidRPr="00103FBA">
        <w:t>the</w:t>
      </w:r>
      <w:proofErr w:type="spellEnd"/>
      <w:r w:rsidRPr="00103FBA">
        <w:t xml:space="preserve"> </w:t>
      </w:r>
      <w:proofErr w:type="spellStart"/>
      <w:r w:rsidRPr="00103FBA">
        <w:t>framework</w:t>
      </w:r>
      <w:proofErr w:type="spellEnd"/>
      <w:r w:rsidRPr="00103FBA">
        <w:t xml:space="preserve"> </w:t>
      </w:r>
      <w:proofErr w:type="spellStart"/>
      <w:r w:rsidRPr="00103FBA">
        <w:t>that</w:t>
      </w:r>
      <w:proofErr w:type="spellEnd"/>
      <w:r w:rsidRPr="00103FBA">
        <w:t xml:space="preserve"> </w:t>
      </w:r>
      <w:proofErr w:type="spellStart"/>
      <w:r w:rsidRPr="00103FBA">
        <w:t>protects</w:t>
      </w:r>
      <w:proofErr w:type="spellEnd"/>
      <w:r w:rsidRPr="00103FBA">
        <w:t xml:space="preserve"> </w:t>
      </w:r>
      <w:proofErr w:type="spellStart"/>
      <w:r w:rsidRPr="00103FBA">
        <w:t>the</w:t>
      </w:r>
      <w:proofErr w:type="spellEnd"/>
      <w:r w:rsidRPr="00103FBA">
        <w:t xml:space="preserve"> </w:t>
      </w:r>
      <w:proofErr w:type="spellStart"/>
      <w:r w:rsidRPr="00103FBA">
        <w:t>bodily</w:t>
      </w:r>
      <w:proofErr w:type="spellEnd"/>
      <w:r w:rsidRPr="00103FBA">
        <w:t xml:space="preserve"> </w:t>
      </w:r>
      <w:proofErr w:type="spellStart"/>
      <w:r w:rsidRPr="00103FBA">
        <w:t>integrity</w:t>
      </w:r>
      <w:proofErr w:type="spellEnd"/>
      <w:r w:rsidRPr="00103FBA">
        <w:t xml:space="preserve"> </w:t>
      </w:r>
      <w:proofErr w:type="spellStart"/>
      <w:r w:rsidRPr="00103FBA">
        <w:t>of</w:t>
      </w:r>
      <w:proofErr w:type="spellEnd"/>
      <w:r w:rsidRPr="00103FBA">
        <w:t xml:space="preserve"> </w:t>
      </w:r>
      <w:proofErr w:type="spellStart"/>
      <w:r w:rsidRPr="00103FBA">
        <w:t>disabled</w:t>
      </w:r>
      <w:proofErr w:type="spellEnd"/>
      <w:r w:rsidRPr="00103FBA">
        <w:t xml:space="preserve"> </w:t>
      </w:r>
      <w:proofErr w:type="spellStart"/>
      <w:r w:rsidRPr="00103FBA">
        <w:t>children</w:t>
      </w:r>
      <w:proofErr w:type="spellEnd"/>
      <w:r w:rsidRPr="00103FBA">
        <w:t xml:space="preserve"> and </w:t>
      </w:r>
      <w:proofErr w:type="spellStart"/>
      <w:r w:rsidRPr="00103FBA">
        <w:t>disabled</w:t>
      </w:r>
      <w:proofErr w:type="spellEnd"/>
      <w:r w:rsidRPr="00103FBA">
        <w:t xml:space="preserve"> </w:t>
      </w:r>
      <w:proofErr w:type="spellStart"/>
      <w:r w:rsidRPr="00103FBA">
        <w:t>adults</w:t>
      </w:r>
      <w:proofErr w:type="spellEnd"/>
      <w:r w:rsidRPr="00103FBA">
        <w:t xml:space="preserve"> </w:t>
      </w:r>
      <w:proofErr w:type="spellStart"/>
      <w:r w:rsidRPr="00103FBA">
        <w:t>against</w:t>
      </w:r>
      <w:proofErr w:type="spellEnd"/>
      <w:r w:rsidRPr="00103FBA">
        <w:t xml:space="preserve"> non-</w:t>
      </w:r>
      <w:proofErr w:type="spellStart"/>
      <w:r w:rsidRPr="00103FBA">
        <w:t>therapeutic</w:t>
      </w:r>
      <w:proofErr w:type="spellEnd"/>
      <w:r w:rsidRPr="00103FBA">
        <w:t xml:space="preserve"> medical </w:t>
      </w:r>
      <w:proofErr w:type="spellStart"/>
      <w:r w:rsidRPr="00103FBA">
        <w:t>procedures</w:t>
      </w:r>
      <w:proofErr w:type="spellEnd"/>
      <w:r w:rsidRPr="00103FBA">
        <w:t xml:space="preserve">, </w:t>
      </w:r>
      <w:proofErr w:type="spellStart"/>
      <w:r w:rsidRPr="00103FBA">
        <w:t>including</w:t>
      </w:r>
      <w:proofErr w:type="spellEnd"/>
      <w:r w:rsidRPr="00103FBA">
        <w:t xml:space="preserve"> </w:t>
      </w:r>
      <w:proofErr w:type="spellStart"/>
      <w:r w:rsidRPr="00103FBA">
        <w:t>the</w:t>
      </w:r>
      <w:proofErr w:type="spellEnd"/>
      <w:r w:rsidRPr="00103FBA">
        <w:t xml:space="preserve"> </w:t>
      </w:r>
      <w:proofErr w:type="spellStart"/>
      <w:r w:rsidRPr="00103FBA">
        <w:t>issue</w:t>
      </w:r>
      <w:proofErr w:type="spellEnd"/>
      <w:r w:rsidRPr="00103FBA">
        <w:t xml:space="preserve"> </w:t>
      </w:r>
      <w:proofErr w:type="spellStart"/>
      <w:r w:rsidRPr="00103FBA">
        <w:t>of</w:t>
      </w:r>
      <w:proofErr w:type="spellEnd"/>
      <w:r w:rsidRPr="00103FBA">
        <w:t xml:space="preserve"> </w:t>
      </w:r>
      <w:proofErr w:type="spellStart"/>
      <w:r w:rsidRPr="00103FBA">
        <w:t>consent</w:t>
      </w:r>
      <w:proofErr w:type="spellEnd"/>
      <w:r w:rsidRPr="00103FBA">
        <w:t xml:space="preserve">. </w:t>
      </w:r>
      <w:proofErr w:type="spellStart"/>
      <w:r w:rsidRPr="00103FBA">
        <w:t>This</w:t>
      </w:r>
      <w:proofErr w:type="spellEnd"/>
      <w:r w:rsidRPr="00103FBA">
        <w:t xml:space="preserve"> </w:t>
      </w:r>
      <w:proofErr w:type="spellStart"/>
      <w:r w:rsidRPr="00103FBA">
        <w:t>action</w:t>
      </w:r>
      <w:proofErr w:type="spellEnd"/>
      <w:r w:rsidRPr="00103FBA">
        <w:t xml:space="preserve"> </w:t>
      </w:r>
      <w:proofErr w:type="spellStart"/>
      <w:r w:rsidRPr="00103FBA">
        <w:t>will</w:t>
      </w:r>
      <w:proofErr w:type="spellEnd"/>
      <w:r w:rsidRPr="00103FBA">
        <w:t xml:space="preserve"> </w:t>
      </w:r>
      <w:proofErr w:type="spellStart"/>
      <w:r w:rsidRPr="00103FBA">
        <w:t>focus</w:t>
      </w:r>
      <w:proofErr w:type="spellEnd"/>
      <w:r w:rsidRPr="00103FBA">
        <w:t xml:space="preserve"> </w:t>
      </w:r>
      <w:proofErr w:type="spellStart"/>
      <w:r w:rsidRPr="00103FBA">
        <w:t>initially</w:t>
      </w:r>
      <w:proofErr w:type="spellEnd"/>
      <w:r w:rsidRPr="00103FBA">
        <w:t xml:space="preserve"> </w:t>
      </w:r>
      <w:proofErr w:type="spellStart"/>
      <w:r w:rsidRPr="00103FBA">
        <w:t>on</w:t>
      </w:r>
      <w:proofErr w:type="spellEnd"/>
      <w:r w:rsidRPr="00103FBA">
        <w:t xml:space="preserve"> </w:t>
      </w:r>
      <w:proofErr w:type="spellStart"/>
      <w:r w:rsidRPr="00103FBA">
        <w:t>options</w:t>
      </w:r>
      <w:proofErr w:type="spellEnd"/>
      <w:r w:rsidRPr="00103FBA">
        <w:t xml:space="preserve"> </w:t>
      </w:r>
      <w:proofErr w:type="spellStart"/>
      <w:r w:rsidRPr="00103FBA">
        <w:t>to</w:t>
      </w:r>
      <w:proofErr w:type="spellEnd"/>
      <w:r w:rsidRPr="00103FBA">
        <w:t xml:space="preserve"> </w:t>
      </w:r>
      <w:proofErr w:type="spellStart"/>
      <w:r w:rsidRPr="00103FBA">
        <w:t>protect</w:t>
      </w:r>
      <w:proofErr w:type="spellEnd"/>
      <w:r w:rsidRPr="00103FBA">
        <w:t xml:space="preserve"> </w:t>
      </w:r>
      <w:proofErr w:type="spellStart"/>
      <w:r w:rsidRPr="00103FBA">
        <w:t>against</w:t>
      </w:r>
      <w:proofErr w:type="spellEnd"/>
      <w:r w:rsidRPr="00103FBA">
        <w:t xml:space="preserve"> non-</w:t>
      </w:r>
      <w:proofErr w:type="spellStart"/>
      <w:r w:rsidRPr="00103FBA">
        <w:t>therapeutic</w:t>
      </w:r>
      <w:proofErr w:type="spellEnd"/>
      <w:r w:rsidRPr="00103FBA">
        <w:t xml:space="preserve"> </w:t>
      </w:r>
      <w:proofErr w:type="spellStart"/>
      <w:r w:rsidRPr="00103FBA">
        <w:t>sterilisation</w:t>
      </w:r>
      <w:proofErr w:type="spellEnd"/>
      <w:r w:rsidRPr="00103FBA">
        <w:t xml:space="preserve"> </w:t>
      </w:r>
      <w:proofErr w:type="spellStart"/>
      <w:r w:rsidRPr="00103FBA">
        <w:t>without</w:t>
      </w:r>
      <w:proofErr w:type="spellEnd"/>
      <w:r w:rsidRPr="00103FBA">
        <w:t xml:space="preserve"> </w:t>
      </w:r>
      <w:proofErr w:type="spellStart"/>
      <w:r w:rsidRPr="00103FBA">
        <w:t>the</w:t>
      </w:r>
      <w:proofErr w:type="spellEnd"/>
      <w:r w:rsidRPr="00103FBA">
        <w:t xml:space="preserve"> </w:t>
      </w:r>
      <w:proofErr w:type="spellStart"/>
      <w:r w:rsidRPr="00103FBA">
        <w:t>fully</w:t>
      </w:r>
      <w:proofErr w:type="spellEnd"/>
      <w:r w:rsidRPr="00103FBA">
        <w:t xml:space="preserve"> </w:t>
      </w:r>
      <w:proofErr w:type="spellStart"/>
      <w:r w:rsidRPr="00103FBA">
        <w:t>informed</w:t>
      </w:r>
      <w:proofErr w:type="spellEnd"/>
      <w:r w:rsidRPr="00103FBA">
        <w:t xml:space="preserve"> </w:t>
      </w:r>
      <w:proofErr w:type="spellStart"/>
      <w:r w:rsidRPr="00103FBA">
        <w:t>consent</w:t>
      </w:r>
      <w:proofErr w:type="spellEnd"/>
      <w:r w:rsidRPr="00103FBA">
        <w:t xml:space="preserve"> </w:t>
      </w:r>
      <w:proofErr w:type="spellStart"/>
      <w:r w:rsidRPr="00103FBA">
        <w:t>of</w:t>
      </w:r>
      <w:proofErr w:type="spellEnd"/>
      <w:r w:rsidRPr="00103FBA">
        <w:t xml:space="preserve"> </w:t>
      </w:r>
      <w:proofErr w:type="spellStart"/>
      <w:r w:rsidRPr="00103FBA">
        <w:t>the</w:t>
      </w:r>
      <w:proofErr w:type="spellEnd"/>
      <w:r w:rsidRPr="00103FBA">
        <w:t xml:space="preserve"> individual. </w:t>
      </w:r>
      <w:proofErr w:type="spellStart"/>
      <w:r w:rsidRPr="00103FBA">
        <w:t>See</w:t>
      </w:r>
      <w:proofErr w:type="spellEnd"/>
      <w:r w:rsidRPr="00103FBA">
        <w:t xml:space="preserve"> </w:t>
      </w:r>
      <w:r w:rsidRPr="00193DD1">
        <w:rPr>
          <w:rStyle w:val="Hipervnculo"/>
        </w:rPr>
        <w:t>www.odi.govt.nz/nz-disability-strategy/outcome-7-choice-and-control/</w:t>
      </w:r>
      <w:r w:rsidRPr="00103FBA">
        <w:t xml:space="preserve">. </w:t>
      </w:r>
    </w:p>
  </w:endnote>
  <w:endnote w:id="150">
    <w:p w14:paraId="4E983D51"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Contraception</w:t>
      </w:r>
      <w:proofErr w:type="spellEnd"/>
      <w:r w:rsidRPr="00103FBA">
        <w:t xml:space="preserve">, </w:t>
      </w:r>
      <w:proofErr w:type="spellStart"/>
      <w:r w:rsidRPr="00103FBA">
        <w:t>Sterilisation</w:t>
      </w:r>
      <w:proofErr w:type="spellEnd"/>
      <w:r w:rsidRPr="00103FBA">
        <w:t xml:space="preserve">, and </w:t>
      </w:r>
      <w:proofErr w:type="spellStart"/>
      <w:r w:rsidRPr="00103FBA">
        <w:t>Abortion</w:t>
      </w:r>
      <w:proofErr w:type="spellEnd"/>
      <w:r w:rsidRPr="00103FBA">
        <w:t xml:space="preserve"> </w:t>
      </w:r>
      <w:proofErr w:type="spellStart"/>
      <w:r w:rsidRPr="00103FBA">
        <w:t>Act</w:t>
      </w:r>
      <w:proofErr w:type="spellEnd"/>
      <w:r w:rsidRPr="00103FBA">
        <w:t xml:space="preserve"> 1977, </w:t>
      </w:r>
      <w:proofErr w:type="spellStart"/>
      <w:r w:rsidRPr="00103FBA">
        <w:t>see</w:t>
      </w:r>
      <w:proofErr w:type="spellEnd"/>
      <w:r w:rsidRPr="00103FBA">
        <w:t xml:space="preserve"> </w:t>
      </w:r>
      <w:r w:rsidRPr="00193DD1">
        <w:rPr>
          <w:rStyle w:val="Hipervnculo"/>
        </w:rPr>
        <w:t>www.legislation.govt.nz/act/public/1977/0112/latest/DLM17680.html</w:t>
      </w:r>
      <w:r w:rsidRPr="00103FBA">
        <w:t>.</w:t>
      </w:r>
    </w:p>
  </w:endnote>
  <w:endnote w:id="151">
    <w:p w14:paraId="417528BD"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The</w:t>
      </w:r>
      <w:proofErr w:type="spellEnd"/>
      <w:r w:rsidRPr="00103FBA">
        <w:t xml:space="preserve"> </w:t>
      </w:r>
      <w:proofErr w:type="spellStart"/>
      <w:r w:rsidRPr="00103FBA">
        <w:t>Protection</w:t>
      </w:r>
      <w:proofErr w:type="spellEnd"/>
      <w:r w:rsidRPr="00103FBA">
        <w:t xml:space="preserve"> </w:t>
      </w:r>
      <w:proofErr w:type="spellStart"/>
      <w:r w:rsidRPr="00103FBA">
        <w:t>of</w:t>
      </w:r>
      <w:proofErr w:type="spellEnd"/>
      <w:r w:rsidRPr="00103FBA">
        <w:t xml:space="preserve"> Personal and </w:t>
      </w:r>
      <w:proofErr w:type="spellStart"/>
      <w:r w:rsidRPr="00103FBA">
        <w:t>Property</w:t>
      </w:r>
      <w:proofErr w:type="spellEnd"/>
      <w:r w:rsidRPr="00103FBA">
        <w:t xml:space="preserve"> </w:t>
      </w:r>
      <w:proofErr w:type="spellStart"/>
      <w:r w:rsidRPr="00103FBA">
        <w:t>Rights</w:t>
      </w:r>
      <w:proofErr w:type="spellEnd"/>
      <w:r w:rsidRPr="00103FBA">
        <w:t xml:space="preserve"> </w:t>
      </w:r>
      <w:proofErr w:type="spellStart"/>
      <w:r w:rsidRPr="00103FBA">
        <w:t>Act</w:t>
      </w:r>
      <w:proofErr w:type="spellEnd"/>
      <w:r w:rsidRPr="00103FBA">
        <w:t xml:space="preserve"> 1988.</w:t>
      </w:r>
    </w:p>
  </w:endnote>
  <w:endnote w:id="152">
    <w:p w14:paraId="46A8AC1B"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r w:rsidRPr="00103FBA">
        <w:t xml:space="preserve">New </w:t>
      </w:r>
      <w:proofErr w:type="spellStart"/>
      <w:r w:rsidRPr="00103FBA">
        <w:t>Zealand</w:t>
      </w:r>
      <w:proofErr w:type="spellEnd"/>
      <w:r w:rsidRPr="00103FBA">
        <w:t xml:space="preserve"> Bill </w:t>
      </w:r>
      <w:proofErr w:type="spellStart"/>
      <w:r w:rsidRPr="00103FBA">
        <w:t>of</w:t>
      </w:r>
      <w:proofErr w:type="spellEnd"/>
      <w:r w:rsidRPr="00103FBA">
        <w:t xml:space="preserve"> </w:t>
      </w:r>
      <w:proofErr w:type="spellStart"/>
      <w:r w:rsidRPr="00103FBA">
        <w:t>Rights</w:t>
      </w:r>
      <w:proofErr w:type="spellEnd"/>
      <w:r w:rsidRPr="00103FBA">
        <w:t xml:space="preserve"> </w:t>
      </w:r>
      <w:proofErr w:type="spellStart"/>
      <w:r w:rsidRPr="00103FBA">
        <w:t>Act</w:t>
      </w:r>
      <w:proofErr w:type="spellEnd"/>
      <w:r w:rsidRPr="00103FBA">
        <w:t xml:space="preserve"> 1990, </w:t>
      </w:r>
      <w:proofErr w:type="spellStart"/>
      <w:r w:rsidRPr="00103FBA">
        <w:t>section</w:t>
      </w:r>
      <w:proofErr w:type="spellEnd"/>
      <w:r w:rsidRPr="00103FBA">
        <w:t xml:space="preserve"> 11.</w:t>
      </w:r>
    </w:p>
  </w:endnote>
  <w:endnote w:id="153">
    <w:p w14:paraId="4FDF72A8"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The</w:t>
      </w:r>
      <w:proofErr w:type="spellEnd"/>
      <w:r w:rsidRPr="00103FBA">
        <w:t xml:space="preserve"> </w:t>
      </w:r>
      <w:proofErr w:type="spellStart"/>
      <w:r w:rsidRPr="00103FBA">
        <w:t>Code</w:t>
      </w:r>
      <w:proofErr w:type="spellEnd"/>
      <w:r w:rsidRPr="00103FBA">
        <w:t xml:space="preserve"> </w:t>
      </w:r>
      <w:proofErr w:type="spellStart"/>
      <w:r w:rsidRPr="00103FBA">
        <w:t>of</w:t>
      </w:r>
      <w:proofErr w:type="spellEnd"/>
      <w:r w:rsidRPr="00103FBA">
        <w:t xml:space="preserve"> </w:t>
      </w:r>
      <w:proofErr w:type="spellStart"/>
      <w:r w:rsidRPr="00103FBA">
        <w:t>Health</w:t>
      </w:r>
      <w:proofErr w:type="spellEnd"/>
      <w:r w:rsidRPr="00103FBA">
        <w:t xml:space="preserve"> and </w:t>
      </w:r>
      <w:proofErr w:type="spellStart"/>
      <w:r w:rsidRPr="00103FBA">
        <w:t>Disability</w:t>
      </w:r>
      <w:proofErr w:type="spellEnd"/>
      <w:r w:rsidRPr="00103FBA">
        <w:t xml:space="preserve"> </w:t>
      </w:r>
      <w:proofErr w:type="spellStart"/>
      <w:r w:rsidRPr="00103FBA">
        <w:t>Services</w:t>
      </w:r>
      <w:proofErr w:type="spellEnd"/>
      <w:r w:rsidRPr="00103FBA">
        <w:t xml:space="preserve"> </w:t>
      </w:r>
      <w:proofErr w:type="spellStart"/>
      <w:r w:rsidRPr="00103FBA">
        <w:t>Consumers</w:t>
      </w:r>
      <w:proofErr w:type="spellEnd"/>
      <w:r w:rsidRPr="00103FBA">
        <w:t xml:space="preserve">’ </w:t>
      </w:r>
      <w:proofErr w:type="spellStart"/>
      <w:r w:rsidRPr="00103FBA">
        <w:t>Rights</w:t>
      </w:r>
      <w:proofErr w:type="spellEnd"/>
      <w:r w:rsidRPr="00103FBA">
        <w:t xml:space="preserve">, </w:t>
      </w:r>
      <w:proofErr w:type="spellStart"/>
      <w:r w:rsidRPr="00103FBA">
        <w:t>Right</w:t>
      </w:r>
      <w:proofErr w:type="spellEnd"/>
      <w:r w:rsidRPr="00103FBA">
        <w:t xml:space="preserve"> 7(4)</w:t>
      </w:r>
    </w:p>
  </w:endnote>
  <w:endnote w:id="154">
    <w:p w14:paraId="4A3E719F"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The</w:t>
      </w:r>
      <w:proofErr w:type="spellEnd"/>
      <w:r w:rsidRPr="00103FBA">
        <w:t xml:space="preserve"> </w:t>
      </w:r>
      <w:proofErr w:type="spellStart"/>
      <w:r w:rsidRPr="00103FBA">
        <w:t>term</w:t>
      </w:r>
      <w:proofErr w:type="spellEnd"/>
      <w:r w:rsidRPr="00103FBA">
        <w:t xml:space="preserve"> </w:t>
      </w:r>
      <w:r>
        <w:t>“</w:t>
      </w:r>
      <w:r w:rsidRPr="00103FBA">
        <w:t xml:space="preserve">Ashley </w:t>
      </w:r>
      <w:proofErr w:type="spellStart"/>
      <w:r w:rsidRPr="00103FBA">
        <w:t>Treatment</w:t>
      </w:r>
      <w:proofErr w:type="spellEnd"/>
      <w:r>
        <w:t>”</w:t>
      </w:r>
      <w:r w:rsidRPr="00103FBA">
        <w:t xml:space="preserve"> </w:t>
      </w:r>
      <w:proofErr w:type="spellStart"/>
      <w:r w:rsidRPr="00103FBA">
        <w:t>is</w:t>
      </w:r>
      <w:proofErr w:type="spellEnd"/>
      <w:r w:rsidRPr="00103FBA">
        <w:t xml:space="preserve"> </w:t>
      </w:r>
      <w:proofErr w:type="spellStart"/>
      <w:r w:rsidRPr="00103FBA">
        <w:t>commonly</w:t>
      </w:r>
      <w:proofErr w:type="spellEnd"/>
      <w:r w:rsidRPr="00103FBA">
        <w:t xml:space="preserve"> </w:t>
      </w:r>
      <w:proofErr w:type="spellStart"/>
      <w:r w:rsidRPr="00103FBA">
        <w:t>used</w:t>
      </w:r>
      <w:proofErr w:type="spellEnd"/>
      <w:r w:rsidRPr="00103FBA">
        <w:t xml:space="preserve"> </w:t>
      </w:r>
      <w:proofErr w:type="spellStart"/>
      <w:r w:rsidRPr="00103FBA">
        <w:t>to</w:t>
      </w:r>
      <w:proofErr w:type="spellEnd"/>
      <w:r w:rsidRPr="00103FBA">
        <w:t xml:space="preserve"> </w:t>
      </w:r>
      <w:proofErr w:type="spellStart"/>
      <w:r w:rsidRPr="00103FBA">
        <w:t>refer</w:t>
      </w:r>
      <w:proofErr w:type="spellEnd"/>
      <w:r w:rsidRPr="00103FBA">
        <w:t xml:space="preserve"> </w:t>
      </w:r>
      <w:proofErr w:type="spellStart"/>
      <w:r w:rsidRPr="00103FBA">
        <w:t>to</w:t>
      </w:r>
      <w:proofErr w:type="spellEnd"/>
      <w:r w:rsidRPr="00103FBA">
        <w:t xml:space="preserve"> </w:t>
      </w:r>
      <w:proofErr w:type="spellStart"/>
      <w:r w:rsidRPr="00103FBA">
        <w:t>growth</w:t>
      </w:r>
      <w:proofErr w:type="spellEnd"/>
      <w:r w:rsidRPr="00103FBA">
        <w:t xml:space="preserve"> </w:t>
      </w:r>
      <w:proofErr w:type="spellStart"/>
      <w:r w:rsidRPr="00103FBA">
        <w:t>attenuation</w:t>
      </w:r>
      <w:proofErr w:type="spellEnd"/>
      <w:r w:rsidRPr="00103FBA">
        <w:t xml:space="preserve"> </w:t>
      </w:r>
      <w:proofErr w:type="spellStart"/>
      <w:r w:rsidRPr="00103FBA">
        <w:t>treatment</w:t>
      </w:r>
      <w:proofErr w:type="spellEnd"/>
      <w:r w:rsidRPr="00103FBA">
        <w:t xml:space="preserve"> </w:t>
      </w:r>
      <w:proofErr w:type="spellStart"/>
      <w:r w:rsidRPr="00103FBA">
        <w:t>to</w:t>
      </w:r>
      <w:proofErr w:type="spellEnd"/>
      <w:r w:rsidRPr="00103FBA">
        <w:t xml:space="preserve"> </w:t>
      </w:r>
      <w:proofErr w:type="spellStart"/>
      <w:r w:rsidRPr="00103FBA">
        <w:t>limit</w:t>
      </w:r>
      <w:proofErr w:type="spellEnd"/>
      <w:r w:rsidRPr="00103FBA">
        <w:t xml:space="preserve"> a </w:t>
      </w:r>
      <w:proofErr w:type="spellStart"/>
      <w:r w:rsidRPr="00103FBA">
        <w:t>child’s</w:t>
      </w:r>
      <w:proofErr w:type="spellEnd"/>
      <w:r w:rsidRPr="00103FBA">
        <w:t xml:space="preserve"> </w:t>
      </w:r>
      <w:proofErr w:type="spellStart"/>
      <w:r w:rsidRPr="00103FBA">
        <w:t>growth</w:t>
      </w:r>
      <w:proofErr w:type="spellEnd"/>
      <w:r w:rsidRPr="00103FBA">
        <w:t xml:space="preserve"> in </w:t>
      </w:r>
      <w:proofErr w:type="spellStart"/>
      <w:r w:rsidRPr="00103FBA">
        <w:t>size</w:t>
      </w:r>
      <w:proofErr w:type="spellEnd"/>
      <w:r w:rsidRPr="00103FBA">
        <w:t xml:space="preserve"> and </w:t>
      </w:r>
      <w:proofErr w:type="spellStart"/>
      <w:r w:rsidRPr="00103FBA">
        <w:t>prevent</w:t>
      </w:r>
      <w:proofErr w:type="spellEnd"/>
      <w:r w:rsidRPr="00103FBA">
        <w:t xml:space="preserve"> </w:t>
      </w:r>
      <w:proofErr w:type="spellStart"/>
      <w:r w:rsidRPr="00103FBA">
        <w:t>changes</w:t>
      </w:r>
      <w:proofErr w:type="spellEnd"/>
      <w:r w:rsidRPr="00103FBA">
        <w:t xml:space="preserve"> </w:t>
      </w:r>
      <w:proofErr w:type="spellStart"/>
      <w:r w:rsidRPr="00103FBA">
        <w:t>through</w:t>
      </w:r>
      <w:proofErr w:type="spellEnd"/>
      <w:r w:rsidRPr="00103FBA">
        <w:t xml:space="preserve"> </w:t>
      </w:r>
      <w:proofErr w:type="spellStart"/>
      <w:r w:rsidRPr="00103FBA">
        <w:t>puberty</w:t>
      </w:r>
      <w:proofErr w:type="spellEnd"/>
      <w:r w:rsidRPr="00103FBA">
        <w:t xml:space="preserve">. </w:t>
      </w:r>
      <w:proofErr w:type="spellStart"/>
      <w:r w:rsidRPr="00103FBA">
        <w:t>The</w:t>
      </w:r>
      <w:proofErr w:type="spellEnd"/>
      <w:r w:rsidRPr="00103FBA">
        <w:t xml:space="preserve"> </w:t>
      </w:r>
      <w:proofErr w:type="spellStart"/>
      <w:r w:rsidRPr="00103FBA">
        <w:t>term</w:t>
      </w:r>
      <w:proofErr w:type="spellEnd"/>
      <w:r w:rsidRPr="00103FBA">
        <w:t xml:space="preserve"> comes </w:t>
      </w:r>
      <w:proofErr w:type="spellStart"/>
      <w:r w:rsidRPr="00103FBA">
        <w:t>from</w:t>
      </w:r>
      <w:proofErr w:type="spellEnd"/>
      <w:r w:rsidRPr="00103FBA">
        <w:t xml:space="preserve"> </w:t>
      </w:r>
      <w:proofErr w:type="spellStart"/>
      <w:r w:rsidRPr="00103FBA">
        <w:t>the</w:t>
      </w:r>
      <w:proofErr w:type="spellEnd"/>
      <w:r w:rsidRPr="00103FBA">
        <w:t xml:space="preserve"> </w:t>
      </w:r>
      <w:proofErr w:type="spellStart"/>
      <w:r w:rsidRPr="00103FBA">
        <w:t>story</w:t>
      </w:r>
      <w:proofErr w:type="spellEnd"/>
      <w:r w:rsidRPr="00103FBA">
        <w:t xml:space="preserve"> </w:t>
      </w:r>
      <w:proofErr w:type="spellStart"/>
      <w:r w:rsidRPr="00103FBA">
        <w:t>of</w:t>
      </w:r>
      <w:proofErr w:type="spellEnd"/>
      <w:r w:rsidRPr="00103FBA">
        <w:t xml:space="preserve"> a </w:t>
      </w:r>
      <w:proofErr w:type="spellStart"/>
      <w:r w:rsidRPr="00103FBA">
        <w:t>child</w:t>
      </w:r>
      <w:proofErr w:type="spellEnd"/>
      <w:r w:rsidRPr="00103FBA">
        <w:t xml:space="preserve">, </w:t>
      </w:r>
      <w:r>
        <w:t>“</w:t>
      </w:r>
      <w:r w:rsidRPr="00103FBA">
        <w:t>Ashley X</w:t>
      </w:r>
      <w:r>
        <w:t>”</w:t>
      </w:r>
      <w:r w:rsidRPr="00103FBA">
        <w:t xml:space="preserve">, </w:t>
      </w:r>
      <w:proofErr w:type="spellStart"/>
      <w:r w:rsidRPr="00103FBA">
        <w:t>from</w:t>
      </w:r>
      <w:proofErr w:type="spellEnd"/>
      <w:r w:rsidRPr="00103FBA">
        <w:t xml:space="preserve"> </w:t>
      </w:r>
      <w:proofErr w:type="spellStart"/>
      <w:r w:rsidRPr="00103FBA">
        <w:t>the</w:t>
      </w:r>
      <w:proofErr w:type="spellEnd"/>
      <w:r w:rsidRPr="00103FBA">
        <w:t xml:space="preserve"> USA, </w:t>
      </w:r>
      <w:proofErr w:type="spellStart"/>
      <w:r w:rsidRPr="00103FBA">
        <w:t>who</w:t>
      </w:r>
      <w:proofErr w:type="spellEnd"/>
      <w:r w:rsidRPr="00103FBA">
        <w:t xml:space="preserve"> </w:t>
      </w:r>
      <w:proofErr w:type="spellStart"/>
      <w:r w:rsidRPr="00103FBA">
        <w:t>underwent</w:t>
      </w:r>
      <w:proofErr w:type="spellEnd"/>
      <w:r w:rsidRPr="00103FBA">
        <w:t xml:space="preserve"> </w:t>
      </w:r>
      <w:proofErr w:type="spellStart"/>
      <w:r w:rsidRPr="00103FBA">
        <w:t>these</w:t>
      </w:r>
      <w:proofErr w:type="spellEnd"/>
      <w:r w:rsidRPr="00103FBA">
        <w:t xml:space="preserve"> </w:t>
      </w:r>
      <w:proofErr w:type="spellStart"/>
      <w:r w:rsidRPr="00103FBA">
        <w:t>procedures</w:t>
      </w:r>
      <w:proofErr w:type="spellEnd"/>
      <w:r w:rsidRPr="00103FBA">
        <w:t xml:space="preserve"> in 2004–2006.</w:t>
      </w:r>
    </w:p>
  </w:endnote>
  <w:endnote w:id="155">
    <w:p w14:paraId="5899AB64" w14:textId="77777777" w:rsidR="003665BE" w:rsidRDefault="003665BE" w:rsidP="00011964">
      <w:pPr>
        <w:pStyle w:val="Textonotaalfinal"/>
      </w:pPr>
      <w:r w:rsidRPr="00103FBA">
        <w:rPr>
          <w:rStyle w:val="Hipervnculo"/>
        </w:rPr>
        <w:tab/>
      </w:r>
      <w:r w:rsidRPr="00154216">
        <w:rPr>
          <w:rStyle w:val="Refdenotaalfinal"/>
        </w:rPr>
        <w:endnoteRef/>
      </w:r>
      <w:r w:rsidRPr="00154216">
        <w:rPr>
          <w:rStyle w:val="Refdenotaalfinal"/>
        </w:rPr>
        <w:tab/>
      </w:r>
      <w:r w:rsidRPr="00193DD1">
        <w:rPr>
          <w:rStyle w:val="Hipervnculo"/>
        </w:rPr>
        <w:t>https://www.noted.co.nz/health/health/how-a-waikato-family-fought-to-stop-their-disabled-daughters-growth/</w:t>
      </w:r>
      <w:r w:rsidRPr="00103FBA">
        <w:t>.</w:t>
      </w:r>
    </w:p>
  </w:endnote>
  <w:endnote w:id="156">
    <w:p w14:paraId="1A50F1DF"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See</w:t>
      </w:r>
      <w:proofErr w:type="spellEnd"/>
      <w:r w:rsidRPr="00103FBA">
        <w:t xml:space="preserve"> </w:t>
      </w:r>
      <w:r w:rsidRPr="00193DD1">
        <w:rPr>
          <w:rStyle w:val="Hipervnculo"/>
        </w:rPr>
        <w:t>http://</w:t>
      </w:r>
      <w:proofErr w:type="spellStart"/>
      <w:r w:rsidRPr="00193DD1">
        <w:rPr>
          <w:rStyle w:val="Hipervnculo"/>
        </w:rPr>
        <w:t>www.donaldbeasley.org.nz</w:t>
      </w:r>
      <w:proofErr w:type="spellEnd"/>
      <w:r w:rsidRPr="00193DD1">
        <w:rPr>
          <w:rStyle w:val="Hipervnculo"/>
        </w:rPr>
        <w:t>/</w:t>
      </w:r>
      <w:r w:rsidRPr="00103FBA">
        <w:t xml:space="preserve">. </w:t>
      </w:r>
    </w:p>
  </w:endnote>
  <w:endnote w:id="157">
    <w:p w14:paraId="2E5BC9FC"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See</w:t>
      </w:r>
      <w:proofErr w:type="spellEnd"/>
      <w:r w:rsidRPr="00103FBA">
        <w:t xml:space="preserve"> </w:t>
      </w:r>
      <w:r w:rsidRPr="00193DD1">
        <w:rPr>
          <w:rStyle w:val="Hipervnculo"/>
        </w:rPr>
        <w:t>www.health.govt.nz/system/files/documents/publications/resettlement-of-kimberley-residents.pdf</w:t>
      </w:r>
      <w:r w:rsidRPr="00103FBA">
        <w:t>.</w:t>
      </w:r>
    </w:p>
  </w:endnote>
  <w:endnote w:id="158">
    <w:p w14:paraId="12609773"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See</w:t>
      </w:r>
      <w:proofErr w:type="spellEnd"/>
      <w:r w:rsidRPr="00103FBA">
        <w:t xml:space="preserve"> </w:t>
      </w:r>
      <w:r w:rsidRPr="00193DD1">
        <w:rPr>
          <w:rStyle w:val="Hipervnculo"/>
        </w:rPr>
        <w:t>www.health.govt.nz/your-health/services-and-support/disability-services/types-disability-support/new-model-supporting-disabled-people/choice-community-living</w:t>
      </w:r>
      <w:r w:rsidRPr="00103FBA">
        <w:t>.</w:t>
      </w:r>
    </w:p>
  </w:endnote>
  <w:endnote w:id="159">
    <w:p w14:paraId="1E9ED485"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r w:rsidRPr="00103FBA">
        <w:t xml:space="preserve">Auckland and </w:t>
      </w:r>
      <w:proofErr w:type="spellStart"/>
      <w:r w:rsidRPr="00103FBA">
        <w:t>Waikato</w:t>
      </w:r>
      <w:proofErr w:type="spellEnd"/>
      <w:r w:rsidRPr="00103FBA">
        <w:t>.</w:t>
      </w:r>
    </w:p>
  </w:endnote>
  <w:endnote w:id="160">
    <w:p w14:paraId="4E4BBF91" w14:textId="77777777" w:rsidR="003665BE" w:rsidRDefault="003665BE" w:rsidP="00011964">
      <w:pPr>
        <w:pStyle w:val="Textonotaalfinal"/>
      </w:pPr>
      <w:r w:rsidRPr="00103FBA">
        <w:tab/>
      </w:r>
      <w:r w:rsidRPr="00154216">
        <w:rPr>
          <w:rStyle w:val="Refdenotaalfinal"/>
        </w:rPr>
        <w:endnoteRef/>
      </w:r>
      <w:r w:rsidRPr="00154216">
        <w:rPr>
          <w:rStyle w:val="Refdenotaalfinal"/>
        </w:rPr>
        <w:tab/>
      </w:r>
      <w:proofErr w:type="spellStart"/>
      <w:r w:rsidRPr="00103FBA">
        <w:t>It</w:t>
      </w:r>
      <w:proofErr w:type="spellEnd"/>
      <w:r w:rsidRPr="00103FBA">
        <w:t xml:space="preserve"> </w:t>
      </w:r>
      <w:proofErr w:type="spellStart"/>
      <w:r w:rsidRPr="00103FBA">
        <w:t>is</w:t>
      </w:r>
      <w:proofErr w:type="spellEnd"/>
      <w:r w:rsidRPr="00103FBA">
        <w:t xml:space="preserve"> </w:t>
      </w:r>
      <w:proofErr w:type="spellStart"/>
      <w:r w:rsidRPr="00103FBA">
        <w:t>available</w:t>
      </w:r>
      <w:proofErr w:type="spellEnd"/>
      <w:r w:rsidRPr="00103FBA">
        <w:t xml:space="preserve"> in </w:t>
      </w:r>
      <w:proofErr w:type="spellStart"/>
      <w:r w:rsidRPr="00103FBA">
        <w:t>the</w:t>
      </w:r>
      <w:proofErr w:type="spellEnd"/>
      <w:r w:rsidRPr="00103FBA">
        <w:t xml:space="preserve"> Hutt, </w:t>
      </w:r>
      <w:proofErr w:type="spellStart"/>
      <w:r w:rsidRPr="00103FBA">
        <w:t>Otago</w:t>
      </w:r>
      <w:proofErr w:type="spellEnd"/>
      <w:r w:rsidRPr="00103FBA">
        <w:t xml:space="preserve"> and </w:t>
      </w:r>
      <w:proofErr w:type="spellStart"/>
      <w:r w:rsidRPr="00103FBA">
        <w:t>Southland</w:t>
      </w:r>
      <w:proofErr w:type="spellEnd"/>
      <w:r w:rsidRPr="00103FBA">
        <w:t xml:space="preserve"> </w:t>
      </w:r>
      <w:proofErr w:type="spellStart"/>
      <w:r w:rsidRPr="00103FBA">
        <w:t>regions</w:t>
      </w:r>
      <w:proofErr w:type="spellEnd"/>
      <w:r w:rsidRPr="00103FBA">
        <w:t>.</w:t>
      </w:r>
    </w:p>
  </w:endnote>
  <w:endnote w:id="161">
    <w:p w14:paraId="4B0101EE" w14:textId="77777777" w:rsidR="003665BE" w:rsidRPr="00D73D0B" w:rsidRDefault="003665BE" w:rsidP="00011964">
      <w:pPr>
        <w:pStyle w:val="Textonotaalfinal"/>
      </w:pPr>
      <w:r w:rsidRPr="0070732E">
        <w:tab/>
      </w:r>
      <w:r w:rsidRPr="00154216">
        <w:rPr>
          <w:rStyle w:val="Refdenotaalfinal"/>
        </w:rPr>
        <w:endnoteRef/>
      </w:r>
      <w:r w:rsidRPr="00154216">
        <w:rPr>
          <w:rStyle w:val="Refdenotaalfinal"/>
        </w:rPr>
        <w:tab/>
      </w:r>
      <w:r w:rsidRPr="006743EA">
        <w:t xml:space="preserve">Housing </w:t>
      </w:r>
      <w:proofErr w:type="spellStart"/>
      <w:r w:rsidRPr="006743EA">
        <w:t>NZ</w:t>
      </w:r>
      <w:proofErr w:type="spellEnd"/>
      <w:r w:rsidRPr="006743EA">
        <w:t xml:space="preserve"> </w:t>
      </w:r>
      <w:proofErr w:type="spellStart"/>
      <w:r w:rsidRPr="006743EA">
        <w:t>Corporation</w:t>
      </w:r>
      <w:proofErr w:type="spellEnd"/>
      <w:r w:rsidRPr="006743EA">
        <w:t xml:space="preserve"> </w:t>
      </w:r>
      <w:proofErr w:type="spellStart"/>
      <w:r w:rsidRPr="006743EA">
        <w:t>is</w:t>
      </w:r>
      <w:proofErr w:type="spellEnd"/>
      <w:r w:rsidRPr="006743EA">
        <w:t xml:space="preserve"> a Crown </w:t>
      </w:r>
      <w:proofErr w:type="spellStart"/>
      <w:r w:rsidRPr="006743EA">
        <w:t>agent</w:t>
      </w:r>
      <w:proofErr w:type="spellEnd"/>
      <w:r w:rsidRPr="006743EA">
        <w:t xml:space="preserve"> </w:t>
      </w:r>
      <w:proofErr w:type="spellStart"/>
      <w:r w:rsidRPr="006743EA">
        <w:t>that</w:t>
      </w:r>
      <w:proofErr w:type="spellEnd"/>
      <w:r w:rsidRPr="006743EA">
        <w:t xml:space="preserve"> </w:t>
      </w:r>
      <w:proofErr w:type="spellStart"/>
      <w:r w:rsidRPr="006743EA">
        <w:t>provides</w:t>
      </w:r>
      <w:proofErr w:type="spellEnd"/>
      <w:r w:rsidRPr="006743EA">
        <w:t xml:space="preserve"> housing </w:t>
      </w:r>
      <w:proofErr w:type="spellStart"/>
      <w:r w:rsidRPr="006743EA">
        <w:t>services</w:t>
      </w:r>
      <w:proofErr w:type="spellEnd"/>
      <w:r w:rsidRPr="006743EA">
        <w:t xml:space="preserve"> </w:t>
      </w:r>
      <w:proofErr w:type="spellStart"/>
      <w:r w:rsidRPr="006743EA">
        <w:t>for</w:t>
      </w:r>
      <w:proofErr w:type="spellEnd"/>
      <w:r w:rsidRPr="006743EA">
        <w:t xml:space="preserve"> New </w:t>
      </w:r>
      <w:proofErr w:type="spellStart"/>
      <w:r w:rsidRPr="006743EA">
        <w:t>Zealanders</w:t>
      </w:r>
      <w:proofErr w:type="spellEnd"/>
      <w:r w:rsidRPr="006743EA">
        <w:t xml:space="preserve"> in </w:t>
      </w:r>
      <w:proofErr w:type="spellStart"/>
      <w:r w:rsidRPr="006743EA">
        <w:t>need</w:t>
      </w:r>
      <w:proofErr w:type="spellEnd"/>
      <w:r w:rsidRPr="006743EA">
        <w:t>.</w:t>
      </w:r>
    </w:p>
  </w:endnote>
  <w:endnote w:id="162">
    <w:p w14:paraId="00B3E2A7"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See</w:t>
      </w:r>
      <w:proofErr w:type="spellEnd"/>
      <w:r>
        <w:t xml:space="preserve"> </w:t>
      </w:r>
      <w:r w:rsidRPr="00193DD1">
        <w:rPr>
          <w:rStyle w:val="Hipervnculo"/>
        </w:rPr>
        <w:t>www.stats.govt.nz/information-releases/well-being-statistics-2016</w:t>
      </w:r>
      <w:r>
        <w:t>.</w:t>
      </w:r>
    </w:p>
  </w:endnote>
  <w:endnote w:id="163">
    <w:p w14:paraId="100AD652"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See</w:t>
      </w:r>
      <w:proofErr w:type="spellEnd"/>
      <w:r>
        <w:t xml:space="preserve"> </w:t>
      </w:r>
      <w:r w:rsidRPr="00193DD1">
        <w:rPr>
          <w:rStyle w:val="Hipervnculo"/>
        </w:rPr>
        <w:t>www.health.govt.nz/our-work/disability-services/contracting-and-working-disability-support-services/equipment-and-modification-services</w:t>
      </w:r>
      <w:r>
        <w:t>.</w:t>
      </w:r>
    </w:p>
  </w:endnote>
  <w:endnote w:id="164">
    <w:p w14:paraId="0ACCBD5E"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Action</w:t>
      </w:r>
      <w:proofErr w:type="spellEnd"/>
      <w:r>
        <w:t xml:space="preserve"> 9(g), </w:t>
      </w:r>
      <w:proofErr w:type="spellStart"/>
      <w:r>
        <w:t>Disability</w:t>
      </w:r>
      <w:proofErr w:type="spellEnd"/>
      <w:r>
        <w:t xml:space="preserve"> </w:t>
      </w:r>
      <w:proofErr w:type="spellStart"/>
      <w:r>
        <w:t>Action</w:t>
      </w:r>
      <w:proofErr w:type="spellEnd"/>
      <w:r>
        <w:t xml:space="preserve"> Plan 2014–2018 </w:t>
      </w:r>
      <w:proofErr w:type="spellStart"/>
      <w:r>
        <w:t>refers</w:t>
      </w:r>
      <w:proofErr w:type="spellEnd"/>
      <w:r>
        <w:t xml:space="preserve">. </w:t>
      </w:r>
      <w:proofErr w:type="spellStart"/>
      <w:r>
        <w:t>See</w:t>
      </w:r>
      <w:proofErr w:type="spellEnd"/>
      <w:r>
        <w:t xml:space="preserve"> </w:t>
      </w:r>
      <w:proofErr w:type="spellStart"/>
      <w:r w:rsidRPr="00193DD1">
        <w:rPr>
          <w:rStyle w:val="Hipervnculo"/>
        </w:rPr>
        <w:t>www.odi.govt.nz</w:t>
      </w:r>
      <w:proofErr w:type="spellEnd"/>
      <w:r w:rsidRPr="00193DD1">
        <w:rPr>
          <w:rStyle w:val="Hipervnculo"/>
        </w:rPr>
        <w:t>/</w:t>
      </w:r>
      <w:proofErr w:type="spellStart"/>
      <w:r w:rsidRPr="00193DD1">
        <w:rPr>
          <w:rStyle w:val="Hipervnculo"/>
        </w:rPr>
        <w:t>nz-disability-strategy</w:t>
      </w:r>
      <w:proofErr w:type="spellEnd"/>
      <w:r w:rsidRPr="00193DD1">
        <w:rPr>
          <w:rStyle w:val="Hipervnculo"/>
        </w:rPr>
        <w:t>/</w:t>
      </w:r>
      <w:proofErr w:type="spellStart"/>
      <w:r w:rsidRPr="00193DD1">
        <w:rPr>
          <w:rStyle w:val="Hipervnculo"/>
        </w:rPr>
        <w:t>outcome</w:t>
      </w:r>
      <w:proofErr w:type="spellEnd"/>
      <w:r w:rsidRPr="00193DD1">
        <w:rPr>
          <w:rStyle w:val="Hipervnculo"/>
        </w:rPr>
        <w:t>-5-</w:t>
      </w:r>
      <w:proofErr w:type="spellStart"/>
      <w:r w:rsidRPr="00193DD1">
        <w:rPr>
          <w:rStyle w:val="Hipervnculo"/>
        </w:rPr>
        <w:t>accessibility</w:t>
      </w:r>
      <w:proofErr w:type="spellEnd"/>
      <w:r>
        <w:t>.</w:t>
      </w:r>
    </w:p>
  </w:endnote>
  <w:endnote w:id="165">
    <w:p w14:paraId="6B897941" w14:textId="77777777" w:rsidR="003665BE" w:rsidRDefault="003665BE" w:rsidP="00011964">
      <w:pPr>
        <w:pStyle w:val="Textonotaalfinal"/>
      </w:pPr>
      <w:r>
        <w:tab/>
      </w:r>
      <w:r w:rsidRPr="00154216">
        <w:rPr>
          <w:rStyle w:val="Refdenotaalfinal"/>
        </w:rPr>
        <w:endnoteRef/>
      </w:r>
      <w:r w:rsidRPr="00154216">
        <w:rPr>
          <w:rStyle w:val="Refdenotaalfinal"/>
        </w:rPr>
        <w:tab/>
      </w:r>
      <w:r>
        <w:t xml:space="preserve">Te Reo </w:t>
      </w:r>
      <w:proofErr w:type="spellStart"/>
      <w:r>
        <w:t>Māori</w:t>
      </w:r>
      <w:proofErr w:type="spellEnd"/>
      <w:r>
        <w:t xml:space="preserve"> </w:t>
      </w:r>
      <w:proofErr w:type="spellStart"/>
      <w:r>
        <w:t>is</w:t>
      </w:r>
      <w:proofErr w:type="spellEnd"/>
      <w:r>
        <w:t xml:space="preserve"> </w:t>
      </w:r>
      <w:proofErr w:type="spellStart"/>
      <w:r>
        <w:t>the</w:t>
      </w:r>
      <w:proofErr w:type="spellEnd"/>
      <w:r>
        <w:t xml:space="preserve"> </w:t>
      </w:r>
      <w:proofErr w:type="spellStart"/>
      <w:r>
        <w:t>indigenous</w:t>
      </w:r>
      <w:proofErr w:type="spellEnd"/>
      <w:r>
        <w:t xml:space="preserve"> </w:t>
      </w:r>
      <w:proofErr w:type="spellStart"/>
      <w:r>
        <w:t>language</w:t>
      </w:r>
      <w:proofErr w:type="spellEnd"/>
      <w:r>
        <w:t xml:space="preserve"> </w:t>
      </w:r>
      <w:proofErr w:type="spellStart"/>
      <w:r>
        <w:t>of</w:t>
      </w:r>
      <w:proofErr w:type="spellEnd"/>
      <w:r>
        <w:t xml:space="preserve"> </w:t>
      </w:r>
      <w:proofErr w:type="spellStart"/>
      <w:r>
        <w:t>Aotearoa</w:t>
      </w:r>
      <w:proofErr w:type="spellEnd"/>
      <w:r>
        <w:t xml:space="preserve">/New </w:t>
      </w:r>
      <w:proofErr w:type="spellStart"/>
      <w:r>
        <w:t>Zealand</w:t>
      </w:r>
      <w:proofErr w:type="spellEnd"/>
      <w:r>
        <w:t>.</w:t>
      </w:r>
    </w:p>
  </w:endnote>
  <w:endnote w:id="166">
    <w:p w14:paraId="13FD9A5B"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See</w:t>
      </w:r>
      <w:proofErr w:type="spellEnd"/>
      <w:r>
        <w:t xml:space="preserve"> </w:t>
      </w:r>
      <w:r w:rsidRPr="00193DD1">
        <w:rPr>
          <w:rStyle w:val="Hipervnculo"/>
        </w:rPr>
        <w:t>www.msd.govt.nz/about-msd-and-our-work/newsroom/2018/accessible-public-information.html</w:t>
      </w:r>
      <w:r>
        <w:t xml:space="preserve">. </w:t>
      </w:r>
    </w:p>
  </w:endnote>
  <w:endnote w:id="167">
    <w:p w14:paraId="031747F0"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Namely</w:t>
      </w:r>
      <w:proofErr w:type="spellEnd"/>
      <w:r>
        <w:t xml:space="preserve"> </w:t>
      </w:r>
      <w:proofErr w:type="spellStart"/>
      <w:r>
        <w:t>the</w:t>
      </w:r>
      <w:proofErr w:type="spellEnd"/>
      <w:r>
        <w:t xml:space="preserve"> </w:t>
      </w:r>
      <w:proofErr w:type="spellStart"/>
      <w:r>
        <w:t>DPOs</w:t>
      </w:r>
      <w:proofErr w:type="spellEnd"/>
      <w:r>
        <w:t xml:space="preserve"> </w:t>
      </w:r>
      <w:proofErr w:type="spellStart"/>
      <w:r>
        <w:t>representing</w:t>
      </w:r>
      <w:proofErr w:type="spellEnd"/>
      <w:r>
        <w:t xml:space="preserve"> </w:t>
      </w:r>
      <w:proofErr w:type="spellStart"/>
      <w:r>
        <w:t>print</w:t>
      </w:r>
      <w:proofErr w:type="spellEnd"/>
      <w:r>
        <w:t xml:space="preserve"> </w:t>
      </w:r>
      <w:proofErr w:type="spellStart"/>
      <w:r>
        <w:t>disabilities</w:t>
      </w:r>
      <w:proofErr w:type="spellEnd"/>
      <w:r>
        <w:t xml:space="preserve">: </w:t>
      </w:r>
      <w:proofErr w:type="spellStart"/>
      <w:r>
        <w:t>Association</w:t>
      </w:r>
      <w:proofErr w:type="spellEnd"/>
      <w:r>
        <w:t xml:space="preserve"> </w:t>
      </w:r>
      <w:proofErr w:type="spellStart"/>
      <w:r>
        <w:t>of</w:t>
      </w:r>
      <w:proofErr w:type="spellEnd"/>
      <w:r>
        <w:t xml:space="preserve"> </w:t>
      </w:r>
      <w:proofErr w:type="spellStart"/>
      <w:r>
        <w:t>Blind</w:t>
      </w:r>
      <w:proofErr w:type="spellEnd"/>
      <w:r>
        <w:t xml:space="preserve"> </w:t>
      </w:r>
      <w:proofErr w:type="spellStart"/>
      <w:r>
        <w:t>Citizens</w:t>
      </w:r>
      <w:proofErr w:type="spellEnd"/>
      <w:r>
        <w:t xml:space="preserve"> New </w:t>
      </w:r>
      <w:proofErr w:type="spellStart"/>
      <w:r>
        <w:t>Zealand</w:t>
      </w:r>
      <w:proofErr w:type="spellEnd"/>
      <w:r>
        <w:t xml:space="preserve">, </w:t>
      </w:r>
      <w:proofErr w:type="spellStart"/>
      <w:r>
        <w:t>Deaf</w:t>
      </w:r>
      <w:proofErr w:type="spellEnd"/>
      <w:r>
        <w:t xml:space="preserve"> </w:t>
      </w:r>
      <w:proofErr w:type="spellStart"/>
      <w:r>
        <w:t>Aotearoa</w:t>
      </w:r>
      <w:proofErr w:type="spellEnd"/>
      <w:r>
        <w:t xml:space="preserve"> and People </w:t>
      </w:r>
      <w:proofErr w:type="spellStart"/>
      <w:r>
        <w:t>First</w:t>
      </w:r>
      <w:proofErr w:type="spellEnd"/>
      <w:r>
        <w:t xml:space="preserve"> New </w:t>
      </w:r>
      <w:proofErr w:type="spellStart"/>
      <w:r>
        <w:t>Zealand</w:t>
      </w:r>
      <w:proofErr w:type="spellEnd"/>
      <w:r>
        <w:t xml:space="preserve">. </w:t>
      </w:r>
      <w:proofErr w:type="spellStart"/>
      <w:r>
        <w:t>Action</w:t>
      </w:r>
      <w:proofErr w:type="spellEnd"/>
      <w:r>
        <w:t xml:space="preserve"> 9(a), </w:t>
      </w:r>
      <w:proofErr w:type="spellStart"/>
      <w:r>
        <w:t>Disability</w:t>
      </w:r>
      <w:proofErr w:type="spellEnd"/>
      <w:r>
        <w:t xml:space="preserve"> </w:t>
      </w:r>
      <w:proofErr w:type="spellStart"/>
      <w:r>
        <w:t>Action</w:t>
      </w:r>
      <w:proofErr w:type="spellEnd"/>
      <w:r>
        <w:t xml:space="preserve"> Plan 2014–2018 </w:t>
      </w:r>
      <w:proofErr w:type="spellStart"/>
      <w:r>
        <w:t>refers</w:t>
      </w:r>
      <w:proofErr w:type="spellEnd"/>
      <w:r>
        <w:t xml:space="preserve">. </w:t>
      </w:r>
      <w:proofErr w:type="spellStart"/>
      <w:r>
        <w:t>See</w:t>
      </w:r>
      <w:proofErr w:type="spellEnd"/>
      <w:r>
        <w:t xml:space="preserve"> </w:t>
      </w:r>
      <w:proofErr w:type="spellStart"/>
      <w:r w:rsidRPr="00193DD1">
        <w:rPr>
          <w:rStyle w:val="Hipervnculo"/>
        </w:rPr>
        <w:t>www.odi.govt.nz</w:t>
      </w:r>
      <w:proofErr w:type="spellEnd"/>
      <w:r w:rsidRPr="00193DD1">
        <w:rPr>
          <w:rStyle w:val="Hipervnculo"/>
        </w:rPr>
        <w:t>/</w:t>
      </w:r>
      <w:proofErr w:type="spellStart"/>
      <w:r w:rsidRPr="00193DD1">
        <w:rPr>
          <w:rStyle w:val="Hipervnculo"/>
        </w:rPr>
        <w:t>nz-disability-strategy</w:t>
      </w:r>
      <w:proofErr w:type="spellEnd"/>
      <w:r w:rsidRPr="00193DD1">
        <w:rPr>
          <w:rStyle w:val="Hipervnculo"/>
        </w:rPr>
        <w:t>/</w:t>
      </w:r>
      <w:proofErr w:type="spellStart"/>
      <w:r w:rsidRPr="00193DD1">
        <w:rPr>
          <w:rStyle w:val="Hipervnculo"/>
        </w:rPr>
        <w:t>outcome</w:t>
      </w:r>
      <w:proofErr w:type="spellEnd"/>
      <w:r w:rsidRPr="00193DD1">
        <w:rPr>
          <w:rStyle w:val="Hipervnculo"/>
        </w:rPr>
        <w:t>-5-</w:t>
      </w:r>
      <w:proofErr w:type="spellStart"/>
      <w:r w:rsidRPr="00193DD1">
        <w:rPr>
          <w:rStyle w:val="Hipervnculo"/>
        </w:rPr>
        <w:t>accessibility</w:t>
      </w:r>
      <w:proofErr w:type="spellEnd"/>
      <w:r>
        <w:t xml:space="preserve">. </w:t>
      </w:r>
    </w:p>
  </w:endnote>
  <w:endnote w:id="168">
    <w:p w14:paraId="2F2F827A"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See</w:t>
      </w:r>
      <w:proofErr w:type="spellEnd"/>
      <w:r>
        <w:t xml:space="preserve"> </w:t>
      </w:r>
      <w:r w:rsidRPr="00193DD1">
        <w:rPr>
          <w:rStyle w:val="Hipervnculo"/>
        </w:rPr>
        <w:t>www.parliament.nz/resource/en-NZ/SCR_74810/949a5e80d88b6ccea3f190aa4fe37137834e81bc</w:t>
      </w:r>
      <w:r>
        <w:t>.</w:t>
      </w:r>
    </w:p>
  </w:endnote>
  <w:endnote w:id="169">
    <w:p w14:paraId="4CAD5651"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Cabinet</w:t>
      </w:r>
      <w:proofErr w:type="spellEnd"/>
      <w:r>
        <w:t xml:space="preserve"> Minute (03)41/</w:t>
      </w:r>
      <w:proofErr w:type="spellStart"/>
      <w:r>
        <w:t>2B</w:t>
      </w:r>
      <w:proofErr w:type="spellEnd"/>
      <w:r>
        <w:t xml:space="preserve">. </w:t>
      </w:r>
      <w:proofErr w:type="spellStart"/>
      <w:r>
        <w:t>See</w:t>
      </w:r>
      <w:proofErr w:type="spellEnd"/>
      <w:r>
        <w:t xml:space="preserve"> </w:t>
      </w:r>
      <w:r w:rsidRPr="00193DD1">
        <w:rPr>
          <w:rStyle w:val="Hipervnculo"/>
        </w:rPr>
        <w:t>www.digital.govt.nz/standards-and-guidance/design-and-ux/accessibility/</w:t>
      </w:r>
      <w:r>
        <w:t xml:space="preserve">. </w:t>
      </w:r>
    </w:p>
  </w:endnote>
  <w:endnote w:id="170">
    <w:p w14:paraId="30D543A8" w14:textId="77777777" w:rsidR="003665BE" w:rsidRDefault="003665BE" w:rsidP="00011964">
      <w:pPr>
        <w:pStyle w:val="Textonotaalfinal"/>
      </w:pPr>
      <w:r>
        <w:tab/>
      </w:r>
      <w:r w:rsidRPr="00154216">
        <w:rPr>
          <w:rStyle w:val="Refdenotaalfinal"/>
        </w:rPr>
        <w:endnoteRef/>
      </w:r>
      <w:r w:rsidRPr="00154216">
        <w:rPr>
          <w:rStyle w:val="Refdenotaalfinal"/>
        </w:rPr>
        <w:tab/>
      </w:r>
      <w:r>
        <w:t xml:space="preserve">Expenses </w:t>
      </w:r>
      <w:proofErr w:type="spellStart"/>
      <w:r>
        <w:t>for</w:t>
      </w:r>
      <w:proofErr w:type="spellEnd"/>
      <w:r>
        <w:t xml:space="preserve"> </w:t>
      </w:r>
      <w:proofErr w:type="spellStart"/>
      <w:r>
        <w:t>equipment</w:t>
      </w:r>
      <w:proofErr w:type="spellEnd"/>
      <w:r>
        <w:t xml:space="preserve"> and </w:t>
      </w:r>
      <w:proofErr w:type="spellStart"/>
      <w:r>
        <w:t>workplace</w:t>
      </w:r>
      <w:proofErr w:type="spellEnd"/>
      <w:r>
        <w:t xml:space="preserve"> </w:t>
      </w:r>
      <w:proofErr w:type="spellStart"/>
      <w:r>
        <w:t>modification</w:t>
      </w:r>
      <w:proofErr w:type="spellEnd"/>
      <w:r>
        <w:t xml:space="preserve"> </w:t>
      </w:r>
      <w:proofErr w:type="spellStart"/>
      <w:r>
        <w:t>on</w:t>
      </w:r>
      <w:proofErr w:type="spellEnd"/>
      <w:r>
        <w:t xml:space="preserve"> </w:t>
      </w:r>
      <w:proofErr w:type="spellStart"/>
      <w:r>
        <w:t>average</w:t>
      </w:r>
      <w:proofErr w:type="spellEnd"/>
      <w:r>
        <w:t xml:space="preserve"> are </w:t>
      </w:r>
      <w:proofErr w:type="spellStart"/>
      <w:r>
        <w:t>approximately</w:t>
      </w:r>
      <w:proofErr w:type="spellEnd"/>
      <w:r>
        <w:t xml:space="preserve"> $</w:t>
      </w:r>
      <w:proofErr w:type="spellStart"/>
      <w:r>
        <w:t>0.5m</w:t>
      </w:r>
      <w:proofErr w:type="spellEnd"/>
      <w:r>
        <w:t xml:space="preserve"> per </w:t>
      </w:r>
      <w:proofErr w:type="spellStart"/>
      <w:r>
        <w:t>year</w:t>
      </w:r>
      <w:proofErr w:type="spellEnd"/>
      <w:r>
        <w:t>.</w:t>
      </w:r>
    </w:p>
  </w:endnote>
  <w:endnote w:id="171">
    <w:p w14:paraId="009162E5"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Agreements</w:t>
      </w:r>
      <w:proofErr w:type="spellEnd"/>
      <w:r>
        <w:t xml:space="preserve"> are </w:t>
      </w:r>
      <w:proofErr w:type="spellStart"/>
      <w:r>
        <w:t>made</w:t>
      </w:r>
      <w:proofErr w:type="spellEnd"/>
      <w:r>
        <w:t xml:space="preserve"> </w:t>
      </w:r>
      <w:proofErr w:type="spellStart"/>
      <w:r>
        <w:t>under</w:t>
      </w:r>
      <w:proofErr w:type="spellEnd"/>
      <w:r>
        <w:t xml:space="preserve"> </w:t>
      </w:r>
      <w:proofErr w:type="spellStart"/>
      <w:r>
        <w:t>both</w:t>
      </w:r>
      <w:proofErr w:type="spellEnd"/>
      <w:r>
        <w:t xml:space="preserve"> </w:t>
      </w:r>
      <w:proofErr w:type="spellStart"/>
      <w:r>
        <w:t>sections</w:t>
      </w:r>
      <w:proofErr w:type="spellEnd"/>
      <w:r>
        <w:t xml:space="preserve"> </w:t>
      </w:r>
      <w:proofErr w:type="spellStart"/>
      <w:r>
        <w:t>for</w:t>
      </w:r>
      <w:proofErr w:type="spellEnd"/>
      <w:r>
        <w:t xml:space="preserve"> </w:t>
      </w:r>
      <w:proofErr w:type="spellStart"/>
      <w:r>
        <w:t>out</w:t>
      </w:r>
      <w:proofErr w:type="spellEnd"/>
      <w:r>
        <w:t>-</w:t>
      </w:r>
      <w:proofErr w:type="spellStart"/>
      <w:r>
        <w:t>of</w:t>
      </w:r>
      <w:proofErr w:type="spellEnd"/>
      <w:r>
        <w:t xml:space="preserve">-home </w:t>
      </w:r>
      <w:proofErr w:type="spellStart"/>
      <w:r>
        <w:t>care</w:t>
      </w:r>
      <w:proofErr w:type="spellEnd"/>
      <w:r>
        <w:t xml:space="preserve"> </w:t>
      </w:r>
      <w:proofErr w:type="spellStart"/>
      <w:r>
        <w:t>for</w:t>
      </w:r>
      <w:proofErr w:type="spellEnd"/>
      <w:r>
        <w:t xml:space="preserve"> </w:t>
      </w:r>
      <w:proofErr w:type="spellStart"/>
      <w:r>
        <w:t>disabled</w:t>
      </w:r>
      <w:proofErr w:type="spellEnd"/>
      <w:r>
        <w:t xml:space="preserve"> </w:t>
      </w:r>
      <w:proofErr w:type="spellStart"/>
      <w:r>
        <w:t>children</w:t>
      </w:r>
      <w:proofErr w:type="spellEnd"/>
      <w:r>
        <w:t xml:space="preserve"> </w:t>
      </w:r>
      <w:proofErr w:type="spellStart"/>
      <w:r>
        <w:t>or</w:t>
      </w:r>
      <w:proofErr w:type="spellEnd"/>
      <w:r>
        <w:t xml:space="preserve"> </w:t>
      </w:r>
      <w:proofErr w:type="spellStart"/>
      <w:r>
        <w:t>young</w:t>
      </w:r>
      <w:proofErr w:type="spellEnd"/>
      <w:r>
        <w:t xml:space="preserve"> </w:t>
      </w:r>
      <w:proofErr w:type="spellStart"/>
      <w:r>
        <w:t>people</w:t>
      </w:r>
      <w:proofErr w:type="spellEnd"/>
      <w:r>
        <w:t xml:space="preserve">. </w:t>
      </w:r>
      <w:proofErr w:type="spellStart"/>
      <w:r>
        <w:t>S141</w:t>
      </w:r>
      <w:proofErr w:type="spellEnd"/>
      <w:r>
        <w:t xml:space="preserve"> </w:t>
      </w:r>
      <w:proofErr w:type="spellStart"/>
      <w:r>
        <w:t>agreements</w:t>
      </w:r>
      <w:proofErr w:type="spellEnd"/>
      <w:r>
        <w:t xml:space="preserve"> are </w:t>
      </w:r>
      <w:proofErr w:type="spellStart"/>
      <w:r>
        <w:t>with</w:t>
      </w:r>
      <w:proofErr w:type="spellEnd"/>
      <w:r>
        <w:t xml:space="preserve"> </w:t>
      </w:r>
      <w:proofErr w:type="spellStart"/>
      <w:r>
        <w:t>providers</w:t>
      </w:r>
      <w:proofErr w:type="spellEnd"/>
      <w:r>
        <w:t xml:space="preserve"> </w:t>
      </w:r>
      <w:proofErr w:type="spellStart"/>
      <w:r>
        <w:t>approved</w:t>
      </w:r>
      <w:proofErr w:type="spellEnd"/>
      <w:r>
        <w:t xml:space="preserve"> </w:t>
      </w:r>
      <w:proofErr w:type="spellStart"/>
      <w:r>
        <w:t>under</w:t>
      </w:r>
      <w:proofErr w:type="spellEnd"/>
      <w:r>
        <w:t xml:space="preserve"> </w:t>
      </w:r>
      <w:proofErr w:type="spellStart"/>
      <w:r>
        <w:t>s396</w:t>
      </w:r>
      <w:proofErr w:type="spellEnd"/>
      <w:r>
        <w:t xml:space="preserve"> </w:t>
      </w:r>
      <w:proofErr w:type="spellStart"/>
      <w:r>
        <w:t>of</w:t>
      </w:r>
      <w:proofErr w:type="spellEnd"/>
      <w:r>
        <w:t xml:space="preserve"> </w:t>
      </w:r>
      <w:proofErr w:type="spellStart"/>
      <w:r>
        <w:t>the</w:t>
      </w:r>
      <w:proofErr w:type="spellEnd"/>
      <w:r>
        <w:t xml:space="preserve"> </w:t>
      </w:r>
      <w:proofErr w:type="spellStart"/>
      <w:r>
        <w:t>Act</w:t>
      </w:r>
      <w:proofErr w:type="spellEnd"/>
      <w:r>
        <w:t xml:space="preserve"> and </w:t>
      </w:r>
      <w:proofErr w:type="spellStart"/>
      <w:r>
        <w:t>s142</w:t>
      </w:r>
      <w:proofErr w:type="spellEnd"/>
      <w:r>
        <w:t xml:space="preserve"> </w:t>
      </w:r>
      <w:proofErr w:type="spellStart"/>
      <w:r>
        <w:t>agreements</w:t>
      </w:r>
      <w:proofErr w:type="spellEnd"/>
      <w:r>
        <w:t xml:space="preserve"> are </w:t>
      </w:r>
      <w:proofErr w:type="spellStart"/>
      <w:r>
        <w:t>with</w:t>
      </w:r>
      <w:proofErr w:type="spellEnd"/>
      <w:r>
        <w:t xml:space="preserve"> </w:t>
      </w:r>
      <w:proofErr w:type="spellStart"/>
      <w:r>
        <w:t>providers</w:t>
      </w:r>
      <w:proofErr w:type="spellEnd"/>
      <w:r>
        <w:t xml:space="preserve"> </w:t>
      </w:r>
      <w:proofErr w:type="spellStart"/>
      <w:r>
        <w:t>registered</w:t>
      </w:r>
      <w:proofErr w:type="spellEnd"/>
      <w:r>
        <w:t xml:space="preserve"> </w:t>
      </w:r>
      <w:proofErr w:type="spellStart"/>
      <w:r>
        <w:t>under</w:t>
      </w:r>
      <w:proofErr w:type="spellEnd"/>
      <w:r>
        <w:t xml:space="preserve"> </w:t>
      </w:r>
      <w:proofErr w:type="spellStart"/>
      <w:r>
        <w:t>the</w:t>
      </w:r>
      <w:proofErr w:type="spellEnd"/>
      <w:r>
        <w:t xml:space="preserve"> </w:t>
      </w:r>
      <w:proofErr w:type="spellStart"/>
      <w:r>
        <w:t>Disabled</w:t>
      </w:r>
      <w:proofErr w:type="spellEnd"/>
      <w:r>
        <w:t xml:space="preserve"> </w:t>
      </w:r>
      <w:proofErr w:type="spellStart"/>
      <w:r>
        <w:t>Persons</w:t>
      </w:r>
      <w:proofErr w:type="spellEnd"/>
      <w:r>
        <w:t xml:space="preserve"> </w:t>
      </w:r>
      <w:proofErr w:type="spellStart"/>
      <w:r>
        <w:t>Community</w:t>
      </w:r>
      <w:proofErr w:type="spellEnd"/>
      <w:r>
        <w:t xml:space="preserve"> </w:t>
      </w:r>
      <w:proofErr w:type="spellStart"/>
      <w:r>
        <w:t>Welfare</w:t>
      </w:r>
      <w:proofErr w:type="spellEnd"/>
      <w:r>
        <w:t xml:space="preserve"> </w:t>
      </w:r>
      <w:proofErr w:type="spellStart"/>
      <w:r>
        <w:t>Act</w:t>
      </w:r>
      <w:proofErr w:type="spellEnd"/>
      <w:r>
        <w:t xml:space="preserve"> 1975.</w:t>
      </w:r>
    </w:p>
  </w:endnote>
  <w:endnote w:id="172">
    <w:p w14:paraId="648B9D04"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Information</w:t>
      </w:r>
      <w:proofErr w:type="spellEnd"/>
      <w:r>
        <w:t xml:space="preserve"> </w:t>
      </w:r>
      <w:proofErr w:type="spellStart"/>
      <w:r>
        <w:t>about</w:t>
      </w:r>
      <w:proofErr w:type="spellEnd"/>
      <w:r>
        <w:t xml:space="preserve"> </w:t>
      </w:r>
      <w:proofErr w:type="spellStart"/>
      <w:r>
        <w:t>the</w:t>
      </w:r>
      <w:proofErr w:type="spellEnd"/>
      <w:r>
        <w:t xml:space="preserve"> </w:t>
      </w:r>
      <w:proofErr w:type="spellStart"/>
      <w:r>
        <w:t>review</w:t>
      </w:r>
      <w:proofErr w:type="spellEnd"/>
      <w:r>
        <w:t xml:space="preserve">, and a </w:t>
      </w:r>
      <w:proofErr w:type="spellStart"/>
      <w:r>
        <w:t>copy</w:t>
      </w:r>
      <w:proofErr w:type="spellEnd"/>
      <w:r>
        <w:t xml:space="preserve"> </w:t>
      </w:r>
      <w:proofErr w:type="spellStart"/>
      <w:r>
        <w:t>of</w:t>
      </w:r>
      <w:proofErr w:type="spellEnd"/>
      <w:r>
        <w:t xml:space="preserve"> </w:t>
      </w:r>
      <w:proofErr w:type="spellStart"/>
      <w:r>
        <w:t>the</w:t>
      </w:r>
      <w:proofErr w:type="spellEnd"/>
      <w:r>
        <w:t xml:space="preserve"> </w:t>
      </w:r>
      <w:proofErr w:type="spellStart"/>
      <w:r>
        <w:t>consultation</w:t>
      </w:r>
      <w:proofErr w:type="spellEnd"/>
      <w:r>
        <w:t xml:space="preserve"> </w:t>
      </w:r>
      <w:proofErr w:type="spellStart"/>
      <w:r>
        <w:t>findings</w:t>
      </w:r>
      <w:proofErr w:type="spellEnd"/>
      <w:r>
        <w:t xml:space="preserve">, are </w:t>
      </w:r>
      <w:proofErr w:type="spellStart"/>
      <w:r>
        <w:t>available</w:t>
      </w:r>
      <w:proofErr w:type="spellEnd"/>
      <w:r>
        <w:t xml:space="preserve"> </w:t>
      </w:r>
      <w:proofErr w:type="spellStart"/>
      <w:r>
        <w:t>on</w:t>
      </w:r>
      <w:proofErr w:type="spellEnd"/>
      <w:r>
        <w:t xml:space="preserve"> </w:t>
      </w:r>
      <w:proofErr w:type="spellStart"/>
      <w:r>
        <w:t>the</w:t>
      </w:r>
      <w:proofErr w:type="spellEnd"/>
      <w:r>
        <w:t xml:space="preserve"> </w:t>
      </w:r>
      <w:proofErr w:type="spellStart"/>
      <w:r>
        <w:t>Ministry</w:t>
      </w:r>
      <w:proofErr w:type="spellEnd"/>
      <w:r>
        <w:t xml:space="preserve"> </w:t>
      </w:r>
      <w:proofErr w:type="spellStart"/>
      <w:r>
        <w:t>of</w:t>
      </w:r>
      <w:proofErr w:type="spellEnd"/>
      <w:r>
        <w:t xml:space="preserve"> Social </w:t>
      </w:r>
      <w:proofErr w:type="spellStart"/>
      <w:r>
        <w:t>Development</w:t>
      </w:r>
      <w:proofErr w:type="spellEnd"/>
      <w:r>
        <w:t xml:space="preserve"> </w:t>
      </w:r>
      <w:proofErr w:type="spellStart"/>
      <w:r>
        <w:t>website</w:t>
      </w:r>
      <w:proofErr w:type="spellEnd"/>
      <w:r>
        <w:t xml:space="preserve">: </w:t>
      </w:r>
      <w:r w:rsidRPr="00193DD1">
        <w:rPr>
          <w:rStyle w:val="Hipervnculo"/>
        </w:rPr>
        <w:t>www.msd.govt.nz/about-msd-and-our-work/work-programmes/policy-development/disabled-children-project/index.html</w:t>
      </w:r>
      <w:r>
        <w:t xml:space="preserve">. </w:t>
      </w:r>
    </w:p>
  </w:endnote>
  <w:endnote w:id="173">
    <w:p w14:paraId="5B139AA3"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Information</w:t>
      </w:r>
      <w:proofErr w:type="spellEnd"/>
      <w:r>
        <w:t xml:space="preserve"> </w:t>
      </w:r>
      <w:proofErr w:type="spellStart"/>
      <w:r>
        <w:t>about</w:t>
      </w:r>
      <w:proofErr w:type="spellEnd"/>
      <w:r>
        <w:t xml:space="preserve"> </w:t>
      </w:r>
      <w:proofErr w:type="spellStart"/>
      <w:r>
        <w:t>the</w:t>
      </w:r>
      <w:proofErr w:type="spellEnd"/>
      <w:r>
        <w:t xml:space="preserve"> </w:t>
      </w:r>
      <w:proofErr w:type="spellStart"/>
      <w:r>
        <w:t>review</w:t>
      </w:r>
      <w:proofErr w:type="spellEnd"/>
      <w:r>
        <w:t xml:space="preserve">, and a </w:t>
      </w:r>
      <w:proofErr w:type="spellStart"/>
      <w:r>
        <w:t>copy</w:t>
      </w:r>
      <w:proofErr w:type="spellEnd"/>
      <w:r>
        <w:t xml:space="preserve"> </w:t>
      </w:r>
      <w:proofErr w:type="spellStart"/>
      <w:r>
        <w:t>of</w:t>
      </w:r>
      <w:proofErr w:type="spellEnd"/>
      <w:r>
        <w:t xml:space="preserve"> </w:t>
      </w:r>
      <w:proofErr w:type="spellStart"/>
      <w:r>
        <w:t>the</w:t>
      </w:r>
      <w:proofErr w:type="spellEnd"/>
      <w:r>
        <w:t xml:space="preserve"> </w:t>
      </w:r>
      <w:proofErr w:type="spellStart"/>
      <w:r>
        <w:t>consultation</w:t>
      </w:r>
      <w:proofErr w:type="spellEnd"/>
      <w:r>
        <w:t xml:space="preserve"> </w:t>
      </w:r>
      <w:proofErr w:type="spellStart"/>
      <w:r>
        <w:t>findings</w:t>
      </w:r>
      <w:proofErr w:type="spellEnd"/>
      <w:r>
        <w:t xml:space="preserve">, are </w:t>
      </w:r>
      <w:proofErr w:type="spellStart"/>
      <w:r>
        <w:t>available</w:t>
      </w:r>
      <w:proofErr w:type="spellEnd"/>
      <w:r>
        <w:t xml:space="preserve"> </w:t>
      </w:r>
      <w:proofErr w:type="spellStart"/>
      <w:r>
        <w:t>on</w:t>
      </w:r>
      <w:proofErr w:type="spellEnd"/>
      <w:r>
        <w:t xml:space="preserve"> </w:t>
      </w:r>
      <w:proofErr w:type="spellStart"/>
      <w:r>
        <w:t>the</w:t>
      </w:r>
      <w:proofErr w:type="spellEnd"/>
      <w:r>
        <w:t xml:space="preserve"> </w:t>
      </w:r>
      <w:proofErr w:type="spellStart"/>
      <w:r>
        <w:t>Ministry</w:t>
      </w:r>
      <w:proofErr w:type="spellEnd"/>
      <w:r>
        <w:t xml:space="preserve"> </w:t>
      </w:r>
      <w:proofErr w:type="spellStart"/>
      <w:r>
        <w:t>of</w:t>
      </w:r>
      <w:proofErr w:type="spellEnd"/>
      <w:r>
        <w:t xml:space="preserve"> Social </w:t>
      </w:r>
      <w:proofErr w:type="spellStart"/>
      <w:r>
        <w:t>Development</w:t>
      </w:r>
      <w:proofErr w:type="spellEnd"/>
      <w:r>
        <w:t xml:space="preserve"> </w:t>
      </w:r>
      <w:proofErr w:type="spellStart"/>
      <w:r>
        <w:t>website</w:t>
      </w:r>
      <w:proofErr w:type="spellEnd"/>
      <w:r>
        <w:t xml:space="preserve">: </w:t>
      </w:r>
      <w:r w:rsidRPr="00193DD1">
        <w:rPr>
          <w:rStyle w:val="Hipervnculo"/>
        </w:rPr>
        <w:t>www.msd.govt.nz/about-msd-and-our-work/work-programmes/policy-development/disabled-children-project/index.html</w:t>
      </w:r>
      <w:r>
        <w:t xml:space="preserve">. </w:t>
      </w:r>
    </w:p>
  </w:endnote>
  <w:endnote w:id="174">
    <w:p w14:paraId="1A205202"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See</w:t>
      </w:r>
      <w:proofErr w:type="spellEnd"/>
      <w:r>
        <w:t xml:space="preserve"> </w:t>
      </w:r>
      <w:r w:rsidRPr="00193DD1">
        <w:rPr>
          <w:rStyle w:val="Hipervnculo"/>
        </w:rPr>
        <w:t>www.legislation.govt.nz/act/public/1955/0093/35.0/DLM292661.html</w:t>
      </w:r>
      <w:r>
        <w:t xml:space="preserve">. </w:t>
      </w:r>
    </w:p>
  </w:endnote>
  <w:endnote w:id="175">
    <w:p w14:paraId="64F6D4B1"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HC</w:t>
      </w:r>
      <w:proofErr w:type="spellEnd"/>
      <w:r>
        <w:t xml:space="preserve"> New Plymouth </w:t>
      </w:r>
      <w:proofErr w:type="spellStart"/>
      <w:r>
        <w:t>CP31</w:t>
      </w:r>
      <w:proofErr w:type="spellEnd"/>
      <w:r>
        <w:t xml:space="preserve">/92, 18 </w:t>
      </w:r>
      <w:proofErr w:type="spellStart"/>
      <w:r>
        <w:t>October</w:t>
      </w:r>
      <w:proofErr w:type="spellEnd"/>
      <w:r>
        <w:t xml:space="preserve"> 1993.</w:t>
      </w:r>
    </w:p>
  </w:endnote>
  <w:endnote w:id="176">
    <w:p w14:paraId="6C4A6C74"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See</w:t>
      </w:r>
      <w:proofErr w:type="spellEnd"/>
      <w:r>
        <w:t xml:space="preserve"> </w:t>
      </w:r>
      <w:r w:rsidRPr="00193DD1">
        <w:rPr>
          <w:rStyle w:val="Hipervnculo"/>
        </w:rPr>
        <w:t>www.healthed.govt.nz/resource/antenatal-screening-and-testing-down-syndrome-and-other-conditions</w:t>
      </w:r>
      <w:r>
        <w:t xml:space="preserve">. </w:t>
      </w:r>
    </w:p>
  </w:endnote>
  <w:endnote w:id="177">
    <w:p w14:paraId="7E2F9C64"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See</w:t>
      </w:r>
      <w:proofErr w:type="spellEnd"/>
      <w:r>
        <w:t xml:space="preserve"> </w:t>
      </w:r>
      <w:r w:rsidRPr="00193DD1">
        <w:rPr>
          <w:rStyle w:val="Hipervnculo"/>
        </w:rPr>
        <w:t>http://</w:t>
      </w:r>
      <w:proofErr w:type="spellStart"/>
      <w:r w:rsidRPr="00193DD1">
        <w:rPr>
          <w:rStyle w:val="Hipervnculo"/>
        </w:rPr>
        <w:t>www.nzdsa.org.nz</w:t>
      </w:r>
      <w:proofErr w:type="spellEnd"/>
      <w:r w:rsidRPr="00193DD1">
        <w:rPr>
          <w:rStyle w:val="Hipervnculo"/>
        </w:rPr>
        <w:t>/</w:t>
      </w:r>
      <w:r>
        <w:t xml:space="preserve">. </w:t>
      </w:r>
    </w:p>
  </w:endnote>
  <w:endnote w:id="178">
    <w:p w14:paraId="038FAB15"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The</w:t>
      </w:r>
      <w:proofErr w:type="spellEnd"/>
      <w:r>
        <w:t xml:space="preserve"> </w:t>
      </w:r>
      <w:proofErr w:type="spellStart"/>
      <w:r>
        <w:t>Education</w:t>
      </w:r>
      <w:proofErr w:type="spellEnd"/>
      <w:r>
        <w:t xml:space="preserve"> </w:t>
      </w:r>
      <w:proofErr w:type="spellStart"/>
      <w:r>
        <w:t>Act</w:t>
      </w:r>
      <w:proofErr w:type="spellEnd"/>
      <w:r>
        <w:t xml:space="preserve"> 1989, </w:t>
      </w:r>
      <w:proofErr w:type="spellStart"/>
      <w:r>
        <w:t>Section</w:t>
      </w:r>
      <w:proofErr w:type="spellEnd"/>
      <w:r>
        <w:t xml:space="preserve"> 8.</w:t>
      </w:r>
    </w:p>
  </w:endnote>
  <w:endnote w:id="179">
    <w:p w14:paraId="39A2F6C2"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The</w:t>
      </w:r>
      <w:proofErr w:type="spellEnd"/>
      <w:r>
        <w:t xml:space="preserve"> Dispute </w:t>
      </w:r>
      <w:proofErr w:type="spellStart"/>
      <w:r>
        <w:t>resolution</w:t>
      </w:r>
      <w:proofErr w:type="spellEnd"/>
      <w:r>
        <w:t xml:space="preserve"> </w:t>
      </w:r>
      <w:proofErr w:type="spellStart"/>
      <w:r>
        <w:t>Process</w:t>
      </w:r>
      <w:proofErr w:type="spellEnd"/>
      <w:r>
        <w:t xml:space="preserve"> </w:t>
      </w:r>
      <w:proofErr w:type="spellStart"/>
      <w:r>
        <w:t>is</w:t>
      </w:r>
      <w:proofErr w:type="spellEnd"/>
      <w:r>
        <w:t xml:space="preserve"> </w:t>
      </w:r>
      <w:proofErr w:type="spellStart"/>
      <w:r>
        <w:t>available</w:t>
      </w:r>
      <w:proofErr w:type="spellEnd"/>
      <w:r>
        <w:t xml:space="preserve"> in Auckland, </w:t>
      </w:r>
      <w:proofErr w:type="spellStart"/>
      <w:r>
        <w:t>Whanganui</w:t>
      </w:r>
      <w:proofErr w:type="spellEnd"/>
      <w:r>
        <w:t>/</w:t>
      </w:r>
      <w:proofErr w:type="spellStart"/>
      <w:r>
        <w:t>Manawatu</w:t>
      </w:r>
      <w:proofErr w:type="spellEnd"/>
      <w:r>
        <w:t>, Nelson/</w:t>
      </w:r>
      <w:proofErr w:type="spellStart"/>
      <w:r>
        <w:t>Marlborough</w:t>
      </w:r>
      <w:proofErr w:type="spellEnd"/>
      <w:r>
        <w:t xml:space="preserve">/West </w:t>
      </w:r>
      <w:proofErr w:type="spellStart"/>
      <w:r>
        <w:t>Coast</w:t>
      </w:r>
      <w:proofErr w:type="spellEnd"/>
      <w:r>
        <w:t xml:space="preserve">. </w:t>
      </w:r>
      <w:proofErr w:type="spellStart"/>
      <w:r>
        <w:t>See</w:t>
      </w:r>
      <w:proofErr w:type="spellEnd"/>
      <w:r>
        <w:t xml:space="preserve"> </w:t>
      </w:r>
      <w:r w:rsidRPr="00193DD1">
        <w:rPr>
          <w:rStyle w:val="Hipervnculo"/>
        </w:rPr>
        <w:t>https://parents.education.govt.nz/learning-support/learning-support-needs/resolving-problems-about-your-childs-learning-support/</w:t>
      </w:r>
      <w:r>
        <w:t>.</w:t>
      </w:r>
    </w:p>
  </w:endnote>
  <w:endnote w:id="180">
    <w:p w14:paraId="3BE137CF" w14:textId="77777777" w:rsidR="003665BE" w:rsidRDefault="003665BE" w:rsidP="00011964">
      <w:pPr>
        <w:pStyle w:val="Textonotaalfinal"/>
      </w:pPr>
      <w:r>
        <w:tab/>
      </w:r>
      <w:r w:rsidRPr="00154216">
        <w:rPr>
          <w:rStyle w:val="Refdenotaalfinal"/>
        </w:rPr>
        <w:endnoteRef/>
      </w:r>
      <w:r w:rsidRPr="00154216">
        <w:rPr>
          <w:rStyle w:val="Refdenotaalfinal"/>
        </w:rPr>
        <w:tab/>
      </w:r>
      <w:r>
        <w:t xml:space="preserve">A </w:t>
      </w:r>
      <w:proofErr w:type="spellStart"/>
      <w:r>
        <w:t>Board</w:t>
      </w:r>
      <w:proofErr w:type="spellEnd"/>
      <w:r>
        <w:t xml:space="preserve"> </w:t>
      </w:r>
      <w:proofErr w:type="spellStart"/>
      <w:r>
        <w:t>of</w:t>
      </w:r>
      <w:proofErr w:type="spellEnd"/>
      <w:r>
        <w:t xml:space="preserve"> </w:t>
      </w:r>
      <w:proofErr w:type="spellStart"/>
      <w:r>
        <w:t>Trustees</w:t>
      </w:r>
      <w:proofErr w:type="spellEnd"/>
      <w:r>
        <w:t xml:space="preserve"> </w:t>
      </w:r>
      <w:proofErr w:type="spellStart"/>
      <w:r>
        <w:t>is</w:t>
      </w:r>
      <w:proofErr w:type="spellEnd"/>
      <w:r>
        <w:t xml:space="preserve"> </w:t>
      </w:r>
      <w:proofErr w:type="spellStart"/>
      <w:r>
        <w:t>the</w:t>
      </w:r>
      <w:proofErr w:type="spellEnd"/>
      <w:r>
        <w:t xml:space="preserve"> </w:t>
      </w:r>
      <w:proofErr w:type="spellStart"/>
      <w:r>
        <w:t>governing</w:t>
      </w:r>
      <w:proofErr w:type="spellEnd"/>
      <w:r>
        <w:t xml:space="preserve"> </w:t>
      </w:r>
      <w:proofErr w:type="spellStart"/>
      <w:r>
        <w:t>body</w:t>
      </w:r>
      <w:proofErr w:type="spellEnd"/>
      <w:r>
        <w:t xml:space="preserve"> </w:t>
      </w:r>
      <w:proofErr w:type="spellStart"/>
      <w:r>
        <w:t>of</w:t>
      </w:r>
      <w:proofErr w:type="spellEnd"/>
      <w:r>
        <w:t xml:space="preserve"> a </w:t>
      </w:r>
      <w:proofErr w:type="spellStart"/>
      <w:r>
        <w:t>school</w:t>
      </w:r>
      <w:proofErr w:type="spellEnd"/>
      <w:r>
        <w:t>.</w:t>
      </w:r>
    </w:p>
  </w:endnote>
  <w:endnote w:id="181">
    <w:p w14:paraId="4A26D70A"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See</w:t>
      </w:r>
      <w:proofErr w:type="spellEnd"/>
      <w:r>
        <w:t xml:space="preserve"> </w:t>
      </w:r>
      <w:r w:rsidRPr="00193DD1">
        <w:rPr>
          <w:rStyle w:val="Hipervnculo"/>
        </w:rPr>
        <w:t>https://</w:t>
      </w:r>
      <w:proofErr w:type="spellStart"/>
      <w:r w:rsidRPr="00193DD1">
        <w:rPr>
          <w:rStyle w:val="Hipervnculo"/>
        </w:rPr>
        <w:t>gazette.govt.nz</w:t>
      </w:r>
      <w:proofErr w:type="spellEnd"/>
      <w:r w:rsidRPr="00193DD1">
        <w:rPr>
          <w:rStyle w:val="Hipervnculo"/>
        </w:rPr>
        <w:t>/</w:t>
      </w:r>
      <w:proofErr w:type="spellStart"/>
      <w:r w:rsidRPr="00193DD1">
        <w:rPr>
          <w:rStyle w:val="Hipervnculo"/>
        </w:rPr>
        <w:t>notice</w:t>
      </w:r>
      <w:proofErr w:type="spellEnd"/>
      <w:r w:rsidRPr="00193DD1">
        <w:rPr>
          <w:rStyle w:val="Hipervnculo"/>
        </w:rPr>
        <w:t>/id/2017-</w:t>
      </w:r>
      <w:proofErr w:type="spellStart"/>
      <w:r w:rsidRPr="00193DD1">
        <w:rPr>
          <w:rStyle w:val="Hipervnculo"/>
        </w:rPr>
        <w:t>gs3288</w:t>
      </w:r>
      <w:proofErr w:type="spellEnd"/>
      <w:r>
        <w:t xml:space="preserve">. </w:t>
      </w:r>
    </w:p>
  </w:endnote>
  <w:endnote w:id="182">
    <w:p w14:paraId="4F14887A"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See</w:t>
      </w:r>
      <w:proofErr w:type="spellEnd"/>
      <w:r>
        <w:t xml:space="preserve"> </w:t>
      </w:r>
      <w:r w:rsidRPr="00193DD1">
        <w:rPr>
          <w:rStyle w:val="Hipervnculo"/>
        </w:rPr>
        <w:t>https://www.beehive.govt.nz/release/new-workforce-game-changer-kids-learning-needs</w:t>
      </w:r>
      <w:r>
        <w:t>.</w:t>
      </w:r>
    </w:p>
  </w:endnote>
  <w:endnote w:id="183">
    <w:p w14:paraId="61C49519" w14:textId="77777777" w:rsidR="003665BE" w:rsidRDefault="003665BE" w:rsidP="00011964">
      <w:pPr>
        <w:pStyle w:val="Textonotaalfinal"/>
      </w:pPr>
      <w:r>
        <w:rPr>
          <w:i/>
        </w:rPr>
        <w:tab/>
      </w:r>
      <w:r w:rsidRPr="00154216">
        <w:rPr>
          <w:rStyle w:val="Refdenotaalfinal"/>
        </w:rPr>
        <w:endnoteRef/>
      </w:r>
      <w:r w:rsidRPr="00154216">
        <w:rPr>
          <w:rStyle w:val="Refdenotaalfinal"/>
        </w:rPr>
        <w:tab/>
      </w:r>
      <w:proofErr w:type="spellStart"/>
      <w:r>
        <w:t>The</w:t>
      </w:r>
      <w:proofErr w:type="spellEnd"/>
      <w:r>
        <w:t xml:space="preserve"> Bullying </w:t>
      </w:r>
      <w:proofErr w:type="spellStart"/>
      <w:r>
        <w:t>Prevention</w:t>
      </w:r>
      <w:proofErr w:type="spellEnd"/>
      <w:r>
        <w:t xml:space="preserve"> </w:t>
      </w:r>
      <w:proofErr w:type="spellStart"/>
      <w:r>
        <w:t>Advisory</w:t>
      </w:r>
      <w:proofErr w:type="spellEnd"/>
      <w:r>
        <w:t xml:space="preserve"> </w:t>
      </w:r>
      <w:proofErr w:type="spellStart"/>
      <w:r>
        <w:t>Group</w:t>
      </w:r>
      <w:proofErr w:type="spellEnd"/>
      <w:r>
        <w:t xml:space="preserve"> </w:t>
      </w:r>
      <w:proofErr w:type="spellStart"/>
      <w:r>
        <w:t>is</w:t>
      </w:r>
      <w:proofErr w:type="spellEnd"/>
      <w:r>
        <w:t xml:space="preserve"> a </w:t>
      </w:r>
      <w:proofErr w:type="spellStart"/>
      <w:r>
        <w:t>partnership</w:t>
      </w:r>
      <w:proofErr w:type="spellEnd"/>
      <w:r>
        <w:t xml:space="preserve"> </w:t>
      </w:r>
      <w:proofErr w:type="spellStart"/>
      <w:r>
        <w:t>of</w:t>
      </w:r>
      <w:proofErr w:type="spellEnd"/>
      <w:r>
        <w:t xml:space="preserve"> 15 </w:t>
      </w:r>
      <w:proofErr w:type="spellStart"/>
      <w:r>
        <w:t>organisations</w:t>
      </w:r>
      <w:proofErr w:type="spellEnd"/>
      <w:r>
        <w:t xml:space="preserve"> </w:t>
      </w:r>
      <w:proofErr w:type="spellStart"/>
      <w:r>
        <w:t>from</w:t>
      </w:r>
      <w:proofErr w:type="spellEnd"/>
      <w:r>
        <w:t xml:space="preserve"> </w:t>
      </w:r>
      <w:proofErr w:type="spellStart"/>
      <w:r>
        <w:t>the</w:t>
      </w:r>
      <w:proofErr w:type="spellEnd"/>
      <w:r>
        <w:t xml:space="preserve"> </w:t>
      </w:r>
      <w:proofErr w:type="spellStart"/>
      <w:r>
        <w:t>education</w:t>
      </w:r>
      <w:proofErr w:type="spellEnd"/>
      <w:r>
        <w:t xml:space="preserve">, </w:t>
      </w:r>
      <w:proofErr w:type="spellStart"/>
      <w:r>
        <w:t>health</w:t>
      </w:r>
      <w:proofErr w:type="spellEnd"/>
      <w:r>
        <w:t xml:space="preserve">, </w:t>
      </w:r>
      <w:proofErr w:type="spellStart"/>
      <w:r>
        <w:t>justice</w:t>
      </w:r>
      <w:proofErr w:type="spellEnd"/>
      <w:r>
        <w:t xml:space="preserve"> and social </w:t>
      </w:r>
      <w:proofErr w:type="spellStart"/>
      <w:r>
        <w:t>sectors</w:t>
      </w:r>
      <w:proofErr w:type="spellEnd"/>
      <w:r>
        <w:t xml:space="preserve"> and internet safety and human </w:t>
      </w:r>
      <w:proofErr w:type="spellStart"/>
      <w:r>
        <w:t>rights</w:t>
      </w:r>
      <w:proofErr w:type="spellEnd"/>
      <w:r>
        <w:t xml:space="preserve"> </w:t>
      </w:r>
      <w:proofErr w:type="spellStart"/>
      <w:r>
        <w:t>advocacy</w:t>
      </w:r>
      <w:proofErr w:type="spellEnd"/>
      <w:r>
        <w:t xml:space="preserve"> </w:t>
      </w:r>
      <w:proofErr w:type="spellStart"/>
      <w:r>
        <w:t>groups</w:t>
      </w:r>
      <w:proofErr w:type="spellEnd"/>
      <w:r>
        <w:t>.</w:t>
      </w:r>
    </w:p>
  </w:endnote>
  <w:endnote w:id="184">
    <w:p w14:paraId="4D98C5AF" w14:textId="77777777" w:rsidR="003665BE" w:rsidRDefault="003665BE" w:rsidP="00011964">
      <w:pPr>
        <w:pStyle w:val="Textonotaalfinal"/>
      </w:pPr>
      <w:r>
        <w:tab/>
      </w:r>
      <w:r w:rsidRPr="00154216">
        <w:rPr>
          <w:rStyle w:val="Refdenotaalfinal"/>
        </w:rPr>
        <w:endnoteRef/>
      </w:r>
      <w:r w:rsidRPr="00154216">
        <w:rPr>
          <w:rStyle w:val="Refdenotaalfinal"/>
        </w:rPr>
        <w:tab/>
      </w:r>
      <w:r>
        <w:t xml:space="preserve">Data </w:t>
      </w:r>
      <w:proofErr w:type="spellStart"/>
      <w:r>
        <w:t>found</w:t>
      </w:r>
      <w:proofErr w:type="spellEnd"/>
      <w:r>
        <w:t xml:space="preserve"> </w:t>
      </w:r>
      <w:proofErr w:type="spellStart"/>
      <w:r>
        <w:t>here</w:t>
      </w:r>
      <w:proofErr w:type="spellEnd"/>
      <w:r>
        <w:t xml:space="preserve">: </w:t>
      </w:r>
      <w:r w:rsidRPr="00193DD1">
        <w:rPr>
          <w:rStyle w:val="Hipervnculo"/>
        </w:rPr>
        <w:t>www.educationcounts.govt.nz/statistics/special-education/ongoing-resourcing-scheme</w:t>
      </w:r>
      <w:r>
        <w:t xml:space="preserve">. </w:t>
      </w:r>
    </w:p>
  </w:endnote>
  <w:endnote w:id="185">
    <w:p w14:paraId="78E4B019" w14:textId="77777777" w:rsidR="003665BE" w:rsidRDefault="003665BE" w:rsidP="00011964">
      <w:pPr>
        <w:pStyle w:val="Textonotaalfinal"/>
      </w:pPr>
      <w:r>
        <w:tab/>
      </w:r>
      <w:r w:rsidRPr="00154216">
        <w:rPr>
          <w:rStyle w:val="Refdenotaalfinal"/>
        </w:rPr>
        <w:endnoteRef/>
      </w:r>
      <w:r w:rsidRPr="00154216">
        <w:rPr>
          <w:rStyle w:val="Refdenotaalfinal"/>
        </w:rPr>
        <w:tab/>
      </w:r>
      <w:r>
        <w:t>“</w:t>
      </w:r>
      <w:proofErr w:type="spellStart"/>
      <w:r>
        <w:t>Kaitakawaenga</w:t>
      </w:r>
      <w:proofErr w:type="spellEnd"/>
      <w:r>
        <w:t xml:space="preserve">” </w:t>
      </w:r>
      <w:proofErr w:type="spellStart"/>
      <w:r>
        <w:t>is</w:t>
      </w:r>
      <w:proofErr w:type="spellEnd"/>
      <w:r>
        <w:t xml:space="preserve"> </w:t>
      </w:r>
      <w:proofErr w:type="spellStart"/>
      <w:r>
        <w:t>the</w:t>
      </w:r>
      <w:proofErr w:type="spellEnd"/>
      <w:r>
        <w:t xml:space="preserve"> Te Reo </w:t>
      </w:r>
      <w:proofErr w:type="spellStart"/>
      <w:r>
        <w:t>word</w:t>
      </w:r>
      <w:proofErr w:type="spellEnd"/>
      <w:r>
        <w:t xml:space="preserve"> </w:t>
      </w:r>
      <w:proofErr w:type="spellStart"/>
      <w:r>
        <w:t>meaning</w:t>
      </w:r>
      <w:proofErr w:type="spellEnd"/>
      <w:r>
        <w:t xml:space="preserve"> “mediator, </w:t>
      </w:r>
      <w:proofErr w:type="spellStart"/>
      <w:r>
        <w:t>arbitrator</w:t>
      </w:r>
      <w:proofErr w:type="spellEnd"/>
      <w:r>
        <w:t>”.</w:t>
      </w:r>
    </w:p>
  </w:endnote>
  <w:endnote w:id="186">
    <w:p w14:paraId="7844B400" w14:textId="77777777" w:rsidR="003665BE" w:rsidRDefault="003665BE" w:rsidP="00011964">
      <w:pPr>
        <w:pStyle w:val="Textonotaalfinal"/>
        <w:rPr>
          <w:highlight w:val="yellow"/>
        </w:rPr>
      </w:pPr>
      <w:r>
        <w:tab/>
      </w:r>
      <w:r w:rsidRPr="00154216">
        <w:rPr>
          <w:rStyle w:val="Refdenotaalfinal"/>
        </w:rPr>
        <w:endnoteRef/>
      </w:r>
      <w:r w:rsidRPr="00154216">
        <w:rPr>
          <w:rStyle w:val="Refdenotaalfinal"/>
        </w:rPr>
        <w:tab/>
      </w:r>
      <w:r>
        <w:t>“</w:t>
      </w:r>
      <w:proofErr w:type="spellStart"/>
      <w:r>
        <w:t>Tamariki</w:t>
      </w:r>
      <w:proofErr w:type="spellEnd"/>
      <w:r>
        <w:t xml:space="preserve">” </w:t>
      </w:r>
      <w:proofErr w:type="spellStart"/>
      <w:r>
        <w:t>is</w:t>
      </w:r>
      <w:proofErr w:type="spellEnd"/>
      <w:r>
        <w:t xml:space="preserve"> </w:t>
      </w:r>
      <w:proofErr w:type="spellStart"/>
      <w:r>
        <w:t>the</w:t>
      </w:r>
      <w:proofErr w:type="spellEnd"/>
      <w:r>
        <w:t xml:space="preserve"> Te Reo </w:t>
      </w:r>
      <w:proofErr w:type="spellStart"/>
      <w:r>
        <w:t>word</w:t>
      </w:r>
      <w:proofErr w:type="spellEnd"/>
      <w:r>
        <w:t xml:space="preserve"> </w:t>
      </w:r>
      <w:proofErr w:type="spellStart"/>
      <w:r>
        <w:t>meaning</w:t>
      </w:r>
      <w:proofErr w:type="spellEnd"/>
      <w:r>
        <w:t xml:space="preserve"> “</w:t>
      </w:r>
      <w:proofErr w:type="spellStart"/>
      <w:r>
        <w:t>children</w:t>
      </w:r>
      <w:proofErr w:type="spellEnd"/>
      <w:r>
        <w:t xml:space="preserve"> – </w:t>
      </w:r>
      <w:proofErr w:type="spellStart"/>
      <w:r>
        <w:t>normally</w:t>
      </w:r>
      <w:proofErr w:type="spellEnd"/>
      <w:r>
        <w:t xml:space="preserve"> </w:t>
      </w:r>
      <w:proofErr w:type="spellStart"/>
      <w:r>
        <w:t>used</w:t>
      </w:r>
      <w:proofErr w:type="spellEnd"/>
      <w:r>
        <w:t xml:space="preserve"> </w:t>
      </w:r>
      <w:proofErr w:type="spellStart"/>
      <w:r>
        <w:t>only</w:t>
      </w:r>
      <w:proofErr w:type="spellEnd"/>
      <w:r>
        <w:t xml:space="preserve"> in </w:t>
      </w:r>
      <w:proofErr w:type="spellStart"/>
      <w:r>
        <w:t>the</w:t>
      </w:r>
      <w:proofErr w:type="spellEnd"/>
      <w:r>
        <w:t xml:space="preserve"> plural” </w:t>
      </w:r>
    </w:p>
  </w:endnote>
  <w:endnote w:id="187">
    <w:p w14:paraId="7EBA6D31" w14:textId="77777777" w:rsidR="003665BE" w:rsidRDefault="003665BE" w:rsidP="00011964">
      <w:pPr>
        <w:pStyle w:val="Textonotaalfinal"/>
      </w:pPr>
      <w:r>
        <w:tab/>
      </w:r>
      <w:r w:rsidRPr="00154216">
        <w:rPr>
          <w:rStyle w:val="Refdenotaalfinal"/>
        </w:rPr>
        <w:endnoteRef/>
      </w:r>
      <w:r w:rsidRPr="00154216">
        <w:rPr>
          <w:rStyle w:val="Refdenotaalfinal"/>
        </w:rPr>
        <w:tab/>
      </w:r>
      <w:r>
        <w:t>“</w:t>
      </w:r>
      <w:proofErr w:type="spellStart"/>
      <w:r>
        <w:t>Whānau</w:t>
      </w:r>
      <w:proofErr w:type="spellEnd"/>
      <w:r>
        <w:t xml:space="preserve">” </w:t>
      </w:r>
      <w:proofErr w:type="spellStart"/>
      <w:r>
        <w:t>is</w:t>
      </w:r>
      <w:proofErr w:type="spellEnd"/>
      <w:r>
        <w:t xml:space="preserve"> </w:t>
      </w:r>
      <w:proofErr w:type="spellStart"/>
      <w:r>
        <w:t>the</w:t>
      </w:r>
      <w:proofErr w:type="spellEnd"/>
      <w:r>
        <w:t xml:space="preserve"> Te Reo </w:t>
      </w:r>
      <w:proofErr w:type="spellStart"/>
      <w:r>
        <w:t>word</w:t>
      </w:r>
      <w:proofErr w:type="spellEnd"/>
      <w:r>
        <w:t xml:space="preserve"> </w:t>
      </w:r>
      <w:proofErr w:type="spellStart"/>
      <w:r>
        <w:t>meaning</w:t>
      </w:r>
      <w:proofErr w:type="spellEnd"/>
      <w:r>
        <w:t xml:space="preserve"> “extended </w:t>
      </w:r>
      <w:proofErr w:type="spellStart"/>
      <w:r>
        <w:t>family</w:t>
      </w:r>
      <w:proofErr w:type="spellEnd"/>
      <w:r>
        <w:t xml:space="preserve">, </w:t>
      </w:r>
      <w:proofErr w:type="spellStart"/>
      <w:r>
        <w:t>family</w:t>
      </w:r>
      <w:proofErr w:type="spellEnd"/>
      <w:r>
        <w:t xml:space="preserve"> </w:t>
      </w:r>
      <w:proofErr w:type="spellStart"/>
      <w:r>
        <w:t>group</w:t>
      </w:r>
      <w:proofErr w:type="spellEnd"/>
      <w:r>
        <w:t xml:space="preserve">, a familiar </w:t>
      </w:r>
      <w:proofErr w:type="spellStart"/>
      <w:r>
        <w:t>term</w:t>
      </w:r>
      <w:proofErr w:type="spellEnd"/>
      <w:r>
        <w:t xml:space="preserve"> </w:t>
      </w:r>
      <w:proofErr w:type="spellStart"/>
      <w:r>
        <w:t>of</w:t>
      </w:r>
      <w:proofErr w:type="spellEnd"/>
      <w:r>
        <w:t xml:space="preserve"> </w:t>
      </w:r>
      <w:proofErr w:type="spellStart"/>
      <w:r>
        <w:t>address</w:t>
      </w:r>
      <w:proofErr w:type="spellEnd"/>
      <w:r>
        <w:t xml:space="preserve"> </w:t>
      </w:r>
      <w:proofErr w:type="spellStart"/>
      <w:r>
        <w:t>to</w:t>
      </w:r>
      <w:proofErr w:type="spellEnd"/>
      <w:r>
        <w:t xml:space="preserve"> a </w:t>
      </w:r>
      <w:proofErr w:type="spellStart"/>
      <w:r>
        <w:t>number</w:t>
      </w:r>
      <w:proofErr w:type="spellEnd"/>
      <w:r>
        <w:t xml:space="preserve"> </w:t>
      </w:r>
      <w:proofErr w:type="spellStart"/>
      <w:r>
        <w:t>of</w:t>
      </w:r>
      <w:proofErr w:type="spellEnd"/>
      <w:r>
        <w:t xml:space="preserve"> </w:t>
      </w:r>
      <w:proofErr w:type="spellStart"/>
      <w:r>
        <w:t>people</w:t>
      </w:r>
      <w:proofErr w:type="spellEnd"/>
      <w:r>
        <w:t xml:space="preserve"> – </w:t>
      </w:r>
      <w:proofErr w:type="spellStart"/>
      <w:r>
        <w:t>the</w:t>
      </w:r>
      <w:proofErr w:type="spellEnd"/>
      <w:r>
        <w:t xml:space="preserve"> </w:t>
      </w:r>
      <w:proofErr w:type="spellStart"/>
      <w:r>
        <w:t>primary</w:t>
      </w:r>
      <w:proofErr w:type="spellEnd"/>
      <w:r>
        <w:t xml:space="preserve"> </w:t>
      </w:r>
      <w:proofErr w:type="spellStart"/>
      <w:r>
        <w:t>economic</w:t>
      </w:r>
      <w:proofErr w:type="spellEnd"/>
      <w:r>
        <w:t xml:space="preserve"> </w:t>
      </w:r>
      <w:proofErr w:type="spellStart"/>
      <w:r>
        <w:t>unit</w:t>
      </w:r>
      <w:proofErr w:type="spellEnd"/>
      <w:r>
        <w:t xml:space="preserve"> </w:t>
      </w:r>
      <w:proofErr w:type="spellStart"/>
      <w:r>
        <w:t>of</w:t>
      </w:r>
      <w:proofErr w:type="spellEnd"/>
      <w:r>
        <w:t xml:space="preserve"> </w:t>
      </w:r>
      <w:proofErr w:type="spellStart"/>
      <w:r>
        <w:t>traditional</w:t>
      </w:r>
      <w:proofErr w:type="spellEnd"/>
      <w:r>
        <w:t xml:space="preserve"> </w:t>
      </w:r>
      <w:proofErr w:type="spellStart"/>
      <w:r>
        <w:t>Māori</w:t>
      </w:r>
      <w:proofErr w:type="spellEnd"/>
      <w:r>
        <w:t xml:space="preserve"> </w:t>
      </w:r>
      <w:proofErr w:type="spellStart"/>
      <w:r>
        <w:t>society</w:t>
      </w:r>
      <w:proofErr w:type="spellEnd"/>
      <w:r>
        <w:t xml:space="preserve">. In </w:t>
      </w:r>
      <w:proofErr w:type="spellStart"/>
      <w:r>
        <w:t>the</w:t>
      </w:r>
      <w:proofErr w:type="spellEnd"/>
      <w:r>
        <w:t xml:space="preserve"> </w:t>
      </w:r>
      <w:proofErr w:type="spellStart"/>
      <w:r>
        <w:t>modern</w:t>
      </w:r>
      <w:proofErr w:type="spellEnd"/>
      <w:r>
        <w:t xml:space="preserve"> </w:t>
      </w:r>
      <w:proofErr w:type="spellStart"/>
      <w:r>
        <w:t>context</w:t>
      </w:r>
      <w:proofErr w:type="spellEnd"/>
      <w:r>
        <w:t xml:space="preserve"> </w:t>
      </w:r>
      <w:proofErr w:type="spellStart"/>
      <w:r>
        <w:t>the</w:t>
      </w:r>
      <w:proofErr w:type="spellEnd"/>
      <w:r>
        <w:t xml:space="preserve"> </w:t>
      </w:r>
      <w:proofErr w:type="spellStart"/>
      <w:r>
        <w:t>term</w:t>
      </w:r>
      <w:proofErr w:type="spellEnd"/>
      <w:r>
        <w:t xml:space="preserve"> </w:t>
      </w:r>
      <w:proofErr w:type="spellStart"/>
      <w:r>
        <w:t>is</w:t>
      </w:r>
      <w:proofErr w:type="spellEnd"/>
      <w:r>
        <w:t xml:space="preserve"> </w:t>
      </w:r>
      <w:proofErr w:type="spellStart"/>
      <w:r>
        <w:t>sometimes</w:t>
      </w:r>
      <w:proofErr w:type="spellEnd"/>
      <w:r>
        <w:t xml:space="preserve"> </w:t>
      </w:r>
      <w:proofErr w:type="spellStart"/>
      <w:r>
        <w:t>used</w:t>
      </w:r>
      <w:proofErr w:type="spellEnd"/>
      <w:r>
        <w:t xml:space="preserve"> </w:t>
      </w:r>
      <w:proofErr w:type="spellStart"/>
      <w:r>
        <w:t>to</w:t>
      </w:r>
      <w:proofErr w:type="spellEnd"/>
      <w:r>
        <w:t xml:space="preserve"> </w:t>
      </w:r>
      <w:proofErr w:type="spellStart"/>
      <w:r>
        <w:t>include</w:t>
      </w:r>
      <w:proofErr w:type="spellEnd"/>
      <w:r>
        <w:t xml:space="preserve"> </w:t>
      </w:r>
      <w:proofErr w:type="spellStart"/>
      <w:r>
        <w:t>friends</w:t>
      </w:r>
      <w:proofErr w:type="spellEnd"/>
      <w:r>
        <w:t xml:space="preserve"> </w:t>
      </w:r>
      <w:proofErr w:type="spellStart"/>
      <w:r>
        <w:t>who</w:t>
      </w:r>
      <w:proofErr w:type="spellEnd"/>
      <w:r>
        <w:t xml:space="preserve"> </w:t>
      </w:r>
      <w:proofErr w:type="spellStart"/>
      <w:r>
        <w:t>may</w:t>
      </w:r>
      <w:proofErr w:type="spellEnd"/>
      <w:r>
        <w:t xml:space="preserve"> </w:t>
      </w:r>
      <w:proofErr w:type="spellStart"/>
      <w:r>
        <w:t>not</w:t>
      </w:r>
      <w:proofErr w:type="spellEnd"/>
      <w:r>
        <w:t xml:space="preserve"> </w:t>
      </w:r>
      <w:proofErr w:type="spellStart"/>
      <w:r>
        <w:t>have</w:t>
      </w:r>
      <w:proofErr w:type="spellEnd"/>
      <w:r>
        <w:t xml:space="preserve"> </w:t>
      </w:r>
      <w:proofErr w:type="spellStart"/>
      <w:r>
        <w:t>any</w:t>
      </w:r>
      <w:proofErr w:type="spellEnd"/>
      <w:r>
        <w:t xml:space="preserve"> </w:t>
      </w:r>
      <w:proofErr w:type="spellStart"/>
      <w:r>
        <w:t>kinship</w:t>
      </w:r>
      <w:proofErr w:type="spellEnd"/>
      <w:r>
        <w:t xml:space="preserve"> </w:t>
      </w:r>
      <w:proofErr w:type="spellStart"/>
      <w:r>
        <w:t>ties</w:t>
      </w:r>
      <w:proofErr w:type="spellEnd"/>
      <w:r>
        <w:t xml:space="preserve"> </w:t>
      </w:r>
      <w:proofErr w:type="spellStart"/>
      <w:r>
        <w:t>to</w:t>
      </w:r>
      <w:proofErr w:type="spellEnd"/>
      <w:r>
        <w:t xml:space="preserve"> </w:t>
      </w:r>
      <w:proofErr w:type="spellStart"/>
      <w:r>
        <w:t>other</w:t>
      </w:r>
      <w:proofErr w:type="spellEnd"/>
      <w:r>
        <w:t xml:space="preserve"> </w:t>
      </w:r>
      <w:proofErr w:type="spellStart"/>
      <w:r>
        <w:t>members</w:t>
      </w:r>
      <w:proofErr w:type="spellEnd"/>
      <w:r>
        <w:t>.</w:t>
      </w:r>
    </w:p>
  </w:endnote>
  <w:endnote w:id="188">
    <w:p w14:paraId="50FBE11E" w14:textId="77777777" w:rsidR="003665BE" w:rsidRDefault="003665BE" w:rsidP="00011964">
      <w:pPr>
        <w:pStyle w:val="Textonotaalfinal"/>
        <w:rPr>
          <w:highlight w:val="yellow"/>
        </w:rPr>
      </w:pPr>
      <w:r>
        <w:tab/>
      </w:r>
      <w:r w:rsidRPr="00154216">
        <w:rPr>
          <w:rStyle w:val="Refdenotaalfinal"/>
        </w:rPr>
        <w:endnoteRef/>
      </w:r>
      <w:r w:rsidRPr="00154216">
        <w:rPr>
          <w:rStyle w:val="Refdenotaalfinal"/>
        </w:rPr>
        <w:tab/>
      </w:r>
      <w:r>
        <w:t>“</w:t>
      </w:r>
      <w:proofErr w:type="spellStart"/>
      <w:r>
        <w:t>Hapū</w:t>
      </w:r>
      <w:proofErr w:type="spellEnd"/>
      <w:r>
        <w:t xml:space="preserve">” </w:t>
      </w:r>
      <w:proofErr w:type="spellStart"/>
      <w:r>
        <w:t>is</w:t>
      </w:r>
      <w:proofErr w:type="spellEnd"/>
      <w:r>
        <w:t xml:space="preserve"> </w:t>
      </w:r>
      <w:proofErr w:type="spellStart"/>
      <w:r>
        <w:t>the</w:t>
      </w:r>
      <w:proofErr w:type="spellEnd"/>
      <w:r>
        <w:t xml:space="preserve"> Te Reo </w:t>
      </w:r>
      <w:proofErr w:type="spellStart"/>
      <w:r>
        <w:t>word</w:t>
      </w:r>
      <w:proofErr w:type="spellEnd"/>
      <w:r>
        <w:t xml:space="preserve"> </w:t>
      </w:r>
      <w:proofErr w:type="spellStart"/>
      <w:r>
        <w:t>meaning</w:t>
      </w:r>
      <w:proofErr w:type="spellEnd"/>
      <w:r>
        <w:t xml:space="preserve"> “</w:t>
      </w:r>
      <w:proofErr w:type="spellStart"/>
      <w:r>
        <w:t>kinship</w:t>
      </w:r>
      <w:proofErr w:type="spellEnd"/>
      <w:r>
        <w:t xml:space="preserve"> </w:t>
      </w:r>
      <w:proofErr w:type="spellStart"/>
      <w:r>
        <w:t>group</w:t>
      </w:r>
      <w:proofErr w:type="spellEnd"/>
      <w:r>
        <w:t xml:space="preserve">, clan, </w:t>
      </w:r>
      <w:proofErr w:type="spellStart"/>
      <w:r>
        <w:t>tribe</w:t>
      </w:r>
      <w:proofErr w:type="spellEnd"/>
      <w:r>
        <w:t xml:space="preserve">, </w:t>
      </w:r>
      <w:proofErr w:type="spellStart"/>
      <w:r>
        <w:t>subtribe</w:t>
      </w:r>
      <w:proofErr w:type="spellEnd"/>
      <w:r>
        <w:t xml:space="preserve"> – </w:t>
      </w:r>
      <w:proofErr w:type="spellStart"/>
      <w:r>
        <w:t>section</w:t>
      </w:r>
      <w:proofErr w:type="spellEnd"/>
      <w:r>
        <w:t xml:space="preserve"> </w:t>
      </w:r>
      <w:proofErr w:type="spellStart"/>
      <w:r>
        <w:t>of</w:t>
      </w:r>
      <w:proofErr w:type="spellEnd"/>
      <w:r>
        <w:t xml:space="preserve"> a </w:t>
      </w:r>
      <w:proofErr w:type="spellStart"/>
      <w:r>
        <w:t>large</w:t>
      </w:r>
      <w:proofErr w:type="spellEnd"/>
      <w:r>
        <w:t xml:space="preserve"> </w:t>
      </w:r>
      <w:proofErr w:type="spellStart"/>
      <w:r>
        <w:t>kinship</w:t>
      </w:r>
      <w:proofErr w:type="spellEnd"/>
      <w:r>
        <w:t xml:space="preserve"> </w:t>
      </w:r>
      <w:proofErr w:type="spellStart"/>
      <w:r>
        <w:t>group</w:t>
      </w:r>
      <w:proofErr w:type="spellEnd"/>
      <w:r>
        <w:t xml:space="preserve"> and </w:t>
      </w:r>
      <w:proofErr w:type="spellStart"/>
      <w:r>
        <w:t>the</w:t>
      </w:r>
      <w:proofErr w:type="spellEnd"/>
      <w:r>
        <w:t xml:space="preserve"> </w:t>
      </w:r>
      <w:proofErr w:type="spellStart"/>
      <w:r>
        <w:t>primary</w:t>
      </w:r>
      <w:proofErr w:type="spellEnd"/>
      <w:r>
        <w:t xml:space="preserve"> </w:t>
      </w:r>
      <w:proofErr w:type="spellStart"/>
      <w:r>
        <w:t>political</w:t>
      </w:r>
      <w:proofErr w:type="spellEnd"/>
      <w:r>
        <w:t xml:space="preserve"> </w:t>
      </w:r>
      <w:proofErr w:type="spellStart"/>
      <w:r>
        <w:t>unit</w:t>
      </w:r>
      <w:proofErr w:type="spellEnd"/>
      <w:r>
        <w:t xml:space="preserve"> in </w:t>
      </w:r>
      <w:proofErr w:type="spellStart"/>
      <w:r>
        <w:t>traditional</w:t>
      </w:r>
      <w:proofErr w:type="spellEnd"/>
      <w:r>
        <w:t xml:space="preserve"> </w:t>
      </w:r>
      <w:proofErr w:type="spellStart"/>
      <w:r>
        <w:t>Māori</w:t>
      </w:r>
      <w:proofErr w:type="spellEnd"/>
      <w:r>
        <w:t xml:space="preserve"> </w:t>
      </w:r>
      <w:proofErr w:type="spellStart"/>
      <w:r>
        <w:t>society</w:t>
      </w:r>
      <w:proofErr w:type="spellEnd"/>
      <w:r>
        <w:t xml:space="preserve">. </w:t>
      </w:r>
      <w:proofErr w:type="spellStart"/>
      <w:r>
        <w:t>It</w:t>
      </w:r>
      <w:proofErr w:type="spellEnd"/>
      <w:r>
        <w:t xml:space="preserve"> </w:t>
      </w:r>
      <w:proofErr w:type="spellStart"/>
      <w:r>
        <w:t>consisted</w:t>
      </w:r>
      <w:proofErr w:type="spellEnd"/>
      <w:r>
        <w:t xml:space="preserve"> </w:t>
      </w:r>
      <w:proofErr w:type="spellStart"/>
      <w:r>
        <w:t>of</w:t>
      </w:r>
      <w:proofErr w:type="spellEnd"/>
      <w:r>
        <w:t xml:space="preserve"> a </w:t>
      </w:r>
      <w:proofErr w:type="spellStart"/>
      <w:r>
        <w:t>number</w:t>
      </w:r>
      <w:proofErr w:type="spellEnd"/>
      <w:r>
        <w:t xml:space="preserve"> </w:t>
      </w:r>
      <w:proofErr w:type="spellStart"/>
      <w:r>
        <w:t>of</w:t>
      </w:r>
      <w:proofErr w:type="spellEnd"/>
      <w:r>
        <w:t xml:space="preserve"> </w:t>
      </w:r>
      <w:proofErr w:type="spellStart"/>
      <w:r>
        <w:t>whānau</w:t>
      </w:r>
      <w:proofErr w:type="spellEnd"/>
      <w:r>
        <w:t xml:space="preserve"> </w:t>
      </w:r>
      <w:proofErr w:type="spellStart"/>
      <w:r>
        <w:t>sharing</w:t>
      </w:r>
      <w:proofErr w:type="spellEnd"/>
      <w:r>
        <w:t xml:space="preserve"> </w:t>
      </w:r>
      <w:proofErr w:type="spellStart"/>
      <w:r>
        <w:t>descent</w:t>
      </w:r>
      <w:proofErr w:type="spellEnd"/>
      <w:r>
        <w:t xml:space="preserve"> </w:t>
      </w:r>
      <w:proofErr w:type="spellStart"/>
      <w:r>
        <w:t>from</w:t>
      </w:r>
      <w:proofErr w:type="spellEnd"/>
      <w:r>
        <w:t xml:space="preserve"> a </w:t>
      </w:r>
      <w:proofErr w:type="spellStart"/>
      <w:r>
        <w:t>common</w:t>
      </w:r>
      <w:proofErr w:type="spellEnd"/>
      <w:r>
        <w:t xml:space="preserve"> </w:t>
      </w:r>
      <w:proofErr w:type="spellStart"/>
      <w:r>
        <w:t>ancestor</w:t>
      </w:r>
      <w:proofErr w:type="spellEnd"/>
      <w:r>
        <w:t xml:space="preserve">, </w:t>
      </w:r>
      <w:proofErr w:type="spellStart"/>
      <w:r>
        <w:t>usually</w:t>
      </w:r>
      <w:proofErr w:type="spellEnd"/>
      <w:r>
        <w:t xml:space="preserve"> </w:t>
      </w:r>
      <w:proofErr w:type="spellStart"/>
      <w:r>
        <w:t>being</w:t>
      </w:r>
      <w:proofErr w:type="spellEnd"/>
      <w:r>
        <w:t xml:space="preserve"> </w:t>
      </w:r>
      <w:proofErr w:type="spellStart"/>
      <w:r>
        <w:t>named</w:t>
      </w:r>
      <w:proofErr w:type="spellEnd"/>
      <w:r>
        <w:t xml:space="preserve"> after </w:t>
      </w:r>
      <w:proofErr w:type="spellStart"/>
      <w:r>
        <w:t>the</w:t>
      </w:r>
      <w:proofErr w:type="spellEnd"/>
      <w:r>
        <w:t xml:space="preserve"> </w:t>
      </w:r>
      <w:proofErr w:type="spellStart"/>
      <w:r>
        <w:t>ancestor</w:t>
      </w:r>
      <w:proofErr w:type="spellEnd"/>
      <w:r>
        <w:t xml:space="preserve">, </w:t>
      </w:r>
      <w:proofErr w:type="spellStart"/>
      <w:r>
        <w:t>but</w:t>
      </w:r>
      <w:proofErr w:type="spellEnd"/>
      <w:r>
        <w:t xml:space="preserve"> </w:t>
      </w:r>
      <w:proofErr w:type="spellStart"/>
      <w:r>
        <w:t>sometimes</w:t>
      </w:r>
      <w:proofErr w:type="spellEnd"/>
      <w:r>
        <w:t xml:space="preserve"> </w:t>
      </w:r>
      <w:proofErr w:type="spellStart"/>
      <w:r>
        <w:t>from</w:t>
      </w:r>
      <w:proofErr w:type="spellEnd"/>
      <w:r>
        <w:t xml:space="preserve"> </w:t>
      </w:r>
      <w:proofErr w:type="spellStart"/>
      <w:r>
        <w:t>an</w:t>
      </w:r>
      <w:proofErr w:type="spellEnd"/>
      <w:r>
        <w:t xml:space="preserve"> </w:t>
      </w:r>
      <w:proofErr w:type="spellStart"/>
      <w:r>
        <w:t>important</w:t>
      </w:r>
      <w:proofErr w:type="spellEnd"/>
      <w:r>
        <w:t xml:space="preserve"> </w:t>
      </w:r>
      <w:proofErr w:type="spellStart"/>
      <w:r>
        <w:t>event</w:t>
      </w:r>
      <w:proofErr w:type="spellEnd"/>
      <w:r>
        <w:t xml:space="preserve"> in </w:t>
      </w:r>
      <w:proofErr w:type="spellStart"/>
      <w:r>
        <w:t>the</w:t>
      </w:r>
      <w:proofErr w:type="spellEnd"/>
      <w:r>
        <w:t xml:space="preserve"> </w:t>
      </w:r>
      <w:proofErr w:type="spellStart"/>
      <w:r>
        <w:t>group’s</w:t>
      </w:r>
      <w:proofErr w:type="spellEnd"/>
      <w:r>
        <w:t xml:space="preserve"> </w:t>
      </w:r>
      <w:proofErr w:type="spellStart"/>
      <w:r>
        <w:t>history</w:t>
      </w:r>
      <w:proofErr w:type="spellEnd"/>
      <w:r>
        <w:t xml:space="preserve">. A </w:t>
      </w:r>
      <w:proofErr w:type="spellStart"/>
      <w:r>
        <w:t>number</w:t>
      </w:r>
      <w:proofErr w:type="spellEnd"/>
      <w:r>
        <w:t xml:space="preserve"> </w:t>
      </w:r>
      <w:proofErr w:type="spellStart"/>
      <w:r>
        <w:t>of</w:t>
      </w:r>
      <w:proofErr w:type="spellEnd"/>
      <w:r>
        <w:t xml:space="preserve"> </w:t>
      </w:r>
      <w:proofErr w:type="spellStart"/>
      <w:r>
        <w:t>related</w:t>
      </w:r>
      <w:proofErr w:type="spellEnd"/>
      <w:r>
        <w:t xml:space="preserve"> </w:t>
      </w:r>
      <w:proofErr w:type="spellStart"/>
      <w:r>
        <w:t>hapū</w:t>
      </w:r>
      <w:proofErr w:type="spellEnd"/>
      <w:r>
        <w:t xml:space="preserve"> </w:t>
      </w:r>
      <w:proofErr w:type="spellStart"/>
      <w:r>
        <w:t>usually</w:t>
      </w:r>
      <w:proofErr w:type="spellEnd"/>
      <w:r>
        <w:t xml:space="preserve"> </w:t>
      </w:r>
      <w:proofErr w:type="spellStart"/>
      <w:r>
        <w:t>shared</w:t>
      </w:r>
      <w:proofErr w:type="spellEnd"/>
      <w:r>
        <w:t xml:space="preserve"> </w:t>
      </w:r>
      <w:proofErr w:type="spellStart"/>
      <w:r>
        <w:t>adjacent</w:t>
      </w:r>
      <w:proofErr w:type="spellEnd"/>
      <w:r>
        <w:t xml:space="preserve"> </w:t>
      </w:r>
      <w:proofErr w:type="spellStart"/>
      <w:r>
        <w:t>territories</w:t>
      </w:r>
      <w:proofErr w:type="spellEnd"/>
      <w:r>
        <w:t xml:space="preserve"> </w:t>
      </w:r>
      <w:proofErr w:type="spellStart"/>
      <w:r>
        <w:t>forming</w:t>
      </w:r>
      <w:proofErr w:type="spellEnd"/>
      <w:r>
        <w:t xml:space="preserve"> a </w:t>
      </w:r>
      <w:proofErr w:type="spellStart"/>
      <w:r>
        <w:t>looser</w:t>
      </w:r>
      <w:proofErr w:type="spellEnd"/>
      <w:r>
        <w:t xml:space="preserve"> tribal </w:t>
      </w:r>
      <w:proofErr w:type="spellStart"/>
      <w:r>
        <w:t>federation</w:t>
      </w:r>
      <w:proofErr w:type="spellEnd"/>
      <w:r>
        <w:t xml:space="preserve"> (</w:t>
      </w:r>
      <w:proofErr w:type="spellStart"/>
      <w:r>
        <w:t>iwi</w:t>
      </w:r>
      <w:proofErr w:type="spellEnd"/>
      <w:r>
        <w:t>).”</w:t>
      </w:r>
    </w:p>
  </w:endnote>
  <w:endnote w:id="189">
    <w:p w14:paraId="69F82086" w14:textId="77777777" w:rsidR="003665BE" w:rsidRDefault="003665BE" w:rsidP="00011964">
      <w:pPr>
        <w:pStyle w:val="Textonotaalfinal"/>
      </w:pPr>
      <w:r>
        <w:tab/>
      </w:r>
      <w:r w:rsidRPr="00154216">
        <w:rPr>
          <w:rStyle w:val="Refdenotaalfinal"/>
        </w:rPr>
        <w:endnoteRef/>
      </w:r>
      <w:r w:rsidRPr="00154216">
        <w:rPr>
          <w:rStyle w:val="Refdenotaalfinal"/>
        </w:rPr>
        <w:tab/>
      </w:r>
      <w:r>
        <w:t>“</w:t>
      </w:r>
      <w:proofErr w:type="spellStart"/>
      <w:r>
        <w:t>Iwi</w:t>
      </w:r>
      <w:proofErr w:type="spellEnd"/>
      <w:r>
        <w:t xml:space="preserve">” </w:t>
      </w:r>
      <w:proofErr w:type="spellStart"/>
      <w:r>
        <w:t>is</w:t>
      </w:r>
      <w:proofErr w:type="spellEnd"/>
      <w:r>
        <w:t xml:space="preserve"> </w:t>
      </w:r>
      <w:proofErr w:type="spellStart"/>
      <w:r>
        <w:t>the</w:t>
      </w:r>
      <w:proofErr w:type="spellEnd"/>
      <w:r>
        <w:t xml:space="preserve"> Te Reo </w:t>
      </w:r>
      <w:proofErr w:type="spellStart"/>
      <w:r>
        <w:t>word</w:t>
      </w:r>
      <w:proofErr w:type="spellEnd"/>
      <w:r>
        <w:t xml:space="preserve"> </w:t>
      </w:r>
      <w:proofErr w:type="spellStart"/>
      <w:r>
        <w:t>meaning</w:t>
      </w:r>
      <w:proofErr w:type="spellEnd"/>
      <w:r>
        <w:t xml:space="preserve"> “extended </w:t>
      </w:r>
      <w:proofErr w:type="spellStart"/>
      <w:r>
        <w:t>kinship</w:t>
      </w:r>
      <w:proofErr w:type="spellEnd"/>
      <w:r>
        <w:t xml:space="preserve"> </w:t>
      </w:r>
      <w:proofErr w:type="spellStart"/>
      <w:r>
        <w:t>group</w:t>
      </w:r>
      <w:proofErr w:type="spellEnd"/>
      <w:r>
        <w:t xml:space="preserve">, </w:t>
      </w:r>
      <w:proofErr w:type="spellStart"/>
      <w:r>
        <w:t>tribe</w:t>
      </w:r>
      <w:proofErr w:type="spellEnd"/>
      <w:r>
        <w:t xml:space="preserve">, </w:t>
      </w:r>
      <w:proofErr w:type="spellStart"/>
      <w:r>
        <w:t>nation</w:t>
      </w:r>
      <w:proofErr w:type="spellEnd"/>
      <w:r>
        <w:t xml:space="preserve">, </w:t>
      </w:r>
      <w:proofErr w:type="spellStart"/>
      <w:r>
        <w:t>people</w:t>
      </w:r>
      <w:proofErr w:type="spellEnd"/>
      <w:r>
        <w:t xml:space="preserve">, </w:t>
      </w:r>
      <w:proofErr w:type="spellStart"/>
      <w:r>
        <w:t>nationality</w:t>
      </w:r>
      <w:proofErr w:type="spellEnd"/>
      <w:r>
        <w:t xml:space="preserve">, </w:t>
      </w:r>
      <w:proofErr w:type="spellStart"/>
      <w:r>
        <w:t>race</w:t>
      </w:r>
      <w:proofErr w:type="spellEnd"/>
      <w:r>
        <w:t xml:space="preserve"> – </w:t>
      </w:r>
      <w:proofErr w:type="spellStart"/>
      <w:r>
        <w:t>often</w:t>
      </w:r>
      <w:proofErr w:type="spellEnd"/>
      <w:r>
        <w:t xml:space="preserve"> </w:t>
      </w:r>
      <w:proofErr w:type="spellStart"/>
      <w:r>
        <w:t>refers</w:t>
      </w:r>
      <w:proofErr w:type="spellEnd"/>
      <w:r>
        <w:t xml:space="preserve"> </w:t>
      </w:r>
      <w:proofErr w:type="spellStart"/>
      <w:r>
        <w:t>to</w:t>
      </w:r>
      <w:proofErr w:type="spellEnd"/>
      <w:r>
        <w:t xml:space="preserve"> a </w:t>
      </w:r>
      <w:proofErr w:type="spellStart"/>
      <w:r>
        <w:t>large</w:t>
      </w:r>
      <w:proofErr w:type="spellEnd"/>
      <w:r>
        <w:t xml:space="preserve"> </w:t>
      </w:r>
      <w:proofErr w:type="spellStart"/>
      <w:r>
        <w:t>group</w:t>
      </w:r>
      <w:proofErr w:type="spellEnd"/>
      <w:r>
        <w:t xml:space="preserve"> </w:t>
      </w:r>
      <w:proofErr w:type="spellStart"/>
      <w:r>
        <w:t>of</w:t>
      </w:r>
      <w:proofErr w:type="spellEnd"/>
      <w:r>
        <w:t xml:space="preserve"> </w:t>
      </w:r>
      <w:proofErr w:type="spellStart"/>
      <w:r>
        <w:t>people</w:t>
      </w:r>
      <w:proofErr w:type="spellEnd"/>
      <w:r>
        <w:t xml:space="preserve"> descended </w:t>
      </w:r>
      <w:proofErr w:type="spellStart"/>
      <w:r>
        <w:t>from</w:t>
      </w:r>
      <w:proofErr w:type="spellEnd"/>
      <w:r>
        <w:t xml:space="preserve"> a </w:t>
      </w:r>
      <w:proofErr w:type="spellStart"/>
      <w:r>
        <w:t>common</w:t>
      </w:r>
      <w:proofErr w:type="spellEnd"/>
      <w:r>
        <w:t xml:space="preserve"> </w:t>
      </w:r>
      <w:proofErr w:type="spellStart"/>
      <w:r>
        <w:t>ancestor</w:t>
      </w:r>
      <w:proofErr w:type="spellEnd"/>
      <w:r>
        <w:t xml:space="preserve"> and </w:t>
      </w:r>
      <w:proofErr w:type="spellStart"/>
      <w:r>
        <w:t>associated</w:t>
      </w:r>
      <w:proofErr w:type="spellEnd"/>
      <w:r>
        <w:t xml:space="preserve"> </w:t>
      </w:r>
      <w:proofErr w:type="spellStart"/>
      <w:r>
        <w:t>with</w:t>
      </w:r>
      <w:proofErr w:type="spellEnd"/>
      <w:r>
        <w:t xml:space="preserve"> a </w:t>
      </w:r>
      <w:proofErr w:type="spellStart"/>
      <w:r>
        <w:t>distinct</w:t>
      </w:r>
      <w:proofErr w:type="spellEnd"/>
      <w:r>
        <w:t xml:space="preserve"> </w:t>
      </w:r>
      <w:proofErr w:type="spellStart"/>
      <w:r>
        <w:t>territory</w:t>
      </w:r>
      <w:proofErr w:type="spellEnd"/>
      <w:r>
        <w:t>.”</w:t>
      </w:r>
    </w:p>
  </w:endnote>
  <w:endnote w:id="190">
    <w:p w14:paraId="6F04B2B5"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See</w:t>
      </w:r>
      <w:proofErr w:type="spellEnd"/>
      <w:r>
        <w:t xml:space="preserve"> </w:t>
      </w:r>
      <w:r w:rsidRPr="00193DD1">
        <w:rPr>
          <w:rStyle w:val="Hipervnculo"/>
        </w:rPr>
        <w:t>www.odi.govt.nz/nz-disability-strategy/outcome-3-health-and-wellbeing/</w:t>
      </w:r>
      <w:r>
        <w:t xml:space="preserve"> </w:t>
      </w:r>
    </w:p>
  </w:endnote>
  <w:endnote w:id="191">
    <w:p w14:paraId="2248B787"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See</w:t>
      </w:r>
      <w:proofErr w:type="spellEnd"/>
      <w:r>
        <w:t xml:space="preserve"> </w:t>
      </w:r>
      <w:r w:rsidRPr="00193DD1">
        <w:rPr>
          <w:rStyle w:val="Hipervnculo"/>
        </w:rPr>
        <w:t>www.tepou.co.nz/uploads/files/resource-assets/improving-access-to-primary-care-for-disabled-people.pdf</w:t>
      </w:r>
      <w:r>
        <w:t xml:space="preserve"> (2013).</w:t>
      </w:r>
    </w:p>
  </w:endnote>
  <w:endnote w:id="192">
    <w:p w14:paraId="5AB56D90" w14:textId="77777777" w:rsidR="003665BE" w:rsidRDefault="003665BE" w:rsidP="00011964">
      <w:pPr>
        <w:pStyle w:val="Textonotaalfinal"/>
      </w:pPr>
      <w:r>
        <w:tab/>
      </w:r>
      <w:r w:rsidRPr="00154216">
        <w:rPr>
          <w:rStyle w:val="Refdenotaalfinal"/>
        </w:rPr>
        <w:endnoteRef/>
      </w:r>
      <w:r w:rsidRPr="00154216">
        <w:rPr>
          <w:rStyle w:val="Refdenotaalfinal"/>
        </w:rPr>
        <w:tab/>
      </w:r>
      <w:r>
        <w:t xml:space="preserve">“he </w:t>
      </w:r>
      <w:proofErr w:type="spellStart"/>
      <w:r>
        <w:t>korowai</w:t>
      </w:r>
      <w:proofErr w:type="spellEnd"/>
      <w:r>
        <w:t xml:space="preserve"> </w:t>
      </w:r>
      <w:proofErr w:type="spellStart"/>
      <w:r>
        <w:t>oranga</w:t>
      </w:r>
      <w:proofErr w:type="spellEnd"/>
      <w:r>
        <w:t xml:space="preserve">” </w:t>
      </w:r>
      <w:proofErr w:type="spellStart"/>
      <w:r>
        <w:t>is</w:t>
      </w:r>
      <w:proofErr w:type="spellEnd"/>
      <w:r>
        <w:t xml:space="preserve"> Te Reo </w:t>
      </w:r>
      <w:proofErr w:type="spellStart"/>
      <w:r>
        <w:t>meaning</w:t>
      </w:r>
      <w:proofErr w:type="spellEnd"/>
      <w:r>
        <w:t xml:space="preserve"> “</w:t>
      </w:r>
      <w:proofErr w:type="spellStart"/>
      <w:r>
        <w:t>the</w:t>
      </w:r>
      <w:proofErr w:type="spellEnd"/>
      <w:r>
        <w:t xml:space="preserve"> </w:t>
      </w:r>
      <w:proofErr w:type="spellStart"/>
      <w:r>
        <w:t>cloak</w:t>
      </w:r>
      <w:proofErr w:type="spellEnd"/>
      <w:r>
        <w:t xml:space="preserve"> </w:t>
      </w:r>
      <w:proofErr w:type="spellStart"/>
      <w:r>
        <w:t>of</w:t>
      </w:r>
      <w:proofErr w:type="spellEnd"/>
      <w:r>
        <w:t xml:space="preserve"> </w:t>
      </w:r>
      <w:proofErr w:type="spellStart"/>
      <w:r>
        <w:t>wellness</w:t>
      </w:r>
      <w:proofErr w:type="spellEnd"/>
      <w:r>
        <w:t xml:space="preserve">”. </w:t>
      </w:r>
    </w:p>
  </w:endnote>
  <w:endnote w:id="193">
    <w:p w14:paraId="7D391E00"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See</w:t>
      </w:r>
      <w:proofErr w:type="spellEnd"/>
      <w:r>
        <w:t xml:space="preserve"> </w:t>
      </w:r>
      <w:r w:rsidRPr="00193DD1">
        <w:rPr>
          <w:rStyle w:val="Hipervnculo"/>
        </w:rPr>
        <w:t>www.health.govt.nz/our-work/populations/maori-health/he-korowai-oranga</w:t>
      </w:r>
      <w:r>
        <w:t xml:space="preserve">. </w:t>
      </w:r>
    </w:p>
  </w:endnote>
  <w:endnote w:id="194">
    <w:p w14:paraId="1340ED66" w14:textId="77777777" w:rsidR="003665BE" w:rsidRDefault="003665BE" w:rsidP="00011964">
      <w:pPr>
        <w:pStyle w:val="Textonotaalfinal"/>
      </w:pPr>
      <w:r>
        <w:tab/>
      </w:r>
      <w:r w:rsidRPr="00154216">
        <w:rPr>
          <w:rStyle w:val="Refdenotaalfinal"/>
        </w:rPr>
        <w:endnoteRef/>
      </w:r>
      <w:r w:rsidRPr="00154216">
        <w:rPr>
          <w:rStyle w:val="Refdenotaalfinal"/>
        </w:rPr>
        <w:tab/>
      </w:r>
      <w:r>
        <w:t>‘</w:t>
      </w:r>
      <w:proofErr w:type="spellStart"/>
      <w:r>
        <w:t>Whaia</w:t>
      </w:r>
      <w:proofErr w:type="spellEnd"/>
      <w:r>
        <w:t xml:space="preserve"> te </w:t>
      </w:r>
      <w:proofErr w:type="spellStart"/>
      <w:r>
        <w:t>Ao</w:t>
      </w:r>
      <w:proofErr w:type="spellEnd"/>
      <w:r>
        <w:t xml:space="preserve"> </w:t>
      </w:r>
      <w:proofErr w:type="spellStart"/>
      <w:r>
        <w:t>Marama</w:t>
      </w:r>
      <w:proofErr w:type="spellEnd"/>
      <w:r>
        <w:t xml:space="preserve">’ in Te Reo </w:t>
      </w:r>
      <w:proofErr w:type="spellStart"/>
      <w:r>
        <w:t>means</w:t>
      </w:r>
      <w:proofErr w:type="spellEnd"/>
      <w:r>
        <w:t xml:space="preserve"> </w:t>
      </w:r>
      <w:proofErr w:type="spellStart"/>
      <w:r>
        <w:t>pursuing</w:t>
      </w:r>
      <w:proofErr w:type="spellEnd"/>
      <w:r>
        <w:t xml:space="preserve"> </w:t>
      </w:r>
      <w:proofErr w:type="spellStart"/>
      <w:r>
        <w:t>the</w:t>
      </w:r>
      <w:proofErr w:type="spellEnd"/>
      <w:r>
        <w:t xml:space="preserve"> </w:t>
      </w:r>
      <w:proofErr w:type="spellStart"/>
      <w:r>
        <w:t>world</w:t>
      </w:r>
      <w:proofErr w:type="spellEnd"/>
      <w:r>
        <w:t xml:space="preserve"> </w:t>
      </w:r>
      <w:proofErr w:type="spellStart"/>
      <w:r>
        <w:t>of</w:t>
      </w:r>
      <w:proofErr w:type="spellEnd"/>
      <w:r>
        <w:t xml:space="preserve"> </w:t>
      </w:r>
      <w:proofErr w:type="spellStart"/>
      <w:r>
        <w:t>enlightenment</w:t>
      </w:r>
      <w:proofErr w:type="spellEnd"/>
      <w:r>
        <w:t xml:space="preserve">. </w:t>
      </w:r>
      <w:proofErr w:type="spellStart"/>
      <w:r>
        <w:t>For</w:t>
      </w:r>
      <w:proofErr w:type="spellEnd"/>
      <w:r>
        <w:t xml:space="preserve"> </w:t>
      </w:r>
      <w:proofErr w:type="spellStart"/>
      <w:r>
        <w:t>the</w:t>
      </w:r>
      <w:proofErr w:type="spellEnd"/>
      <w:r>
        <w:t xml:space="preserve"> </w:t>
      </w:r>
      <w:proofErr w:type="spellStart"/>
      <w:r>
        <w:t>purposes</w:t>
      </w:r>
      <w:proofErr w:type="spellEnd"/>
      <w:r>
        <w:t xml:space="preserve"> </w:t>
      </w:r>
      <w:proofErr w:type="spellStart"/>
      <w:r>
        <w:t>of</w:t>
      </w:r>
      <w:proofErr w:type="spellEnd"/>
      <w:r>
        <w:t xml:space="preserve"> </w:t>
      </w:r>
      <w:proofErr w:type="spellStart"/>
      <w:r>
        <w:t>the</w:t>
      </w:r>
      <w:proofErr w:type="spellEnd"/>
      <w:r>
        <w:t xml:space="preserve"> plan, ‘</w:t>
      </w:r>
      <w:proofErr w:type="spellStart"/>
      <w:r>
        <w:t>Whāia</w:t>
      </w:r>
      <w:proofErr w:type="spellEnd"/>
      <w:r>
        <w:t xml:space="preserve"> te </w:t>
      </w:r>
      <w:proofErr w:type="spellStart"/>
      <w:r>
        <w:t>ao</w:t>
      </w:r>
      <w:proofErr w:type="spellEnd"/>
      <w:r>
        <w:t xml:space="preserve"> </w:t>
      </w:r>
      <w:proofErr w:type="spellStart"/>
      <w:r>
        <w:t>mārama</w:t>
      </w:r>
      <w:proofErr w:type="spellEnd"/>
      <w:r>
        <w:t xml:space="preserve">’ </w:t>
      </w:r>
      <w:proofErr w:type="spellStart"/>
      <w:r>
        <w:t>means</w:t>
      </w:r>
      <w:proofErr w:type="spellEnd"/>
      <w:r>
        <w:t xml:space="preserve"> </w:t>
      </w:r>
      <w:proofErr w:type="spellStart"/>
      <w:r>
        <w:t>to</w:t>
      </w:r>
      <w:proofErr w:type="spellEnd"/>
      <w:r>
        <w:t xml:space="preserve"> </w:t>
      </w:r>
      <w:proofErr w:type="spellStart"/>
      <w:r>
        <w:t>pursue</w:t>
      </w:r>
      <w:proofErr w:type="spellEnd"/>
      <w:r>
        <w:t xml:space="preserve"> and </w:t>
      </w:r>
      <w:proofErr w:type="spellStart"/>
      <w:r>
        <w:t>enable</w:t>
      </w:r>
      <w:proofErr w:type="spellEnd"/>
      <w:r>
        <w:t xml:space="preserve"> a </w:t>
      </w:r>
      <w:proofErr w:type="spellStart"/>
      <w:r>
        <w:t>good</w:t>
      </w:r>
      <w:proofErr w:type="spellEnd"/>
      <w:r>
        <w:t xml:space="preserve"> </w:t>
      </w:r>
      <w:proofErr w:type="spellStart"/>
      <w:r>
        <w:t>life</w:t>
      </w:r>
      <w:proofErr w:type="spellEnd"/>
      <w:r>
        <w:t xml:space="preserve"> </w:t>
      </w:r>
      <w:proofErr w:type="spellStart"/>
      <w:r>
        <w:t>that</w:t>
      </w:r>
      <w:proofErr w:type="spellEnd"/>
      <w:r>
        <w:t xml:space="preserve"> </w:t>
      </w:r>
      <w:proofErr w:type="spellStart"/>
      <w:r>
        <w:t>is</w:t>
      </w:r>
      <w:proofErr w:type="spellEnd"/>
      <w:r>
        <w:t xml:space="preserve"> </w:t>
      </w:r>
      <w:proofErr w:type="spellStart"/>
      <w:r>
        <w:t>self-determined</w:t>
      </w:r>
      <w:proofErr w:type="spellEnd"/>
      <w:r>
        <w:t xml:space="preserve">, </w:t>
      </w:r>
      <w:proofErr w:type="spellStart"/>
      <w:r>
        <w:t>through</w:t>
      </w:r>
      <w:proofErr w:type="spellEnd"/>
      <w:r>
        <w:t xml:space="preserve"> </w:t>
      </w:r>
      <w:proofErr w:type="spellStart"/>
      <w:r>
        <w:t>enlightened</w:t>
      </w:r>
      <w:proofErr w:type="spellEnd"/>
      <w:r>
        <w:t xml:space="preserve"> </w:t>
      </w:r>
      <w:proofErr w:type="spellStart"/>
      <w:r>
        <w:t>supports</w:t>
      </w:r>
      <w:proofErr w:type="spellEnd"/>
      <w:r>
        <w:t>.</w:t>
      </w:r>
    </w:p>
  </w:endnote>
  <w:endnote w:id="195">
    <w:p w14:paraId="3CE01E39"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See</w:t>
      </w:r>
      <w:proofErr w:type="spellEnd"/>
      <w:r>
        <w:t xml:space="preserve"> </w:t>
      </w:r>
      <w:r w:rsidRPr="00193DD1">
        <w:rPr>
          <w:rStyle w:val="Hipervnculo"/>
        </w:rPr>
        <w:t>www.health.govt.nz/publication/whaia-te-ao-marama-2018-2022-maori-disability-action-plan</w:t>
      </w:r>
      <w:r>
        <w:t>.</w:t>
      </w:r>
    </w:p>
  </w:endnote>
  <w:endnote w:id="196">
    <w:p w14:paraId="7CF44513" w14:textId="77777777" w:rsidR="003665BE" w:rsidRDefault="003665BE" w:rsidP="00011964">
      <w:pPr>
        <w:pStyle w:val="Textonotaalfinal"/>
      </w:pPr>
      <w:r>
        <w:tab/>
      </w:r>
      <w:r w:rsidRPr="00154216">
        <w:rPr>
          <w:rStyle w:val="Refdenotaalfinal"/>
        </w:rPr>
        <w:endnoteRef/>
      </w:r>
      <w:r w:rsidRPr="00154216">
        <w:rPr>
          <w:rStyle w:val="Refdenotaalfinal"/>
        </w:rPr>
        <w:tab/>
      </w:r>
      <w:r>
        <w:t>“</w:t>
      </w:r>
      <w:proofErr w:type="spellStart"/>
      <w:r>
        <w:t>Kaupapa</w:t>
      </w:r>
      <w:proofErr w:type="spellEnd"/>
      <w:r>
        <w:t xml:space="preserve">” </w:t>
      </w:r>
      <w:proofErr w:type="spellStart"/>
      <w:r>
        <w:t>is</w:t>
      </w:r>
      <w:proofErr w:type="spellEnd"/>
      <w:r>
        <w:t xml:space="preserve"> Te Reo </w:t>
      </w:r>
      <w:proofErr w:type="spellStart"/>
      <w:r>
        <w:t>meaning</w:t>
      </w:r>
      <w:proofErr w:type="spellEnd"/>
      <w:r>
        <w:t xml:space="preserve"> “(</w:t>
      </w:r>
      <w:proofErr w:type="spellStart"/>
      <w:r>
        <w:t>noun</w:t>
      </w:r>
      <w:proofErr w:type="spellEnd"/>
      <w:r>
        <w:t xml:space="preserve">) </w:t>
      </w:r>
      <w:proofErr w:type="spellStart"/>
      <w:r>
        <w:t>topic</w:t>
      </w:r>
      <w:proofErr w:type="spellEnd"/>
      <w:r>
        <w:t xml:space="preserve">, </w:t>
      </w:r>
      <w:proofErr w:type="spellStart"/>
      <w:r>
        <w:t>policy</w:t>
      </w:r>
      <w:proofErr w:type="spellEnd"/>
      <w:r>
        <w:t xml:space="preserve">, </w:t>
      </w:r>
      <w:proofErr w:type="spellStart"/>
      <w:r>
        <w:t>matter</w:t>
      </w:r>
      <w:proofErr w:type="spellEnd"/>
      <w:r>
        <w:t xml:space="preserve"> </w:t>
      </w:r>
      <w:proofErr w:type="spellStart"/>
      <w:r>
        <w:t>for</w:t>
      </w:r>
      <w:proofErr w:type="spellEnd"/>
      <w:r>
        <w:t xml:space="preserve"> </w:t>
      </w:r>
      <w:proofErr w:type="spellStart"/>
      <w:r>
        <w:t>discussion</w:t>
      </w:r>
      <w:proofErr w:type="spellEnd"/>
      <w:r>
        <w:t xml:space="preserve">, plan, </w:t>
      </w:r>
      <w:proofErr w:type="spellStart"/>
      <w:r>
        <w:t>purpose</w:t>
      </w:r>
      <w:proofErr w:type="spellEnd"/>
      <w:r>
        <w:t xml:space="preserve">, </w:t>
      </w:r>
      <w:proofErr w:type="spellStart"/>
      <w:r>
        <w:t>scheme</w:t>
      </w:r>
      <w:proofErr w:type="spellEnd"/>
      <w:r>
        <w:t xml:space="preserve">, </w:t>
      </w:r>
      <w:proofErr w:type="spellStart"/>
      <w:r>
        <w:t>proposal</w:t>
      </w:r>
      <w:proofErr w:type="spellEnd"/>
      <w:r>
        <w:t xml:space="preserve">, agenda, </w:t>
      </w:r>
      <w:proofErr w:type="spellStart"/>
      <w:r>
        <w:t>subject</w:t>
      </w:r>
      <w:proofErr w:type="spellEnd"/>
      <w:r>
        <w:t xml:space="preserve">, </w:t>
      </w:r>
      <w:proofErr w:type="spellStart"/>
      <w:r>
        <w:t>programme</w:t>
      </w:r>
      <w:proofErr w:type="spellEnd"/>
      <w:r>
        <w:t xml:space="preserve">, </w:t>
      </w:r>
      <w:proofErr w:type="spellStart"/>
      <w:r>
        <w:t>theme</w:t>
      </w:r>
      <w:proofErr w:type="spellEnd"/>
      <w:r>
        <w:t xml:space="preserve">, </w:t>
      </w:r>
      <w:proofErr w:type="spellStart"/>
      <w:r>
        <w:t>issue</w:t>
      </w:r>
      <w:proofErr w:type="spellEnd"/>
      <w:r>
        <w:t xml:space="preserve">, </w:t>
      </w:r>
      <w:proofErr w:type="spellStart"/>
      <w:r>
        <w:t>initiative</w:t>
      </w:r>
      <w:proofErr w:type="spellEnd"/>
      <w:r>
        <w:t xml:space="preserve">.” </w:t>
      </w:r>
      <w:proofErr w:type="spellStart"/>
      <w:r>
        <w:t>The</w:t>
      </w:r>
      <w:proofErr w:type="spellEnd"/>
      <w:r>
        <w:t xml:space="preserve"> </w:t>
      </w:r>
      <w:proofErr w:type="spellStart"/>
      <w:r>
        <w:t>Kaupapa</w:t>
      </w:r>
      <w:proofErr w:type="spellEnd"/>
      <w:r>
        <w:t xml:space="preserve"> </w:t>
      </w:r>
      <w:proofErr w:type="spellStart"/>
      <w:r>
        <w:t>inquiries</w:t>
      </w:r>
      <w:proofErr w:type="spellEnd"/>
      <w:r>
        <w:t xml:space="preserve"> </w:t>
      </w:r>
      <w:proofErr w:type="spellStart"/>
      <w:r>
        <w:t>deal</w:t>
      </w:r>
      <w:proofErr w:type="spellEnd"/>
      <w:r>
        <w:t xml:space="preserve"> </w:t>
      </w:r>
      <w:proofErr w:type="spellStart"/>
      <w:r>
        <w:t>with</w:t>
      </w:r>
      <w:proofErr w:type="spellEnd"/>
      <w:r>
        <w:t xml:space="preserve"> </w:t>
      </w:r>
      <w:proofErr w:type="spellStart"/>
      <w:r>
        <w:t>nationally</w:t>
      </w:r>
      <w:proofErr w:type="spellEnd"/>
      <w:r>
        <w:t xml:space="preserve"> </w:t>
      </w:r>
      <w:proofErr w:type="spellStart"/>
      <w:r>
        <w:t>significant</w:t>
      </w:r>
      <w:proofErr w:type="spellEnd"/>
      <w:r>
        <w:t xml:space="preserve"> </w:t>
      </w:r>
      <w:proofErr w:type="spellStart"/>
      <w:r>
        <w:t>matters</w:t>
      </w:r>
      <w:proofErr w:type="spellEnd"/>
      <w:r>
        <w:t xml:space="preserve"> </w:t>
      </w:r>
      <w:proofErr w:type="spellStart"/>
      <w:r>
        <w:t>affecting</w:t>
      </w:r>
      <w:proofErr w:type="spellEnd"/>
      <w:r>
        <w:t xml:space="preserve"> </w:t>
      </w:r>
      <w:proofErr w:type="spellStart"/>
      <w:r>
        <w:t>Māori</w:t>
      </w:r>
      <w:proofErr w:type="spellEnd"/>
      <w:r>
        <w:t xml:space="preserve"> </w:t>
      </w:r>
      <w:proofErr w:type="spellStart"/>
      <w:r>
        <w:t>across</w:t>
      </w:r>
      <w:proofErr w:type="spellEnd"/>
      <w:r>
        <w:t xml:space="preserve"> New </w:t>
      </w:r>
      <w:proofErr w:type="spellStart"/>
      <w:r>
        <w:t>Zealand</w:t>
      </w:r>
      <w:proofErr w:type="spellEnd"/>
      <w:r>
        <w:t xml:space="preserve">, and are </w:t>
      </w:r>
      <w:proofErr w:type="spellStart"/>
      <w:r>
        <w:t>not</w:t>
      </w:r>
      <w:proofErr w:type="spellEnd"/>
      <w:r>
        <w:t xml:space="preserve"> </w:t>
      </w:r>
      <w:proofErr w:type="spellStart"/>
      <w:r>
        <w:t>specific</w:t>
      </w:r>
      <w:proofErr w:type="spellEnd"/>
      <w:r>
        <w:t xml:space="preserve"> </w:t>
      </w:r>
      <w:proofErr w:type="spellStart"/>
      <w:r>
        <w:t>to</w:t>
      </w:r>
      <w:proofErr w:type="spellEnd"/>
      <w:r>
        <w:t xml:space="preserve"> </w:t>
      </w:r>
      <w:proofErr w:type="spellStart"/>
      <w:r>
        <w:t>any</w:t>
      </w:r>
      <w:proofErr w:type="spellEnd"/>
      <w:r>
        <w:t xml:space="preserve"> particular </w:t>
      </w:r>
      <w:proofErr w:type="spellStart"/>
      <w:r>
        <w:t>geographical</w:t>
      </w:r>
      <w:proofErr w:type="spellEnd"/>
      <w:r>
        <w:t xml:space="preserve"> </w:t>
      </w:r>
      <w:proofErr w:type="spellStart"/>
      <w:r>
        <w:t>area</w:t>
      </w:r>
      <w:proofErr w:type="spellEnd"/>
      <w:r>
        <w:t xml:space="preserve">. </w:t>
      </w:r>
      <w:proofErr w:type="spellStart"/>
      <w:r>
        <w:t>The</w:t>
      </w:r>
      <w:proofErr w:type="spellEnd"/>
      <w:r>
        <w:t xml:space="preserve"> </w:t>
      </w:r>
      <w:proofErr w:type="spellStart"/>
      <w:r>
        <w:t>Kaupapa</w:t>
      </w:r>
      <w:proofErr w:type="spellEnd"/>
      <w:r>
        <w:t xml:space="preserve"> </w:t>
      </w:r>
      <w:proofErr w:type="spellStart"/>
      <w:r>
        <w:t>Inquiry</w:t>
      </w:r>
      <w:proofErr w:type="spellEnd"/>
      <w:r>
        <w:t xml:space="preserve"> </w:t>
      </w:r>
      <w:proofErr w:type="spellStart"/>
      <w:r>
        <w:t>Programme</w:t>
      </w:r>
      <w:proofErr w:type="spellEnd"/>
      <w:r>
        <w:t xml:space="preserve"> </w:t>
      </w:r>
      <w:proofErr w:type="spellStart"/>
      <w:r>
        <w:t>was</w:t>
      </w:r>
      <w:proofErr w:type="spellEnd"/>
      <w:r>
        <w:t xml:space="preserve"> </w:t>
      </w:r>
      <w:proofErr w:type="spellStart"/>
      <w:r>
        <w:t>issued</w:t>
      </w:r>
      <w:proofErr w:type="spellEnd"/>
      <w:r>
        <w:t xml:space="preserve"> in 2015 </w:t>
      </w:r>
      <w:proofErr w:type="spellStart"/>
      <w:r>
        <w:t>by</w:t>
      </w:r>
      <w:proofErr w:type="spellEnd"/>
      <w:r>
        <w:t xml:space="preserve"> </w:t>
      </w:r>
      <w:proofErr w:type="spellStart"/>
      <w:r>
        <w:t>the</w:t>
      </w:r>
      <w:proofErr w:type="spellEnd"/>
      <w:r>
        <w:t xml:space="preserve"> </w:t>
      </w:r>
      <w:proofErr w:type="spellStart"/>
      <w:r>
        <w:t>Waitangi</w:t>
      </w:r>
      <w:proofErr w:type="spellEnd"/>
      <w:r>
        <w:t xml:space="preserve"> </w:t>
      </w:r>
      <w:proofErr w:type="spellStart"/>
      <w:r>
        <w:t>Tribunal’s</w:t>
      </w:r>
      <w:proofErr w:type="spellEnd"/>
      <w:r>
        <w:t xml:space="preserve"> </w:t>
      </w:r>
      <w:proofErr w:type="spellStart"/>
      <w:r>
        <w:t>Chairperson</w:t>
      </w:r>
      <w:proofErr w:type="spellEnd"/>
      <w:r>
        <w:t xml:space="preserve">, </w:t>
      </w:r>
      <w:proofErr w:type="spellStart"/>
      <w:r>
        <w:t>Chief</w:t>
      </w:r>
      <w:proofErr w:type="spellEnd"/>
      <w:r>
        <w:t xml:space="preserve"> </w:t>
      </w:r>
      <w:proofErr w:type="spellStart"/>
      <w:r>
        <w:t>Judge</w:t>
      </w:r>
      <w:proofErr w:type="spellEnd"/>
      <w:r>
        <w:t xml:space="preserve"> Wilson Isaac. </w:t>
      </w:r>
      <w:proofErr w:type="spellStart"/>
      <w:r>
        <w:t>See</w:t>
      </w:r>
      <w:proofErr w:type="spellEnd"/>
      <w:r>
        <w:t xml:space="preserve"> </w:t>
      </w:r>
      <w:proofErr w:type="spellStart"/>
      <w:r w:rsidRPr="00193DD1">
        <w:rPr>
          <w:rStyle w:val="Hipervnculo"/>
        </w:rPr>
        <w:t>www.waitangitribunal.govt.nz</w:t>
      </w:r>
      <w:proofErr w:type="spellEnd"/>
      <w:r w:rsidRPr="00193DD1">
        <w:rPr>
          <w:rStyle w:val="Hipervnculo"/>
        </w:rPr>
        <w:t>/</w:t>
      </w:r>
      <w:proofErr w:type="spellStart"/>
      <w:r w:rsidRPr="00193DD1">
        <w:rPr>
          <w:rStyle w:val="Hipervnculo"/>
        </w:rPr>
        <w:t>inquiries</w:t>
      </w:r>
      <w:proofErr w:type="spellEnd"/>
      <w:r w:rsidRPr="00193DD1">
        <w:rPr>
          <w:rStyle w:val="Hipervnculo"/>
        </w:rPr>
        <w:t>/</w:t>
      </w:r>
      <w:r>
        <w:rPr>
          <w:rStyle w:val="Hipervnculo"/>
        </w:rPr>
        <w:br/>
      </w:r>
      <w:proofErr w:type="spellStart"/>
      <w:r w:rsidRPr="00193DD1">
        <w:rPr>
          <w:rStyle w:val="Hipervnculo"/>
        </w:rPr>
        <w:t>kaupapa-inquiries</w:t>
      </w:r>
      <w:proofErr w:type="spellEnd"/>
      <w:r w:rsidRPr="00193DD1">
        <w:rPr>
          <w:rStyle w:val="Hipervnculo"/>
        </w:rPr>
        <w:t>/</w:t>
      </w:r>
      <w:proofErr w:type="spellStart"/>
      <w:r w:rsidRPr="00193DD1">
        <w:rPr>
          <w:rStyle w:val="Hipervnculo"/>
        </w:rPr>
        <w:t>health</w:t>
      </w:r>
      <w:proofErr w:type="spellEnd"/>
      <w:r w:rsidRPr="00193DD1">
        <w:rPr>
          <w:rStyle w:val="Hipervnculo"/>
        </w:rPr>
        <w:t>-</w:t>
      </w:r>
      <w:proofErr w:type="spellStart"/>
      <w:r w:rsidRPr="00193DD1">
        <w:rPr>
          <w:rStyle w:val="Hipervnculo"/>
        </w:rPr>
        <w:t>services</w:t>
      </w:r>
      <w:proofErr w:type="spellEnd"/>
      <w:r w:rsidRPr="00193DD1">
        <w:rPr>
          <w:rStyle w:val="Hipervnculo"/>
        </w:rPr>
        <w:t>-and-</w:t>
      </w:r>
      <w:proofErr w:type="spellStart"/>
      <w:r w:rsidRPr="00193DD1">
        <w:rPr>
          <w:rStyle w:val="Hipervnculo"/>
        </w:rPr>
        <w:t>outcomes</w:t>
      </w:r>
      <w:proofErr w:type="spellEnd"/>
      <w:r w:rsidRPr="00193DD1">
        <w:rPr>
          <w:rStyle w:val="Hipervnculo"/>
        </w:rPr>
        <w:t>-</w:t>
      </w:r>
      <w:proofErr w:type="spellStart"/>
      <w:r w:rsidRPr="00193DD1">
        <w:rPr>
          <w:rStyle w:val="Hipervnculo"/>
        </w:rPr>
        <w:t>inquiry</w:t>
      </w:r>
      <w:proofErr w:type="spellEnd"/>
      <w:r w:rsidRPr="00193DD1">
        <w:rPr>
          <w:rStyle w:val="Hipervnculo"/>
        </w:rPr>
        <w:t>/</w:t>
      </w:r>
      <w:r>
        <w:t>.</w:t>
      </w:r>
    </w:p>
  </w:endnote>
  <w:endnote w:id="197">
    <w:p w14:paraId="420AD7F9" w14:textId="77777777" w:rsidR="003665BE" w:rsidRDefault="003665BE" w:rsidP="00011964">
      <w:pPr>
        <w:pStyle w:val="Textonotaalfinal"/>
      </w:pPr>
      <w:r>
        <w:tab/>
      </w:r>
      <w:r w:rsidRPr="00154216">
        <w:rPr>
          <w:rStyle w:val="Refdenotaalfinal"/>
        </w:rPr>
        <w:endnoteRef/>
      </w:r>
      <w:r w:rsidRPr="00154216">
        <w:rPr>
          <w:rStyle w:val="Refdenotaalfinal"/>
        </w:rPr>
        <w:tab/>
      </w:r>
      <w:r>
        <w:t xml:space="preserve">Ala </w:t>
      </w:r>
      <w:proofErr w:type="spellStart"/>
      <w:r>
        <w:t>Mo’ui</w:t>
      </w:r>
      <w:proofErr w:type="spellEnd"/>
      <w:r>
        <w:t xml:space="preserve"> </w:t>
      </w:r>
      <w:proofErr w:type="spellStart"/>
      <w:r>
        <w:t>is</w:t>
      </w:r>
      <w:proofErr w:type="spellEnd"/>
      <w:r>
        <w:t xml:space="preserve"> a </w:t>
      </w:r>
      <w:proofErr w:type="spellStart"/>
      <w:r>
        <w:t>combination</w:t>
      </w:r>
      <w:proofErr w:type="spellEnd"/>
      <w:r>
        <w:t xml:space="preserve"> </w:t>
      </w:r>
      <w:proofErr w:type="spellStart"/>
      <w:r>
        <w:t>of</w:t>
      </w:r>
      <w:proofErr w:type="spellEnd"/>
      <w:r>
        <w:t xml:space="preserve"> a </w:t>
      </w:r>
      <w:proofErr w:type="spellStart"/>
      <w:r>
        <w:t>number</w:t>
      </w:r>
      <w:proofErr w:type="spellEnd"/>
      <w:r>
        <w:t xml:space="preserve"> </w:t>
      </w:r>
      <w:proofErr w:type="spellStart"/>
      <w:r>
        <w:t>of</w:t>
      </w:r>
      <w:proofErr w:type="spellEnd"/>
      <w:r>
        <w:t xml:space="preserve"> </w:t>
      </w:r>
      <w:proofErr w:type="spellStart"/>
      <w:r>
        <w:t>Pacific</w:t>
      </w:r>
      <w:proofErr w:type="spellEnd"/>
      <w:r>
        <w:t xml:space="preserve"> </w:t>
      </w:r>
      <w:proofErr w:type="spellStart"/>
      <w:r>
        <w:t>languages</w:t>
      </w:r>
      <w:proofErr w:type="spellEnd"/>
      <w:r>
        <w:t xml:space="preserve"> </w:t>
      </w:r>
      <w:proofErr w:type="spellStart"/>
      <w:r>
        <w:t>meaning</w:t>
      </w:r>
      <w:proofErr w:type="spellEnd"/>
      <w:r>
        <w:t xml:space="preserve"> ‘</w:t>
      </w:r>
      <w:proofErr w:type="spellStart"/>
      <w:r>
        <w:t>pathways</w:t>
      </w:r>
      <w:proofErr w:type="spellEnd"/>
      <w:r>
        <w:t xml:space="preserve"> </w:t>
      </w:r>
      <w:proofErr w:type="spellStart"/>
      <w:r>
        <w:t>to</w:t>
      </w:r>
      <w:proofErr w:type="spellEnd"/>
      <w:r>
        <w:t xml:space="preserve"> </w:t>
      </w:r>
      <w:proofErr w:type="spellStart"/>
      <w:r>
        <w:t>the</w:t>
      </w:r>
      <w:proofErr w:type="spellEnd"/>
      <w:r>
        <w:t xml:space="preserve"> </w:t>
      </w:r>
      <w:proofErr w:type="spellStart"/>
      <w:r>
        <w:t>essence</w:t>
      </w:r>
      <w:proofErr w:type="spellEnd"/>
      <w:r>
        <w:t xml:space="preserve"> </w:t>
      </w:r>
      <w:proofErr w:type="spellStart"/>
      <w:r>
        <w:t>of</w:t>
      </w:r>
      <w:proofErr w:type="spellEnd"/>
      <w:r>
        <w:t xml:space="preserve"> </w:t>
      </w:r>
      <w:proofErr w:type="spellStart"/>
      <w:r>
        <w:t>life</w:t>
      </w:r>
      <w:proofErr w:type="spellEnd"/>
      <w:r>
        <w:t xml:space="preserve"> </w:t>
      </w:r>
      <w:proofErr w:type="spellStart"/>
      <w:r>
        <w:t>force</w:t>
      </w:r>
      <w:proofErr w:type="spellEnd"/>
      <w:r>
        <w:t xml:space="preserve">’. </w:t>
      </w:r>
      <w:proofErr w:type="spellStart"/>
      <w:r>
        <w:t>It</w:t>
      </w:r>
      <w:proofErr w:type="spellEnd"/>
      <w:r>
        <w:t xml:space="preserve"> </w:t>
      </w:r>
      <w:proofErr w:type="spellStart"/>
      <w:r>
        <w:t>represents</w:t>
      </w:r>
      <w:proofErr w:type="spellEnd"/>
      <w:r>
        <w:t xml:space="preserve"> </w:t>
      </w:r>
      <w:proofErr w:type="spellStart"/>
      <w:r>
        <w:t>the</w:t>
      </w:r>
      <w:proofErr w:type="spellEnd"/>
      <w:r>
        <w:t xml:space="preserve"> </w:t>
      </w:r>
      <w:proofErr w:type="spellStart"/>
      <w:r>
        <w:t>holistic</w:t>
      </w:r>
      <w:proofErr w:type="spellEnd"/>
      <w:r>
        <w:t xml:space="preserve"> </w:t>
      </w:r>
      <w:proofErr w:type="spellStart"/>
      <w:r>
        <w:t>view</w:t>
      </w:r>
      <w:proofErr w:type="spellEnd"/>
      <w:r>
        <w:t xml:space="preserve"> </w:t>
      </w:r>
      <w:proofErr w:type="spellStart"/>
      <w:r>
        <w:t>of</w:t>
      </w:r>
      <w:proofErr w:type="spellEnd"/>
      <w:r>
        <w:t xml:space="preserve"> </w:t>
      </w:r>
      <w:proofErr w:type="spellStart"/>
      <w:r>
        <w:t>health</w:t>
      </w:r>
      <w:proofErr w:type="spellEnd"/>
      <w:r>
        <w:t xml:space="preserve"> and </w:t>
      </w:r>
      <w:proofErr w:type="spellStart"/>
      <w:r>
        <w:t>wellbeing</w:t>
      </w:r>
      <w:proofErr w:type="spellEnd"/>
      <w:r>
        <w:t xml:space="preserve">, </w:t>
      </w:r>
      <w:proofErr w:type="spellStart"/>
      <w:r>
        <w:t>encompassing</w:t>
      </w:r>
      <w:proofErr w:type="spellEnd"/>
      <w:r>
        <w:t xml:space="preserve"> </w:t>
      </w:r>
      <w:proofErr w:type="spellStart"/>
      <w:r>
        <w:t>the</w:t>
      </w:r>
      <w:proofErr w:type="spellEnd"/>
      <w:r>
        <w:t xml:space="preserve"> </w:t>
      </w:r>
      <w:proofErr w:type="spellStart"/>
      <w:r>
        <w:t>physical</w:t>
      </w:r>
      <w:proofErr w:type="spellEnd"/>
      <w:r>
        <w:t xml:space="preserve">, mental, cultural and spiritual </w:t>
      </w:r>
      <w:proofErr w:type="spellStart"/>
      <w:r>
        <w:t>dimensions</w:t>
      </w:r>
      <w:proofErr w:type="spellEnd"/>
      <w:r>
        <w:t xml:space="preserve"> </w:t>
      </w:r>
      <w:proofErr w:type="spellStart"/>
      <w:r>
        <w:t>that</w:t>
      </w:r>
      <w:proofErr w:type="spellEnd"/>
      <w:r>
        <w:t xml:space="preserve"> are </w:t>
      </w:r>
      <w:proofErr w:type="spellStart"/>
      <w:r>
        <w:t>important</w:t>
      </w:r>
      <w:proofErr w:type="spellEnd"/>
      <w:r>
        <w:t xml:space="preserve"> </w:t>
      </w:r>
      <w:proofErr w:type="spellStart"/>
      <w:r>
        <w:t>to</w:t>
      </w:r>
      <w:proofErr w:type="spellEnd"/>
      <w:r>
        <w:t xml:space="preserve"> </w:t>
      </w:r>
      <w:proofErr w:type="spellStart"/>
      <w:r>
        <w:t>Pacific</w:t>
      </w:r>
      <w:proofErr w:type="spellEnd"/>
      <w:r>
        <w:t xml:space="preserve"> </w:t>
      </w:r>
      <w:proofErr w:type="spellStart"/>
      <w:r>
        <w:t>people</w:t>
      </w:r>
      <w:proofErr w:type="spellEnd"/>
      <w:r>
        <w:t xml:space="preserve">: </w:t>
      </w:r>
      <w:proofErr w:type="spellStart"/>
      <w:r>
        <w:t>Tongan</w:t>
      </w:r>
      <w:proofErr w:type="spellEnd"/>
      <w:r>
        <w:t xml:space="preserve"> (‘Ala </w:t>
      </w:r>
      <w:proofErr w:type="spellStart"/>
      <w:r>
        <w:t>Mo’ui</w:t>
      </w:r>
      <w:proofErr w:type="spellEnd"/>
      <w:r>
        <w:t xml:space="preserve">), </w:t>
      </w:r>
      <w:proofErr w:type="spellStart"/>
      <w:r>
        <w:t>Niuean</w:t>
      </w:r>
      <w:proofErr w:type="spellEnd"/>
      <w:r>
        <w:t xml:space="preserve"> (Ala </w:t>
      </w:r>
      <w:proofErr w:type="spellStart"/>
      <w:r>
        <w:t>Moui</w:t>
      </w:r>
      <w:proofErr w:type="spellEnd"/>
      <w:r>
        <w:t xml:space="preserve">), </w:t>
      </w:r>
      <w:proofErr w:type="spellStart"/>
      <w:r>
        <w:t>Samoan</w:t>
      </w:r>
      <w:proofErr w:type="spellEnd"/>
      <w:r>
        <w:t xml:space="preserve"> (Ala), Cook Island </w:t>
      </w:r>
      <w:proofErr w:type="spellStart"/>
      <w:r>
        <w:t>Maori</w:t>
      </w:r>
      <w:proofErr w:type="spellEnd"/>
      <w:r>
        <w:t xml:space="preserve"> (Ara), </w:t>
      </w:r>
      <w:proofErr w:type="spellStart"/>
      <w:r>
        <w:t>Tokelauan</w:t>
      </w:r>
      <w:proofErr w:type="spellEnd"/>
      <w:r>
        <w:t xml:space="preserve"> (Ala), </w:t>
      </w:r>
      <w:proofErr w:type="spellStart"/>
      <w:r>
        <w:t>Tuvaluan</w:t>
      </w:r>
      <w:proofErr w:type="spellEnd"/>
      <w:r>
        <w:t xml:space="preserve"> (Ala). </w:t>
      </w:r>
      <w:proofErr w:type="spellStart"/>
      <w:r>
        <w:t>See</w:t>
      </w:r>
      <w:proofErr w:type="spellEnd"/>
      <w:r>
        <w:t xml:space="preserve"> </w:t>
      </w:r>
      <w:r w:rsidRPr="00193DD1">
        <w:rPr>
          <w:rStyle w:val="Hipervnculo"/>
        </w:rPr>
        <w:t>www.health.govt.nz/publication/ala-moui-pathways-pacific-health-and-wellbeing-2014-2018</w:t>
      </w:r>
      <w:r>
        <w:t>.</w:t>
      </w:r>
    </w:p>
  </w:endnote>
  <w:endnote w:id="198">
    <w:p w14:paraId="350C3EDA" w14:textId="77777777" w:rsidR="003665BE" w:rsidRDefault="003665BE" w:rsidP="00011964">
      <w:pPr>
        <w:pStyle w:val="Textonotaalfinal"/>
      </w:pPr>
      <w:r>
        <w:tab/>
      </w:r>
      <w:r w:rsidRPr="00154216">
        <w:rPr>
          <w:rStyle w:val="Refdenotaalfinal"/>
        </w:rPr>
        <w:endnoteRef/>
      </w:r>
      <w:r w:rsidRPr="00154216">
        <w:rPr>
          <w:rStyle w:val="Refdenotaalfinal"/>
        </w:rPr>
        <w:tab/>
      </w:r>
      <w:r>
        <w:t>‘</w:t>
      </w:r>
      <w:proofErr w:type="spellStart"/>
      <w:r>
        <w:t>Faiva</w:t>
      </w:r>
      <w:proofErr w:type="spellEnd"/>
      <w:r>
        <w:t xml:space="preserve"> Ora’ </w:t>
      </w:r>
      <w:proofErr w:type="spellStart"/>
      <w:r>
        <w:t>is</w:t>
      </w:r>
      <w:proofErr w:type="spellEnd"/>
      <w:r>
        <w:t xml:space="preserve"> </w:t>
      </w:r>
      <w:proofErr w:type="spellStart"/>
      <w:r>
        <w:t>the</w:t>
      </w:r>
      <w:proofErr w:type="spellEnd"/>
      <w:r>
        <w:t xml:space="preserve"> </w:t>
      </w:r>
      <w:proofErr w:type="spellStart"/>
      <w:r>
        <w:t>name</w:t>
      </w:r>
      <w:proofErr w:type="spellEnd"/>
      <w:r>
        <w:t xml:space="preserve"> </w:t>
      </w:r>
      <w:proofErr w:type="spellStart"/>
      <w:r>
        <w:t>of</w:t>
      </w:r>
      <w:proofErr w:type="spellEnd"/>
      <w:r>
        <w:t xml:space="preserve"> </w:t>
      </w:r>
      <w:proofErr w:type="spellStart"/>
      <w:r>
        <w:t>the</w:t>
      </w:r>
      <w:proofErr w:type="spellEnd"/>
      <w:r>
        <w:t xml:space="preserve"> </w:t>
      </w:r>
      <w:proofErr w:type="spellStart"/>
      <w:r>
        <w:t>National</w:t>
      </w:r>
      <w:proofErr w:type="spellEnd"/>
      <w:r>
        <w:t xml:space="preserve"> </w:t>
      </w:r>
      <w:proofErr w:type="spellStart"/>
      <w:r>
        <w:t>Pasifika</w:t>
      </w:r>
      <w:proofErr w:type="spellEnd"/>
      <w:r>
        <w:t xml:space="preserve"> </w:t>
      </w:r>
      <w:proofErr w:type="spellStart"/>
      <w:r>
        <w:t>Disability</w:t>
      </w:r>
      <w:proofErr w:type="spellEnd"/>
      <w:r>
        <w:t xml:space="preserve"> Plan. </w:t>
      </w:r>
      <w:proofErr w:type="spellStart"/>
      <w:r>
        <w:t>Faiva</w:t>
      </w:r>
      <w:proofErr w:type="spellEnd"/>
      <w:r>
        <w:t xml:space="preserve"> Ora </w:t>
      </w:r>
      <w:proofErr w:type="spellStart"/>
      <w:r>
        <w:t>translates</w:t>
      </w:r>
      <w:proofErr w:type="spellEnd"/>
      <w:r>
        <w:t xml:space="preserve"> </w:t>
      </w:r>
      <w:proofErr w:type="spellStart"/>
      <w:r>
        <w:t>to</w:t>
      </w:r>
      <w:proofErr w:type="spellEnd"/>
      <w:r>
        <w:t xml:space="preserve"> ‘</w:t>
      </w:r>
      <w:proofErr w:type="spellStart"/>
      <w:r>
        <w:t>the</w:t>
      </w:r>
      <w:proofErr w:type="spellEnd"/>
      <w:r>
        <w:t xml:space="preserve"> </w:t>
      </w:r>
      <w:proofErr w:type="spellStart"/>
      <w:r>
        <w:t>work</w:t>
      </w:r>
      <w:proofErr w:type="spellEnd"/>
      <w:r>
        <w:t xml:space="preserve"> </w:t>
      </w:r>
      <w:proofErr w:type="spellStart"/>
      <w:r>
        <w:t>for</w:t>
      </w:r>
      <w:proofErr w:type="spellEnd"/>
      <w:r>
        <w:t xml:space="preserve"> </w:t>
      </w:r>
      <w:proofErr w:type="spellStart"/>
      <w:r>
        <w:t>life</w:t>
      </w:r>
      <w:proofErr w:type="spellEnd"/>
      <w:r>
        <w:t xml:space="preserve">’. </w:t>
      </w:r>
      <w:proofErr w:type="spellStart"/>
      <w:r>
        <w:t>It</w:t>
      </w:r>
      <w:proofErr w:type="spellEnd"/>
      <w:r>
        <w:t xml:space="preserve"> </w:t>
      </w:r>
      <w:proofErr w:type="spellStart"/>
      <w:r>
        <w:t>embodies</w:t>
      </w:r>
      <w:proofErr w:type="spellEnd"/>
      <w:r>
        <w:t xml:space="preserve"> </w:t>
      </w:r>
      <w:proofErr w:type="spellStart"/>
      <w:r>
        <w:t>the</w:t>
      </w:r>
      <w:proofErr w:type="spellEnd"/>
      <w:r>
        <w:t xml:space="preserve"> </w:t>
      </w:r>
      <w:proofErr w:type="spellStart"/>
      <w:r>
        <w:t>Pasifika</w:t>
      </w:r>
      <w:proofErr w:type="spellEnd"/>
      <w:r>
        <w:t xml:space="preserve"> </w:t>
      </w:r>
      <w:proofErr w:type="spellStart"/>
      <w:r>
        <w:t>spirit</w:t>
      </w:r>
      <w:proofErr w:type="spellEnd"/>
      <w:r>
        <w:t xml:space="preserve"> </w:t>
      </w:r>
      <w:proofErr w:type="spellStart"/>
      <w:r>
        <w:t>of</w:t>
      </w:r>
      <w:proofErr w:type="spellEnd"/>
      <w:r>
        <w:t xml:space="preserve"> </w:t>
      </w:r>
      <w:proofErr w:type="spellStart"/>
      <w:r>
        <w:t>working</w:t>
      </w:r>
      <w:proofErr w:type="spellEnd"/>
      <w:r>
        <w:t xml:space="preserve"> </w:t>
      </w:r>
      <w:proofErr w:type="spellStart"/>
      <w:r>
        <w:t>together</w:t>
      </w:r>
      <w:proofErr w:type="spellEnd"/>
      <w:r>
        <w:t xml:space="preserve"> </w:t>
      </w:r>
      <w:proofErr w:type="spellStart"/>
      <w:r>
        <w:t>to</w:t>
      </w:r>
      <w:proofErr w:type="spellEnd"/>
      <w:r>
        <w:t xml:space="preserve"> </w:t>
      </w:r>
      <w:proofErr w:type="spellStart"/>
      <w:r>
        <w:t>support</w:t>
      </w:r>
      <w:proofErr w:type="spellEnd"/>
      <w:r>
        <w:t xml:space="preserve"> </w:t>
      </w:r>
      <w:proofErr w:type="spellStart"/>
      <w:r>
        <w:t>Pacific</w:t>
      </w:r>
      <w:proofErr w:type="spellEnd"/>
      <w:r>
        <w:t xml:space="preserve"> </w:t>
      </w:r>
      <w:proofErr w:type="spellStart"/>
      <w:r>
        <w:t>disabled</w:t>
      </w:r>
      <w:proofErr w:type="spellEnd"/>
      <w:r>
        <w:t xml:space="preserve"> </w:t>
      </w:r>
      <w:proofErr w:type="spellStart"/>
      <w:r>
        <w:t>peoples</w:t>
      </w:r>
      <w:proofErr w:type="spellEnd"/>
      <w:r>
        <w:t xml:space="preserve"> and </w:t>
      </w:r>
      <w:proofErr w:type="spellStart"/>
      <w:r>
        <w:t>their</w:t>
      </w:r>
      <w:proofErr w:type="spellEnd"/>
      <w:r>
        <w:t xml:space="preserve"> </w:t>
      </w:r>
      <w:proofErr w:type="spellStart"/>
      <w:r>
        <w:t>families</w:t>
      </w:r>
      <w:proofErr w:type="spellEnd"/>
      <w:r>
        <w:t xml:space="preserve"> </w:t>
      </w:r>
      <w:proofErr w:type="spellStart"/>
      <w:r>
        <w:t>to</w:t>
      </w:r>
      <w:proofErr w:type="spellEnd"/>
      <w:r>
        <w:t xml:space="preserve"> </w:t>
      </w:r>
      <w:proofErr w:type="spellStart"/>
      <w:r>
        <w:t>live</w:t>
      </w:r>
      <w:proofErr w:type="spellEnd"/>
      <w:r>
        <w:t xml:space="preserve"> inclusive and </w:t>
      </w:r>
      <w:proofErr w:type="spellStart"/>
      <w:r>
        <w:t>fulfilling</w:t>
      </w:r>
      <w:proofErr w:type="spellEnd"/>
      <w:r>
        <w:t xml:space="preserve"> </w:t>
      </w:r>
      <w:proofErr w:type="spellStart"/>
      <w:r>
        <w:t>lives</w:t>
      </w:r>
      <w:proofErr w:type="spellEnd"/>
      <w:r>
        <w:t xml:space="preserve"> and </w:t>
      </w:r>
      <w:proofErr w:type="spellStart"/>
      <w:r>
        <w:t>to</w:t>
      </w:r>
      <w:proofErr w:type="spellEnd"/>
      <w:r>
        <w:t xml:space="preserve"> </w:t>
      </w:r>
      <w:proofErr w:type="spellStart"/>
      <w:r>
        <w:t>participate</w:t>
      </w:r>
      <w:proofErr w:type="spellEnd"/>
      <w:r>
        <w:t xml:space="preserve"> in </w:t>
      </w:r>
      <w:proofErr w:type="spellStart"/>
      <w:r>
        <w:t>their</w:t>
      </w:r>
      <w:proofErr w:type="spellEnd"/>
      <w:r>
        <w:t xml:space="preserve"> </w:t>
      </w:r>
      <w:proofErr w:type="spellStart"/>
      <w:r>
        <w:t>communities</w:t>
      </w:r>
      <w:proofErr w:type="spellEnd"/>
      <w:r>
        <w:t xml:space="preserve">. </w:t>
      </w:r>
      <w:proofErr w:type="spellStart"/>
      <w:r>
        <w:t>See</w:t>
      </w:r>
      <w:proofErr w:type="spellEnd"/>
      <w:r>
        <w:t xml:space="preserve"> </w:t>
      </w:r>
      <w:r w:rsidRPr="00193DD1">
        <w:rPr>
          <w:rStyle w:val="Hipervnculo"/>
        </w:rPr>
        <w:t>www.health.govt.nz/our-work/disability-services/pasifika-disability-support-services/faiva-ora-leadership-group</w:t>
      </w:r>
      <w:r>
        <w:t>.</w:t>
      </w:r>
    </w:p>
  </w:endnote>
  <w:endnote w:id="199">
    <w:p w14:paraId="31D41168"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See</w:t>
      </w:r>
      <w:proofErr w:type="spellEnd"/>
      <w:r>
        <w:t xml:space="preserve"> </w:t>
      </w:r>
      <w:r w:rsidRPr="00193DD1">
        <w:rPr>
          <w:rStyle w:val="Hipervnculo"/>
        </w:rPr>
        <w:t>www.health.govt.nz/our-work/disability-services/pasifika-disability-support-services/faiva-ora-leadership-group</w:t>
      </w:r>
      <w:r>
        <w:t>.</w:t>
      </w:r>
    </w:p>
  </w:endnote>
  <w:endnote w:id="200">
    <w:p w14:paraId="2FAC7EF3"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See</w:t>
      </w:r>
      <w:proofErr w:type="spellEnd"/>
      <w:r>
        <w:t xml:space="preserve"> </w:t>
      </w:r>
      <w:r w:rsidRPr="00193DD1">
        <w:rPr>
          <w:rStyle w:val="Hipervnculo"/>
        </w:rPr>
        <w:t>www.health.govt.nz/publication/new-zealand-framework-dementia-care</w:t>
      </w:r>
      <w:r>
        <w:t>.</w:t>
      </w:r>
    </w:p>
  </w:endnote>
  <w:endnote w:id="201">
    <w:p w14:paraId="078F04A6"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Launched</w:t>
      </w:r>
      <w:proofErr w:type="spellEnd"/>
      <w:r>
        <w:t xml:space="preserve"> in 2016. </w:t>
      </w:r>
      <w:proofErr w:type="spellStart"/>
      <w:r>
        <w:t>See</w:t>
      </w:r>
      <w:proofErr w:type="spellEnd"/>
      <w:r>
        <w:t xml:space="preserve"> </w:t>
      </w:r>
      <w:proofErr w:type="spellStart"/>
      <w:r w:rsidRPr="00193DD1">
        <w:rPr>
          <w:rStyle w:val="Hipervnculo"/>
        </w:rPr>
        <w:t>www.health.govt.nz</w:t>
      </w:r>
      <w:proofErr w:type="spellEnd"/>
      <w:r w:rsidRPr="00193DD1">
        <w:rPr>
          <w:rStyle w:val="Hipervnculo"/>
        </w:rPr>
        <w:t>/</w:t>
      </w:r>
      <w:proofErr w:type="spellStart"/>
      <w:r w:rsidRPr="00193DD1">
        <w:rPr>
          <w:rStyle w:val="Hipervnculo"/>
        </w:rPr>
        <w:t>publication</w:t>
      </w:r>
      <w:proofErr w:type="spellEnd"/>
      <w:r w:rsidRPr="00193DD1">
        <w:rPr>
          <w:rStyle w:val="Hipervnculo"/>
        </w:rPr>
        <w:t>/</w:t>
      </w:r>
      <w:proofErr w:type="spellStart"/>
      <w:r w:rsidRPr="00193DD1">
        <w:rPr>
          <w:rStyle w:val="Hipervnculo"/>
        </w:rPr>
        <w:t>healthy-ageing-strategy</w:t>
      </w:r>
      <w:proofErr w:type="spellEnd"/>
      <w:r>
        <w:t>.</w:t>
      </w:r>
    </w:p>
  </w:endnote>
  <w:endnote w:id="202">
    <w:p w14:paraId="14B21C04"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Services</w:t>
      </w:r>
      <w:proofErr w:type="spellEnd"/>
      <w:r>
        <w:t xml:space="preserve"> </w:t>
      </w:r>
      <w:proofErr w:type="spellStart"/>
      <w:r>
        <w:t>include</w:t>
      </w:r>
      <w:proofErr w:type="spellEnd"/>
      <w:r>
        <w:t xml:space="preserve"> </w:t>
      </w:r>
      <w:proofErr w:type="spellStart"/>
      <w:r>
        <w:t>specialised</w:t>
      </w:r>
      <w:proofErr w:type="spellEnd"/>
      <w:r>
        <w:t xml:space="preserve"> </w:t>
      </w:r>
      <w:proofErr w:type="spellStart"/>
      <w:r>
        <w:t>assessment</w:t>
      </w:r>
      <w:proofErr w:type="spellEnd"/>
      <w:r>
        <w:t xml:space="preserve">, </w:t>
      </w:r>
      <w:proofErr w:type="spellStart"/>
      <w:r>
        <w:t>treatment</w:t>
      </w:r>
      <w:proofErr w:type="spellEnd"/>
      <w:r>
        <w:t xml:space="preserve"> and </w:t>
      </w:r>
      <w:proofErr w:type="spellStart"/>
      <w:r>
        <w:t>rehabilitation</w:t>
      </w:r>
      <w:proofErr w:type="spellEnd"/>
      <w:r>
        <w:t xml:space="preserve"> </w:t>
      </w:r>
      <w:proofErr w:type="spellStart"/>
      <w:r>
        <w:t>services</w:t>
      </w:r>
      <w:proofErr w:type="spellEnd"/>
      <w:r>
        <w:t xml:space="preserve">, </w:t>
      </w:r>
      <w:proofErr w:type="spellStart"/>
      <w:r>
        <w:t>child</w:t>
      </w:r>
      <w:proofErr w:type="spellEnd"/>
      <w:r>
        <w:t xml:space="preserve"> </w:t>
      </w:r>
      <w:proofErr w:type="spellStart"/>
      <w:r>
        <w:t>development</w:t>
      </w:r>
      <w:proofErr w:type="spellEnd"/>
      <w:r>
        <w:t xml:space="preserve"> </w:t>
      </w:r>
      <w:proofErr w:type="spellStart"/>
      <w:r>
        <w:t>services</w:t>
      </w:r>
      <w:proofErr w:type="spellEnd"/>
      <w:r>
        <w:t xml:space="preserve">, </w:t>
      </w:r>
      <w:proofErr w:type="spellStart"/>
      <w:r>
        <w:t>equipment</w:t>
      </w:r>
      <w:proofErr w:type="spellEnd"/>
      <w:r>
        <w:t xml:space="preserve"> and </w:t>
      </w:r>
      <w:proofErr w:type="spellStart"/>
      <w:r>
        <w:t>modifications</w:t>
      </w:r>
      <w:proofErr w:type="spellEnd"/>
      <w:r>
        <w:t xml:space="preserve">, </w:t>
      </w:r>
      <w:proofErr w:type="spellStart"/>
      <w:r>
        <w:t>residential</w:t>
      </w:r>
      <w:proofErr w:type="spellEnd"/>
      <w:r>
        <w:t xml:space="preserve"> and non-</w:t>
      </w:r>
      <w:proofErr w:type="spellStart"/>
      <w:r>
        <w:t>residential</w:t>
      </w:r>
      <w:proofErr w:type="spellEnd"/>
      <w:r>
        <w:t xml:space="preserve"> </w:t>
      </w:r>
      <w:proofErr w:type="spellStart"/>
      <w:r>
        <w:t>community</w:t>
      </w:r>
      <w:proofErr w:type="spellEnd"/>
      <w:r>
        <w:t xml:space="preserve"> </w:t>
      </w:r>
      <w:proofErr w:type="spellStart"/>
      <w:r>
        <w:t>rehabilitation</w:t>
      </w:r>
      <w:proofErr w:type="spellEnd"/>
      <w:r>
        <w:t xml:space="preserve"> </w:t>
      </w:r>
      <w:proofErr w:type="spellStart"/>
      <w:r>
        <w:t>services</w:t>
      </w:r>
      <w:proofErr w:type="spellEnd"/>
      <w:r>
        <w:t xml:space="preserve">, </w:t>
      </w:r>
      <w:proofErr w:type="spellStart"/>
      <w:r>
        <w:t>rehabilitation</w:t>
      </w:r>
      <w:proofErr w:type="spellEnd"/>
      <w:r>
        <w:t xml:space="preserve"> </w:t>
      </w:r>
      <w:proofErr w:type="spellStart"/>
      <w:r>
        <w:t>services</w:t>
      </w:r>
      <w:proofErr w:type="spellEnd"/>
      <w:r>
        <w:t xml:space="preserve"> </w:t>
      </w:r>
      <w:proofErr w:type="spellStart"/>
      <w:r>
        <w:t>for</w:t>
      </w:r>
      <w:proofErr w:type="spellEnd"/>
      <w:r>
        <w:t xml:space="preserve"> </w:t>
      </w:r>
      <w:proofErr w:type="spellStart"/>
      <w:r>
        <w:t>intellectually</w:t>
      </w:r>
      <w:proofErr w:type="spellEnd"/>
      <w:r>
        <w:t xml:space="preserve"> </w:t>
      </w:r>
      <w:proofErr w:type="spellStart"/>
      <w:r>
        <w:t>disabled</w:t>
      </w:r>
      <w:proofErr w:type="spellEnd"/>
      <w:r>
        <w:t xml:space="preserve"> </w:t>
      </w:r>
      <w:proofErr w:type="spellStart"/>
      <w:r>
        <w:t>offenders</w:t>
      </w:r>
      <w:proofErr w:type="spellEnd"/>
      <w:r>
        <w:t xml:space="preserve"> </w:t>
      </w:r>
      <w:proofErr w:type="spellStart"/>
      <w:r>
        <w:t>under</w:t>
      </w:r>
      <w:proofErr w:type="spellEnd"/>
      <w:r>
        <w:t xml:space="preserve"> </w:t>
      </w:r>
      <w:proofErr w:type="spellStart"/>
      <w:r>
        <w:t>the</w:t>
      </w:r>
      <w:proofErr w:type="spellEnd"/>
      <w:r>
        <w:t xml:space="preserve"> </w:t>
      </w:r>
      <w:proofErr w:type="spellStart"/>
      <w:r>
        <w:t>Intellectual</w:t>
      </w:r>
      <w:proofErr w:type="spellEnd"/>
      <w:r>
        <w:t xml:space="preserve"> </w:t>
      </w:r>
      <w:proofErr w:type="spellStart"/>
      <w:r>
        <w:t>Disability</w:t>
      </w:r>
      <w:proofErr w:type="spellEnd"/>
      <w:r>
        <w:t xml:space="preserve"> </w:t>
      </w:r>
      <w:proofErr w:type="spellStart"/>
      <w:r>
        <w:t>Act</w:t>
      </w:r>
      <w:proofErr w:type="spellEnd"/>
      <w:r>
        <w:t xml:space="preserve"> and </w:t>
      </w:r>
      <w:proofErr w:type="spellStart"/>
      <w:r>
        <w:t>low</w:t>
      </w:r>
      <w:proofErr w:type="spellEnd"/>
      <w:r>
        <w:t xml:space="preserve"> </w:t>
      </w:r>
      <w:proofErr w:type="spellStart"/>
      <w:r>
        <w:t>vision</w:t>
      </w:r>
      <w:proofErr w:type="spellEnd"/>
      <w:r>
        <w:t xml:space="preserve"> </w:t>
      </w:r>
      <w:proofErr w:type="spellStart"/>
      <w:r>
        <w:t>rehabilitation</w:t>
      </w:r>
      <w:proofErr w:type="spellEnd"/>
      <w:r>
        <w:t xml:space="preserve"> </w:t>
      </w:r>
      <w:proofErr w:type="spellStart"/>
      <w:r>
        <w:t>service</w:t>
      </w:r>
      <w:proofErr w:type="spellEnd"/>
      <w:r>
        <w:t>.</w:t>
      </w:r>
    </w:p>
  </w:endnote>
  <w:endnote w:id="203">
    <w:p w14:paraId="0FE9726A" w14:textId="77777777" w:rsidR="003665BE" w:rsidRDefault="003665BE" w:rsidP="00011964">
      <w:pPr>
        <w:pStyle w:val="Textonotaalfinal"/>
      </w:pPr>
      <w:r>
        <w:tab/>
      </w:r>
      <w:r w:rsidRPr="00154216">
        <w:rPr>
          <w:rStyle w:val="Refdenotaalfinal"/>
        </w:rPr>
        <w:endnoteRef/>
      </w:r>
      <w:r w:rsidRPr="00154216">
        <w:rPr>
          <w:rStyle w:val="Refdenotaalfinal"/>
        </w:rPr>
        <w:tab/>
      </w:r>
      <w:r>
        <w:t xml:space="preserve">“Te </w:t>
      </w:r>
      <w:proofErr w:type="spellStart"/>
      <w:r>
        <w:t>tiriti</w:t>
      </w:r>
      <w:proofErr w:type="spellEnd"/>
      <w:r>
        <w:t xml:space="preserve"> o </w:t>
      </w:r>
      <w:proofErr w:type="spellStart"/>
      <w:r>
        <w:t>Waitangi</w:t>
      </w:r>
      <w:proofErr w:type="spellEnd"/>
      <w:r>
        <w:t xml:space="preserve">” </w:t>
      </w:r>
      <w:proofErr w:type="spellStart"/>
      <w:r>
        <w:t>is</w:t>
      </w:r>
      <w:proofErr w:type="spellEnd"/>
      <w:r>
        <w:t xml:space="preserve"> Te Reo </w:t>
      </w:r>
      <w:proofErr w:type="spellStart"/>
      <w:r>
        <w:t>for</w:t>
      </w:r>
      <w:proofErr w:type="spellEnd"/>
      <w:r>
        <w:t xml:space="preserve"> “</w:t>
      </w:r>
      <w:proofErr w:type="spellStart"/>
      <w:r>
        <w:t>the</w:t>
      </w:r>
      <w:proofErr w:type="spellEnd"/>
      <w:r>
        <w:t xml:space="preserve"> </w:t>
      </w:r>
      <w:proofErr w:type="spellStart"/>
      <w:r>
        <w:t>Treaty</w:t>
      </w:r>
      <w:proofErr w:type="spellEnd"/>
      <w:r>
        <w:t xml:space="preserve"> </w:t>
      </w:r>
      <w:proofErr w:type="spellStart"/>
      <w:r>
        <w:t>of</w:t>
      </w:r>
      <w:proofErr w:type="spellEnd"/>
      <w:r>
        <w:t xml:space="preserve"> </w:t>
      </w:r>
      <w:proofErr w:type="spellStart"/>
      <w:r>
        <w:t>Waitangi</w:t>
      </w:r>
      <w:proofErr w:type="spellEnd"/>
      <w:r>
        <w:t xml:space="preserve">”. </w:t>
      </w:r>
      <w:proofErr w:type="spellStart"/>
      <w:r>
        <w:t>See</w:t>
      </w:r>
      <w:proofErr w:type="spellEnd"/>
      <w:r>
        <w:t xml:space="preserve"> </w:t>
      </w:r>
      <w:r w:rsidRPr="00193DD1">
        <w:rPr>
          <w:rStyle w:val="Hipervnculo"/>
        </w:rPr>
        <w:t>http://archives.govt.nz/provenance-of-power/te-tiriti-o-waitangi/view-te-tiriti-o-waitangi-online</w:t>
      </w:r>
      <w:r>
        <w:t>.</w:t>
      </w:r>
    </w:p>
  </w:endnote>
  <w:endnote w:id="204">
    <w:p w14:paraId="09D6FF63"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See</w:t>
      </w:r>
      <w:proofErr w:type="spellEnd"/>
      <w:r>
        <w:t xml:space="preserve"> </w:t>
      </w:r>
      <w:r w:rsidRPr="00193DD1">
        <w:rPr>
          <w:rStyle w:val="Hipervnculo"/>
        </w:rPr>
        <w:t>https://www.hdc.org.nz/your-rights/about-the-code/code-of-health-and-disability-services-consumers-rights/</w:t>
      </w:r>
      <w:r>
        <w:t>.</w:t>
      </w:r>
    </w:p>
  </w:endnote>
  <w:endnote w:id="205">
    <w:p w14:paraId="18103942"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The</w:t>
      </w:r>
      <w:proofErr w:type="spellEnd"/>
      <w:r>
        <w:t xml:space="preserve"> </w:t>
      </w:r>
      <w:proofErr w:type="spellStart"/>
      <w:r>
        <w:t>NZ</w:t>
      </w:r>
      <w:proofErr w:type="spellEnd"/>
      <w:r>
        <w:t xml:space="preserve"> </w:t>
      </w:r>
      <w:proofErr w:type="spellStart"/>
      <w:r>
        <w:t>Disability</w:t>
      </w:r>
      <w:proofErr w:type="spellEnd"/>
      <w:r>
        <w:t xml:space="preserve"> </w:t>
      </w:r>
      <w:proofErr w:type="spellStart"/>
      <w:r>
        <w:t>Support</w:t>
      </w:r>
      <w:proofErr w:type="spellEnd"/>
      <w:r>
        <w:t xml:space="preserve"> Network </w:t>
      </w:r>
      <w:proofErr w:type="spellStart"/>
      <w:r>
        <w:t>is</w:t>
      </w:r>
      <w:proofErr w:type="spellEnd"/>
      <w:r>
        <w:t xml:space="preserve"> a </w:t>
      </w:r>
      <w:proofErr w:type="spellStart"/>
      <w:r>
        <w:t>network</w:t>
      </w:r>
      <w:proofErr w:type="spellEnd"/>
      <w:r>
        <w:t xml:space="preserve"> </w:t>
      </w:r>
      <w:proofErr w:type="spellStart"/>
      <w:r>
        <w:t>of</w:t>
      </w:r>
      <w:proofErr w:type="spellEnd"/>
      <w:r>
        <w:t xml:space="preserve"> </w:t>
      </w:r>
      <w:proofErr w:type="spellStart"/>
      <w:r>
        <w:t>not-for-profit</w:t>
      </w:r>
      <w:proofErr w:type="spellEnd"/>
      <w:r>
        <w:t xml:space="preserve"> </w:t>
      </w:r>
      <w:proofErr w:type="spellStart"/>
      <w:r>
        <w:t>organisations</w:t>
      </w:r>
      <w:proofErr w:type="spellEnd"/>
      <w:r>
        <w:t xml:space="preserve"> and </w:t>
      </w:r>
      <w:proofErr w:type="spellStart"/>
      <w:r>
        <w:t>some</w:t>
      </w:r>
      <w:proofErr w:type="spellEnd"/>
      <w:r>
        <w:t xml:space="preserve"> </w:t>
      </w:r>
      <w:proofErr w:type="spellStart"/>
      <w:r>
        <w:t>for-profit</w:t>
      </w:r>
      <w:proofErr w:type="spellEnd"/>
      <w:r>
        <w:t xml:space="preserve"> </w:t>
      </w:r>
      <w:proofErr w:type="spellStart"/>
      <w:r>
        <w:t>NGOs</w:t>
      </w:r>
      <w:proofErr w:type="spellEnd"/>
      <w:r>
        <w:t xml:space="preserve"> </w:t>
      </w:r>
      <w:proofErr w:type="spellStart"/>
      <w:r>
        <w:t>that</w:t>
      </w:r>
      <w:proofErr w:type="spellEnd"/>
      <w:r>
        <w:t xml:space="preserve"> </w:t>
      </w:r>
      <w:proofErr w:type="spellStart"/>
      <w:r>
        <w:t>provide</w:t>
      </w:r>
      <w:proofErr w:type="spellEnd"/>
      <w:r>
        <w:t xml:space="preserve"> </w:t>
      </w:r>
      <w:proofErr w:type="spellStart"/>
      <w:r>
        <w:t>support</w:t>
      </w:r>
      <w:proofErr w:type="spellEnd"/>
      <w:r>
        <w:t xml:space="preserve"> </w:t>
      </w:r>
      <w:proofErr w:type="spellStart"/>
      <w:r>
        <w:t>services</w:t>
      </w:r>
      <w:proofErr w:type="spellEnd"/>
      <w:r>
        <w:t xml:space="preserve"> </w:t>
      </w:r>
      <w:proofErr w:type="spellStart"/>
      <w:r>
        <w:t>to</w:t>
      </w:r>
      <w:proofErr w:type="spellEnd"/>
      <w:r>
        <w:t xml:space="preserve"> </w:t>
      </w:r>
      <w:proofErr w:type="spellStart"/>
      <w:r>
        <w:t>disabled</w:t>
      </w:r>
      <w:proofErr w:type="spellEnd"/>
      <w:r>
        <w:t xml:space="preserve"> </w:t>
      </w:r>
      <w:proofErr w:type="spellStart"/>
      <w:r>
        <w:t>people</w:t>
      </w:r>
      <w:proofErr w:type="spellEnd"/>
      <w:r>
        <w:t xml:space="preserve">, </w:t>
      </w:r>
      <w:proofErr w:type="spellStart"/>
      <w:r>
        <w:t>mainly</w:t>
      </w:r>
      <w:proofErr w:type="spellEnd"/>
      <w:r>
        <w:t xml:space="preserve"> </w:t>
      </w:r>
      <w:proofErr w:type="spellStart"/>
      <w:r>
        <w:t>through</w:t>
      </w:r>
      <w:proofErr w:type="spellEnd"/>
      <w:r>
        <w:t xml:space="preserve"> </w:t>
      </w:r>
      <w:proofErr w:type="spellStart"/>
      <w:r>
        <w:t>contracts</w:t>
      </w:r>
      <w:proofErr w:type="spellEnd"/>
      <w:r>
        <w:t xml:space="preserve"> </w:t>
      </w:r>
      <w:proofErr w:type="spellStart"/>
      <w:r>
        <w:t>with</w:t>
      </w:r>
      <w:proofErr w:type="spellEnd"/>
      <w:r>
        <w:t xml:space="preserve"> </w:t>
      </w:r>
      <w:proofErr w:type="spellStart"/>
      <w:r>
        <w:t>government</w:t>
      </w:r>
      <w:proofErr w:type="spellEnd"/>
      <w:r>
        <w:t xml:space="preserve">. </w:t>
      </w:r>
      <w:proofErr w:type="spellStart"/>
      <w:r>
        <w:t>See</w:t>
      </w:r>
      <w:proofErr w:type="spellEnd"/>
      <w:r>
        <w:t xml:space="preserve"> </w:t>
      </w:r>
      <w:proofErr w:type="spellStart"/>
      <w:r w:rsidRPr="00193DD1">
        <w:rPr>
          <w:rStyle w:val="Hipervnculo"/>
        </w:rPr>
        <w:t>www.nzdsn.org.nz</w:t>
      </w:r>
      <w:proofErr w:type="spellEnd"/>
      <w:r w:rsidRPr="00193DD1">
        <w:rPr>
          <w:rStyle w:val="Hipervnculo"/>
        </w:rPr>
        <w:t>/</w:t>
      </w:r>
      <w:r>
        <w:t xml:space="preserve">. </w:t>
      </w:r>
    </w:p>
  </w:endnote>
  <w:endnote w:id="206">
    <w:p w14:paraId="4171469C"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See</w:t>
      </w:r>
      <w:proofErr w:type="spellEnd"/>
      <w:r>
        <w:t xml:space="preserve"> </w:t>
      </w:r>
      <w:r w:rsidRPr="00193DD1">
        <w:rPr>
          <w:rStyle w:val="Hipervnculo"/>
        </w:rPr>
        <w:t>www.nzdsn.org.nz/employment-support-practice-guidelines-how-to-support-disabled-people-to-get-the-job-they-want/</w:t>
      </w:r>
      <w:r>
        <w:t xml:space="preserve">. </w:t>
      </w:r>
    </w:p>
  </w:endnote>
  <w:endnote w:id="207">
    <w:p w14:paraId="31AE99E7"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See</w:t>
      </w:r>
      <w:proofErr w:type="spellEnd"/>
      <w:r>
        <w:t xml:space="preserve"> </w:t>
      </w:r>
      <w:r w:rsidRPr="00193DD1">
        <w:rPr>
          <w:rStyle w:val="Hipervnculo"/>
        </w:rPr>
        <w:t>https://www.msd.govt.nz/about-msd-and-our-work/work-programmes/initiatives/disabilityconfidentnz/lead-toolkit/index.html</w:t>
      </w:r>
      <w:r>
        <w:t xml:space="preserve">. </w:t>
      </w:r>
    </w:p>
  </w:endnote>
  <w:endnote w:id="208">
    <w:p w14:paraId="1252F47C" w14:textId="77777777" w:rsidR="003665BE" w:rsidRDefault="003665BE" w:rsidP="00011964">
      <w:pPr>
        <w:pStyle w:val="Textonotaalfinal"/>
      </w:pPr>
      <w:r>
        <w:tab/>
      </w:r>
      <w:r w:rsidRPr="00154216">
        <w:rPr>
          <w:rStyle w:val="Refdenotaalfinal"/>
        </w:rPr>
        <w:endnoteRef/>
      </w:r>
      <w:r w:rsidRPr="00154216">
        <w:rPr>
          <w:rStyle w:val="Refdenotaalfinal"/>
        </w:rPr>
        <w:tab/>
      </w:r>
      <w:r>
        <w:t>“</w:t>
      </w:r>
      <w:proofErr w:type="spellStart"/>
      <w:r>
        <w:t>Oranga</w:t>
      </w:r>
      <w:proofErr w:type="spellEnd"/>
      <w:r>
        <w:t xml:space="preserve"> </w:t>
      </w:r>
      <w:proofErr w:type="spellStart"/>
      <w:r>
        <w:t>mahi</w:t>
      </w:r>
      <w:proofErr w:type="spellEnd"/>
      <w:r>
        <w:t xml:space="preserve">” </w:t>
      </w:r>
      <w:proofErr w:type="spellStart"/>
      <w:r>
        <w:t>is</w:t>
      </w:r>
      <w:proofErr w:type="spellEnd"/>
      <w:r>
        <w:t xml:space="preserve"> Te Reo </w:t>
      </w:r>
      <w:proofErr w:type="spellStart"/>
      <w:r>
        <w:t>meaning</w:t>
      </w:r>
      <w:proofErr w:type="spellEnd"/>
      <w:r>
        <w:t xml:space="preserve"> </w:t>
      </w:r>
      <w:proofErr w:type="spellStart"/>
      <w:r>
        <w:t>wellness</w:t>
      </w:r>
      <w:proofErr w:type="spellEnd"/>
      <w:r>
        <w:t xml:space="preserve"> </w:t>
      </w:r>
      <w:proofErr w:type="spellStart"/>
      <w:r>
        <w:t>through</w:t>
      </w:r>
      <w:proofErr w:type="spellEnd"/>
      <w:r>
        <w:t xml:space="preserve"> </w:t>
      </w:r>
      <w:proofErr w:type="spellStart"/>
      <w:r>
        <w:t>work</w:t>
      </w:r>
      <w:proofErr w:type="spellEnd"/>
      <w:r>
        <w:t>.</w:t>
      </w:r>
    </w:p>
  </w:endnote>
  <w:endnote w:id="209">
    <w:p w14:paraId="1379EA0E"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See</w:t>
      </w:r>
      <w:proofErr w:type="spellEnd"/>
      <w:r>
        <w:t xml:space="preserve"> </w:t>
      </w:r>
      <w:r w:rsidRPr="00193DD1">
        <w:rPr>
          <w:rStyle w:val="Hipervnculo"/>
        </w:rPr>
        <w:t>www.msd.govt.nz/about-msd-and-our-work/publications-resources/corporate/annual-report/2016-2017/reducing-the-welfare-liability.html</w:t>
      </w:r>
      <w:r>
        <w:t xml:space="preserve">. </w:t>
      </w:r>
    </w:p>
  </w:endnote>
  <w:endnote w:id="210">
    <w:p w14:paraId="4714C69F"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Waitemata</w:t>
      </w:r>
      <w:proofErr w:type="spellEnd"/>
      <w:r>
        <w:t xml:space="preserve"> </w:t>
      </w:r>
      <w:proofErr w:type="spellStart"/>
      <w:r>
        <w:t>is</w:t>
      </w:r>
      <w:proofErr w:type="spellEnd"/>
      <w:r>
        <w:t xml:space="preserve"> </w:t>
      </w:r>
      <w:proofErr w:type="spellStart"/>
      <w:r>
        <w:t>an</w:t>
      </w:r>
      <w:proofErr w:type="spellEnd"/>
      <w:r>
        <w:t xml:space="preserve"> </w:t>
      </w:r>
      <w:proofErr w:type="spellStart"/>
      <w:r>
        <w:t>area</w:t>
      </w:r>
      <w:proofErr w:type="spellEnd"/>
      <w:r>
        <w:t xml:space="preserve"> in North and West Auckland </w:t>
      </w:r>
      <w:proofErr w:type="spellStart"/>
      <w:r>
        <w:t>region</w:t>
      </w:r>
      <w:proofErr w:type="spellEnd"/>
      <w:r>
        <w:t>.</w:t>
      </w:r>
    </w:p>
  </w:endnote>
  <w:endnote w:id="211">
    <w:p w14:paraId="031489B2"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Under</w:t>
      </w:r>
      <w:proofErr w:type="spellEnd"/>
      <w:r>
        <w:t xml:space="preserve"> </w:t>
      </w:r>
      <w:proofErr w:type="spellStart"/>
      <w:r>
        <w:t>the</w:t>
      </w:r>
      <w:proofErr w:type="spellEnd"/>
      <w:r>
        <w:t xml:space="preserve"> </w:t>
      </w:r>
      <w:proofErr w:type="spellStart"/>
      <w:r>
        <w:t>Disabled</w:t>
      </w:r>
      <w:proofErr w:type="spellEnd"/>
      <w:r>
        <w:t xml:space="preserve"> </w:t>
      </w:r>
      <w:proofErr w:type="spellStart"/>
      <w:r>
        <w:t>Persons</w:t>
      </w:r>
      <w:proofErr w:type="spellEnd"/>
      <w:r>
        <w:t xml:space="preserve"> </w:t>
      </w:r>
      <w:proofErr w:type="spellStart"/>
      <w:r>
        <w:t>Employment</w:t>
      </w:r>
      <w:proofErr w:type="spellEnd"/>
      <w:r>
        <w:t xml:space="preserve"> </w:t>
      </w:r>
      <w:proofErr w:type="spellStart"/>
      <w:r>
        <w:t>Promotion</w:t>
      </w:r>
      <w:proofErr w:type="spellEnd"/>
      <w:r>
        <w:t xml:space="preserve"> </w:t>
      </w:r>
      <w:proofErr w:type="spellStart"/>
      <w:r>
        <w:t>Act</w:t>
      </w:r>
      <w:proofErr w:type="spellEnd"/>
      <w:r>
        <w:t xml:space="preserve"> 1960, </w:t>
      </w:r>
      <w:proofErr w:type="spellStart"/>
      <w:r>
        <w:t>operators</w:t>
      </w:r>
      <w:proofErr w:type="spellEnd"/>
      <w:r>
        <w:t xml:space="preserve"> </w:t>
      </w:r>
      <w:proofErr w:type="spellStart"/>
      <w:r>
        <w:t>of</w:t>
      </w:r>
      <w:proofErr w:type="spellEnd"/>
      <w:r>
        <w:t xml:space="preserve"> </w:t>
      </w:r>
      <w:proofErr w:type="spellStart"/>
      <w:r>
        <w:t>sheltered</w:t>
      </w:r>
      <w:proofErr w:type="spellEnd"/>
      <w:r>
        <w:t xml:space="preserve"> workshops </w:t>
      </w:r>
      <w:proofErr w:type="spellStart"/>
      <w:r>
        <w:t>were</w:t>
      </w:r>
      <w:proofErr w:type="spellEnd"/>
      <w:r>
        <w:t xml:space="preserve"> </w:t>
      </w:r>
      <w:proofErr w:type="spellStart"/>
      <w:r>
        <w:t>exempted</w:t>
      </w:r>
      <w:proofErr w:type="spellEnd"/>
      <w:r>
        <w:t xml:space="preserve"> </w:t>
      </w:r>
      <w:proofErr w:type="spellStart"/>
      <w:r>
        <w:t>from</w:t>
      </w:r>
      <w:proofErr w:type="spellEnd"/>
      <w:r>
        <w:t xml:space="preserve"> </w:t>
      </w:r>
      <w:proofErr w:type="spellStart"/>
      <w:r>
        <w:t>applying</w:t>
      </w:r>
      <w:proofErr w:type="spellEnd"/>
      <w:r>
        <w:t xml:space="preserve"> </w:t>
      </w:r>
      <w:proofErr w:type="spellStart"/>
      <w:r>
        <w:t>the</w:t>
      </w:r>
      <w:proofErr w:type="spellEnd"/>
      <w:r>
        <w:t xml:space="preserve"> </w:t>
      </w:r>
      <w:proofErr w:type="spellStart"/>
      <w:r>
        <w:t>same</w:t>
      </w:r>
      <w:proofErr w:type="spellEnd"/>
      <w:r>
        <w:t xml:space="preserve"> </w:t>
      </w:r>
      <w:proofErr w:type="spellStart"/>
      <w:r>
        <w:t>employment</w:t>
      </w:r>
      <w:proofErr w:type="spellEnd"/>
      <w:r>
        <w:t xml:space="preserve"> </w:t>
      </w:r>
      <w:proofErr w:type="spellStart"/>
      <w:r>
        <w:t>conditions</w:t>
      </w:r>
      <w:proofErr w:type="spellEnd"/>
      <w:r>
        <w:t xml:space="preserve"> </w:t>
      </w:r>
      <w:proofErr w:type="spellStart"/>
      <w:r>
        <w:t>required</w:t>
      </w:r>
      <w:proofErr w:type="spellEnd"/>
      <w:r>
        <w:t xml:space="preserve"> </w:t>
      </w:r>
      <w:proofErr w:type="spellStart"/>
      <w:r>
        <w:t>elsewhere</w:t>
      </w:r>
      <w:proofErr w:type="spellEnd"/>
      <w:r>
        <w:t>.</w:t>
      </w:r>
    </w:p>
  </w:endnote>
  <w:endnote w:id="212">
    <w:p w14:paraId="45F33387"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See</w:t>
      </w:r>
      <w:proofErr w:type="spellEnd"/>
      <w:r>
        <w:t xml:space="preserve"> </w:t>
      </w:r>
      <w:r w:rsidRPr="00193DD1">
        <w:rPr>
          <w:rStyle w:val="Hipervnculo"/>
        </w:rPr>
        <w:t>www.employment.govt.nz/hours-and-wages/pay/minimum-wage/minimum-wage-exemptions/</w:t>
      </w:r>
      <w:r>
        <w:t xml:space="preserve">. </w:t>
      </w:r>
    </w:p>
  </w:endnote>
  <w:endnote w:id="213">
    <w:p w14:paraId="1E0C8EED"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Action</w:t>
      </w:r>
      <w:proofErr w:type="spellEnd"/>
      <w:r>
        <w:t xml:space="preserve"> </w:t>
      </w:r>
      <w:proofErr w:type="spellStart"/>
      <w:r>
        <w:t>2b</w:t>
      </w:r>
      <w:proofErr w:type="spellEnd"/>
      <w:r>
        <w:t xml:space="preserve"> </w:t>
      </w:r>
      <w:proofErr w:type="spellStart"/>
      <w:r>
        <w:t>refers</w:t>
      </w:r>
      <w:proofErr w:type="spellEnd"/>
      <w:r>
        <w:t xml:space="preserve">, </w:t>
      </w:r>
      <w:proofErr w:type="spellStart"/>
      <w:r>
        <w:t>Disability</w:t>
      </w:r>
      <w:proofErr w:type="spellEnd"/>
      <w:r>
        <w:t xml:space="preserve"> </w:t>
      </w:r>
      <w:proofErr w:type="spellStart"/>
      <w:r>
        <w:t>Action</w:t>
      </w:r>
      <w:proofErr w:type="spellEnd"/>
      <w:r>
        <w:t xml:space="preserve"> Plan 2014–2018. </w:t>
      </w:r>
      <w:proofErr w:type="spellStart"/>
      <w:r>
        <w:t>See</w:t>
      </w:r>
      <w:proofErr w:type="spellEnd"/>
      <w:r>
        <w:t xml:space="preserve"> </w:t>
      </w:r>
      <w:r w:rsidRPr="00193DD1">
        <w:rPr>
          <w:rStyle w:val="Hipervnculo"/>
        </w:rPr>
        <w:t>www.odi.govt.nz/nz-disability-strategy/employment-and-economic-security/</w:t>
      </w:r>
      <w:r>
        <w:t xml:space="preserve">. </w:t>
      </w:r>
    </w:p>
  </w:endnote>
  <w:endnote w:id="214">
    <w:p w14:paraId="62D3CC26"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See</w:t>
      </w:r>
      <w:proofErr w:type="spellEnd"/>
      <w:r>
        <w:t xml:space="preserve"> </w:t>
      </w:r>
      <w:r w:rsidRPr="00193DD1">
        <w:rPr>
          <w:rStyle w:val="Hipervnculo"/>
        </w:rPr>
        <w:t>www.stats.govt.nz/information-releases/household-labour-force-survey-estimated-working-age-population-december-2018-quarter</w:t>
      </w:r>
      <w:r>
        <w:t xml:space="preserve"> </w:t>
      </w:r>
    </w:p>
  </w:endnote>
  <w:endnote w:id="215">
    <w:p w14:paraId="724BB487"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The</w:t>
      </w:r>
      <w:proofErr w:type="spellEnd"/>
      <w:r>
        <w:t xml:space="preserve"> </w:t>
      </w:r>
      <w:proofErr w:type="spellStart"/>
      <w:r>
        <w:t>WGSS</w:t>
      </w:r>
      <w:proofErr w:type="spellEnd"/>
      <w:r>
        <w:t xml:space="preserve"> </w:t>
      </w:r>
      <w:proofErr w:type="spellStart"/>
      <w:r>
        <w:t>of</w:t>
      </w:r>
      <w:proofErr w:type="spellEnd"/>
      <w:r>
        <w:t xml:space="preserve"> </w:t>
      </w:r>
      <w:proofErr w:type="spellStart"/>
      <w:r>
        <w:t>questions</w:t>
      </w:r>
      <w:proofErr w:type="spellEnd"/>
      <w:r>
        <w:t xml:space="preserve"> </w:t>
      </w:r>
      <w:proofErr w:type="spellStart"/>
      <w:r>
        <w:t>on</w:t>
      </w:r>
      <w:proofErr w:type="spellEnd"/>
      <w:r>
        <w:t xml:space="preserve"> </w:t>
      </w:r>
      <w:proofErr w:type="spellStart"/>
      <w:r>
        <w:t>disability</w:t>
      </w:r>
      <w:proofErr w:type="spellEnd"/>
      <w:r>
        <w:t xml:space="preserve"> </w:t>
      </w:r>
      <w:proofErr w:type="spellStart"/>
      <w:r>
        <w:t>were</w:t>
      </w:r>
      <w:proofErr w:type="spellEnd"/>
      <w:r>
        <w:t xml:space="preserve"> </w:t>
      </w:r>
      <w:proofErr w:type="spellStart"/>
      <w:r>
        <w:t>included</w:t>
      </w:r>
      <w:proofErr w:type="spellEnd"/>
      <w:r>
        <w:t xml:space="preserve"> </w:t>
      </w:r>
      <w:proofErr w:type="spellStart"/>
      <w:r>
        <w:t>from</w:t>
      </w:r>
      <w:proofErr w:type="spellEnd"/>
      <w:r>
        <w:t xml:space="preserve"> June 2017 </w:t>
      </w:r>
      <w:proofErr w:type="spellStart"/>
      <w:r>
        <w:t>onwards</w:t>
      </w:r>
      <w:proofErr w:type="spellEnd"/>
      <w:r>
        <w:t xml:space="preserve">. </w:t>
      </w:r>
    </w:p>
  </w:endnote>
  <w:endnote w:id="216">
    <w:p w14:paraId="5D59A05E"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The</w:t>
      </w:r>
      <w:proofErr w:type="spellEnd"/>
      <w:r>
        <w:t xml:space="preserve"> </w:t>
      </w:r>
      <w:proofErr w:type="spellStart"/>
      <w:r>
        <w:t>sampling</w:t>
      </w:r>
      <w:proofErr w:type="spellEnd"/>
      <w:r>
        <w:t xml:space="preserve"> error </w:t>
      </w:r>
      <w:proofErr w:type="spellStart"/>
      <w:r>
        <w:t>associated</w:t>
      </w:r>
      <w:proofErr w:type="spellEnd"/>
      <w:r>
        <w:t xml:space="preserve"> </w:t>
      </w:r>
      <w:proofErr w:type="spellStart"/>
      <w:r>
        <w:t>with</w:t>
      </w:r>
      <w:proofErr w:type="spellEnd"/>
      <w:r>
        <w:t xml:space="preserve"> </w:t>
      </w:r>
      <w:proofErr w:type="spellStart"/>
      <w:r>
        <w:t>this</w:t>
      </w:r>
      <w:proofErr w:type="spellEnd"/>
      <w:r>
        <w:t xml:space="preserve"> </w:t>
      </w:r>
      <w:proofErr w:type="spellStart"/>
      <w:r>
        <w:t>estimate</w:t>
      </w:r>
      <w:proofErr w:type="spellEnd"/>
      <w:r>
        <w:t xml:space="preserve"> </w:t>
      </w:r>
      <w:proofErr w:type="spellStart"/>
      <w:r>
        <w:t>is</w:t>
      </w:r>
      <w:proofErr w:type="spellEnd"/>
      <w:r>
        <w:t xml:space="preserve"> 2.2 </w:t>
      </w:r>
      <w:proofErr w:type="spellStart"/>
      <w:r>
        <w:t>percentage</w:t>
      </w:r>
      <w:proofErr w:type="spellEnd"/>
      <w:r>
        <w:t xml:space="preserve"> </w:t>
      </w:r>
      <w:proofErr w:type="spellStart"/>
      <w:r>
        <w:t>points</w:t>
      </w:r>
      <w:proofErr w:type="spellEnd"/>
      <w:r>
        <w:t>.</w:t>
      </w:r>
    </w:p>
  </w:endnote>
  <w:endnote w:id="217">
    <w:p w14:paraId="526A23C5"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The</w:t>
      </w:r>
      <w:proofErr w:type="spellEnd"/>
      <w:r>
        <w:t xml:space="preserve"> </w:t>
      </w:r>
      <w:proofErr w:type="spellStart"/>
      <w:r>
        <w:t>sampling</w:t>
      </w:r>
      <w:proofErr w:type="spellEnd"/>
      <w:r>
        <w:t xml:space="preserve"> error </w:t>
      </w:r>
      <w:proofErr w:type="spellStart"/>
      <w:r>
        <w:t>associated</w:t>
      </w:r>
      <w:proofErr w:type="spellEnd"/>
      <w:r>
        <w:t xml:space="preserve"> </w:t>
      </w:r>
      <w:proofErr w:type="spellStart"/>
      <w:r>
        <w:t>with</w:t>
      </w:r>
      <w:proofErr w:type="spellEnd"/>
      <w:r>
        <w:t xml:space="preserve"> </w:t>
      </w:r>
      <w:proofErr w:type="spellStart"/>
      <w:r>
        <w:t>this</w:t>
      </w:r>
      <w:proofErr w:type="spellEnd"/>
      <w:r>
        <w:t xml:space="preserve"> </w:t>
      </w:r>
      <w:proofErr w:type="spellStart"/>
      <w:r>
        <w:t>estimate</w:t>
      </w:r>
      <w:proofErr w:type="spellEnd"/>
      <w:r>
        <w:t xml:space="preserve"> </w:t>
      </w:r>
      <w:proofErr w:type="spellStart"/>
      <w:r>
        <w:t>is</w:t>
      </w:r>
      <w:proofErr w:type="spellEnd"/>
      <w:r>
        <w:t xml:space="preserve"> 0.6 </w:t>
      </w:r>
      <w:proofErr w:type="spellStart"/>
      <w:r>
        <w:t>percentage</w:t>
      </w:r>
      <w:proofErr w:type="spellEnd"/>
      <w:r>
        <w:t xml:space="preserve"> </w:t>
      </w:r>
      <w:proofErr w:type="spellStart"/>
      <w:r>
        <w:t>points</w:t>
      </w:r>
      <w:proofErr w:type="spellEnd"/>
      <w:r>
        <w:t>.</w:t>
      </w:r>
    </w:p>
  </w:endnote>
  <w:endnote w:id="218">
    <w:p w14:paraId="4CEB0C71"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The</w:t>
      </w:r>
      <w:proofErr w:type="spellEnd"/>
      <w:r>
        <w:t xml:space="preserve"> </w:t>
      </w:r>
      <w:proofErr w:type="spellStart"/>
      <w:r>
        <w:t>sampling</w:t>
      </w:r>
      <w:proofErr w:type="spellEnd"/>
      <w:r>
        <w:t xml:space="preserve"> error </w:t>
      </w:r>
      <w:proofErr w:type="spellStart"/>
      <w:r>
        <w:t>associated</w:t>
      </w:r>
      <w:proofErr w:type="spellEnd"/>
      <w:r>
        <w:t xml:space="preserve"> </w:t>
      </w:r>
      <w:proofErr w:type="spellStart"/>
      <w:r>
        <w:t>with</w:t>
      </w:r>
      <w:proofErr w:type="spellEnd"/>
      <w:r>
        <w:t xml:space="preserve"> </w:t>
      </w:r>
      <w:proofErr w:type="spellStart"/>
      <w:r>
        <w:t>this</w:t>
      </w:r>
      <w:proofErr w:type="spellEnd"/>
      <w:r>
        <w:t xml:space="preserve"> </w:t>
      </w:r>
      <w:proofErr w:type="spellStart"/>
      <w:r>
        <w:t>estimate</w:t>
      </w:r>
      <w:proofErr w:type="spellEnd"/>
      <w:r>
        <w:t xml:space="preserve"> </w:t>
      </w:r>
      <w:proofErr w:type="spellStart"/>
      <w:r>
        <w:t>is</w:t>
      </w:r>
      <w:proofErr w:type="spellEnd"/>
      <w:r>
        <w:t xml:space="preserve"> 2.2 </w:t>
      </w:r>
      <w:proofErr w:type="spellStart"/>
      <w:r>
        <w:t>percentage</w:t>
      </w:r>
      <w:proofErr w:type="spellEnd"/>
      <w:r>
        <w:t xml:space="preserve"> </w:t>
      </w:r>
      <w:proofErr w:type="spellStart"/>
      <w:r>
        <w:t>points</w:t>
      </w:r>
      <w:proofErr w:type="spellEnd"/>
      <w:r>
        <w:t>.</w:t>
      </w:r>
    </w:p>
  </w:endnote>
  <w:endnote w:id="219">
    <w:p w14:paraId="704916A7"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The</w:t>
      </w:r>
      <w:proofErr w:type="spellEnd"/>
      <w:r>
        <w:t xml:space="preserve"> </w:t>
      </w:r>
      <w:proofErr w:type="spellStart"/>
      <w:r>
        <w:t>sampling</w:t>
      </w:r>
      <w:proofErr w:type="spellEnd"/>
      <w:r>
        <w:t xml:space="preserve"> error </w:t>
      </w:r>
      <w:proofErr w:type="spellStart"/>
      <w:r>
        <w:t>associated</w:t>
      </w:r>
      <w:proofErr w:type="spellEnd"/>
      <w:r>
        <w:t xml:space="preserve"> </w:t>
      </w:r>
      <w:proofErr w:type="spellStart"/>
      <w:r>
        <w:t>with</w:t>
      </w:r>
      <w:proofErr w:type="spellEnd"/>
      <w:r>
        <w:t xml:space="preserve"> </w:t>
      </w:r>
      <w:proofErr w:type="spellStart"/>
      <w:r>
        <w:t>this</w:t>
      </w:r>
      <w:proofErr w:type="spellEnd"/>
      <w:r>
        <w:t xml:space="preserve"> </w:t>
      </w:r>
      <w:proofErr w:type="spellStart"/>
      <w:r>
        <w:t>estimate</w:t>
      </w:r>
      <w:proofErr w:type="spellEnd"/>
      <w:r>
        <w:t xml:space="preserve"> </w:t>
      </w:r>
      <w:proofErr w:type="spellStart"/>
      <w:r>
        <w:t>is</w:t>
      </w:r>
      <w:proofErr w:type="spellEnd"/>
      <w:r>
        <w:t xml:space="preserve"> 0.6 </w:t>
      </w:r>
      <w:proofErr w:type="spellStart"/>
      <w:r>
        <w:t>percentage</w:t>
      </w:r>
      <w:proofErr w:type="spellEnd"/>
      <w:r>
        <w:t xml:space="preserve"> </w:t>
      </w:r>
      <w:proofErr w:type="spellStart"/>
      <w:r>
        <w:t>points</w:t>
      </w:r>
      <w:proofErr w:type="spellEnd"/>
      <w:r>
        <w:t>.</w:t>
      </w:r>
    </w:p>
  </w:endnote>
  <w:endnote w:id="220">
    <w:p w14:paraId="3EF6E913"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The</w:t>
      </w:r>
      <w:proofErr w:type="spellEnd"/>
      <w:r>
        <w:t xml:space="preserve"> </w:t>
      </w:r>
      <w:proofErr w:type="spellStart"/>
      <w:r>
        <w:t>sampling</w:t>
      </w:r>
      <w:proofErr w:type="spellEnd"/>
      <w:r>
        <w:t xml:space="preserve"> error </w:t>
      </w:r>
      <w:proofErr w:type="spellStart"/>
      <w:r>
        <w:t>associated</w:t>
      </w:r>
      <w:proofErr w:type="spellEnd"/>
      <w:r>
        <w:t xml:space="preserve"> </w:t>
      </w:r>
      <w:proofErr w:type="spellStart"/>
      <w:r>
        <w:t>with</w:t>
      </w:r>
      <w:proofErr w:type="spellEnd"/>
      <w:r>
        <w:t xml:space="preserve"> </w:t>
      </w:r>
      <w:proofErr w:type="spellStart"/>
      <w:r>
        <w:t>this</w:t>
      </w:r>
      <w:proofErr w:type="spellEnd"/>
      <w:r>
        <w:t xml:space="preserve"> </w:t>
      </w:r>
      <w:proofErr w:type="spellStart"/>
      <w:r>
        <w:t>estimate</w:t>
      </w:r>
      <w:proofErr w:type="spellEnd"/>
      <w:r>
        <w:t xml:space="preserve"> </w:t>
      </w:r>
      <w:proofErr w:type="spellStart"/>
      <w:r>
        <w:t>is</w:t>
      </w:r>
      <w:proofErr w:type="spellEnd"/>
      <w:r>
        <w:t xml:space="preserve"> 4.1 </w:t>
      </w:r>
      <w:proofErr w:type="spellStart"/>
      <w:r>
        <w:t>percentage</w:t>
      </w:r>
      <w:proofErr w:type="spellEnd"/>
      <w:r>
        <w:t xml:space="preserve"> </w:t>
      </w:r>
      <w:proofErr w:type="spellStart"/>
      <w:r>
        <w:t>points</w:t>
      </w:r>
      <w:proofErr w:type="spellEnd"/>
      <w:r>
        <w:t>.</w:t>
      </w:r>
    </w:p>
  </w:endnote>
  <w:endnote w:id="221">
    <w:p w14:paraId="215840AA"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The</w:t>
      </w:r>
      <w:proofErr w:type="spellEnd"/>
      <w:r>
        <w:t xml:space="preserve"> </w:t>
      </w:r>
      <w:proofErr w:type="spellStart"/>
      <w:r>
        <w:t>sampling</w:t>
      </w:r>
      <w:proofErr w:type="spellEnd"/>
      <w:r>
        <w:t xml:space="preserve"> error </w:t>
      </w:r>
      <w:proofErr w:type="spellStart"/>
      <w:r>
        <w:t>associated</w:t>
      </w:r>
      <w:proofErr w:type="spellEnd"/>
      <w:r>
        <w:t xml:space="preserve"> </w:t>
      </w:r>
      <w:proofErr w:type="spellStart"/>
      <w:r>
        <w:t>with</w:t>
      </w:r>
      <w:proofErr w:type="spellEnd"/>
      <w:r>
        <w:t xml:space="preserve"> </w:t>
      </w:r>
      <w:proofErr w:type="spellStart"/>
      <w:r>
        <w:t>this</w:t>
      </w:r>
      <w:proofErr w:type="spellEnd"/>
      <w:r>
        <w:t xml:space="preserve"> </w:t>
      </w:r>
      <w:proofErr w:type="spellStart"/>
      <w:r>
        <w:t>estimate</w:t>
      </w:r>
      <w:proofErr w:type="spellEnd"/>
      <w:r>
        <w:t xml:space="preserve"> </w:t>
      </w:r>
      <w:proofErr w:type="spellStart"/>
      <w:r>
        <w:t>is</w:t>
      </w:r>
      <w:proofErr w:type="spellEnd"/>
      <w:r>
        <w:t xml:space="preserve"> 0.3 </w:t>
      </w:r>
      <w:proofErr w:type="spellStart"/>
      <w:r>
        <w:t>percentage</w:t>
      </w:r>
      <w:proofErr w:type="spellEnd"/>
      <w:r>
        <w:t xml:space="preserve"> </w:t>
      </w:r>
      <w:proofErr w:type="spellStart"/>
      <w:r>
        <w:t>points</w:t>
      </w:r>
      <w:proofErr w:type="spellEnd"/>
      <w:r>
        <w:t>.</w:t>
      </w:r>
    </w:p>
  </w:endnote>
  <w:endnote w:id="222">
    <w:p w14:paraId="51B58D87"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From</w:t>
      </w:r>
      <w:proofErr w:type="spellEnd"/>
      <w:r>
        <w:t xml:space="preserve"> 1 </w:t>
      </w:r>
      <w:proofErr w:type="spellStart"/>
      <w:r>
        <w:t>October</w:t>
      </w:r>
      <w:proofErr w:type="spellEnd"/>
      <w:r>
        <w:t xml:space="preserve"> 2017 </w:t>
      </w:r>
      <w:proofErr w:type="spellStart"/>
      <w:r>
        <w:t>to</w:t>
      </w:r>
      <w:proofErr w:type="spellEnd"/>
      <w:r>
        <w:t xml:space="preserve"> 31 </w:t>
      </w:r>
      <w:proofErr w:type="spellStart"/>
      <w:r>
        <w:t>December</w:t>
      </w:r>
      <w:proofErr w:type="spellEnd"/>
      <w:r>
        <w:t xml:space="preserve"> 2017, </w:t>
      </w:r>
      <w:proofErr w:type="spellStart"/>
      <w:r>
        <w:t>the</w:t>
      </w:r>
      <w:proofErr w:type="spellEnd"/>
      <w:r>
        <w:t xml:space="preserve"> median time </w:t>
      </w:r>
      <w:proofErr w:type="spellStart"/>
      <w:r>
        <w:t>to</w:t>
      </w:r>
      <w:proofErr w:type="spellEnd"/>
      <w:r>
        <w:t xml:space="preserve"> </w:t>
      </w:r>
      <w:proofErr w:type="spellStart"/>
      <w:r>
        <w:t>house</w:t>
      </w:r>
      <w:proofErr w:type="spellEnd"/>
      <w:r>
        <w:t xml:space="preserve"> </w:t>
      </w:r>
      <w:proofErr w:type="spellStart"/>
      <w:r>
        <w:t>was</w:t>
      </w:r>
      <w:proofErr w:type="spellEnd"/>
      <w:r>
        <w:t>:</w:t>
      </w:r>
    </w:p>
    <w:p w14:paraId="3D0350BB" w14:textId="77777777" w:rsidR="003665BE" w:rsidRPr="00EA0621" w:rsidRDefault="003665BE" w:rsidP="00011964">
      <w:pPr>
        <w:pStyle w:val="Bullet1G"/>
        <w:tabs>
          <w:tab w:val="left" w:pos="1418"/>
          <w:tab w:val="left" w:pos="1701"/>
        </w:tabs>
        <w:spacing w:after="0" w:line="220" w:lineRule="exact"/>
        <w:ind w:left="1304"/>
        <w:rPr>
          <w:sz w:val="18"/>
          <w:szCs w:val="18"/>
          <w:lang w:val="en-NZ"/>
        </w:rPr>
      </w:pPr>
      <w:r w:rsidRPr="00EA0621">
        <w:rPr>
          <w:sz w:val="18"/>
          <w:szCs w:val="18"/>
        </w:rPr>
        <w:t xml:space="preserve">200 </w:t>
      </w:r>
      <w:proofErr w:type="spellStart"/>
      <w:r w:rsidRPr="00EA0621">
        <w:rPr>
          <w:sz w:val="18"/>
          <w:szCs w:val="18"/>
        </w:rPr>
        <w:t>days</w:t>
      </w:r>
      <w:proofErr w:type="spellEnd"/>
      <w:r w:rsidRPr="00EA0621">
        <w:rPr>
          <w:sz w:val="18"/>
          <w:szCs w:val="18"/>
        </w:rPr>
        <w:t xml:space="preserve"> </w:t>
      </w:r>
      <w:proofErr w:type="spellStart"/>
      <w:r w:rsidRPr="00EA0621">
        <w:rPr>
          <w:sz w:val="18"/>
          <w:szCs w:val="18"/>
        </w:rPr>
        <w:t>for</w:t>
      </w:r>
      <w:proofErr w:type="spellEnd"/>
      <w:r w:rsidRPr="00EA0621">
        <w:rPr>
          <w:sz w:val="18"/>
          <w:szCs w:val="18"/>
        </w:rPr>
        <w:t xml:space="preserve"> </w:t>
      </w:r>
      <w:proofErr w:type="spellStart"/>
      <w:r w:rsidRPr="00EA0621">
        <w:rPr>
          <w:sz w:val="18"/>
          <w:szCs w:val="18"/>
        </w:rPr>
        <w:t>applicants</w:t>
      </w:r>
      <w:proofErr w:type="spellEnd"/>
      <w:r w:rsidRPr="00EA0621">
        <w:rPr>
          <w:sz w:val="18"/>
          <w:szCs w:val="18"/>
        </w:rPr>
        <w:t xml:space="preserve"> </w:t>
      </w:r>
      <w:proofErr w:type="spellStart"/>
      <w:r w:rsidRPr="00EA0621">
        <w:rPr>
          <w:sz w:val="18"/>
          <w:szCs w:val="18"/>
        </w:rPr>
        <w:t>requiring</w:t>
      </w:r>
      <w:proofErr w:type="spellEnd"/>
      <w:r w:rsidRPr="00EA0621">
        <w:rPr>
          <w:sz w:val="18"/>
          <w:szCs w:val="18"/>
        </w:rPr>
        <w:t xml:space="preserve"> a </w:t>
      </w:r>
      <w:proofErr w:type="spellStart"/>
      <w:r w:rsidRPr="00EA0621">
        <w:rPr>
          <w:sz w:val="18"/>
          <w:szCs w:val="18"/>
        </w:rPr>
        <w:t>modified</w:t>
      </w:r>
      <w:proofErr w:type="spellEnd"/>
      <w:r w:rsidRPr="00EA0621">
        <w:rPr>
          <w:sz w:val="18"/>
          <w:szCs w:val="18"/>
        </w:rPr>
        <w:t xml:space="preserve"> </w:t>
      </w:r>
      <w:proofErr w:type="spellStart"/>
      <w:r w:rsidRPr="00EA0621">
        <w:rPr>
          <w:sz w:val="18"/>
          <w:szCs w:val="18"/>
        </w:rPr>
        <w:t>property</w:t>
      </w:r>
      <w:proofErr w:type="spellEnd"/>
      <w:r w:rsidRPr="00EA0621">
        <w:rPr>
          <w:sz w:val="18"/>
          <w:szCs w:val="18"/>
        </w:rPr>
        <w:t xml:space="preserve"> </w:t>
      </w:r>
    </w:p>
    <w:p w14:paraId="433CE3DC" w14:textId="77777777" w:rsidR="003665BE" w:rsidRPr="001B26D2" w:rsidRDefault="003665BE" w:rsidP="00316A79">
      <w:pPr>
        <w:pStyle w:val="Bullet1G"/>
        <w:tabs>
          <w:tab w:val="left" w:pos="1418"/>
          <w:tab w:val="left" w:pos="1701"/>
        </w:tabs>
        <w:spacing w:after="0" w:line="220" w:lineRule="exact"/>
        <w:ind w:left="1304"/>
      </w:pPr>
      <w:r w:rsidRPr="00EA0621">
        <w:rPr>
          <w:szCs w:val="18"/>
        </w:rPr>
        <w:t xml:space="preserve">58 </w:t>
      </w:r>
      <w:proofErr w:type="spellStart"/>
      <w:r w:rsidRPr="00EA0621">
        <w:rPr>
          <w:szCs w:val="18"/>
        </w:rPr>
        <w:t>days</w:t>
      </w:r>
      <w:proofErr w:type="spellEnd"/>
      <w:r w:rsidRPr="00EA0621">
        <w:rPr>
          <w:szCs w:val="18"/>
        </w:rPr>
        <w:t xml:space="preserve"> </w:t>
      </w:r>
      <w:proofErr w:type="spellStart"/>
      <w:r w:rsidRPr="00EA0621">
        <w:rPr>
          <w:szCs w:val="18"/>
        </w:rPr>
        <w:t>for</w:t>
      </w:r>
      <w:proofErr w:type="spellEnd"/>
      <w:r w:rsidRPr="00EA0621">
        <w:rPr>
          <w:szCs w:val="18"/>
        </w:rPr>
        <w:t xml:space="preserve"> </w:t>
      </w:r>
      <w:proofErr w:type="spellStart"/>
      <w:r w:rsidRPr="00EA0621">
        <w:rPr>
          <w:szCs w:val="18"/>
        </w:rPr>
        <w:t>applicants</w:t>
      </w:r>
      <w:proofErr w:type="spellEnd"/>
      <w:r w:rsidRPr="00EA0621">
        <w:rPr>
          <w:szCs w:val="18"/>
        </w:rPr>
        <w:t xml:space="preserve"> </w:t>
      </w:r>
      <w:proofErr w:type="spellStart"/>
      <w:r w:rsidRPr="00EA0621">
        <w:rPr>
          <w:szCs w:val="18"/>
        </w:rPr>
        <w:t>not</w:t>
      </w:r>
      <w:proofErr w:type="spellEnd"/>
      <w:r w:rsidRPr="00EA0621">
        <w:rPr>
          <w:szCs w:val="18"/>
        </w:rPr>
        <w:t xml:space="preserve"> </w:t>
      </w:r>
      <w:proofErr w:type="spellStart"/>
      <w:r w:rsidRPr="00EA0621">
        <w:rPr>
          <w:szCs w:val="18"/>
        </w:rPr>
        <w:t>requiring</w:t>
      </w:r>
      <w:proofErr w:type="spellEnd"/>
      <w:r w:rsidRPr="00EA0621">
        <w:rPr>
          <w:szCs w:val="18"/>
        </w:rPr>
        <w:t xml:space="preserve"> a </w:t>
      </w:r>
      <w:proofErr w:type="spellStart"/>
      <w:r w:rsidRPr="00EA0621">
        <w:rPr>
          <w:szCs w:val="18"/>
        </w:rPr>
        <w:t>modified</w:t>
      </w:r>
      <w:proofErr w:type="spellEnd"/>
      <w:r w:rsidRPr="00EA0621">
        <w:rPr>
          <w:szCs w:val="18"/>
        </w:rPr>
        <w:t xml:space="preserve"> </w:t>
      </w:r>
      <w:proofErr w:type="spellStart"/>
      <w:r w:rsidRPr="00EA0621">
        <w:rPr>
          <w:szCs w:val="18"/>
        </w:rPr>
        <w:t>property</w:t>
      </w:r>
      <w:proofErr w:type="spellEnd"/>
      <w:r w:rsidRPr="00EA0621">
        <w:rPr>
          <w:szCs w:val="18"/>
        </w:rPr>
        <w:t>.</w:t>
      </w:r>
    </w:p>
  </w:endnote>
  <w:endnote w:id="223">
    <w:p w14:paraId="11FE452B" w14:textId="77777777" w:rsidR="003665BE" w:rsidRDefault="003665BE" w:rsidP="00011964">
      <w:pPr>
        <w:pStyle w:val="Textonotaalfinal"/>
      </w:pPr>
      <w:r w:rsidRPr="001B26D2">
        <w:tab/>
      </w:r>
      <w:r w:rsidRPr="00154216">
        <w:rPr>
          <w:rStyle w:val="Refdenotaalfinal"/>
        </w:rPr>
        <w:endnoteRef/>
      </w:r>
      <w:r w:rsidRPr="00154216">
        <w:rPr>
          <w:rStyle w:val="Refdenotaalfinal"/>
        </w:rPr>
        <w:tab/>
      </w:r>
      <w:proofErr w:type="spellStart"/>
      <w:r>
        <w:t>Out</w:t>
      </w:r>
      <w:proofErr w:type="spellEnd"/>
      <w:r>
        <w:t xml:space="preserve"> </w:t>
      </w:r>
      <w:proofErr w:type="spellStart"/>
      <w:r>
        <w:t>of</w:t>
      </w:r>
      <w:proofErr w:type="spellEnd"/>
      <w:r>
        <w:t xml:space="preserve"> 65,188 </w:t>
      </w:r>
      <w:proofErr w:type="spellStart"/>
      <w:r>
        <w:t>tenancies</w:t>
      </w:r>
      <w:proofErr w:type="spellEnd"/>
      <w:r>
        <w:t>.</w:t>
      </w:r>
    </w:p>
  </w:endnote>
  <w:endnote w:id="224">
    <w:p w14:paraId="62B038B8"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The</w:t>
      </w:r>
      <w:proofErr w:type="spellEnd"/>
      <w:r>
        <w:t xml:space="preserve"> </w:t>
      </w:r>
      <w:proofErr w:type="spellStart"/>
      <w:r>
        <w:t>Ministry</w:t>
      </w:r>
      <w:proofErr w:type="spellEnd"/>
      <w:r>
        <w:t xml:space="preserve"> </w:t>
      </w:r>
      <w:proofErr w:type="spellStart"/>
      <w:r>
        <w:t>of</w:t>
      </w:r>
      <w:proofErr w:type="spellEnd"/>
      <w:r>
        <w:t xml:space="preserve"> </w:t>
      </w:r>
      <w:proofErr w:type="spellStart"/>
      <w:r>
        <w:t>Health</w:t>
      </w:r>
      <w:proofErr w:type="spellEnd"/>
      <w:r>
        <w:t xml:space="preserve"> </w:t>
      </w:r>
      <w:proofErr w:type="spellStart"/>
      <w:r>
        <w:t>spent</w:t>
      </w:r>
      <w:proofErr w:type="spellEnd"/>
      <w:r>
        <w:t xml:space="preserve"> $</w:t>
      </w:r>
      <w:proofErr w:type="spellStart"/>
      <w:r>
        <w:t>10m</w:t>
      </w:r>
      <w:proofErr w:type="spellEnd"/>
      <w:r>
        <w:t xml:space="preserve"> in </w:t>
      </w:r>
      <w:proofErr w:type="spellStart"/>
      <w:r>
        <w:t>the</w:t>
      </w:r>
      <w:proofErr w:type="spellEnd"/>
      <w:r>
        <w:t xml:space="preserve"> 2017/18 </w:t>
      </w:r>
      <w:proofErr w:type="spellStart"/>
      <w:r>
        <w:t>financial</w:t>
      </w:r>
      <w:proofErr w:type="spellEnd"/>
      <w:r>
        <w:t xml:space="preserve"> </w:t>
      </w:r>
      <w:proofErr w:type="spellStart"/>
      <w:r>
        <w:t>year</w:t>
      </w:r>
      <w:proofErr w:type="spellEnd"/>
      <w:r>
        <w:t xml:space="preserve"> </w:t>
      </w:r>
      <w:proofErr w:type="spellStart"/>
      <w:r>
        <w:t>on</w:t>
      </w:r>
      <w:proofErr w:type="spellEnd"/>
      <w:r>
        <w:t xml:space="preserve"> housing </w:t>
      </w:r>
      <w:proofErr w:type="spellStart"/>
      <w:r>
        <w:t>modifications</w:t>
      </w:r>
      <w:proofErr w:type="spellEnd"/>
      <w:r>
        <w:t xml:space="preserve">. </w:t>
      </w:r>
    </w:p>
  </w:endnote>
  <w:endnote w:id="225">
    <w:p w14:paraId="1D7CCA3B"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These</w:t>
      </w:r>
      <w:proofErr w:type="spellEnd"/>
      <w:r>
        <w:t xml:space="preserve"> data relate </w:t>
      </w:r>
      <w:proofErr w:type="spellStart"/>
      <w:r>
        <w:t>to</w:t>
      </w:r>
      <w:proofErr w:type="spellEnd"/>
      <w:r>
        <w:t xml:space="preserve"> grants </w:t>
      </w:r>
      <w:proofErr w:type="spellStart"/>
      <w:r>
        <w:t>made</w:t>
      </w:r>
      <w:proofErr w:type="spellEnd"/>
      <w:r>
        <w:t xml:space="preserve"> </w:t>
      </w:r>
      <w:proofErr w:type="spellStart"/>
      <w:r>
        <w:t>by</w:t>
      </w:r>
      <w:proofErr w:type="spellEnd"/>
      <w:r>
        <w:t xml:space="preserve"> </w:t>
      </w:r>
      <w:proofErr w:type="spellStart"/>
      <w:r>
        <w:t>the</w:t>
      </w:r>
      <w:proofErr w:type="spellEnd"/>
      <w:r>
        <w:t xml:space="preserve"> </w:t>
      </w:r>
      <w:proofErr w:type="spellStart"/>
      <w:r>
        <w:t>Ministry</w:t>
      </w:r>
      <w:proofErr w:type="spellEnd"/>
      <w:r>
        <w:t xml:space="preserve"> </w:t>
      </w:r>
      <w:proofErr w:type="spellStart"/>
      <w:r>
        <w:t>of</w:t>
      </w:r>
      <w:proofErr w:type="spellEnd"/>
      <w:r>
        <w:t xml:space="preserve"> </w:t>
      </w:r>
      <w:proofErr w:type="spellStart"/>
      <w:r>
        <w:t>Health</w:t>
      </w:r>
      <w:proofErr w:type="spellEnd"/>
      <w:r>
        <w:t xml:space="preserve"> as </w:t>
      </w:r>
      <w:proofErr w:type="spellStart"/>
      <w:r>
        <w:t>part</w:t>
      </w:r>
      <w:proofErr w:type="spellEnd"/>
      <w:r>
        <w:t xml:space="preserve"> </w:t>
      </w:r>
      <w:proofErr w:type="spellStart"/>
      <w:r>
        <w:t>of</w:t>
      </w:r>
      <w:proofErr w:type="spellEnd"/>
      <w:r>
        <w:t xml:space="preserve"> </w:t>
      </w:r>
      <w:proofErr w:type="spellStart"/>
      <w:r>
        <w:t>Equipment</w:t>
      </w:r>
      <w:proofErr w:type="spellEnd"/>
      <w:r>
        <w:t xml:space="preserve"> and </w:t>
      </w:r>
      <w:proofErr w:type="spellStart"/>
      <w:r>
        <w:t>Modification</w:t>
      </w:r>
      <w:proofErr w:type="spellEnd"/>
      <w:r>
        <w:t xml:space="preserve"> </w:t>
      </w:r>
      <w:proofErr w:type="spellStart"/>
      <w:r>
        <w:t>Services</w:t>
      </w:r>
      <w:proofErr w:type="spellEnd"/>
      <w:r>
        <w:t xml:space="preserve"> </w:t>
      </w:r>
      <w:proofErr w:type="spellStart"/>
      <w:r>
        <w:t>between</w:t>
      </w:r>
      <w:proofErr w:type="spellEnd"/>
      <w:r>
        <w:t xml:space="preserve"> 2013 and 2017. </w:t>
      </w:r>
    </w:p>
  </w:endnote>
  <w:endnote w:id="226">
    <w:p w14:paraId="5766F5AD"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This</w:t>
      </w:r>
      <w:proofErr w:type="spellEnd"/>
      <w:r>
        <w:t xml:space="preserve"> data </w:t>
      </w:r>
      <w:proofErr w:type="spellStart"/>
      <w:r>
        <w:t>was</w:t>
      </w:r>
      <w:proofErr w:type="spellEnd"/>
      <w:r>
        <w:t xml:space="preserve"> </w:t>
      </w:r>
      <w:proofErr w:type="spellStart"/>
      <w:r>
        <w:t>provided</w:t>
      </w:r>
      <w:proofErr w:type="spellEnd"/>
      <w:r>
        <w:t xml:space="preserve"> </w:t>
      </w:r>
      <w:proofErr w:type="spellStart"/>
      <w:r>
        <w:t>from</w:t>
      </w:r>
      <w:proofErr w:type="spellEnd"/>
      <w:r>
        <w:t xml:space="preserve"> May 2018. </w:t>
      </w:r>
    </w:p>
  </w:endnote>
  <w:endnote w:id="227">
    <w:p w14:paraId="23EBC930" w14:textId="77777777" w:rsidR="003665BE" w:rsidRDefault="003665BE" w:rsidP="00011964">
      <w:pPr>
        <w:pStyle w:val="Textonotaalfinal"/>
      </w:pPr>
      <w:r>
        <w:tab/>
      </w:r>
      <w:r w:rsidRPr="00154216">
        <w:rPr>
          <w:rStyle w:val="Refdenotaalfinal"/>
        </w:rPr>
        <w:endnoteRef/>
      </w:r>
      <w:r w:rsidRPr="00154216">
        <w:rPr>
          <w:rStyle w:val="Refdenotaalfinal"/>
        </w:rPr>
        <w:tab/>
      </w:r>
      <w:r>
        <w:t xml:space="preserve">As at 31 </w:t>
      </w:r>
      <w:proofErr w:type="spellStart"/>
      <w:r>
        <w:t>December</w:t>
      </w:r>
      <w:proofErr w:type="spellEnd"/>
      <w:r>
        <w:t xml:space="preserve"> 2018 </w:t>
      </w:r>
    </w:p>
  </w:endnote>
  <w:endnote w:id="228">
    <w:p w14:paraId="2791FA06"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The</w:t>
      </w:r>
      <w:proofErr w:type="spellEnd"/>
      <w:r>
        <w:t xml:space="preserve"> </w:t>
      </w:r>
      <w:proofErr w:type="spellStart"/>
      <w:r>
        <w:t>Accident</w:t>
      </w:r>
      <w:proofErr w:type="spellEnd"/>
      <w:r>
        <w:t xml:space="preserve"> </w:t>
      </w:r>
      <w:proofErr w:type="spellStart"/>
      <w:r>
        <w:t>Compensation</w:t>
      </w:r>
      <w:proofErr w:type="spellEnd"/>
      <w:r>
        <w:t xml:space="preserve"> </w:t>
      </w:r>
      <w:proofErr w:type="spellStart"/>
      <w:r>
        <w:t>Corporation</w:t>
      </w:r>
      <w:proofErr w:type="spellEnd"/>
      <w:r>
        <w:t xml:space="preserve"> </w:t>
      </w:r>
      <w:proofErr w:type="spellStart"/>
      <w:r>
        <w:t>funded</w:t>
      </w:r>
      <w:proofErr w:type="spellEnd"/>
      <w:r>
        <w:t xml:space="preserve"> a total </w:t>
      </w:r>
      <w:proofErr w:type="spellStart"/>
      <w:r>
        <w:t>of</w:t>
      </w:r>
      <w:proofErr w:type="spellEnd"/>
      <w:r>
        <w:t xml:space="preserve"> $</w:t>
      </w:r>
      <w:proofErr w:type="spellStart"/>
      <w:r>
        <w:t>26.5m</w:t>
      </w:r>
      <w:proofErr w:type="spellEnd"/>
      <w:r>
        <w:t xml:space="preserve"> </w:t>
      </w:r>
      <w:proofErr w:type="spellStart"/>
      <w:r>
        <w:t>of</w:t>
      </w:r>
      <w:proofErr w:type="spellEnd"/>
      <w:r>
        <w:t xml:space="preserve"> housing </w:t>
      </w:r>
      <w:proofErr w:type="spellStart"/>
      <w:r>
        <w:t>modifications</w:t>
      </w:r>
      <w:proofErr w:type="spellEnd"/>
      <w:r>
        <w:t xml:space="preserve"> in </w:t>
      </w:r>
      <w:proofErr w:type="spellStart"/>
      <w:r>
        <w:t>the</w:t>
      </w:r>
      <w:proofErr w:type="spellEnd"/>
      <w:r>
        <w:t xml:space="preserve"> 2017/18 </w:t>
      </w:r>
      <w:proofErr w:type="spellStart"/>
      <w:r>
        <w:t>financial</w:t>
      </w:r>
      <w:proofErr w:type="spellEnd"/>
      <w:r>
        <w:t xml:space="preserve"> </w:t>
      </w:r>
      <w:proofErr w:type="spellStart"/>
      <w:r>
        <w:t>year</w:t>
      </w:r>
      <w:proofErr w:type="spellEnd"/>
      <w:r>
        <w:t>.</w:t>
      </w:r>
    </w:p>
  </w:endnote>
  <w:endnote w:id="229">
    <w:p w14:paraId="26318BE0"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See</w:t>
      </w:r>
      <w:proofErr w:type="spellEnd"/>
      <w:r>
        <w:t xml:space="preserve"> </w:t>
      </w:r>
      <w:proofErr w:type="spellStart"/>
      <w:r w:rsidRPr="00193DD1">
        <w:rPr>
          <w:rStyle w:val="Hipervnculo"/>
        </w:rPr>
        <w:t>www.legislation.govt.nz</w:t>
      </w:r>
      <w:proofErr w:type="spellEnd"/>
      <w:r w:rsidRPr="00193DD1">
        <w:rPr>
          <w:rStyle w:val="Hipervnculo"/>
        </w:rPr>
        <w:t>/</w:t>
      </w:r>
      <w:proofErr w:type="spellStart"/>
      <w:r w:rsidRPr="00193DD1">
        <w:rPr>
          <w:rStyle w:val="Hipervnculo"/>
        </w:rPr>
        <w:t>act</w:t>
      </w:r>
      <w:proofErr w:type="spellEnd"/>
      <w:r w:rsidRPr="00193DD1">
        <w:rPr>
          <w:rStyle w:val="Hipervnculo"/>
        </w:rPr>
        <w:t>/</w:t>
      </w:r>
      <w:proofErr w:type="spellStart"/>
      <w:r w:rsidRPr="00193DD1">
        <w:rPr>
          <w:rStyle w:val="Hipervnculo"/>
        </w:rPr>
        <w:t>public</w:t>
      </w:r>
      <w:proofErr w:type="spellEnd"/>
      <w:r w:rsidRPr="00193DD1">
        <w:rPr>
          <w:rStyle w:val="Hipervnculo"/>
        </w:rPr>
        <w:t>/2018/0057/18.0/</w:t>
      </w:r>
      <w:proofErr w:type="spellStart"/>
      <w:r w:rsidRPr="00193DD1">
        <w:rPr>
          <w:rStyle w:val="Hipervnculo"/>
        </w:rPr>
        <w:t>LMS8294.html</w:t>
      </w:r>
      <w:proofErr w:type="spellEnd"/>
      <w:r>
        <w:t>.</w:t>
      </w:r>
    </w:p>
  </w:endnote>
  <w:endnote w:id="230">
    <w:p w14:paraId="55CFE618"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See</w:t>
      </w:r>
      <w:proofErr w:type="spellEnd"/>
      <w:r>
        <w:t xml:space="preserve"> </w:t>
      </w:r>
      <w:proofErr w:type="spellStart"/>
      <w:r w:rsidRPr="00193DD1">
        <w:rPr>
          <w:rStyle w:val="Hipervnculo"/>
        </w:rPr>
        <w:t>www.legislation.govt.nz</w:t>
      </w:r>
      <w:proofErr w:type="spellEnd"/>
      <w:r w:rsidRPr="00193DD1">
        <w:rPr>
          <w:rStyle w:val="Hipervnculo"/>
        </w:rPr>
        <w:t>/</w:t>
      </w:r>
      <w:proofErr w:type="spellStart"/>
      <w:r w:rsidRPr="00193DD1">
        <w:rPr>
          <w:rStyle w:val="Hipervnculo"/>
        </w:rPr>
        <w:t>act</w:t>
      </w:r>
      <w:proofErr w:type="spellEnd"/>
      <w:r w:rsidRPr="00193DD1">
        <w:rPr>
          <w:rStyle w:val="Hipervnculo"/>
        </w:rPr>
        <w:t>/</w:t>
      </w:r>
      <w:proofErr w:type="spellStart"/>
      <w:r w:rsidRPr="00193DD1">
        <w:rPr>
          <w:rStyle w:val="Hipervnculo"/>
        </w:rPr>
        <w:t>public</w:t>
      </w:r>
      <w:proofErr w:type="spellEnd"/>
      <w:r w:rsidRPr="00193DD1">
        <w:rPr>
          <w:rStyle w:val="Hipervnculo"/>
        </w:rPr>
        <w:t>/2014/0040/</w:t>
      </w:r>
      <w:proofErr w:type="spellStart"/>
      <w:r w:rsidRPr="00193DD1">
        <w:rPr>
          <w:rStyle w:val="Hipervnculo"/>
        </w:rPr>
        <w:t>latest</w:t>
      </w:r>
      <w:proofErr w:type="spellEnd"/>
      <w:r w:rsidRPr="00193DD1">
        <w:rPr>
          <w:rStyle w:val="Hipervnculo"/>
        </w:rPr>
        <w:t>/</w:t>
      </w:r>
      <w:proofErr w:type="spellStart"/>
      <w:r w:rsidRPr="00193DD1">
        <w:rPr>
          <w:rStyle w:val="Hipervnculo"/>
        </w:rPr>
        <w:t>whole.html</w:t>
      </w:r>
      <w:proofErr w:type="spellEnd"/>
      <w:r>
        <w:t xml:space="preserve">. </w:t>
      </w:r>
    </w:p>
  </w:endnote>
  <w:endnote w:id="231">
    <w:p w14:paraId="23BAF8C4"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See</w:t>
      </w:r>
      <w:proofErr w:type="spellEnd"/>
      <w:r>
        <w:t xml:space="preserve"> </w:t>
      </w:r>
      <w:r w:rsidRPr="00193DD1">
        <w:rPr>
          <w:rStyle w:val="Hipervnculo"/>
        </w:rPr>
        <w:t>www.elections.org.nz/research-statistics/research/voter-and-non-voter-surveys</w:t>
      </w:r>
      <w:r>
        <w:t xml:space="preserve">. </w:t>
      </w:r>
    </w:p>
  </w:endnote>
  <w:endnote w:id="232">
    <w:p w14:paraId="56E64D12"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The</w:t>
      </w:r>
      <w:proofErr w:type="spellEnd"/>
      <w:r>
        <w:t xml:space="preserve"> </w:t>
      </w:r>
      <w:proofErr w:type="spellStart"/>
      <w:r>
        <w:t>service</w:t>
      </w:r>
      <w:proofErr w:type="spellEnd"/>
      <w:r>
        <w:t xml:space="preserve"> </w:t>
      </w:r>
      <w:proofErr w:type="spellStart"/>
      <w:r>
        <w:t>was</w:t>
      </w:r>
      <w:proofErr w:type="spellEnd"/>
      <w:r>
        <w:t xml:space="preserve"> </w:t>
      </w:r>
      <w:proofErr w:type="spellStart"/>
      <w:r>
        <w:t>used</w:t>
      </w:r>
      <w:proofErr w:type="spellEnd"/>
      <w:r>
        <w:t xml:space="preserve"> </w:t>
      </w:r>
      <w:proofErr w:type="spellStart"/>
      <w:r>
        <w:t>by</w:t>
      </w:r>
      <w:proofErr w:type="spellEnd"/>
      <w:r>
        <w:t xml:space="preserve"> 714 </w:t>
      </w:r>
      <w:proofErr w:type="spellStart"/>
      <w:r>
        <w:t>voters</w:t>
      </w:r>
      <w:proofErr w:type="spellEnd"/>
      <w:r>
        <w:t xml:space="preserve"> in </w:t>
      </w:r>
      <w:proofErr w:type="spellStart"/>
      <w:r>
        <w:t>the</w:t>
      </w:r>
      <w:proofErr w:type="spellEnd"/>
      <w:r>
        <w:t xml:space="preserve"> 2014 General </w:t>
      </w:r>
      <w:proofErr w:type="spellStart"/>
      <w:r>
        <w:t>Election</w:t>
      </w:r>
      <w:proofErr w:type="spellEnd"/>
      <w:r>
        <w:t xml:space="preserve"> and 586 </w:t>
      </w:r>
      <w:proofErr w:type="spellStart"/>
      <w:r>
        <w:t>voters</w:t>
      </w:r>
      <w:proofErr w:type="spellEnd"/>
      <w:r>
        <w:t xml:space="preserve"> in </w:t>
      </w:r>
      <w:proofErr w:type="spellStart"/>
      <w:r>
        <w:t>the</w:t>
      </w:r>
      <w:proofErr w:type="spellEnd"/>
      <w:r>
        <w:t xml:space="preserve"> 2017 General </w:t>
      </w:r>
      <w:proofErr w:type="spellStart"/>
      <w:r>
        <w:t>Election</w:t>
      </w:r>
      <w:proofErr w:type="spellEnd"/>
      <w:r>
        <w:t>.</w:t>
      </w:r>
    </w:p>
  </w:endnote>
  <w:endnote w:id="233">
    <w:p w14:paraId="5C278B85"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This</w:t>
      </w:r>
      <w:proofErr w:type="spellEnd"/>
      <w:r>
        <w:t xml:space="preserve"> </w:t>
      </w:r>
      <w:proofErr w:type="spellStart"/>
      <w:r>
        <w:t>was</w:t>
      </w:r>
      <w:proofErr w:type="spellEnd"/>
      <w:r>
        <w:t xml:space="preserve"> </w:t>
      </w:r>
      <w:proofErr w:type="spellStart"/>
      <w:r>
        <w:t>first</w:t>
      </w:r>
      <w:proofErr w:type="spellEnd"/>
      <w:r>
        <w:t xml:space="preserve"> </w:t>
      </w:r>
      <w:proofErr w:type="spellStart"/>
      <w:r>
        <w:t>provided</w:t>
      </w:r>
      <w:proofErr w:type="spellEnd"/>
      <w:r>
        <w:t xml:space="preserve"> in 2017.</w:t>
      </w:r>
    </w:p>
  </w:endnote>
  <w:endnote w:id="234">
    <w:p w14:paraId="7420614D"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The</w:t>
      </w:r>
      <w:proofErr w:type="spellEnd"/>
      <w:r>
        <w:t xml:space="preserve"> </w:t>
      </w:r>
      <w:proofErr w:type="spellStart"/>
      <w:r>
        <w:t>Election</w:t>
      </w:r>
      <w:proofErr w:type="spellEnd"/>
      <w:r>
        <w:t xml:space="preserve"> Access </w:t>
      </w:r>
      <w:proofErr w:type="spellStart"/>
      <w:r>
        <w:t>Fund</w:t>
      </w:r>
      <w:proofErr w:type="spellEnd"/>
      <w:r>
        <w:t xml:space="preserve"> Bill, </w:t>
      </w:r>
      <w:proofErr w:type="spellStart"/>
      <w:r>
        <w:t>which</w:t>
      </w:r>
      <w:proofErr w:type="spellEnd"/>
      <w:r>
        <w:t xml:space="preserve"> </w:t>
      </w:r>
      <w:proofErr w:type="spellStart"/>
      <w:r>
        <w:t>is</w:t>
      </w:r>
      <w:proofErr w:type="spellEnd"/>
      <w:r>
        <w:t xml:space="preserve"> a </w:t>
      </w:r>
      <w:proofErr w:type="spellStart"/>
      <w:r>
        <w:t>Member’s</w:t>
      </w:r>
      <w:proofErr w:type="spellEnd"/>
      <w:r>
        <w:t xml:space="preserve"> Bill, </w:t>
      </w:r>
      <w:proofErr w:type="spellStart"/>
      <w:r>
        <w:t>was</w:t>
      </w:r>
      <w:proofErr w:type="spellEnd"/>
      <w:r>
        <w:t xml:space="preserve"> </w:t>
      </w:r>
      <w:proofErr w:type="spellStart"/>
      <w:r>
        <w:t>introduced</w:t>
      </w:r>
      <w:proofErr w:type="spellEnd"/>
      <w:r>
        <w:t xml:space="preserve"> in </w:t>
      </w:r>
      <w:proofErr w:type="spellStart"/>
      <w:r>
        <w:t>February</w:t>
      </w:r>
      <w:proofErr w:type="spellEnd"/>
      <w:r>
        <w:t xml:space="preserve"> 2018. </w:t>
      </w:r>
      <w:proofErr w:type="spellStart"/>
      <w:r>
        <w:t>If</w:t>
      </w:r>
      <w:proofErr w:type="spellEnd"/>
      <w:r>
        <w:t xml:space="preserve"> </w:t>
      </w:r>
      <w:proofErr w:type="spellStart"/>
      <w:r>
        <w:t>passed</w:t>
      </w:r>
      <w:proofErr w:type="spellEnd"/>
      <w:r>
        <w:t xml:space="preserve">, </w:t>
      </w:r>
      <w:proofErr w:type="spellStart"/>
      <w:r>
        <w:t>the</w:t>
      </w:r>
      <w:proofErr w:type="spellEnd"/>
      <w:r>
        <w:t xml:space="preserve"> Bill </w:t>
      </w:r>
      <w:proofErr w:type="spellStart"/>
      <w:r>
        <w:t>will</w:t>
      </w:r>
      <w:proofErr w:type="spellEnd"/>
      <w:r>
        <w:t xml:space="preserve"> </w:t>
      </w:r>
      <w:proofErr w:type="spellStart"/>
      <w:r>
        <w:t>establish</w:t>
      </w:r>
      <w:proofErr w:type="spellEnd"/>
      <w:r>
        <w:t xml:space="preserve"> </w:t>
      </w:r>
      <w:proofErr w:type="spellStart"/>
      <w:r>
        <w:t>an</w:t>
      </w:r>
      <w:proofErr w:type="spellEnd"/>
      <w:r>
        <w:t xml:space="preserve"> </w:t>
      </w:r>
      <w:proofErr w:type="spellStart"/>
      <w:r>
        <w:t>Election</w:t>
      </w:r>
      <w:proofErr w:type="spellEnd"/>
      <w:r>
        <w:t xml:space="preserve"> Access </w:t>
      </w:r>
      <w:proofErr w:type="spellStart"/>
      <w:r>
        <w:t>Fund</w:t>
      </w:r>
      <w:proofErr w:type="spellEnd"/>
      <w:r>
        <w:t xml:space="preserve"> </w:t>
      </w:r>
      <w:proofErr w:type="spellStart"/>
      <w:r>
        <w:t>to</w:t>
      </w:r>
      <w:proofErr w:type="spellEnd"/>
      <w:r>
        <w:t xml:space="preserve"> be </w:t>
      </w:r>
      <w:proofErr w:type="spellStart"/>
      <w:r>
        <w:t>used</w:t>
      </w:r>
      <w:proofErr w:type="spellEnd"/>
      <w:r>
        <w:t xml:space="preserve"> </w:t>
      </w:r>
      <w:proofErr w:type="spellStart"/>
      <w:r>
        <w:t>by</w:t>
      </w:r>
      <w:proofErr w:type="spellEnd"/>
      <w:r>
        <w:t xml:space="preserve"> </w:t>
      </w:r>
      <w:proofErr w:type="spellStart"/>
      <w:r>
        <w:t>any</w:t>
      </w:r>
      <w:proofErr w:type="spellEnd"/>
      <w:r>
        <w:t xml:space="preserve"> </w:t>
      </w:r>
      <w:proofErr w:type="spellStart"/>
      <w:r>
        <w:t>disabled</w:t>
      </w:r>
      <w:proofErr w:type="spellEnd"/>
      <w:r>
        <w:t xml:space="preserve"> </w:t>
      </w:r>
      <w:proofErr w:type="spellStart"/>
      <w:r>
        <w:t>candidate</w:t>
      </w:r>
      <w:proofErr w:type="spellEnd"/>
      <w:r>
        <w:t xml:space="preserve"> </w:t>
      </w:r>
      <w:proofErr w:type="spellStart"/>
      <w:r>
        <w:t>to</w:t>
      </w:r>
      <w:proofErr w:type="spellEnd"/>
      <w:r>
        <w:t xml:space="preserve"> </w:t>
      </w:r>
      <w:proofErr w:type="spellStart"/>
      <w:r>
        <w:t>cover</w:t>
      </w:r>
      <w:proofErr w:type="spellEnd"/>
      <w:r>
        <w:t xml:space="preserve"> </w:t>
      </w:r>
      <w:proofErr w:type="spellStart"/>
      <w:r>
        <w:t>disability-related</w:t>
      </w:r>
      <w:proofErr w:type="spellEnd"/>
      <w:r>
        <w:t xml:space="preserve"> </w:t>
      </w:r>
      <w:proofErr w:type="spellStart"/>
      <w:r>
        <w:t>costs</w:t>
      </w:r>
      <w:proofErr w:type="spellEnd"/>
      <w:r>
        <w:t xml:space="preserve"> </w:t>
      </w:r>
      <w:proofErr w:type="spellStart"/>
      <w:r>
        <w:t>of</w:t>
      </w:r>
      <w:proofErr w:type="spellEnd"/>
      <w:r>
        <w:t xml:space="preserve"> standing in a general </w:t>
      </w:r>
      <w:proofErr w:type="spellStart"/>
      <w:r>
        <w:t>election</w:t>
      </w:r>
      <w:proofErr w:type="spellEnd"/>
      <w:r>
        <w:t xml:space="preserve">, </w:t>
      </w:r>
      <w:proofErr w:type="spellStart"/>
      <w:r>
        <w:t>by</w:t>
      </w:r>
      <w:proofErr w:type="spellEnd"/>
      <w:r>
        <w:t xml:space="preserve"> </w:t>
      </w:r>
      <w:proofErr w:type="spellStart"/>
      <w:r>
        <w:t>not-for-profit</w:t>
      </w:r>
      <w:proofErr w:type="spellEnd"/>
      <w:r>
        <w:t xml:space="preserve"> </w:t>
      </w:r>
      <w:proofErr w:type="spellStart"/>
      <w:r>
        <w:t>bodies</w:t>
      </w:r>
      <w:proofErr w:type="spellEnd"/>
      <w:r>
        <w:t xml:space="preserve"> </w:t>
      </w:r>
      <w:proofErr w:type="spellStart"/>
      <w:r>
        <w:t>to</w:t>
      </w:r>
      <w:proofErr w:type="spellEnd"/>
      <w:r>
        <w:t xml:space="preserve"> </w:t>
      </w:r>
      <w:proofErr w:type="spellStart"/>
      <w:r>
        <w:t>cover</w:t>
      </w:r>
      <w:proofErr w:type="spellEnd"/>
      <w:r>
        <w:t xml:space="preserve"> </w:t>
      </w:r>
      <w:proofErr w:type="spellStart"/>
      <w:r>
        <w:t>costs</w:t>
      </w:r>
      <w:proofErr w:type="spellEnd"/>
      <w:r>
        <w:t xml:space="preserve"> </w:t>
      </w:r>
      <w:proofErr w:type="spellStart"/>
      <w:r>
        <w:t>of</w:t>
      </w:r>
      <w:proofErr w:type="spellEnd"/>
      <w:r>
        <w:t xml:space="preserve"> </w:t>
      </w:r>
      <w:proofErr w:type="spellStart"/>
      <w:r>
        <w:t>making</w:t>
      </w:r>
      <w:proofErr w:type="spellEnd"/>
      <w:r>
        <w:t xml:space="preserve"> </w:t>
      </w:r>
      <w:proofErr w:type="spellStart"/>
      <w:r>
        <w:t>election</w:t>
      </w:r>
      <w:proofErr w:type="spellEnd"/>
      <w:r>
        <w:t xml:space="preserve"> </w:t>
      </w:r>
      <w:proofErr w:type="spellStart"/>
      <w:r>
        <w:t>education</w:t>
      </w:r>
      <w:proofErr w:type="spellEnd"/>
      <w:r>
        <w:t xml:space="preserve"> </w:t>
      </w:r>
      <w:proofErr w:type="spellStart"/>
      <w:r>
        <w:t>events</w:t>
      </w:r>
      <w:proofErr w:type="spellEnd"/>
      <w:r>
        <w:t xml:space="preserve"> and </w:t>
      </w:r>
      <w:proofErr w:type="spellStart"/>
      <w:r>
        <w:t>materials</w:t>
      </w:r>
      <w:proofErr w:type="spellEnd"/>
      <w:r>
        <w:t xml:space="preserve"> </w:t>
      </w:r>
      <w:proofErr w:type="spellStart"/>
      <w:r>
        <w:t>accessible</w:t>
      </w:r>
      <w:proofErr w:type="spellEnd"/>
      <w:r>
        <w:t xml:space="preserve">, and </w:t>
      </w:r>
      <w:proofErr w:type="spellStart"/>
      <w:r>
        <w:t>by</w:t>
      </w:r>
      <w:proofErr w:type="spellEnd"/>
      <w:r>
        <w:t xml:space="preserve"> </w:t>
      </w:r>
      <w:proofErr w:type="spellStart"/>
      <w:r>
        <w:t>registered</w:t>
      </w:r>
      <w:proofErr w:type="spellEnd"/>
      <w:r>
        <w:t xml:space="preserve"> </w:t>
      </w:r>
      <w:proofErr w:type="spellStart"/>
      <w:r>
        <w:t>political</w:t>
      </w:r>
      <w:proofErr w:type="spellEnd"/>
      <w:r>
        <w:t xml:space="preserve"> </w:t>
      </w:r>
      <w:proofErr w:type="spellStart"/>
      <w:r>
        <w:t>parties</w:t>
      </w:r>
      <w:proofErr w:type="spellEnd"/>
      <w:r>
        <w:t xml:space="preserve"> </w:t>
      </w:r>
      <w:proofErr w:type="spellStart"/>
      <w:r>
        <w:t>to</w:t>
      </w:r>
      <w:proofErr w:type="spellEnd"/>
      <w:r>
        <w:t xml:space="preserve"> </w:t>
      </w:r>
      <w:proofErr w:type="spellStart"/>
      <w:r>
        <w:t>support</w:t>
      </w:r>
      <w:proofErr w:type="spellEnd"/>
      <w:r>
        <w:t xml:space="preserve"> </w:t>
      </w:r>
      <w:proofErr w:type="spellStart"/>
      <w:r>
        <w:t>access</w:t>
      </w:r>
      <w:proofErr w:type="spellEnd"/>
      <w:r>
        <w:t xml:space="preserve"> </w:t>
      </w:r>
      <w:proofErr w:type="spellStart"/>
      <w:r>
        <w:t>needs</w:t>
      </w:r>
      <w:proofErr w:type="spellEnd"/>
      <w:r>
        <w:t xml:space="preserve"> </w:t>
      </w:r>
      <w:proofErr w:type="spellStart"/>
      <w:r>
        <w:t>of</w:t>
      </w:r>
      <w:proofErr w:type="spellEnd"/>
      <w:r>
        <w:t xml:space="preserve"> </w:t>
      </w:r>
      <w:proofErr w:type="spellStart"/>
      <w:r>
        <w:t>any</w:t>
      </w:r>
      <w:proofErr w:type="spellEnd"/>
      <w:r>
        <w:t xml:space="preserve"> </w:t>
      </w:r>
      <w:proofErr w:type="spellStart"/>
      <w:r>
        <w:t>members</w:t>
      </w:r>
      <w:proofErr w:type="spellEnd"/>
      <w:r>
        <w:t xml:space="preserve"> </w:t>
      </w:r>
      <w:proofErr w:type="spellStart"/>
      <w:r>
        <w:t>to</w:t>
      </w:r>
      <w:proofErr w:type="spellEnd"/>
      <w:r>
        <w:t xml:space="preserve"> </w:t>
      </w:r>
      <w:proofErr w:type="spellStart"/>
      <w:r>
        <w:t>allow</w:t>
      </w:r>
      <w:proofErr w:type="spellEnd"/>
      <w:r>
        <w:t xml:space="preserve"> </w:t>
      </w:r>
      <w:proofErr w:type="spellStart"/>
      <w:r>
        <w:t>them</w:t>
      </w:r>
      <w:proofErr w:type="spellEnd"/>
      <w:r>
        <w:t xml:space="preserve"> </w:t>
      </w:r>
      <w:proofErr w:type="spellStart"/>
      <w:r>
        <w:t>to</w:t>
      </w:r>
      <w:proofErr w:type="spellEnd"/>
      <w:r>
        <w:t xml:space="preserve"> </w:t>
      </w:r>
      <w:proofErr w:type="spellStart"/>
      <w:r>
        <w:t>participate</w:t>
      </w:r>
      <w:proofErr w:type="spellEnd"/>
      <w:r>
        <w:t xml:space="preserve"> </w:t>
      </w:r>
      <w:proofErr w:type="spellStart"/>
      <w:r>
        <w:t>within</w:t>
      </w:r>
      <w:proofErr w:type="spellEnd"/>
      <w:r>
        <w:t xml:space="preserve"> </w:t>
      </w:r>
      <w:proofErr w:type="spellStart"/>
      <w:r>
        <w:t>the</w:t>
      </w:r>
      <w:proofErr w:type="spellEnd"/>
      <w:r>
        <w:t xml:space="preserve"> </w:t>
      </w:r>
      <w:proofErr w:type="spellStart"/>
      <w:r>
        <w:t>party</w:t>
      </w:r>
      <w:proofErr w:type="spellEnd"/>
      <w:r>
        <w:t xml:space="preserve">. </w:t>
      </w:r>
      <w:proofErr w:type="spellStart"/>
      <w:r>
        <w:t>The</w:t>
      </w:r>
      <w:proofErr w:type="spellEnd"/>
      <w:r>
        <w:t xml:space="preserve"> Bill </w:t>
      </w:r>
      <w:proofErr w:type="spellStart"/>
      <w:r>
        <w:t>passed</w:t>
      </w:r>
      <w:proofErr w:type="spellEnd"/>
      <w:r>
        <w:t xml:space="preserve"> </w:t>
      </w:r>
      <w:proofErr w:type="spellStart"/>
      <w:r>
        <w:t>its</w:t>
      </w:r>
      <w:proofErr w:type="spellEnd"/>
      <w:r>
        <w:t xml:space="preserve"> </w:t>
      </w:r>
      <w:proofErr w:type="spellStart"/>
      <w:r>
        <w:t>first</w:t>
      </w:r>
      <w:proofErr w:type="spellEnd"/>
      <w:r>
        <w:t xml:space="preserve"> </w:t>
      </w:r>
      <w:proofErr w:type="spellStart"/>
      <w:r>
        <w:t>reading</w:t>
      </w:r>
      <w:proofErr w:type="spellEnd"/>
      <w:r>
        <w:t xml:space="preserve"> in May 2018 and </w:t>
      </w:r>
      <w:proofErr w:type="spellStart"/>
      <w:r>
        <w:t>is</w:t>
      </w:r>
      <w:proofErr w:type="spellEnd"/>
      <w:r>
        <w:t xml:space="preserve"> </w:t>
      </w:r>
      <w:proofErr w:type="spellStart"/>
      <w:r>
        <w:t>currently</w:t>
      </w:r>
      <w:proofErr w:type="spellEnd"/>
      <w:r>
        <w:t xml:space="preserve"> </w:t>
      </w:r>
      <w:proofErr w:type="spellStart"/>
      <w:r>
        <w:t>before</w:t>
      </w:r>
      <w:proofErr w:type="spellEnd"/>
      <w:r>
        <w:t xml:space="preserve"> </w:t>
      </w:r>
      <w:proofErr w:type="spellStart"/>
      <w:r>
        <w:t>Select</w:t>
      </w:r>
      <w:proofErr w:type="spellEnd"/>
      <w:r>
        <w:t xml:space="preserve"> </w:t>
      </w:r>
      <w:proofErr w:type="spellStart"/>
      <w:r>
        <w:t>Committee</w:t>
      </w:r>
      <w:proofErr w:type="spellEnd"/>
      <w:r>
        <w:t>.</w:t>
      </w:r>
    </w:p>
  </w:endnote>
  <w:endnote w:id="235">
    <w:p w14:paraId="1941CE12"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The</w:t>
      </w:r>
      <w:proofErr w:type="spellEnd"/>
      <w:r>
        <w:t xml:space="preserve"> Speaker </w:t>
      </w:r>
      <w:proofErr w:type="spellStart"/>
      <w:r>
        <w:t>of</w:t>
      </w:r>
      <w:proofErr w:type="spellEnd"/>
      <w:r>
        <w:t xml:space="preserve"> </w:t>
      </w:r>
      <w:proofErr w:type="spellStart"/>
      <w:r>
        <w:t>Parliament</w:t>
      </w:r>
      <w:proofErr w:type="spellEnd"/>
      <w:r>
        <w:t xml:space="preserve"> </w:t>
      </w:r>
      <w:proofErr w:type="spellStart"/>
      <w:r>
        <w:t>is</w:t>
      </w:r>
      <w:proofErr w:type="spellEnd"/>
      <w:r>
        <w:t xml:space="preserve"> </w:t>
      </w:r>
      <w:proofErr w:type="spellStart"/>
      <w:r>
        <w:t>responsible</w:t>
      </w:r>
      <w:proofErr w:type="spellEnd"/>
      <w:r>
        <w:t xml:space="preserve"> </w:t>
      </w:r>
      <w:proofErr w:type="spellStart"/>
      <w:r>
        <w:t>for</w:t>
      </w:r>
      <w:proofErr w:type="spellEnd"/>
      <w:r>
        <w:t xml:space="preserve"> </w:t>
      </w:r>
      <w:proofErr w:type="spellStart"/>
      <w:r>
        <w:t>the</w:t>
      </w:r>
      <w:proofErr w:type="spellEnd"/>
      <w:r>
        <w:t xml:space="preserve"> </w:t>
      </w:r>
      <w:proofErr w:type="spellStart"/>
      <w:r>
        <w:t>Parliamentary</w:t>
      </w:r>
      <w:proofErr w:type="spellEnd"/>
      <w:r>
        <w:t xml:space="preserve"> </w:t>
      </w:r>
      <w:proofErr w:type="spellStart"/>
      <w:r>
        <w:t>Service</w:t>
      </w:r>
      <w:proofErr w:type="spellEnd"/>
      <w:r>
        <w:t xml:space="preserve"> and </w:t>
      </w:r>
      <w:proofErr w:type="spellStart"/>
      <w:r>
        <w:t>the</w:t>
      </w:r>
      <w:proofErr w:type="spellEnd"/>
      <w:r>
        <w:t xml:space="preserve"> Office </w:t>
      </w:r>
      <w:proofErr w:type="spellStart"/>
      <w:r>
        <w:t>of</w:t>
      </w:r>
      <w:proofErr w:type="spellEnd"/>
      <w:r>
        <w:t xml:space="preserve"> </w:t>
      </w:r>
      <w:proofErr w:type="spellStart"/>
      <w:r>
        <w:t>the</w:t>
      </w:r>
      <w:proofErr w:type="spellEnd"/>
      <w:r>
        <w:t xml:space="preserve"> Clerk.</w:t>
      </w:r>
    </w:p>
  </w:endnote>
  <w:endnote w:id="236">
    <w:p w14:paraId="0C8B4F33"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See</w:t>
      </w:r>
      <w:proofErr w:type="spellEnd"/>
      <w:r>
        <w:t xml:space="preserve"> </w:t>
      </w:r>
      <w:r w:rsidRPr="00193DD1">
        <w:rPr>
          <w:rStyle w:val="Hipervnculo"/>
        </w:rPr>
        <w:t>https://sportnz.org.nz/assets/Uploads/Accessibility-Design-Guide-and-Checklist.pdf</w:t>
      </w:r>
      <w:r>
        <w:t xml:space="preserve">. </w:t>
      </w:r>
    </w:p>
  </w:endnote>
  <w:endnote w:id="237">
    <w:p w14:paraId="576A1604" w14:textId="77777777" w:rsidR="003665BE" w:rsidRDefault="003665BE" w:rsidP="00011964">
      <w:pPr>
        <w:pStyle w:val="Textonotaalfinal"/>
      </w:pPr>
      <w:r>
        <w:tab/>
      </w:r>
      <w:r w:rsidRPr="00154216">
        <w:rPr>
          <w:rStyle w:val="Refdenotaalfinal"/>
        </w:rPr>
        <w:endnoteRef/>
      </w:r>
      <w:r w:rsidRPr="00154216">
        <w:rPr>
          <w:rStyle w:val="Refdenotaalfinal"/>
        </w:rPr>
        <w:tab/>
      </w:r>
      <w:r>
        <w:t xml:space="preserve">Te Papa, a </w:t>
      </w:r>
      <w:proofErr w:type="spellStart"/>
      <w:r>
        <w:t>museum</w:t>
      </w:r>
      <w:proofErr w:type="spellEnd"/>
      <w:r>
        <w:t xml:space="preserve"> in Wellington, </w:t>
      </w:r>
      <w:proofErr w:type="spellStart"/>
      <w:r>
        <w:t>provides</w:t>
      </w:r>
      <w:proofErr w:type="spellEnd"/>
      <w:r>
        <w:t xml:space="preserve"> </w:t>
      </w:r>
      <w:proofErr w:type="spellStart"/>
      <w:r>
        <w:t>for</w:t>
      </w:r>
      <w:proofErr w:type="spellEnd"/>
      <w:r>
        <w:t xml:space="preserve"> </w:t>
      </w:r>
      <w:proofErr w:type="spellStart"/>
      <w:r>
        <w:t>accessibility</w:t>
      </w:r>
      <w:proofErr w:type="spellEnd"/>
      <w:r>
        <w:t xml:space="preserve"> </w:t>
      </w:r>
      <w:proofErr w:type="spellStart"/>
      <w:r>
        <w:t>including</w:t>
      </w:r>
      <w:proofErr w:type="spellEnd"/>
      <w:r>
        <w:t xml:space="preserve"> </w:t>
      </w:r>
      <w:proofErr w:type="spellStart"/>
      <w:r>
        <w:t>designing</w:t>
      </w:r>
      <w:proofErr w:type="spellEnd"/>
      <w:r>
        <w:t xml:space="preserve"> </w:t>
      </w:r>
      <w:proofErr w:type="spellStart"/>
      <w:r>
        <w:t>exhibitions</w:t>
      </w:r>
      <w:proofErr w:type="spellEnd"/>
      <w:r>
        <w:t xml:space="preserve"> </w:t>
      </w:r>
      <w:proofErr w:type="spellStart"/>
      <w:r>
        <w:t>to</w:t>
      </w:r>
      <w:proofErr w:type="spellEnd"/>
      <w:r>
        <w:t xml:space="preserve"> </w:t>
      </w:r>
      <w:proofErr w:type="spellStart"/>
      <w:r>
        <w:t>support</w:t>
      </w:r>
      <w:proofErr w:type="spellEnd"/>
      <w:r>
        <w:t xml:space="preserve"> </w:t>
      </w:r>
      <w:proofErr w:type="spellStart"/>
      <w:r>
        <w:t>visitors</w:t>
      </w:r>
      <w:proofErr w:type="spellEnd"/>
      <w:r>
        <w:t xml:space="preserve"> </w:t>
      </w:r>
      <w:proofErr w:type="spellStart"/>
      <w:r>
        <w:t>with</w:t>
      </w:r>
      <w:proofErr w:type="spellEnd"/>
      <w:r>
        <w:t xml:space="preserve"> </w:t>
      </w:r>
      <w:proofErr w:type="spellStart"/>
      <w:r>
        <w:t>differing</w:t>
      </w:r>
      <w:proofErr w:type="spellEnd"/>
      <w:r>
        <w:t xml:space="preserve"> </w:t>
      </w:r>
      <w:proofErr w:type="spellStart"/>
      <w:r>
        <w:t>levels</w:t>
      </w:r>
      <w:proofErr w:type="spellEnd"/>
      <w:r>
        <w:t xml:space="preserve"> </w:t>
      </w:r>
      <w:proofErr w:type="spellStart"/>
      <w:r>
        <w:t>of</w:t>
      </w:r>
      <w:proofErr w:type="spellEnd"/>
      <w:r>
        <w:t xml:space="preserve"> </w:t>
      </w:r>
      <w:proofErr w:type="spellStart"/>
      <w:r>
        <w:t>access</w:t>
      </w:r>
      <w:proofErr w:type="spellEnd"/>
      <w:r>
        <w:t xml:space="preserve"> (</w:t>
      </w:r>
      <w:proofErr w:type="spellStart"/>
      <w:r>
        <w:t>for</w:t>
      </w:r>
      <w:proofErr w:type="spellEnd"/>
      <w:r>
        <w:t xml:space="preserve"> </w:t>
      </w:r>
      <w:proofErr w:type="spellStart"/>
      <w:r>
        <w:t>example</w:t>
      </w:r>
      <w:proofErr w:type="spellEnd"/>
      <w:r>
        <w:t xml:space="preserve">, </w:t>
      </w:r>
      <w:proofErr w:type="spellStart"/>
      <w:r>
        <w:t>those</w:t>
      </w:r>
      <w:proofErr w:type="spellEnd"/>
      <w:r>
        <w:t xml:space="preserve"> </w:t>
      </w:r>
      <w:proofErr w:type="spellStart"/>
      <w:r>
        <w:t>who</w:t>
      </w:r>
      <w:proofErr w:type="spellEnd"/>
      <w:r>
        <w:t xml:space="preserve"> are </w:t>
      </w:r>
      <w:proofErr w:type="spellStart"/>
      <w:r>
        <w:t>vision-impaired</w:t>
      </w:r>
      <w:proofErr w:type="spellEnd"/>
      <w:r>
        <w:t xml:space="preserve"> </w:t>
      </w:r>
      <w:proofErr w:type="spellStart"/>
      <w:r>
        <w:t>or</w:t>
      </w:r>
      <w:proofErr w:type="spellEnd"/>
      <w:r>
        <w:t xml:space="preserve"> </w:t>
      </w:r>
      <w:proofErr w:type="spellStart"/>
      <w:r>
        <w:t>require</w:t>
      </w:r>
      <w:proofErr w:type="spellEnd"/>
      <w:r>
        <w:t xml:space="preserve"> </w:t>
      </w:r>
      <w:proofErr w:type="spellStart"/>
      <w:r>
        <w:t>wheelchair</w:t>
      </w:r>
      <w:proofErr w:type="spellEnd"/>
      <w:r>
        <w:t xml:space="preserve"> </w:t>
      </w:r>
      <w:proofErr w:type="spellStart"/>
      <w:r>
        <w:t>access</w:t>
      </w:r>
      <w:proofErr w:type="spellEnd"/>
      <w:r>
        <w:t xml:space="preserve">). </w:t>
      </w:r>
      <w:proofErr w:type="spellStart"/>
      <w:r>
        <w:t>Visitor</w:t>
      </w:r>
      <w:proofErr w:type="spellEnd"/>
      <w:r>
        <w:t xml:space="preserve"> </w:t>
      </w:r>
      <w:proofErr w:type="spellStart"/>
      <w:r>
        <w:t>experiences</w:t>
      </w:r>
      <w:proofErr w:type="spellEnd"/>
      <w:r>
        <w:t xml:space="preserve"> </w:t>
      </w:r>
      <w:proofErr w:type="spellStart"/>
      <w:r>
        <w:t>include</w:t>
      </w:r>
      <w:proofErr w:type="spellEnd"/>
      <w:r>
        <w:t xml:space="preserve"> </w:t>
      </w:r>
      <w:proofErr w:type="spellStart"/>
      <w:r>
        <w:t>sensory</w:t>
      </w:r>
      <w:proofErr w:type="spellEnd"/>
      <w:r>
        <w:t xml:space="preserve"> tours </w:t>
      </w:r>
      <w:proofErr w:type="spellStart"/>
      <w:r>
        <w:t>for</w:t>
      </w:r>
      <w:proofErr w:type="spellEnd"/>
      <w:r>
        <w:t xml:space="preserve"> </w:t>
      </w:r>
      <w:proofErr w:type="spellStart"/>
      <w:r>
        <w:t>blind</w:t>
      </w:r>
      <w:proofErr w:type="spellEnd"/>
      <w:r>
        <w:t xml:space="preserve"> and </w:t>
      </w:r>
      <w:proofErr w:type="spellStart"/>
      <w:r>
        <w:t>low-vision</w:t>
      </w:r>
      <w:proofErr w:type="spellEnd"/>
      <w:r>
        <w:t xml:space="preserve"> </w:t>
      </w:r>
      <w:proofErr w:type="spellStart"/>
      <w:r>
        <w:t>visitors</w:t>
      </w:r>
      <w:proofErr w:type="spellEnd"/>
      <w:r>
        <w:t xml:space="preserve">, head sets </w:t>
      </w:r>
      <w:proofErr w:type="spellStart"/>
      <w:r>
        <w:t>for</w:t>
      </w:r>
      <w:proofErr w:type="spellEnd"/>
      <w:r>
        <w:t xml:space="preserve"> tour </w:t>
      </w:r>
      <w:proofErr w:type="spellStart"/>
      <w:r>
        <w:t>group</w:t>
      </w:r>
      <w:proofErr w:type="spellEnd"/>
      <w:r>
        <w:t xml:space="preserve"> </w:t>
      </w:r>
      <w:proofErr w:type="spellStart"/>
      <w:r>
        <w:t>attendees</w:t>
      </w:r>
      <w:proofErr w:type="spellEnd"/>
      <w:r>
        <w:t xml:space="preserve"> </w:t>
      </w:r>
      <w:proofErr w:type="spellStart"/>
      <w:r>
        <w:t>with</w:t>
      </w:r>
      <w:proofErr w:type="spellEnd"/>
      <w:r>
        <w:t xml:space="preserve"> </w:t>
      </w:r>
      <w:proofErr w:type="spellStart"/>
      <w:r>
        <w:t>hearing</w:t>
      </w:r>
      <w:proofErr w:type="spellEnd"/>
      <w:r>
        <w:t xml:space="preserve"> </w:t>
      </w:r>
      <w:proofErr w:type="spellStart"/>
      <w:r>
        <w:t>difficulties</w:t>
      </w:r>
      <w:proofErr w:type="spellEnd"/>
      <w:r>
        <w:t>, ‘</w:t>
      </w:r>
      <w:proofErr w:type="spellStart"/>
      <w:r>
        <w:t>relaxed</w:t>
      </w:r>
      <w:proofErr w:type="spellEnd"/>
      <w:r>
        <w:t xml:space="preserve"> </w:t>
      </w:r>
      <w:proofErr w:type="spellStart"/>
      <w:r>
        <w:t>viewings</w:t>
      </w:r>
      <w:proofErr w:type="spellEnd"/>
      <w:r>
        <w:t xml:space="preserve">’ </w:t>
      </w:r>
      <w:proofErr w:type="spellStart"/>
      <w:r>
        <w:t>of</w:t>
      </w:r>
      <w:proofErr w:type="spellEnd"/>
      <w:r>
        <w:t xml:space="preserve"> </w:t>
      </w:r>
      <w:proofErr w:type="spellStart"/>
      <w:r>
        <w:t>exhibitions</w:t>
      </w:r>
      <w:proofErr w:type="spellEnd"/>
      <w:r>
        <w:t xml:space="preserve"> </w:t>
      </w:r>
      <w:proofErr w:type="spellStart"/>
      <w:r>
        <w:t>for</w:t>
      </w:r>
      <w:proofErr w:type="spellEnd"/>
      <w:r>
        <w:t xml:space="preserve"> </w:t>
      </w:r>
      <w:proofErr w:type="spellStart"/>
      <w:r>
        <w:t>people</w:t>
      </w:r>
      <w:proofErr w:type="spellEnd"/>
      <w:r>
        <w:t xml:space="preserve"> </w:t>
      </w:r>
      <w:proofErr w:type="spellStart"/>
      <w:r>
        <w:t>with</w:t>
      </w:r>
      <w:proofErr w:type="spellEnd"/>
      <w:r>
        <w:t xml:space="preserve"> </w:t>
      </w:r>
      <w:proofErr w:type="spellStart"/>
      <w:r>
        <w:t>sensory</w:t>
      </w:r>
      <w:proofErr w:type="spellEnd"/>
      <w:r>
        <w:t xml:space="preserve"> </w:t>
      </w:r>
      <w:proofErr w:type="spellStart"/>
      <w:r>
        <w:t>issues</w:t>
      </w:r>
      <w:proofErr w:type="spellEnd"/>
      <w:r>
        <w:t xml:space="preserve"> (</w:t>
      </w:r>
      <w:proofErr w:type="spellStart"/>
      <w:r>
        <w:t>including</w:t>
      </w:r>
      <w:proofErr w:type="spellEnd"/>
      <w:r>
        <w:t xml:space="preserve"> </w:t>
      </w:r>
      <w:proofErr w:type="spellStart"/>
      <w:r>
        <w:t>autism</w:t>
      </w:r>
      <w:proofErr w:type="spellEnd"/>
      <w:r>
        <w:t xml:space="preserve">) and tours in </w:t>
      </w:r>
      <w:proofErr w:type="spellStart"/>
      <w:r>
        <w:t>sign</w:t>
      </w:r>
      <w:proofErr w:type="spellEnd"/>
      <w:r>
        <w:t xml:space="preserve"> </w:t>
      </w:r>
      <w:proofErr w:type="spellStart"/>
      <w:r>
        <w:t>language</w:t>
      </w:r>
      <w:proofErr w:type="spellEnd"/>
      <w:r>
        <w:t xml:space="preserve"> </w:t>
      </w:r>
      <w:proofErr w:type="spellStart"/>
      <w:r>
        <w:t>during</w:t>
      </w:r>
      <w:proofErr w:type="spellEnd"/>
      <w:r>
        <w:t xml:space="preserve"> New </w:t>
      </w:r>
      <w:proofErr w:type="spellStart"/>
      <w:r>
        <w:t>Zealand</w:t>
      </w:r>
      <w:proofErr w:type="spellEnd"/>
      <w:r>
        <w:t xml:space="preserve"> </w:t>
      </w:r>
      <w:proofErr w:type="spellStart"/>
      <w:r>
        <w:t>Sign</w:t>
      </w:r>
      <w:proofErr w:type="spellEnd"/>
      <w:r>
        <w:t xml:space="preserve"> </w:t>
      </w:r>
      <w:proofErr w:type="spellStart"/>
      <w:r>
        <w:t>Language</w:t>
      </w:r>
      <w:proofErr w:type="spellEnd"/>
      <w:r>
        <w:t xml:space="preserve"> </w:t>
      </w:r>
      <w:proofErr w:type="spellStart"/>
      <w:r>
        <w:t>Week</w:t>
      </w:r>
      <w:proofErr w:type="spellEnd"/>
      <w:r>
        <w:t xml:space="preserve">. </w:t>
      </w:r>
      <w:proofErr w:type="spellStart"/>
      <w:r>
        <w:t>See</w:t>
      </w:r>
      <w:proofErr w:type="spellEnd"/>
      <w:r>
        <w:t xml:space="preserve"> </w:t>
      </w:r>
      <w:proofErr w:type="spellStart"/>
      <w:r w:rsidRPr="00193DD1">
        <w:rPr>
          <w:rStyle w:val="Hipervnculo"/>
        </w:rPr>
        <w:t>www.tepapa.govt.nz</w:t>
      </w:r>
      <w:proofErr w:type="spellEnd"/>
      <w:r w:rsidRPr="00193DD1">
        <w:rPr>
          <w:rStyle w:val="Hipervnculo"/>
        </w:rPr>
        <w:t>/</w:t>
      </w:r>
      <w:proofErr w:type="spellStart"/>
      <w:r w:rsidRPr="00193DD1">
        <w:rPr>
          <w:rStyle w:val="Hipervnculo"/>
        </w:rPr>
        <w:t>visit</w:t>
      </w:r>
      <w:proofErr w:type="spellEnd"/>
      <w:r w:rsidRPr="00193DD1">
        <w:rPr>
          <w:rStyle w:val="Hipervnculo"/>
        </w:rPr>
        <w:t>/plan-</w:t>
      </w:r>
      <w:proofErr w:type="spellStart"/>
      <w:r w:rsidRPr="00193DD1">
        <w:rPr>
          <w:rStyle w:val="Hipervnculo"/>
        </w:rPr>
        <w:t>your</w:t>
      </w:r>
      <w:proofErr w:type="spellEnd"/>
      <w:r w:rsidRPr="00193DD1">
        <w:rPr>
          <w:rStyle w:val="Hipervnculo"/>
        </w:rPr>
        <w:t>-</w:t>
      </w:r>
      <w:proofErr w:type="spellStart"/>
      <w:r w:rsidRPr="00193DD1">
        <w:rPr>
          <w:rStyle w:val="Hipervnculo"/>
        </w:rPr>
        <w:t>visit</w:t>
      </w:r>
      <w:proofErr w:type="spellEnd"/>
      <w:r w:rsidRPr="00193DD1">
        <w:rPr>
          <w:rStyle w:val="Hipervnculo"/>
        </w:rPr>
        <w:t>/</w:t>
      </w:r>
      <w:proofErr w:type="spellStart"/>
      <w:r w:rsidRPr="00193DD1">
        <w:rPr>
          <w:rStyle w:val="Hipervnculo"/>
        </w:rPr>
        <w:t>accessibility</w:t>
      </w:r>
      <w:proofErr w:type="spellEnd"/>
      <w:r>
        <w:t>.</w:t>
      </w:r>
    </w:p>
  </w:endnote>
  <w:endnote w:id="238">
    <w:p w14:paraId="1BDB8407"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Heritage</w:t>
      </w:r>
      <w:proofErr w:type="spellEnd"/>
      <w:r>
        <w:t xml:space="preserve"> New </w:t>
      </w:r>
      <w:proofErr w:type="spellStart"/>
      <w:r>
        <w:t>Zealand</w:t>
      </w:r>
      <w:proofErr w:type="spellEnd"/>
      <w:r>
        <w:t xml:space="preserve"> </w:t>
      </w:r>
      <w:proofErr w:type="spellStart"/>
      <w:r>
        <w:t>Pouhere</w:t>
      </w:r>
      <w:proofErr w:type="spellEnd"/>
      <w:r>
        <w:t xml:space="preserve"> </w:t>
      </w:r>
      <w:proofErr w:type="spellStart"/>
      <w:r>
        <w:t>Taonga</w:t>
      </w:r>
      <w:proofErr w:type="spellEnd"/>
      <w:r>
        <w:t xml:space="preserve"> </w:t>
      </w:r>
      <w:proofErr w:type="spellStart"/>
      <w:r>
        <w:t>is</w:t>
      </w:r>
      <w:proofErr w:type="spellEnd"/>
      <w:r>
        <w:t xml:space="preserve"> a Crown </w:t>
      </w:r>
      <w:proofErr w:type="spellStart"/>
      <w:r>
        <w:t>entity</w:t>
      </w:r>
      <w:proofErr w:type="spellEnd"/>
      <w:r>
        <w:t xml:space="preserve"> </w:t>
      </w:r>
      <w:proofErr w:type="spellStart"/>
      <w:r>
        <w:t>that</w:t>
      </w:r>
      <w:proofErr w:type="spellEnd"/>
      <w:r>
        <w:t xml:space="preserve"> </w:t>
      </w:r>
      <w:proofErr w:type="spellStart"/>
      <w:r>
        <w:t>advocates</w:t>
      </w:r>
      <w:proofErr w:type="spellEnd"/>
      <w:r>
        <w:t xml:space="preserve"> </w:t>
      </w:r>
      <w:proofErr w:type="spellStart"/>
      <w:r>
        <w:t>for</w:t>
      </w:r>
      <w:proofErr w:type="spellEnd"/>
      <w:r>
        <w:t xml:space="preserve"> </w:t>
      </w:r>
      <w:proofErr w:type="spellStart"/>
      <w:r>
        <w:t>the</w:t>
      </w:r>
      <w:proofErr w:type="spellEnd"/>
      <w:r>
        <w:t xml:space="preserve"> </w:t>
      </w:r>
      <w:proofErr w:type="spellStart"/>
      <w:r>
        <w:t>protection</w:t>
      </w:r>
      <w:proofErr w:type="spellEnd"/>
      <w:r>
        <w:t xml:space="preserve"> </w:t>
      </w:r>
      <w:proofErr w:type="spellStart"/>
      <w:r>
        <w:t>of</w:t>
      </w:r>
      <w:proofErr w:type="spellEnd"/>
      <w:r>
        <w:t xml:space="preserve"> ancestral </w:t>
      </w:r>
      <w:proofErr w:type="spellStart"/>
      <w:r>
        <w:t>sites</w:t>
      </w:r>
      <w:proofErr w:type="spellEnd"/>
      <w:r>
        <w:t xml:space="preserve"> and </w:t>
      </w:r>
      <w:proofErr w:type="spellStart"/>
      <w:r>
        <w:t>heritage</w:t>
      </w:r>
      <w:proofErr w:type="spellEnd"/>
      <w:r>
        <w:t xml:space="preserve"> </w:t>
      </w:r>
      <w:proofErr w:type="spellStart"/>
      <w:r>
        <w:t>buildings</w:t>
      </w:r>
      <w:proofErr w:type="spellEnd"/>
      <w:r>
        <w:t xml:space="preserve"> in New </w:t>
      </w:r>
      <w:proofErr w:type="spellStart"/>
      <w:r>
        <w:t>Zealand</w:t>
      </w:r>
      <w:proofErr w:type="spellEnd"/>
      <w:r>
        <w:t>.</w:t>
      </w:r>
    </w:p>
  </w:endnote>
  <w:endnote w:id="239">
    <w:p w14:paraId="4F64BB96"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Stats</w:t>
      </w:r>
      <w:proofErr w:type="spellEnd"/>
      <w:r>
        <w:t xml:space="preserve"> </w:t>
      </w:r>
      <w:proofErr w:type="spellStart"/>
      <w:r>
        <w:t>NZ</w:t>
      </w:r>
      <w:proofErr w:type="spellEnd"/>
      <w:r>
        <w:t xml:space="preserve"> </w:t>
      </w:r>
      <w:proofErr w:type="spellStart"/>
      <w:r>
        <w:t>worked</w:t>
      </w:r>
      <w:proofErr w:type="spellEnd"/>
      <w:r>
        <w:t xml:space="preserve"> </w:t>
      </w:r>
      <w:proofErr w:type="spellStart"/>
      <w:r>
        <w:t>with</w:t>
      </w:r>
      <w:proofErr w:type="spellEnd"/>
      <w:r>
        <w:t xml:space="preserve"> </w:t>
      </w:r>
      <w:proofErr w:type="spellStart"/>
      <w:r>
        <w:t>the</w:t>
      </w:r>
      <w:proofErr w:type="spellEnd"/>
      <w:r>
        <w:t xml:space="preserve"> </w:t>
      </w:r>
      <w:proofErr w:type="spellStart"/>
      <w:r>
        <w:t>Blind</w:t>
      </w:r>
      <w:proofErr w:type="spellEnd"/>
      <w:r>
        <w:t xml:space="preserve"> </w:t>
      </w:r>
      <w:proofErr w:type="spellStart"/>
      <w:r>
        <w:t>Foundation</w:t>
      </w:r>
      <w:proofErr w:type="spellEnd"/>
      <w:r>
        <w:t xml:space="preserve">, </w:t>
      </w:r>
      <w:proofErr w:type="spellStart"/>
      <w:r>
        <w:t>IHC</w:t>
      </w:r>
      <w:proofErr w:type="spellEnd"/>
      <w:r>
        <w:t xml:space="preserve">, </w:t>
      </w:r>
      <w:proofErr w:type="spellStart"/>
      <w:r>
        <w:t>CCS</w:t>
      </w:r>
      <w:proofErr w:type="spellEnd"/>
      <w:r>
        <w:t xml:space="preserve"> </w:t>
      </w:r>
      <w:proofErr w:type="spellStart"/>
      <w:r>
        <w:t>Disability</w:t>
      </w:r>
      <w:proofErr w:type="spellEnd"/>
      <w:r>
        <w:t xml:space="preserve"> </w:t>
      </w:r>
      <w:proofErr w:type="spellStart"/>
      <w:r>
        <w:t>Action</w:t>
      </w:r>
      <w:proofErr w:type="spellEnd"/>
      <w:r>
        <w:t xml:space="preserve">, </w:t>
      </w:r>
      <w:proofErr w:type="spellStart"/>
      <w:r>
        <w:t>Women’s</w:t>
      </w:r>
      <w:proofErr w:type="spellEnd"/>
      <w:r>
        <w:t xml:space="preserve"> </w:t>
      </w:r>
      <w:proofErr w:type="spellStart"/>
      <w:r>
        <w:t>Refuge</w:t>
      </w:r>
      <w:proofErr w:type="spellEnd"/>
      <w:r>
        <w:t xml:space="preserve">, People </w:t>
      </w:r>
      <w:proofErr w:type="spellStart"/>
      <w:r>
        <w:t>Firstand</w:t>
      </w:r>
      <w:proofErr w:type="spellEnd"/>
      <w:r>
        <w:t xml:space="preserve"> </w:t>
      </w:r>
      <w:proofErr w:type="spellStart"/>
      <w:r>
        <w:t>Deaf</w:t>
      </w:r>
      <w:proofErr w:type="spellEnd"/>
      <w:r>
        <w:t xml:space="preserve"> Radio. </w:t>
      </w:r>
      <w:proofErr w:type="spellStart"/>
      <w:r w:rsidRPr="00193DD1">
        <w:rPr>
          <w:rStyle w:val="Hipervnculo"/>
        </w:rPr>
        <w:t>www.census.govt.nz</w:t>
      </w:r>
      <w:proofErr w:type="spellEnd"/>
      <w:r w:rsidRPr="00193DD1">
        <w:rPr>
          <w:rStyle w:val="Hipervnculo"/>
        </w:rPr>
        <w:t>/</w:t>
      </w:r>
      <w:proofErr w:type="spellStart"/>
      <w:r w:rsidRPr="00193DD1">
        <w:rPr>
          <w:rStyle w:val="Hipervnculo"/>
        </w:rPr>
        <w:t>how</w:t>
      </w:r>
      <w:proofErr w:type="spellEnd"/>
      <w:r w:rsidRPr="00193DD1">
        <w:rPr>
          <w:rStyle w:val="Hipervnculo"/>
        </w:rPr>
        <w:t>-can-i-do-</w:t>
      </w:r>
      <w:proofErr w:type="spellStart"/>
      <w:r w:rsidRPr="00193DD1">
        <w:rPr>
          <w:rStyle w:val="Hipervnculo"/>
        </w:rPr>
        <w:t>it</w:t>
      </w:r>
      <w:proofErr w:type="spellEnd"/>
      <w:r w:rsidRPr="00193DD1">
        <w:rPr>
          <w:rStyle w:val="Hipervnculo"/>
        </w:rPr>
        <w:t>/</w:t>
      </w:r>
      <w:r>
        <w:t xml:space="preserve">. </w:t>
      </w:r>
    </w:p>
  </w:endnote>
  <w:endnote w:id="240">
    <w:p w14:paraId="667D486D"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The</w:t>
      </w:r>
      <w:proofErr w:type="spellEnd"/>
      <w:r>
        <w:t xml:space="preserve"> Access Alliance </w:t>
      </w:r>
      <w:proofErr w:type="spellStart"/>
      <w:r>
        <w:t>is</w:t>
      </w:r>
      <w:proofErr w:type="spellEnd"/>
      <w:r>
        <w:t xml:space="preserve"> a </w:t>
      </w:r>
      <w:proofErr w:type="spellStart"/>
      <w:r>
        <w:t>group</w:t>
      </w:r>
      <w:proofErr w:type="spellEnd"/>
      <w:r>
        <w:t xml:space="preserve"> </w:t>
      </w:r>
      <w:proofErr w:type="spellStart"/>
      <w:r>
        <w:t>of</w:t>
      </w:r>
      <w:proofErr w:type="spellEnd"/>
      <w:r>
        <w:t xml:space="preserve"> </w:t>
      </w:r>
      <w:proofErr w:type="spellStart"/>
      <w:r>
        <w:t>Disabled</w:t>
      </w:r>
      <w:proofErr w:type="spellEnd"/>
      <w:r>
        <w:t xml:space="preserve"> </w:t>
      </w:r>
      <w:proofErr w:type="spellStart"/>
      <w:r>
        <w:t>People’s</w:t>
      </w:r>
      <w:proofErr w:type="spellEnd"/>
      <w:r>
        <w:t xml:space="preserve"> </w:t>
      </w:r>
      <w:proofErr w:type="spellStart"/>
      <w:r>
        <w:t>Organisations</w:t>
      </w:r>
      <w:proofErr w:type="spellEnd"/>
      <w:r>
        <w:t xml:space="preserve">, </w:t>
      </w:r>
      <w:proofErr w:type="spellStart"/>
      <w:r>
        <w:t>Disability</w:t>
      </w:r>
      <w:proofErr w:type="spellEnd"/>
      <w:r>
        <w:t xml:space="preserve"> </w:t>
      </w:r>
      <w:proofErr w:type="spellStart"/>
      <w:r>
        <w:t>Service</w:t>
      </w:r>
      <w:proofErr w:type="spellEnd"/>
      <w:r>
        <w:t xml:space="preserve"> </w:t>
      </w:r>
      <w:proofErr w:type="spellStart"/>
      <w:r>
        <w:t>Providers</w:t>
      </w:r>
      <w:proofErr w:type="spellEnd"/>
      <w:r>
        <w:t xml:space="preserve">, and </w:t>
      </w:r>
      <w:proofErr w:type="spellStart"/>
      <w:r>
        <w:t>Disability</w:t>
      </w:r>
      <w:proofErr w:type="spellEnd"/>
      <w:r>
        <w:t xml:space="preserve"> </w:t>
      </w:r>
      <w:proofErr w:type="spellStart"/>
      <w:r>
        <w:t>Advocacy</w:t>
      </w:r>
      <w:proofErr w:type="spellEnd"/>
      <w:r>
        <w:t xml:space="preserve"> </w:t>
      </w:r>
      <w:proofErr w:type="spellStart"/>
      <w:r>
        <w:t>Organisations</w:t>
      </w:r>
      <w:proofErr w:type="spellEnd"/>
      <w:r>
        <w:t xml:space="preserve"> </w:t>
      </w:r>
      <w:proofErr w:type="spellStart"/>
      <w:r>
        <w:t>who</w:t>
      </w:r>
      <w:proofErr w:type="spellEnd"/>
      <w:r>
        <w:t xml:space="preserve"> are </w:t>
      </w:r>
      <w:proofErr w:type="spellStart"/>
      <w:r>
        <w:t>lobbying</w:t>
      </w:r>
      <w:proofErr w:type="spellEnd"/>
      <w:r>
        <w:t xml:space="preserve"> </w:t>
      </w:r>
      <w:proofErr w:type="spellStart"/>
      <w:r>
        <w:t>for</w:t>
      </w:r>
      <w:proofErr w:type="spellEnd"/>
      <w:r>
        <w:t xml:space="preserve"> </w:t>
      </w:r>
      <w:proofErr w:type="spellStart"/>
      <w:r>
        <w:t>accessibility</w:t>
      </w:r>
      <w:proofErr w:type="spellEnd"/>
      <w:r>
        <w:t xml:space="preserve"> </w:t>
      </w:r>
      <w:proofErr w:type="spellStart"/>
      <w:r>
        <w:t>legislation</w:t>
      </w:r>
      <w:proofErr w:type="spellEnd"/>
      <w:r>
        <w:t xml:space="preserve"> (</w:t>
      </w:r>
      <w:proofErr w:type="spellStart"/>
      <w:r w:rsidRPr="00193DD1">
        <w:rPr>
          <w:rStyle w:val="Hipervnculo"/>
        </w:rPr>
        <w:t>www.accessalliance.org.nz</w:t>
      </w:r>
      <w:proofErr w:type="spellEnd"/>
      <w:r w:rsidRPr="00193DD1">
        <w:rPr>
          <w:rStyle w:val="Hipervnculo"/>
        </w:rPr>
        <w:t>/</w:t>
      </w:r>
      <w:r>
        <w:t xml:space="preserve">). </w:t>
      </w:r>
    </w:p>
  </w:endnote>
  <w:endnote w:id="241">
    <w:p w14:paraId="6F505CC1" w14:textId="77777777" w:rsidR="003665BE" w:rsidRDefault="003665BE" w:rsidP="00011964">
      <w:pPr>
        <w:pStyle w:val="Textonotaalfinal"/>
      </w:pPr>
      <w:r>
        <w:rPr>
          <w:rStyle w:val="Hipervnculo"/>
        </w:rPr>
        <w:tab/>
      </w:r>
      <w:r w:rsidRPr="00154216">
        <w:rPr>
          <w:rStyle w:val="Refdenotaalfinal"/>
        </w:rPr>
        <w:endnoteRef/>
      </w:r>
      <w:r w:rsidRPr="00154216">
        <w:rPr>
          <w:rStyle w:val="Refdenotaalfinal"/>
        </w:rPr>
        <w:tab/>
      </w:r>
      <w:proofErr w:type="spellStart"/>
      <w:r w:rsidRPr="00193DD1">
        <w:rPr>
          <w:rStyle w:val="Hipervnculo"/>
        </w:rPr>
        <w:t>www.census.govt.nz</w:t>
      </w:r>
      <w:proofErr w:type="spellEnd"/>
      <w:r w:rsidRPr="00193DD1">
        <w:rPr>
          <w:rStyle w:val="Hipervnculo"/>
        </w:rPr>
        <w:t>/</w:t>
      </w:r>
      <w:proofErr w:type="spellStart"/>
      <w:r w:rsidRPr="00193DD1">
        <w:rPr>
          <w:rStyle w:val="Hipervnculo"/>
        </w:rPr>
        <w:t>support-resources</w:t>
      </w:r>
      <w:proofErr w:type="spellEnd"/>
      <w:r>
        <w:t xml:space="preserve">. </w:t>
      </w:r>
    </w:p>
  </w:endnote>
  <w:endnote w:id="242">
    <w:p w14:paraId="79034C2D"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See</w:t>
      </w:r>
      <w:proofErr w:type="spellEnd"/>
      <w:r>
        <w:t xml:space="preserve"> </w:t>
      </w:r>
      <w:r w:rsidRPr="00193DD1">
        <w:rPr>
          <w:rStyle w:val="Hipervnculo"/>
        </w:rPr>
        <w:t>www.stats.govt.nz/news/te-kupenga-2018-survey-of-maori-well-being-begins</w:t>
      </w:r>
      <w:r>
        <w:t>.</w:t>
      </w:r>
    </w:p>
  </w:endnote>
  <w:endnote w:id="243">
    <w:p w14:paraId="0E8E4220" w14:textId="77777777" w:rsidR="003665BE" w:rsidRDefault="003665BE" w:rsidP="00011964">
      <w:pPr>
        <w:pStyle w:val="Textonotaalfinal"/>
      </w:pPr>
      <w:r>
        <w:tab/>
      </w:r>
      <w:r w:rsidRPr="00154216">
        <w:rPr>
          <w:rStyle w:val="Refdenotaalfinal"/>
        </w:rPr>
        <w:endnoteRef/>
      </w:r>
      <w:r w:rsidRPr="00154216">
        <w:rPr>
          <w:rStyle w:val="Refdenotaalfinal"/>
        </w:rPr>
        <w:tab/>
      </w:r>
      <w:r>
        <w:t>‘</w:t>
      </w:r>
      <w:proofErr w:type="spellStart"/>
      <w:r>
        <w:t>Whaia</w:t>
      </w:r>
      <w:proofErr w:type="spellEnd"/>
      <w:r>
        <w:t xml:space="preserve"> te </w:t>
      </w:r>
      <w:proofErr w:type="spellStart"/>
      <w:r>
        <w:t>Ao</w:t>
      </w:r>
      <w:proofErr w:type="spellEnd"/>
      <w:r>
        <w:t xml:space="preserve"> </w:t>
      </w:r>
      <w:proofErr w:type="spellStart"/>
      <w:r>
        <w:t>Marama</w:t>
      </w:r>
      <w:proofErr w:type="spellEnd"/>
      <w:r>
        <w:t xml:space="preserve">’ in Te Reo </w:t>
      </w:r>
      <w:proofErr w:type="spellStart"/>
      <w:r>
        <w:t>means</w:t>
      </w:r>
      <w:proofErr w:type="spellEnd"/>
      <w:r>
        <w:t xml:space="preserve"> </w:t>
      </w:r>
      <w:proofErr w:type="spellStart"/>
      <w:r>
        <w:t>pursuing</w:t>
      </w:r>
      <w:proofErr w:type="spellEnd"/>
      <w:r>
        <w:t xml:space="preserve"> </w:t>
      </w:r>
      <w:proofErr w:type="spellStart"/>
      <w:r>
        <w:t>the</w:t>
      </w:r>
      <w:proofErr w:type="spellEnd"/>
      <w:r>
        <w:t xml:space="preserve"> </w:t>
      </w:r>
      <w:proofErr w:type="spellStart"/>
      <w:r>
        <w:t>world</w:t>
      </w:r>
      <w:proofErr w:type="spellEnd"/>
      <w:r>
        <w:t xml:space="preserve"> </w:t>
      </w:r>
      <w:proofErr w:type="spellStart"/>
      <w:r>
        <w:t>of</w:t>
      </w:r>
      <w:proofErr w:type="spellEnd"/>
      <w:r>
        <w:t xml:space="preserve"> </w:t>
      </w:r>
      <w:proofErr w:type="spellStart"/>
      <w:r>
        <w:t>enlightenment</w:t>
      </w:r>
      <w:proofErr w:type="spellEnd"/>
      <w:r>
        <w:t xml:space="preserve">. </w:t>
      </w:r>
      <w:proofErr w:type="spellStart"/>
      <w:r>
        <w:t>For</w:t>
      </w:r>
      <w:proofErr w:type="spellEnd"/>
      <w:r>
        <w:t xml:space="preserve"> </w:t>
      </w:r>
      <w:proofErr w:type="spellStart"/>
      <w:r>
        <w:t>the</w:t>
      </w:r>
      <w:proofErr w:type="spellEnd"/>
      <w:r>
        <w:t xml:space="preserve"> </w:t>
      </w:r>
      <w:proofErr w:type="spellStart"/>
      <w:r>
        <w:t>purposes</w:t>
      </w:r>
      <w:proofErr w:type="spellEnd"/>
      <w:r>
        <w:t xml:space="preserve"> </w:t>
      </w:r>
      <w:proofErr w:type="spellStart"/>
      <w:r>
        <w:t>of</w:t>
      </w:r>
      <w:proofErr w:type="spellEnd"/>
      <w:r>
        <w:t xml:space="preserve"> </w:t>
      </w:r>
      <w:proofErr w:type="spellStart"/>
      <w:r>
        <w:t>the</w:t>
      </w:r>
      <w:proofErr w:type="spellEnd"/>
      <w:r>
        <w:t xml:space="preserve"> plan, ‘</w:t>
      </w:r>
      <w:proofErr w:type="spellStart"/>
      <w:r>
        <w:t>Whāia</w:t>
      </w:r>
      <w:proofErr w:type="spellEnd"/>
      <w:r>
        <w:t xml:space="preserve"> te </w:t>
      </w:r>
      <w:proofErr w:type="spellStart"/>
      <w:r>
        <w:t>ao</w:t>
      </w:r>
      <w:proofErr w:type="spellEnd"/>
      <w:r>
        <w:t xml:space="preserve"> </w:t>
      </w:r>
      <w:proofErr w:type="spellStart"/>
      <w:r>
        <w:t>mārama</w:t>
      </w:r>
      <w:proofErr w:type="spellEnd"/>
      <w:r>
        <w:t xml:space="preserve">’ </w:t>
      </w:r>
      <w:proofErr w:type="spellStart"/>
      <w:r>
        <w:t>means</w:t>
      </w:r>
      <w:proofErr w:type="spellEnd"/>
      <w:r>
        <w:t xml:space="preserve"> </w:t>
      </w:r>
      <w:proofErr w:type="spellStart"/>
      <w:r>
        <w:t>to</w:t>
      </w:r>
      <w:proofErr w:type="spellEnd"/>
      <w:r>
        <w:t xml:space="preserve"> </w:t>
      </w:r>
      <w:proofErr w:type="spellStart"/>
      <w:r>
        <w:t>pursue</w:t>
      </w:r>
      <w:proofErr w:type="spellEnd"/>
      <w:r>
        <w:t xml:space="preserve"> and </w:t>
      </w:r>
      <w:proofErr w:type="spellStart"/>
      <w:r>
        <w:t>enable</w:t>
      </w:r>
      <w:proofErr w:type="spellEnd"/>
      <w:r>
        <w:t xml:space="preserve"> a </w:t>
      </w:r>
      <w:proofErr w:type="spellStart"/>
      <w:r>
        <w:t>good</w:t>
      </w:r>
      <w:proofErr w:type="spellEnd"/>
      <w:r>
        <w:t xml:space="preserve"> </w:t>
      </w:r>
      <w:proofErr w:type="spellStart"/>
      <w:r>
        <w:t>life</w:t>
      </w:r>
      <w:proofErr w:type="spellEnd"/>
      <w:r>
        <w:t xml:space="preserve"> </w:t>
      </w:r>
      <w:proofErr w:type="spellStart"/>
      <w:r>
        <w:t>that</w:t>
      </w:r>
      <w:proofErr w:type="spellEnd"/>
      <w:r>
        <w:t xml:space="preserve"> </w:t>
      </w:r>
      <w:proofErr w:type="spellStart"/>
      <w:r>
        <w:t>is</w:t>
      </w:r>
      <w:proofErr w:type="spellEnd"/>
      <w:r>
        <w:t xml:space="preserve"> </w:t>
      </w:r>
      <w:proofErr w:type="spellStart"/>
      <w:r>
        <w:t>self-determined</w:t>
      </w:r>
      <w:proofErr w:type="spellEnd"/>
      <w:r>
        <w:t xml:space="preserve">, </w:t>
      </w:r>
      <w:proofErr w:type="spellStart"/>
      <w:r>
        <w:t>through</w:t>
      </w:r>
      <w:proofErr w:type="spellEnd"/>
      <w:r>
        <w:t xml:space="preserve"> </w:t>
      </w:r>
      <w:proofErr w:type="spellStart"/>
      <w:r>
        <w:t>enlightened</w:t>
      </w:r>
      <w:proofErr w:type="spellEnd"/>
      <w:r>
        <w:t xml:space="preserve"> </w:t>
      </w:r>
      <w:proofErr w:type="spellStart"/>
      <w:r>
        <w:t>supports</w:t>
      </w:r>
      <w:proofErr w:type="spellEnd"/>
      <w:r>
        <w:t xml:space="preserve">. </w:t>
      </w:r>
      <w:proofErr w:type="spellStart"/>
      <w:r>
        <w:t>See</w:t>
      </w:r>
      <w:proofErr w:type="spellEnd"/>
      <w:r>
        <w:t xml:space="preserve"> </w:t>
      </w:r>
      <w:r w:rsidRPr="00193DD1">
        <w:rPr>
          <w:rStyle w:val="Hipervnculo"/>
        </w:rPr>
        <w:t>www.health.govt.nz/our-work/disability-services/maori-disability-support-services/te-ao-marama-group</w:t>
      </w:r>
      <w:r>
        <w:t>.</w:t>
      </w:r>
    </w:p>
  </w:endnote>
  <w:endnote w:id="244">
    <w:p w14:paraId="028B8F22" w14:textId="77777777" w:rsidR="003665BE" w:rsidRDefault="003665BE" w:rsidP="00011964">
      <w:pPr>
        <w:pStyle w:val="Textonotaalfinal"/>
        <w:rPr>
          <w:rStyle w:val="Hipervnculo"/>
        </w:rPr>
      </w:pPr>
      <w:r>
        <w:tab/>
      </w:r>
      <w:r w:rsidRPr="00154216">
        <w:rPr>
          <w:rStyle w:val="Refdenotaalfinal"/>
        </w:rPr>
        <w:endnoteRef/>
      </w:r>
      <w:r w:rsidRPr="00154216">
        <w:rPr>
          <w:rStyle w:val="Refdenotaalfinal"/>
        </w:rPr>
        <w:tab/>
      </w:r>
      <w:proofErr w:type="spellStart"/>
      <w:r>
        <w:t>See</w:t>
      </w:r>
      <w:proofErr w:type="spellEnd"/>
      <w:r>
        <w:t xml:space="preserve"> </w:t>
      </w:r>
      <w:r w:rsidRPr="00193DD1">
        <w:rPr>
          <w:rStyle w:val="Hipervnculo"/>
        </w:rPr>
        <w:t>www.health.govt.nz/news-media/news-items/demographic-report-published-clients-allocated-ministry-healths-disability-support-services</w:t>
      </w:r>
      <w:r>
        <w:t xml:space="preserve">. </w:t>
      </w:r>
    </w:p>
  </w:endnote>
  <w:endnote w:id="245">
    <w:p w14:paraId="3EFEC619" w14:textId="77777777" w:rsidR="003665BE" w:rsidRDefault="003665BE" w:rsidP="00011964">
      <w:pPr>
        <w:pStyle w:val="Textonotaalfinal"/>
      </w:pPr>
      <w:r>
        <w:tab/>
      </w:r>
      <w:r w:rsidRPr="00154216">
        <w:rPr>
          <w:rStyle w:val="Refdenotaalfinal"/>
        </w:rPr>
        <w:endnoteRef/>
      </w:r>
      <w:r w:rsidRPr="00154216">
        <w:rPr>
          <w:rStyle w:val="Refdenotaalfinal"/>
        </w:rPr>
        <w:tab/>
      </w:r>
      <w:proofErr w:type="spellStart"/>
      <w:r>
        <w:t>These</w:t>
      </w:r>
      <w:proofErr w:type="spellEnd"/>
      <w:r>
        <w:t xml:space="preserve"> </w:t>
      </w:r>
      <w:proofErr w:type="spellStart"/>
      <w:r>
        <w:t>six</w:t>
      </w:r>
      <w:proofErr w:type="spellEnd"/>
      <w:r>
        <w:t xml:space="preserve"> </w:t>
      </w:r>
      <w:proofErr w:type="spellStart"/>
      <w:r>
        <w:t>key</w:t>
      </w:r>
      <w:proofErr w:type="spellEnd"/>
      <w:r>
        <w:t xml:space="preserve"> </w:t>
      </w:r>
      <w:proofErr w:type="spellStart"/>
      <w:r>
        <w:t>issues</w:t>
      </w:r>
      <w:proofErr w:type="spellEnd"/>
      <w:r>
        <w:t xml:space="preserve"> </w:t>
      </w:r>
      <w:proofErr w:type="spellStart"/>
      <w:r>
        <w:t>were</w:t>
      </w:r>
      <w:proofErr w:type="spellEnd"/>
      <w:r>
        <w:t xml:space="preserve"> </w:t>
      </w:r>
      <w:proofErr w:type="spellStart"/>
      <w:r>
        <w:t>identified</w:t>
      </w:r>
      <w:proofErr w:type="spellEnd"/>
      <w:r>
        <w:t xml:space="preserve"> </w:t>
      </w:r>
      <w:proofErr w:type="spellStart"/>
      <w:r>
        <w:t>by</w:t>
      </w:r>
      <w:proofErr w:type="spellEnd"/>
      <w:r>
        <w:t xml:space="preserve"> </w:t>
      </w:r>
      <w:proofErr w:type="spellStart"/>
      <w:r>
        <w:t>the</w:t>
      </w:r>
      <w:proofErr w:type="spellEnd"/>
      <w:r>
        <w:t xml:space="preserve"> </w:t>
      </w:r>
      <w:proofErr w:type="spellStart"/>
      <w:r>
        <w:t>Independent</w:t>
      </w:r>
      <w:proofErr w:type="spellEnd"/>
      <w:r>
        <w:t xml:space="preserve"> </w:t>
      </w:r>
      <w:proofErr w:type="spellStart"/>
      <w:r>
        <w:t>Monitoring</w:t>
      </w:r>
      <w:proofErr w:type="spellEnd"/>
      <w:r>
        <w:t xml:space="preserve"> </w:t>
      </w:r>
      <w:proofErr w:type="spellStart"/>
      <w:r>
        <w:t>Mechanism</w:t>
      </w:r>
      <w:proofErr w:type="spellEnd"/>
      <w:r>
        <w:t xml:space="preserve"> in </w:t>
      </w:r>
      <w:proofErr w:type="spellStart"/>
      <w:r>
        <w:t>their</w:t>
      </w:r>
      <w:proofErr w:type="spellEnd"/>
      <w:r>
        <w:t xml:space="preserve"> </w:t>
      </w:r>
      <w:proofErr w:type="spellStart"/>
      <w:r>
        <w:t>report</w:t>
      </w:r>
      <w:proofErr w:type="spellEnd"/>
      <w:r>
        <w:t xml:space="preserve"> </w:t>
      </w:r>
      <w:proofErr w:type="spellStart"/>
      <w:r>
        <w:t>to</w:t>
      </w:r>
      <w:proofErr w:type="spellEnd"/>
      <w:r>
        <w:t xml:space="preserve"> </w:t>
      </w:r>
      <w:proofErr w:type="spellStart"/>
      <w:r>
        <w:t>the</w:t>
      </w:r>
      <w:proofErr w:type="spellEnd"/>
      <w:r>
        <w:t xml:space="preserve"> </w:t>
      </w:r>
      <w:proofErr w:type="spellStart"/>
      <w:r>
        <w:t>Committee</w:t>
      </w:r>
      <w:proofErr w:type="spellEnd"/>
      <w:r>
        <w:t xml:space="preserve"> (</w:t>
      </w:r>
      <w:proofErr w:type="spellStart"/>
      <w:r>
        <w:t>November</w:t>
      </w:r>
      <w:proofErr w:type="spellEnd"/>
      <w:r>
        <w:t xml:space="preserve"> 2017) </w:t>
      </w:r>
      <w:r w:rsidRPr="005D4651">
        <w:rPr>
          <w:rStyle w:val="Hipervnculo"/>
        </w:rPr>
        <w:t>www.hrc.co.nz/your-rights/people-disabilities/our-work/making-disability-rights-real/</w:t>
      </w:r>
      <w:r>
        <w:t>.</w:t>
      </w:r>
    </w:p>
  </w:endnote>
  <w:endnote w:id="246">
    <w:p w14:paraId="4F027025" w14:textId="77777777" w:rsidR="003665BE" w:rsidRPr="00EA0651" w:rsidRDefault="003665BE" w:rsidP="00011964">
      <w:pPr>
        <w:pStyle w:val="Textonotaalfinal"/>
        <w:rPr>
          <w:lang w:val="en-NZ"/>
        </w:rPr>
      </w:pPr>
      <w:r>
        <w:tab/>
      </w:r>
      <w:r w:rsidRPr="00154216">
        <w:rPr>
          <w:rStyle w:val="Refdenotaalfinal"/>
        </w:rPr>
        <w:endnoteRef/>
      </w:r>
      <w:r w:rsidRPr="00154216">
        <w:rPr>
          <w:rStyle w:val="Refdenotaalfinal"/>
        </w:rPr>
        <w:t xml:space="preserve"> </w:t>
      </w:r>
      <w:r>
        <w:tab/>
      </w:r>
      <w:proofErr w:type="spellStart"/>
      <w:r>
        <w:t>The</w:t>
      </w:r>
      <w:proofErr w:type="spellEnd"/>
      <w:r>
        <w:t xml:space="preserve"> Human </w:t>
      </w:r>
      <w:proofErr w:type="spellStart"/>
      <w:r>
        <w:t>Rights</w:t>
      </w:r>
      <w:proofErr w:type="spellEnd"/>
      <w:r>
        <w:t xml:space="preserve"> </w:t>
      </w:r>
      <w:proofErr w:type="spellStart"/>
      <w:r>
        <w:t>Commission</w:t>
      </w:r>
      <w:proofErr w:type="spellEnd"/>
      <w:r>
        <w:t xml:space="preserve"> </w:t>
      </w:r>
      <w:proofErr w:type="spellStart"/>
      <w:r w:rsidRPr="00237D85">
        <w:t>is</w:t>
      </w:r>
      <w:proofErr w:type="spellEnd"/>
      <w:r w:rsidRPr="00237D85">
        <w:t xml:space="preserve"> a </w:t>
      </w:r>
      <w:proofErr w:type="spellStart"/>
      <w:r w:rsidRPr="00237D85">
        <w:t>national</w:t>
      </w:r>
      <w:proofErr w:type="spellEnd"/>
      <w:r w:rsidRPr="00237D85">
        <w:t xml:space="preserve"> </w:t>
      </w:r>
      <w:proofErr w:type="spellStart"/>
      <w:r w:rsidRPr="00237D85">
        <w:t>institution</w:t>
      </w:r>
      <w:proofErr w:type="spellEnd"/>
      <w:r w:rsidRPr="00237D85">
        <w:t xml:space="preserve"> </w:t>
      </w:r>
      <w:proofErr w:type="spellStart"/>
      <w:r w:rsidRPr="00237D85">
        <w:t>for</w:t>
      </w:r>
      <w:proofErr w:type="spellEnd"/>
      <w:r w:rsidRPr="00237D85">
        <w:t xml:space="preserve"> </w:t>
      </w:r>
      <w:proofErr w:type="spellStart"/>
      <w:r w:rsidRPr="00237D85">
        <w:t>the</w:t>
      </w:r>
      <w:proofErr w:type="spellEnd"/>
      <w:r w:rsidRPr="00237D85">
        <w:t xml:space="preserve"> </w:t>
      </w:r>
      <w:proofErr w:type="spellStart"/>
      <w:r w:rsidRPr="00237D85">
        <w:t>protection</w:t>
      </w:r>
      <w:proofErr w:type="spellEnd"/>
      <w:r w:rsidRPr="00237D85">
        <w:t xml:space="preserve"> and </w:t>
      </w:r>
      <w:proofErr w:type="spellStart"/>
      <w:r w:rsidRPr="00237D85">
        <w:t>promotion</w:t>
      </w:r>
      <w:proofErr w:type="spellEnd"/>
      <w:r w:rsidRPr="00237D85">
        <w:t xml:space="preserve"> </w:t>
      </w:r>
      <w:proofErr w:type="spellStart"/>
      <w:r w:rsidRPr="00237D85">
        <w:t>of</w:t>
      </w:r>
      <w:proofErr w:type="spellEnd"/>
      <w:r w:rsidRPr="00237D85">
        <w:t xml:space="preserve"> human </w:t>
      </w:r>
      <w:proofErr w:type="spellStart"/>
      <w:r w:rsidRPr="00237D85">
        <w:t>rights</w:t>
      </w:r>
      <w:proofErr w:type="spellEnd"/>
      <w:r w:rsidRPr="00237D85">
        <w:t xml:space="preserve"> </w:t>
      </w:r>
      <w:proofErr w:type="spellStart"/>
      <w:r w:rsidRPr="00237D85">
        <w:t>consi</w:t>
      </w:r>
      <w:r>
        <w:t>stent</w:t>
      </w:r>
      <w:proofErr w:type="spellEnd"/>
      <w:r>
        <w:t xml:space="preserve"> </w:t>
      </w:r>
      <w:proofErr w:type="spellStart"/>
      <w:r>
        <w:t>with</w:t>
      </w:r>
      <w:proofErr w:type="spellEnd"/>
      <w:r>
        <w:t xml:space="preserve"> </w:t>
      </w:r>
      <w:proofErr w:type="spellStart"/>
      <w:r>
        <w:t>the</w:t>
      </w:r>
      <w:proofErr w:type="spellEnd"/>
      <w:r>
        <w:t xml:space="preserve"> Paris </w:t>
      </w:r>
      <w:proofErr w:type="spellStart"/>
      <w:r>
        <w:t>Principles</w:t>
      </w:r>
      <w:proofErr w:type="spellEnd"/>
      <w:r>
        <w:t>.</w:t>
      </w:r>
    </w:p>
  </w:endnote>
  <w:endnote w:id="247">
    <w:p w14:paraId="2B951BBA" w14:textId="77777777" w:rsidR="003665BE" w:rsidRPr="007B5330" w:rsidRDefault="003665BE" w:rsidP="00011964">
      <w:pPr>
        <w:pStyle w:val="Textonotaalfinal"/>
      </w:pPr>
      <w:r w:rsidRPr="00DF5574">
        <w:tab/>
      </w:r>
      <w:r w:rsidRPr="00154216">
        <w:rPr>
          <w:rStyle w:val="Refdenotaalfinal"/>
        </w:rPr>
        <w:endnoteRef/>
      </w:r>
      <w:r w:rsidRPr="00154216">
        <w:rPr>
          <w:rStyle w:val="Refdenotaalfinal"/>
        </w:rPr>
        <w:tab/>
      </w:r>
      <w:proofErr w:type="spellStart"/>
      <w:r w:rsidRPr="00044A41">
        <w:t>See</w:t>
      </w:r>
      <w:proofErr w:type="spellEnd"/>
      <w:r w:rsidRPr="00044A41">
        <w:t xml:space="preserve"> </w:t>
      </w:r>
      <w:proofErr w:type="spellStart"/>
      <w:r w:rsidRPr="00044A41">
        <w:t>report</w:t>
      </w:r>
      <w:proofErr w:type="spellEnd"/>
      <w:r w:rsidRPr="00044A41">
        <w:t xml:space="preserve"> </w:t>
      </w:r>
      <w:proofErr w:type="spellStart"/>
      <w:r w:rsidRPr="00044A41">
        <w:t>here</w:t>
      </w:r>
      <w:proofErr w:type="spellEnd"/>
      <w:r w:rsidRPr="00044A41">
        <w:t xml:space="preserve">: </w:t>
      </w:r>
      <w:r w:rsidRPr="005D4651">
        <w:rPr>
          <w:rStyle w:val="Hipervnculo"/>
        </w:rPr>
        <w:t>www.odi.govt.nz/united-nations-convention-on-the-rights-of-persons-with-disabilities/nzs-monitoring-framework/report-on-the-review-of-disabled-people-led-monitoring/</w:t>
      </w:r>
      <w:r w:rsidRPr="00044A41">
        <w:t xml:space="preserve">. </w:t>
      </w:r>
    </w:p>
  </w:endnote>
  <w:endnote w:id="248">
    <w:p w14:paraId="125571B6" w14:textId="77777777" w:rsidR="003665BE" w:rsidRDefault="003665BE" w:rsidP="00011964">
      <w:pPr>
        <w:pStyle w:val="Textonotaalfinal"/>
        <w:rPr>
          <w:rStyle w:val="Hipervnculo"/>
        </w:rPr>
      </w:pPr>
      <w:r w:rsidRPr="00044A41">
        <w:tab/>
      </w:r>
      <w:r w:rsidRPr="00154216">
        <w:rPr>
          <w:rStyle w:val="Refdenotaalfinal"/>
        </w:rPr>
        <w:endnoteRef/>
      </w:r>
      <w:r w:rsidRPr="00154216">
        <w:rPr>
          <w:rStyle w:val="Refdenotaalfinal"/>
        </w:rPr>
        <w:tab/>
      </w:r>
      <w:proofErr w:type="spellStart"/>
      <w:r w:rsidRPr="00044A41">
        <w:t>See</w:t>
      </w:r>
      <w:proofErr w:type="spellEnd"/>
      <w:r w:rsidRPr="00044A41">
        <w:t xml:space="preserve"> </w:t>
      </w:r>
      <w:r w:rsidRPr="005D4651">
        <w:rPr>
          <w:rStyle w:val="Hipervnculo"/>
        </w:rPr>
        <w:t>www.odi.govt.nz/united-nations-convention-on-the-rights-of-persons-with-disabilities/nzs-monitoring-framework/monitoring-reports-and-responses/reports-from-imm-and-responses-from-government/</w:t>
      </w:r>
      <w:r w:rsidRPr="00044A41">
        <w:t>.</w:t>
      </w:r>
    </w:p>
    <w:p w14:paraId="72F7FD00" w14:textId="77777777" w:rsidR="003665BE" w:rsidRPr="00820EE3" w:rsidRDefault="003665BE" w:rsidP="00154216">
      <w:pPr>
        <w:jc w:val="center"/>
        <w:rPr>
          <w:lang w:val="en-NZ"/>
        </w:rPr>
      </w:pPr>
      <w:r w:rsidRPr="00044A41">
        <w:rPr>
          <w:u w:val="single"/>
        </w:rPr>
        <w:tab/>
      </w:r>
      <w:r w:rsidRPr="00044A41">
        <w:rPr>
          <w:u w:val="single"/>
        </w:rPr>
        <w:tab/>
      </w:r>
      <w:r w:rsidRPr="00044A41">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CBBBA" w14:textId="77777777" w:rsidR="003665BE" w:rsidRPr="00CD5651" w:rsidRDefault="003665BE" w:rsidP="00CD5651">
    <w:pPr>
      <w:pStyle w:val="Piedepgina"/>
      <w:tabs>
        <w:tab w:val="right" w:pos="9638"/>
      </w:tabs>
    </w:pPr>
    <w:r w:rsidRPr="00CD5651">
      <w:rPr>
        <w:b/>
        <w:sz w:val="18"/>
      </w:rPr>
      <w:fldChar w:fldCharType="begin"/>
    </w:r>
    <w:r w:rsidRPr="00CD5651">
      <w:rPr>
        <w:b/>
        <w:sz w:val="18"/>
      </w:rPr>
      <w:instrText xml:space="preserve"> PAGE  \* MERGEFORMAT </w:instrText>
    </w:r>
    <w:r w:rsidRPr="00CD5651">
      <w:rPr>
        <w:b/>
        <w:sz w:val="18"/>
      </w:rPr>
      <w:fldChar w:fldCharType="separate"/>
    </w:r>
    <w:r w:rsidRPr="00CD5651">
      <w:rPr>
        <w:b/>
        <w:noProof/>
        <w:sz w:val="18"/>
      </w:rPr>
      <w:t>2</w:t>
    </w:r>
    <w:r w:rsidRPr="00CD5651">
      <w:rPr>
        <w:b/>
        <w:sz w:val="18"/>
      </w:rPr>
      <w:fldChar w:fldCharType="end"/>
    </w:r>
    <w:r>
      <w:rPr>
        <w:b/>
        <w:sz w:val="18"/>
      </w:rPr>
      <w:tab/>
    </w:r>
    <w:proofErr w:type="spellStart"/>
    <w:r>
      <w:t>GE.19</w:t>
    </w:r>
    <w:proofErr w:type="spellEnd"/>
    <w:r>
      <w:t>-17580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44C22" w14:textId="77777777" w:rsidR="003665BE" w:rsidRPr="00CD5651" w:rsidRDefault="003665BE" w:rsidP="00CD5651">
    <w:pPr>
      <w:pStyle w:val="Piedepgina"/>
      <w:tabs>
        <w:tab w:val="right" w:pos="9638"/>
      </w:tabs>
      <w:rPr>
        <w:b/>
        <w:sz w:val="18"/>
      </w:rPr>
    </w:pPr>
    <w:proofErr w:type="spellStart"/>
    <w:r>
      <w:t>GE.19</w:t>
    </w:r>
    <w:proofErr w:type="spellEnd"/>
    <w:r>
      <w:t>-17580</w:t>
    </w:r>
    <w:r>
      <w:tab/>
    </w:r>
    <w:r w:rsidRPr="00CD5651">
      <w:rPr>
        <w:b/>
        <w:sz w:val="18"/>
      </w:rPr>
      <w:fldChar w:fldCharType="begin"/>
    </w:r>
    <w:r w:rsidRPr="00CD5651">
      <w:rPr>
        <w:b/>
        <w:sz w:val="18"/>
      </w:rPr>
      <w:instrText xml:space="preserve"> PAGE  \* MERGEFORMAT </w:instrText>
    </w:r>
    <w:r w:rsidRPr="00CD5651">
      <w:rPr>
        <w:b/>
        <w:sz w:val="18"/>
      </w:rPr>
      <w:fldChar w:fldCharType="separate"/>
    </w:r>
    <w:r w:rsidRPr="00CD5651">
      <w:rPr>
        <w:b/>
        <w:noProof/>
        <w:sz w:val="18"/>
      </w:rPr>
      <w:t>3</w:t>
    </w:r>
    <w:r w:rsidRPr="00CD56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1B83A" w14:textId="77777777" w:rsidR="003665BE" w:rsidRPr="00CD5651" w:rsidRDefault="003665BE" w:rsidP="00CD5651">
    <w:pPr>
      <w:pStyle w:val="Piedepgina"/>
      <w:spacing w:before="120" w:line="240" w:lineRule="auto"/>
      <w:rPr>
        <w:sz w:val="20"/>
      </w:rPr>
    </w:pPr>
    <w:proofErr w:type="spellStart"/>
    <w:r>
      <w:rPr>
        <w:sz w:val="20"/>
      </w:rPr>
      <w:t>GE.</w:t>
    </w:r>
    <w:r>
      <w:rPr>
        <w:noProof/>
      </w:rPr>
      <w:drawing>
        <wp:anchor distT="0" distB="0" distL="114300" distR="114300" simplePos="0" relativeHeight="251660288" behindDoc="0" locked="1" layoutInCell="1" allowOverlap="1" wp14:anchorId="27A30C26" wp14:editId="3515D79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-17580 (S)    230120    270120</w:t>
    </w:r>
    <w:r>
      <w:rPr>
        <w:sz w:val="20"/>
      </w:rPr>
      <w:br/>
    </w:r>
    <w:r w:rsidRPr="00CD5651">
      <w:rPr>
        <w:rFonts w:ascii="C39T30Lfz" w:hAnsi="C39T30Lfz"/>
        <w:sz w:val="56"/>
      </w:rPr>
      <w:t></w:t>
    </w:r>
    <w:r w:rsidRPr="00CD5651">
      <w:rPr>
        <w:rFonts w:ascii="C39T30Lfz" w:hAnsi="C39T30Lfz"/>
        <w:sz w:val="56"/>
      </w:rPr>
      <w:t></w:t>
    </w:r>
    <w:r w:rsidRPr="00CD5651">
      <w:rPr>
        <w:rFonts w:ascii="C39T30Lfz" w:hAnsi="C39T30Lfz"/>
        <w:sz w:val="56"/>
      </w:rPr>
      <w:t></w:t>
    </w:r>
    <w:r w:rsidRPr="00CD5651">
      <w:rPr>
        <w:rFonts w:ascii="C39T30Lfz" w:hAnsi="C39T30Lfz"/>
        <w:sz w:val="56"/>
      </w:rPr>
      <w:t></w:t>
    </w:r>
    <w:r w:rsidRPr="00CD5651">
      <w:rPr>
        <w:rFonts w:ascii="C39T30Lfz" w:hAnsi="C39T30Lfz"/>
        <w:sz w:val="56"/>
      </w:rPr>
      <w:t></w:t>
    </w:r>
    <w:r w:rsidRPr="00CD5651">
      <w:rPr>
        <w:rFonts w:ascii="C39T30Lfz" w:hAnsi="C39T30Lfz"/>
        <w:sz w:val="56"/>
      </w:rPr>
      <w:t></w:t>
    </w:r>
    <w:r w:rsidRPr="00CD5651">
      <w:rPr>
        <w:rFonts w:ascii="C39T30Lfz" w:hAnsi="C39T30Lfz"/>
        <w:sz w:val="56"/>
      </w:rPr>
      <w:t></w:t>
    </w:r>
    <w:r w:rsidRPr="00CD5651">
      <w:rPr>
        <w:rFonts w:ascii="C39T30Lfz" w:hAnsi="C39T30Lfz"/>
        <w:sz w:val="56"/>
      </w:rPr>
      <w:t></w:t>
    </w:r>
    <w:r w:rsidRPr="00CD5651">
      <w:rPr>
        <w:rFonts w:ascii="C39T30Lfz" w:hAnsi="C39T30Lfz"/>
        <w:sz w:val="56"/>
      </w:rPr>
      <w:t></w:t>
    </w:r>
    <w:r>
      <w:rPr>
        <w:noProof/>
        <w:sz w:val="20"/>
      </w:rPr>
      <w:drawing>
        <wp:anchor distT="0" distB="0" distL="114300" distR="114300" simplePos="0" relativeHeight="251658752" behindDoc="0" locked="0" layoutInCell="1" allowOverlap="1" wp14:anchorId="21FD524B" wp14:editId="0E4AB9D3">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NZL/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NZL/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61F98" w14:textId="77777777" w:rsidR="003665BE" w:rsidRPr="001075E9" w:rsidRDefault="003665BE" w:rsidP="001075E9">
      <w:pPr>
        <w:tabs>
          <w:tab w:val="right" w:pos="2155"/>
        </w:tabs>
        <w:spacing w:after="80" w:line="240" w:lineRule="auto"/>
        <w:ind w:left="680"/>
        <w:rPr>
          <w:u w:val="single"/>
        </w:rPr>
      </w:pPr>
      <w:r>
        <w:rPr>
          <w:u w:val="single"/>
        </w:rPr>
        <w:tab/>
      </w:r>
    </w:p>
  </w:footnote>
  <w:footnote w:type="continuationSeparator" w:id="0">
    <w:p w14:paraId="24DC0E9F" w14:textId="77777777" w:rsidR="003665BE" w:rsidRDefault="003665BE" w:rsidP="0071316C">
      <w:pPr>
        <w:tabs>
          <w:tab w:val="right" w:pos="2155"/>
        </w:tabs>
        <w:spacing w:after="80" w:line="240" w:lineRule="auto"/>
        <w:ind w:left="680"/>
        <w:rPr>
          <w:u w:val="single"/>
        </w:rPr>
      </w:pPr>
      <w:r>
        <w:rPr>
          <w:u w:val="single"/>
        </w:rPr>
        <w:tab/>
      </w:r>
    </w:p>
  </w:footnote>
  <w:footnote w:id="1">
    <w:p w14:paraId="63C79E6E" w14:textId="77777777" w:rsidR="003665BE" w:rsidRPr="00154216" w:rsidRDefault="003665BE" w:rsidP="00154216">
      <w:pPr>
        <w:pStyle w:val="Textonotapie"/>
        <w:rPr>
          <w:sz w:val="20"/>
        </w:rPr>
      </w:pPr>
      <w:r>
        <w:tab/>
      </w:r>
      <w:r w:rsidRPr="00154216">
        <w:rPr>
          <w:rStyle w:val="Refdenotaalpie"/>
          <w:sz w:val="20"/>
          <w:vertAlign w:val="baseline"/>
        </w:rPr>
        <w:t>*</w:t>
      </w:r>
      <w:r w:rsidRPr="00154216">
        <w:rPr>
          <w:rStyle w:val="Refdenotaalpie"/>
          <w:vertAlign w:val="baseline"/>
        </w:rPr>
        <w:tab/>
      </w:r>
      <w:r w:rsidRPr="00447E97">
        <w:rPr>
          <w:lang w:val="es-ES_tradnl"/>
        </w:rPr>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90C41" w14:textId="5D3C9AF5" w:rsidR="003665BE" w:rsidRPr="00CD5651" w:rsidRDefault="003665BE">
    <w:pPr>
      <w:pStyle w:val="Encabezado"/>
    </w:pPr>
    <w:r>
      <w:fldChar w:fldCharType="begin"/>
    </w:r>
    <w:r>
      <w:instrText xml:space="preserve"> TITLE  \* MERGEFORMAT </w:instrText>
    </w:r>
    <w:r>
      <w:fldChar w:fldCharType="separate"/>
    </w:r>
    <w:proofErr w:type="spellStart"/>
    <w:r w:rsidR="00861792">
      <w:t>CRPD</w:t>
    </w:r>
    <w:proofErr w:type="spellEnd"/>
    <w:r w:rsidR="00861792">
      <w:t>/C/</w:t>
    </w:r>
    <w:proofErr w:type="spellStart"/>
    <w:r w:rsidR="00861792">
      <w:t>NZL</w:t>
    </w:r>
    <w:proofErr w:type="spellEnd"/>
    <w:r w:rsidR="00861792">
      <w:t>/2-3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E92BA" w14:textId="3070A329" w:rsidR="003665BE" w:rsidRPr="00CD5651" w:rsidRDefault="003665BE" w:rsidP="00CD5651">
    <w:pPr>
      <w:pStyle w:val="Encabezado"/>
      <w:jc w:val="right"/>
    </w:pPr>
    <w:r>
      <w:fldChar w:fldCharType="begin"/>
    </w:r>
    <w:r>
      <w:instrText xml:space="preserve"> TITLE  \* MERGEFORMAT </w:instrText>
    </w:r>
    <w:r>
      <w:fldChar w:fldCharType="separate"/>
    </w:r>
    <w:proofErr w:type="spellStart"/>
    <w:r w:rsidR="00861792">
      <w:t>CRPD</w:t>
    </w:r>
    <w:proofErr w:type="spellEnd"/>
    <w:r w:rsidR="00861792">
      <w:t>/C/</w:t>
    </w:r>
    <w:proofErr w:type="spellStart"/>
    <w:r w:rsidR="00861792">
      <w:t>NZL</w:t>
    </w:r>
    <w:proofErr w:type="spellEnd"/>
    <w:r w:rsidR="00861792">
      <w:t>/2-3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047626"/>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CABE56F0"/>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58CCE0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AED0"/>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DE5E532E"/>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50B66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C6F4F4"/>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BE588C"/>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82A51C"/>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9808642"/>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4B7A0386"/>
    <w:lvl w:ilvl="0" w:tplc="6E8C67C2">
      <w:start w:val="1"/>
      <w:numFmt w:val="bullet"/>
      <w:pStyle w:val="Bullet2G"/>
      <w:lvlText w:val="•"/>
      <w:lvlJc w:val="left"/>
      <w:pPr>
        <w:tabs>
          <w:tab w:val="num" w:pos="2268"/>
        </w:tabs>
        <w:ind w:left="2268" w:hanging="170"/>
      </w:pPr>
      <w:rPr>
        <w:rFonts w:ascii="Times New Roman" w:hAnsi="Times New Roman" w:cs="Times New Roman" w:hint="default"/>
        <w:vertAlign w:val="base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7ED676AC"/>
    <w:lvl w:ilvl="0" w:tplc="267E02A8">
      <w:start w:val="1"/>
      <w:numFmt w:val="bullet"/>
      <w:pStyle w:val="Bullet1G"/>
      <w:lvlText w:val="•"/>
      <w:lvlJc w:val="left"/>
      <w:pPr>
        <w:tabs>
          <w:tab w:val="num" w:pos="1701"/>
        </w:tabs>
        <w:ind w:left="1701" w:hanging="170"/>
      </w:pPr>
      <w:rPr>
        <w:rFonts w:ascii="Times New Roman" w:hAnsi="Times New Roman" w:cs="Times New Roman" w:hint="default"/>
        <w:vertAlign w:val="base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0"/>
  </w:num>
  <w:num w:numId="2">
    <w:abstractNumId w:val="16"/>
  </w:num>
  <w:num w:numId="3">
    <w:abstractNumId w:val="13"/>
  </w:num>
  <w:num w:numId="4">
    <w:abstractNumId w:val="11"/>
  </w:num>
  <w:num w:numId="5">
    <w:abstractNumId w:val="15"/>
  </w:num>
  <w:num w:numId="6">
    <w:abstractNumId w:val="14"/>
  </w:num>
  <w:num w:numId="7">
    <w:abstractNumId w:val="12"/>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F034D"/>
    <w:rsid w:val="00006BB9"/>
    <w:rsid w:val="00011964"/>
    <w:rsid w:val="000221D5"/>
    <w:rsid w:val="000341FE"/>
    <w:rsid w:val="00042677"/>
    <w:rsid w:val="00046E43"/>
    <w:rsid w:val="000A36A2"/>
    <w:rsid w:val="000B53F5"/>
    <w:rsid w:val="000B57E7"/>
    <w:rsid w:val="000D6EAF"/>
    <w:rsid w:val="000E4161"/>
    <w:rsid w:val="000F09DF"/>
    <w:rsid w:val="000F61B2"/>
    <w:rsid w:val="0010629D"/>
    <w:rsid w:val="001075E9"/>
    <w:rsid w:val="00114E26"/>
    <w:rsid w:val="00154216"/>
    <w:rsid w:val="001571CC"/>
    <w:rsid w:val="00160FF7"/>
    <w:rsid w:val="0016400B"/>
    <w:rsid w:val="001762F4"/>
    <w:rsid w:val="00180183"/>
    <w:rsid w:val="00193DD1"/>
    <w:rsid w:val="00194A66"/>
    <w:rsid w:val="00196389"/>
    <w:rsid w:val="001B0E29"/>
    <w:rsid w:val="001B1172"/>
    <w:rsid w:val="001C7A89"/>
    <w:rsid w:val="001D5978"/>
    <w:rsid w:val="001E0575"/>
    <w:rsid w:val="001E179A"/>
    <w:rsid w:val="002172D2"/>
    <w:rsid w:val="0022765D"/>
    <w:rsid w:val="00257234"/>
    <w:rsid w:val="002A061F"/>
    <w:rsid w:val="002A2EFC"/>
    <w:rsid w:val="002A6FA7"/>
    <w:rsid w:val="002C0E18"/>
    <w:rsid w:val="002C33BB"/>
    <w:rsid w:val="002D2974"/>
    <w:rsid w:val="002D5AAC"/>
    <w:rsid w:val="002F13FE"/>
    <w:rsid w:val="00301299"/>
    <w:rsid w:val="003018B0"/>
    <w:rsid w:val="00316A79"/>
    <w:rsid w:val="00321F9E"/>
    <w:rsid w:val="00322004"/>
    <w:rsid w:val="003402C2"/>
    <w:rsid w:val="003451B1"/>
    <w:rsid w:val="003665BE"/>
    <w:rsid w:val="00372457"/>
    <w:rsid w:val="003742F5"/>
    <w:rsid w:val="00381C24"/>
    <w:rsid w:val="003958D0"/>
    <w:rsid w:val="003977DE"/>
    <w:rsid w:val="003B6D6D"/>
    <w:rsid w:val="003E1F6E"/>
    <w:rsid w:val="004464EE"/>
    <w:rsid w:val="00454E07"/>
    <w:rsid w:val="004875CF"/>
    <w:rsid w:val="004D1885"/>
    <w:rsid w:val="004E4B46"/>
    <w:rsid w:val="004F4E8D"/>
    <w:rsid w:val="0050108D"/>
    <w:rsid w:val="00506013"/>
    <w:rsid w:val="00507847"/>
    <w:rsid w:val="0056415C"/>
    <w:rsid w:val="0057067F"/>
    <w:rsid w:val="00572E19"/>
    <w:rsid w:val="0057411A"/>
    <w:rsid w:val="005B6667"/>
    <w:rsid w:val="005C09D4"/>
    <w:rsid w:val="005D4651"/>
    <w:rsid w:val="005D4E88"/>
    <w:rsid w:val="005F0B42"/>
    <w:rsid w:val="00602D6A"/>
    <w:rsid w:val="00614642"/>
    <w:rsid w:val="006304C6"/>
    <w:rsid w:val="00655A21"/>
    <w:rsid w:val="0066164E"/>
    <w:rsid w:val="0067032E"/>
    <w:rsid w:val="006808A9"/>
    <w:rsid w:val="00686B09"/>
    <w:rsid w:val="006A28F6"/>
    <w:rsid w:val="006A446E"/>
    <w:rsid w:val="006A6863"/>
    <w:rsid w:val="006D3099"/>
    <w:rsid w:val="006E1835"/>
    <w:rsid w:val="006F35EE"/>
    <w:rsid w:val="007003AC"/>
    <w:rsid w:val="007021FF"/>
    <w:rsid w:val="00706DB1"/>
    <w:rsid w:val="007076CB"/>
    <w:rsid w:val="0071316C"/>
    <w:rsid w:val="00726C15"/>
    <w:rsid w:val="00763AC2"/>
    <w:rsid w:val="00767DDB"/>
    <w:rsid w:val="007709CC"/>
    <w:rsid w:val="0079341B"/>
    <w:rsid w:val="007967DF"/>
    <w:rsid w:val="007A33C4"/>
    <w:rsid w:val="00826230"/>
    <w:rsid w:val="00834B71"/>
    <w:rsid w:val="00844BE6"/>
    <w:rsid w:val="0085075B"/>
    <w:rsid w:val="00861792"/>
    <w:rsid w:val="008626C7"/>
    <w:rsid w:val="0086445C"/>
    <w:rsid w:val="00885453"/>
    <w:rsid w:val="008A08D7"/>
    <w:rsid w:val="008A13F9"/>
    <w:rsid w:val="008D5DB6"/>
    <w:rsid w:val="00906890"/>
    <w:rsid w:val="00911E66"/>
    <w:rsid w:val="00951972"/>
    <w:rsid w:val="00952284"/>
    <w:rsid w:val="00963777"/>
    <w:rsid w:val="009847E6"/>
    <w:rsid w:val="00993207"/>
    <w:rsid w:val="009B452A"/>
    <w:rsid w:val="009B4E5E"/>
    <w:rsid w:val="009D2588"/>
    <w:rsid w:val="00A17812"/>
    <w:rsid w:val="00A17DFD"/>
    <w:rsid w:val="00A3689F"/>
    <w:rsid w:val="00A71829"/>
    <w:rsid w:val="00A764E4"/>
    <w:rsid w:val="00A87614"/>
    <w:rsid w:val="00A917B3"/>
    <w:rsid w:val="00AA704D"/>
    <w:rsid w:val="00AB4B51"/>
    <w:rsid w:val="00AE4CC4"/>
    <w:rsid w:val="00B10CC7"/>
    <w:rsid w:val="00B14FED"/>
    <w:rsid w:val="00B1521B"/>
    <w:rsid w:val="00B37C3B"/>
    <w:rsid w:val="00B5520E"/>
    <w:rsid w:val="00B62458"/>
    <w:rsid w:val="00B834DC"/>
    <w:rsid w:val="00B9092D"/>
    <w:rsid w:val="00BD33EE"/>
    <w:rsid w:val="00BD37F7"/>
    <w:rsid w:val="00BE17D0"/>
    <w:rsid w:val="00C05D81"/>
    <w:rsid w:val="00C226A2"/>
    <w:rsid w:val="00C23886"/>
    <w:rsid w:val="00C26552"/>
    <w:rsid w:val="00C60F0C"/>
    <w:rsid w:val="00C615D7"/>
    <w:rsid w:val="00C6457C"/>
    <w:rsid w:val="00C6463B"/>
    <w:rsid w:val="00C76505"/>
    <w:rsid w:val="00C805C9"/>
    <w:rsid w:val="00C94626"/>
    <w:rsid w:val="00CA1679"/>
    <w:rsid w:val="00CD5651"/>
    <w:rsid w:val="00CD57DE"/>
    <w:rsid w:val="00CF034D"/>
    <w:rsid w:val="00CF0C07"/>
    <w:rsid w:val="00D128D6"/>
    <w:rsid w:val="00D23BF6"/>
    <w:rsid w:val="00D37C06"/>
    <w:rsid w:val="00D5042C"/>
    <w:rsid w:val="00D6447D"/>
    <w:rsid w:val="00D72CC0"/>
    <w:rsid w:val="00D80BBB"/>
    <w:rsid w:val="00D90138"/>
    <w:rsid w:val="00D9486C"/>
    <w:rsid w:val="00E060FE"/>
    <w:rsid w:val="00E50C33"/>
    <w:rsid w:val="00E56424"/>
    <w:rsid w:val="00E73F76"/>
    <w:rsid w:val="00E81A64"/>
    <w:rsid w:val="00E973E2"/>
    <w:rsid w:val="00E97F5F"/>
    <w:rsid w:val="00EA3A0D"/>
    <w:rsid w:val="00EB4352"/>
    <w:rsid w:val="00ED0DC1"/>
    <w:rsid w:val="00EE7321"/>
    <w:rsid w:val="00EF1360"/>
    <w:rsid w:val="00EF3220"/>
    <w:rsid w:val="00F3586A"/>
    <w:rsid w:val="00F44B33"/>
    <w:rsid w:val="00F51B18"/>
    <w:rsid w:val="00F7345D"/>
    <w:rsid w:val="00F94155"/>
    <w:rsid w:val="00FB5934"/>
    <w:rsid w:val="00FC2146"/>
    <w:rsid w:val="00FD2EF7"/>
    <w:rsid w:val="00FD4AD6"/>
    <w:rsid w:val="00FD7092"/>
    <w:rsid w:val="00FF1E5D"/>
    <w:rsid w:val="00FF6D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568709"/>
  <w15:docId w15:val="{FD2AFF62-8EA5-4431-A0CA-00D394D2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092"/>
    <w:pPr>
      <w:spacing w:line="240" w:lineRule="atLeast"/>
    </w:pPr>
    <w:rPr>
      <w:rFonts w:eastAsiaTheme="minorEastAsia"/>
      <w:lang w:val="es-ES" w:eastAsia="es-ES"/>
    </w:rPr>
  </w:style>
  <w:style w:type="paragraph" w:styleId="Ttulo1">
    <w:name w:val="heading 1"/>
    <w:aliases w:val="Cuadro_G"/>
    <w:basedOn w:val="SingleTxtG"/>
    <w:next w:val="SingleTxtG"/>
    <w:link w:val="Ttulo1Car"/>
    <w:qFormat/>
    <w:rsid w:val="00FD7092"/>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FD7092"/>
    <w:pPr>
      <w:keepNext/>
      <w:outlineLvl w:val="1"/>
    </w:pPr>
    <w:rPr>
      <w:rFonts w:cs="Arial"/>
      <w:bCs/>
      <w:iCs/>
      <w:szCs w:val="28"/>
    </w:rPr>
  </w:style>
  <w:style w:type="paragraph" w:styleId="Ttulo3">
    <w:name w:val="heading 3"/>
    <w:basedOn w:val="Normal"/>
    <w:next w:val="Normal"/>
    <w:link w:val="Ttulo3Car"/>
    <w:semiHidden/>
    <w:rsid w:val="00FD7092"/>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FD7092"/>
    <w:pPr>
      <w:keepNext/>
      <w:spacing w:before="240" w:after="60"/>
      <w:outlineLvl w:val="3"/>
    </w:pPr>
    <w:rPr>
      <w:b/>
      <w:bCs/>
      <w:sz w:val="28"/>
      <w:szCs w:val="28"/>
    </w:rPr>
  </w:style>
  <w:style w:type="paragraph" w:styleId="Ttulo5">
    <w:name w:val="heading 5"/>
    <w:basedOn w:val="Normal"/>
    <w:next w:val="Normal"/>
    <w:link w:val="Ttulo5Car"/>
    <w:semiHidden/>
    <w:rsid w:val="00FD7092"/>
    <w:pPr>
      <w:spacing w:before="240" w:after="60"/>
      <w:outlineLvl w:val="4"/>
    </w:pPr>
    <w:rPr>
      <w:b/>
      <w:bCs/>
      <w:i/>
      <w:iCs/>
      <w:sz w:val="26"/>
      <w:szCs w:val="26"/>
    </w:rPr>
  </w:style>
  <w:style w:type="paragraph" w:styleId="Ttulo6">
    <w:name w:val="heading 6"/>
    <w:basedOn w:val="Normal"/>
    <w:next w:val="Normal"/>
    <w:link w:val="Ttulo6Car"/>
    <w:semiHidden/>
    <w:rsid w:val="00FD7092"/>
    <w:pPr>
      <w:spacing w:before="240" w:after="60"/>
      <w:outlineLvl w:val="5"/>
    </w:pPr>
    <w:rPr>
      <w:b/>
      <w:bCs/>
      <w:sz w:val="22"/>
      <w:szCs w:val="22"/>
    </w:rPr>
  </w:style>
  <w:style w:type="paragraph" w:styleId="Ttulo7">
    <w:name w:val="heading 7"/>
    <w:basedOn w:val="Normal"/>
    <w:next w:val="Normal"/>
    <w:link w:val="Ttulo7Car"/>
    <w:semiHidden/>
    <w:rsid w:val="00FD7092"/>
    <w:pPr>
      <w:spacing w:before="240" w:after="60"/>
      <w:outlineLvl w:val="6"/>
    </w:pPr>
    <w:rPr>
      <w:sz w:val="24"/>
      <w:szCs w:val="24"/>
    </w:rPr>
  </w:style>
  <w:style w:type="paragraph" w:styleId="Ttulo8">
    <w:name w:val="heading 8"/>
    <w:basedOn w:val="Normal"/>
    <w:next w:val="Normal"/>
    <w:link w:val="Ttulo8Car"/>
    <w:semiHidden/>
    <w:rsid w:val="00FD7092"/>
    <w:pPr>
      <w:spacing w:before="240" w:after="60"/>
      <w:outlineLvl w:val="7"/>
    </w:pPr>
    <w:rPr>
      <w:i/>
      <w:iCs/>
      <w:sz w:val="24"/>
      <w:szCs w:val="24"/>
    </w:rPr>
  </w:style>
  <w:style w:type="paragraph" w:styleId="Ttulo9">
    <w:name w:val="heading 9"/>
    <w:basedOn w:val="Normal"/>
    <w:next w:val="Normal"/>
    <w:link w:val="Ttulo9Car"/>
    <w:semiHidden/>
    <w:rsid w:val="00FD709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FD7092"/>
    <w:rPr>
      <w:rFonts w:ascii="Times New Roman" w:hAnsi="Times New Roman"/>
      <w:sz w:val="18"/>
      <w:vertAlign w:val="superscript"/>
    </w:rPr>
  </w:style>
  <w:style w:type="paragraph" w:customStyle="1" w:styleId="HMG">
    <w:name w:val="_ H __M_G"/>
    <w:basedOn w:val="Normal"/>
    <w:next w:val="Normal"/>
    <w:qFormat/>
    <w:rsid w:val="00FD70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FD70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link w:val="H1GChar"/>
    <w:qFormat/>
    <w:rsid w:val="00FD70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FD70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FD70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FD7092"/>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FD7092"/>
    <w:pPr>
      <w:pBdr>
        <w:bottom w:val="single" w:sz="4" w:space="4" w:color="auto"/>
      </w:pBdr>
      <w:spacing w:line="240" w:lineRule="auto"/>
    </w:pPr>
    <w:rPr>
      <w:b/>
      <w:sz w:val="18"/>
    </w:rPr>
  </w:style>
  <w:style w:type="paragraph" w:customStyle="1" w:styleId="SingleTxtG">
    <w:name w:val="_ Single Txt_G"/>
    <w:basedOn w:val="Normal"/>
    <w:link w:val="SingleTxtGChar"/>
    <w:qFormat/>
    <w:rsid w:val="00FD7092"/>
    <w:pPr>
      <w:spacing w:after="120"/>
      <w:ind w:left="1134" w:right="1134"/>
      <w:jc w:val="both"/>
    </w:pPr>
  </w:style>
  <w:style w:type="paragraph" w:customStyle="1" w:styleId="SMG">
    <w:name w:val="__S_M_G"/>
    <w:basedOn w:val="Normal"/>
    <w:next w:val="Normal"/>
    <w:rsid w:val="00FD70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D7092"/>
    <w:pPr>
      <w:keepNext/>
      <w:keepLines/>
      <w:spacing w:before="240" w:after="240" w:line="580" w:lineRule="exact"/>
      <w:ind w:left="1134" w:right="1134"/>
    </w:pPr>
    <w:rPr>
      <w:b/>
      <w:sz w:val="56"/>
    </w:rPr>
  </w:style>
  <w:style w:type="paragraph" w:customStyle="1" w:styleId="SSG">
    <w:name w:val="__S_S_G"/>
    <w:basedOn w:val="Normal"/>
    <w:next w:val="Normal"/>
    <w:rsid w:val="00FD7092"/>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FD7092"/>
    <w:rPr>
      <w:sz w:val="16"/>
    </w:rPr>
  </w:style>
  <w:style w:type="paragraph" w:customStyle="1" w:styleId="XLargeG">
    <w:name w:val="__XLarge_G"/>
    <w:basedOn w:val="Normal"/>
    <w:next w:val="Normal"/>
    <w:rsid w:val="00FD7092"/>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FD7092"/>
    <w:pPr>
      <w:tabs>
        <w:tab w:val="right" w:pos="1021"/>
      </w:tabs>
      <w:spacing w:line="220" w:lineRule="exact"/>
      <w:ind w:left="1134" w:right="1134" w:hanging="1134"/>
    </w:pPr>
    <w:rPr>
      <w:sz w:val="18"/>
    </w:rPr>
  </w:style>
  <w:style w:type="table" w:styleId="Tablaconcuadrcula">
    <w:name w:val="Table Grid"/>
    <w:basedOn w:val="Tablanormal"/>
    <w:rsid w:val="00FD7092"/>
    <w:pPr>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FD7092"/>
    <w:pPr>
      <w:numPr>
        <w:numId w:val="5"/>
      </w:numPr>
    </w:pPr>
  </w:style>
  <w:style w:type="numbering" w:styleId="1ai">
    <w:name w:val="Outline List 1"/>
    <w:basedOn w:val="Sinlista"/>
    <w:semiHidden/>
    <w:rsid w:val="00FD7092"/>
    <w:pPr>
      <w:numPr>
        <w:numId w:val="6"/>
      </w:numPr>
    </w:pPr>
  </w:style>
  <w:style w:type="character" w:styleId="AcrnimoHTML">
    <w:name w:val="HTML Acronym"/>
    <w:basedOn w:val="Fuentedeprrafopredeter"/>
    <w:semiHidden/>
    <w:rsid w:val="00FD7092"/>
  </w:style>
  <w:style w:type="numbering" w:styleId="ArtculoSeccin">
    <w:name w:val="Outline List 3"/>
    <w:basedOn w:val="Sinlista"/>
    <w:semiHidden/>
    <w:rsid w:val="00FD7092"/>
    <w:pPr>
      <w:numPr>
        <w:numId w:val="7"/>
      </w:numPr>
    </w:pPr>
  </w:style>
  <w:style w:type="paragraph" w:styleId="Cierre">
    <w:name w:val="Closing"/>
    <w:basedOn w:val="Normal"/>
    <w:semiHidden/>
    <w:rsid w:val="00FD7092"/>
    <w:pPr>
      <w:ind w:left="4252"/>
    </w:pPr>
  </w:style>
  <w:style w:type="character" w:styleId="CitaHTML">
    <w:name w:val="HTML Cite"/>
    <w:semiHidden/>
    <w:rsid w:val="00FD7092"/>
    <w:rPr>
      <w:i/>
      <w:iCs/>
    </w:rPr>
  </w:style>
  <w:style w:type="character" w:styleId="CdigoHTML">
    <w:name w:val="HTML Code"/>
    <w:semiHidden/>
    <w:rsid w:val="00FD7092"/>
    <w:rPr>
      <w:rFonts w:ascii="Courier New" w:hAnsi="Courier New" w:cs="Courier New"/>
      <w:sz w:val="20"/>
      <w:szCs w:val="20"/>
    </w:rPr>
  </w:style>
  <w:style w:type="paragraph" w:styleId="Continuarlista">
    <w:name w:val="List Continue"/>
    <w:basedOn w:val="Normal"/>
    <w:semiHidden/>
    <w:rsid w:val="00FD7092"/>
    <w:pPr>
      <w:spacing w:after="120"/>
      <w:ind w:left="283"/>
    </w:pPr>
  </w:style>
  <w:style w:type="paragraph" w:styleId="Continuarlista2">
    <w:name w:val="List Continue 2"/>
    <w:basedOn w:val="Normal"/>
    <w:semiHidden/>
    <w:rsid w:val="00FD7092"/>
    <w:pPr>
      <w:spacing w:after="120"/>
      <w:ind w:left="566"/>
    </w:pPr>
  </w:style>
  <w:style w:type="paragraph" w:styleId="Continuarlista3">
    <w:name w:val="List Continue 3"/>
    <w:basedOn w:val="Normal"/>
    <w:semiHidden/>
    <w:rsid w:val="00FD7092"/>
    <w:pPr>
      <w:spacing w:after="120"/>
      <w:ind w:left="849"/>
    </w:pPr>
  </w:style>
  <w:style w:type="paragraph" w:styleId="Continuarlista4">
    <w:name w:val="List Continue 4"/>
    <w:basedOn w:val="Normal"/>
    <w:semiHidden/>
    <w:rsid w:val="00FD7092"/>
    <w:pPr>
      <w:spacing w:after="120"/>
      <w:ind w:left="1132"/>
    </w:pPr>
  </w:style>
  <w:style w:type="paragraph" w:styleId="Continuarlista5">
    <w:name w:val="List Continue 5"/>
    <w:basedOn w:val="Normal"/>
    <w:semiHidden/>
    <w:rsid w:val="00FD7092"/>
    <w:pPr>
      <w:spacing w:after="120"/>
      <w:ind w:left="1415"/>
    </w:pPr>
  </w:style>
  <w:style w:type="character" w:styleId="DefinicinHTML">
    <w:name w:val="HTML Definition"/>
    <w:semiHidden/>
    <w:rsid w:val="00FD7092"/>
    <w:rPr>
      <w:i/>
      <w:iCs/>
    </w:rPr>
  </w:style>
  <w:style w:type="paragraph" w:styleId="DireccinHTML">
    <w:name w:val="HTML Address"/>
    <w:basedOn w:val="Normal"/>
    <w:semiHidden/>
    <w:rsid w:val="00FD7092"/>
    <w:rPr>
      <w:i/>
      <w:iCs/>
    </w:rPr>
  </w:style>
  <w:style w:type="paragraph" w:styleId="Direccinsobre">
    <w:name w:val="envelope address"/>
    <w:basedOn w:val="Normal"/>
    <w:semiHidden/>
    <w:rsid w:val="00FD7092"/>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FD7092"/>
    <w:rPr>
      <w:rFonts w:ascii="Courier New" w:hAnsi="Courier New" w:cs="Courier New"/>
    </w:rPr>
  </w:style>
  <w:style w:type="paragraph" w:styleId="Encabezadodemensaje">
    <w:name w:val="Message Header"/>
    <w:basedOn w:val="Normal"/>
    <w:semiHidden/>
    <w:rsid w:val="00FD70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FD7092"/>
  </w:style>
  <w:style w:type="character" w:styleId="nfasis">
    <w:name w:val="Emphasis"/>
    <w:semiHidden/>
    <w:rsid w:val="00FD7092"/>
    <w:rPr>
      <w:i/>
      <w:iCs/>
    </w:rPr>
  </w:style>
  <w:style w:type="paragraph" w:styleId="Fecha">
    <w:name w:val="Date"/>
    <w:basedOn w:val="Normal"/>
    <w:next w:val="Normal"/>
    <w:semiHidden/>
    <w:rsid w:val="00FD7092"/>
  </w:style>
  <w:style w:type="paragraph" w:styleId="Firma">
    <w:name w:val="Signature"/>
    <w:basedOn w:val="Normal"/>
    <w:semiHidden/>
    <w:rsid w:val="00FD7092"/>
    <w:pPr>
      <w:ind w:left="4252"/>
    </w:pPr>
  </w:style>
  <w:style w:type="paragraph" w:styleId="Firmadecorreoelectrnico">
    <w:name w:val="E-mail Signature"/>
    <w:basedOn w:val="Normal"/>
    <w:semiHidden/>
    <w:rsid w:val="00FD7092"/>
  </w:style>
  <w:style w:type="character" w:styleId="Hipervnculo">
    <w:name w:val="Hyperlink"/>
    <w:rsid w:val="00FD7092"/>
    <w:rPr>
      <w:color w:val="0000FF"/>
      <w:u w:val="none"/>
    </w:rPr>
  </w:style>
  <w:style w:type="character" w:styleId="Hipervnculovisitado">
    <w:name w:val="FollowedHyperlink"/>
    <w:rsid w:val="00FD7092"/>
    <w:rPr>
      <w:color w:val="0000FF"/>
      <w:u w:val="none"/>
    </w:rPr>
  </w:style>
  <w:style w:type="paragraph" w:styleId="HTMLconformatoprevio">
    <w:name w:val="HTML Preformatted"/>
    <w:basedOn w:val="Normal"/>
    <w:semiHidden/>
    <w:rsid w:val="00FD7092"/>
    <w:rPr>
      <w:rFonts w:ascii="Courier New" w:hAnsi="Courier New" w:cs="Courier New"/>
    </w:rPr>
  </w:style>
  <w:style w:type="paragraph" w:styleId="Lista">
    <w:name w:val="List"/>
    <w:basedOn w:val="Normal"/>
    <w:semiHidden/>
    <w:rsid w:val="00FD7092"/>
    <w:pPr>
      <w:ind w:left="283" w:hanging="283"/>
    </w:pPr>
  </w:style>
  <w:style w:type="paragraph" w:styleId="Lista2">
    <w:name w:val="List 2"/>
    <w:basedOn w:val="Normal"/>
    <w:semiHidden/>
    <w:rsid w:val="00FD7092"/>
    <w:pPr>
      <w:ind w:left="566" w:hanging="283"/>
    </w:pPr>
  </w:style>
  <w:style w:type="paragraph" w:styleId="Lista3">
    <w:name w:val="List 3"/>
    <w:basedOn w:val="Normal"/>
    <w:semiHidden/>
    <w:rsid w:val="00FD7092"/>
    <w:pPr>
      <w:ind w:left="849" w:hanging="283"/>
    </w:pPr>
  </w:style>
  <w:style w:type="paragraph" w:styleId="Lista4">
    <w:name w:val="List 4"/>
    <w:basedOn w:val="Normal"/>
    <w:semiHidden/>
    <w:rsid w:val="00FD7092"/>
    <w:pPr>
      <w:ind w:left="1132" w:hanging="283"/>
    </w:pPr>
  </w:style>
  <w:style w:type="paragraph" w:styleId="Lista5">
    <w:name w:val="List 5"/>
    <w:basedOn w:val="Normal"/>
    <w:semiHidden/>
    <w:rsid w:val="00FD7092"/>
    <w:pPr>
      <w:ind w:left="1415" w:hanging="283"/>
    </w:pPr>
  </w:style>
  <w:style w:type="paragraph" w:styleId="Listaconnmeros">
    <w:name w:val="List Number"/>
    <w:basedOn w:val="Normal"/>
    <w:semiHidden/>
    <w:rsid w:val="00FD7092"/>
    <w:pPr>
      <w:numPr>
        <w:numId w:val="8"/>
      </w:numPr>
    </w:pPr>
  </w:style>
  <w:style w:type="paragraph" w:styleId="Listaconnmeros2">
    <w:name w:val="List Number 2"/>
    <w:basedOn w:val="Normal"/>
    <w:semiHidden/>
    <w:rsid w:val="00FD7092"/>
    <w:pPr>
      <w:numPr>
        <w:numId w:val="9"/>
      </w:numPr>
    </w:pPr>
  </w:style>
  <w:style w:type="paragraph" w:styleId="Listaconnmeros3">
    <w:name w:val="List Number 3"/>
    <w:basedOn w:val="Normal"/>
    <w:semiHidden/>
    <w:rsid w:val="00FD7092"/>
    <w:pPr>
      <w:numPr>
        <w:numId w:val="10"/>
      </w:numPr>
    </w:pPr>
  </w:style>
  <w:style w:type="paragraph" w:styleId="Listaconnmeros4">
    <w:name w:val="List Number 4"/>
    <w:basedOn w:val="Normal"/>
    <w:semiHidden/>
    <w:rsid w:val="00FD7092"/>
    <w:pPr>
      <w:numPr>
        <w:numId w:val="11"/>
      </w:numPr>
    </w:pPr>
  </w:style>
  <w:style w:type="paragraph" w:styleId="Listaconnmeros5">
    <w:name w:val="List Number 5"/>
    <w:basedOn w:val="Normal"/>
    <w:semiHidden/>
    <w:rsid w:val="00FD7092"/>
    <w:pPr>
      <w:numPr>
        <w:numId w:val="12"/>
      </w:numPr>
    </w:pPr>
  </w:style>
  <w:style w:type="paragraph" w:styleId="Listaconvietas">
    <w:name w:val="List Bullet"/>
    <w:basedOn w:val="Normal"/>
    <w:semiHidden/>
    <w:rsid w:val="00FD7092"/>
    <w:pPr>
      <w:numPr>
        <w:numId w:val="13"/>
      </w:numPr>
    </w:pPr>
  </w:style>
  <w:style w:type="paragraph" w:styleId="Listaconvietas2">
    <w:name w:val="List Bullet 2"/>
    <w:basedOn w:val="Normal"/>
    <w:semiHidden/>
    <w:rsid w:val="00FD7092"/>
    <w:pPr>
      <w:numPr>
        <w:numId w:val="14"/>
      </w:numPr>
    </w:pPr>
  </w:style>
  <w:style w:type="paragraph" w:styleId="Listaconvietas3">
    <w:name w:val="List Bullet 3"/>
    <w:basedOn w:val="Normal"/>
    <w:semiHidden/>
    <w:rsid w:val="00FD7092"/>
    <w:pPr>
      <w:numPr>
        <w:numId w:val="15"/>
      </w:numPr>
    </w:pPr>
  </w:style>
  <w:style w:type="paragraph" w:styleId="Listaconvietas4">
    <w:name w:val="List Bullet 4"/>
    <w:basedOn w:val="Normal"/>
    <w:semiHidden/>
    <w:rsid w:val="00FD7092"/>
    <w:pPr>
      <w:numPr>
        <w:numId w:val="16"/>
      </w:numPr>
    </w:pPr>
  </w:style>
  <w:style w:type="paragraph" w:styleId="Listaconvietas5">
    <w:name w:val="List Bullet 5"/>
    <w:basedOn w:val="Normal"/>
    <w:semiHidden/>
    <w:rsid w:val="00FD7092"/>
    <w:pPr>
      <w:numPr>
        <w:numId w:val="17"/>
      </w:numPr>
    </w:pPr>
  </w:style>
  <w:style w:type="character" w:styleId="MquinadeescribirHTML">
    <w:name w:val="HTML Typewriter"/>
    <w:semiHidden/>
    <w:rsid w:val="00FD7092"/>
    <w:rPr>
      <w:rFonts w:ascii="Courier New" w:hAnsi="Courier New" w:cs="Courier New"/>
      <w:sz w:val="20"/>
      <w:szCs w:val="20"/>
    </w:rPr>
  </w:style>
  <w:style w:type="paragraph" w:styleId="NormalWeb">
    <w:name w:val="Normal (Web)"/>
    <w:basedOn w:val="Normal"/>
    <w:semiHidden/>
    <w:rsid w:val="00FD7092"/>
    <w:rPr>
      <w:sz w:val="24"/>
      <w:szCs w:val="24"/>
    </w:rPr>
  </w:style>
  <w:style w:type="character" w:styleId="Nmerodelnea">
    <w:name w:val="line number"/>
    <w:basedOn w:val="Fuentedeprrafopredeter"/>
    <w:semiHidden/>
    <w:rsid w:val="00FD7092"/>
  </w:style>
  <w:style w:type="character" w:styleId="Nmerodepgina">
    <w:name w:val="page number"/>
    <w:aliases w:val="7_G"/>
    <w:qFormat/>
    <w:rsid w:val="00FD7092"/>
    <w:rPr>
      <w:b/>
      <w:sz w:val="18"/>
    </w:rPr>
  </w:style>
  <w:style w:type="character" w:styleId="Refdenotaalfinal">
    <w:name w:val="endnote reference"/>
    <w:aliases w:val="1_G"/>
    <w:qFormat/>
    <w:rsid w:val="00FD7092"/>
    <w:rPr>
      <w:rFonts w:ascii="Times New Roman" w:hAnsi="Times New Roman"/>
      <w:sz w:val="18"/>
      <w:vertAlign w:val="superscript"/>
    </w:rPr>
  </w:style>
  <w:style w:type="paragraph" w:styleId="Remitedesobre">
    <w:name w:val="envelope return"/>
    <w:basedOn w:val="Normal"/>
    <w:semiHidden/>
    <w:rsid w:val="00FD7092"/>
    <w:rPr>
      <w:rFonts w:ascii="Arial" w:hAnsi="Arial" w:cs="Arial"/>
    </w:rPr>
  </w:style>
  <w:style w:type="paragraph" w:styleId="Saludo">
    <w:name w:val="Salutation"/>
    <w:basedOn w:val="Normal"/>
    <w:next w:val="Normal"/>
    <w:semiHidden/>
    <w:rsid w:val="00FD7092"/>
  </w:style>
  <w:style w:type="paragraph" w:styleId="Sangra2detindependiente">
    <w:name w:val="Body Text Indent 2"/>
    <w:basedOn w:val="Normal"/>
    <w:semiHidden/>
    <w:rsid w:val="00FD7092"/>
    <w:pPr>
      <w:spacing w:after="120" w:line="480" w:lineRule="auto"/>
      <w:ind w:left="283"/>
    </w:pPr>
  </w:style>
  <w:style w:type="paragraph" w:styleId="Sangra3detindependiente">
    <w:name w:val="Body Text Indent 3"/>
    <w:basedOn w:val="Normal"/>
    <w:semiHidden/>
    <w:rsid w:val="00FD7092"/>
    <w:pPr>
      <w:spacing w:after="120"/>
      <w:ind w:left="283"/>
    </w:pPr>
    <w:rPr>
      <w:sz w:val="16"/>
      <w:szCs w:val="16"/>
    </w:rPr>
  </w:style>
  <w:style w:type="paragraph" w:styleId="Sangradetextonormal">
    <w:name w:val="Body Text Indent"/>
    <w:basedOn w:val="Normal"/>
    <w:semiHidden/>
    <w:rsid w:val="00FD7092"/>
    <w:pPr>
      <w:spacing w:after="120"/>
      <w:ind w:left="283"/>
    </w:pPr>
  </w:style>
  <w:style w:type="paragraph" w:styleId="Sangranormal">
    <w:name w:val="Normal Indent"/>
    <w:basedOn w:val="Normal"/>
    <w:semiHidden/>
    <w:rsid w:val="00FD7092"/>
    <w:pPr>
      <w:ind w:left="567"/>
    </w:pPr>
  </w:style>
  <w:style w:type="paragraph" w:styleId="Subttulo">
    <w:name w:val="Subtitle"/>
    <w:basedOn w:val="Normal"/>
    <w:semiHidden/>
    <w:rsid w:val="00FD7092"/>
    <w:pPr>
      <w:spacing w:after="60"/>
      <w:jc w:val="center"/>
      <w:outlineLvl w:val="1"/>
    </w:pPr>
    <w:rPr>
      <w:rFonts w:ascii="Arial" w:hAnsi="Arial" w:cs="Arial"/>
      <w:sz w:val="24"/>
      <w:szCs w:val="24"/>
    </w:rPr>
  </w:style>
  <w:style w:type="table" w:styleId="Tablabsica1">
    <w:name w:val="Table Simple 1"/>
    <w:basedOn w:val="Tablanormal"/>
    <w:semiHidden/>
    <w:rsid w:val="00FD7092"/>
    <w:pPr>
      <w:spacing w:line="240" w:lineRule="atLeast"/>
    </w:pPr>
    <w:rPr>
      <w:rFonts w:eastAsiaTheme="minorEastAs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FD7092"/>
    <w:pPr>
      <w:spacing w:line="240" w:lineRule="atLeast"/>
    </w:pPr>
    <w:rPr>
      <w:rFonts w:eastAsiaTheme="minorEastAs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FD7092"/>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FD7092"/>
    <w:pPr>
      <w:spacing w:line="240" w:lineRule="atLeast"/>
    </w:pPr>
    <w:rPr>
      <w:rFonts w:eastAsiaTheme="minorEastAs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FD7092"/>
    <w:pPr>
      <w:spacing w:line="240" w:lineRule="atLeast"/>
    </w:pPr>
    <w:rPr>
      <w:rFonts w:eastAsiaTheme="minorEastAs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FD7092"/>
    <w:pPr>
      <w:spacing w:line="240" w:lineRule="atLeast"/>
    </w:pPr>
    <w:rPr>
      <w:rFonts w:eastAsiaTheme="minorEastAs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FD7092"/>
    <w:pPr>
      <w:spacing w:line="240" w:lineRule="atLeast"/>
    </w:pPr>
    <w:rPr>
      <w:rFonts w:eastAsiaTheme="minorEastAs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FD7092"/>
    <w:pPr>
      <w:spacing w:line="240" w:lineRule="atLeast"/>
    </w:pPr>
    <w:rPr>
      <w:rFonts w:eastAsiaTheme="minorEastAs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FD7092"/>
    <w:pPr>
      <w:spacing w:line="240" w:lineRule="atLeast"/>
    </w:pPr>
    <w:rPr>
      <w:rFonts w:eastAsiaTheme="minorEastAs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FD7092"/>
    <w:pPr>
      <w:spacing w:line="240" w:lineRule="atLeast"/>
    </w:pPr>
    <w:rPr>
      <w:rFonts w:eastAsiaTheme="minorEastAs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FD7092"/>
    <w:pPr>
      <w:spacing w:line="240" w:lineRule="atLeast"/>
    </w:pPr>
    <w:rPr>
      <w:rFonts w:eastAsiaTheme="minorEastAs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FD7092"/>
    <w:pPr>
      <w:spacing w:line="240" w:lineRule="atLeast"/>
    </w:pPr>
    <w:rPr>
      <w:rFonts w:eastAsiaTheme="minorEastAs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FD7092"/>
    <w:pPr>
      <w:spacing w:line="240" w:lineRule="atLeast"/>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FD7092"/>
    <w:pPr>
      <w:spacing w:line="240" w:lineRule="atLeast"/>
    </w:pPr>
    <w:rPr>
      <w:rFonts w:eastAsiaTheme="minorEastAs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FD7092"/>
    <w:pPr>
      <w:spacing w:line="240" w:lineRule="atLeast"/>
    </w:pPr>
    <w:rPr>
      <w:rFonts w:eastAsiaTheme="minorEastAs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FD7092"/>
    <w:pPr>
      <w:spacing w:line="240" w:lineRule="atLeast"/>
    </w:pPr>
    <w:rPr>
      <w:rFonts w:eastAsiaTheme="minorEastAs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FD7092"/>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FD7092"/>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FD7092"/>
    <w:pPr>
      <w:spacing w:line="240" w:lineRule="atLeast"/>
    </w:pPr>
    <w:rPr>
      <w:rFonts w:eastAsiaTheme="minorEastAs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FD7092"/>
    <w:pPr>
      <w:spacing w:line="240" w:lineRule="atLeast"/>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FD7092"/>
    <w:pPr>
      <w:spacing w:line="240" w:lineRule="atLeast"/>
    </w:pPr>
    <w:rPr>
      <w:rFonts w:eastAsiaTheme="minorEastAs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FD7092"/>
    <w:pPr>
      <w:spacing w:line="240" w:lineRule="atLeast"/>
    </w:pPr>
    <w:rPr>
      <w:rFonts w:eastAsiaTheme="minorEastAs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FD7092"/>
    <w:pPr>
      <w:spacing w:line="240" w:lineRule="atLeast"/>
    </w:pPr>
    <w:rPr>
      <w:rFonts w:eastAsiaTheme="minorEastAs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FD7092"/>
    <w:pPr>
      <w:spacing w:line="240" w:lineRule="atLeast"/>
    </w:pPr>
    <w:rPr>
      <w:rFonts w:eastAsiaTheme="minorEastAs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FD7092"/>
    <w:pPr>
      <w:spacing w:line="240" w:lineRule="atLeast"/>
    </w:pPr>
    <w:rPr>
      <w:rFonts w:eastAsiaTheme="minorEastAs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FD7092"/>
    <w:pPr>
      <w:spacing w:line="240" w:lineRule="atLeast"/>
    </w:pPr>
    <w:rPr>
      <w:rFonts w:eastAsiaTheme="minorEastAs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FD7092"/>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FD7092"/>
    <w:pPr>
      <w:spacing w:line="240" w:lineRule="atLeast"/>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FD7092"/>
    <w:pPr>
      <w:spacing w:line="240" w:lineRule="atLeast"/>
    </w:pPr>
    <w:rPr>
      <w:rFonts w:eastAsiaTheme="minorEastAs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FD7092"/>
    <w:pPr>
      <w:spacing w:line="240" w:lineRule="atLeast"/>
    </w:pPr>
    <w:rPr>
      <w:rFonts w:eastAsiaTheme="minorEastAs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FD7092"/>
    <w:pPr>
      <w:spacing w:line="240" w:lineRule="atLeast"/>
    </w:pPr>
    <w:rPr>
      <w:rFonts w:eastAsiaTheme="minorEastAs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FD7092"/>
    <w:pPr>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FD7092"/>
    <w:pPr>
      <w:spacing w:line="240" w:lineRule="atLeast"/>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FD7092"/>
    <w:pPr>
      <w:spacing w:line="240" w:lineRule="atLeast"/>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FD7092"/>
    <w:pPr>
      <w:spacing w:line="240" w:lineRule="atLeast"/>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FD7092"/>
    <w:pPr>
      <w:spacing w:line="240" w:lineRule="atLeast"/>
    </w:pPr>
    <w:rPr>
      <w:rFonts w:eastAsiaTheme="minorEastAs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FD7092"/>
    <w:pPr>
      <w:spacing w:line="240" w:lineRule="atLeast"/>
    </w:pPr>
    <w:rPr>
      <w:rFonts w:eastAsiaTheme="minorEastAs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FD7092"/>
    <w:pPr>
      <w:spacing w:line="240" w:lineRule="atLeast"/>
    </w:pPr>
    <w:rPr>
      <w:rFonts w:eastAsiaTheme="minorEastAs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FD7092"/>
    <w:pPr>
      <w:spacing w:line="240" w:lineRule="atLeast"/>
    </w:pPr>
    <w:rPr>
      <w:rFonts w:eastAsiaTheme="minorEastAs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FD7092"/>
    <w:pPr>
      <w:spacing w:line="240" w:lineRule="atLeast"/>
    </w:pPr>
    <w:rPr>
      <w:rFonts w:eastAsiaTheme="minorEastAs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FD7092"/>
    <w:pPr>
      <w:spacing w:line="240" w:lineRule="atLeast"/>
    </w:pPr>
    <w:rPr>
      <w:rFonts w:eastAsiaTheme="minorEastAs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FD7092"/>
    <w:pPr>
      <w:spacing w:line="240" w:lineRule="atLeast"/>
    </w:pPr>
    <w:rPr>
      <w:rFonts w:eastAsiaTheme="minorEastAs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FD7092"/>
    <w:pPr>
      <w:spacing w:line="240" w:lineRule="atLeast"/>
    </w:pPr>
    <w:rPr>
      <w:rFonts w:eastAsiaTheme="minorEastAs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FD7092"/>
    <w:rPr>
      <w:rFonts w:ascii="Courier New" w:hAnsi="Courier New" w:cs="Courier New"/>
      <w:sz w:val="20"/>
      <w:szCs w:val="20"/>
    </w:rPr>
  </w:style>
  <w:style w:type="paragraph" w:styleId="Textodebloque">
    <w:name w:val="Block Text"/>
    <w:basedOn w:val="Normal"/>
    <w:semiHidden/>
    <w:rsid w:val="00FD7092"/>
    <w:pPr>
      <w:spacing w:after="120"/>
      <w:ind w:left="1440" w:right="1440"/>
    </w:pPr>
  </w:style>
  <w:style w:type="character" w:styleId="Textoennegrita">
    <w:name w:val="Strong"/>
    <w:semiHidden/>
    <w:rsid w:val="00FD7092"/>
    <w:rPr>
      <w:b/>
      <w:bCs/>
    </w:rPr>
  </w:style>
  <w:style w:type="paragraph" w:styleId="Textoindependiente">
    <w:name w:val="Body Text"/>
    <w:basedOn w:val="Normal"/>
    <w:link w:val="TextoindependienteCar"/>
    <w:semiHidden/>
    <w:rsid w:val="00FD7092"/>
    <w:pPr>
      <w:spacing w:after="120"/>
    </w:pPr>
  </w:style>
  <w:style w:type="paragraph" w:styleId="Textoindependiente2">
    <w:name w:val="Body Text 2"/>
    <w:basedOn w:val="Normal"/>
    <w:semiHidden/>
    <w:rsid w:val="00FD7092"/>
    <w:pPr>
      <w:spacing w:after="120" w:line="480" w:lineRule="auto"/>
    </w:pPr>
  </w:style>
  <w:style w:type="paragraph" w:styleId="Textoindependiente3">
    <w:name w:val="Body Text 3"/>
    <w:basedOn w:val="Normal"/>
    <w:semiHidden/>
    <w:rsid w:val="00FD7092"/>
    <w:pPr>
      <w:spacing w:after="120"/>
    </w:pPr>
    <w:rPr>
      <w:sz w:val="16"/>
      <w:szCs w:val="16"/>
    </w:rPr>
  </w:style>
  <w:style w:type="paragraph" w:styleId="Textoindependienteprimerasangra">
    <w:name w:val="Body Text First Indent"/>
    <w:basedOn w:val="Textoindependiente"/>
    <w:semiHidden/>
    <w:rsid w:val="00FD7092"/>
    <w:pPr>
      <w:ind w:firstLine="210"/>
    </w:pPr>
  </w:style>
  <w:style w:type="paragraph" w:styleId="Textoindependienteprimerasangra2">
    <w:name w:val="Body Text First Indent 2"/>
    <w:basedOn w:val="Sangradetextonormal"/>
    <w:semiHidden/>
    <w:rsid w:val="00FD7092"/>
    <w:pPr>
      <w:ind w:firstLine="210"/>
    </w:pPr>
  </w:style>
  <w:style w:type="paragraph" w:styleId="Textonotaalfinal">
    <w:name w:val="endnote text"/>
    <w:aliases w:val="2_G"/>
    <w:basedOn w:val="Textonotapie"/>
    <w:link w:val="TextonotaalfinalCar"/>
    <w:qFormat/>
    <w:rsid w:val="00FD7092"/>
  </w:style>
  <w:style w:type="paragraph" w:styleId="Textosinformato">
    <w:name w:val="Plain Text"/>
    <w:basedOn w:val="Normal"/>
    <w:semiHidden/>
    <w:rsid w:val="00FD7092"/>
    <w:rPr>
      <w:rFonts w:ascii="Courier New" w:hAnsi="Courier New" w:cs="Courier New"/>
    </w:rPr>
  </w:style>
  <w:style w:type="paragraph" w:styleId="Ttulo">
    <w:name w:val="Title"/>
    <w:basedOn w:val="Normal"/>
    <w:semiHidden/>
    <w:rsid w:val="00FD7092"/>
    <w:pPr>
      <w:spacing w:before="240" w:after="60"/>
      <w:jc w:val="center"/>
      <w:outlineLvl w:val="0"/>
    </w:pPr>
    <w:rPr>
      <w:rFonts w:ascii="Arial" w:hAnsi="Arial" w:cs="Arial"/>
      <w:b/>
      <w:bCs/>
      <w:kern w:val="28"/>
      <w:sz w:val="32"/>
      <w:szCs w:val="32"/>
    </w:rPr>
  </w:style>
  <w:style w:type="character" w:styleId="VariableHTML">
    <w:name w:val="HTML Variable"/>
    <w:semiHidden/>
    <w:rsid w:val="00FD7092"/>
    <w:rPr>
      <w:i/>
      <w:iCs/>
    </w:rPr>
  </w:style>
  <w:style w:type="paragraph" w:customStyle="1" w:styleId="Bullet1G">
    <w:name w:val="_Bullet 1_G"/>
    <w:basedOn w:val="Normal"/>
    <w:qFormat/>
    <w:rsid w:val="00FD7092"/>
    <w:pPr>
      <w:numPr>
        <w:numId w:val="3"/>
      </w:numPr>
      <w:spacing w:after="120"/>
      <w:ind w:right="1134"/>
      <w:jc w:val="both"/>
    </w:pPr>
    <w:rPr>
      <w:lang w:eastAsia="en-US"/>
    </w:rPr>
  </w:style>
  <w:style w:type="paragraph" w:customStyle="1" w:styleId="Bullet2G">
    <w:name w:val="_Bullet 2_G"/>
    <w:basedOn w:val="Normal"/>
    <w:qFormat/>
    <w:rsid w:val="00FD7092"/>
    <w:pPr>
      <w:numPr>
        <w:numId w:val="4"/>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uiPriority w:val="99"/>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284"/>
    <w:rPr>
      <w:rFonts w:ascii="Tahoma" w:hAnsi="Tahoma" w:cs="Tahoma"/>
      <w:sz w:val="16"/>
      <w:szCs w:val="16"/>
      <w:lang w:val="es-ES" w:eastAsia="es-ES"/>
    </w:rPr>
  </w:style>
  <w:style w:type="character" w:customStyle="1" w:styleId="SingleTxtGChar">
    <w:name w:val="_ Single Txt_G Char"/>
    <w:basedOn w:val="Fuentedeprrafopredeter"/>
    <w:link w:val="SingleTxtG"/>
    <w:rsid w:val="00154216"/>
    <w:rPr>
      <w:rFonts w:eastAsiaTheme="minorEastAsia"/>
      <w:lang w:val="es-ES" w:eastAsia="es-ES"/>
    </w:rPr>
  </w:style>
  <w:style w:type="character" w:styleId="nfasisintenso">
    <w:name w:val="Intense Emphasis"/>
    <w:uiPriority w:val="21"/>
    <w:semiHidden/>
    <w:rsid w:val="00FD7092"/>
    <w:rPr>
      <w:b/>
      <w:bCs/>
      <w:i/>
      <w:iCs/>
      <w:color w:val="4F81BD"/>
    </w:rPr>
  </w:style>
  <w:style w:type="paragraph" w:styleId="Citadestacada">
    <w:name w:val="Intense Quote"/>
    <w:basedOn w:val="Normal"/>
    <w:next w:val="Normal"/>
    <w:link w:val="CitadestacadaCar"/>
    <w:uiPriority w:val="30"/>
    <w:semiHidden/>
    <w:rsid w:val="00FD7092"/>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FD7092"/>
    <w:rPr>
      <w:rFonts w:eastAsiaTheme="minorEastAsia"/>
      <w:b/>
      <w:bCs/>
      <w:i/>
      <w:iCs/>
      <w:color w:val="4F81BD"/>
      <w:lang w:val="es-ES" w:eastAsia="es-ES"/>
    </w:rPr>
  </w:style>
  <w:style w:type="character" w:customStyle="1" w:styleId="Ttulo1Car">
    <w:name w:val="Título 1 Car"/>
    <w:aliases w:val="Cuadro_G Car"/>
    <w:basedOn w:val="Fuentedeprrafopredeter"/>
    <w:link w:val="Ttulo1"/>
    <w:rsid w:val="00FD7092"/>
    <w:rPr>
      <w:rFonts w:eastAsiaTheme="minorEastAsia"/>
      <w:lang w:val="fr-CH" w:eastAsia="en-US"/>
    </w:rPr>
  </w:style>
  <w:style w:type="character" w:customStyle="1" w:styleId="EncabezadoCar">
    <w:name w:val="Encabezado Car"/>
    <w:aliases w:val="6_G Car"/>
    <w:basedOn w:val="Fuentedeprrafopredeter"/>
    <w:link w:val="Encabezado"/>
    <w:rsid w:val="00154216"/>
    <w:rPr>
      <w:rFonts w:eastAsiaTheme="minorEastAsia"/>
      <w:b/>
      <w:sz w:val="18"/>
      <w:lang w:val="es-ES" w:eastAsia="es-ES"/>
    </w:rPr>
  </w:style>
  <w:style w:type="character" w:customStyle="1" w:styleId="PiedepginaCar">
    <w:name w:val="Pie de página Car"/>
    <w:aliases w:val="3_G Car"/>
    <w:basedOn w:val="Fuentedeprrafopredeter"/>
    <w:link w:val="Piedepgina"/>
    <w:rsid w:val="00154216"/>
    <w:rPr>
      <w:rFonts w:eastAsiaTheme="minorEastAsia"/>
      <w:sz w:val="16"/>
      <w:lang w:val="es-ES" w:eastAsia="es-ES"/>
    </w:rPr>
  </w:style>
  <w:style w:type="paragraph" w:customStyle="1" w:styleId="ParaNoG">
    <w:name w:val="_ParaNo._G"/>
    <w:basedOn w:val="SingleTxtG"/>
    <w:rsid w:val="00154216"/>
    <w:pPr>
      <w:numPr>
        <w:numId w:val="1"/>
      </w:numPr>
    </w:pPr>
    <w:rPr>
      <w:rFonts w:eastAsia="SimSun"/>
      <w:lang w:val="en-GB" w:eastAsia="zh-CN"/>
    </w:rPr>
  </w:style>
  <w:style w:type="character" w:customStyle="1" w:styleId="TextonotapieCar">
    <w:name w:val="Texto nota pie Car"/>
    <w:aliases w:val="5_G Car"/>
    <w:basedOn w:val="Fuentedeprrafopredeter"/>
    <w:link w:val="Textonotapie"/>
    <w:rsid w:val="00154216"/>
    <w:rPr>
      <w:rFonts w:eastAsiaTheme="minorEastAsia"/>
      <w:sz w:val="18"/>
      <w:lang w:val="es-ES" w:eastAsia="es-ES"/>
    </w:rPr>
  </w:style>
  <w:style w:type="character" w:customStyle="1" w:styleId="TextonotaalfinalCar">
    <w:name w:val="Texto nota al final Car"/>
    <w:aliases w:val="2_G Car"/>
    <w:basedOn w:val="Fuentedeprrafopredeter"/>
    <w:link w:val="Textonotaalfinal"/>
    <w:rsid w:val="00154216"/>
    <w:rPr>
      <w:rFonts w:eastAsiaTheme="minorEastAsia"/>
      <w:sz w:val="18"/>
      <w:lang w:val="es-ES" w:eastAsia="es-ES"/>
    </w:rPr>
  </w:style>
  <w:style w:type="character" w:customStyle="1" w:styleId="Ttulo2Car">
    <w:name w:val="Título 2 Car"/>
    <w:basedOn w:val="Fuentedeprrafopredeter"/>
    <w:link w:val="Ttulo2"/>
    <w:semiHidden/>
    <w:rsid w:val="00154216"/>
    <w:rPr>
      <w:rFonts w:eastAsiaTheme="minorEastAsia" w:cs="Arial"/>
      <w:bCs/>
      <w:iCs/>
      <w:szCs w:val="28"/>
      <w:lang w:val="es-ES" w:eastAsia="es-ES"/>
    </w:rPr>
  </w:style>
  <w:style w:type="character" w:customStyle="1" w:styleId="Ttulo3Car">
    <w:name w:val="Título 3 Car"/>
    <w:basedOn w:val="Fuentedeprrafopredeter"/>
    <w:link w:val="Ttulo3"/>
    <w:semiHidden/>
    <w:rsid w:val="00154216"/>
    <w:rPr>
      <w:rFonts w:ascii="Arial" w:eastAsiaTheme="minorEastAsia" w:hAnsi="Arial" w:cs="Arial"/>
      <w:b/>
      <w:bCs/>
      <w:sz w:val="26"/>
      <w:szCs w:val="26"/>
      <w:lang w:val="es-ES" w:eastAsia="es-ES"/>
    </w:rPr>
  </w:style>
  <w:style w:type="character" w:customStyle="1" w:styleId="Ttulo4Car">
    <w:name w:val="Título 4 Car"/>
    <w:basedOn w:val="Fuentedeprrafopredeter"/>
    <w:link w:val="Ttulo4"/>
    <w:semiHidden/>
    <w:rsid w:val="00154216"/>
    <w:rPr>
      <w:rFonts w:eastAsiaTheme="minorEastAsia"/>
      <w:b/>
      <w:bCs/>
      <w:sz w:val="28"/>
      <w:szCs w:val="28"/>
      <w:lang w:val="es-ES" w:eastAsia="es-ES"/>
    </w:rPr>
  </w:style>
  <w:style w:type="character" w:customStyle="1" w:styleId="Ttulo5Car">
    <w:name w:val="Título 5 Car"/>
    <w:basedOn w:val="Fuentedeprrafopredeter"/>
    <w:link w:val="Ttulo5"/>
    <w:semiHidden/>
    <w:rsid w:val="00154216"/>
    <w:rPr>
      <w:rFonts w:eastAsiaTheme="minorEastAsia"/>
      <w:b/>
      <w:bCs/>
      <w:i/>
      <w:iCs/>
      <w:sz w:val="26"/>
      <w:szCs w:val="26"/>
      <w:lang w:val="es-ES" w:eastAsia="es-ES"/>
    </w:rPr>
  </w:style>
  <w:style w:type="character" w:customStyle="1" w:styleId="Ttulo6Car">
    <w:name w:val="Título 6 Car"/>
    <w:basedOn w:val="Fuentedeprrafopredeter"/>
    <w:link w:val="Ttulo6"/>
    <w:semiHidden/>
    <w:rsid w:val="00154216"/>
    <w:rPr>
      <w:rFonts w:eastAsiaTheme="minorEastAsia"/>
      <w:b/>
      <w:bCs/>
      <w:sz w:val="22"/>
      <w:szCs w:val="22"/>
      <w:lang w:val="es-ES" w:eastAsia="es-ES"/>
    </w:rPr>
  </w:style>
  <w:style w:type="character" w:customStyle="1" w:styleId="Ttulo7Car">
    <w:name w:val="Título 7 Car"/>
    <w:basedOn w:val="Fuentedeprrafopredeter"/>
    <w:link w:val="Ttulo7"/>
    <w:semiHidden/>
    <w:rsid w:val="00154216"/>
    <w:rPr>
      <w:rFonts w:eastAsiaTheme="minorEastAsia"/>
      <w:sz w:val="24"/>
      <w:szCs w:val="24"/>
      <w:lang w:val="es-ES" w:eastAsia="es-ES"/>
    </w:rPr>
  </w:style>
  <w:style w:type="character" w:customStyle="1" w:styleId="Ttulo8Car">
    <w:name w:val="Título 8 Car"/>
    <w:basedOn w:val="Fuentedeprrafopredeter"/>
    <w:link w:val="Ttulo8"/>
    <w:semiHidden/>
    <w:rsid w:val="00154216"/>
    <w:rPr>
      <w:rFonts w:eastAsiaTheme="minorEastAsia"/>
      <w:i/>
      <w:iCs/>
      <w:sz w:val="24"/>
      <w:szCs w:val="24"/>
      <w:lang w:val="es-ES" w:eastAsia="es-ES"/>
    </w:rPr>
  </w:style>
  <w:style w:type="character" w:customStyle="1" w:styleId="Ttulo9Car">
    <w:name w:val="Título 9 Car"/>
    <w:basedOn w:val="Fuentedeprrafopredeter"/>
    <w:link w:val="Ttulo9"/>
    <w:semiHidden/>
    <w:rsid w:val="00154216"/>
    <w:rPr>
      <w:rFonts w:ascii="Arial" w:eastAsiaTheme="minorEastAsia" w:hAnsi="Arial" w:cs="Arial"/>
      <w:sz w:val="22"/>
      <w:szCs w:val="22"/>
      <w:lang w:val="es-ES" w:eastAsia="es-ES"/>
    </w:rPr>
  </w:style>
  <w:style w:type="character" w:styleId="Ttulodellibro">
    <w:name w:val="Book Title"/>
    <w:basedOn w:val="Fuentedeprrafopredeter"/>
    <w:uiPriority w:val="33"/>
    <w:semiHidden/>
    <w:rsid w:val="00154216"/>
    <w:rPr>
      <w:b/>
      <w:bCs/>
      <w:smallCaps/>
      <w:spacing w:val="5"/>
    </w:rPr>
  </w:style>
  <w:style w:type="table" w:customStyle="1" w:styleId="TableGrid1">
    <w:name w:val="Table Grid1"/>
    <w:basedOn w:val="Tablanormal"/>
    <w:rsid w:val="00154216"/>
    <w:pPr>
      <w:suppressAutoHyphens/>
      <w:spacing w:line="240" w:lineRule="atLeast"/>
    </w:pPr>
    <w:rPr>
      <w:rFonts w:eastAsiaTheme="minorHAnsi"/>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Refdecomentario">
    <w:name w:val="annotation reference"/>
    <w:basedOn w:val="Fuentedeprrafopredeter"/>
    <w:uiPriority w:val="99"/>
    <w:semiHidden/>
    <w:unhideWhenUsed/>
    <w:rsid w:val="00154216"/>
    <w:rPr>
      <w:sz w:val="16"/>
      <w:szCs w:val="16"/>
    </w:rPr>
  </w:style>
  <w:style w:type="paragraph" w:styleId="Textocomentario">
    <w:name w:val="annotation text"/>
    <w:basedOn w:val="Normal"/>
    <w:link w:val="TextocomentarioCar"/>
    <w:uiPriority w:val="99"/>
    <w:semiHidden/>
    <w:unhideWhenUsed/>
    <w:rsid w:val="00154216"/>
    <w:pPr>
      <w:spacing w:line="240" w:lineRule="auto"/>
    </w:pPr>
    <w:rPr>
      <w:rFonts w:eastAsia="SimSun"/>
      <w:lang w:val="en-GB" w:eastAsia="zh-CN"/>
    </w:rPr>
  </w:style>
  <w:style w:type="character" w:customStyle="1" w:styleId="TextocomentarioCar">
    <w:name w:val="Texto comentario Car"/>
    <w:basedOn w:val="Fuentedeprrafopredeter"/>
    <w:link w:val="Textocomentario"/>
    <w:uiPriority w:val="99"/>
    <w:semiHidden/>
    <w:rsid w:val="00154216"/>
    <w:rPr>
      <w:rFonts w:eastAsia="SimSun"/>
      <w:lang w:val="en-GB"/>
    </w:rPr>
  </w:style>
  <w:style w:type="paragraph" w:styleId="Asuntodelcomentario">
    <w:name w:val="annotation subject"/>
    <w:basedOn w:val="Normal"/>
    <w:next w:val="Normal"/>
    <w:link w:val="AsuntodelcomentarioCar"/>
    <w:uiPriority w:val="99"/>
    <w:semiHidden/>
    <w:unhideWhenUsed/>
    <w:rsid w:val="00154216"/>
    <w:pPr>
      <w:spacing w:line="240" w:lineRule="auto"/>
    </w:pPr>
    <w:rPr>
      <w:rFonts w:eastAsia="SimSun"/>
      <w:b/>
      <w:bCs/>
      <w:lang w:val="en-GB" w:eastAsia="zh-CN"/>
    </w:rPr>
  </w:style>
  <w:style w:type="character" w:customStyle="1" w:styleId="AsuntodelcomentarioCar">
    <w:name w:val="Asunto del comentario Car"/>
    <w:basedOn w:val="TextocomentarioCar"/>
    <w:link w:val="Asuntodelcomentario"/>
    <w:uiPriority w:val="99"/>
    <w:semiHidden/>
    <w:rsid w:val="00154216"/>
    <w:rPr>
      <w:rFonts w:eastAsia="SimSun"/>
      <w:b/>
      <w:bCs/>
      <w:lang w:val="en-GB"/>
    </w:rPr>
  </w:style>
  <w:style w:type="paragraph" w:styleId="Revisin">
    <w:name w:val="Revision"/>
    <w:hidden/>
    <w:uiPriority w:val="99"/>
    <w:semiHidden/>
    <w:rsid w:val="00154216"/>
    <w:rPr>
      <w:rFonts w:eastAsia="SimSun"/>
      <w:lang w:val="en-GB" w:eastAsia="en-US"/>
    </w:rPr>
  </w:style>
  <w:style w:type="paragraph" w:styleId="Sinespaciado">
    <w:name w:val="No Spacing"/>
    <w:basedOn w:val="Textoindependiente"/>
    <w:uiPriority w:val="1"/>
    <w:qFormat/>
    <w:rsid w:val="00154216"/>
    <w:pPr>
      <w:spacing w:line="288" w:lineRule="auto"/>
    </w:pPr>
    <w:rPr>
      <w:rFonts w:ascii="Verdana" w:eastAsia="Calibri" w:hAnsi="Verdana" w:cs="Arial"/>
      <w:szCs w:val="22"/>
      <w:lang w:val="en-NZ" w:eastAsia="zh-CN"/>
    </w:rPr>
  </w:style>
  <w:style w:type="character" w:customStyle="1" w:styleId="TextoindependienteCar">
    <w:name w:val="Texto independiente Car"/>
    <w:basedOn w:val="Fuentedeprrafopredeter"/>
    <w:link w:val="Textoindependiente"/>
    <w:semiHidden/>
    <w:rsid w:val="00154216"/>
    <w:rPr>
      <w:rFonts w:eastAsiaTheme="minorEastAsia"/>
      <w:lang w:val="es-ES" w:eastAsia="es-ES"/>
    </w:rPr>
  </w:style>
  <w:style w:type="character" w:customStyle="1" w:styleId="UnresolvedMention1">
    <w:name w:val="Unresolved Mention1"/>
    <w:basedOn w:val="Fuentedeprrafopredeter"/>
    <w:uiPriority w:val="99"/>
    <w:semiHidden/>
    <w:unhideWhenUsed/>
    <w:rsid w:val="00154216"/>
    <w:rPr>
      <w:color w:val="808080"/>
      <w:shd w:val="clear" w:color="auto" w:fill="E6E6E6"/>
    </w:rPr>
  </w:style>
  <w:style w:type="paragraph" w:customStyle="1" w:styleId="Default">
    <w:name w:val="Default"/>
    <w:rsid w:val="00154216"/>
    <w:pPr>
      <w:autoSpaceDE w:val="0"/>
      <w:autoSpaceDN w:val="0"/>
      <w:adjustRightInd w:val="0"/>
    </w:pPr>
    <w:rPr>
      <w:rFonts w:ascii="Calibri" w:eastAsiaTheme="minorHAnsi" w:hAnsi="Calibri" w:cs="Calibri"/>
      <w:color w:val="000000"/>
      <w:sz w:val="24"/>
      <w:szCs w:val="24"/>
      <w:lang w:val="en-NZ" w:eastAsia="en-US"/>
    </w:rPr>
  </w:style>
  <w:style w:type="paragraph" w:customStyle="1" w:styleId="Bullet">
    <w:name w:val="Bullet"/>
    <w:basedOn w:val="Normal"/>
    <w:qFormat/>
    <w:rsid w:val="00154216"/>
    <w:pPr>
      <w:numPr>
        <w:numId w:val="2"/>
      </w:numPr>
      <w:spacing w:before="90" w:line="264" w:lineRule="auto"/>
    </w:pPr>
    <w:rPr>
      <w:rFonts w:ascii="Georgia" w:eastAsia="SimSun" w:hAnsi="Georgia"/>
      <w:sz w:val="22"/>
      <w:lang w:val="en-NZ" w:eastAsia="en-GB"/>
    </w:rPr>
  </w:style>
  <w:style w:type="character" w:customStyle="1" w:styleId="UnresolvedMention2">
    <w:name w:val="Unresolved Mention2"/>
    <w:basedOn w:val="Fuentedeprrafopredeter"/>
    <w:uiPriority w:val="99"/>
    <w:semiHidden/>
    <w:unhideWhenUsed/>
    <w:rsid w:val="00154216"/>
    <w:rPr>
      <w:color w:val="808080"/>
      <w:shd w:val="clear" w:color="auto" w:fill="E6E6E6"/>
    </w:rPr>
  </w:style>
  <w:style w:type="paragraph" w:styleId="TDC7">
    <w:name w:val="toc 7"/>
    <w:basedOn w:val="Normal"/>
    <w:next w:val="Normal"/>
    <w:autoRedefine/>
    <w:uiPriority w:val="39"/>
    <w:semiHidden/>
    <w:rsid w:val="00154216"/>
    <w:pPr>
      <w:spacing w:after="100" w:line="240" w:lineRule="auto"/>
      <w:ind w:left="1200"/>
    </w:pPr>
    <w:rPr>
      <w:rFonts w:ascii="Calibri" w:eastAsiaTheme="minorHAnsi" w:hAnsi="Calibri" w:cs="Calibri"/>
      <w:sz w:val="22"/>
      <w:szCs w:val="22"/>
      <w:lang w:val="en-NZ" w:eastAsia="zh-CN"/>
    </w:rPr>
  </w:style>
  <w:style w:type="character" w:customStyle="1" w:styleId="H1GChar">
    <w:name w:val="_ H_1_G Char"/>
    <w:basedOn w:val="Fuentedeprrafopredeter"/>
    <w:link w:val="H1G"/>
    <w:rsid w:val="00154216"/>
    <w:rPr>
      <w:rFonts w:eastAsiaTheme="minorEastAsia"/>
      <w:b/>
      <w:sz w:val="24"/>
      <w:lang w:val="es-ES" w:eastAsia="es-ES"/>
    </w:rPr>
  </w:style>
  <w:style w:type="character" w:customStyle="1" w:styleId="UnresolvedMention3">
    <w:name w:val="Unresolved Mention3"/>
    <w:basedOn w:val="Fuentedeprrafopredeter"/>
    <w:uiPriority w:val="99"/>
    <w:semiHidden/>
    <w:unhideWhenUsed/>
    <w:rsid w:val="00154216"/>
    <w:rPr>
      <w:color w:val="808080"/>
      <w:shd w:val="clear" w:color="auto" w:fill="E6E6E6"/>
    </w:rPr>
  </w:style>
  <w:style w:type="table" w:customStyle="1" w:styleId="TableGridLight1">
    <w:name w:val="Table Grid Light1"/>
    <w:basedOn w:val="Tablanormal"/>
    <w:uiPriority w:val="40"/>
    <w:rsid w:val="00154216"/>
    <w:rPr>
      <w:rFonts w:asciiTheme="minorHAnsi" w:eastAsiaTheme="minorHAnsi" w:hAnsiTheme="minorHAnsi" w:cstheme="minorBidi"/>
      <w:sz w:val="22"/>
      <w:szCs w:val="22"/>
      <w:lang w:val="en-NZ"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nonrsolue1">
    <w:name w:val="Mention non résolue1"/>
    <w:basedOn w:val="Fuentedeprrafopredeter"/>
    <w:uiPriority w:val="99"/>
    <w:semiHidden/>
    <w:unhideWhenUsed/>
    <w:rsid w:val="00154216"/>
    <w:rPr>
      <w:color w:val="605E5C"/>
      <w:shd w:val="clear" w:color="auto" w:fill="E1DFDD"/>
    </w:rPr>
  </w:style>
  <w:style w:type="character" w:styleId="Mencinsinresolver">
    <w:name w:val="Unresolved Mention"/>
    <w:basedOn w:val="Fuentedeprrafopredeter"/>
    <w:uiPriority w:val="99"/>
    <w:semiHidden/>
    <w:unhideWhenUsed/>
    <w:rsid w:val="00154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llyingfree.nz"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6578D-78F9-4DDF-A0C6-A3233CE51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5</TotalTime>
  <Pages>54</Pages>
  <Words>22430</Words>
  <Characters>123370</Characters>
  <Application>Microsoft Office Word</Application>
  <DocSecurity>0</DocSecurity>
  <Lines>1028</Lines>
  <Paragraphs>291</Paragraphs>
  <ScaleCrop>false</ScaleCrop>
  <HeadingPairs>
    <vt:vector size="2" baseType="variant">
      <vt:variant>
        <vt:lpstr>Título</vt:lpstr>
      </vt:variant>
      <vt:variant>
        <vt:i4>1</vt:i4>
      </vt:variant>
    </vt:vector>
  </HeadingPairs>
  <TitlesOfParts>
    <vt:vector size="1" baseType="lpstr">
      <vt:lpstr>CRPD/C/NZL/2-3</vt:lpstr>
    </vt:vector>
  </TitlesOfParts>
  <Company/>
  <LinksUpToDate>false</LinksUpToDate>
  <CharactersWithSpaces>145509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CRPD/C/NZL/2-3</dc:title>
  <dc:subject/>
  <dc:creator>Marcel GONZALEZ-PEREZ</dc:creator>
  <cp:keywords/>
  <cp:lastModifiedBy>Maria DE-LA-PLAZA</cp:lastModifiedBy>
  <cp:revision>3</cp:revision>
  <cp:lastPrinted>2020-01-27T10:20:00Z</cp:lastPrinted>
  <dcterms:created xsi:type="dcterms:W3CDTF">2020-01-27T10:20:00Z</dcterms:created>
  <dcterms:modified xsi:type="dcterms:W3CDTF">2020-01-27T10:25:00Z</dcterms:modified>
</cp:coreProperties>
</file>